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1C61">
      <w:pPr>
        <w:spacing w:after="320"/>
        <w:rPr>
          <w:rFonts w:hint="eastAsia"/>
        </w:rPr>
      </w:pPr>
      <w:r>
        <w:rPr>
          <w:rFonts w:hint="eastAsia"/>
        </w:rPr>
        <w:t>2004</w:t>
      </w:r>
      <w:r>
        <w:rPr>
          <w:rFonts w:hint="eastAsia"/>
        </w:rPr>
        <w:t>年常会</w:t>
      </w:r>
    </w:p>
    <w:p w:rsidR="00000000" w:rsidRDefault="009C1C61">
      <w:pPr>
        <w:pStyle w:val="Heading2"/>
        <w:rPr>
          <w:rFonts w:ascii="Time New Roman" w:eastAsia="SimHei" w:hAnsi="Time New Roman" w:hint="eastAsia"/>
        </w:rPr>
      </w:pPr>
      <w:r>
        <w:rPr>
          <w:rFonts w:ascii="Time New Roman" w:eastAsia="SimHei" w:hAnsi="Time New Roman" w:hint="eastAsia"/>
        </w:rPr>
        <w:t>《经济、社会、文化权利国际公约》的执行情况</w:t>
      </w:r>
    </w:p>
    <w:p w:rsidR="00000000" w:rsidRDefault="009C1C61">
      <w:pPr>
        <w:pStyle w:val="Heading3"/>
        <w:rPr>
          <w:rFonts w:ascii="Time New Roman" w:hAnsi="Time New Roman" w:hint="eastAsia"/>
        </w:rPr>
      </w:pPr>
      <w:r>
        <w:rPr>
          <w:rFonts w:ascii="Time New Roman" w:hAnsi="Time New Roman" w:hint="eastAsia"/>
        </w:rPr>
        <w:t>缔约国按照《公约》第十六和第十七条</w:t>
      </w:r>
      <w:r>
        <w:rPr>
          <w:rFonts w:ascii="Time New Roman" w:hAnsi="Time New Roman"/>
        </w:rPr>
        <w:br/>
      </w:r>
      <w:r>
        <w:rPr>
          <w:rFonts w:ascii="Time New Roman" w:hAnsi="Time New Roman" w:hint="eastAsia"/>
        </w:rPr>
        <w:t>提交的第三次定期报告</w:t>
      </w:r>
    </w:p>
    <w:p w:rsidR="00000000" w:rsidRDefault="009C1C61">
      <w:pPr>
        <w:pStyle w:val="Heading3"/>
        <w:rPr>
          <w:rFonts w:ascii="Time New Roman" w:hAnsi="Time New Roman" w:hint="eastAsia"/>
        </w:rPr>
      </w:pPr>
      <w:r>
        <w:rPr>
          <w:rFonts w:ascii="Time New Roman" w:hAnsi="Time New Roman" w:hint="eastAsia"/>
        </w:rPr>
        <w:t>增</w:t>
      </w:r>
      <w:r>
        <w:rPr>
          <w:rFonts w:ascii="Time New Roman" w:hAnsi="Time New Roman" w:hint="eastAsia"/>
        </w:rPr>
        <w:t xml:space="preserve">  </w:t>
      </w:r>
      <w:r>
        <w:rPr>
          <w:rFonts w:ascii="Time New Roman" w:hAnsi="Time New Roman" w:hint="eastAsia"/>
        </w:rPr>
        <w:t>编</w:t>
      </w:r>
    </w:p>
    <w:p w:rsidR="00000000" w:rsidRDefault="009C1C61">
      <w:pPr>
        <w:pStyle w:val="Heading2"/>
        <w:rPr>
          <w:rFonts w:hint="eastAsia"/>
          <w:bCs/>
        </w:rPr>
      </w:pPr>
      <w:r>
        <w:t xml:space="preserve">     </w:t>
      </w:r>
      <w:r>
        <w:rPr>
          <w:rFonts w:ascii="Time New Roman" w:eastAsia="SimHei" w:hAnsi="Time New Roman" w:hint="eastAsia"/>
        </w:rPr>
        <w:t>智</w:t>
      </w:r>
      <w:r>
        <w:rPr>
          <w:rFonts w:ascii="Time New Roman" w:eastAsia="SimHei" w:hAnsi="Time New Roman" w:hint="eastAsia"/>
        </w:rPr>
        <w:t xml:space="preserve">  </w:t>
      </w:r>
      <w:r>
        <w:rPr>
          <w:rFonts w:ascii="Time New Roman" w:eastAsia="SimHei" w:hAnsi="Time New Roman" w:hint="eastAsia"/>
        </w:rPr>
        <w:t>利</w:t>
      </w:r>
      <w:r>
        <w:rPr>
          <w:rFonts w:ascii="Time New Roman" w:eastAsia="SimHei" w:hAnsi="Time New Roman"/>
        </w:rPr>
        <w:t xml:space="preserve"> </w:t>
      </w:r>
      <w:r>
        <w:rPr>
          <w:rStyle w:val="FootnoteReference"/>
          <w:bCs/>
        </w:rPr>
        <w:footnoteReference w:customMarkFollows="1" w:id="1"/>
        <w:t>*</w:t>
      </w:r>
      <w:r>
        <w:rPr>
          <w:rFonts w:hint="eastAsia"/>
          <w:bCs/>
          <w:spacing w:val="0"/>
        </w:rPr>
        <w:t xml:space="preserve">  </w:t>
      </w:r>
      <w:r>
        <w:rPr>
          <w:rStyle w:val="FootnoteReference"/>
          <w:bCs/>
        </w:rPr>
        <w:footnoteReference w:customMarkFollows="1" w:id="2"/>
        <w:t>**</w:t>
      </w:r>
    </w:p>
    <w:p w:rsidR="00000000" w:rsidRDefault="009C1C61">
      <w:pPr>
        <w:rPr>
          <w:rFonts w:hint="eastAsia"/>
        </w:rPr>
      </w:pPr>
    </w:p>
    <w:p w:rsidR="00000000" w:rsidRDefault="009C1C61">
      <w:pPr>
        <w:pStyle w:val="12cm"/>
      </w:pPr>
      <w:r>
        <w:t>[2003</w:t>
      </w:r>
      <w:r>
        <w:rPr>
          <w:rFonts w:hint="eastAsia"/>
        </w:rPr>
        <w:t>年</w:t>
      </w:r>
      <w:r>
        <w:rPr>
          <w:rFonts w:hint="eastAsia"/>
        </w:rPr>
        <w:t>7</w:t>
      </w:r>
      <w:r>
        <w:rPr>
          <w:rFonts w:hint="eastAsia"/>
        </w:rPr>
        <w:t>月</w:t>
      </w:r>
      <w:r>
        <w:rPr>
          <w:rFonts w:hint="eastAsia"/>
        </w:rPr>
        <w:t>10</w:t>
      </w:r>
      <w:r>
        <w:rPr>
          <w:rFonts w:hint="eastAsia"/>
        </w:rPr>
        <w:t>日</w:t>
      </w:r>
      <w:r>
        <w:t>]</w:t>
      </w:r>
    </w:p>
    <w:p w:rsidR="00000000" w:rsidRDefault="009C1C61">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9C1C61">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1C61">
      <w:pPr>
        <w:pStyle w:val="a9"/>
      </w:pPr>
      <w:r>
        <w:rPr>
          <w:rFonts w:hint="eastAsia"/>
        </w:rPr>
        <w:t>导</w:t>
      </w:r>
      <w:r>
        <w:t xml:space="preserve">  </w:t>
      </w:r>
      <w:r>
        <w:rPr>
          <w:rFonts w:hint="eastAsia"/>
        </w:rPr>
        <w:t>言</w:t>
      </w:r>
      <w:r>
        <w:t>...........</w:t>
      </w:r>
      <w:r>
        <w:tab/>
      </w:r>
      <w:r>
        <w:tab/>
      </w:r>
      <w:r>
        <w:tab/>
        <w:t>1</w:t>
      </w:r>
      <w:r>
        <w:tab/>
        <w:t>-</w:t>
      </w:r>
      <w:r>
        <w:tab/>
        <w:t>44</w:t>
      </w:r>
      <w:r>
        <w:rPr>
          <w:rFonts w:hint="eastAsia"/>
        </w:rPr>
        <w:tab/>
      </w:r>
      <w:r>
        <w:t>5</w:t>
      </w:r>
    </w:p>
    <w:p w:rsidR="00000000" w:rsidRDefault="009C1C61">
      <w:pPr>
        <w:pStyle w:val="a9"/>
      </w:pPr>
      <w:r>
        <w:rPr>
          <w:rFonts w:hint="eastAsia"/>
        </w:rPr>
        <w:t>第</w:t>
      </w:r>
      <w:r>
        <w:t xml:space="preserve"> </w:t>
      </w:r>
      <w:r>
        <w:rPr>
          <w:rFonts w:hint="eastAsia"/>
        </w:rPr>
        <w:t>一</w:t>
      </w:r>
      <w:r>
        <w:t xml:space="preserve"> </w:t>
      </w:r>
      <w:r>
        <w:rPr>
          <w:rFonts w:hint="eastAsia"/>
        </w:rPr>
        <w:t>条</w:t>
      </w:r>
      <w:r>
        <w:rPr>
          <w:rFonts w:hint="eastAsia"/>
        </w:rPr>
        <w:t>................................</w:t>
      </w:r>
      <w:r>
        <w:rPr>
          <w:rFonts w:hint="eastAsia"/>
        </w:rPr>
        <w:tab/>
      </w:r>
      <w:r>
        <w:rPr>
          <w:rFonts w:hint="eastAsia"/>
        </w:rPr>
        <w:tab/>
        <w:t>45</w:t>
      </w:r>
      <w:r>
        <w:rPr>
          <w:rFonts w:hint="eastAsia"/>
        </w:rPr>
        <w:tab/>
        <w:t>-</w:t>
      </w:r>
      <w:r>
        <w:rPr>
          <w:rFonts w:hint="eastAsia"/>
        </w:rPr>
        <w:tab/>
        <w:t>54</w:t>
      </w:r>
      <w:r>
        <w:rPr>
          <w:rFonts w:hint="eastAsia"/>
        </w:rPr>
        <w:tab/>
      </w:r>
      <w:r>
        <w:t>11</w:t>
      </w:r>
    </w:p>
    <w:p w:rsidR="00000000" w:rsidRDefault="009C1C61">
      <w:pPr>
        <w:pStyle w:val="a9"/>
      </w:pPr>
      <w:r>
        <w:rPr>
          <w:rFonts w:hint="eastAsia"/>
        </w:rPr>
        <w:t>第</w:t>
      </w:r>
      <w:r>
        <w:t xml:space="preserve"> </w:t>
      </w:r>
      <w:r>
        <w:rPr>
          <w:rFonts w:hint="eastAsia"/>
        </w:rPr>
        <w:t>二</w:t>
      </w:r>
      <w:r>
        <w:t xml:space="preserve"> </w:t>
      </w:r>
      <w:r>
        <w:rPr>
          <w:rFonts w:hint="eastAsia"/>
        </w:rPr>
        <w:t>条</w:t>
      </w:r>
      <w:r>
        <w:rPr>
          <w:rFonts w:hint="eastAsia"/>
        </w:rPr>
        <w:t>................................</w:t>
      </w:r>
      <w:r>
        <w:rPr>
          <w:rFonts w:hint="eastAsia"/>
        </w:rPr>
        <w:tab/>
      </w:r>
      <w:r>
        <w:rPr>
          <w:rFonts w:hint="eastAsia"/>
        </w:rPr>
        <w:tab/>
        <w:t>....55</w:t>
      </w:r>
      <w:r>
        <w:rPr>
          <w:rFonts w:hint="eastAsia"/>
        </w:rPr>
        <w:tab/>
        <w:t>-</w:t>
      </w:r>
      <w:r>
        <w:rPr>
          <w:rFonts w:hint="eastAsia"/>
        </w:rPr>
        <w:tab/>
        <w:t>125</w:t>
      </w:r>
      <w:r>
        <w:rPr>
          <w:rFonts w:hint="eastAsia"/>
        </w:rPr>
        <w:tab/>
      </w:r>
      <w:r>
        <w:t>15</w:t>
      </w:r>
    </w:p>
    <w:p w:rsidR="00000000" w:rsidRDefault="009C1C61">
      <w:pPr>
        <w:pStyle w:val="a9"/>
      </w:pPr>
      <w:r>
        <w:rPr>
          <w:rFonts w:hint="eastAsia"/>
        </w:rPr>
        <w:t>第</w:t>
      </w:r>
      <w:r>
        <w:t xml:space="preserve"> </w:t>
      </w:r>
      <w:r>
        <w:rPr>
          <w:rFonts w:hint="eastAsia"/>
        </w:rPr>
        <w:t>三</w:t>
      </w:r>
      <w:r>
        <w:t xml:space="preserve"> </w:t>
      </w:r>
      <w:r>
        <w:rPr>
          <w:rFonts w:hint="eastAsia"/>
        </w:rPr>
        <w:t>条</w:t>
      </w:r>
      <w:r>
        <w:rPr>
          <w:rFonts w:hint="eastAsia"/>
        </w:rPr>
        <w:t>.........</w:t>
      </w:r>
      <w:r>
        <w:rPr>
          <w:rFonts w:hint="eastAsia"/>
        </w:rPr>
        <w:t>.......................</w:t>
      </w:r>
      <w:r>
        <w:rPr>
          <w:rFonts w:hint="eastAsia"/>
        </w:rPr>
        <w:tab/>
      </w:r>
      <w:r>
        <w:rPr>
          <w:rFonts w:hint="eastAsia"/>
        </w:rPr>
        <w:tab/>
        <w:t>126</w:t>
      </w:r>
      <w:r>
        <w:rPr>
          <w:rFonts w:hint="eastAsia"/>
        </w:rPr>
        <w:tab/>
        <w:t>-</w:t>
      </w:r>
      <w:r>
        <w:rPr>
          <w:rFonts w:hint="eastAsia"/>
        </w:rPr>
        <w:tab/>
        <w:t>141</w:t>
      </w:r>
      <w:r>
        <w:rPr>
          <w:rFonts w:hint="eastAsia"/>
        </w:rPr>
        <w:tab/>
      </w:r>
      <w:r>
        <w:t>35</w:t>
      </w:r>
    </w:p>
    <w:p w:rsidR="00000000" w:rsidRDefault="009C1C61">
      <w:pPr>
        <w:pStyle w:val="a9"/>
      </w:pPr>
      <w:r>
        <w:rPr>
          <w:rFonts w:hint="eastAsia"/>
        </w:rPr>
        <w:t>第</w:t>
      </w:r>
      <w:r>
        <w:t xml:space="preserve"> </w:t>
      </w:r>
      <w:r>
        <w:rPr>
          <w:rFonts w:hint="eastAsia"/>
        </w:rPr>
        <w:t>四</w:t>
      </w:r>
      <w:r>
        <w:t xml:space="preserve"> </w:t>
      </w:r>
      <w:r>
        <w:rPr>
          <w:rFonts w:hint="eastAsia"/>
        </w:rPr>
        <w:t>条</w:t>
      </w:r>
      <w:r>
        <w:rPr>
          <w:rFonts w:hint="eastAsia"/>
        </w:rPr>
        <w:t>.........................</w:t>
      </w:r>
      <w:r>
        <w:rPr>
          <w:rFonts w:hint="eastAsia"/>
        </w:rPr>
        <w:tab/>
      </w:r>
      <w:r>
        <w:tab/>
      </w:r>
      <w:r>
        <w:tab/>
      </w:r>
      <w:r>
        <w:rPr>
          <w:rFonts w:hint="eastAsia"/>
        </w:rPr>
        <w:t>142</w:t>
      </w:r>
      <w:r>
        <w:rPr>
          <w:rFonts w:hint="eastAsia"/>
        </w:rPr>
        <w:tab/>
      </w:r>
      <w:r>
        <w:t>40</w:t>
      </w:r>
    </w:p>
    <w:p w:rsidR="00000000" w:rsidRDefault="009C1C61">
      <w:pPr>
        <w:pStyle w:val="a9"/>
      </w:pPr>
      <w:r>
        <w:rPr>
          <w:rFonts w:hint="eastAsia"/>
        </w:rPr>
        <w:t>第</w:t>
      </w:r>
      <w:r>
        <w:t xml:space="preserve"> </w:t>
      </w:r>
      <w:r>
        <w:rPr>
          <w:rFonts w:hint="eastAsia"/>
        </w:rPr>
        <w:t>五</w:t>
      </w:r>
      <w:r>
        <w:t xml:space="preserve"> </w:t>
      </w:r>
      <w:r>
        <w:rPr>
          <w:rFonts w:hint="eastAsia"/>
        </w:rPr>
        <w:t>条</w:t>
      </w:r>
      <w:r>
        <w:rPr>
          <w:rFonts w:hint="eastAsia"/>
        </w:rPr>
        <w:t>......................................</w:t>
      </w:r>
      <w:r>
        <w:rPr>
          <w:rFonts w:hint="eastAsia"/>
        </w:rPr>
        <w:tab/>
      </w:r>
      <w:r>
        <w:rPr>
          <w:rFonts w:hint="eastAsia"/>
        </w:rPr>
        <w:tab/>
      </w:r>
      <w:r>
        <w:tab/>
      </w:r>
      <w:r>
        <w:rPr>
          <w:rFonts w:hint="eastAsia"/>
        </w:rPr>
        <w:t>143</w:t>
      </w:r>
      <w:r>
        <w:rPr>
          <w:rFonts w:hint="eastAsia"/>
        </w:rPr>
        <w:tab/>
      </w:r>
      <w:r>
        <w:t>40</w:t>
      </w:r>
    </w:p>
    <w:p w:rsidR="00000000" w:rsidRDefault="009C1C61">
      <w:pPr>
        <w:pStyle w:val="a9"/>
      </w:pPr>
      <w:r>
        <w:rPr>
          <w:rFonts w:hint="eastAsia"/>
        </w:rPr>
        <w:t>第</w:t>
      </w:r>
      <w:r>
        <w:t xml:space="preserve"> </w:t>
      </w:r>
      <w:r>
        <w:rPr>
          <w:rFonts w:hint="eastAsia"/>
        </w:rPr>
        <w:t>六</w:t>
      </w:r>
      <w:r>
        <w:t xml:space="preserve"> </w:t>
      </w:r>
      <w:r>
        <w:rPr>
          <w:rFonts w:hint="eastAsia"/>
        </w:rPr>
        <w:t>条</w:t>
      </w:r>
      <w:r>
        <w:rPr>
          <w:rFonts w:hint="eastAsia"/>
        </w:rPr>
        <w:t>............................</w:t>
      </w:r>
      <w:r>
        <w:rPr>
          <w:rFonts w:hint="eastAsia"/>
        </w:rPr>
        <w:tab/>
      </w:r>
      <w:r>
        <w:tab/>
      </w:r>
      <w:r>
        <w:rPr>
          <w:rFonts w:hint="eastAsia"/>
        </w:rPr>
        <w:t>144</w:t>
      </w:r>
      <w:r>
        <w:rPr>
          <w:rFonts w:hint="eastAsia"/>
        </w:rPr>
        <w:tab/>
        <w:t>-</w:t>
      </w:r>
      <w:r>
        <w:rPr>
          <w:rFonts w:hint="eastAsia"/>
        </w:rPr>
        <w:tab/>
        <w:t>196</w:t>
      </w:r>
      <w:r>
        <w:rPr>
          <w:rFonts w:hint="eastAsia"/>
        </w:rPr>
        <w:tab/>
      </w:r>
      <w:r>
        <w:t>40</w:t>
      </w:r>
    </w:p>
    <w:p w:rsidR="00000000" w:rsidRDefault="009C1C61">
      <w:pPr>
        <w:pStyle w:val="a9"/>
      </w:pPr>
      <w:r>
        <w:rPr>
          <w:rFonts w:hint="eastAsia"/>
        </w:rPr>
        <w:t>第</w:t>
      </w:r>
      <w:r>
        <w:t xml:space="preserve"> </w:t>
      </w:r>
      <w:r>
        <w:rPr>
          <w:rFonts w:hint="eastAsia"/>
        </w:rPr>
        <w:t>七</w:t>
      </w:r>
      <w:r>
        <w:t xml:space="preserve"> </w:t>
      </w:r>
      <w:r>
        <w:rPr>
          <w:rFonts w:hint="eastAsia"/>
        </w:rPr>
        <w:t>条</w:t>
      </w:r>
      <w:r>
        <w:rPr>
          <w:rFonts w:hint="eastAsia"/>
        </w:rPr>
        <w:t>...............................</w:t>
      </w:r>
      <w:r>
        <w:tab/>
      </w:r>
      <w:r>
        <w:tab/>
      </w:r>
      <w:r>
        <w:rPr>
          <w:rFonts w:hint="eastAsia"/>
        </w:rPr>
        <w:t>197</w:t>
      </w:r>
      <w:r>
        <w:rPr>
          <w:rFonts w:hint="eastAsia"/>
        </w:rPr>
        <w:tab/>
        <w:t>-</w:t>
      </w:r>
      <w:r>
        <w:rPr>
          <w:rFonts w:hint="eastAsia"/>
        </w:rPr>
        <w:tab/>
        <w:t>249</w:t>
      </w:r>
      <w:r>
        <w:rPr>
          <w:rFonts w:hint="eastAsia"/>
        </w:rPr>
        <w:tab/>
      </w:r>
      <w:r>
        <w:t>52</w:t>
      </w:r>
    </w:p>
    <w:p w:rsidR="00000000" w:rsidRDefault="009C1C61">
      <w:pPr>
        <w:pStyle w:val="a9"/>
      </w:pPr>
      <w:r>
        <w:rPr>
          <w:rFonts w:hint="eastAsia"/>
        </w:rPr>
        <w:t>第</w:t>
      </w:r>
      <w:r>
        <w:t xml:space="preserve"> </w:t>
      </w:r>
      <w:r>
        <w:rPr>
          <w:rFonts w:hint="eastAsia"/>
        </w:rPr>
        <w:t>八</w:t>
      </w:r>
      <w:r>
        <w:t xml:space="preserve"> </w:t>
      </w:r>
      <w:r>
        <w:rPr>
          <w:rFonts w:hint="eastAsia"/>
        </w:rPr>
        <w:t>条</w:t>
      </w:r>
      <w:r>
        <w:rPr>
          <w:rFonts w:hint="eastAsia"/>
        </w:rPr>
        <w:t>.....................</w:t>
      </w:r>
      <w:r>
        <w:rPr>
          <w:rFonts w:hint="eastAsia"/>
        </w:rPr>
        <w:t>..........</w:t>
      </w:r>
      <w:r>
        <w:rPr>
          <w:rFonts w:hint="eastAsia"/>
        </w:rPr>
        <w:tab/>
      </w:r>
      <w:r>
        <w:tab/>
      </w:r>
      <w:r>
        <w:rPr>
          <w:rFonts w:hint="eastAsia"/>
        </w:rPr>
        <w:t>250</w:t>
      </w:r>
      <w:r>
        <w:rPr>
          <w:rFonts w:hint="eastAsia"/>
        </w:rPr>
        <w:tab/>
        <w:t>-</w:t>
      </w:r>
      <w:r>
        <w:rPr>
          <w:rFonts w:hint="eastAsia"/>
        </w:rPr>
        <w:tab/>
        <w:t>277</w:t>
      </w:r>
      <w:r>
        <w:rPr>
          <w:rFonts w:hint="eastAsia"/>
        </w:rPr>
        <w:tab/>
      </w:r>
      <w:r>
        <w:t>62</w:t>
      </w:r>
    </w:p>
    <w:p w:rsidR="00000000" w:rsidRDefault="009C1C61">
      <w:pPr>
        <w:pStyle w:val="a9"/>
      </w:pPr>
      <w:r>
        <w:rPr>
          <w:rFonts w:hint="eastAsia"/>
        </w:rPr>
        <w:t>第</w:t>
      </w:r>
      <w:r>
        <w:t xml:space="preserve"> </w:t>
      </w:r>
      <w:r>
        <w:rPr>
          <w:rFonts w:hint="eastAsia"/>
        </w:rPr>
        <w:t>九</w:t>
      </w:r>
      <w:r>
        <w:t xml:space="preserve"> </w:t>
      </w:r>
      <w:r>
        <w:rPr>
          <w:rFonts w:hint="eastAsia"/>
        </w:rPr>
        <w:t>条</w:t>
      </w:r>
      <w:r>
        <w:rPr>
          <w:rFonts w:hint="eastAsia"/>
        </w:rPr>
        <w:t>................................</w:t>
      </w:r>
      <w:r>
        <w:rPr>
          <w:rFonts w:hint="eastAsia"/>
        </w:rPr>
        <w:tab/>
      </w:r>
      <w:r>
        <w:tab/>
      </w:r>
      <w:r>
        <w:rPr>
          <w:rFonts w:hint="eastAsia"/>
        </w:rPr>
        <w:t>278</w:t>
      </w:r>
      <w:r>
        <w:rPr>
          <w:rFonts w:hint="eastAsia"/>
        </w:rPr>
        <w:tab/>
        <w:t>-</w:t>
      </w:r>
      <w:r>
        <w:rPr>
          <w:rFonts w:hint="eastAsia"/>
        </w:rPr>
        <w:tab/>
        <w:t>380</w:t>
      </w:r>
      <w:r>
        <w:rPr>
          <w:rFonts w:hint="eastAsia"/>
        </w:rPr>
        <w:tab/>
      </w:r>
      <w:r>
        <w:t>70</w:t>
      </w:r>
    </w:p>
    <w:p w:rsidR="00000000" w:rsidRDefault="009C1C61">
      <w:pPr>
        <w:pStyle w:val="a9"/>
      </w:pPr>
      <w:r>
        <w:rPr>
          <w:rFonts w:hint="eastAsia"/>
        </w:rPr>
        <w:t>第</w:t>
      </w:r>
      <w:r>
        <w:t xml:space="preserve"> </w:t>
      </w:r>
      <w:r>
        <w:rPr>
          <w:rFonts w:hint="eastAsia"/>
        </w:rPr>
        <w:t>十</w:t>
      </w:r>
      <w:r>
        <w:t xml:space="preserve"> </w:t>
      </w:r>
      <w:r>
        <w:rPr>
          <w:rFonts w:hint="eastAsia"/>
        </w:rPr>
        <w:t>条</w:t>
      </w:r>
      <w:r>
        <w:rPr>
          <w:rFonts w:hint="eastAsia"/>
        </w:rPr>
        <w:t>................................</w:t>
      </w:r>
      <w:r>
        <w:rPr>
          <w:rFonts w:hint="eastAsia"/>
        </w:rPr>
        <w:tab/>
      </w:r>
      <w:r>
        <w:rPr>
          <w:rFonts w:hint="eastAsia"/>
        </w:rPr>
        <w:tab/>
        <w:t>381</w:t>
      </w:r>
      <w:r>
        <w:rPr>
          <w:rFonts w:hint="eastAsia"/>
        </w:rPr>
        <w:tab/>
        <w:t>-</w:t>
      </w:r>
      <w:r>
        <w:rPr>
          <w:rFonts w:hint="eastAsia"/>
        </w:rPr>
        <w:tab/>
        <w:t>496</w:t>
      </w:r>
      <w:r>
        <w:rPr>
          <w:rFonts w:hint="eastAsia"/>
        </w:rPr>
        <w:tab/>
      </w:r>
      <w:r>
        <w:t>98</w:t>
      </w:r>
    </w:p>
    <w:p w:rsidR="00000000" w:rsidRDefault="009C1C61">
      <w:pPr>
        <w:pStyle w:val="a9"/>
      </w:pPr>
      <w:r>
        <w:rPr>
          <w:rFonts w:hint="eastAsia"/>
        </w:rPr>
        <w:t>第十一条</w:t>
      </w:r>
      <w:r>
        <w:rPr>
          <w:rFonts w:hint="eastAsia"/>
        </w:rPr>
        <w:t>................................</w:t>
      </w:r>
      <w:r>
        <w:rPr>
          <w:rFonts w:hint="eastAsia"/>
        </w:rPr>
        <w:tab/>
      </w:r>
      <w:r>
        <w:rPr>
          <w:rFonts w:hint="eastAsia"/>
        </w:rPr>
        <w:tab/>
        <w:t>497</w:t>
      </w:r>
      <w:r>
        <w:rPr>
          <w:rFonts w:hint="eastAsia"/>
        </w:rPr>
        <w:tab/>
        <w:t>-</w:t>
      </w:r>
      <w:r>
        <w:rPr>
          <w:rFonts w:hint="eastAsia"/>
        </w:rPr>
        <w:tab/>
        <w:t>623</w:t>
      </w:r>
      <w:r>
        <w:rPr>
          <w:rFonts w:hint="eastAsia"/>
        </w:rPr>
        <w:tab/>
      </w:r>
      <w:r>
        <w:t>132</w:t>
      </w:r>
    </w:p>
    <w:p w:rsidR="00000000" w:rsidRDefault="009C1C61">
      <w:pPr>
        <w:pStyle w:val="a9"/>
      </w:pPr>
      <w:r>
        <w:rPr>
          <w:rFonts w:hint="eastAsia"/>
        </w:rPr>
        <w:t>第十二条</w:t>
      </w:r>
      <w:r>
        <w:rPr>
          <w:rFonts w:hint="eastAsia"/>
        </w:rPr>
        <w:t>................................</w:t>
      </w:r>
      <w:r>
        <w:rPr>
          <w:rFonts w:hint="eastAsia"/>
        </w:rPr>
        <w:tab/>
      </w:r>
      <w:r>
        <w:rPr>
          <w:rFonts w:hint="eastAsia"/>
        </w:rPr>
        <w:tab/>
        <w:t>624</w:t>
      </w:r>
      <w:r>
        <w:rPr>
          <w:rFonts w:hint="eastAsia"/>
        </w:rPr>
        <w:tab/>
        <w:t>-</w:t>
      </w:r>
      <w:r>
        <w:rPr>
          <w:rFonts w:hint="eastAsia"/>
        </w:rPr>
        <w:tab/>
        <w:t>716</w:t>
      </w:r>
      <w:r>
        <w:rPr>
          <w:rFonts w:hint="eastAsia"/>
        </w:rPr>
        <w:tab/>
      </w:r>
      <w:r>
        <w:t>167</w:t>
      </w:r>
    </w:p>
    <w:p w:rsidR="00000000" w:rsidRDefault="009C1C61">
      <w:pPr>
        <w:pStyle w:val="a9"/>
      </w:pPr>
      <w:r>
        <w:rPr>
          <w:rFonts w:hint="eastAsia"/>
        </w:rPr>
        <w:t>第十三条</w:t>
      </w:r>
      <w:r>
        <w:rPr>
          <w:rFonts w:hint="eastAsia"/>
        </w:rPr>
        <w:t>...................</w:t>
      </w:r>
      <w:r>
        <w:rPr>
          <w:rFonts w:hint="eastAsia"/>
        </w:rPr>
        <w:t>.............</w:t>
      </w:r>
      <w:r>
        <w:rPr>
          <w:rFonts w:hint="eastAsia"/>
        </w:rPr>
        <w:tab/>
      </w:r>
      <w:r>
        <w:rPr>
          <w:rFonts w:hint="eastAsia"/>
        </w:rPr>
        <w:tab/>
        <w:t>717</w:t>
      </w:r>
      <w:r>
        <w:rPr>
          <w:rFonts w:hint="eastAsia"/>
        </w:rPr>
        <w:tab/>
        <w:t>-</w:t>
      </w:r>
      <w:r>
        <w:rPr>
          <w:rFonts w:hint="eastAsia"/>
        </w:rPr>
        <w:tab/>
        <w:t>814</w:t>
      </w:r>
      <w:r>
        <w:rPr>
          <w:rFonts w:hint="eastAsia"/>
        </w:rPr>
        <w:tab/>
      </w:r>
      <w:r>
        <w:t>190</w:t>
      </w:r>
    </w:p>
    <w:p w:rsidR="00000000" w:rsidRDefault="009C1C61">
      <w:pPr>
        <w:pStyle w:val="a9"/>
      </w:pPr>
      <w:r>
        <w:rPr>
          <w:rFonts w:hint="eastAsia"/>
        </w:rPr>
        <w:t>第十四条</w:t>
      </w:r>
      <w:r>
        <w:rPr>
          <w:rFonts w:hint="eastAsia"/>
        </w:rPr>
        <w:t>................................</w:t>
      </w:r>
      <w:r>
        <w:rPr>
          <w:rFonts w:hint="eastAsia"/>
        </w:rPr>
        <w:tab/>
      </w:r>
      <w:r>
        <w:tab/>
      </w:r>
      <w:r>
        <w:tab/>
      </w:r>
      <w:r>
        <w:rPr>
          <w:rFonts w:hint="eastAsia"/>
        </w:rPr>
        <w:t>815</w:t>
      </w:r>
      <w:r>
        <w:rPr>
          <w:rFonts w:hint="eastAsia"/>
        </w:rPr>
        <w:tab/>
      </w:r>
      <w:r>
        <w:t>212</w:t>
      </w:r>
    </w:p>
    <w:p w:rsidR="00000000" w:rsidRDefault="009C1C61">
      <w:pPr>
        <w:pStyle w:val="a9"/>
        <w:spacing w:after="160"/>
      </w:pPr>
      <w:r>
        <w:rPr>
          <w:rFonts w:hint="eastAsia"/>
        </w:rPr>
        <w:t>第十五条</w:t>
      </w:r>
      <w:r>
        <w:rPr>
          <w:rFonts w:hint="eastAsia"/>
        </w:rPr>
        <w:t>................................</w:t>
      </w:r>
      <w:r>
        <w:rPr>
          <w:rFonts w:hint="eastAsia"/>
        </w:rPr>
        <w:tab/>
      </w:r>
      <w:r>
        <w:tab/>
      </w:r>
      <w:r>
        <w:rPr>
          <w:rFonts w:hint="eastAsia"/>
        </w:rPr>
        <w:t>816</w:t>
      </w:r>
      <w:r>
        <w:rPr>
          <w:rFonts w:hint="eastAsia"/>
        </w:rPr>
        <w:tab/>
        <w:t>-</w:t>
      </w:r>
      <w:r>
        <w:rPr>
          <w:rFonts w:hint="eastAsia"/>
        </w:rPr>
        <w:tab/>
        <w:t>890</w:t>
      </w:r>
      <w:r>
        <w:rPr>
          <w:rFonts w:hint="eastAsia"/>
        </w:rPr>
        <w:tab/>
      </w:r>
      <w:r>
        <w:t>212</w:t>
      </w:r>
    </w:p>
    <w:p w:rsidR="00000000" w:rsidRDefault="009C1C61">
      <w:pPr>
        <w:pStyle w:val="Heading4"/>
      </w:pPr>
      <w:r>
        <w:rPr>
          <w:rFonts w:hint="eastAsia"/>
        </w:rPr>
        <w:t>附</w:t>
      </w:r>
      <w:r>
        <w:t xml:space="preserve">  </w:t>
      </w:r>
      <w:r>
        <w:rPr>
          <w:rFonts w:hint="eastAsia"/>
        </w:rPr>
        <w:t>件</w:t>
      </w:r>
    </w:p>
    <w:p w:rsidR="00000000" w:rsidRDefault="009C1C61">
      <w:pPr>
        <w:pStyle w:val="aa"/>
        <w:ind w:left="1020"/>
      </w:pPr>
      <w:r>
        <w:t xml:space="preserve">1.  </w:t>
      </w:r>
      <w:r>
        <w:rPr>
          <w:rFonts w:hint="eastAsia"/>
        </w:rPr>
        <w:t>报告使用的缩略语</w:t>
      </w:r>
      <w:r>
        <w:t>.................................</w:t>
      </w:r>
      <w:r>
        <w:tab/>
      </w:r>
      <w:r>
        <w:tab/>
        <w:t>234</w:t>
      </w:r>
    </w:p>
    <w:p w:rsidR="00000000" w:rsidRDefault="009C1C61">
      <w:pPr>
        <w:pStyle w:val="aa"/>
        <w:ind w:left="1020"/>
      </w:pPr>
      <w:r>
        <w:rPr>
          <w:rFonts w:hint="eastAsia"/>
        </w:rPr>
        <w:t>2.</w:t>
      </w:r>
      <w:r>
        <w:rPr>
          <w:rFonts w:hint="eastAsia"/>
        </w:rPr>
        <w:tab/>
      </w:r>
      <w:r>
        <w:rPr>
          <w:rFonts w:hint="eastAsia"/>
        </w:rPr>
        <w:t>统计图表一览表</w:t>
      </w:r>
      <w:r>
        <w:t>...................................</w:t>
      </w:r>
      <w:r>
        <w:tab/>
      </w:r>
      <w:r>
        <w:tab/>
        <w:t>237</w:t>
      </w:r>
    </w:p>
    <w:p w:rsidR="00000000" w:rsidRDefault="009C1C61">
      <w:pPr>
        <w:pStyle w:val="Heading2"/>
        <w:rPr>
          <w:rFonts w:ascii="Time New Roman" w:eastAsia="SimHei" w:hAnsi="Time New Roman" w:hint="eastAsia"/>
        </w:rPr>
      </w:pPr>
      <w:r>
        <w:br w:type="page"/>
      </w:r>
      <w:r>
        <w:rPr>
          <w:rFonts w:ascii="Time New Roman" w:eastAsia="SimHei" w:hAnsi="Time New Roman" w:hint="eastAsia"/>
        </w:rPr>
        <w:t>智利按照《经济、社会、文化权利国际公约》</w:t>
      </w:r>
      <w:r>
        <w:rPr>
          <w:rFonts w:ascii="Time New Roman" w:eastAsia="SimHei" w:hAnsi="Time New Roman"/>
        </w:rPr>
        <w:br/>
      </w:r>
      <w:r>
        <w:rPr>
          <w:rFonts w:ascii="Time New Roman" w:eastAsia="SimHei" w:hAnsi="Time New Roman" w:hint="eastAsia"/>
        </w:rPr>
        <w:t>第十六和第十条提交的关于《公约》</w:t>
      </w:r>
      <w:r>
        <w:rPr>
          <w:rFonts w:ascii="Time New Roman" w:eastAsia="SimHei" w:hAnsi="Time New Roman"/>
        </w:rPr>
        <w:br/>
      </w:r>
      <w:r>
        <w:rPr>
          <w:rFonts w:ascii="Time New Roman" w:eastAsia="SimHei" w:hAnsi="Time New Roman" w:hint="eastAsia"/>
        </w:rPr>
        <w:t>执行情况的第三次报告</w:t>
      </w:r>
    </w:p>
    <w:p w:rsidR="00000000" w:rsidRDefault="009C1C61">
      <w:pPr>
        <w:rPr>
          <w:rFonts w:hint="eastAsia"/>
        </w:rPr>
      </w:pPr>
      <w:r>
        <w:rPr>
          <w:rFonts w:hint="eastAsia"/>
        </w:rPr>
        <w:tab/>
      </w:r>
      <w:r>
        <w:rPr>
          <w:rFonts w:hint="eastAsia"/>
        </w:rPr>
        <w:t>智利按照《公约》第十六和第十七条提交的关于《经济、社会、文化权利国际公约》执行情况的第三次定期报告，叙述了智利在执行《公约》所载各项权利所取得的进展和所遭遇到困难，这些权利已对智利完全生效并在逐步具体落实中。本报告列入了有关</w:t>
      </w:r>
      <w:r>
        <w:rPr>
          <w:rFonts w:hint="eastAsia"/>
        </w:rPr>
        <w:t>1990-2002</w:t>
      </w:r>
      <w:r>
        <w:rPr>
          <w:rFonts w:hint="eastAsia"/>
        </w:rPr>
        <w:t>年期间发生的大事的所有资料，</w:t>
      </w:r>
      <w:r>
        <w:rPr>
          <w:rFonts w:hint="eastAsia"/>
        </w:rPr>
        <w:t xml:space="preserve"> 1990-2002</w:t>
      </w:r>
      <w:r>
        <w:rPr>
          <w:rFonts w:hint="eastAsia"/>
        </w:rPr>
        <w:t>年期间未提交任何报告。</w:t>
      </w:r>
    </w:p>
    <w:p w:rsidR="00000000" w:rsidRDefault="009C1C61">
      <w:pPr>
        <w:rPr>
          <w:rFonts w:hint="eastAsia"/>
        </w:rPr>
      </w:pPr>
      <w:r>
        <w:rPr>
          <w:rFonts w:hint="eastAsia"/>
        </w:rPr>
        <w:tab/>
      </w:r>
      <w:r>
        <w:rPr>
          <w:rFonts w:hint="eastAsia"/>
        </w:rPr>
        <w:t>核心文件</w:t>
      </w:r>
      <w:r>
        <w:rPr>
          <w:rFonts w:hint="eastAsia"/>
        </w:rPr>
        <w:t>(HRI/CORE/1/A</w:t>
      </w:r>
      <w:r>
        <w:t>dd.103</w:t>
      </w:r>
      <w:r>
        <w:rPr>
          <w:rFonts w:hint="eastAsia"/>
        </w:rPr>
        <w:t>)</w:t>
      </w:r>
      <w:r>
        <w:rPr>
          <w:rFonts w:hint="eastAsia"/>
        </w:rPr>
        <w:t>载有关于智利政治结构和保护人权一般框架的背景文件。</w:t>
      </w:r>
    </w:p>
    <w:p w:rsidR="00000000" w:rsidRDefault="009C1C61">
      <w:pPr>
        <w:rPr>
          <w:rFonts w:hint="eastAsia"/>
        </w:rPr>
      </w:pPr>
      <w:r>
        <w:rPr>
          <w:rFonts w:hint="eastAsia"/>
        </w:rPr>
        <w:tab/>
      </w:r>
      <w:r>
        <w:rPr>
          <w:rFonts w:hint="eastAsia"/>
        </w:rPr>
        <w:t>根据委员会颁布的准则</w:t>
      </w:r>
      <w:r>
        <w:rPr>
          <w:rFonts w:hint="eastAsia"/>
        </w:rPr>
        <w:t>(E/C.12</w:t>
      </w:r>
      <w:r>
        <w:rPr>
          <w:rFonts w:hint="eastAsia"/>
        </w:rPr>
        <w:t>/1999/1)</w:t>
      </w:r>
      <w:r>
        <w:rPr>
          <w:rFonts w:hint="eastAsia"/>
        </w:rPr>
        <w:t>，本报告分成两部分，第一部分涉及《公约》的一般性规定，第二部分涉及具体权利。我们接着报告就公约各条款逐条报告执行情况时，尽力按准则规定的顺序确定整份报告的结构。</w:t>
      </w:r>
    </w:p>
    <w:p w:rsidR="00000000" w:rsidRDefault="009C1C61">
      <w:pPr>
        <w:rPr>
          <w:rFonts w:hint="eastAsia"/>
        </w:rPr>
      </w:pPr>
      <w:r>
        <w:rPr>
          <w:rFonts w:hint="eastAsia"/>
        </w:rPr>
        <w:tab/>
      </w:r>
      <w:r>
        <w:rPr>
          <w:rFonts w:hint="eastAsia"/>
        </w:rPr>
        <w:t>为了便于了解报告，我们编列了附件一，以解释使用的缩略语，以及附件二，其中载有统计表格和图表清单。</w:t>
      </w:r>
    </w:p>
    <w:p w:rsidR="00000000" w:rsidRDefault="009C1C61">
      <w:r>
        <w:rPr>
          <w:rFonts w:hint="eastAsia"/>
        </w:rPr>
        <w:tab/>
      </w:r>
      <w:r>
        <w:rPr>
          <w:rFonts w:hint="eastAsia"/>
        </w:rPr>
        <w:t>为了同一目的，数字若以比索</w:t>
      </w:r>
      <w:r>
        <w:rPr>
          <w:rFonts w:hint="eastAsia"/>
        </w:rPr>
        <w:t>(</w:t>
      </w:r>
      <w:r>
        <w:rPr>
          <w:rFonts w:hint="eastAsia"/>
        </w:rPr>
        <w:t>国币</w:t>
      </w:r>
      <w:r>
        <w:rPr>
          <w:rFonts w:hint="eastAsia"/>
        </w:rPr>
        <w:t>)</w:t>
      </w:r>
      <w:r>
        <w:rPr>
          <w:rFonts w:hint="eastAsia"/>
        </w:rPr>
        <w:t>做单位和以通膨单位</w:t>
      </w:r>
      <w:r>
        <w:t xml:space="preserve"> </w:t>
      </w:r>
      <w:r>
        <w:rPr>
          <w:rStyle w:val="FootnoteReference"/>
        </w:rPr>
        <w:footnoteReference w:id="3"/>
      </w:r>
      <w:r>
        <w:rPr>
          <w:rFonts w:hint="eastAsia"/>
        </w:rPr>
        <w:t xml:space="preserve"> </w:t>
      </w:r>
      <w:r>
        <w:rPr>
          <w:rFonts w:hint="eastAsia"/>
        </w:rPr>
        <w:t>做单位时</w:t>
      </w:r>
      <w:r>
        <w:rPr>
          <w:rFonts w:hint="eastAsia"/>
        </w:rPr>
        <w:t>(</w:t>
      </w:r>
      <w:r>
        <w:rPr>
          <w:rFonts w:hint="eastAsia"/>
        </w:rPr>
        <w:t>通膨单位本身需转换成比索</w:t>
      </w:r>
      <w:r>
        <w:rPr>
          <w:rFonts w:hint="eastAsia"/>
        </w:rPr>
        <w:t>)</w:t>
      </w:r>
      <w:r>
        <w:rPr>
          <w:rFonts w:hint="eastAsia"/>
        </w:rPr>
        <w:t>，均转换成美元。转换按智利中央银行公布的汇率进行</w:t>
      </w:r>
      <w:r>
        <w:rPr>
          <w:rFonts w:hint="eastAsia"/>
        </w:rPr>
        <w:t>(</w:t>
      </w:r>
      <w:r>
        <w:t>http://bcentral.cl</w:t>
      </w:r>
      <w:r>
        <w:rPr>
          <w:rFonts w:hint="eastAsia"/>
        </w:rPr>
        <w:t>)</w:t>
      </w:r>
      <w:r>
        <w:rPr>
          <w:rFonts w:hint="eastAsia"/>
        </w:rPr>
        <w:t>。</w:t>
      </w:r>
    </w:p>
    <w:p w:rsidR="00000000" w:rsidRDefault="009C1C61">
      <w:pPr>
        <w:rPr>
          <w:rFonts w:hint="eastAsia"/>
        </w:rPr>
      </w:pPr>
      <w:r>
        <w:tab/>
      </w:r>
      <w:r>
        <w:rPr>
          <w:rFonts w:hint="eastAsia"/>
        </w:rPr>
        <w:t>数字按下列方式使用：</w:t>
      </w:r>
    </w:p>
    <w:p w:rsidR="00000000" w:rsidRDefault="009C1C61">
      <w:pPr>
        <w:rPr>
          <w:rFonts w:hint="eastAsia"/>
        </w:rPr>
      </w:pPr>
      <w:r>
        <w:rPr>
          <w:rFonts w:hint="eastAsia"/>
        </w:rPr>
        <w:tab/>
        <w:t>(1)</w:t>
      </w:r>
      <w:r>
        <w:rPr>
          <w:rFonts w:hint="eastAsia"/>
        </w:rPr>
        <w:tab/>
      </w:r>
      <w:r>
        <w:rPr>
          <w:rFonts w:hint="eastAsia"/>
        </w:rPr>
        <w:t>以比索为单位</w:t>
      </w:r>
      <w:r>
        <w:rPr>
          <w:rFonts w:hint="eastAsia"/>
        </w:rPr>
        <w:t>的数字如指某年某月时，使用的汇率系该月的平均汇率；</w:t>
      </w:r>
    </w:p>
    <w:p w:rsidR="00000000" w:rsidRDefault="009C1C61">
      <w:pPr>
        <w:spacing w:after="160"/>
      </w:pPr>
      <w:r>
        <w:rPr>
          <w:rFonts w:hint="eastAsia"/>
        </w:rPr>
        <w:tab/>
        <w:t>(2)</w:t>
      </w:r>
      <w:r>
        <w:rPr>
          <w:rFonts w:hint="eastAsia"/>
        </w:rPr>
        <w:tab/>
      </w:r>
      <w:r>
        <w:rPr>
          <w:rFonts w:hint="eastAsia"/>
        </w:rPr>
        <w:t>数字系按系某年全年的比索计而不是某月的比索计时，使用的汇率则是该年的平均汇率；</w:t>
      </w:r>
    </w:p>
    <w:p w:rsidR="00000000" w:rsidRDefault="009C1C61">
      <w:pPr>
        <w:spacing w:after="160"/>
      </w:pPr>
      <w:r>
        <w:br w:type="page"/>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47"/>
        <w:gridCol w:w="4553"/>
      </w:tblGrid>
      <w:tr w:rsidR="00000000">
        <w:tblPrEx>
          <w:tblCellMar>
            <w:top w:w="0" w:type="dxa"/>
            <w:bottom w:w="0" w:type="dxa"/>
          </w:tblCellMar>
        </w:tblPrEx>
        <w:trPr>
          <w:tblHeader/>
        </w:trPr>
        <w:tc>
          <w:tcPr>
            <w:tcW w:w="4547" w:type="dxa"/>
          </w:tcPr>
          <w:p w:rsidR="00000000" w:rsidRDefault="009C1C61">
            <w:pPr>
              <w:pStyle w:val="a2"/>
              <w:jc w:val="center"/>
              <w:rPr>
                <w:rFonts w:hint="eastAsia"/>
              </w:rPr>
            </w:pPr>
            <w:r>
              <w:rPr>
                <w:rFonts w:hint="eastAsia"/>
              </w:rPr>
              <w:t>年</w:t>
            </w:r>
            <w:r>
              <w:t xml:space="preserve">  </w:t>
            </w:r>
            <w:r>
              <w:rPr>
                <w:rFonts w:hint="eastAsia"/>
              </w:rPr>
              <w:t>份</w:t>
            </w:r>
          </w:p>
        </w:tc>
        <w:tc>
          <w:tcPr>
            <w:tcW w:w="4553" w:type="dxa"/>
          </w:tcPr>
          <w:p w:rsidR="00000000" w:rsidRDefault="009C1C61">
            <w:pPr>
              <w:pStyle w:val="a2"/>
              <w:jc w:val="center"/>
              <w:rPr>
                <w:rFonts w:hint="eastAsia"/>
              </w:rPr>
            </w:pPr>
            <w:r>
              <w:rPr>
                <w:rFonts w:hint="eastAsia"/>
              </w:rPr>
              <w:t>汇</w:t>
            </w:r>
            <w:r>
              <w:t xml:space="preserve">  </w:t>
            </w:r>
            <w:r>
              <w:rPr>
                <w:rFonts w:hint="eastAsia"/>
              </w:rPr>
              <w:t>率</w:t>
            </w:r>
          </w:p>
        </w:tc>
      </w:tr>
      <w:tr w:rsidR="00000000">
        <w:tblPrEx>
          <w:tblCellMar>
            <w:top w:w="0" w:type="dxa"/>
            <w:bottom w:w="0" w:type="dxa"/>
          </w:tblCellMar>
        </w:tblPrEx>
        <w:tc>
          <w:tcPr>
            <w:tcW w:w="4547" w:type="dxa"/>
          </w:tcPr>
          <w:p w:rsidR="00000000" w:rsidRDefault="009C1C61">
            <w:pPr>
              <w:pStyle w:val="a2"/>
              <w:jc w:val="center"/>
              <w:rPr>
                <w:rFonts w:hint="eastAsia"/>
              </w:rPr>
            </w:pPr>
            <w:r>
              <w:rPr>
                <w:rFonts w:hint="eastAsia"/>
              </w:rPr>
              <w:t>1990</w:t>
            </w:r>
          </w:p>
          <w:p w:rsidR="00000000" w:rsidRDefault="009C1C61">
            <w:pPr>
              <w:pStyle w:val="a2"/>
              <w:jc w:val="center"/>
              <w:rPr>
                <w:rFonts w:hint="eastAsia"/>
              </w:rPr>
            </w:pPr>
            <w:r>
              <w:rPr>
                <w:rFonts w:hint="eastAsia"/>
              </w:rPr>
              <w:t>1991</w:t>
            </w:r>
          </w:p>
          <w:p w:rsidR="00000000" w:rsidRDefault="009C1C61">
            <w:pPr>
              <w:pStyle w:val="a2"/>
              <w:jc w:val="center"/>
              <w:rPr>
                <w:rFonts w:hint="eastAsia"/>
              </w:rPr>
            </w:pPr>
            <w:r>
              <w:rPr>
                <w:rFonts w:hint="eastAsia"/>
              </w:rPr>
              <w:t>1992</w:t>
            </w:r>
          </w:p>
          <w:p w:rsidR="00000000" w:rsidRDefault="009C1C61">
            <w:pPr>
              <w:pStyle w:val="a2"/>
              <w:jc w:val="center"/>
              <w:rPr>
                <w:rFonts w:hint="eastAsia"/>
              </w:rPr>
            </w:pPr>
            <w:r>
              <w:rPr>
                <w:rFonts w:hint="eastAsia"/>
              </w:rPr>
              <w:t>1993</w:t>
            </w:r>
          </w:p>
          <w:p w:rsidR="00000000" w:rsidRDefault="009C1C61">
            <w:pPr>
              <w:pStyle w:val="a2"/>
              <w:jc w:val="center"/>
              <w:rPr>
                <w:rFonts w:hint="eastAsia"/>
              </w:rPr>
            </w:pPr>
            <w:r>
              <w:rPr>
                <w:rFonts w:hint="eastAsia"/>
              </w:rPr>
              <w:t>1994</w:t>
            </w:r>
          </w:p>
          <w:p w:rsidR="00000000" w:rsidRDefault="009C1C61">
            <w:pPr>
              <w:pStyle w:val="a2"/>
              <w:jc w:val="center"/>
              <w:rPr>
                <w:rFonts w:hint="eastAsia"/>
              </w:rPr>
            </w:pPr>
            <w:r>
              <w:rPr>
                <w:rFonts w:hint="eastAsia"/>
              </w:rPr>
              <w:t>1995</w:t>
            </w:r>
          </w:p>
          <w:p w:rsidR="00000000" w:rsidRDefault="009C1C61">
            <w:pPr>
              <w:pStyle w:val="a2"/>
              <w:jc w:val="center"/>
              <w:rPr>
                <w:rFonts w:hint="eastAsia"/>
              </w:rPr>
            </w:pPr>
            <w:r>
              <w:rPr>
                <w:rFonts w:hint="eastAsia"/>
              </w:rPr>
              <w:t>1996</w:t>
            </w:r>
          </w:p>
          <w:p w:rsidR="00000000" w:rsidRDefault="009C1C61">
            <w:pPr>
              <w:pStyle w:val="a2"/>
              <w:jc w:val="center"/>
              <w:rPr>
                <w:rFonts w:hint="eastAsia"/>
              </w:rPr>
            </w:pPr>
            <w:r>
              <w:rPr>
                <w:rFonts w:hint="eastAsia"/>
              </w:rPr>
              <w:t>1997</w:t>
            </w:r>
          </w:p>
          <w:p w:rsidR="00000000" w:rsidRDefault="009C1C61">
            <w:pPr>
              <w:pStyle w:val="a2"/>
              <w:jc w:val="center"/>
              <w:rPr>
                <w:rFonts w:hint="eastAsia"/>
              </w:rPr>
            </w:pPr>
            <w:r>
              <w:rPr>
                <w:rFonts w:hint="eastAsia"/>
              </w:rPr>
              <w:t>1998</w:t>
            </w:r>
          </w:p>
          <w:p w:rsidR="00000000" w:rsidRDefault="009C1C61">
            <w:pPr>
              <w:pStyle w:val="a2"/>
              <w:jc w:val="center"/>
              <w:rPr>
                <w:rFonts w:hint="eastAsia"/>
              </w:rPr>
            </w:pPr>
            <w:r>
              <w:rPr>
                <w:rFonts w:hint="eastAsia"/>
              </w:rPr>
              <w:t>1999</w:t>
            </w:r>
          </w:p>
          <w:p w:rsidR="00000000" w:rsidRDefault="009C1C61">
            <w:pPr>
              <w:pStyle w:val="a2"/>
              <w:jc w:val="center"/>
              <w:rPr>
                <w:rFonts w:hint="eastAsia"/>
              </w:rPr>
            </w:pPr>
            <w:r>
              <w:rPr>
                <w:rFonts w:hint="eastAsia"/>
              </w:rPr>
              <w:t>2000</w:t>
            </w:r>
          </w:p>
          <w:p w:rsidR="00000000" w:rsidRDefault="009C1C61">
            <w:pPr>
              <w:pStyle w:val="a2"/>
              <w:jc w:val="center"/>
              <w:rPr>
                <w:rFonts w:hint="eastAsia"/>
              </w:rPr>
            </w:pPr>
            <w:r>
              <w:rPr>
                <w:rFonts w:hint="eastAsia"/>
              </w:rPr>
              <w:t>2001</w:t>
            </w:r>
          </w:p>
          <w:p w:rsidR="00000000" w:rsidRDefault="009C1C61">
            <w:pPr>
              <w:pStyle w:val="a2"/>
              <w:jc w:val="center"/>
              <w:rPr>
                <w:rFonts w:hint="eastAsia"/>
              </w:rPr>
            </w:pPr>
            <w:r>
              <w:rPr>
                <w:rFonts w:hint="eastAsia"/>
              </w:rPr>
              <w:t>2002</w:t>
            </w:r>
          </w:p>
        </w:tc>
        <w:tc>
          <w:tcPr>
            <w:tcW w:w="4553" w:type="dxa"/>
          </w:tcPr>
          <w:p w:rsidR="00000000" w:rsidRDefault="009C1C61">
            <w:pPr>
              <w:pStyle w:val="a2"/>
              <w:jc w:val="center"/>
              <w:rPr>
                <w:rFonts w:hint="eastAsia"/>
              </w:rPr>
            </w:pPr>
            <w:r>
              <w:rPr>
                <w:rFonts w:hint="eastAsia"/>
              </w:rPr>
              <w:t>304.90</w:t>
            </w:r>
          </w:p>
          <w:p w:rsidR="00000000" w:rsidRDefault="009C1C61">
            <w:pPr>
              <w:pStyle w:val="a2"/>
              <w:jc w:val="center"/>
              <w:rPr>
                <w:rFonts w:hint="eastAsia"/>
              </w:rPr>
            </w:pPr>
            <w:r>
              <w:rPr>
                <w:rFonts w:hint="eastAsia"/>
              </w:rPr>
              <w:t>349.22</w:t>
            </w:r>
          </w:p>
          <w:p w:rsidR="00000000" w:rsidRDefault="009C1C61">
            <w:pPr>
              <w:pStyle w:val="a2"/>
              <w:jc w:val="center"/>
              <w:rPr>
                <w:rFonts w:hint="eastAsia"/>
              </w:rPr>
            </w:pPr>
            <w:r>
              <w:rPr>
                <w:rFonts w:hint="eastAsia"/>
              </w:rPr>
              <w:t>362.58</w:t>
            </w:r>
          </w:p>
          <w:p w:rsidR="00000000" w:rsidRDefault="009C1C61">
            <w:pPr>
              <w:pStyle w:val="a2"/>
              <w:jc w:val="center"/>
              <w:rPr>
                <w:rFonts w:hint="eastAsia"/>
              </w:rPr>
            </w:pPr>
            <w:r>
              <w:rPr>
                <w:rFonts w:hint="eastAsia"/>
              </w:rPr>
              <w:t>404.17</w:t>
            </w:r>
          </w:p>
          <w:p w:rsidR="00000000" w:rsidRDefault="009C1C61">
            <w:pPr>
              <w:pStyle w:val="a2"/>
              <w:jc w:val="center"/>
              <w:rPr>
                <w:rFonts w:hint="eastAsia"/>
              </w:rPr>
            </w:pPr>
            <w:r>
              <w:rPr>
                <w:rFonts w:hint="eastAsia"/>
              </w:rPr>
              <w:t>420.18</w:t>
            </w:r>
          </w:p>
          <w:p w:rsidR="00000000" w:rsidRDefault="009C1C61">
            <w:pPr>
              <w:pStyle w:val="a2"/>
              <w:jc w:val="center"/>
              <w:rPr>
                <w:rFonts w:hint="eastAsia"/>
              </w:rPr>
            </w:pPr>
            <w:r>
              <w:rPr>
                <w:rFonts w:hint="eastAsia"/>
              </w:rPr>
              <w:t>396.77</w:t>
            </w:r>
          </w:p>
          <w:p w:rsidR="00000000" w:rsidRDefault="009C1C61">
            <w:pPr>
              <w:pStyle w:val="a2"/>
              <w:jc w:val="center"/>
              <w:rPr>
                <w:rFonts w:hint="eastAsia"/>
              </w:rPr>
            </w:pPr>
            <w:r>
              <w:rPr>
                <w:rFonts w:hint="eastAsia"/>
              </w:rPr>
              <w:t>412.27</w:t>
            </w:r>
          </w:p>
          <w:p w:rsidR="00000000" w:rsidRDefault="009C1C61">
            <w:pPr>
              <w:pStyle w:val="a2"/>
              <w:jc w:val="center"/>
              <w:rPr>
                <w:rFonts w:hint="eastAsia"/>
              </w:rPr>
            </w:pPr>
            <w:r>
              <w:rPr>
                <w:rFonts w:hint="eastAsia"/>
              </w:rPr>
              <w:t>419.31</w:t>
            </w:r>
          </w:p>
          <w:p w:rsidR="00000000" w:rsidRDefault="009C1C61">
            <w:pPr>
              <w:pStyle w:val="a2"/>
              <w:jc w:val="center"/>
              <w:rPr>
                <w:rFonts w:hint="eastAsia"/>
              </w:rPr>
            </w:pPr>
            <w:r>
              <w:rPr>
                <w:rFonts w:hint="eastAsia"/>
              </w:rPr>
              <w:t>460.29</w:t>
            </w:r>
          </w:p>
          <w:p w:rsidR="00000000" w:rsidRDefault="009C1C61">
            <w:pPr>
              <w:pStyle w:val="a2"/>
              <w:jc w:val="center"/>
              <w:rPr>
                <w:rFonts w:hint="eastAsia"/>
              </w:rPr>
            </w:pPr>
            <w:r>
              <w:rPr>
                <w:rFonts w:hint="eastAsia"/>
              </w:rPr>
              <w:t>508.78</w:t>
            </w:r>
          </w:p>
          <w:p w:rsidR="00000000" w:rsidRDefault="009C1C61">
            <w:pPr>
              <w:pStyle w:val="a2"/>
              <w:jc w:val="center"/>
              <w:rPr>
                <w:rFonts w:hint="eastAsia"/>
              </w:rPr>
            </w:pPr>
            <w:r>
              <w:rPr>
                <w:rFonts w:hint="eastAsia"/>
              </w:rPr>
              <w:t>539.49</w:t>
            </w:r>
          </w:p>
          <w:p w:rsidR="00000000" w:rsidRDefault="009C1C61">
            <w:pPr>
              <w:pStyle w:val="a2"/>
              <w:jc w:val="center"/>
              <w:rPr>
                <w:rFonts w:hint="eastAsia"/>
              </w:rPr>
            </w:pPr>
            <w:r>
              <w:rPr>
                <w:rFonts w:hint="eastAsia"/>
              </w:rPr>
              <w:t>634.94</w:t>
            </w:r>
          </w:p>
          <w:p w:rsidR="00000000" w:rsidRDefault="009C1C61">
            <w:pPr>
              <w:pStyle w:val="a2"/>
              <w:jc w:val="center"/>
              <w:rPr>
                <w:rFonts w:hint="eastAsia"/>
              </w:rPr>
            </w:pPr>
            <w:r>
              <w:rPr>
                <w:rFonts w:hint="eastAsia"/>
              </w:rPr>
              <w:t>688.94</w:t>
            </w:r>
          </w:p>
        </w:tc>
      </w:tr>
    </w:tbl>
    <w:p w:rsidR="00000000" w:rsidRDefault="009C1C61">
      <w:pPr>
        <w:spacing w:before="360"/>
        <w:rPr>
          <w:rFonts w:hint="eastAsia"/>
        </w:rPr>
      </w:pPr>
      <w:r>
        <w:rPr>
          <w:rFonts w:hint="eastAsia"/>
        </w:rPr>
        <w:tab/>
        <w:t>(3)</w:t>
      </w:r>
      <w:r>
        <w:rPr>
          <w:rFonts w:hint="eastAsia"/>
        </w:rPr>
        <w:tab/>
      </w:r>
      <w:r>
        <w:rPr>
          <w:rFonts w:hint="eastAsia"/>
        </w:rPr>
        <w:t>在提到某一年的通膨单</w:t>
      </w:r>
      <w:r>
        <w:rPr>
          <w:rFonts w:hint="eastAsia"/>
        </w:rPr>
        <w:t>位时，按该年</w:t>
      </w:r>
      <w:r>
        <w:rPr>
          <w:rFonts w:hint="eastAsia"/>
        </w:rPr>
        <w:t>12</w:t>
      </w:r>
      <w:r>
        <w:rPr>
          <w:rFonts w:hint="eastAsia"/>
        </w:rPr>
        <w:t>月</w:t>
      </w:r>
      <w:r>
        <w:rPr>
          <w:rFonts w:hint="eastAsia"/>
        </w:rPr>
        <w:t>31</w:t>
      </w:r>
      <w:r>
        <w:rPr>
          <w:rFonts w:hint="eastAsia"/>
        </w:rPr>
        <w:t>日的比索换算，然后按该月的平均汇率转换成美圆；</w:t>
      </w:r>
    </w:p>
    <w:p w:rsidR="00000000" w:rsidRDefault="009C1C61">
      <w:r>
        <w:rPr>
          <w:rFonts w:hint="eastAsia"/>
        </w:rPr>
        <w:tab/>
        <w:t>(4)</w:t>
      </w:r>
      <w:r>
        <w:rPr>
          <w:rFonts w:hint="eastAsia"/>
        </w:rPr>
        <w:tab/>
      </w:r>
      <w:r>
        <w:rPr>
          <w:rFonts w:hint="eastAsia"/>
        </w:rPr>
        <w:t>目前的数据使用的是</w:t>
      </w:r>
      <w:r>
        <w:rPr>
          <w:rFonts w:hint="eastAsia"/>
        </w:rPr>
        <w:t>2002</w:t>
      </w:r>
      <w:r>
        <w:rPr>
          <w:rFonts w:hint="eastAsia"/>
        </w:rPr>
        <w:t>年</w:t>
      </w:r>
      <w:r>
        <w:rPr>
          <w:rFonts w:hint="eastAsia"/>
        </w:rPr>
        <w:t>12</w:t>
      </w:r>
      <w:r>
        <w:rPr>
          <w:rFonts w:hint="eastAsia"/>
        </w:rPr>
        <w:t>月</w:t>
      </w:r>
      <w:r>
        <w:rPr>
          <w:rFonts w:hint="eastAsia"/>
        </w:rPr>
        <w:t>31</w:t>
      </w:r>
      <w:r>
        <w:rPr>
          <w:rFonts w:hint="eastAsia"/>
        </w:rPr>
        <w:t>日的通膨单位值和该月的平均汇率。</w:t>
      </w:r>
    </w:p>
    <w:p w:rsidR="00000000" w:rsidRDefault="009C1C61">
      <w:pPr>
        <w:pStyle w:val="Heading2"/>
        <w:rPr>
          <w:rFonts w:ascii="Time New Roman" w:eastAsia="SimHei" w:hAnsi="Time New Roman" w:hint="eastAsia"/>
        </w:rPr>
      </w:pPr>
      <w:r>
        <w:br w:type="page"/>
      </w:r>
      <w:r>
        <w:rPr>
          <w:rFonts w:ascii="Time New Roman" w:eastAsia="SimHei" w:hAnsi="Time New Roman" w:hint="eastAsia"/>
        </w:rPr>
        <w:t>导</w:t>
      </w:r>
      <w:r>
        <w:rPr>
          <w:rFonts w:ascii="Time New Roman" w:eastAsia="SimHei" w:hAnsi="Time New Roman" w:hint="eastAsia"/>
        </w:rPr>
        <w:t xml:space="preserve">  </w:t>
      </w:r>
      <w:r>
        <w:rPr>
          <w:rFonts w:ascii="Time New Roman" w:eastAsia="SimHei" w:hAnsi="Time New Roman" w:hint="eastAsia"/>
        </w:rPr>
        <w:t>言</w:t>
      </w:r>
    </w:p>
    <w:p w:rsidR="00000000" w:rsidRDefault="009C1C61">
      <w:pPr>
        <w:rPr>
          <w:rFonts w:hint="eastAsia"/>
        </w:rPr>
      </w:pPr>
      <w:r>
        <w:rPr>
          <w:rFonts w:hint="eastAsia"/>
        </w:rPr>
        <w:tab/>
        <w:t xml:space="preserve">1.  </w:t>
      </w:r>
      <w:r>
        <w:rPr>
          <w:rFonts w:hint="eastAsia"/>
        </w:rPr>
        <w:t>国际社会知道，智利在</w:t>
      </w:r>
      <w:r>
        <w:rPr>
          <w:rFonts w:hint="eastAsia"/>
        </w:rPr>
        <w:t>1990</w:t>
      </w:r>
      <w:r>
        <w:rPr>
          <w:rFonts w:hint="eastAsia"/>
        </w:rPr>
        <w:t>年代初开始进行迈向民主的最重要的进程，这是智利最近</w:t>
      </w:r>
      <w:r>
        <w:rPr>
          <w:rFonts w:hint="eastAsia"/>
        </w:rPr>
        <w:t>30</w:t>
      </w:r>
      <w:r>
        <w:rPr>
          <w:rFonts w:hint="eastAsia"/>
        </w:rPr>
        <w:t>年来的社会经济史上的一件大事。</w:t>
      </w:r>
      <w:r>
        <w:rPr>
          <w:rFonts w:hint="eastAsia"/>
        </w:rPr>
        <w:t>1989</w:t>
      </w:r>
      <w:r>
        <w:rPr>
          <w:rFonts w:hint="eastAsia"/>
        </w:rPr>
        <w:t>年</w:t>
      </w:r>
      <w:r>
        <w:rPr>
          <w:rFonts w:hint="eastAsia"/>
        </w:rPr>
        <w:t>12</w:t>
      </w:r>
      <w:r>
        <w:rPr>
          <w:rFonts w:hint="eastAsia"/>
        </w:rPr>
        <w:t>月</w:t>
      </w:r>
      <w:r>
        <w:rPr>
          <w:rFonts w:hint="eastAsia"/>
        </w:rPr>
        <w:t>14</w:t>
      </w:r>
      <w:r>
        <w:rPr>
          <w:rFonts w:hint="eastAsia"/>
        </w:rPr>
        <w:t>日举行了</w:t>
      </w:r>
      <w:r>
        <w:rPr>
          <w:rFonts w:hint="eastAsia"/>
        </w:rPr>
        <w:t>19</w:t>
      </w:r>
      <w:r>
        <w:rPr>
          <w:rFonts w:hint="eastAsia"/>
        </w:rPr>
        <w:t>年来的第一次共和国总统选举和</w:t>
      </w:r>
      <w:r>
        <w:rPr>
          <w:rFonts w:hint="eastAsia"/>
        </w:rPr>
        <w:t>16</w:t>
      </w:r>
      <w:r>
        <w:rPr>
          <w:rFonts w:hint="eastAsia"/>
        </w:rPr>
        <w:t>年来的第一次国民议会议员选举。在</w:t>
      </w:r>
      <w:r>
        <w:rPr>
          <w:rFonts w:hint="eastAsia"/>
        </w:rPr>
        <w:t>1990</w:t>
      </w:r>
      <w:r>
        <w:rPr>
          <w:rFonts w:hint="eastAsia"/>
        </w:rPr>
        <w:t>年代争取民主党联盟巩固了其政治地位，迄今已连续三届组成联合政府。</w:t>
      </w:r>
    </w:p>
    <w:p w:rsidR="00000000" w:rsidRDefault="009C1C61">
      <w:pPr>
        <w:rPr>
          <w:rFonts w:hint="eastAsia"/>
        </w:rPr>
      </w:pPr>
      <w:r>
        <w:rPr>
          <w:rFonts w:hint="eastAsia"/>
        </w:rPr>
        <w:tab/>
        <w:t xml:space="preserve">2.  </w:t>
      </w:r>
      <w:r>
        <w:rPr>
          <w:rFonts w:hint="eastAsia"/>
        </w:rPr>
        <w:t>第一届联合政府于</w:t>
      </w:r>
      <w:r>
        <w:rPr>
          <w:rFonts w:hint="eastAsia"/>
        </w:rPr>
        <w:t>1990</w:t>
      </w:r>
      <w:r>
        <w:rPr>
          <w:rFonts w:hint="eastAsia"/>
        </w:rPr>
        <w:t>年</w:t>
      </w:r>
      <w:r>
        <w:rPr>
          <w:rFonts w:hint="eastAsia"/>
        </w:rPr>
        <w:t>3</w:t>
      </w:r>
      <w:r>
        <w:rPr>
          <w:rFonts w:hint="eastAsia"/>
        </w:rPr>
        <w:t>月</w:t>
      </w:r>
      <w:r>
        <w:rPr>
          <w:rFonts w:hint="eastAsia"/>
        </w:rPr>
        <w:t>11</w:t>
      </w:r>
      <w:r>
        <w:rPr>
          <w:rFonts w:hint="eastAsia"/>
        </w:rPr>
        <w:t>日就职。共和</w:t>
      </w:r>
      <w:r>
        <w:rPr>
          <w:rFonts w:hint="eastAsia"/>
        </w:rPr>
        <w:t>国总统是</w:t>
      </w:r>
      <w:r>
        <w:t xml:space="preserve">Patricio Aylwin Azócar, </w:t>
      </w:r>
      <w:r>
        <w:rPr>
          <w:rFonts w:hint="eastAsia"/>
        </w:rPr>
        <w:t>他是在选举中得票</w:t>
      </w:r>
      <w:r>
        <w:rPr>
          <w:rFonts w:hint="eastAsia"/>
        </w:rPr>
        <w:t>53.79%</w:t>
      </w:r>
      <w:r>
        <w:rPr>
          <w:rFonts w:hint="eastAsia"/>
        </w:rPr>
        <w:t>当选，该次弃权未投票者为数不多</w:t>
      </w:r>
      <w:r>
        <w:rPr>
          <w:rFonts w:hint="eastAsia"/>
        </w:rPr>
        <w:t>(5.30%)</w:t>
      </w:r>
      <w:r>
        <w:rPr>
          <w:rFonts w:hint="eastAsia"/>
        </w:rPr>
        <w:t>。在同一天，国民议会开始运作，争取民主党联盟在参议院选举中得票</w:t>
      </w:r>
      <w:r>
        <w:rPr>
          <w:rFonts w:hint="eastAsia"/>
        </w:rPr>
        <w:t>50.83%</w:t>
      </w:r>
      <w:r>
        <w:rPr>
          <w:rFonts w:hint="eastAsia"/>
        </w:rPr>
        <w:t>，在众议院中得票数为</w:t>
      </w:r>
      <w:r>
        <w:rPr>
          <w:rFonts w:hint="eastAsia"/>
        </w:rPr>
        <w:t>50.55%</w:t>
      </w:r>
      <w:r>
        <w:rPr>
          <w:rFonts w:hint="eastAsia"/>
        </w:rPr>
        <w:t>。在</w:t>
      </w:r>
      <w:r>
        <w:t>Aylwin</w:t>
      </w:r>
      <w:r>
        <w:rPr>
          <w:rFonts w:hint="eastAsia"/>
        </w:rPr>
        <w:t>总统任期内，由于政府进行了改革，终于在</w:t>
      </w:r>
      <w:r>
        <w:rPr>
          <w:rFonts w:hint="eastAsia"/>
        </w:rPr>
        <w:t>1992</w:t>
      </w:r>
      <w:r>
        <w:rPr>
          <w:rFonts w:hint="eastAsia"/>
        </w:rPr>
        <w:t>年</w:t>
      </w:r>
      <w:r>
        <w:rPr>
          <w:rFonts w:hint="eastAsia"/>
        </w:rPr>
        <w:t>6</w:t>
      </w:r>
      <w:r>
        <w:rPr>
          <w:rFonts w:hint="eastAsia"/>
        </w:rPr>
        <w:t>月</w:t>
      </w:r>
      <w:r>
        <w:rPr>
          <w:rFonts w:hint="eastAsia"/>
        </w:rPr>
        <w:t>28</w:t>
      </w:r>
      <w:r>
        <w:rPr>
          <w:rFonts w:hint="eastAsia"/>
        </w:rPr>
        <w:t>日举行了</w:t>
      </w:r>
      <w:r>
        <w:rPr>
          <w:rFonts w:hint="eastAsia"/>
        </w:rPr>
        <w:t>21</w:t>
      </w:r>
      <w:r>
        <w:rPr>
          <w:rFonts w:hint="eastAsia"/>
        </w:rPr>
        <w:t>年来的第一次地方选举。</w:t>
      </w:r>
    </w:p>
    <w:p w:rsidR="00000000" w:rsidRDefault="009C1C61">
      <w:pPr>
        <w:rPr>
          <w:rFonts w:hint="eastAsia"/>
        </w:rPr>
      </w:pPr>
      <w:r>
        <w:rPr>
          <w:rFonts w:hint="eastAsia"/>
        </w:rPr>
        <w:tab/>
        <w:t xml:space="preserve">3.  </w:t>
      </w:r>
      <w:r>
        <w:t>Aylwin</w:t>
      </w:r>
      <w:r>
        <w:rPr>
          <w:rFonts w:hint="eastAsia"/>
        </w:rPr>
        <w:t>政府之后的政府为</w:t>
      </w:r>
      <w:r>
        <w:t>Ricardo Frei Ruíz-Tagle</w:t>
      </w:r>
      <w:r>
        <w:rPr>
          <w:rFonts w:hint="eastAsia"/>
        </w:rPr>
        <w:t>总统组成的政府以及目前由</w:t>
      </w:r>
      <w:r>
        <w:t>Ricardo Lagos Escobar</w:t>
      </w:r>
      <w:r>
        <w:rPr>
          <w:rFonts w:hint="eastAsia"/>
        </w:rPr>
        <w:t>总统组成的政府，他的</w:t>
      </w:r>
      <w:r>
        <w:rPr>
          <w:rFonts w:hint="eastAsia"/>
        </w:rPr>
        <w:t>任期为</w:t>
      </w:r>
      <w:r>
        <w:rPr>
          <w:rFonts w:hint="eastAsia"/>
        </w:rPr>
        <w:t>2000</w:t>
      </w:r>
      <w:r>
        <w:rPr>
          <w:rFonts w:hint="eastAsia"/>
        </w:rPr>
        <w:t>至</w:t>
      </w:r>
      <w:r>
        <w:rPr>
          <w:rFonts w:hint="eastAsia"/>
        </w:rPr>
        <w:t>2006</w:t>
      </w:r>
      <w:r>
        <w:rPr>
          <w:rFonts w:hint="eastAsia"/>
        </w:rPr>
        <w:t>年；他们均是按《宪法》规定方式当选的，任期六年。</w:t>
      </w:r>
    </w:p>
    <w:p w:rsidR="00000000" w:rsidRDefault="009C1C61">
      <w:pPr>
        <w:rPr>
          <w:rFonts w:hint="eastAsia"/>
        </w:rPr>
      </w:pPr>
      <w:r>
        <w:rPr>
          <w:rFonts w:hint="eastAsia"/>
        </w:rPr>
        <w:tab/>
        <w:t xml:space="preserve">4.  </w:t>
      </w:r>
      <w:r>
        <w:rPr>
          <w:rFonts w:hint="eastAsia"/>
        </w:rPr>
        <w:t>智利从</w:t>
      </w:r>
      <w:r>
        <w:rPr>
          <w:rFonts w:hint="eastAsia"/>
        </w:rPr>
        <w:t>1980</w:t>
      </w:r>
      <w:r>
        <w:rPr>
          <w:rFonts w:hint="eastAsia"/>
        </w:rPr>
        <w:t>年代起即对社会保险、教育和卫生等领域的体制进行改革，因此在国际上获得好评。这些变革已扩展到广大领域，对公共政策的制订和执行方法产生了直接影响。尤其是，在恢复民主后，国家改变了治理这些领域的方针，这就意味着负责社会和经济政策的公共机构的结构和运作方式均已发生了重大的变化。</w:t>
      </w:r>
    </w:p>
    <w:p w:rsidR="00000000" w:rsidRDefault="009C1C61">
      <w:pPr>
        <w:rPr>
          <w:rFonts w:hint="eastAsia"/>
        </w:rPr>
      </w:pPr>
      <w:r>
        <w:rPr>
          <w:rFonts w:hint="eastAsia"/>
        </w:rPr>
        <w:tab/>
        <w:t xml:space="preserve">5.  </w:t>
      </w:r>
      <w:r>
        <w:rPr>
          <w:rFonts w:hint="eastAsia"/>
        </w:rPr>
        <w:t>与该地区</w:t>
      </w:r>
      <w:r>
        <w:rPr>
          <w:rFonts w:hint="eastAsia"/>
        </w:rPr>
        <w:t>1980</w:t>
      </w:r>
      <w:r>
        <w:rPr>
          <w:rFonts w:hint="eastAsia"/>
        </w:rPr>
        <w:t>年代在结构调整框架内进行的社会改革不同，执政联盟进行的社会政策变革是结合一个发展模式实现的，该模式设法促成经济增长和</w:t>
      </w:r>
      <w:r>
        <w:rPr>
          <w:rFonts w:hint="eastAsia"/>
        </w:rPr>
        <w:t>社会正义的有效结合。这就得以通过较高的投资来扩大普遍社会服务，大幅度地恢复前十年降低了的生活水平。</w:t>
      </w:r>
    </w:p>
    <w:p w:rsidR="00000000" w:rsidRDefault="009C1C61">
      <w:pPr>
        <w:rPr>
          <w:rFonts w:hint="eastAsia"/>
        </w:rPr>
      </w:pPr>
      <w:r>
        <w:rPr>
          <w:rFonts w:hint="eastAsia"/>
        </w:rPr>
        <w:tab/>
        <w:t xml:space="preserve">6.  </w:t>
      </w:r>
      <w:r>
        <w:rPr>
          <w:rFonts w:hint="eastAsia"/>
        </w:rPr>
        <w:t>目前若干领域的人口福利指标是令人满意的。从基本社会服务的覆盖率平均水平来看，智利已跻身中等发展水平的国家，即其生活水平明显高于贫困国家的生活水平，但如与发达国家的指标相比仍然相差很大。</w:t>
      </w:r>
    </w:p>
    <w:p w:rsidR="00000000" w:rsidRDefault="009C1C61">
      <w:pPr>
        <w:rPr>
          <w:rFonts w:hint="eastAsia"/>
        </w:rPr>
      </w:pPr>
      <w:r>
        <w:rPr>
          <w:rFonts w:hint="eastAsia"/>
        </w:rPr>
        <w:tab/>
        <w:t xml:space="preserve">7.  </w:t>
      </w:r>
      <w:r>
        <w:rPr>
          <w:rFonts w:hint="eastAsia"/>
        </w:rPr>
        <w:t>智利是一个资源雄厚的国家，主要通过出口原料，如铜、木材和渔业产品。原料是国内生产总值</w:t>
      </w:r>
      <w:r>
        <w:rPr>
          <w:rFonts w:hint="eastAsia"/>
        </w:rPr>
        <w:t>(</w:t>
      </w:r>
      <w:r>
        <w:rPr>
          <w:rFonts w:hint="eastAsia"/>
        </w:rPr>
        <w:t>内产总值</w:t>
      </w:r>
      <w:r>
        <w:rPr>
          <w:rFonts w:hint="eastAsia"/>
        </w:rPr>
        <w:t>)</w:t>
      </w:r>
      <w:r>
        <w:rPr>
          <w:rFonts w:hint="eastAsia"/>
        </w:rPr>
        <w:t>的一个极其重要的元素。即使如此，收入分配数字显示若干不正常现象和不公平现象，尤其是就贫困持续存在的问题而言。尽</w:t>
      </w:r>
      <w:r>
        <w:rPr>
          <w:rFonts w:hint="eastAsia"/>
        </w:rPr>
        <w:t>管穷人的比例已跌至</w:t>
      </w:r>
      <w:r>
        <w:rPr>
          <w:rFonts w:hint="eastAsia"/>
        </w:rPr>
        <w:t>20%</w:t>
      </w:r>
      <w:r>
        <w:rPr>
          <w:rFonts w:hint="eastAsia"/>
        </w:rPr>
        <w:t>以下，但仍有些关键群体</w:t>
      </w:r>
      <w:r>
        <w:rPr>
          <w:rFonts w:hint="eastAsia"/>
        </w:rPr>
        <w:t>(</w:t>
      </w:r>
      <w:r>
        <w:rPr>
          <w:rFonts w:hint="eastAsia"/>
        </w:rPr>
        <w:t>如生活在极端贫困线下的群体</w:t>
      </w:r>
      <w:r>
        <w:rPr>
          <w:rFonts w:hint="eastAsia"/>
        </w:rPr>
        <w:t>)</w:t>
      </w:r>
      <w:r>
        <w:rPr>
          <w:rFonts w:hint="eastAsia"/>
        </w:rPr>
        <w:t>的境况的改善进度较为缓慢。</w:t>
      </w:r>
    </w:p>
    <w:p w:rsidR="00000000" w:rsidRDefault="009C1C61">
      <w:pPr>
        <w:rPr>
          <w:rFonts w:hint="eastAsia"/>
        </w:rPr>
      </w:pPr>
      <w:r>
        <w:rPr>
          <w:rFonts w:hint="eastAsia"/>
        </w:rPr>
        <w:tab/>
        <w:t xml:space="preserve">8.  </w:t>
      </w:r>
      <w:r>
        <w:rPr>
          <w:rFonts w:hint="eastAsia"/>
        </w:rPr>
        <w:t>在</w:t>
      </w:r>
      <w:r>
        <w:rPr>
          <w:rFonts w:hint="eastAsia"/>
        </w:rPr>
        <w:t>1990</w:t>
      </w:r>
      <w:r>
        <w:rPr>
          <w:rFonts w:hint="eastAsia"/>
        </w:rPr>
        <w:t>年代，智利的经济增长相对较为稳定，并日益融入世界经济。经济的持续增长使得人均收入大增。</w:t>
      </w:r>
      <w:r>
        <w:rPr>
          <w:rFonts w:hint="eastAsia"/>
        </w:rPr>
        <w:t>1999</w:t>
      </w:r>
      <w:r>
        <w:rPr>
          <w:rFonts w:hint="eastAsia"/>
        </w:rPr>
        <w:t>年因国际危机和实施严格的国内开支调整政策打断了经济增长，但</w:t>
      </w:r>
      <w:r>
        <w:rPr>
          <w:rFonts w:hint="eastAsia"/>
        </w:rPr>
        <w:t>2000</w:t>
      </w:r>
      <w:r>
        <w:rPr>
          <w:rFonts w:hint="eastAsia"/>
        </w:rPr>
        <w:t>年经济再度出现增长，该年的增长率达</w:t>
      </w:r>
      <w:r>
        <w:rPr>
          <w:rFonts w:hint="eastAsia"/>
        </w:rPr>
        <w:t>5.4%</w:t>
      </w:r>
      <w:r>
        <w:rPr>
          <w:rFonts w:hint="eastAsia"/>
        </w:rPr>
        <w:t>。</w:t>
      </w:r>
    </w:p>
    <w:p w:rsidR="00000000" w:rsidRDefault="009C1C61">
      <w:pPr>
        <w:rPr>
          <w:rFonts w:hint="eastAsia"/>
        </w:rPr>
      </w:pPr>
      <w:r>
        <w:rPr>
          <w:rFonts w:hint="eastAsia"/>
        </w:rPr>
        <w:tab/>
        <w:t>9. 1990</w:t>
      </w:r>
      <w:r>
        <w:rPr>
          <w:rFonts w:hint="eastAsia"/>
        </w:rPr>
        <w:t>年至</w:t>
      </w:r>
      <w:r>
        <w:rPr>
          <w:rFonts w:hint="eastAsia"/>
        </w:rPr>
        <w:t>2000</w:t>
      </w:r>
      <w:r>
        <w:rPr>
          <w:rFonts w:hint="eastAsia"/>
        </w:rPr>
        <w:t>年期间，经济年平均增长率达</w:t>
      </w:r>
      <w:r>
        <w:rPr>
          <w:rFonts w:hint="eastAsia"/>
        </w:rPr>
        <w:t>6.3%</w:t>
      </w:r>
      <w:r>
        <w:rPr>
          <w:rFonts w:hint="eastAsia"/>
        </w:rPr>
        <w:t>；</w:t>
      </w:r>
      <w:r>
        <w:rPr>
          <w:rFonts w:hint="eastAsia"/>
        </w:rPr>
        <w:t>1989</w:t>
      </w:r>
      <w:r>
        <w:rPr>
          <w:rFonts w:hint="eastAsia"/>
        </w:rPr>
        <w:t>年至</w:t>
      </w:r>
      <w:r>
        <w:rPr>
          <w:rFonts w:hint="eastAsia"/>
        </w:rPr>
        <w:t>2000</w:t>
      </w:r>
      <w:r>
        <w:rPr>
          <w:rFonts w:hint="eastAsia"/>
        </w:rPr>
        <w:t>年期间总共取得了</w:t>
      </w:r>
      <w:r>
        <w:rPr>
          <w:rFonts w:hint="eastAsia"/>
        </w:rPr>
        <w:t>96.4%</w:t>
      </w:r>
      <w:r>
        <w:rPr>
          <w:rFonts w:hint="eastAsia"/>
        </w:rPr>
        <w:t>的增长率。</w:t>
      </w:r>
      <w:r>
        <w:rPr>
          <w:rFonts w:hint="eastAsia"/>
        </w:rPr>
        <w:t>2000</w:t>
      </w:r>
      <w:r>
        <w:rPr>
          <w:rFonts w:hint="eastAsia"/>
        </w:rPr>
        <w:t>年的国内总产值为</w:t>
      </w:r>
      <w:r>
        <w:rPr>
          <w:rFonts w:hint="eastAsia"/>
        </w:rPr>
        <w:t>700.19</w:t>
      </w:r>
      <w:r>
        <w:rPr>
          <w:rFonts w:hint="eastAsia"/>
        </w:rPr>
        <w:t>亿美元。经济稳定的扩展意味</w:t>
      </w:r>
      <w:r>
        <w:rPr>
          <w:rFonts w:hint="eastAsia"/>
        </w:rPr>
        <w:t>着</w:t>
      </w:r>
      <w:r>
        <w:rPr>
          <w:rFonts w:hint="eastAsia"/>
        </w:rPr>
        <w:t>1989</w:t>
      </w:r>
      <w:r>
        <w:rPr>
          <w:rFonts w:hint="eastAsia"/>
        </w:rPr>
        <w:t>年至</w:t>
      </w:r>
      <w:r>
        <w:rPr>
          <w:rFonts w:hint="eastAsia"/>
        </w:rPr>
        <w:t>2000</w:t>
      </w:r>
      <w:r>
        <w:rPr>
          <w:rFonts w:hint="eastAsia"/>
        </w:rPr>
        <w:t>年期间人均收入增加了</w:t>
      </w:r>
      <w:r>
        <w:rPr>
          <w:rFonts w:hint="eastAsia"/>
        </w:rPr>
        <w:t>66.3%</w:t>
      </w:r>
      <w:r>
        <w:rPr>
          <w:rFonts w:hint="eastAsia"/>
        </w:rPr>
        <w:t>。</w:t>
      </w:r>
      <w:r>
        <w:rPr>
          <w:rFonts w:hint="eastAsia"/>
        </w:rPr>
        <w:t xml:space="preserve"> 2000</w:t>
      </w:r>
      <w:r>
        <w:rPr>
          <w:rFonts w:hint="eastAsia"/>
        </w:rPr>
        <w:t>年的人均收入达</w:t>
      </w:r>
      <w:r>
        <w:rPr>
          <w:rFonts w:hint="eastAsia"/>
        </w:rPr>
        <w:t>4,603</w:t>
      </w:r>
      <w:r>
        <w:rPr>
          <w:rFonts w:hint="eastAsia"/>
        </w:rPr>
        <w:t>美元。</w:t>
      </w:r>
    </w:p>
    <w:p w:rsidR="00000000" w:rsidRDefault="009C1C61">
      <w:pPr>
        <w:rPr>
          <w:rFonts w:hint="eastAsia"/>
        </w:rPr>
      </w:pPr>
      <w:r>
        <w:rPr>
          <w:rFonts w:hint="eastAsia"/>
        </w:rPr>
        <w:tab/>
        <w:t xml:space="preserve">10.  </w:t>
      </w:r>
      <w:r>
        <w:rPr>
          <w:rFonts w:hint="eastAsia"/>
        </w:rPr>
        <w:t>经济直至</w:t>
      </w:r>
      <w:r>
        <w:rPr>
          <w:rFonts w:hint="eastAsia"/>
        </w:rPr>
        <w:t>1998</w:t>
      </w:r>
      <w:r>
        <w:rPr>
          <w:rFonts w:hint="eastAsia"/>
        </w:rPr>
        <w:t>年的持续增长也表现于就业的创造；既表现于失业率降低，也表现于就业质量的提高。</w:t>
      </w:r>
      <w:r>
        <w:rPr>
          <w:rFonts w:hint="eastAsia"/>
        </w:rPr>
        <w:t>1999</w:t>
      </w:r>
      <w:r>
        <w:rPr>
          <w:rFonts w:hint="eastAsia"/>
        </w:rPr>
        <w:t>年增长中断造成失业率上升，但在</w:t>
      </w:r>
      <w:r>
        <w:rPr>
          <w:rFonts w:hint="eastAsia"/>
        </w:rPr>
        <w:t>2000</w:t>
      </w:r>
      <w:r>
        <w:rPr>
          <w:rFonts w:hint="eastAsia"/>
        </w:rPr>
        <w:t>年失业被部分吸收，该年的国内总产值增长了</w:t>
      </w:r>
      <w:r>
        <w:rPr>
          <w:rFonts w:hint="eastAsia"/>
        </w:rPr>
        <w:t>5.4%</w:t>
      </w:r>
      <w:r>
        <w:rPr>
          <w:rFonts w:hint="eastAsia"/>
        </w:rPr>
        <w:t>。自</w:t>
      </w:r>
      <w:r>
        <w:rPr>
          <w:rFonts w:hint="eastAsia"/>
        </w:rPr>
        <w:t>1990</w:t>
      </w:r>
      <w:r>
        <w:rPr>
          <w:rFonts w:hint="eastAsia"/>
        </w:rPr>
        <w:t>年以来，工资尤其是最低工资已逐渐回升。</w:t>
      </w:r>
    </w:p>
    <w:p w:rsidR="00000000" w:rsidRDefault="009C1C61">
      <w:pPr>
        <w:rPr>
          <w:rFonts w:hint="eastAsia"/>
        </w:rPr>
      </w:pPr>
      <w:r>
        <w:rPr>
          <w:rFonts w:hint="eastAsia"/>
        </w:rPr>
        <w:tab/>
        <w:t>11.  1990</w:t>
      </w:r>
      <w:r>
        <w:rPr>
          <w:rFonts w:hint="eastAsia"/>
        </w:rPr>
        <w:t>至</w:t>
      </w:r>
      <w:r>
        <w:rPr>
          <w:rFonts w:hint="eastAsia"/>
        </w:rPr>
        <w:t>1999</w:t>
      </w:r>
      <w:r>
        <w:rPr>
          <w:rFonts w:hint="eastAsia"/>
        </w:rPr>
        <w:t>年期间，年平均劳动力增长率为</w:t>
      </w:r>
      <w:r>
        <w:rPr>
          <w:rFonts w:hint="eastAsia"/>
        </w:rPr>
        <w:t>2%</w:t>
      </w:r>
      <w:r>
        <w:rPr>
          <w:rFonts w:hint="eastAsia"/>
        </w:rPr>
        <w:t>。增长于</w:t>
      </w:r>
      <w:r>
        <w:rPr>
          <w:rFonts w:hint="eastAsia"/>
        </w:rPr>
        <w:t>2000</w:t>
      </w:r>
      <w:r>
        <w:rPr>
          <w:rFonts w:hint="eastAsia"/>
        </w:rPr>
        <w:t>年中断，该年劳动力缩减了</w:t>
      </w:r>
      <w:r>
        <w:rPr>
          <w:rFonts w:hint="eastAsia"/>
        </w:rPr>
        <w:t>1%</w:t>
      </w:r>
      <w:r>
        <w:rPr>
          <w:rFonts w:hint="eastAsia"/>
        </w:rPr>
        <w:t>。</w:t>
      </w:r>
      <w:r>
        <w:rPr>
          <w:rFonts w:hint="eastAsia"/>
        </w:rPr>
        <w:t>1990</w:t>
      </w:r>
      <w:r>
        <w:rPr>
          <w:rFonts w:hint="eastAsia"/>
        </w:rPr>
        <w:t>至</w:t>
      </w:r>
      <w:r>
        <w:rPr>
          <w:rFonts w:hint="eastAsia"/>
        </w:rPr>
        <w:t>2000</w:t>
      </w:r>
      <w:r>
        <w:rPr>
          <w:rFonts w:hint="eastAsia"/>
        </w:rPr>
        <w:t>年期间创造</w:t>
      </w:r>
      <w:r>
        <w:rPr>
          <w:rFonts w:hint="eastAsia"/>
        </w:rPr>
        <w:t>918,000</w:t>
      </w:r>
      <w:r>
        <w:rPr>
          <w:rFonts w:hint="eastAsia"/>
        </w:rPr>
        <w:t>个就业机会。</w:t>
      </w:r>
      <w:r>
        <w:rPr>
          <w:rFonts w:hint="eastAsia"/>
        </w:rPr>
        <w:t>19</w:t>
      </w:r>
      <w:r>
        <w:rPr>
          <w:rFonts w:hint="eastAsia"/>
        </w:rPr>
        <w:t>90</w:t>
      </w:r>
      <w:r>
        <w:rPr>
          <w:rFonts w:hint="eastAsia"/>
        </w:rPr>
        <w:t>至</w:t>
      </w:r>
      <w:r>
        <w:rPr>
          <w:rFonts w:hint="eastAsia"/>
        </w:rPr>
        <w:t>1998</w:t>
      </w:r>
      <w:r>
        <w:rPr>
          <w:rFonts w:hint="eastAsia"/>
        </w:rPr>
        <w:t>年，年平均就业增长率为</w:t>
      </w:r>
      <w:r>
        <w:rPr>
          <w:rFonts w:hint="eastAsia"/>
        </w:rPr>
        <w:t>2.1%</w:t>
      </w:r>
      <w:r>
        <w:rPr>
          <w:rFonts w:hint="eastAsia"/>
        </w:rPr>
        <w:t>。这一趋势在</w:t>
      </w:r>
      <w:r>
        <w:rPr>
          <w:rFonts w:hint="eastAsia"/>
        </w:rPr>
        <w:t>1999</w:t>
      </w:r>
      <w:r>
        <w:rPr>
          <w:rFonts w:hint="eastAsia"/>
        </w:rPr>
        <w:t>年和</w:t>
      </w:r>
      <w:r>
        <w:rPr>
          <w:rFonts w:hint="eastAsia"/>
        </w:rPr>
        <w:t>2000</w:t>
      </w:r>
      <w:r>
        <w:rPr>
          <w:rFonts w:hint="eastAsia"/>
        </w:rPr>
        <w:t>年中断，这两年的就业率分别下跌</w:t>
      </w:r>
      <w:r>
        <w:rPr>
          <w:rFonts w:hint="eastAsia"/>
        </w:rPr>
        <w:t>0.5%</w:t>
      </w:r>
      <w:r>
        <w:rPr>
          <w:rFonts w:hint="eastAsia"/>
        </w:rPr>
        <w:t>和</w:t>
      </w:r>
      <w:r>
        <w:rPr>
          <w:rFonts w:hint="eastAsia"/>
        </w:rPr>
        <w:t>0.4%</w:t>
      </w:r>
      <w:r>
        <w:rPr>
          <w:rFonts w:hint="eastAsia"/>
        </w:rPr>
        <w:t>。</w:t>
      </w:r>
      <w:r>
        <w:rPr>
          <w:rFonts w:hint="eastAsia"/>
        </w:rPr>
        <w:t xml:space="preserve"> 1990</w:t>
      </w:r>
      <w:r>
        <w:rPr>
          <w:rFonts w:hint="eastAsia"/>
        </w:rPr>
        <w:t>至</w:t>
      </w:r>
      <w:r>
        <w:rPr>
          <w:rFonts w:hint="eastAsia"/>
        </w:rPr>
        <w:t>2000</w:t>
      </w:r>
      <w:r>
        <w:rPr>
          <w:rFonts w:hint="eastAsia"/>
        </w:rPr>
        <w:t>年期间，失业率介于</w:t>
      </w:r>
      <w:r>
        <w:rPr>
          <w:rFonts w:hint="eastAsia"/>
        </w:rPr>
        <w:t>5.3%(1997</w:t>
      </w:r>
      <w:r>
        <w:rPr>
          <w:rFonts w:hint="eastAsia"/>
        </w:rPr>
        <w:t>年</w:t>
      </w:r>
      <w:r>
        <w:rPr>
          <w:rFonts w:hint="eastAsia"/>
        </w:rPr>
        <w:t>)</w:t>
      </w:r>
      <w:r>
        <w:rPr>
          <w:rFonts w:hint="eastAsia"/>
        </w:rPr>
        <w:t>与</w:t>
      </w:r>
      <w:r>
        <w:rPr>
          <w:rFonts w:hint="eastAsia"/>
        </w:rPr>
        <w:t>8.9%(1999</w:t>
      </w:r>
      <w:r>
        <w:rPr>
          <w:rFonts w:hint="eastAsia"/>
        </w:rPr>
        <w:t>年</w:t>
      </w:r>
      <w:r>
        <w:rPr>
          <w:rFonts w:hint="eastAsia"/>
        </w:rPr>
        <w:t>)</w:t>
      </w:r>
      <w:r>
        <w:rPr>
          <w:rFonts w:hint="eastAsia"/>
        </w:rPr>
        <w:t>之间；在此期间，女性的失业率一直高于男性的失业率。</w:t>
      </w:r>
      <w:r>
        <w:rPr>
          <w:rFonts w:hint="eastAsia"/>
        </w:rPr>
        <w:t>1989</w:t>
      </w:r>
      <w:r>
        <w:rPr>
          <w:rFonts w:hint="eastAsia"/>
        </w:rPr>
        <w:t>年至</w:t>
      </w:r>
      <w:r>
        <w:rPr>
          <w:rFonts w:hint="eastAsia"/>
        </w:rPr>
        <w:t>2000</w:t>
      </w:r>
      <w:r>
        <w:rPr>
          <w:rFonts w:hint="eastAsia"/>
        </w:rPr>
        <w:t>年期间，实际工资年平均增长率为</w:t>
      </w:r>
      <w:r>
        <w:rPr>
          <w:rFonts w:hint="eastAsia"/>
        </w:rPr>
        <w:t>3.6%</w:t>
      </w:r>
      <w:r>
        <w:rPr>
          <w:rFonts w:hint="eastAsia"/>
        </w:rPr>
        <w:t>，最低工资年平均增长率为</w:t>
      </w:r>
      <w:r>
        <w:rPr>
          <w:rFonts w:hint="eastAsia"/>
        </w:rPr>
        <w:t>5.8%</w:t>
      </w:r>
      <w:r>
        <w:rPr>
          <w:rFonts w:hint="eastAsia"/>
        </w:rPr>
        <w:t>。</w:t>
      </w:r>
    </w:p>
    <w:p w:rsidR="00000000" w:rsidRDefault="009C1C61">
      <w:pPr>
        <w:rPr>
          <w:rFonts w:hint="eastAsia"/>
        </w:rPr>
      </w:pPr>
      <w:r>
        <w:rPr>
          <w:rFonts w:hint="eastAsia"/>
        </w:rPr>
        <w:tab/>
        <w:t xml:space="preserve">12.  </w:t>
      </w:r>
      <w:r>
        <w:rPr>
          <w:rFonts w:hint="eastAsia"/>
        </w:rPr>
        <w:t>根据经济部门的预测，</w:t>
      </w:r>
      <w:r>
        <w:rPr>
          <w:rFonts w:hint="eastAsia"/>
        </w:rPr>
        <w:t>2003</w:t>
      </w:r>
      <w:r>
        <w:rPr>
          <w:rFonts w:hint="eastAsia"/>
        </w:rPr>
        <w:t>年国内生产总值增长前景为</w:t>
      </w:r>
      <w:r>
        <w:rPr>
          <w:rFonts w:hint="eastAsia"/>
        </w:rPr>
        <w:t>4.0%</w:t>
      </w:r>
      <w:r>
        <w:rPr>
          <w:rFonts w:hint="eastAsia"/>
        </w:rPr>
        <w:t>，至该年底的通货膨胀率为</w:t>
      </w:r>
      <w:r>
        <w:rPr>
          <w:rFonts w:hint="eastAsia"/>
        </w:rPr>
        <w:t>3%</w:t>
      </w:r>
      <w:r>
        <w:rPr>
          <w:rFonts w:hint="eastAsia"/>
        </w:rPr>
        <w:t>。国内需求预期会增长</w:t>
      </w:r>
      <w:r>
        <w:rPr>
          <w:rFonts w:hint="eastAsia"/>
        </w:rPr>
        <w:t>4.5%</w:t>
      </w:r>
      <w:r>
        <w:rPr>
          <w:rFonts w:hint="eastAsia"/>
        </w:rPr>
        <w:t>，部分原因是贸易条件稍有改善。</w:t>
      </w:r>
      <w:r>
        <w:rPr>
          <w:rFonts w:hint="eastAsia"/>
        </w:rPr>
        <w:t>预计经常帐户会出现赤字，但不大。</w:t>
      </w:r>
    </w:p>
    <w:p w:rsidR="00000000" w:rsidRDefault="009C1C61">
      <w:pPr>
        <w:rPr>
          <w:rFonts w:hint="eastAsia"/>
        </w:rPr>
      </w:pPr>
      <w:r>
        <w:rPr>
          <w:rFonts w:hint="eastAsia"/>
        </w:rPr>
        <w:tab/>
        <w:t>13.  2001</w:t>
      </w:r>
      <w:r>
        <w:rPr>
          <w:rFonts w:hint="eastAsia"/>
        </w:rPr>
        <w:t>至</w:t>
      </w:r>
      <w:r>
        <w:rPr>
          <w:rFonts w:hint="eastAsia"/>
        </w:rPr>
        <w:t>2003</w:t>
      </w:r>
      <w:r>
        <w:rPr>
          <w:rFonts w:hint="eastAsia"/>
        </w:rPr>
        <w:t>年期间，社会开支按实际值计算预期平均增长</w:t>
      </w:r>
      <w:r>
        <w:rPr>
          <w:rFonts w:hint="eastAsia"/>
        </w:rPr>
        <w:t>5.8%</w:t>
      </w:r>
      <w:r>
        <w:rPr>
          <w:rFonts w:hint="eastAsia"/>
        </w:rPr>
        <w:t>，公共投资开支则平均增长</w:t>
      </w:r>
      <w:r>
        <w:rPr>
          <w:rFonts w:hint="eastAsia"/>
        </w:rPr>
        <w:t>11.1%</w:t>
      </w:r>
      <w:r>
        <w:rPr>
          <w:rFonts w:hint="eastAsia"/>
        </w:rPr>
        <w:t>。后者高于</w:t>
      </w:r>
      <w:r>
        <w:rPr>
          <w:rFonts w:hint="eastAsia"/>
        </w:rPr>
        <w:t>1990</w:t>
      </w:r>
      <w:r>
        <w:rPr>
          <w:rFonts w:hint="eastAsia"/>
        </w:rPr>
        <w:t>年代的平均数，是通过尽力压缩其他部门的开支的惯性增长实现的，如业务开支和国防开支。事实上，历届执政联盟明确表示决心优先重视公平议程，其具体表现是增加社会投资，以扩大方案和服务的覆盖范围，并扩大提供的方案和服务，使之多样化。</w:t>
      </w:r>
    </w:p>
    <w:p w:rsidR="00000000" w:rsidRDefault="009C1C61">
      <w:pPr>
        <w:rPr>
          <w:rFonts w:hint="eastAsia"/>
        </w:rPr>
      </w:pPr>
      <w:r>
        <w:rPr>
          <w:rFonts w:hint="eastAsia"/>
        </w:rPr>
        <w:tab/>
        <w:t xml:space="preserve">14.  </w:t>
      </w:r>
      <w:r>
        <w:rPr>
          <w:rFonts w:hint="eastAsia"/>
        </w:rPr>
        <w:t>应指出，智利经济在</w:t>
      </w:r>
      <w:r>
        <w:rPr>
          <w:rFonts w:hint="eastAsia"/>
        </w:rPr>
        <w:t>2002</w:t>
      </w:r>
      <w:r>
        <w:rPr>
          <w:rFonts w:hint="eastAsia"/>
        </w:rPr>
        <w:t>年并无法摆脱受世界经济的影响。如拉加经委员会在其年报告中指出的，智利经济在</w:t>
      </w:r>
      <w:r>
        <w:rPr>
          <w:rFonts w:hint="eastAsia"/>
        </w:rPr>
        <w:t>2002</w:t>
      </w:r>
      <w:r>
        <w:rPr>
          <w:rFonts w:hint="eastAsia"/>
        </w:rPr>
        <w:t>年</w:t>
      </w:r>
      <w:r>
        <w:t xml:space="preserve"> </w:t>
      </w:r>
      <w:r>
        <w:rPr>
          <w:rStyle w:val="FootnoteReference"/>
        </w:rPr>
        <w:footnoteReference w:id="4"/>
      </w:r>
      <w:r>
        <w:rPr>
          <w:rFonts w:hint="eastAsia"/>
        </w:rPr>
        <w:t xml:space="preserve"> </w:t>
      </w:r>
      <w:r>
        <w:rPr>
          <w:rFonts w:hint="eastAsia"/>
        </w:rPr>
        <w:t>继续缓慢增长，但国家经济当局认为预期的增长率已达到。</w:t>
      </w:r>
    </w:p>
    <w:p w:rsidR="00000000" w:rsidRDefault="009C1C61">
      <w:pPr>
        <w:rPr>
          <w:rFonts w:hint="eastAsia"/>
        </w:rPr>
      </w:pPr>
      <w:r>
        <w:rPr>
          <w:rFonts w:hint="eastAsia"/>
        </w:rPr>
        <w:tab/>
        <w:t xml:space="preserve">15.  </w:t>
      </w:r>
      <w:r>
        <w:rPr>
          <w:rFonts w:hint="eastAsia"/>
        </w:rPr>
        <w:t>宏观经济条件恶化造成了税收下跌，跌至低于预算法预期的水平。然而，必须强调，这种情况并不意味着，必须对计划的公共开支进行重大调整；已实现了保证可为基本社会服务提供经费的目标</w:t>
      </w:r>
      <w:r>
        <w:rPr>
          <w:rFonts w:hint="eastAsia"/>
        </w:rPr>
        <w:t>(</w:t>
      </w:r>
      <w:r>
        <w:rPr>
          <w:rFonts w:hint="eastAsia"/>
        </w:rPr>
        <w:t>见前页的脚注</w:t>
      </w:r>
      <w:r>
        <w:rPr>
          <w:rFonts w:hint="eastAsia"/>
        </w:rPr>
        <w:t>)</w:t>
      </w:r>
      <w:r>
        <w:rPr>
          <w:rFonts w:hint="eastAsia"/>
        </w:rPr>
        <w:t>。这就必须作出该地区极少数国家能作出的巨大努力。</w:t>
      </w:r>
    </w:p>
    <w:p w:rsidR="00000000" w:rsidRDefault="009C1C61">
      <w:pPr>
        <w:rPr>
          <w:rFonts w:hint="eastAsia"/>
        </w:rPr>
      </w:pPr>
      <w:r>
        <w:rPr>
          <w:rFonts w:hint="eastAsia"/>
        </w:rPr>
        <w:tab/>
        <w:t xml:space="preserve">16.  </w:t>
      </w:r>
      <w:r>
        <w:rPr>
          <w:rFonts w:hint="eastAsia"/>
        </w:rPr>
        <w:t>虽然</w:t>
      </w:r>
      <w:r>
        <w:rPr>
          <w:rFonts w:hint="eastAsia"/>
        </w:rPr>
        <w:t>2003</w:t>
      </w:r>
      <w:r>
        <w:rPr>
          <w:rFonts w:hint="eastAsia"/>
        </w:rPr>
        <w:t>年预期能出现复苏，失业仍是主要的突出问题。三年来第一次，冬季失业率保持在</w:t>
      </w:r>
      <w:r>
        <w:rPr>
          <w:rFonts w:hint="eastAsia"/>
        </w:rPr>
        <w:t>10%</w:t>
      </w:r>
      <w:r>
        <w:rPr>
          <w:rFonts w:hint="eastAsia"/>
        </w:rPr>
        <w:t>以下。失业问题在某种程度上因拟订了直接公共就业方案和以重新融入和培训津贴方式为私人就业提供补助而有所缓和</w:t>
      </w:r>
      <w:r>
        <w:rPr>
          <w:rFonts w:hint="eastAsia"/>
        </w:rPr>
        <w:t>。</w:t>
      </w:r>
    </w:p>
    <w:p w:rsidR="00000000" w:rsidRDefault="009C1C61">
      <w:pPr>
        <w:rPr>
          <w:rFonts w:hint="eastAsia"/>
        </w:rPr>
      </w:pPr>
      <w:r>
        <w:rPr>
          <w:rFonts w:hint="eastAsia"/>
        </w:rPr>
        <w:tab/>
        <w:t xml:space="preserve">17.  </w:t>
      </w:r>
      <w:r>
        <w:rPr>
          <w:rFonts w:hint="eastAsia"/>
        </w:rPr>
        <w:t>国家发展指标有所改善并不只限于经济部门。在社会领域，克服贫困运动取得的成果是空前的，无论就国家发展而言，就是与该地区其他国家相比亦复如此。</w:t>
      </w:r>
    </w:p>
    <w:p w:rsidR="00000000" w:rsidRDefault="009C1C61">
      <w:pPr>
        <w:rPr>
          <w:rFonts w:hint="eastAsia"/>
        </w:rPr>
      </w:pPr>
      <w:r>
        <w:rPr>
          <w:rFonts w:hint="eastAsia"/>
        </w:rPr>
        <w:tab/>
        <w:t xml:space="preserve">18.  </w:t>
      </w:r>
      <w:r>
        <w:rPr>
          <w:rFonts w:hint="eastAsia"/>
        </w:rPr>
        <w:t>截至</w:t>
      </w:r>
      <w:r>
        <w:rPr>
          <w:rFonts w:hint="eastAsia"/>
        </w:rPr>
        <w:t>2000</w:t>
      </w:r>
      <w:r>
        <w:rPr>
          <w:rFonts w:hint="eastAsia"/>
        </w:rPr>
        <w:t>年底，处于贫困状况的人的人数约为</w:t>
      </w:r>
      <w:r>
        <w:rPr>
          <w:rFonts w:hint="eastAsia"/>
        </w:rPr>
        <w:t>3,000,080</w:t>
      </w:r>
      <w:r>
        <w:rPr>
          <w:rFonts w:hint="eastAsia"/>
        </w:rPr>
        <w:t>人，或占总人口的</w:t>
      </w:r>
      <w:r>
        <w:rPr>
          <w:rFonts w:hint="eastAsia"/>
        </w:rPr>
        <w:t>20.6%</w:t>
      </w:r>
      <w:r>
        <w:rPr>
          <w:rFonts w:hint="eastAsia"/>
        </w:rPr>
        <w:t>。处于贫困状况的家庭约为</w:t>
      </w:r>
      <w:r>
        <w:rPr>
          <w:rFonts w:hint="eastAsia"/>
        </w:rPr>
        <w:t>643,000</w:t>
      </w:r>
      <w:r>
        <w:rPr>
          <w:rFonts w:hint="eastAsia"/>
        </w:rPr>
        <w:t>户，占所有家庭的</w:t>
      </w:r>
      <w:r>
        <w:rPr>
          <w:rFonts w:hint="eastAsia"/>
        </w:rPr>
        <w:t>16.6%</w:t>
      </w:r>
      <w:r>
        <w:rPr>
          <w:rFonts w:hint="eastAsia"/>
        </w:rPr>
        <w:t>。</w:t>
      </w:r>
    </w:p>
    <w:p w:rsidR="00000000" w:rsidRDefault="009C1C61">
      <w:pPr>
        <w:rPr>
          <w:rFonts w:hint="eastAsia"/>
        </w:rPr>
      </w:pPr>
      <w:r>
        <w:rPr>
          <w:rFonts w:hint="eastAsia"/>
        </w:rPr>
        <w:tab/>
        <w:t xml:space="preserve">19.  </w:t>
      </w:r>
      <w:r>
        <w:rPr>
          <w:rFonts w:hint="eastAsia"/>
        </w:rPr>
        <w:t>人口中的</w:t>
      </w:r>
      <w:r>
        <w:rPr>
          <w:rFonts w:hint="eastAsia"/>
        </w:rPr>
        <w:t>5.7%</w:t>
      </w:r>
      <w:r>
        <w:rPr>
          <w:rFonts w:hint="eastAsia"/>
        </w:rPr>
        <w:t>，约</w:t>
      </w:r>
      <w:r>
        <w:rPr>
          <w:rFonts w:hint="eastAsia"/>
        </w:rPr>
        <w:t>65</w:t>
      </w:r>
      <w:r>
        <w:rPr>
          <w:rFonts w:hint="eastAsia"/>
        </w:rPr>
        <w:t>万人生活在极端贫困中；处于极贫困的家庭数目约为</w:t>
      </w:r>
      <w:r>
        <w:rPr>
          <w:rFonts w:hint="eastAsia"/>
        </w:rPr>
        <w:t>178,000</w:t>
      </w:r>
      <w:r>
        <w:rPr>
          <w:rFonts w:hint="eastAsia"/>
        </w:rPr>
        <w:t>户，占所有家庭的</w:t>
      </w:r>
      <w:r>
        <w:rPr>
          <w:rFonts w:hint="eastAsia"/>
        </w:rPr>
        <w:t>4.6%</w:t>
      </w:r>
      <w:r>
        <w:rPr>
          <w:rFonts w:hint="eastAsia"/>
        </w:rPr>
        <w:t>。在十年中，生活在贫困中的人口从</w:t>
      </w:r>
      <w:r>
        <w:rPr>
          <w:rFonts w:hint="eastAsia"/>
        </w:rPr>
        <w:t>1990</w:t>
      </w:r>
      <w:r>
        <w:rPr>
          <w:rFonts w:hint="eastAsia"/>
        </w:rPr>
        <w:t>年的</w:t>
      </w:r>
      <w:r>
        <w:rPr>
          <w:rFonts w:hint="eastAsia"/>
        </w:rPr>
        <w:t>38.6%</w:t>
      </w:r>
      <w:r>
        <w:rPr>
          <w:rFonts w:hint="eastAsia"/>
        </w:rPr>
        <w:t>跌至</w:t>
      </w:r>
      <w:r>
        <w:rPr>
          <w:rFonts w:hint="eastAsia"/>
        </w:rPr>
        <w:t>2000</w:t>
      </w:r>
      <w:r>
        <w:rPr>
          <w:rFonts w:hint="eastAsia"/>
        </w:rPr>
        <w:t>年</w:t>
      </w:r>
      <w:r>
        <w:rPr>
          <w:rFonts w:hint="eastAsia"/>
        </w:rPr>
        <w:t>的约</w:t>
      </w:r>
      <w:r>
        <w:rPr>
          <w:rFonts w:hint="eastAsia"/>
        </w:rPr>
        <w:t>20.6%</w:t>
      </w:r>
      <w:r>
        <w:rPr>
          <w:rFonts w:hint="eastAsia"/>
        </w:rPr>
        <w:t>。同样，生活在极端贫困中的人口百分比在同期从</w:t>
      </w:r>
      <w:r>
        <w:rPr>
          <w:rFonts w:hint="eastAsia"/>
        </w:rPr>
        <w:t>12.9%</w:t>
      </w:r>
      <w:r>
        <w:rPr>
          <w:rFonts w:hint="eastAsia"/>
        </w:rPr>
        <w:t>跌至</w:t>
      </w:r>
      <w:r>
        <w:rPr>
          <w:rFonts w:hint="eastAsia"/>
        </w:rPr>
        <w:t>5.7%</w:t>
      </w:r>
      <w:r>
        <w:rPr>
          <w:rFonts w:hint="eastAsia"/>
        </w:rPr>
        <w:t>。</w:t>
      </w:r>
    </w:p>
    <w:p w:rsidR="00000000" w:rsidRDefault="009C1C61">
      <w:pPr>
        <w:rPr>
          <w:rFonts w:hint="eastAsia"/>
        </w:rPr>
      </w:pPr>
      <w:r>
        <w:rPr>
          <w:rFonts w:hint="eastAsia"/>
        </w:rPr>
        <w:tab/>
        <w:t xml:space="preserve">20.  </w:t>
      </w:r>
      <w:r>
        <w:rPr>
          <w:rFonts w:hint="eastAsia"/>
        </w:rPr>
        <w:t>贫困家庭的百分比在</w:t>
      </w:r>
      <w:r>
        <w:rPr>
          <w:rFonts w:hint="eastAsia"/>
        </w:rPr>
        <w:t>1990</w:t>
      </w:r>
      <w:r>
        <w:rPr>
          <w:rFonts w:hint="eastAsia"/>
        </w:rPr>
        <w:t>年至</w:t>
      </w:r>
      <w:r>
        <w:rPr>
          <w:rFonts w:hint="eastAsia"/>
        </w:rPr>
        <w:t>2000</w:t>
      </w:r>
      <w:r>
        <w:rPr>
          <w:rFonts w:hint="eastAsia"/>
        </w:rPr>
        <w:t>年期间从</w:t>
      </w:r>
      <w:r>
        <w:rPr>
          <w:rFonts w:hint="eastAsia"/>
        </w:rPr>
        <w:t>33.3%</w:t>
      </w:r>
      <w:r>
        <w:rPr>
          <w:rFonts w:hint="eastAsia"/>
        </w:rPr>
        <w:t>跌至</w:t>
      </w:r>
      <w:r>
        <w:rPr>
          <w:rFonts w:hint="eastAsia"/>
        </w:rPr>
        <w:t>16.6%</w:t>
      </w:r>
      <w:r>
        <w:rPr>
          <w:rFonts w:hint="eastAsia"/>
        </w:rPr>
        <w:t>；处于极端贫困的家庭数目从</w:t>
      </w:r>
      <w:r>
        <w:rPr>
          <w:rFonts w:hint="eastAsia"/>
        </w:rPr>
        <w:t>10.6%</w:t>
      </w:r>
      <w:r>
        <w:rPr>
          <w:rFonts w:hint="eastAsia"/>
        </w:rPr>
        <w:t>跌至</w:t>
      </w:r>
      <w:r>
        <w:rPr>
          <w:rFonts w:hint="eastAsia"/>
        </w:rPr>
        <w:t>4.6%</w:t>
      </w:r>
      <w:r>
        <w:rPr>
          <w:rFonts w:hint="eastAsia"/>
        </w:rPr>
        <w:t>。</w:t>
      </w:r>
    </w:p>
    <w:p w:rsidR="00000000" w:rsidRDefault="009C1C61">
      <w:pPr>
        <w:rPr>
          <w:rFonts w:hint="eastAsia"/>
        </w:rPr>
      </w:pPr>
      <w:r>
        <w:rPr>
          <w:rFonts w:hint="eastAsia"/>
        </w:rPr>
        <w:tab/>
        <w:t xml:space="preserve">21.  </w:t>
      </w:r>
      <w:r>
        <w:rPr>
          <w:rFonts w:hint="eastAsia"/>
        </w:rPr>
        <w:t>尽管在</w:t>
      </w:r>
      <w:r>
        <w:rPr>
          <w:rFonts w:hint="eastAsia"/>
        </w:rPr>
        <w:t>1998</w:t>
      </w:r>
      <w:r>
        <w:rPr>
          <w:rFonts w:hint="eastAsia"/>
        </w:rPr>
        <w:t>至</w:t>
      </w:r>
      <w:r>
        <w:rPr>
          <w:rFonts w:hint="eastAsia"/>
        </w:rPr>
        <w:t>2000</w:t>
      </w:r>
      <w:r>
        <w:rPr>
          <w:rFonts w:hint="eastAsia"/>
        </w:rPr>
        <w:t>年这段期间，经济形势十分复杂，生活在贫困中的人的人数下跌趋势保持不变；智利在该十年取得的巨大进展并未倒退。</w:t>
      </w:r>
    </w:p>
    <w:p w:rsidR="00000000" w:rsidRDefault="009C1C61">
      <w:pPr>
        <w:rPr>
          <w:rFonts w:hint="eastAsia"/>
        </w:rPr>
      </w:pPr>
      <w:r>
        <w:rPr>
          <w:rFonts w:hint="eastAsia"/>
        </w:rPr>
        <w:tab/>
        <w:t xml:space="preserve">22.  </w:t>
      </w:r>
      <w:r>
        <w:rPr>
          <w:rFonts w:hint="eastAsia"/>
        </w:rPr>
        <w:t>社会政策的稳定执行减轻了失业对最贫困家庭生活质量造成的不利影响。在该期间，智利得以保持并加强范围广大的旨在改善家庭、尤其是贫困家庭生活质量</w:t>
      </w:r>
      <w:r>
        <w:rPr>
          <w:rFonts w:hint="eastAsia"/>
        </w:rPr>
        <w:t>的社会方案。原因是智利有能力维持健全的经济和有能力节约，从而促使社会政策维持不变。这种情况具体表现于社会开支预算的增加，</w:t>
      </w:r>
      <w:r>
        <w:rPr>
          <w:rFonts w:hint="eastAsia"/>
        </w:rPr>
        <w:t>1998</w:t>
      </w:r>
      <w:r>
        <w:rPr>
          <w:rFonts w:hint="eastAsia"/>
        </w:rPr>
        <w:t>至</w:t>
      </w:r>
      <w:r>
        <w:rPr>
          <w:rFonts w:hint="eastAsia"/>
        </w:rPr>
        <w:t>2000</w:t>
      </w:r>
      <w:r>
        <w:rPr>
          <w:rFonts w:hint="eastAsia"/>
        </w:rPr>
        <w:t>年期间开支增加了</w:t>
      </w:r>
      <w:r>
        <w:rPr>
          <w:rFonts w:hint="eastAsia"/>
        </w:rPr>
        <w:t>18.6%</w:t>
      </w:r>
      <w:r>
        <w:rPr>
          <w:rFonts w:hint="eastAsia"/>
        </w:rPr>
        <w:t>。</w:t>
      </w:r>
    </w:p>
    <w:p w:rsidR="00000000" w:rsidRDefault="009C1C61">
      <w:pPr>
        <w:rPr>
          <w:rFonts w:hint="eastAsia"/>
        </w:rPr>
      </w:pPr>
      <w:r>
        <w:rPr>
          <w:rFonts w:hint="eastAsia"/>
        </w:rPr>
        <w:tab/>
        <w:t xml:space="preserve">23.  </w:t>
      </w:r>
      <w:r>
        <w:rPr>
          <w:rFonts w:hint="eastAsia"/>
        </w:rPr>
        <w:t>规划与合作部对</w:t>
      </w:r>
      <w:r>
        <w:rPr>
          <w:rFonts w:hint="eastAsia"/>
        </w:rPr>
        <w:t>2000</w:t>
      </w:r>
      <w:r>
        <w:rPr>
          <w:rFonts w:hint="eastAsia"/>
        </w:rPr>
        <w:t>年进行的评估显示，卫生和教育方案所带来的利益及提供的现金津贴大大改善了贫困家庭的生活质量。</w:t>
      </w:r>
    </w:p>
    <w:p w:rsidR="00000000" w:rsidRDefault="009C1C61">
      <w:pPr>
        <w:rPr>
          <w:rFonts w:hint="eastAsia"/>
        </w:rPr>
      </w:pPr>
      <w:r>
        <w:rPr>
          <w:rFonts w:hint="eastAsia"/>
        </w:rPr>
        <w:tab/>
        <w:t xml:space="preserve">24.  </w:t>
      </w:r>
      <w:r>
        <w:rPr>
          <w:rFonts w:hint="eastAsia"/>
        </w:rPr>
        <w:t>这几年执行的公共政策的主要特征之一是，逐步停止执行援助措施，改为执行优先发展人力资本的促进措施，这种作法促成达到上文所述的指标水平。这就是推动教育和卫生领域改革的动力，也是发起具体针对贫困的措施的动力，是智</w:t>
      </w:r>
      <w:r>
        <w:rPr>
          <w:rFonts w:hint="eastAsia"/>
        </w:rPr>
        <w:t>利基于团结的社会保护制度的精髓。</w:t>
      </w:r>
    </w:p>
    <w:p w:rsidR="00000000" w:rsidRDefault="009C1C61">
      <w:pPr>
        <w:rPr>
          <w:rFonts w:hint="eastAsia"/>
        </w:rPr>
      </w:pPr>
      <w:r>
        <w:rPr>
          <w:rFonts w:hint="eastAsia"/>
        </w:rPr>
        <w:tab/>
        <w:t xml:space="preserve">25.  </w:t>
      </w:r>
      <w:r>
        <w:rPr>
          <w:rFonts w:hint="eastAsia"/>
        </w:rPr>
        <w:t>这些努力表现于注重政府在社会领域应履行的职责的积极运作，以及执行明确旨在促成经济增长进程与社会发展协调一致和相辅相成的政策。</w:t>
      </w:r>
    </w:p>
    <w:p w:rsidR="00000000" w:rsidRDefault="009C1C61">
      <w:pPr>
        <w:rPr>
          <w:rFonts w:hint="eastAsia"/>
        </w:rPr>
      </w:pPr>
      <w:r>
        <w:rPr>
          <w:rFonts w:hint="eastAsia"/>
        </w:rPr>
        <w:tab/>
        <w:t xml:space="preserve">26.  </w:t>
      </w:r>
      <w:r>
        <w:rPr>
          <w:rFonts w:hint="eastAsia"/>
        </w:rPr>
        <w:t>负责执行公共利益成效高的社会政策的政府机构最近在试验基础上对其促进作法进行的改革也属于上述作法的范围，进行改革的原因是政府认识到对贫人和被排斥者负有“社会债务”。尽管这种“债务”在很大程度上已通过保持社会开支的明确政治决心来偿还，但是鉴于某些特别脆弱群体客观上所处的不利地位，必须保证政府的社会议程仍占优先地位，这些群体的生活水</w:t>
      </w:r>
      <w:r>
        <w:rPr>
          <w:rFonts w:hint="eastAsia"/>
        </w:rPr>
        <w:t>平与较高收入群体的生活水平成鲜明对比。</w:t>
      </w:r>
    </w:p>
    <w:p w:rsidR="00000000" w:rsidRDefault="009C1C61">
      <w:pPr>
        <w:rPr>
          <w:rFonts w:hint="eastAsia"/>
        </w:rPr>
      </w:pPr>
      <w:r>
        <w:rPr>
          <w:rFonts w:hint="eastAsia"/>
        </w:rPr>
        <w:tab/>
        <w:t xml:space="preserve">27.  </w:t>
      </w:r>
      <w:r>
        <w:rPr>
          <w:rFonts w:hint="eastAsia"/>
        </w:rPr>
        <w:t>考虑到社会发展和扫贫工作在很大程度上取决于经济增长，但又无法保证增长即可带来社会发展和扫除贫困，公共政策发挥了战略支柱作用，以推动进行中的社会改革的持续进行。</w:t>
      </w:r>
    </w:p>
    <w:p w:rsidR="00000000" w:rsidRDefault="009C1C61">
      <w:pPr>
        <w:rPr>
          <w:rFonts w:hint="eastAsia"/>
        </w:rPr>
      </w:pPr>
      <w:r>
        <w:rPr>
          <w:rFonts w:hint="eastAsia"/>
        </w:rPr>
        <w:tab/>
        <w:t xml:space="preserve">28.  </w:t>
      </w:r>
      <w:r>
        <w:rPr>
          <w:rFonts w:hint="eastAsia"/>
        </w:rPr>
        <w:t>与智利最近的社会政策的其他阶段不同，普遍性概念的性质已改变，主要是因为社会服务的重点已被接受是有效合理分配有限的资源给社会上高度脆弱群体的手段。在这个意义上，普遍性不只是主导社会服务的选择性的相反作法，而且在社会服务与政府确保全体人口最低福利水平的义务直接相关的情况下，普遍性还意味着有必</w:t>
      </w:r>
      <w:r>
        <w:rPr>
          <w:rFonts w:hint="eastAsia"/>
        </w:rPr>
        <w:t>要作出财政方面的努力，以期扩大社会服务的覆盖范围。</w:t>
      </w:r>
    </w:p>
    <w:p w:rsidR="00000000" w:rsidRDefault="009C1C61">
      <w:pPr>
        <w:rPr>
          <w:rFonts w:hint="eastAsia"/>
        </w:rPr>
      </w:pPr>
      <w:r>
        <w:rPr>
          <w:rFonts w:hint="eastAsia"/>
        </w:rPr>
        <w:tab/>
        <w:t xml:space="preserve">29.  </w:t>
      </w:r>
      <w:r>
        <w:rPr>
          <w:rFonts w:hint="eastAsia"/>
        </w:rPr>
        <w:t>执行联盟的社会政策带有鲜明的道义政治色彩。必须强调这点，因为鉴于管理部门日益采用技术来管理执行社会政策和方案，改革的根本大义变得不明确，在这种情况下，能够很好说明其目标的是义德准则。因此，对穷人和最脆弱群体的关注以及对因国家的经济社会结构固有的不公平现象而最受排斥的人的关注，不应只是表现于政府行为者的高谈阔论，而应直接表现于政府方案将其作为优先重点。</w:t>
      </w:r>
    </w:p>
    <w:p w:rsidR="00000000" w:rsidRDefault="009C1C61">
      <w:pPr>
        <w:rPr>
          <w:rFonts w:hint="eastAsia"/>
        </w:rPr>
      </w:pPr>
      <w:r>
        <w:rPr>
          <w:rFonts w:hint="eastAsia"/>
        </w:rPr>
        <w:tab/>
        <w:t xml:space="preserve">30.  </w:t>
      </w:r>
      <w:r>
        <w:rPr>
          <w:rFonts w:hint="eastAsia"/>
        </w:rPr>
        <w:t>宏观经济政策以及外部因素对国内经济的影响是不容忽视的，有必要将公共政策作为实现政府</w:t>
      </w:r>
      <w:r>
        <w:rPr>
          <w:rFonts w:hint="eastAsia"/>
        </w:rPr>
        <w:t>发展目标的有效工具。事实上，目前的趋势是要使这些工具更加协调一致，以期将其全部纳入一个协调一致的单一社会保护系统。</w:t>
      </w:r>
    </w:p>
    <w:p w:rsidR="00000000" w:rsidRDefault="009C1C61">
      <w:pPr>
        <w:rPr>
          <w:rFonts w:hint="eastAsia"/>
        </w:rPr>
      </w:pPr>
      <w:r>
        <w:rPr>
          <w:rFonts w:hint="eastAsia"/>
        </w:rPr>
        <w:tab/>
        <w:t xml:space="preserve">31.  </w:t>
      </w:r>
      <w:r>
        <w:rPr>
          <w:rFonts w:hint="eastAsia"/>
        </w:rPr>
        <w:t>总而言之，目标是将社会政策转变为促进发展的工具，并使其配合国家宏观经济优先重点相符，同时又能极为关注不同群体的人的特别实际情况，他们既无足够机会享受经济发展的成果，自主力又不足，无法满足他们对一般市场的需要。毫无疑问，没有巩固的一贯基础，作为提供实现这些目标的指导原则，这一目标就无法实现。</w:t>
      </w:r>
    </w:p>
    <w:p w:rsidR="00000000" w:rsidRDefault="009C1C61">
      <w:pPr>
        <w:rPr>
          <w:rFonts w:hint="eastAsia"/>
        </w:rPr>
      </w:pPr>
      <w:r>
        <w:rPr>
          <w:rFonts w:hint="eastAsia"/>
        </w:rPr>
        <w:tab/>
        <w:t xml:space="preserve">32.  </w:t>
      </w:r>
      <w:r>
        <w:rPr>
          <w:rFonts w:hint="eastAsia"/>
        </w:rPr>
        <w:t>制订提供主要道义政治方针的工具，来指导国家在社会领域采取的措施，不外就是要带着一</w:t>
      </w:r>
      <w:r>
        <w:rPr>
          <w:rFonts w:hint="eastAsia"/>
        </w:rPr>
        <w:t>种国家应承认有必要结合范围广大的努力眼光来争取进展。这项工作不仅仅是受理经确认处于边缘地位或排斥在制度外特殊情况的有组织群体提出的要求，而且还应接受“债务”，以其作为对整个机会格局有影响的决策的指导原则和支柱。</w:t>
      </w:r>
    </w:p>
    <w:p w:rsidR="00000000" w:rsidRDefault="009C1C61">
      <w:pPr>
        <w:rPr>
          <w:rFonts w:hint="eastAsia"/>
        </w:rPr>
      </w:pPr>
      <w:r>
        <w:rPr>
          <w:rFonts w:hint="eastAsia"/>
        </w:rPr>
        <w:tab/>
        <w:t xml:space="preserve">33.  </w:t>
      </w:r>
      <w:r>
        <w:rPr>
          <w:rFonts w:hint="eastAsia"/>
        </w:rPr>
        <w:t>上述工作要求拟订内含预测的可持续的战略，以加强行政部门现有机关，执行和推行经济和社会方面的公共政策。但是，即使有这种工具，也无法保证可实现拟议的包容和发展目标，还必须有积极纳入公平和机会均等概念的基础，同时其具体落实还必须与利益的优先秩序和行动方针挂钩。总之，目的是要确保公共政策符合为该</w:t>
      </w:r>
      <w:r>
        <w:rPr>
          <w:rFonts w:hint="eastAsia"/>
        </w:rPr>
        <w:t>目标而接受的根本道义准则。</w:t>
      </w:r>
    </w:p>
    <w:p w:rsidR="00000000" w:rsidRDefault="009C1C61">
      <w:pPr>
        <w:rPr>
          <w:rFonts w:hint="eastAsia"/>
        </w:rPr>
      </w:pPr>
      <w:r>
        <w:rPr>
          <w:rFonts w:hint="eastAsia"/>
        </w:rPr>
        <w:tab/>
        <w:t xml:space="preserve">34.  </w:t>
      </w:r>
      <w:r>
        <w:rPr>
          <w:rFonts w:hint="eastAsia"/>
        </w:rPr>
        <w:t>在讨论公共政策时人权的原理日益受到重视。然而，奇怪的是人权原理从渊源和实际存在的观点来看并不是新的，只是近来人权被承认为道义准绳，不但包括公民权利和政治权利，而且还包括发展领域。</w:t>
      </w:r>
    </w:p>
    <w:p w:rsidR="00000000" w:rsidRDefault="009C1C61">
      <w:pPr>
        <w:rPr>
          <w:rFonts w:hint="eastAsia"/>
        </w:rPr>
      </w:pPr>
      <w:r>
        <w:rPr>
          <w:rFonts w:hint="eastAsia"/>
        </w:rPr>
        <w:tab/>
        <w:t xml:space="preserve">35.  </w:t>
      </w:r>
      <w:r>
        <w:rPr>
          <w:rFonts w:hint="eastAsia"/>
        </w:rPr>
        <w:t>因此，逐步实现全体公民充分享受经济、社会、文化、公民和政治权利这一目标已在公共政策中取得了势头，并在许多情况下，成为辩论税收制度是否有能力确保可持续地为社会服务提供经费的焦点。这些辩论肯定受到国际组织很大的影响，国际组织推动通过普遍有效性原则，认为个人应是讨论发展问题的中心。</w:t>
      </w:r>
    </w:p>
    <w:p w:rsidR="00000000" w:rsidRDefault="009C1C61">
      <w:pPr>
        <w:rPr>
          <w:rFonts w:hint="eastAsia"/>
        </w:rPr>
      </w:pPr>
      <w:r>
        <w:rPr>
          <w:rFonts w:hint="eastAsia"/>
        </w:rPr>
        <w:tab/>
      </w:r>
      <w:r>
        <w:rPr>
          <w:rFonts w:hint="eastAsia"/>
        </w:rPr>
        <w:t xml:space="preserve">36.  </w:t>
      </w:r>
      <w:r>
        <w:rPr>
          <w:rFonts w:hint="eastAsia"/>
        </w:rPr>
        <w:t>在为这一原理提供框架的许多文书中，经济、社会和文化权利与社会政策息息相关，因为落实这些权利不但是个别国家的发展目标，而且要确保、保护和增进这些权利就必须作出对各国政府需采取的公共政策决定具有一定影响的承诺。</w:t>
      </w:r>
    </w:p>
    <w:p w:rsidR="00000000" w:rsidRDefault="009C1C61">
      <w:pPr>
        <w:rPr>
          <w:rFonts w:hint="eastAsia"/>
        </w:rPr>
      </w:pPr>
      <w:r>
        <w:rPr>
          <w:rFonts w:hint="eastAsia"/>
        </w:rPr>
        <w:tab/>
        <w:t xml:space="preserve">37.  </w:t>
      </w:r>
      <w:r>
        <w:rPr>
          <w:rFonts w:hint="eastAsia"/>
        </w:rPr>
        <w:t>这种方针对智利目前社会政策的主要贡献是，逐步形成一种基于权利的一种新的发展概念，其中经济、社会和文化权利发挥了道义作用，供确定经济和社会政策之用。此外，对扫贫战略领域的贡献也是切切实实的；从战略提供的保证的角度来看，这些战略已改变了社会最低指标的运作，将其作为确定改善最贫困者福利工</w:t>
      </w:r>
      <w:r>
        <w:rPr>
          <w:rFonts w:hint="eastAsia"/>
        </w:rPr>
        <w:t>作的影响指标的参数。</w:t>
      </w:r>
    </w:p>
    <w:p w:rsidR="00000000" w:rsidRDefault="009C1C61">
      <w:pPr>
        <w:rPr>
          <w:rFonts w:hint="eastAsia"/>
        </w:rPr>
      </w:pPr>
      <w:r>
        <w:rPr>
          <w:rFonts w:hint="eastAsia"/>
        </w:rPr>
        <w:tab/>
        <w:t xml:space="preserve">38.  </w:t>
      </w:r>
      <w:r>
        <w:rPr>
          <w:rFonts w:hint="eastAsia"/>
        </w:rPr>
        <w:t>最近一些负责发展战略者已采用这种办法来制订公共政策和规划可取得的利益。拉加经委会指出，“经济、社会和文化权利的价值在于它们建立了一个法律体制秩序，促成在集体项目列入道义方针，使关于经济和社会决定也考虑到此方针，从而可通过这一方针纠正缺点，缩小不平等现象”</w:t>
      </w:r>
      <w:r>
        <w:rPr>
          <w:rFonts w:hint="eastAsia"/>
        </w:rPr>
        <w:t>(</w:t>
      </w:r>
      <w:r>
        <w:rPr>
          <w:rFonts w:hint="eastAsia"/>
        </w:rPr>
        <w:t>拉加经委员会，</w:t>
      </w:r>
      <w:r>
        <w:rPr>
          <w:rFonts w:hint="eastAsia"/>
        </w:rPr>
        <w:t>2000</w:t>
      </w:r>
      <w:r>
        <w:rPr>
          <w:rFonts w:hint="eastAsia"/>
        </w:rPr>
        <w:t>年</w:t>
      </w:r>
      <w:r>
        <w:rPr>
          <w:rFonts w:hint="eastAsia"/>
        </w:rPr>
        <w:t>)</w:t>
      </w:r>
      <w:r>
        <w:rPr>
          <w:rFonts w:hint="eastAsia"/>
        </w:rPr>
        <w:t>。智利这一进程的独特点正是这一框架，在社会方案和提供的服务中积极具体表现的方式。</w:t>
      </w:r>
    </w:p>
    <w:p w:rsidR="00000000" w:rsidRDefault="009C1C61">
      <w:pPr>
        <w:rPr>
          <w:rFonts w:hint="eastAsia"/>
        </w:rPr>
      </w:pPr>
      <w:r>
        <w:rPr>
          <w:rFonts w:hint="eastAsia"/>
        </w:rPr>
        <w:tab/>
        <w:t xml:space="preserve">39.  </w:t>
      </w:r>
      <w:r>
        <w:rPr>
          <w:rFonts w:hint="eastAsia"/>
        </w:rPr>
        <w:t>同样地，开发计划署也指出，基于权利的发展概念将人权作为发展进程和政策的一个组成部分。在国家一级，从人权</w:t>
      </w:r>
      <w:r>
        <w:rPr>
          <w:rFonts w:hint="eastAsia"/>
        </w:rPr>
        <w:t>角度来考虑发展目标和政策的重要性日益获得承认</w:t>
      </w:r>
      <w:r>
        <w:rPr>
          <w:rFonts w:hint="eastAsia"/>
        </w:rPr>
        <w:t>(</w:t>
      </w:r>
      <w:r>
        <w:rPr>
          <w:rFonts w:hint="eastAsia"/>
        </w:rPr>
        <w:t>开发计划署，</w:t>
      </w:r>
      <w:r>
        <w:rPr>
          <w:rFonts w:hint="eastAsia"/>
        </w:rPr>
        <w:t>2000</w:t>
      </w:r>
      <w:r>
        <w:rPr>
          <w:rFonts w:hint="eastAsia"/>
        </w:rPr>
        <w:t>年</w:t>
      </w:r>
      <w:r>
        <w:rPr>
          <w:rFonts w:hint="eastAsia"/>
        </w:rPr>
        <w:t>)</w:t>
      </w:r>
      <w:r>
        <w:rPr>
          <w:rFonts w:hint="eastAsia"/>
        </w:rPr>
        <w:t>。正是由于这种联系关系，智利政府目前正调动各种努力，结合重大的道义承诺支持部门性社会改革，权利在这种承诺中对政府而言是一项挑战，因为须在一种日益包容和融合的模式中提高更广泛更高的公民水平。</w:t>
      </w:r>
    </w:p>
    <w:p w:rsidR="00000000" w:rsidRDefault="009C1C61">
      <w:pPr>
        <w:rPr>
          <w:rFonts w:hint="eastAsia"/>
        </w:rPr>
      </w:pPr>
      <w:r>
        <w:rPr>
          <w:rFonts w:hint="eastAsia"/>
        </w:rPr>
        <w:tab/>
        <w:t xml:space="preserve">40.  </w:t>
      </w:r>
      <w:r>
        <w:rPr>
          <w:rFonts w:hint="eastAsia"/>
        </w:rPr>
        <w:t>在这方面，由于重要的是要对公共事务采用一种基于权利的管理方式，因而社会政策就得发挥关键性作用。拉美经委会认为，“这种手段应是目标，标准和制度的结合和表现，通过这一手段，社会承诺确保社会、经济和文化权利，并设法创造和巩固能力和机会，促使个人改</w:t>
      </w:r>
      <w:r>
        <w:rPr>
          <w:rFonts w:hint="eastAsia"/>
        </w:rPr>
        <w:t>善其生活，享受更大的自由和影响与其有关的决定”。从这一角度来看，最近十年来积累的许多重大成果带来了一个新时代，即在确定改善人口生活条件的具体承诺时，新一代的政策逐步纳入了这一概念。</w:t>
      </w:r>
    </w:p>
    <w:p w:rsidR="00000000" w:rsidRDefault="009C1C61">
      <w:pPr>
        <w:rPr>
          <w:rFonts w:hint="eastAsia"/>
        </w:rPr>
      </w:pPr>
      <w:r>
        <w:rPr>
          <w:rFonts w:hint="eastAsia"/>
        </w:rPr>
        <w:tab/>
        <w:t xml:space="preserve">41.  </w:t>
      </w:r>
      <w:r>
        <w:rPr>
          <w:rFonts w:hint="eastAsia"/>
        </w:rPr>
        <w:t>在这一范畴内，经济、社会和文化权利与公民权利和政治权利无疑是密切相关的。前者的目标是为了保证经济福利，获得就业，卫生服务，受教育和享受文化生活，后者包括尊重个人权利和自由。因此，面对的挑战是，在作出这方面的努力之时，应同时逐步增强尊重多样性的民主体制结构，而这种民主结构则是可持续治理框架的核心。</w:t>
      </w:r>
    </w:p>
    <w:p w:rsidR="00000000" w:rsidRDefault="009C1C61">
      <w:pPr>
        <w:rPr>
          <w:rFonts w:hint="eastAsia"/>
        </w:rPr>
      </w:pPr>
      <w:r>
        <w:rPr>
          <w:rFonts w:hint="eastAsia"/>
        </w:rPr>
        <w:tab/>
        <w:t xml:space="preserve">42.  </w:t>
      </w:r>
      <w:r>
        <w:rPr>
          <w:rFonts w:hint="eastAsia"/>
        </w:rPr>
        <w:t>认明社会</w:t>
      </w:r>
      <w:r>
        <w:rPr>
          <w:rFonts w:hint="eastAsia"/>
        </w:rPr>
        <w:t>领域现有差距，部门群体和地域群体间的差距，并不只是为了改善提供和管理决定优先事项所需资料的技术基础。反之，目前须进行这项工作，以在确定发展指标和目标时具体衡量不平等现象和差距，换言之，目的是要对全体人口、尤其是低收入群体的社会最低指标的确定工作作出具体贡献。</w:t>
      </w:r>
    </w:p>
    <w:p w:rsidR="00000000" w:rsidRDefault="009C1C61">
      <w:pPr>
        <w:rPr>
          <w:rFonts w:hint="eastAsia"/>
        </w:rPr>
      </w:pPr>
      <w:r>
        <w:rPr>
          <w:rFonts w:hint="eastAsia"/>
        </w:rPr>
        <w:tab/>
        <w:t xml:space="preserve">43.  </w:t>
      </w:r>
      <w:r>
        <w:rPr>
          <w:rFonts w:hint="eastAsia"/>
        </w:rPr>
        <w:t>稍为对现有方案进行研究，即可发现众多的公共服务和提供的社会福利都以不同领域的权利为出发点，都涉及社会政策、尤其是涉及旨在扫贫的战略。</w:t>
      </w:r>
    </w:p>
    <w:p w:rsidR="00000000" w:rsidRDefault="009C1C61">
      <w:pPr>
        <w:rPr>
          <w:rFonts w:hint="eastAsia"/>
        </w:rPr>
      </w:pPr>
      <w:r>
        <w:rPr>
          <w:rFonts w:hint="eastAsia"/>
        </w:rPr>
        <w:tab/>
        <w:t xml:space="preserve">44.  </w:t>
      </w:r>
      <w:r>
        <w:rPr>
          <w:rFonts w:hint="eastAsia"/>
        </w:rPr>
        <w:t>要承认权利以及寻求创造基于保护和促进机会均等制度的社会公正，就需要制订一种社会融合政策，通过各</w:t>
      </w:r>
      <w:r>
        <w:rPr>
          <w:rFonts w:hint="eastAsia"/>
        </w:rPr>
        <w:t>种机构一致行动，作为优先事项，根据普遍、团结和效力原则，争取融合。</w:t>
      </w:r>
    </w:p>
    <w:p w:rsidR="00000000" w:rsidRDefault="009C1C61"/>
    <w:p w:rsidR="00000000" w:rsidRDefault="009C1C61">
      <w:pPr>
        <w:pStyle w:val="Heading2"/>
        <w:rPr>
          <w:rFonts w:ascii="Time New Roman" w:eastAsia="SimHei" w:hAnsi="Time New Roman" w:hint="eastAsia"/>
        </w:rPr>
      </w:pPr>
      <w:r>
        <w:rPr>
          <w:rFonts w:ascii="Time New Roman" w:eastAsia="SimHei" w:hAnsi="Time New Roman" w:hint="eastAsia"/>
        </w:rPr>
        <w:t>报告关于一般性规定的部分</w:t>
      </w:r>
    </w:p>
    <w:p w:rsidR="00000000" w:rsidRDefault="009C1C61">
      <w:pPr>
        <w:pStyle w:val="Heading3"/>
        <w:rPr>
          <w:rFonts w:ascii="Time New Roman" w:hAnsi="Time New Roman" w:hint="eastAsia"/>
        </w:rPr>
      </w:pPr>
      <w:r>
        <w:rPr>
          <w:rFonts w:ascii="Time New Roman" w:hAnsi="Time New Roman" w:hint="eastAsia"/>
        </w:rPr>
        <w:t>第</w:t>
      </w:r>
      <w:r>
        <w:rPr>
          <w:rFonts w:ascii="Time New Roman" w:hAnsi="Time New Roman" w:hint="eastAsia"/>
        </w:rPr>
        <w:t xml:space="preserve"> </w:t>
      </w:r>
      <w:r>
        <w:rPr>
          <w:rFonts w:ascii="Time New Roman" w:hAnsi="Time New Roman" w:hint="eastAsia"/>
        </w:rPr>
        <w:t>一</w:t>
      </w:r>
      <w:r>
        <w:rPr>
          <w:rFonts w:ascii="Time New Roman" w:hAnsi="Time New Roman" w:hint="eastAsia"/>
        </w:rPr>
        <w:t xml:space="preserve"> </w:t>
      </w:r>
      <w:r>
        <w:rPr>
          <w:rFonts w:ascii="Time New Roman" w:hAnsi="Time New Roman" w:hint="eastAsia"/>
        </w:rPr>
        <w:t>条</w:t>
      </w:r>
    </w:p>
    <w:p w:rsidR="00000000" w:rsidRDefault="009C1C61">
      <w:pPr>
        <w:pStyle w:val="Heading3"/>
        <w:rPr>
          <w:rFonts w:ascii="Time New Roman" w:hAnsi="Time New Roman" w:hint="eastAsia"/>
        </w:rPr>
      </w:pPr>
      <w:r>
        <w:rPr>
          <w:rFonts w:ascii="Time New Roman" w:hAnsi="Time New Roman" w:hint="eastAsia"/>
        </w:rPr>
        <w:t>自</w:t>
      </w:r>
      <w:r>
        <w:rPr>
          <w:rFonts w:ascii="Time New Roman" w:hAnsi="Time New Roman"/>
        </w:rPr>
        <w:t xml:space="preserve"> </w:t>
      </w:r>
      <w:r>
        <w:rPr>
          <w:rFonts w:ascii="Time New Roman" w:hAnsi="Time New Roman" w:hint="eastAsia"/>
        </w:rPr>
        <w:t>决</w:t>
      </w:r>
      <w:r>
        <w:rPr>
          <w:rFonts w:ascii="Time New Roman" w:hAnsi="Time New Roman"/>
        </w:rPr>
        <w:t xml:space="preserve"> </w:t>
      </w:r>
      <w:r>
        <w:rPr>
          <w:rFonts w:ascii="Time New Roman" w:hAnsi="Time New Roman" w:hint="eastAsia"/>
        </w:rPr>
        <w:t>权</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自由决定政治地位</w:t>
      </w:r>
    </w:p>
    <w:p w:rsidR="00000000" w:rsidRDefault="009C1C61">
      <w:pPr>
        <w:rPr>
          <w:rFonts w:hint="eastAsia"/>
        </w:rPr>
      </w:pPr>
      <w:r>
        <w:rPr>
          <w:rFonts w:hint="eastAsia"/>
        </w:rPr>
        <w:tab/>
        <w:t xml:space="preserve">45.  </w:t>
      </w:r>
      <w:r>
        <w:rPr>
          <w:rFonts w:hint="eastAsia"/>
        </w:rPr>
        <w:t>《智利共和国宪法》第</w:t>
      </w:r>
      <w:r>
        <w:rPr>
          <w:rFonts w:hint="eastAsia"/>
        </w:rPr>
        <w:t>4</w:t>
      </w:r>
      <w:r>
        <w:rPr>
          <w:rFonts w:hint="eastAsia"/>
        </w:rPr>
        <w:t>条和第</w:t>
      </w:r>
      <w:r>
        <w:rPr>
          <w:rFonts w:hint="eastAsia"/>
        </w:rPr>
        <w:t>5</w:t>
      </w:r>
      <w:r>
        <w:rPr>
          <w:rFonts w:hint="eastAsia"/>
        </w:rPr>
        <w:t>条规定了这项权利。军政府于</w:t>
      </w:r>
      <w:r>
        <w:rPr>
          <w:rFonts w:hint="eastAsia"/>
        </w:rPr>
        <w:t>1973</w:t>
      </w:r>
      <w:r>
        <w:rPr>
          <w:rFonts w:hint="eastAsia"/>
        </w:rPr>
        <w:t>年</w:t>
      </w:r>
      <w:r>
        <w:rPr>
          <w:rFonts w:hint="eastAsia"/>
        </w:rPr>
        <w:t>9</w:t>
      </w:r>
      <w:r>
        <w:rPr>
          <w:rFonts w:hint="eastAsia"/>
        </w:rPr>
        <w:t>月成立，在军政府时期，这项权利严受限制。军政府倒台之时，各派反对势力达成协议，接受军政府在</w:t>
      </w:r>
      <w:r>
        <w:rPr>
          <w:rFonts w:hint="eastAsia"/>
        </w:rPr>
        <w:t>1980</w:t>
      </w:r>
      <w:r>
        <w:rPr>
          <w:rFonts w:hint="eastAsia"/>
        </w:rPr>
        <w:t>年制订的《宪法》规定。根据《宪法》规定，</w:t>
      </w:r>
      <w:r>
        <w:rPr>
          <w:rFonts w:hint="eastAsia"/>
        </w:rPr>
        <w:t>1988</w:t>
      </w:r>
      <w:r>
        <w:rPr>
          <w:rFonts w:hint="eastAsia"/>
        </w:rPr>
        <w:t>年</w:t>
      </w:r>
      <w:r>
        <w:rPr>
          <w:rFonts w:hint="eastAsia"/>
        </w:rPr>
        <w:t>10</w:t>
      </w:r>
      <w:r>
        <w:rPr>
          <w:rFonts w:hint="eastAsia"/>
        </w:rPr>
        <w:t>月举行了公投，事关在向民主过渡时期是批准或否决任命奥古斯托·庇诺切为共和国总统根据《宪法》，民主过渡期应于</w:t>
      </w:r>
      <w:r>
        <w:rPr>
          <w:rFonts w:hint="eastAsia"/>
        </w:rPr>
        <w:t>1997</w:t>
      </w:r>
      <w:r>
        <w:rPr>
          <w:rFonts w:hint="eastAsia"/>
        </w:rPr>
        <w:t>年结束。反对者，即反对任命者</w:t>
      </w:r>
      <w:r>
        <w:rPr>
          <w:rFonts w:hint="eastAsia"/>
        </w:rPr>
        <w:t>得到投票数的</w:t>
      </w:r>
      <w:r>
        <w:rPr>
          <w:rFonts w:hint="eastAsia"/>
        </w:rPr>
        <w:t>54.71%</w:t>
      </w:r>
      <w:r>
        <w:rPr>
          <w:rFonts w:hint="eastAsia"/>
        </w:rPr>
        <w:t>的绝对多数票，赞成者，即支持庇诺切将军者得到</w:t>
      </w:r>
      <w:r>
        <w:rPr>
          <w:rFonts w:hint="eastAsia"/>
        </w:rPr>
        <w:t>43.1%</w:t>
      </w:r>
      <w:r>
        <w:rPr>
          <w:rFonts w:hint="eastAsia"/>
        </w:rPr>
        <w:t>的票。投票率很高，只有</w:t>
      </w:r>
      <w:r>
        <w:rPr>
          <w:rFonts w:hint="eastAsia"/>
        </w:rPr>
        <w:t>2.47%</w:t>
      </w:r>
      <w:r>
        <w:rPr>
          <w:rFonts w:hint="eastAsia"/>
        </w:rPr>
        <w:t>的人未参加投票。</w:t>
      </w:r>
    </w:p>
    <w:p w:rsidR="00000000" w:rsidRDefault="009C1C61">
      <w:pPr>
        <w:rPr>
          <w:rFonts w:hint="eastAsia"/>
        </w:rPr>
      </w:pPr>
      <w:r>
        <w:rPr>
          <w:rFonts w:hint="eastAsia"/>
        </w:rPr>
        <w:tab/>
        <w:t xml:space="preserve">46.  </w:t>
      </w:r>
      <w:r>
        <w:rPr>
          <w:rFonts w:hint="eastAsia"/>
        </w:rPr>
        <w:t>军政府、其支持者和反对派随后就筹备共和国政府的民主选举和对</w:t>
      </w:r>
      <w:r>
        <w:rPr>
          <w:rFonts w:hint="eastAsia"/>
        </w:rPr>
        <w:t>1980</w:t>
      </w:r>
      <w:r>
        <w:rPr>
          <w:rFonts w:hint="eastAsia"/>
        </w:rPr>
        <w:t>年《宪法》一些最为独裁的内容进行修订问题展开了政治谈判。谈判最后结果是对《宪法》进行了一系列改革，并经</w:t>
      </w:r>
      <w:r>
        <w:rPr>
          <w:rFonts w:hint="eastAsia"/>
        </w:rPr>
        <w:t>1989</w:t>
      </w:r>
      <w:r>
        <w:rPr>
          <w:rFonts w:hint="eastAsia"/>
        </w:rPr>
        <w:t>年</w:t>
      </w:r>
      <w:r>
        <w:rPr>
          <w:rFonts w:hint="eastAsia"/>
        </w:rPr>
        <w:t>7</w:t>
      </w:r>
      <w:r>
        <w:rPr>
          <w:rFonts w:hint="eastAsia"/>
        </w:rPr>
        <w:t>月</w:t>
      </w:r>
      <w:r>
        <w:rPr>
          <w:rFonts w:hint="eastAsia"/>
        </w:rPr>
        <w:t>30</w:t>
      </w:r>
      <w:r>
        <w:rPr>
          <w:rFonts w:hint="eastAsia"/>
        </w:rPr>
        <w:t>日举行公民投票批准，赞成票数达</w:t>
      </w:r>
      <w:r>
        <w:rPr>
          <w:rFonts w:hint="eastAsia"/>
        </w:rPr>
        <w:t>85.7%</w:t>
      </w:r>
      <w:r>
        <w:rPr>
          <w:rFonts w:hint="eastAsia"/>
        </w:rPr>
        <w:t>。</w:t>
      </w:r>
    </w:p>
    <w:p w:rsidR="00000000" w:rsidRDefault="009C1C61">
      <w:pPr>
        <w:rPr>
          <w:rFonts w:hint="eastAsia"/>
        </w:rPr>
      </w:pPr>
      <w:r>
        <w:rPr>
          <w:rFonts w:hint="eastAsia"/>
        </w:rPr>
        <w:tab/>
        <w:t>47.  1989</w:t>
      </w:r>
      <w:r>
        <w:rPr>
          <w:rFonts w:hint="eastAsia"/>
        </w:rPr>
        <w:t>年</w:t>
      </w:r>
      <w:r>
        <w:rPr>
          <w:rFonts w:hint="eastAsia"/>
        </w:rPr>
        <w:t>12</w:t>
      </w:r>
      <w:r>
        <w:rPr>
          <w:rFonts w:hint="eastAsia"/>
        </w:rPr>
        <w:t>月</w:t>
      </w:r>
      <w:r>
        <w:rPr>
          <w:rFonts w:hint="eastAsia"/>
        </w:rPr>
        <w:t>14</w:t>
      </w:r>
      <w:r>
        <w:rPr>
          <w:rFonts w:hint="eastAsia"/>
        </w:rPr>
        <w:t>日举行了</w:t>
      </w:r>
      <w:r>
        <w:rPr>
          <w:rFonts w:hint="eastAsia"/>
        </w:rPr>
        <w:t>19</w:t>
      </w:r>
      <w:r>
        <w:rPr>
          <w:rFonts w:hint="eastAsia"/>
        </w:rPr>
        <w:t>年来的第一次共和国总统选举以及</w:t>
      </w:r>
      <w:r>
        <w:rPr>
          <w:rFonts w:hint="eastAsia"/>
        </w:rPr>
        <w:t>16</w:t>
      </w:r>
      <w:r>
        <w:rPr>
          <w:rFonts w:hint="eastAsia"/>
        </w:rPr>
        <w:t>年来的第一次国民议会选举。</w:t>
      </w:r>
      <w:r>
        <w:rPr>
          <w:rFonts w:hint="eastAsia"/>
        </w:rPr>
        <w:t>1990</w:t>
      </w:r>
      <w:r>
        <w:rPr>
          <w:rFonts w:hint="eastAsia"/>
        </w:rPr>
        <w:t>年</w:t>
      </w:r>
      <w:r>
        <w:rPr>
          <w:rFonts w:hint="eastAsia"/>
        </w:rPr>
        <w:t>3</w:t>
      </w:r>
      <w:r>
        <w:rPr>
          <w:rFonts w:hint="eastAsia"/>
        </w:rPr>
        <w:t>月</w:t>
      </w:r>
      <w:r>
        <w:rPr>
          <w:rFonts w:hint="eastAsia"/>
        </w:rPr>
        <w:t>11</w:t>
      </w:r>
      <w:r>
        <w:rPr>
          <w:rFonts w:hint="eastAsia"/>
        </w:rPr>
        <w:t>日</w:t>
      </w:r>
      <w:r>
        <w:rPr>
          <w:rFonts w:hint="eastAsia"/>
        </w:rPr>
        <w:t>P</w:t>
      </w:r>
      <w:r>
        <w:t>atricio</w:t>
      </w:r>
      <w:r>
        <w:rPr>
          <w:rFonts w:hint="eastAsia"/>
        </w:rPr>
        <w:t xml:space="preserve"> </w:t>
      </w:r>
      <w:r>
        <w:t>Aylwin Azócar</w:t>
      </w:r>
      <w:r>
        <w:rPr>
          <w:rFonts w:hint="eastAsia"/>
        </w:rPr>
        <w:t>就职担任总统，他在全国总投票数中得到</w:t>
      </w:r>
      <w:r>
        <w:rPr>
          <w:rFonts w:hint="eastAsia"/>
        </w:rPr>
        <w:t>53.79%</w:t>
      </w:r>
      <w:r>
        <w:rPr>
          <w:rFonts w:hint="eastAsia"/>
        </w:rPr>
        <w:t>的选票当选。弃权未参加投票者不多</w:t>
      </w:r>
      <w:r>
        <w:rPr>
          <w:rFonts w:hint="eastAsia"/>
        </w:rPr>
        <w:t>(</w:t>
      </w:r>
      <w:r>
        <w:rPr>
          <w:rFonts w:hint="eastAsia"/>
        </w:rPr>
        <w:t>占</w:t>
      </w:r>
      <w:r>
        <w:rPr>
          <w:rFonts w:hint="eastAsia"/>
        </w:rPr>
        <w:t>5.3%)</w:t>
      </w:r>
      <w:r>
        <w:rPr>
          <w:rFonts w:hint="eastAsia"/>
        </w:rPr>
        <w:t>。同一天国民议会开始运作，争取民主党联盟，即支持新政府的联合势力在参议院选举中得票</w:t>
      </w:r>
      <w:r>
        <w:rPr>
          <w:rFonts w:hint="eastAsia"/>
        </w:rPr>
        <w:t>50.83%</w:t>
      </w:r>
      <w:r>
        <w:rPr>
          <w:rFonts w:hint="eastAsia"/>
        </w:rPr>
        <w:t>，在众议院选举中得票</w:t>
      </w:r>
      <w:r>
        <w:rPr>
          <w:rFonts w:hint="eastAsia"/>
        </w:rPr>
        <w:t>50.55%</w:t>
      </w:r>
      <w:r>
        <w:rPr>
          <w:rFonts w:hint="eastAsia"/>
        </w:rPr>
        <w:t>。在</w:t>
      </w:r>
      <w:r>
        <w:rPr>
          <w:rFonts w:hint="eastAsia"/>
        </w:rPr>
        <w:t>P</w:t>
      </w:r>
      <w:r>
        <w:t>atricio</w:t>
      </w:r>
      <w:r>
        <w:rPr>
          <w:rFonts w:hint="eastAsia"/>
        </w:rPr>
        <w:t xml:space="preserve"> </w:t>
      </w:r>
      <w:r>
        <w:t>Aylwin Azócar</w:t>
      </w:r>
      <w:r>
        <w:rPr>
          <w:rFonts w:hint="eastAsia"/>
        </w:rPr>
        <w:t>总统任期内，由于政府进行的一项改革，终于在</w:t>
      </w:r>
      <w:r>
        <w:rPr>
          <w:rFonts w:hint="eastAsia"/>
        </w:rPr>
        <w:t>1992</w:t>
      </w:r>
      <w:r>
        <w:rPr>
          <w:rFonts w:hint="eastAsia"/>
        </w:rPr>
        <w:t>年</w:t>
      </w:r>
      <w:r>
        <w:rPr>
          <w:rFonts w:hint="eastAsia"/>
        </w:rPr>
        <w:t>6</w:t>
      </w:r>
      <w:r>
        <w:rPr>
          <w:rFonts w:hint="eastAsia"/>
        </w:rPr>
        <w:t>月</w:t>
      </w:r>
      <w:r>
        <w:rPr>
          <w:rFonts w:hint="eastAsia"/>
        </w:rPr>
        <w:t>28</w:t>
      </w:r>
      <w:r>
        <w:rPr>
          <w:rFonts w:hint="eastAsia"/>
        </w:rPr>
        <w:t>日举行了</w:t>
      </w:r>
      <w:r>
        <w:rPr>
          <w:rFonts w:hint="eastAsia"/>
        </w:rPr>
        <w:t>21</w:t>
      </w:r>
      <w:r>
        <w:rPr>
          <w:rFonts w:hint="eastAsia"/>
        </w:rPr>
        <w:t>年来的第一次地方选举。</w:t>
      </w:r>
    </w:p>
    <w:p w:rsidR="00000000" w:rsidRDefault="009C1C61">
      <w:pPr>
        <w:rPr>
          <w:rFonts w:hint="eastAsia"/>
        </w:rPr>
      </w:pPr>
      <w:r>
        <w:rPr>
          <w:rFonts w:hint="eastAsia"/>
        </w:rPr>
        <w:tab/>
        <w:t xml:space="preserve">48.  </w:t>
      </w:r>
      <w:r>
        <w:t>Patricio Aylwin</w:t>
      </w:r>
      <w:r>
        <w:rPr>
          <w:rFonts w:hint="eastAsia"/>
        </w:rPr>
        <w:t>政府之后的政府为分别由</w:t>
      </w:r>
      <w:r>
        <w:rPr>
          <w:rFonts w:hint="eastAsia"/>
        </w:rPr>
        <w:t>E</w:t>
      </w:r>
      <w:r>
        <w:t>duardo Frei Ruiz-Tagle</w:t>
      </w:r>
      <w:r>
        <w:rPr>
          <w:rFonts w:hint="eastAsia"/>
        </w:rPr>
        <w:t>总统和</w:t>
      </w:r>
      <w:r>
        <w:rPr>
          <w:rFonts w:hint="eastAsia"/>
        </w:rPr>
        <w:t>R</w:t>
      </w:r>
      <w:r>
        <w:t>ic</w:t>
      </w:r>
      <w:r>
        <w:t>ardo Lagos Escobar</w:t>
      </w:r>
      <w:r>
        <w:rPr>
          <w:rFonts w:hint="eastAsia"/>
        </w:rPr>
        <w:t>总统组成的政府，两位总统均属于上述政治联盟的成员。他们是按《宪法》规定的方式当选的，任期六年。</w:t>
      </w:r>
      <w:r>
        <w:rPr>
          <w:rFonts w:hint="eastAsia"/>
        </w:rPr>
        <w:t>E</w:t>
      </w:r>
      <w:r>
        <w:t>scobar</w:t>
      </w:r>
      <w:r>
        <w:rPr>
          <w:rFonts w:hint="eastAsia"/>
        </w:rPr>
        <w:t>总统于</w:t>
      </w:r>
      <w:r>
        <w:rPr>
          <w:rFonts w:hint="eastAsia"/>
        </w:rPr>
        <w:t>2000</w:t>
      </w:r>
      <w:r>
        <w:rPr>
          <w:rFonts w:hint="eastAsia"/>
        </w:rPr>
        <w:t>年</w:t>
      </w:r>
      <w:r>
        <w:rPr>
          <w:rFonts w:hint="eastAsia"/>
        </w:rPr>
        <w:t>3</w:t>
      </w:r>
      <w:r>
        <w:rPr>
          <w:rFonts w:hint="eastAsia"/>
        </w:rPr>
        <w:t>月就职。</w:t>
      </w:r>
    </w:p>
    <w:p w:rsidR="00000000" w:rsidRDefault="009C1C61">
      <w:pPr>
        <w:rPr>
          <w:rFonts w:hint="eastAsia"/>
        </w:rPr>
      </w:pPr>
      <w:r>
        <w:rPr>
          <w:rFonts w:hint="eastAsia"/>
        </w:rPr>
        <w:tab/>
        <w:t xml:space="preserve">49.  </w:t>
      </w:r>
      <w:r>
        <w:rPr>
          <w:rFonts w:hint="eastAsia"/>
        </w:rPr>
        <w:t>尽管在</w:t>
      </w:r>
      <w:r>
        <w:rPr>
          <w:rFonts w:hint="eastAsia"/>
        </w:rPr>
        <w:t>1989</w:t>
      </w:r>
      <w:r>
        <w:rPr>
          <w:rFonts w:hint="eastAsia"/>
        </w:rPr>
        <w:t>年进行了一些改革，但</w:t>
      </w:r>
      <w:r>
        <w:rPr>
          <w:rFonts w:hint="eastAsia"/>
        </w:rPr>
        <w:t>1980</w:t>
      </w:r>
      <w:r>
        <w:rPr>
          <w:rFonts w:hint="eastAsia"/>
        </w:rPr>
        <w:t>年《宪法》建立的体制结构的某些方面仍对自决权的行使造成障碍：</w:t>
      </w:r>
    </w:p>
    <w:p w:rsidR="00000000" w:rsidRDefault="009C1C61">
      <w:pPr>
        <w:numPr>
          <w:ilvl w:val="0"/>
          <w:numId w:val="80"/>
        </w:numPr>
        <w:rPr>
          <w:rFonts w:hint="eastAsia"/>
        </w:rPr>
      </w:pPr>
      <w:r>
        <w:rPr>
          <w:rFonts w:hint="eastAsia"/>
        </w:rPr>
        <w:t>选举制度带有双重选举制度的一些特点，这些方面与智利的传统和多党制的现实不符；这种选举制度无法充分体现多数和少数按比例的代表情况，第二种选举势力优先第一种势力，这样一来，少数群体除非加入选举联盟，否则无法在议会中得到席位；</w:t>
      </w:r>
    </w:p>
    <w:p w:rsidR="00000000" w:rsidRDefault="009C1C61">
      <w:pPr>
        <w:numPr>
          <w:ilvl w:val="0"/>
          <w:numId w:val="80"/>
        </w:numPr>
        <w:rPr>
          <w:rFonts w:hint="eastAsia"/>
        </w:rPr>
      </w:pPr>
      <w:r>
        <w:rPr>
          <w:rFonts w:hint="eastAsia"/>
        </w:rPr>
        <w:t>有</w:t>
      </w:r>
      <w:r>
        <w:rPr>
          <w:rFonts w:hint="eastAsia"/>
        </w:rPr>
        <w:t>些参议员不是经公民投票产生的；而是由最高法院、国家安全委员会和共和国总统任命的。《宪法》第</w:t>
      </w:r>
      <w:r>
        <w:rPr>
          <w:rFonts w:hint="eastAsia"/>
        </w:rPr>
        <w:t>45</w:t>
      </w:r>
      <w:r>
        <w:rPr>
          <w:rFonts w:hint="eastAsia"/>
        </w:rPr>
        <w:t>条关于九名参议员不经直接投票产生，以及前总统均为终身参议员的规定仍然有效；</w:t>
      </w:r>
    </w:p>
    <w:p w:rsidR="00000000" w:rsidRDefault="009C1C61">
      <w:pPr>
        <w:numPr>
          <w:ilvl w:val="0"/>
          <w:numId w:val="80"/>
        </w:numPr>
      </w:pPr>
      <w:r>
        <w:rPr>
          <w:rFonts w:hint="eastAsia"/>
        </w:rPr>
        <w:t>宪法法院并不是按照民主的原则组成的，因为一些成员是由国家安全委员会任命的。此外最高法院的三名法官兼任宪法法院的法官造成了事实上的职务重复。由于成员必须符合某些要求，法院的组成是有限制性的。目前，宪法法院有七名成员：最高法院推选的三名最高法院法官、国家安全委员会推选的两位律师、总统任命的一位律师以及由参议院推选的一位律师；</w:t>
      </w:r>
    </w:p>
    <w:p w:rsidR="00000000" w:rsidRDefault="009C1C61">
      <w:pPr>
        <w:numPr>
          <w:ilvl w:val="0"/>
          <w:numId w:val="80"/>
        </w:numPr>
        <w:rPr>
          <w:rFonts w:hint="eastAsia"/>
        </w:rPr>
      </w:pPr>
      <w:r>
        <w:rPr>
          <w:rFonts w:hint="eastAsia"/>
        </w:rPr>
        <w:t>国家安全委员会的决</w:t>
      </w:r>
      <w:r>
        <w:rPr>
          <w:rFonts w:hint="eastAsia"/>
        </w:rPr>
        <w:t>策权力和运作方式造成这样的局面：决定须由绝对多数通过。这就意味着，武装部队的代表</w:t>
      </w:r>
      <w:r>
        <w:t>(</w:t>
      </w:r>
      <w:r>
        <w:rPr>
          <w:rFonts w:hint="eastAsia"/>
        </w:rPr>
        <w:t>占委员会八位成员中的</w:t>
      </w:r>
      <w:r>
        <w:rPr>
          <w:rFonts w:hint="eastAsia"/>
        </w:rPr>
        <w:t>4</w:t>
      </w:r>
      <w:r>
        <w:rPr>
          <w:rFonts w:hint="eastAsia"/>
        </w:rPr>
        <w:t>位</w:t>
      </w:r>
      <w:r>
        <w:t>)</w:t>
      </w:r>
      <w:r>
        <w:rPr>
          <w:rFonts w:hint="eastAsia"/>
        </w:rPr>
        <w:t>在作决定时占决定性重要地位。目前，国家安全委员会由共和国总统任主席，其成员包括：参议院议长、最高法院院长、武装部队总司令、武警</w:t>
      </w:r>
      <w:r>
        <w:rPr>
          <w:rFonts w:hint="eastAsia"/>
        </w:rPr>
        <w:t>(</w:t>
      </w:r>
      <w:r>
        <w:rPr>
          <w:rFonts w:hint="eastAsia"/>
        </w:rPr>
        <w:t>准军事警察</w:t>
      </w:r>
      <w:r>
        <w:rPr>
          <w:rFonts w:hint="eastAsia"/>
        </w:rPr>
        <w:t>)</w:t>
      </w:r>
      <w:r>
        <w:rPr>
          <w:rFonts w:hint="eastAsia"/>
        </w:rPr>
        <w:t>司令以及共和国总审计长；</w:t>
      </w:r>
    </w:p>
    <w:p w:rsidR="00000000" w:rsidRDefault="009C1C61">
      <w:pPr>
        <w:numPr>
          <w:ilvl w:val="0"/>
          <w:numId w:val="80"/>
        </w:numPr>
        <w:rPr>
          <w:rFonts w:hint="eastAsia"/>
        </w:rPr>
      </w:pPr>
      <w:r>
        <w:rPr>
          <w:rFonts w:hint="eastAsia"/>
        </w:rPr>
        <w:t>武装部队</w:t>
      </w:r>
      <w:r>
        <w:rPr>
          <w:rFonts w:hint="eastAsia"/>
        </w:rPr>
        <w:t>(</w:t>
      </w:r>
      <w:r>
        <w:rPr>
          <w:rFonts w:hint="eastAsia"/>
        </w:rPr>
        <w:t>陆、海、空军</w:t>
      </w:r>
      <w:r>
        <w:rPr>
          <w:rFonts w:hint="eastAsia"/>
        </w:rPr>
        <w:t>)</w:t>
      </w:r>
      <w:r>
        <w:rPr>
          <w:rFonts w:hint="eastAsia"/>
        </w:rPr>
        <w:t>总司令和武警司令不能罢免；共和国总统不能将其免职。《宪法》第</w:t>
      </w:r>
      <w:r>
        <w:rPr>
          <w:rFonts w:hint="eastAsia"/>
        </w:rPr>
        <w:t>32</w:t>
      </w:r>
      <w:r>
        <w:rPr>
          <w:rFonts w:hint="eastAsia"/>
        </w:rPr>
        <w:t>条第</w:t>
      </w:r>
      <w:r>
        <w:rPr>
          <w:rFonts w:hint="eastAsia"/>
        </w:rPr>
        <w:t>18</w:t>
      </w:r>
      <w:r>
        <w:rPr>
          <w:rFonts w:hint="eastAsia"/>
        </w:rPr>
        <w:t>款规定的总统权力包括任免上述军事人员。第</w:t>
      </w:r>
      <w:r>
        <w:rPr>
          <w:rFonts w:hint="eastAsia"/>
        </w:rPr>
        <w:t>93</w:t>
      </w:r>
      <w:r>
        <w:rPr>
          <w:rFonts w:hint="eastAsia"/>
        </w:rPr>
        <w:t>条指出，他们的任期四年，但不得连任。《宪法》第</w:t>
      </w:r>
      <w:r>
        <w:t>94</w:t>
      </w:r>
      <w:r>
        <w:rPr>
          <w:rFonts w:hint="eastAsia"/>
        </w:rPr>
        <w:t>条规定，武装部队以及准军事警察军官的任命、提升以</w:t>
      </w:r>
      <w:r>
        <w:rPr>
          <w:rFonts w:hint="eastAsia"/>
        </w:rPr>
        <w:t>及退休必须根据“有关宪政组织法”通过最高政令进行。组织法应由适当的基本法律文书确定。然而，智利武装部队和武警成军基本法还规定，有关军官的任命、提升和退休等事务必须依照最高政令行事，同时还必须要有“有关军种总司令或者武警司令的推荐”。换句话说，这种规定实际上是剥夺了国家元首在这项事务中的决定权，因为如果没有武装部队司令或武警司令的推荐，总统无法行使他的宪法职权。</w:t>
      </w:r>
    </w:p>
    <w:p w:rsidR="00000000" w:rsidRDefault="009C1C61">
      <w:pPr>
        <w:spacing w:after="320"/>
      </w:pPr>
      <w:r>
        <w:rPr>
          <w:rFonts w:hint="eastAsia"/>
        </w:rPr>
        <w:tab/>
        <w:t xml:space="preserve">50.  </w:t>
      </w:r>
      <w:r>
        <w:rPr>
          <w:rFonts w:hint="eastAsia"/>
        </w:rPr>
        <w:t>为了弥补这些体制上的缺陷，</w:t>
      </w:r>
      <w:r>
        <w:t xml:space="preserve"> Patricio Aylwin</w:t>
      </w:r>
      <w:r>
        <w:rPr>
          <w:rFonts w:hint="eastAsia"/>
        </w:rPr>
        <w:t>总统政府和</w:t>
      </w:r>
      <w:r>
        <w:rPr>
          <w:rFonts w:hint="eastAsia"/>
        </w:rPr>
        <w:t>E</w:t>
      </w:r>
      <w:r>
        <w:t>duardo Frei</w:t>
      </w:r>
      <w:r>
        <w:rPr>
          <w:rFonts w:hint="eastAsia"/>
        </w:rPr>
        <w:t>政府均向议会提出一些宪政改革议案，主要目的在</w:t>
      </w:r>
      <w:r>
        <w:rPr>
          <w:rFonts w:hint="eastAsia"/>
        </w:rPr>
        <w:t>于修订国家安全委员会的运作、权力和组成；废除由体制机构任命的参议员席位</w:t>
      </w:r>
      <w:r>
        <w:rPr>
          <w:rFonts w:hint="eastAsia"/>
        </w:rPr>
        <w:t>(</w:t>
      </w:r>
      <w:r>
        <w:rPr>
          <w:rFonts w:hint="eastAsia"/>
        </w:rPr>
        <w:t>即不是经由直接投票产生的参议员</w:t>
      </w:r>
      <w:r>
        <w:rPr>
          <w:rFonts w:hint="eastAsia"/>
        </w:rPr>
        <w:t>)</w:t>
      </w:r>
      <w:r>
        <w:rPr>
          <w:rFonts w:hint="eastAsia"/>
        </w:rPr>
        <w:t>；修正双重选举制度；修正关于武装部队和武警的宪政组织法，以授予共和国总统有权不必事先按有关总司令的建议下令一般军官退休。然而这些改革未能通过，因为反政府的议员不支持。在</w:t>
      </w:r>
      <w:r>
        <w:rPr>
          <w:rFonts w:hint="eastAsia"/>
        </w:rPr>
        <w:t>L</w:t>
      </w:r>
      <w:r>
        <w:t>agos</w:t>
      </w:r>
      <w:r>
        <w:rPr>
          <w:rFonts w:hint="eastAsia"/>
        </w:rPr>
        <w:t>总统任期内，再度根据参议员宪法、立法、司法和规则委员会起草的宪法改革草案对上述宪法改革进行了讨论。</w:t>
      </w:r>
    </w:p>
    <w:p w:rsidR="00000000" w:rsidRDefault="009C1C61">
      <w:pPr>
        <w:pStyle w:val="Heading4"/>
        <w:rPr>
          <w:rFonts w:ascii="Time New Roman" w:eastAsia="SimHei" w:hAnsi="Time New Roman"/>
          <w:u w:val="none"/>
        </w:rPr>
      </w:pPr>
      <w:r>
        <w:rPr>
          <w:rFonts w:ascii="Time New Roman" w:eastAsia="SimHei" w:hAnsi="Time New Roman" w:hint="eastAsia"/>
          <w:u w:val="none"/>
        </w:rPr>
        <w:t>经济发展和自由处置天然财富和资源的权利</w:t>
      </w:r>
    </w:p>
    <w:p w:rsidR="00000000" w:rsidRDefault="009C1C61">
      <w:r>
        <w:rPr>
          <w:rFonts w:hint="eastAsia"/>
        </w:rPr>
        <w:tab/>
        <w:t xml:space="preserve">51.  </w:t>
      </w:r>
      <w:r>
        <w:rPr>
          <w:rFonts w:hint="eastAsia"/>
        </w:rPr>
        <w:t>在这方面，应指出，若干有效的宪法规定支持我们的经济发展权。《宪法》保证人人有权</w:t>
      </w:r>
      <w:r>
        <w:rPr>
          <w:rFonts w:hint="eastAsia"/>
        </w:rPr>
        <w:t>进行不伤害道德或危害公共程序或国家安全并符合适用的法律的经济活动。</w:t>
      </w:r>
      <w:r>
        <w:rPr>
          <w:rStyle w:val="FootnoteReference"/>
        </w:rPr>
        <w:footnoteReference w:id="5"/>
      </w:r>
    </w:p>
    <w:p w:rsidR="00000000" w:rsidRDefault="009C1C61">
      <w:pPr>
        <w:rPr>
          <w:rFonts w:hint="eastAsia"/>
        </w:rPr>
      </w:pPr>
      <w:r>
        <w:rPr>
          <w:rFonts w:hint="eastAsia"/>
        </w:rPr>
        <w:tab/>
        <w:t xml:space="preserve">52.  </w:t>
      </w:r>
      <w:r>
        <w:rPr>
          <w:rFonts w:hint="eastAsia"/>
        </w:rPr>
        <w:t>《宪法》保证人人可自由取得各类资产，但大自然赋予所有人的共同资产或法律规定应属于全国的资产</w:t>
      </w:r>
      <w:r>
        <w:rPr>
          <w:rFonts w:hint="eastAsia"/>
        </w:rPr>
        <w:t xml:space="preserve"> </w:t>
      </w:r>
      <w:r>
        <w:rPr>
          <w:rStyle w:val="FootnoteReference"/>
        </w:rPr>
        <w:footnoteReference w:id="6"/>
      </w:r>
      <w:r>
        <w:rPr>
          <w:rFonts w:hint="eastAsia"/>
        </w:rPr>
        <w:t xml:space="preserve"> </w:t>
      </w:r>
      <w:r>
        <w:rPr>
          <w:rFonts w:hint="eastAsia"/>
        </w:rPr>
        <w:t>除外。《宪法》规定财产所有权应受财产的“社会功能”的各种限制和义务的制约。</w:t>
      </w:r>
      <w:r>
        <w:rPr>
          <w:rStyle w:val="FootnoteReference"/>
        </w:rPr>
        <w:footnoteReference w:id="7"/>
      </w:r>
      <w:r>
        <w:rPr>
          <w:rFonts w:hint="eastAsia"/>
        </w:rPr>
        <w:t xml:space="preserve"> </w:t>
      </w:r>
      <w:r>
        <w:rPr>
          <w:rFonts w:hint="eastAsia"/>
        </w:rPr>
        <w:t>《宪法》允许根据事先通过的普通法或特别法，通过“征用”剥夺个人的财产，这种法律根据经立法机构认可的公共利益或国家利益批准征用。</w:t>
      </w:r>
    </w:p>
    <w:p w:rsidR="00000000" w:rsidRDefault="009C1C61">
      <w:pPr>
        <w:rPr>
          <w:rFonts w:hint="eastAsia"/>
        </w:rPr>
      </w:pPr>
      <w:r>
        <w:rPr>
          <w:rFonts w:hint="eastAsia"/>
        </w:rPr>
        <w:tab/>
        <w:t xml:space="preserve">53.  </w:t>
      </w:r>
      <w:r>
        <w:rPr>
          <w:rFonts w:hint="eastAsia"/>
        </w:rPr>
        <w:t>国家对所有矿场、包括海鸟粪沉积、金属矿砂、盐矿、煤矿层和碳氢化合物矿层和其他化石物质拥有绝对的、专有的、不能剥夺和不</w:t>
      </w:r>
      <w:r>
        <w:rPr>
          <w:rFonts w:hint="eastAsia"/>
        </w:rPr>
        <w:t>可侵犯的所有权，但表层粘土除外。</w:t>
      </w:r>
      <w:r>
        <w:rPr>
          <w:rStyle w:val="FootnoteReference"/>
        </w:rPr>
        <w:footnoteReference w:id="8"/>
      </w:r>
      <w:r>
        <w:rPr>
          <w:rFonts w:hint="eastAsia"/>
        </w:rPr>
        <w:t xml:space="preserve"> </w:t>
      </w:r>
      <w:r>
        <w:rPr>
          <w:rFonts w:hint="eastAsia"/>
        </w:rPr>
        <w:t>位于国家管辖海域内和全部或部分位于根据法律认定为涉及国家安全区内的液态或气态碳氢化合物和各种类型的矿层的勘探、开采或开发只能直接由国家或国家企业进行或根据共和国总统以最高政令规定的要求和条件，通过行政特许权或签订营业合同进行。</w:t>
      </w:r>
      <w:r>
        <w:rPr>
          <w:rStyle w:val="FootnoteReference"/>
        </w:rPr>
        <w:footnoteReference w:id="9"/>
      </w:r>
      <w:r>
        <w:rPr>
          <w:rFonts w:hint="eastAsia"/>
        </w:rPr>
        <w:t xml:space="preserve"> </w:t>
      </w:r>
      <w:r>
        <w:rPr>
          <w:rFonts w:hint="eastAsia"/>
        </w:rPr>
        <w:t>共和国总统可随时中止关于开采被宣布为涉及国家安全区的行政特许权或营业合同，不必说明理由但须提供适当的赔偿。其他国有矿山可由私人根据特许权勘探和开采，但受保护制度之限。这种特许权完全根据法院裁决授予，其有效期、可享受的权利和应尽的义务的规定则根据经</w:t>
      </w:r>
      <w:r>
        <w:rPr>
          <w:rFonts w:hint="eastAsia"/>
        </w:rPr>
        <w:t>七分之四现任众议员和参议员核准的法律作出。</w:t>
      </w:r>
      <w:r>
        <w:rPr>
          <w:rStyle w:val="FootnoteReference"/>
        </w:rPr>
        <w:footnoteReference w:id="10"/>
      </w:r>
    </w:p>
    <w:p w:rsidR="00000000" w:rsidRDefault="009C1C61">
      <w:pPr>
        <w:rPr>
          <w:rFonts w:hint="eastAsia"/>
        </w:rPr>
      </w:pPr>
      <w:r>
        <w:rPr>
          <w:rFonts w:hint="eastAsia"/>
        </w:rPr>
        <w:tab/>
        <w:t xml:space="preserve">54.  </w:t>
      </w:r>
      <w:r>
        <w:rPr>
          <w:rFonts w:hint="eastAsia"/>
        </w:rPr>
        <w:t>根据《宪法》过渡条款第</w:t>
      </w:r>
      <w:r>
        <w:rPr>
          <w:rFonts w:hint="eastAsia"/>
        </w:rPr>
        <w:t>3</w:t>
      </w:r>
      <w:r>
        <w:rPr>
          <w:rFonts w:hint="eastAsia"/>
        </w:rPr>
        <w:t>条的规定，按照</w:t>
      </w:r>
      <w:r>
        <w:rPr>
          <w:rFonts w:hint="eastAsia"/>
        </w:rPr>
        <w:t>1925</w:t>
      </w:r>
      <w:r>
        <w:rPr>
          <w:rFonts w:hint="eastAsia"/>
        </w:rPr>
        <w:t>年政治宪法过渡条款第</w:t>
      </w:r>
      <w:r>
        <w:rPr>
          <w:rFonts w:hint="eastAsia"/>
        </w:rPr>
        <w:t>17</w:t>
      </w:r>
      <w:r>
        <w:rPr>
          <w:rFonts w:hint="eastAsia"/>
        </w:rPr>
        <w:t>条被收归国有的大型铜矿厂及类似企业应仍继续根据</w:t>
      </w:r>
      <w:r>
        <w:rPr>
          <w:rFonts w:hint="eastAsia"/>
        </w:rPr>
        <w:t>1980</w:t>
      </w:r>
      <w:r>
        <w:rPr>
          <w:rFonts w:hint="eastAsia"/>
        </w:rPr>
        <w:t>年《宪法》颁布之日时仍有效的宪法规定运作。最后过渡条款</w:t>
      </w:r>
      <w:r>
        <w:rPr>
          <w:rFonts w:hint="eastAsia"/>
        </w:rPr>
        <w:t xml:space="preserve"> </w:t>
      </w:r>
      <w:r>
        <w:rPr>
          <w:rStyle w:val="FootnoteReference"/>
        </w:rPr>
        <w:footnoteReference w:id="11"/>
      </w:r>
      <w:r>
        <w:rPr>
          <w:rFonts w:hint="eastAsia"/>
        </w:rPr>
        <w:t xml:space="preserve"> </w:t>
      </w:r>
      <w:r>
        <w:rPr>
          <w:rFonts w:hint="eastAsia"/>
        </w:rPr>
        <w:t>已收入《宪法》，以便能够将多国公司控制的大型铜矿厂收归国有。前宪法过渡条款第</w:t>
      </w:r>
      <w:r>
        <w:rPr>
          <w:rFonts w:hint="eastAsia"/>
        </w:rPr>
        <w:t>17</w:t>
      </w:r>
      <w:r>
        <w:rPr>
          <w:rFonts w:hint="eastAsia"/>
        </w:rPr>
        <w:t>条第</w:t>
      </w:r>
      <w:r>
        <w:rPr>
          <w:rFonts w:hint="eastAsia"/>
        </w:rPr>
        <w:t>1</w:t>
      </w:r>
      <w:r>
        <w:rPr>
          <w:rFonts w:hint="eastAsia"/>
        </w:rPr>
        <w:t>款规定，“根据国家利益，为了行使国家自由处理其财富和自然资源的不可剥夺的自决权，并根据现行政治宪法第</w:t>
      </w:r>
      <w:r>
        <w:rPr>
          <w:rFonts w:hint="eastAsia"/>
        </w:rPr>
        <w:t>10</w:t>
      </w:r>
      <w:r>
        <w:rPr>
          <w:rFonts w:hint="eastAsia"/>
        </w:rPr>
        <w:t>条第</w:t>
      </w:r>
      <w:r>
        <w:rPr>
          <w:rFonts w:hint="eastAsia"/>
        </w:rPr>
        <w:t>10</w:t>
      </w:r>
      <w:r>
        <w:rPr>
          <w:rFonts w:hint="eastAsia"/>
        </w:rPr>
        <w:t>节的规定，法律认定为组成大型铜矿业的企业和</w:t>
      </w:r>
      <w:r>
        <w:t>Andina</w:t>
      </w:r>
      <w:r>
        <w:rPr>
          <w:rFonts w:hint="eastAsia"/>
        </w:rPr>
        <w:t>矿公司均收归国有，</w:t>
      </w:r>
      <w:r>
        <w:rPr>
          <w:rFonts w:hint="eastAsia"/>
        </w:rPr>
        <w:t>因此被宣布为完全属于国家的专有财产。”</w:t>
      </w:r>
    </w:p>
    <w:p w:rsidR="00000000" w:rsidRDefault="009C1C61">
      <w:pPr>
        <w:pStyle w:val="Heading3"/>
        <w:rPr>
          <w:rFonts w:hint="eastAsia"/>
        </w:rPr>
      </w:pPr>
      <w:r>
        <w:rPr>
          <w:rFonts w:hint="eastAsia"/>
        </w:rPr>
        <w:t>第</w:t>
      </w:r>
      <w:r>
        <w:t xml:space="preserve"> </w:t>
      </w:r>
      <w:r>
        <w:rPr>
          <w:rFonts w:hint="eastAsia"/>
        </w:rPr>
        <w:t>二</w:t>
      </w:r>
      <w:r>
        <w:t xml:space="preserve"> </w:t>
      </w:r>
      <w:r>
        <w:rPr>
          <w:rFonts w:hint="eastAsia"/>
        </w:rPr>
        <w:t>条</w:t>
      </w:r>
    </w:p>
    <w:p w:rsidR="00000000" w:rsidRDefault="009C1C61">
      <w:pPr>
        <w:pStyle w:val="Heading3"/>
        <w:rPr>
          <w:rFonts w:ascii="Time New Roman" w:hAnsi="Time New Roman" w:hint="eastAsia"/>
        </w:rPr>
      </w:pPr>
      <w:r>
        <w:rPr>
          <w:rFonts w:ascii="Time New Roman" w:hAnsi="Time New Roman" w:hint="eastAsia"/>
        </w:rPr>
        <w:t>采取措施</w:t>
      </w:r>
      <w:r>
        <w:rPr>
          <w:rFonts w:ascii="Time New Roman" w:hAnsi="Time New Roman" w:hint="eastAsia"/>
        </w:rPr>
        <w:t>(</w:t>
      </w:r>
      <w:r>
        <w:rPr>
          <w:rFonts w:ascii="Time New Roman" w:hAnsi="Time New Roman" w:hint="eastAsia"/>
        </w:rPr>
        <w:t>特别是经济和技术措施</w:t>
      </w:r>
      <w:r>
        <w:rPr>
          <w:rFonts w:ascii="Time New Roman" w:hAnsi="Time New Roman" w:hint="eastAsia"/>
        </w:rPr>
        <w:t xml:space="preserve">) </w:t>
      </w:r>
      <w:r>
        <w:rPr>
          <w:rFonts w:ascii="Time New Roman" w:hAnsi="Time New Roman" w:hint="eastAsia"/>
        </w:rPr>
        <w:t>以便以所有可能的方法，</w:t>
      </w:r>
      <w:r>
        <w:rPr>
          <w:rFonts w:ascii="Time New Roman" w:hAnsi="Time New Roman"/>
        </w:rPr>
        <w:br/>
      </w:r>
      <w:r>
        <w:rPr>
          <w:rFonts w:ascii="Time New Roman" w:hAnsi="Time New Roman" w:hint="eastAsia"/>
        </w:rPr>
        <w:t>特别是通过立法措施，逐渐实现《公约》所承认的权利</w:t>
      </w:r>
    </w:p>
    <w:p w:rsidR="00000000" w:rsidRDefault="009C1C61">
      <w:pPr>
        <w:rPr>
          <w:rFonts w:hint="eastAsia"/>
        </w:rPr>
      </w:pPr>
      <w:r>
        <w:rPr>
          <w:rFonts w:hint="eastAsia"/>
        </w:rPr>
        <w:tab/>
        <w:t xml:space="preserve">55.  </w:t>
      </w:r>
      <w:r>
        <w:rPr>
          <w:rFonts w:hint="eastAsia"/>
        </w:rPr>
        <w:t>该报告详细论述了为了逐渐执行《公约》所承认的权利而采取的所有措施。这方面包括通过立法措施，以及制定旨在在社会某些部门的框架内实现这些权利的公共政策。在不妨害《公约》第一条的基本原则的情况下，宪法保障了个人的基本政治和经济自由，</w:t>
      </w:r>
      <w:r>
        <w:rPr>
          <w:rStyle w:val="FootnoteReference"/>
        </w:rPr>
        <w:footnoteReference w:id="12"/>
      </w:r>
      <w:r>
        <w:rPr>
          <w:rFonts w:hint="eastAsia"/>
        </w:rPr>
        <w:t xml:space="preserve"> </w:t>
      </w:r>
      <w:r>
        <w:rPr>
          <w:rFonts w:hint="eastAsia"/>
        </w:rPr>
        <w:t>其中规定了保护公民的基本保证。智利共和国政治宪法中保障了《公约》中所承认的大多数权利。</w:t>
      </w:r>
      <w:r>
        <w:rPr>
          <w:rStyle w:val="FootnoteReference"/>
        </w:rPr>
        <w:footnoteReference w:id="13"/>
      </w:r>
    </w:p>
    <w:p w:rsidR="00000000" w:rsidRDefault="009C1C61">
      <w:pPr>
        <w:rPr>
          <w:rFonts w:hint="eastAsia"/>
        </w:rPr>
      </w:pPr>
      <w:r>
        <w:rPr>
          <w:rFonts w:hint="eastAsia"/>
          <w:vertAlign w:val="superscript"/>
        </w:rPr>
        <w:tab/>
      </w:r>
      <w:r>
        <w:rPr>
          <w:rFonts w:hint="eastAsia"/>
        </w:rPr>
        <w:t xml:space="preserve">56.  </w:t>
      </w:r>
      <w:r>
        <w:rPr>
          <w:rFonts w:hint="eastAsia"/>
        </w:rPr>
        <w:t>除了在整</w:t>
      </w:r>
      <w:r>
        <w:rPr>
          <w:rFonts w:hint="eastAsia"/>
        </w:rPr>
        <w:t>个法律体制内设想的，用以保障尊重权利和遵守法律规定的义务的程序性机制外，还有宪法第</w:t>
      </w:r>
      <w:r>
        <w:rPr>
          <w:rFonts w:hint="eastAsia"/>
        </w:rPr>
        <w:t>20</w:t>
      </w:r>
      <w:r>
        <w:rPr>
          <w:rFonts w:hint="eastAsia"/>
        </w:rPr>
        <w:t>条特别规定的称为保护的补救机制。这是一项预防措施，在任何这些保障受到侵犯的情况下，特别有效。公民首先可在上诉法庭然后在最高法院援引这项补救。因此，自由选择保健制度的权利、工作权，参加工会权和生活在没有污染环境里的权利受到这项保护措施的保护，它的运作方式类似人身保护令。</w:t>
      </w:r>
    </w:p>
    <w:p w:rsidR="00000000" w:rsidRDefault="009C1C61">
      <w:pPr>
        <w:spacing w:after="320"/>
        <w:rPr>
          <w:rFonts w:hint="eastAsia"/>
        </w:rPr>
      </w:pPr>
      <w:r>
        <w:rPr>
          <w:rFonts w:hint="eastAsia"/>
        </w:rPr>
        <w:tab/>
        <w:t xml:space="preserve">57.  </w:t>
      </w:r>
      <w:r>
        <w:rPr>
          <w:rFonts w:hint="eastAsia"/>
        </w:rPr>
        <w:t>关于保护这些属于人性的基本权利，宪法第</w:t>
      </w:r>
      <w:r>
        <w:rPr>
          <w:rFonts w:hint="eastAsia"/>
        </w:rPr>
        <w:t>5</w:t>
      </w:r>
      <w:r>
        <w:rPr>
          <w:rFonts w:hint="eastAsia"/>
        </w:rPr>
        <w:t>条规定：“</w:t>
      </w:r>
      <w:r>
        <w:rPr>
          <w:rFonts w:hint="eastAsia"/>
        </w:rPr>
        <w:t>(</w:t>
      </w:r>
      <w:r>
        <w:rPr>
          <w:rFonts w:hint="eastAsia"/>
        </w:rPr>
        <w:t>……</w:t>
      </w:r>
      <w:r>
        <w:rPr>
          <w:rFonts w:hint="eastAsia"/>
        </w:rPr>
        <w:t>)</w:t>
      </w:r>
      <w:r>
        <w:rPr>
          <w:rFonts w:hint="eastAsia"/>
        </w:rPr>
        <w:t>国家机关有责任保护和促进该宪法和目前生效的并经智利批准的国际条约所保护的权利，”而在第</w:t>
      </w:r>
      <w:r>
        <w:rPr>
          <w:rFonts w:hint="eastAsia"/>
        </w:rPr>
        <w:t>1</w:t>
      </w:r>
      <w:r>
        <w:rPr>
          <w:rFonts w:hint="eastAsia"/>
        </w:rPr>
        <w:t>条中也指出“国家应为个人服务，其宗旨是促进公共福利……国家的责任……是促进国内各部门的和谐融合”。</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非国民得不到对《公约》所载权利的保证以及目前差别待遇的理由</w:t>
      </w:r>
      <w:r>
        <w:rPr>
          <w:rStyle w:val="FootnoteReference"/>
          <w:rFonts w:ascii="Time New Roman" w:eastAsia="SimHei" w:hAnsi="Time New Roman"/>
          <w:u w:val="none"/>
        </w:rPr>
        <w:footnoteReference w:id="14"/>
      </w:r>
    </w:p>
    <w:p w:rsidR="00000000" w:rsidRDefault="009C1C61">
      <w:pPr>
        <w:rPr>
          <w:rFonts w:hint="eastAsia"/>
        </w:rPr>
      </w:pPr>
      <w:r>
        <w:rPr>
          <w:rFonts w:hint="eastAsia"/>
        </w:rPr>
        <w:tab/>
        <w:t xml:space="preserve">58.  </w:t>
      </w:r>
      <w:r>
        <w:rPr>
          <w:rFonts w:hint="eastAsia"/>
        </w:rPr>
        <w:t>国籍是一项关键因素，智利承认构成智利这个国家的所有个人的权利并促进保护这些权利和自由的机制。因此制定有效的移民政策，调和国家尊重非国民固有权利的责任及国家管理外国人入境和居住的权利，又考虑到本国公民的利益是很重要的。</w:t>
      </w:r>
    </w:p>
    <w:p w:rsidR="00000000" w:rsidRDefault="009C1C61">
      <w:pPr>
        <w:rPr>
          <w:rFonts w:hint="eastAsia"/>
        </w:rPr>
      </w:pPr>
      <w:r>
        <w:rPr>
          <w:rFonts w:hint="eastAsia"/>
        </w:rPr>
        <w:tab/>
        <w:t xml:space="preserve">59.  </w:t>
      </w:r>
      <w:r>
        <w:rPr>
          <w:rFonts w:hint="eastAsia"/>
        </w:rPr>
        <w:t>目前生效的关于外国人和移民的条例主要载在经过修正的外国人法案</w:t>
      </w:r>
      <w:r>
        <w:rPr>
          <w:rStyle w:val="FootnoteReference"/>
        </w:rPr>
        <w:footnoteReference w:id="15"/>
      </w:r>
      <w:r>
        <w:rPr>
          <w:rFonts w:hint="eastAsia"/>
        </w:rPr>
        <w:t xml:space="preserve"> </w:t>
      </w:r>
      <w:r>
        <w:rPr>
          <w:rFonts w:hint="eastAsia"/>
        </w:rPr>
        <w:t>中。关于庇护的问题，智利为</w:t>
      </w:r>
      <w:r>
        <w:rPr>
          <w:rFonts w:hint="eastAsia"/>
        </w:rPr>
        <w:t>1951</w:t>
      </w:r>
      <w:r>
        <w:rPr>
          <w:rFonts w:hint="eastAsia"/>
        </w:rPr>
        <w:t>年《关于</w:t>
      </w:r>
      <w:r>
        <w:rPr>
          <w:rFonts w:hint="eastAsia"/>
        </w:rPr>
        <w:t>难民地位的公约》及其</w:t>
      </w:r>
      <w:r>
        <w:rPr>
          <w:rFonts w:hint="eastAsia"/>
        </w:rPr>
        <w:t>1967</w:t>
      </w:r>
      <w:r>
        <w:rPr>
          <w:rFonts w:hint="eastAsia"/>
        </w:rPr>
        <w:t>年的附加议定书的缔约国。</w:t>
      </w:r>
      <w:r>
        <w:rPr>
          <w:rFonts w:hint="eastAsia"/>
        </w:rPr>
        <w:t>1996</w:t>
      </w:r>
      <w:r>
        <w:rPr>
          <w:rFonts w:hint="eastAsia"/>
        </w:rPr>
        <w:t>年在这个领域里作出了一些进展。</w:t>
      </w:r>
      <w:r>
        <w:rPr>
          <w:rStyle w:val="FootnoteReference"/>
        </w:rPr>
        <w:footnoteReference w:id="16"/>
      </w:r>
      <w:r>
        <w:rPr>
          <w:rFonts w:hint="eastAsia"/>
        </w:rPr>
        <w:t xml:space="preserve"> </w:t>
      </w:r>
    </w:p>
    <w:p w:rsidR="00000000" w:rsidRDefault="009C1C61">
      <w:pPr>
        <w:rPr>
          <w:rFonts w:hint="eastAsia"/>
        </w:rPr>
      </w:pPr>
      <w:r>
        <w:rPr>
          <w:rFonts w:hint="eastAsia"/>
        </w:rPr>
        <w:tab/>
        <w:t xml:space="preserve">60.  </w:t>
      </w:r>
      <w:r>
        <w:rPr>
          <w:rFonts w:hint="eastAsia"/>
        </w:rPr>
        <w:t>关于外国人法令中规定的标准和《宪法》中规定的权利和原则的关系，后者保障人人“有人身自由和安全权。因此，</w:t>
      </w:r>
      <w:r>
        <w:rPr>
          <w:rFonts w:hint="eastAsia"/>
        </w:rPr>
        <w:t>(</w:t>
      </w:r>
      <w:r>
        <w:t>a)</w:t>
      </w:r>
      <w:r>
        <w:rPr>
          <w:rFonts w:hint="eastAsia"/>
        </w:rPr>
        <w:t xml:space="preserve"> </w:t>
      </w:r>
      <w:r>
        <w:rPr>
          <w:rFonts w:hint="eastAsia"/>
        </w:rPr>
        <w:t>一个人有权居留在共和国任何地点，从一个地点迁往另一个地点，并且出入国境，只要遵守法律规定并且不令第三方受到损害。”</w:t>
      </w:r>
      <w:r>
        <w:rPr>
          <w:rStyle w:val="FootnoteReference"/>
        </w:rPr>
        <w:footnoteReference w:id="17"/>
      </w:r>
      <w:r>
        <w:rPr>
          <w:rFonts w:hint="eastAsia"/>
        </w:rPr>
        <w:t xml:space="preserve"> </w:t>
      </w:r>
      <w:r>
        <w:rPr>
          <w:rFonts w:hint="eastAsia"/>
        </w:rPr>
        <w:t>这项宪法规定申明居住权获得宪法的保障，而同时又授权立法人管制关于行使这项权利的条件。对居住权进行管制是因为需要保护或保存不单是其他宪法权利，而且是宪法所保护的其他资产。在这方面</w:t>
      </w:r>
      <w:r>
        <w:rPr>
          <w:rFonts w:hint="eastAsia"/>
        </w:rPr>
        <w:t>必须铭记着，根据《宪法》第</w:t>
      </w:r>
      <w:r>
        <w:rPr>
          <w:rFonts w:hint="eastAsia"/>
        </w:rPr>
        <w:t>5</w:t>
      </w:r>
      <w:r>
        <w:rPr>
          <w:rFonts w:hint="eastAsia"/>
        </w:rPr>
        <w:t>条，其所保护的权利包括那些智利所批准的并在该国生效的国际文书中所载的权利。</w:t>
      </w:r>
    </w:p>
    <w:p w:rsidR="00000000" w:rsidRDefault="009C1C61">
      <w:pPr>
        <w:rPr>
          <w:rFonts w:hint="eastAsia"/>
        </w:rPr>
      </w:pPr>
      <w:r>
        <w:rPr>
          <w:rFonts w:hint="eastAsia"/>
        </w:rPr>
        <w:tab/>
        <w:t xml:space="preserve">61.  </w:t>
      </w:r>
      <w:r>
        <w:rPr>
          <w:rFonts w:hint="eastAsia"/>
        </w:rPr>
        <w:t>同时，《宪法》本身也对立法者和行政当局的管制权力加以限制，因为它确保每一个人“获得保证，根据《宪法》要求管制或补充该文书所规定的保障或在其允许的情况下对其所加的限制不能影响这些权利的本质或强加条件、税项或要求以至妨碍自由地享有这些保障。”在这方面，并根据有关的立法，行政当局发给居留证和其他证件的权力将在慎重的基础上行使；在拒绝和取消居留证时必须按照法律所规定的一列有限的理由进行；在驱逐出境措施</w:t>
      </w:r>
      <w:r>
        <w:rPr>
          <w:rFonts w:hint="eastAsia"/>
        </w:rPr>
        <w:t>方面也是如此。</w:t>
      </w:r>
    </w:p>
    <w:p w:rsidR="00000000" w:rsidRDefault="009C1C61">
      <w:pPr>
        <w:rPr>
          <w:rFonts w:hint="eastAsia"/>
        </w:rPr>
      </w:pPr>
      <w:r>
        <w:rPr>
          <w:rFonts w:hint="eastAsia"/>
        </w:rPr>
        <w:tab/>
        <w:t xml:space="preserve">62.  </w:t>
      </w:r>
      <w:r>
        <w:rPr>
          <w:rFonts w:hint="eastAsia"/>
        </w:rPr>
        <w:t>一般说来，管制出入境的条例符合《非居住国公民个人人权宣言》</w:t>
      </w:r>
      <w:r>
        <w:rPr>
          <w:rStyle w:val="FootnoteReference"/>
        </w:rPr>
        <w:footnoteReference w:id="18"/>
      </w:r>
      <w:r>
        <w:rPr>
          <w:rFonts w:hint="eastAsia"/>
        </w:rPr>
        <w:t xml:space="preserve"> </w:t>
      </w:r>
      <w:r>
        <w:rPr>
          <w:rFonts w:hint="eastAsia"/>
        </w:rPr>
        <w:t>的内容，只要其规定不被解释为限制国家颁布有关外国人入境和居留期限和条件或规定国民和外国人差别的法律和条例。入境的限制限于所谓的“非正式游客签证，即与智利没有外交关系的国家的国民必须在有关的智利领事馆登记后才能入境，该项规则的基础是国际对等的考虑。该法律也载有关于因内部安全、公共卫生、社会福利</w:t>
      </w:r>
      <w:r>
        <w:rPr>
          <w:rFonts w:hint="eastAsia"/>
        </w:rPr>
        <w:t>(</w:t>
      </w:r>
      <w:r>
        <w:rPr>
          <w:rFonts w:hint="eastAsia"/>
        </w:rPr>
        <w:t>排除那些可能成为社会负担的人</w:t>
      </w:r>
      <w:r>
        <w:rPr>
          <w:rFonts w:hint="eastAsia"/>
        </w:rPr>
        <w:t>)</w:t>
      </w:r>
      <w:r>
        <w:rPr>
          <w:rFonts w:hint="eastAsia"/>
        </w:rPr>
        <w:t>等原因而禁止入境的必要条款</w:t>
      </w:r>
      <w:r>
        <w:rPr>
          <w:rStyle w:val="FootnoteReference"/>
        </w:rPr>
        <w:footnoteReference w:id="19"/>
      </w:r>
      <w:r>
        <w:rPr>
          <w:rFonts w:hint="eastAsia"/>
        </w:rPr>
        <w:t xml:space="preserve"> </w:t>
      </w:r>
      <w:r>
        <w:rPr>
          <w:rFonts w:hint="eastAsia"/>
        </w:rPr>
        <w:t>并排除那些犯有贩毒或参与白人奴隶贩卖等罪行的人。然而，这一条包括了一</w:t>
      </w:r>
      <w:r>
        <w:rPr>
          <w:rFonts w:hint="eastAsia"/>
        </w:rPr>
        <w:t>系列十分广泛和不够明确的禁止入境理由，允许移民当局可在纯粹意识形态的基础上禁止入境，包括“是一名工会成员或一名众所周知的煽动者或激进主义份子，”传播某些主义；这在宪法和国际标准方面同样是不能令人满意的。</w:t>
      </w:r>
    </w:p>
    <w:p w:rsidR="00000000" w:rsidRDefault="009C1C61">
      <w:pPr>
        <w:rPr>
          <w:rFonts w:hint="eastAsia"/>
        </w:rPr>
      </w:pPr>
      <w:r>
        <w:rPr>
          <w:rFonts w:hint="eastAsia"/>
        </w:rPr>
        <w:tab/>
        <w:t xml:space="preserve">63.  </w:t>
      </w:r>
      <w:r>
        <w:rPr>
          <w:rFonts w:hint="eastAsia"/>
        </w:rPr>
        <w:t>关于管制居留的条例也同样地不够明确。</w:t>
      </w:r>
      <w:r>
        <w:rPr>
          <w:rStyle w:val="FootnoteReference"/>
        </w:rPr>
        <w:footnoteReference w:id="20"/>
      </w:r>
      <w:r>
        <w:rPr>
          <w:rFonts w:hint="eastAsia"/>
        </w:rPr>
        <w:t xml:space="preserve"> </w:t>
      </w:r>
      <w:r>
        <w:rPr>
          <w:rFonts w:hint="eastAsia"/>
        </w:rPr>
        <w:t>举例说，一项规定允许根据“对国家是否有用处的原因”拒绝居留申请，而不提出任何明确的范围。</w:t>
      </w:r>
    </w:p>
    <w:p w:rsidR="00000000" w:rsidRDefault="009C1C61">
      <w:pPr>
        <w:rPr>
          <w:rFonts w:hint="eastAsia"/>
        </w:rPr>
      </w:pPr>
      <w:r>
        <w:rPr>
          <w:rFonts w:hint="eastAsia"/>
        </w:rPr>
        <w:tab/>
        <w:t xml:space="preserve">64.  </w:t>
      </w:r>
      <w:r>
        <w:rPr>
          <w:rFonts w:hint="eastAsia"/>
        </w:rPr>
        <w:t>在</w:t>
      </w:r>
      <w:r>
        <w:rPr>
          <w:rFonts w:hint="eastAsia"/>
        </w:rPr>
        <w:t>2001</w:t>
      </w:r>
      <w:r>
        <w:rPr>
          <w:rFonts w:hint="eastAsia"/>
        </w:rPr>
        <w:t>年</w:t>
      </w:r>
      <w:r>
        <w:rPr>
          <w:rFonts w:hint="eastAsia"/>
        </w:rPr>
        <w:t>9</w:t>
      </w:r>
      <w:r>
        <w:rPr>
          <w:rFonts w:hint="eastAsia"/>
        </w:rPr>
        <w:t>月和</w:t>
      </w:r>
      <w:r>
        <w:rPr>
          <w:rFonts w:hint="eastAsia"/>
        </w:rPr>
        <w:t>2002</w:t>
      </w:r>
      <w:r>
        <w:rPr>
          <w:rFonts w:hint="eastAsia"/>
        </w:rPr>
        <w:t>年</w:t>
      </w:r>
      <w:r>
        <w:rPr>
          <w:rFonts w:hint="eastAsia"/>
        </w:rPr>
        <w:t>4</w:t>
      </w:r>
      <w:r>
        <w:rPr>
          <w:rFonts w:hint="eastAsia"/>
        </w:rPr>
        <w:t>月之间，开了一个政府间委员会会议以便提出一项建议，使国家的移民政策现代化。政府认为虽然维持一项像外国人法令那样的永久性立法的</w:t>
      </w:r>
      <w:r>
        <w:rPr>
          <w:rFonts w:hint="eastAsia"/>
        </w:rPr>
        <w:t>生效是合理的，但必须制订一套标准和原则，用以规范有关当局必须在这个领域里采取的决定，而又不妨碍对法律可能必须作出的任何改革。已采取了这些措施，使有关当局根据外国人法令行使的权力符合国家在个人移民权利方面的义务。</w:t>
      </w:r>
    </w:p>
    <w:p w:rsidR="00000000" w:rsidRDefault="009C1C61">
      <w:pPr>
        <w:spacing w:after="320"/>
        <w:rPr>
          <w:rFonts w:hint="eastAsia"/>
        </w:rPr>
      </w:pPr>
      <w:r>
        <w:rPr>
          <w:rFonts w:hint="eastAsia"/>
        </w:rPr>
        <w:tab/>
        <w:t xml:space="preserve">65.  </w:t>
      </w:r>
      <w:r>
        <w:rPr>
          <w:rFonts w:hint="eastAsia"/>
        </w:rPr>
        <w:t>关于工作的权利，宪法保障人人可“自由地工作，并保护这项自由……”并禁止“不是基于个人技术或能力作出的任何歧视，虽然法律可能规定在某些情况下必须是智利公民，或受到年龄限制。”</w:t>
      </w:r>
      <w:r>
        <w:rPr>
          <w:rStyle w:val="FootnoteReference"/>
        </w:rPr>
        <w:footnoteReference w:id="21"/>
      </w:r>
      <w:r>
        <w:rPr>
          <w:rFonts w:hint="eastAsia"/>
        </w:rPr>
        <w:t xml:space="preserve"> </w:t>
      </w:r>
      <w:r>
        <w:rPr>
          <w:rFonts w:hint="eastAsia"/>
        </w:rPr>
        <w:t>在这方面劳工法规定：“为同一雇主工作的工人中，最少</w:t>
      </w:r>
      <w:r>
        <w:rPr>
          <w:rFonts w:hint="eastAsia"/>
        </w:rPr>
        <w:t>86%</w:t>
      </w:r>
      <w:r>
        <w:rPr>
          <w:rFonts w:hint="eastAsia"/>
        </w:rPr>
        <w:t>应为智利公民。这项规定不适用于少于</w:t>
      </w:r>
      <w:r>
        <w:rPr>
          <w:rFonts w:hint="eastAsia"/>
        </w:rPr>
        <w:t>25</w:t>
      </w:r>
      <w:r>
        <w:rPr>
          <w:rFonts w:hint="eastAsia"/>
        </w:rPr>
        <w:t>名雇员的雇主……</w:t>
      </w:r>
      <w:r>
        <w:rPr>
          <w:rStyle w:val="FootnoteReference"/>
        </w:rPr>
        <w:footnoteReference w:id="22"/>
      </w:r>
      <w:r>
        <w:rPr>
          <w:rFonts w:hint="eastAsia"/>
        </w:rPr>
        <w:t xml:space="preserve"> </w:t>
      </w:r>
      <w:r>
        <w:rPr>
          <w:rFonts w:hint="eastAsia"/>
        </w:rPr>
        <w:t>为了计算上一段提到的比例，应遵守下列规则：</w:t>
      </w:r>
      <w:r>
        <w:rPr>
          <w:rFonts w:hint="eastAsia"/>
        </w:rPr>
        <w:t xml:space="preserve">1.  </w:t>
      </w:r>
      <w:r>
        <w:rPr>
          <w:rFonts w:hint="eastAsia"/>
        </w:rPr>
        <w:t>计算时应考虑到雇主在智利境内的工人总数，但不包括那些另外受雇于不同的分公司里的雇员；</w:t>
      </w:r>
      <w:r>
        <w:rPr>
          <w:rFonts w:hint="eastAsia"/>
        </w:rPr>
        <w:t xml:space="preserve">2.  </w:t>
      </w:r>
      <w:r>
        <w:rPr>
          <w:rFonts w:hint="eastAsia"/>
        </w:rPr>
        <w:t>不能由本国人员替代的专家技术人员不应列入计算；</w:t>
      </w:r>
      <w:r>
        <w:rPr>
          <w:rFonts w:hint="eastAsia"/>
        </w:rPr>
        <w:t xml:space="preserve">3.  </w:t>
      </w:r>
      <w:r>
        <w:rPr>
          <w:rFonts w:hint="eastAsia"/>
        </w:rPr>
        <w:t>配偶或子女为智利人的外国人，或是智利配偶的未亡人应被当作为智利国籍；</w:t>
      </w:r>
      <w:r>
        <w:rPr>
          <w:rFonts w:hint="eastAsia"/>
        </w:rPr>
        <w:t xml:space="preserve">4.  </w:t>
      </w:r>
      <w:r>
        <w:rPr>
          <w:rFonts w:hint="eastAsia"/>
        </w:rPr>
        <w:t>在智利居留超过五年</w:t>
      </w:r>
      <w:r>
        <w:rPr>
          <w:rFonts w:hint="eastAsia"/>
        </w:rPr>
        <w:t>(</w:t>
      </w:r>
      <w:r>
        <w:rPr>
          <w:rFonts w:hint="eastAsia"/>
        </w:rPr>
        <w:t>非故意的离境不算</w:t>
      </w:r>
      <w:r>
        <w:rPr>
          <w:rFonts w:hint="eastAsia"/>
        </w:rPr>
        <w:t>)</w:t>
      </w:r>
      <w:r>
        <w:rPr>
          <w:rFonts w:hint="eastAsia"/>
        </w:rPr>
        <w:t>应被当作智利国籍。”这些规则与雇佣合同中应注明雇员国籍的规定挂勾。</w:t>
      </w:r>
      <w:r>
        <w:rPr>
          <w:rStyle w:val="FootnoteReference"/>
        </w:rPr>
        <w:footnoteReference w:id="23"/>
      </w:r>
      <w:r>
        <w:rPr>
          <w:rFonts w:hint="eastAsia"/>
        </w:rPr>
        <w:t xml:space="preserve"> </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本国立法中禁止歧视的具体规定</w:t>
      </w:r>
    </w:p>
    <w:p w:rsidR="00000000" w:rsidRDefault="009C1C61">
      <w:pPr>
        <w:rPr>
          <w:rFonts w:hint="eastAsia"/>
        </w:rPr>
      </w:pPr>
      <w:r>
        <w:rPr>
          <w:rFonts w:hint="eastAsia"/>
        </w:rPr>
        <w:tab/>
        <w:t xml:space="preserve">66.  </w:t>
      </w:r>
      <w:r>
        <w:rPr>
          <w:rFonts w:hint="eastAsia"/>
        </w:rPr>
        <w:t>政治宪法保证，个人权利的行使不应遭到任何歧视。第</w:t>
      </w:r>
      <w:r>
        <w:rPr>
          <w:rFonts w:hint="eastAsia"/>
        </w:rPr>
        <w:t>1</w:t>
      </w:r>
      <w:r>
        <w:rPr>
          <w:rFonts w:hint="eastAsia"/>
        </w:rPr>
        <w:t>条中规定：“男女生来平等自由并拥有平</w:t>
      </w:r>
      <w:r>
        <w:rPr>
          <w:rFonts w:hint="eastAsia"/>
        </w:rPr>
        <w:t>等权利……”而第</w:t>
      </w:r>
      <w:r>
        <w:rPr>
          <w:rFonts w:hint="eastAsia"/>
        </w:rPr>
        <w:t>19</w:t>
      </w:r>
      <w:r>
        <w:rPr>
          <w:rFonts w:hint="eastAsia"/>
        </w:rPr>
        <w:t>条则指出：“宪法保障所有人……</w:t>
      </w:r>
      <w:r>
        <w:rPr>
          <w:rFonts w:hint="eastAsia"/>
        </w:rPr>
        <w:t xml:space="preserve">2.  </w:t>
      </w:r>
      <w:r>
        <w:rPr>
          <w:rFonts w:hint="eastAsia"/>
        </w:rPr>
        <w:t>在法律上的平等。智利没有拥有特殊利益的人或团体……法律或任何权力机构都不能作出任何任意性的区别；</w:t>
      </w:r>
      <w:r>
        <w:rPr>
          <w:rFonts w:hint="eastAsia"/>
        </w:rPr>
        <w:t xml:space="preserve">3.  </w:t>
      </w:r>
      <w:r>
        <w:rPr>
          <w:rFonts w:hint="eastAsia"/>
        </w:rPr>
        <w:t>在行使他们的权利时得到法律的平等保护……”</w:t>
      </w:r>
      <w:r>
        <w:rPr>
          <w:rFonts w:hint="eastAsia"/>
        </w:rPr>
        <w:t xml:space="preserve">16.  </w:t>
      </w:r>
      <w:r>
        <w:rPr>
          <w:rFonts w:hint="eastAsia"/>
        </w:rPr>
        <w:t>工作自由和对该自由的保护。人人都有自由就业和自由选择工作并得到公平报酬的权利……“任何不是基于个人技巧或能力的歧视都受到禁止……虽然法律可能规定在某些情况下必须是智利公民，或受到年龄限制……</w:t>
      </w:r>
      <w:r>
        <w:rPr>
          <w:rFonts w:hint="eastAsia"/>
        </w:rPr>
        <w:t xml:space="preserve">22.  </w:t>
      </w:r>
      <w:r>
        <w:rPr>
          <w:rFonts w:hint="eastAsia"/>
        </w:rPr>
        <w:t>国家及其机关在经济事项方面提供的待遇不得有任意的歧视。只有通过一项法律，而且在该法律并不意味任何这</w:t>
      </w:r>
      <w:r>
        <w:rPr>
          <w:rFonts w:hint="eastAsia"/>
        </w:rPr>
        <w:t>种歧视的情况下，才能给予任何部门、活动或地理区域某些直接或间接的利益，或规定影响到个人或个人团体的特别费用。在特许经销权或间接利益的情况下，必须每年在预算案中列入估计的费用。”</w:t>
      </w:r>
    </w:p>
    <w:p w:rsidR="00000000" w:rsidRDefault="009C1C61">
      <w:pPr>
        <w:rPr>
          <w:rFonts w:hint="eastAsia"/>
        </w:rPr>
      </w:pPr>
      <w:r>
        <w:rPr>
          <w:rFonts w:hint="eastAsia"/>
        </w:rPr>
        <w:tab/>
        <w:t xml:space="preserve">67.  </w:t>
      </w:r>
      <w:r>
        <w:rPr>
          <w:rFonts w:hint="eastAsia"/>
        </w:rPr>
        <w:t>劳工法第</w:t>
      </w:r>
      <w:r>
        <w:rPr>
          <w:rFonts w:hint="eastAsia"/>
        </w:rPr>
        <w:t>2</w:t>
      </w:r>
      <w:r>
        <w:rPr>
          <w:rFonts w:hint="eastAsia"/>
        </w:rPr>
        <w:t>条规定：“根据种族、肤色、性别、所属工会、宗教、政治意见、国籍或社会出身作出的歧视、排斥或优待是违反劳工法原则的。因此雇主不得根据这类条件雇佣员工。”</w:t>
      </w:r>
    </w:p>
    <w:p w:rsidR="00000000" w:rsidRDefault="009C1C61">
      <w:pPr>
        <w:rPr>
          <w:rFonts w:hint="eastAsia"/>
        </w:rPr>
      </w:pPr>
      <w:r>
        <w:rPr>
          <w:rFonts w:hint="eastAsia"/>
        </w:rPr>
        <w:tab/>
        <w:t xml:space="preserve">68.  </w:t>
      </w:r>
      <w:r>
        <w:rPr>
          <w:rFonts w:hint="eastAsia"/>
        </w:rPr>
        <w:t>意见和新闻自由及从事记者专业法第</w:t>
      </w:r>
      <w:r>
        <w:rPr>
          <w:rFonts w:hint="eastAsia"/>
        </w:rPr>
        <w:t>31</w:t>
      </w:r>
      <w:r>
        <w:rPr>
          <w:rFonts w:hint="eastAsia"/>
        </w:rPr>
        <w:t>条规定，不论何人如通过任何社会通讯媒介，出版或传播任何旨在根据种族、性别、宗教或国籍鼓励对某些人或社团和仇恨或敌</w:t>
      </w:r>
      <w:r>
        <w:rPr>
          <w:rFonts w:hint="eastAsia"/>
        </w:rPr>
        <w:t>意的思想将被惩罚</w:t>
      </w:r>
      <w:r>
        <w:rPr>
          <w:rFonts w:hint="eastAsia"/>
        </w:rPr>
        <w:t>25</w:t>
      </w:r>
      <w:r>
        <w:rPr>
          <w:rFonts w:hint="eastAsia"/>
        </w:rPr>
        <w:t>至</w:t>
      </w:r>
      <w:r>
        <w:rPr>
          <w:rFonts w:hint="eastAsia"/>
        </w:rPr>
        <w:t>100</w:t>
      </w:r>
      <w:r>
        <w:rPr>
          <w:rFonts w:hint="eastAsia"/>
        </w:rPr>
        <w:t>个每月交税单位。如果再犯，该罚款可增加至</w:t>
      </w:r>
      <w:r>
        <w:rPr>
          <w:rFonts w:hint="eastAsia"/>
        </w:rPr>
        <w:t>200</w:t>
      </w:r>
      <w:r>
        <w:rPr>
          <w:rFonts w:hint="eastAsia"/>
        </w:rPr>
        <w:t>个每月交税单位。</w:t>
      </w:r>
      <w:r>
        <w:rPr>
          <w:rStyle w:val="FootnoteReference"/>
        </w:rPr>
        <w:footnoteReference w:id="24"/>
      </w:r>
      <w:r>
        <w:rPr>
          <w:rFonts w:hint="eastAsia"/>
        </w:rPr>
        <w:t xml:space="preserve"> </w:t>
      </w:r>
    </w:p>
    <w:p w:rsidR="00000000" w:rsidRDefault="009C1C61">
      <w:pPr>
        <w:spacing w:after="320"/>
        <w:rPr>
          <w:rFonts w:hint="eastAsia"/>
        </w:rPr>
      </w:pPr>
      <w:r>
        <w:rPr>
          <w:rFonts w:hint="eastAsia"/>
        </w:rPr>
        <w:tab/>
        <w:t xml:space="preserve">69.  </w:t>
      </w:r>
      <w:r>
        <w:rPr>
          <w:rFonts w:hint="eastAsia"/>
        </w:rPr>
        <w:t>土著人民法</w:t>
      </w:r>
      <w:r>
        <w:rPr>
          <w:rStyle w:val="FootnoteReference"/>
        </w:rPr>
        <w:footnoteReference w:id="25"/>
      </w:r>
      <w:r>
        <w:rPr>
          <w:rFonts w:hint="eastAsia"/>
        </w:rPr>
        <w:t xml:space="preserve"> </w:t>
      </w:r>
      <w:r>
        <w:rPr>
          <w:rFonts w:hint="eastAsia"/>
        </w:rPr>
        <w:t>第</w:t>
      </w:r>
      <w:r>
        <w:rPr>
          <w:rFonts w:hint="eastAsia"/>
        </w:rPr>
        <w:t>8</w:t>
      </w:r>
      <w:r>
        <w:rPr>
          <w:rFonts w:hint="eastAsia"/>
        </w:rPr>
        <w:t>条规定：“由于其出身或文化对土著人士进行公然和蓄意的歧视应被视为一项罪行。”</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残疾人的经济、社会和文化权利</w:t>
      </w:r>
      <w:r>
        <w:rPr>
          <w:rFonts w:ascii="Time New Roman" w:eastAsia="SimHei" w:hAnsi="Time New Roman" w:hint="eastAsia"/>
          <w:u w:val="none"/>
        </w:rPr>
        <w:t>(</w:t>
      </w:r>
      <w:r>
        <w:rPr>
          <w:rFonts w:ascii="Time New Roman" w:eastAsia="SimHei" w:hAnsi="Time New Roman" w:hint="eastAsia"/>
          <w:u w:val="none"/>
        </w:rPr>
        <w:t>经济、社会、文化权利委员会第</w:t>
      </w:r>
      <w:r>
        <w:rPr>
          <w:rFonts w:ascii="Time New Roman" w:eastAsia="SimHei" w:hAnsi="Time New Roman" w:hint="eastAsia"/>
          <w:b/>
          <w:u w:val="none"/>
        </w:rPr>
        <w:t>5</w:t>
      </w:r>
      <w:r>
        <w:rPr>
          <w:rFonts w:ascii="Time New Roman" w:eastAsia="SimHei" w:hAnsi="Time New Roman" w:hint="eastAsia"/>
          <w:u w:val="none"/>
        </w:rPr>
        <w:t>号</w:t>
      </w:r>
      <w:r>
        <w:rPr>
          <w:rFonts w:ascii="Time New Roman" w:eastAsia="SimHei" w:hAnsi="Time New Roman" w:hint="eastAsia"/>
          <w:u w:val="none"/>
        </w:rPr>
        <w:t>(</w:t>
      </w:r>
      <w:r>
        <w:rPr>
          <w:rFonts w:ascii="Time New Roman" w:eastAsia="SimHei" w:hAnsi="Time New Roman" w:hint="eastAsia"/>
          <w:b/>
          <w:u w:val="none"/>
        </w:rPr>
        <w:t>1994</w:t>
      </w:r>
      <w:r>
        <w:rPr>
          <w:rFonts w:ascii="Time New Roman" w:eastAsia="SimHei" w:hAnsi="Time New Roman" w:hint="eastAsia"/>
          <w:u w:val="none"/>
        </w:rPr>
        <w:t>)</w:t>
      </w:r>
      <w:r>
        <w:rPr>
          <w:rFonts w:ascii="Time New Roman" w:eastAsia="SimHei" w:hAnsi="Time New Roman" w:hint="eastAsia"/>
          <w:u w:val="none"/>
        </w:rPr>
        <w:t>一般性意见</w:t>
      </w:r>
      <w:r>
        <w:rPr>
          <w:rFonts w:ascii="Time New Roman" w:eastAsia="SimHei" w:hAnsi="Time New Roman" w:hint="eastAsia"/>
          <w:u w:val="none"/>
        </w:rPr>
        <w:t>)</w:t>
      </w:r>
    </w:p>
    <w:p w:rsidR="00000000" w:rsidRDefault="009C1C61">
      <w:pPr>
        <w:rPr>
          <w:rFonts w:hint="eastAsia"/>
        </w:rPr>
      </w:pPr>
      <w:r>
        <w:rPr>
          <w:rFonts w:hint="eastAsia"/>
        </w:rPr>
        <w:tab/>
        <w:t>70.  1990</w:t>
      </w:r>
      <w:r>
        <w:rPr>
          <w:rFonts w:hint="eastAsia"/>
        </w:rPr>
        <w:t>年代初的智利，政府在残疾领域里的行动只涉及诸如卫生和教育等少数部门。对这方面进行主要关切的是私营部门和非政府组织。</w:t>
      </w:r>
      <w:r>
        <w:rPr>
          <w:rFonts w:hint="eastAsia"/>
        </w:rPr>
        <w:t>1990</w:t>
      </w:r>
      <w:r>
        <w:rPr>
          <w:rFonts w:hint="eastAsia"/>
        </w:rPr>
        <w:t>年，在第一个协商政府下，智利开始对残疾问题予以较大的关切，为这一部分的人口制定</w:t>
      </w:r>
      <w:r>
        <w:rPr>
          <w:rFonts w:hint="eastAsia"/>
        </w:rPr>
        <w:t>了具体计划和方案。在这领域里最值得一提的是智利参加批准了各个国际组织通过的“关于残疾问题的协定”。</w:t>
      </w:r>
    </w:p>
    <w:p w:rsidR="00000000" w:rsidRDefault="009C1C61">
      <w:pPr>
        <w:spacing w:after="320"/>
        <w:rPr>
          <w:rFonts w:hint="eastAsia"/>
        </w:rPr>
      </w:pPr>
      <w:r>
        <w:rPr>
          <w:rFonts w:hint="eastAsia"/>
        </w:rPr>
        <w:tab/>
        <w:t xml:space="preserve">71.  </w:t>
      </w:r>
      <w:r>
        <w:rPr>
          <w:rFonts w:hint="eastAsia"/>
        </w:rPr>
        <w:t>这些措施被发展成为一个行动框架，针对国内的残疾问题，并在于改善这组人口的生活条件。政府的“社会议程”中纳入了残疾问题，残疾人在社会政策中被当作一个优先关注的团体；他们作为这些政策的主体，正开始发挥重要的作用。根据</w:t>
      </w:r>
      <w:r>
        <w:rPr>
          <w:rFonts w:hint="eastAsia"/>
        </w:rPr>
        <w:t>1996</w:t>
      </w:r>
      <w:r>
        <w:rPr>
          <w:rFonts w:hint="eastAsia"/>
        </w:rPr>
        <w:t>年进行的对全国的社会经济特点的调查</w:t>
      </w:r>
      <w:r>
        <w:rPr>
          <w:rStyle w:val="FootnoteReference"/>
        </w:rPr>
        <w:footnoteReference w:id="26"/>
      </w:r>
      <w:r>
        <w:rPr>
          <w:rFonts w:hint="eastAsia"/>
        </w:rPr>
        <w:t xml:space="preserve"> </w:t>
      </w:r>
      <w:r>
        <w:rPr>
          <w:rFonts w:hint="eastAsia"/>
        </w:rPr>
        <w:t>所显示的官方资料，残疾人占全国人口的</w:t>
      </w:r>
      <w:r>
        <w:rPr>
          <w:rFonts w:hint="eastAsia"/>
        </w:rPr>
        <w:t>4.3%</w:t>
      </w:r>
      <w:r>
        <w:rPr>
          <w:rFonts w:hint="eastAsia"/>
        </w:rPr>
        <w:t>。</w:t>
      </w:r>
      <w:r>
        <w:rPr>
          <w:rFonts w:hint="eastAsia"/>
        </w:rPr>
        <w:t>2000</w:t>
      </w:r>
      <w:r>
        <w:rPr>
          <w:rFonts w:hint="eastAsia"/>
        </w:rPr>
        <w:t>年进行的同一项调查显示该组人占全国人口的</w:t>
      </w:r>
      <w:r>
        <w:rPr>
          <w:rFonts w:hint="eastAsia"/>
        </w:rPr>
        <w:t>5.3%</w:t>
      </w:r>
      <w:r>
        <w:rPr>
          <w:rFonts w:hint="eastAsia"/>
        </w:rPr>
        <w:t>。</w:t>
      </w:r>
    </w:p>
    <w:p w:rsidR="00000000" w:rsidRDefault="009C1C61">
      <w:pPr>
        <w:pStyle w:val="Heading4"/>
        <w:rPr>
          <w:rFonts w:ascii="Time New Roman" w:eastAsia="SimHei" w:hAnsi="Time New Roman" w:hint="eastAsia"/>
          <w:u w:val="none"/>
        </w:rPr>
      </w:pPr>
      <w:r>
        <w:rPr>
          <w:rFonts w:ascii="Time New Roman" w:eastAsia="SimHei" w:hAnsi="Time New Roman" w:hint="eastAsia"/>
          <w:b/>
          <w:u w:val="none"/>
        </w:rPr>
        <w:t xml:space="preserve">1990 </w:t>
      </w:r>
      <w:r>
        <w:rPr>
          <w:rFonts w:ascii="Time New Roman" w:eastAsia="SimHei" w:hAnsi="Time New Roman" w:hint="eastAsia"/>
          <w:u w:val="none"/>
        </w:rPr>
        <w:t xml:space="preserve">- </w:t>
      </w:r>
      <w:r>
        <w:rPr>
          <w:rFonts w:ascii="Time New Roman" w:eastAsia="SimHei" w:hAnsi="Time New Roman" w:hint="eastAsia"/>
          <w:b/>
          <w:u w:val="none"/>
        </w:rPr>
        <w:t>2000</w:t>
      </w:r>
      <w:r>
        <w:rPr>
          <w:rFonts w:ascii="Time New Roman" w:eastAsia="SimHei" w:hAnsi="Time New Roman" w:hint="eastAsia"/>
          <w:u w:val="none"/>
        </w:rPr>
        <w:t>年期间智利在残</w:t>
      </w:r>
      <w:r>
        <w:rPr>
          <w:rFonts w:ascii="Time New Roman" w:eastAsia="SimHei" w:hAnsi="Time New Roman" w:hint="eastAsia"/>
          <w:u w:val="none"/>
        </w:rPr>
        <w:t>疾领域里的主要成就</w:t>
      </w:r>
    </w:p>
    <w:p w:rsidR="00000000" w:rsidRDefault="009C1C61">
      <w:pPr>
        <w:rPr>
          <w:rFonts w:hint="eastAsia"/>
        </w:rPr>
      </w:pPr>
      <w:r>
        <w:rPr>
          <w:rFonts w:hint="eastAsia"/>
        </w:rPr>
        <w:tab/>
        <w:t xml:space="preserve">72.  </w:t>
      </w:r>
      <w:r>
        <w:rPr>
          <w:rFonts w:hint="eastAsia"/>
        </w:rPr>
        <w:t>进行了下列活动：</w:t>
      </w:r>
    </w:p>
    <w:p w:rsidR="00000000" w:rsidRDefault="009C1C61">
      <w:pPr>
        <w:numPr>
          <w:ilvl w:val="0"/>
          <w:numId w:val="81"/>
        </w:numPr>
        <w:rPr>
          <w:rFonts w:hint="eastAsia"/>
        </w:rPr>
      </w:pPr>
      <w:r>
        <w:rPr>
          <w:rFonts w:hint="eastAsia"/>
        </w:rPr>
        <w:t>参与批准大会</w:t>
      </w:r>
      <w:r>
        <w:rPr>
          <w:rFonts w:hint="eastAsia"/>
        </w:rPr>
        <w:t>1982</w:t>
      </w:r>
      <w:r>
        <w:rPr>
          <w:rFonts w:hint="eastAsia"/>
        </w:rPr>
        <w:t>年</w:t>
      </w:r>
      <w:r>
        <w:rPr>
          <w:rFonts w:hint="eastAsia"/>
        </w:rPr>
        <w:t>12</w:t>
      </w:r>
      <w:r>
        <w:rPr>
          <w:rFonts w:hint="eastAsia"/>
        </w:rPr>
        <w:t>月</w:t>
      </w:r>
      <w:r>
        <w:rPr>
          <w:rFonts w:hint="eastAsia"/>
        </w:rPr>
        <w:t>3</w:t>
      </w:r>
      <w:r>
        <w:rPr>
          <w:rFonts w:hint="eastAsia"/>
        </w:rPr>
        <w:t>日第</w:t>
      </w:r>
      <w:r>
        <w:rPr>
          <w:rFonts w:hint="eastAsia"/>
        </w:rPr>
        <w:t>37/52</w:t>
      </w:r>
      <w:r>
        <w:rPr>
          <w:rFonts w:hint="eastAsia"/>
        </w:rPr>
        <w:t>号决议中通过的《关于残疾人的世界行动方案》。大会也宣布</w:t>
      </w:r>
      <w:r>
        <w:rPr>
          <w:rFonts w:hint="eastAsia"/>
        </w:rPr>
        <w:t>1983-1992</w:t>
      </w:r>
      <w:r>
        <w:rPr>
          <w:rFonts w:hint="eastAsia"/>
        </w:rPr>
        <w:t>年为《残疾人十年》以便执行《关于残疾人的世界行动纲领》。这就为在智利公共社会议程中列入这个问题提供了基础。</w:t>
      </w:r>
    </w:p>
    <w:p w:rsidR="00000000" w:rsidRDefault="009C1C61">
      <w:pPr>
        <w:numPr>
          <w:ilvl w:val="0"/>
          <w:numId w:val="81"/>
        </w:numPr>
        <w:rPr>
          <w:rFonts w:hint="eastAsia"/>
        </w:rPr>
      </w:pPr>
      <w:r>
        <w:rPr>
          <w:rFonts w:hint="eastAsia"/>
        </w:rPr>
        <w:t>1995</w:t>
      </w:r>
      <w:r>
        <w:rPr>
          <w:rFonts w:hint="eastAsia"/>
        </w:rPr>
        <w:t>年智利批准了国际劳工组织于</w:t>
      </w:r>
      <w:r>
        <w:rPr>
          <w:rFonts w:hint="eastAsia"/>
        </w:rPr>
        <w:t>1983</w:t>
      </w:r>
      <w:r>
        <w:rPr>
          <w:rFonts w:hint="eastAsia"/>
        </w:rPr>
        <w:t>年</w:t>
      </w:r>
      <w:r>
        <w:rPr>
          <w:rFonts w:hint="eastAsia"/>
        </w:rPr>
        <w:t>6</w:t>
      </w:r>
      <w:r>
        <w:rPr>
          <w:rFonts w:hint="eastAsia"/>
        </w:rPr>
        <w:t>月</w:t>
      </w:r>
      <w:r>
        <w:rPr>
          <w:rFonts w:hint="eastAsia"/>
        </w:rPr>
        <w:t xml:space="preserve">22 </w:t>
      </w:r>
      <w:r>
        <w:rPr>
          <w:rFonts w:hint="eastAsia"/>
        </w:rPr>
        <w:t>日通过的《关于职业康复的标准》。这是订立第</w:t>
      </w:r>
      <w:r>
        <w:rPr>
          <w:rFonts w:hint="eastAsia"/>
        </w:rPr>
        <w:t>159</w:t>
      </w:r>
      <w:r>
        <w:rPr>
          <w:rFonts w:hint="eastAsia"/>
        </w:rPr>
        <w:t>号公约和第</w:t>
      </w:r>
      <w:r>
        <w:rPr>
          <w:rFonts w:hint="eastAsia"/>
        </w:rPr>
        <w:t>99</w:t>
      </w:r>
      <w:r>
        <w:rPr>
          <w:rFonts w:hint="eastAsia"/>
        </w:rPr>
        <w:t>号和</w:t>
      </w:r>
      <w:r>
        <w:rPr>
          <w:rFonts w:hint="eastAsia"/>
        </w:rPr>
        <w:t>100</w:t>
      </w:r>
      <w:r>
        <w:rPr>
          <w:rFonts w:hint="eastAsia"/>
        </w:rPr>
        <w:t>号建议的日期。这些文书为不同国家制定残疾人康复和就业国家政策提供了基础。</w:t>
      </w:r>
    </w:p>
    <w:p w:rsidR="00000000" w:rsidRDefault="009C1C61">
      <w:pPr>
        <w:numPr>
          <w:ilvl w:val="0"/>
          <w:numId w:val="81"/>
        </w:numPr>
        <w:rPr>
          <w:rFonts w:hint="eastAsia"/>
        </w:rPr>
      </w:pPr>
      <w:r>
        <w:rPr>
          <w:rFonts w:hint="eastAsia"/>
        </w:rPr>
        <w:t>智利参加批准了大会在</w:t>
      </w:r>
      <w:r>
        <w:rPr>
          <w:rFonts w:hint="eastAsia"/>
        </w:rPr>
        <w:t>1993</w:t>
      </w:r>
      <w:r>
        <w:rPr>
          <w:rFonts w:hint="eastAsia"/>
        </w:rPr>
        <w:t>年</w:t>
      </w:r>
      <w:r>
        <w:rPr>
          <w:rFonts w:hint="eastAsia"/>
        </w:rPr>
        <w:t>12</w:t>
      </w:r>
      <w:r>
        <w:rPr>
          <w:rFonts w:hint="eastAsia"/>
        </w:rPr>
        <w:t>月</w:t>
      </w:r>
      <w:r>
        <w:rPr>
          <w:rFonts w:hint="eastAsia"/>
        </w:rPr>
        <w:t>2</w:t>
      </w:r>
      <w:r>
        <w:rPr>
          <w:rFonts w:hint="eastAsia"/>
        </w:rPr>
        <w:t>0</w:t>
      </w:r>
      <w:r>
        <w:rPr>
          <w:rFonts w:hint="eastAsia"/>
        </w:rPr>
        <w:t>日第</w:t>
      </w:r>
      <w:r>
        <w:rPr>
          <w:rFonts w:hint="eastAsia"/>
        </w:rPr>
        <w:t>48/96</w:t>
      </w:r>
      <w:r>
        <w:rPr>
          <w:rFonts w:hint="eastAsia"/>
        </w:rPr>
        <w:t>号决议中通过的《残疾人机会均等标准规则》。该项决议的目的是使有残疾的男孩和女孩，男人和女人，作为他们各自社会的成员拥有与其他人同等的权利和义务。国家有责任消除对残疾人的一切形式的歧视并促进他们参与社会。</w:t>
      </w:r>
    </w:p>
    <w:p w:rsidR="00000000" w:rsidRDefault="009C1C61">
      <w:pPr>
        <w:numPr>
          <w:ilvl w:val="0"/>
          <w:numId w:val="81"/>
        </w:numPr>
        <w:rPr>
          <w:rFonts w:hint="eastAsia"/>
        </w:rPr>
      </w:pPr>
      <w:r>
        <w:rPr>
          <w:rFonts w:hint="eastAsia"/>
        </w:rPr>
        <w:t>在这个国际情势下，残疾人法案</w:t>
      </w:r>
      <w:r>
        <w:rPr>
          <w:rStyle w:val="FootnoteReference"/>
        </w:rPr>
        <w:footnoteReference w:id="27"/>
      </w:r>
      <w:r>
        <w:rPr>
          <w:rFonts w:hint="eastAsia"/>
        </w:rPr>
        <w:t xml:space="preserve"> </w:t>
      </w:r>
      <w:r>
        <w:rPr>
          <w:rFonts w:hint="eastAsia"/>
        </w:rPr>
        <w:t>开始生效。它对残疾人的定义是“任何由于一项或多项身体、精神或感觉器官方面的缺陷，不论其是先天或后天的，显然是永久性并独立于引起这些缺陷的原因的，并发现其接受教育、工作和融合到社会中的能力减少了至少三分之一的人。”</w:t>
      </w:r>
    </w:p>
    <w:p w:rsidR="00000000" w:rsidRDefault="009C1C61">
      <w:pPr>
        <w:rPr>
          <w:rFonts w:hint="eastAsia"/>
        </w:rPr>
      </w:pPr>
      <w:r>
        <w:rPr>
          <w:rFonts w:hint="eastAsia"/>
        </w:rPr>
        <w:tab/>
        <w:t xml:space="preserve">73.  </w:t>
      </w:r>
      <w:r>
        <w:rPr>
          <w:rFonts w:hint="eastAsia"/>
        </w:rPr>
        <w:t>该法案也包括下列事项：</w:t>
      </w:r>
    </w:p>
    <w:p w:rsidR="00000000" w:rsidRDefault="009C1C61">
      <w:pPr>
        <w:numPr>
          <w:ilvl w:val="0"/>
          <w:numId w:val="82"/>
        </w:numPr>
        <w:rPr>
          <w:rFonts w:hint="eastAsia"/>
        </w:rPr>
      </w:pPr>
      <w:r>
        <w:rPr>
          <w:rFonts w:hint="eastAsia"/>
        </w:rPr>
        <w:t>残疾的定义</w:t>
      </w:r>
      <w:r>
        <w:rPr>
          <w:rFonts w:hint="eastAsia"/>
        </w:rPr>
        <w:t>和诊断；</w:t>
      </w:r>
    </w:p>
    <w:p w:rsidR="00000000" w:rsidRDefault="009C1C61">
      <w:pPr>
        <w:numPr>
          <w:ilvl w:val="0"/>
          <w:numId w:val="82"/>
        </w:numPr>
        <w:rPr>
          <w:rFonts w:hint="eastAsia"/>
        </w:rPr>
      </w:pPr>
      <w:r>
        <w:rPr>
          <w:rFonts w:hint="eastAsia"/>
        </w:rPr>
        <w:t>预防和康复，包括旨在预防可能引起残疾的缺陷的原因的措施和预防其发展或转变为其他残疾的措施；创造获得教育、文化、消息、通信、物质空间及免除车辆进口关税的同等机会；国家残疾登记册，旨在集中和更新法案中提到的残疾人士和机构的历史</w:t>
      </w:r>
      <w:r>
        <w:rPr>
          <w:rFonts w:hint="eastAsia"/>
        </w:rPr>
        <w:t>(</w:t>
      </w:r>
      <w:r>
        <w:rPr>
          <w:rFonts w:hint="eastAsia"/>
        </w:rPr>
        <w:t>残疾人组织和为其提供支助的组织</w:t>
      </w:r>
      <w:r>
        <w:rPr>
          <w:rFonts w:hint="eastAsia"/>
        </w:rPr>
        <w:t>)</w:t>
      </w:r>
      <w:r>
        <w:rPr>
          <w:rFonts w:hint="eastAsia"/>
        </w:rPr>
        <w:t>；</w:t>
      </w:r>
    </w:p>
    <w:p w:rsidR="00000000" w:rsidRDefault="009C1C61">
      <w:pPr>
        <w:numPr>
          <w:ilvl w:val="0"/>
          <w:numId w:val="82"/>
        </w:numPr>
        <w:rPr>
          <w:rFonts w:hint="eastAsia"/>
        </w:rPr>
      </w:pPr>
      <w:r>
        <w:rPr>
          <w:rFonts w:hint="eastAsia"/>
        </w:rPr>
        <w:t>关于享有旨在协助残疾人的权利和福利的程序和奖惩；</w:t>
      </w:r>
    </w:p>
    <w:p w:rsidR="00000000" w:rsidRDefault="009C1C61">
      <w:pPr>
        <w:numPr>
          <w:ilvl w:val="0"/>
          <w:numId w:val="82"/>
        </w:numPr>
        <w:rPr>
          <w:rFonts w:hint="eastAsia"/>
        </w:rPr>
      </w:pPr>
      <w:r>
        <w:rPr>
          <w:rFonts w:hint="eastAsia"/>
        </w:rPr>
        <w:t>全国残疾基金，一个拥有获取和行使权利和签订合同义务能力的独立机构；其宗旨是管理分配给残疾人的资源。</w:t>
      </w:r>
    </w:p>
    <w:p w:rsidR="00000000" w:rsidRDefault="009C1C61">
      <w:pPr>
        <w:rPr>
          <w:rFonts w:hint="eastAsia"/>
        </w:rPr>
      </w:pPr>
      <w:r>
        <w:rPr>
          <w:rFonts w:hint="eastAsia"/>
        </w:rPr>
        <w:tab/>
        <w:t xml:space="preserve">74.  </w:t>
      </w:r>
      <w:r>
        <w:rPr>
          <w:rFonts w:hint="eastAsia"/>
        </w:rPr>
        <w:t>残疾法案并得到下列条例的补充：</w:t>
      </w:r>
    </w:p>
    <w:p w:rsidR="00000000" w:rsidRDefault="009C1C61">
      <w:pPr>
        <w:numPr>
          <w:ilvl w:val="0"/>
          <w:numId w:val="83"/>
        </w:numPr>
        <w:rPr>
          <w:rFonts w:hint="eastAsia"/>
        </w:rPr>
      </w:pPr>
      <w:r>
        <w:rPr>
          <w:rFonts w:hint="eastAsia"/>
        </w:rPr>
        <w:t>关于公民身份和证件处的国家残疾登记册的条例</w:t>
      </w:r>
      <w:r>
        <w:rPr>
          <w:rFonts w:hint="eastAsia"/>
        </w:rPr>
        <w:t>(</w:t>
      </w:r>
      <w:r>
        <w:rPr>
          <w:rFonts w:hint="eastAsia"/>
        </w:rPr>
        <w:t>希望</w:t>
      </w:r>
      <w:r>
        <w:rPr>
          <w:rFonts w:hint="eastAsia"/>
        </w:rPr>
        <w:t>得到法律规定的福利的残疾人必须在此登记</w:t>
      </w:r>
      <w:r>
        <w:rPr>
          <w:rFonts w:hint="eastAsia"/>
        </w:rPr>
        <w:t>)</w:t>
      </w:r>
      <w:r>
        <w:rPr>
          <w:rFonts w:hint="eastAsia"/>
        </w:rPr>
        <w:t>。</w:t>
      </w:r>
      <w:r>
        <w:rPr>
          <w:rStyle w:val="FootnoteReference"/>
        </w:rPr>
        <w:footnoteReference w:id="28"/>
      </w:r>
      <w:r>
        <w:rPr>
          <w:rFonts w:hint="eastAsia"/>
        </w:rPr>
        <w:t xml:space="preserve"> 1999</w:t>
      </w:r>
      <w:r>
        <w:rPr>
          <w:rFonts w:hint="eastAsia"/>
        </w:rPr>
        <w:t>年登记册中有</w:t>
      </w:r>
      <w:r>
        <w:rPr>
          <w:rFonts w:hint="eastAsia"/>
        </w:rPr>
        <w:t>20,000</w:t>
      </w:r>
      <w:r>
        <w:rPr>
          <w:rFonts w:hint="eastAsia"/>
        </w:rPr>
        <w:t>个登记者；这个总数包括个人和法人及与残疾有关的专业协会。公民登记处的官员被授权为残疾人提供方便并优先处理他们的问题；</w:t>
      </w:r>
    </w:p>
    <w:p w:rsidR="00000000" w:rsidRDefault="009C1C61">
      <w:pPr>
        <w:numPr>
          <w:ilvl w:val="0"/>
          <w:numId w:val="83"/>
        </w:numPr>
        <w:rPr>
          <w:rFonts w:hint="eastAsia"/>
        </w:rPr>
      </w:pPr>
      <w:r>
        <w:rPr>
          <w:rFonts w:hint="eastAsia"/>
        </w:rPr>
        <w:t>关于评估和证明残疾的条例。这是一项不断的活动；应一名残疾人的要求，由预防医学和残疾委员会进行。卫生部拥有一个康复中心，该中心的设立是为了向在国家境内不同的公共服务提出申请人的提供这项服务；</w:t>
      </w:r>
      <w:r>
        <w:rPr>
          <w:rStyle w:val="FootnoteReference"/>
        </w:rPr>
        <w:footnoteReference w:id="29"/>
      </w:r>
    </w:p>
    <w:p w:rsidR="00000000" w:rsidRDefault="009C1C61">
      <w:pPr>
        <w:numPr>
          <w:ilvl w:val="0"/>
          <w:numId w:val="83"/>
        </w:numPr>
        <w:rPr>
          <w:rFonts w:hint="eastAsia"/>
        </w:rPr>
      </w:pPr>
      <w:r>
        <w:rPr>
          <w:rFonts w:hint="eastAsia"/>
        </w:rPr>
        <w:t>要求城市和农村地区集体交通服务</w:t>
      </w:r>
      <w:r>
        <w:rPr>
          <w:rFonts w:hint="eastAsia"/>
        </w:rPr>
        <w:t>(</w:t>
      </w:r>
      <w:r>
        <w:rPr>
          <w:rFonts w:hint="eastAsia"/>
        </w:rPr>
        <w:t>出租车除外</w:t>
      </w:r>
      <w:r>
        <w:rPr>
          <w:rFonts w:hint="eastAsia"/>
        </w:rPr>
        <w:t>)</w:t>
      </w:r>
      <w:r>
        <w:rPr>
          <w:rFonts w:hint="eastAsia"/>
        </w:rPr>
        <w:t>为残疾人在每十个座位中提供一个容易使用的座位；</w:t>
      </w:r>
      <w:r>
        <w:rPr>
          <w:rStyle w:val="FootnoteReference"/>
        </w:rPr>
        <w:footnoteReference w:id="30"/>
      </w:r>
    </w:p>
    <w:p w:rsidR="00000000" w:rsidRDefault="009C1C61">
      <w:pPr>
        <w:numPr>
          <w:ilvl w:val="0"/>
          <w:numId w:val="83"/>
        </w:numPr>
        <w:rPr>
          <w:rFonts w:hint="eastAsia"/>
        </w:rPr>
      </w:pPr>
      <w:r>
        <w:rPr>
          <w:rFonts w:hint="eastAsia"/>
        </w:rPr>
        <w:t>关于管制进口残疾人集体私人运输</w:t>
      </w:r>
      <w:r>
        <w:rPr>
          <w:rFonts w:hint="eastAsia"/>
        </w:rPr>
        <w:t>所用的特别车辆的程序和条件的条例。这一条例特别得到进口商的使用，他们利用小型车辆为残疾人创造了运输企业。没有见到经营集体交通的私人在使用这一条例；</w:t>
      </w:r>
      <w:r>
        <w:rPr>
          <w:rStyle w:val="FootnoteReference"/>
        </w:rPr>
        <w:footnoteReference w:id="31"/>
      </w:r>
      <w:r>
        <w:rPr>
          <w:rFonts w:hint="eastAsia"/>
        </w:rPr>
        <w:t xml:space="preserve"> </w:t>
      </w:r>
    </w:p>
    <w:p w:rsidR="00000000" w:rsidRDefault="009C1C61">
      <w:pPr>
        <w:numPr>
          <w:ilvl w:val="0"/>
          <w:numId w:val="83"/>
        </w:numPr>
        <w:rPr>
          <w:rFonts w:hint="eastAsia"/>
        </w:rPr>
      </w:pPr>
      <w:r>
        <w:br w:type="page"/>
      </w:r>
      <w:r>
        <w:rPr>
          <w:rFonts w:hint="eastAsia"/>
        </w:rPr>
        <w:t>关于进口伤残人使用的车辆的条例；</w:t>
      </w:r>
      <w:r>
        <w:rPr>
          <w:rStyle w:val="FootnoteReference"/>
        </w:rPr>
        <w:footnoteReference w:id="32"/>
      </w:r>
    </w:p>
    <w:p w:rsidR="00000000" w:rsidRDefault="009C1C61">
      <w:pPr>
        <w:numPr>
          <w:ilvl w:val="0"/>
          <w:numId w:val="83"/>
        </w:numPr>
        <w:rPr>
          <w:rFonts w:hint="eastAsia"/>
        </w:rPr>
      </w:pPr>
      <w:r>
        <w:rPr>
          <w:rFonts w:hint="eastAsia"/>
        </w:rPr>
        <w:t>修正《关于城市规划和建筑一般法令》的条例；它要求在新建筑物中消除建筑上的障碍。它规定为公共使用的建筑物建造坡道，建造行人横道小径、专门为残疾人使用的停车空间，在公共使用的场所和娱乐场所</w:t>
      </w:r>
      <w:r>
        <w:rPr>
          <w:rFonts w:hint="eastAsia"/>
        </w:rPr>
        <w:t>(</w:t>
      </w:r>
      <w:r>
        <w:rPr>
          <w:rFonts w:hint="eastAsia"/>
        </w:rPr>
        <w:t>球场、超级市场等</w:t>
      </w:r>
      <w:r>
        <w:rPr>
          <w:rFonts w:hint="eastAsia"/>
        </w:rPr>
        <w:t>)</w:t>
      </w:r>
      <w:r>
        <w:rPr>
          <w:rFonts w:hint="eastAsia"/>
        </w:rPr>
        <w:t>建造特别设备的厕所和电话、标志和保护性装置；</w:t>
      </w:r>
      <w:r>
        <w:rPr>
          <w:rStyle w:val="FootnoteReference"/>
        </w:rPr>
        <w:footnoteReference w:id="33"/>
      </w:r>
    </w:p>
    <w:p w:rsidR="00000000" w:rsidRDefault="009C1C61">
      <w:pPr>
        <w:numPr>
          <w:ilvl w:val="0"/>
          <w:numId w:val="83"/>
        </w:numPr>
        <w:rPr>
          <w:rFonts w:hint="eastAsia"/>
        </w:rPr>
      </w:pPr>
      <w:r>
        <w:rPr>
          <w:rFonts w:hint="eastAsia"/>
        </w:rPr>
        <w:t>关于在申请政府补助的住房时，为残疾人和有残疾人的家庭分配一些分数的条例</w:t>
      </w:r>
      <w:r>
        <w:rPr>
          <w:rFonts w:hint="eastAsia"/>
        </w:rPr>
        <w:t>(</w:t>
      </w:r>
      <w:r>
        <w:rPr>
          <w:rFonts w:hint="eastAsia"/>
        </w:rPr>
        <w:t>每人十分</w:t>
      </w:r>
      <w:r>
        <w:rPr>
          <w:rFonts w:hint="eastAsia"/>
        </w:rPr>
        <w:t>)</w:t>
      </w:r>
      <w:r>
        <w:rPr>
          <w:rFonts w:hint="eastAsia"/>
        </w:rPr>
        <w:t>；</w:t>
      </w:r>
      <w:r>
        <w:rPr>
          <w:rStyle w:val="FootnoteReference"/>
        </w:rPr>
        <w:footnoteReference w:id="34"/>
      </w:r>
    </w:p>
    <w:p w:rsidR="00000000" w:rsidRDefault="009C1C61">
      <w:pPr>
        <w:numPr>
          <w:ilvl w:val="0"/>
          <w:numId w:val="83"/>
        </w:numPr>
        <w:spacing w:after="320"/>
        <w:rPr>
          <w:rFonts w:hint="eastAsia"/>
        </w:rPr>
      </w:pPr>
      <w:r>
        <w:rPr>
          <w:rFonts w:hint="eastAsia"/>
        </w:rPr>
        <w:t>关于将有特别教育需要的男女学生融入学校制度的条例。有许多公立和私立学校正在制订将有特别教育需要的男孩和女孩融入正常学校的方案。此外，国家幼儿园委员会</w:t>
      </w:r>
      <w:r>
        <w:rPr>
          <w:rFonts w:hint="eastAsia"/>
        </w:rPr>
        <w:t>(</w:t>
      </w:r>
      <w:r>
        <w:rPr>
          <w:rFonts w:hint="eastAsia"/>
        </w:rPr>
        <w:t>国幼委</w:t>
      </w:r>
      <w:r>
        <w:t>)</w:t>
      </w:r>
      <w:r>
        <w:rPr>
          <w:rFonts w:hint="eastAsia"/>
        </w:rPr>
        <w:t>自</w:t>
      </w:r>
      <w:r>
        <w:rPr>
          <w:rFonts w:hint="eastAsia"/>
        </w:rPr>
        <w:t>1994</w:t>
      </w:r>
      <w:r>
        <w:rPr>
          <w:rFonts w:hint="eastAsia"/>
        </w:rPr>
        <w:t>年以来就已执行一个融合幼童的方案。许多这些学校必须改建。应该指出教育部正在为展开教育融合试验方案和为融合中的残疾男童和女童所使用的材料采购提供经费。这项特别教育方案的目的是在正常教育制度里满足所有残疾学生的教育需要，以一种公正的方式改善所有孩童的基本教育。目前有</w:t>
      </w:r>
      <w:r>
        <w:rPr>
          <w:rFonts w:hint="eastAsia"/>
        </w:rPr>
        <w:t>65,000</w:t>
      </w:r>
      <w:r>
        <w:rPr>
          <w:rFonts w:hint="eastAsia"/>
        </w:rPr>
        <w:t>名残疾男女孩上有融合方案的学校。这个项目的基础原则是</w:t>
      </w:r>
      <w:r>
        <w:rPr>
          <w:rFonts w:hint="eastAsia"/>
        </w:rPr>
        <w:t>达到同等机会，因为在公共教育制度内并不是所有学校都具有必要的条件能满足中级教育制度中的残疾儿童的特别教育需求；这种情况使他们更难以融入社会。该项目企图支持中级教育中低收入残疾儿童的教育融入过程。目前已在国内</w:t>
      </w:r>
      <w:r>
        <w:rPr>
          <w:rFonts w:hint="eastAsia"/>
        </w:rPr>
        <w:t>6</w:t>
      </w:r>
      <w:r>
        <w:rPr>
          <w:rFonts w:hint="eastAsia"/>
        </w:rPr>
        <w:t>个区域开始实施。</w:t>
      </w:r>
      <w:r>
        <w:rPr>
          <w:rStyle w:val="FootnoteReference"/>
        </w:rPr>
        <w:footnoteReference w:id="35"/>
      </w:r>
      <w:r>
        <w:rPr>
          <w:rFonts w:hint="eastAsia"/>
        </w:rPr>
        <w:t xml:space="preserve"> </w:t>
      </w:r>
      <w:r>
        <w:rPr>
          <w:rFonts w:hint="eastAsia"/>
        </w:rPr>
        <w:t>国家电视委员会</w:t>
      </w:r>
      <w:r>
        <w:rPr>
          <w:rFonts w:hint="eastAsia"/>
        </w:rPr>
        <w:t>1994</w:t>
      </w:r>
      <w:r>
        <w:rPr>
          <w:rFonts w:hint="eastAsia"/>
        </w:rPr>
        <w:t>年</w:t>
      </w:r>
      <w:r>
        <w:rPr>
          <w:rFonts w:hint="eastAsia"/>
        </w:rPr>
        <w:t>7</w:t>
      </w:r>
      <w:r>
        <w:rPr>
          <w:rFonts w:hint="eastAsia"/>
        </w:rPr>
        <w:t>月</w:t>
      </w:r>
      <w:r>
        <w:rPr>
          <w:rFonts w:hint="eastAsia"/>
        </w:rPr>
        <w:t>9</w:t>
      </w:r>
      <w:r>
        <w:rPr>
          <w:rFonts w:hint="eastAsia"/>
        </w:rPr>
        <w:t>日的决议规定了听觉有困难的人士获取电台和电视供应新闻的规则。这项决议通过在国内开放电视频道新闻广播中使用电传打字机而得到执行。还没有一个开放频道使用手势语翻译。</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工</w:t>
      </w:r>
      <w:r>
        <w:rPr>
          <w:rFonts w:ascii="Time New Roman" w:eastAsia="SimHei" w:hAnsi="Time New Roman" w:hint="eastAsia"/>
          <w:u w:val="none"/>
        </w:rPr>
        <w:t xml:space="preserve"> </w:t>
      </w:r>
      <w:r>
        <w:rPr>
          <w:rFonts w:ascii="Time New Roman" w:eastAsia="SimHei" w:hAnsi="Time New Roman" w:hint="eastAsia"/>
          <w:u w:val="none"/>
        </w:rPr>
        <w:t>作</w:t>
      </w:r>
      <w:r>
        <w:rPr>
          <w:rFonts w:ascii="Time New Roman" w:eastAsia="SimHei" w:hAnsi="Time New Roman" w:hint="eastAsia"/>
          <w:u w:val="none"/>
        </w:rPr>
        <w:t xml:space="preserve"> </w:t>
      </w:r>
      <w:r>
        <w:rPr>
          <w:rFonts w:ascii="Time New Roman" w:eastAsia="SimHei" w:hAnsi="Time New Roman" w:hint="eastAsia"/>
          <w:u w:val="none"/>
        </w:rPr>
        <w:t>权</w:t>
      </w:r>
    </w:p>
    <w:p w:rsidR="00000000" w:rsidRDefault="009C1C61">
      <w:pPr>
        <w:rPr>
          <w:rFonts w:hint="eastAsia"/>
        </w:rPr>
      </w:pPr>
      <w:r>
        <w:rPr>
          <w:rFonts w:hint="eastAsia"/>
        </w:rPr>
        <w:tab/>
        <w:t xml:space="preserve">75.  </w:t>
      </w:r>
      <w:r>
        <w:rPr>
          <w:rFonts w:hint="eastAsia"/>
        </w:rPr>
        <w:t>在国家事务的各个不同方面，如康复、教育、统计、人口学、社会学、经济、</w:t>
      </w:r>
      <w:r>
        <w:rPr>
          <w:rFonts w:hint="eastAsia"/>
        </w:rPr>
        <w:t>人类学、法律、政治和其他领域里使用世界卫生组织于</w:t>
      </w:r>
      <w:r>
        <w:rPr>
          <w:rFonts w:hint="eastAsia"/>
        </w:rPr>
        <w:t>1980</w:t>
      </w:r>
      <w:r>
        <w:rPr>
          <w:rFonts w:hint="eastAsia"/>
        </w:rPr>
        <w:t>年制定的缺陷、残疾和障碍的国际分类。该分类被用来将残疾的变数纳入诸如</w:t>
      </w:r>
      <w:r>
        <w:rPr>
          <w:rFonts w:hint="eastAsia"/>
        </w:rPr>
        <w:t>1992</w:t>
      </w:r>
      <w:r>
        <w:rPr>
          <w:rFonts w:hint="eastAsia"/>
        </w:rPr>
        <w:t>年的全国普查、</w:t>
      </w:r>
      <w:r>
        <w:rPr>
          <w:rFonts w:hint="eastAsia"/>
        </w:rPr>
        <w:t>1996</w:t>
      </w:r>
      <w:r>
        <w:rPr>
          <w:rFonts w:hint="eastAsia"/>
        </w:rPr>
        <w:t>年和</w:t>
      </w:r>
      <w:r>
        <w:rPr>
          <w:rFonts w:hint="eastAsia"/>
        </w:rPr>
        <w:t>2000</w:t>
      </w:r>
      <w:r>
        <w:rPr>
          <w:rFonts w:hint="eastAsia"/>
        </w:rPr>
        <w:t>年对全国的社会经济特点调查和</w:t>
      </w:r>
      <w:r>
        <w:rPr>
          <w:rFonts w:hint="eastAsia"/>
        </w:rPr>
        <w:t>2002</w:t>
      </w:r>
      <w:r>
        <w:rPr>
          <w:rFonts w:hint="eastAsia"/>
        </w:rPr>
        <w:t>年的人口和住房普查等官方工具中。</w:t>
      </w:r>
    </w:p>
    <w:p w:rsidR="00000000" w:rsidRDefault="009C1C61">
      <w:pPr>
        <w:rPr>
          <w:rFonts w:hint="eastAsia"/>
        </w:rPr>
      </w:pPr>
      <w:r>
        <w:rPr>
          <w:rFonts w:hint="eastAsia"/>
        </w:rPr>
        <w:tab/>
        <w:t xml:space="preserve">76.  </w:t>
      </w:r>
      <w:r>
        <w:rPr>
          <w:rFonts w:hint="eastAsia"/>
        </w:rPr>
        <w:t>根据</w:t>
      </w:r>
      <w:r>
        <w:rPr>
          <w:rFonts w:hint="eastAsia"/>
        </w:rPr>
        <w:t>2000</w:t>
      </w:r>
      <w:r>
        <w:rPr>
          <w:rFonts w:hint="eastAsia"/>
        </w:rPr>
        <w:t>年对全国社会</w:t>
      </w:r>
      <w:r>
        <w:rPr>
          <w:rFonts w:hint="eastAsia"/>
          <w:spacing w:val="-40"/>
        </w:rPr>
        <w:t>——</w:t>
      </w:r>
      <w:r>
        <w:rPr>
          <w:rFonts w:hint="eastAsia"/>
        </w:rPr>
        <w:t>经济特点的调查，</w:t>
      </w:r>
      <w:r>
        <w:rPr>
          <w:rFonts w:hint="eastAsia"/>
        </w:rPr>
        <w:t>21.5%</w:t>
      </w:r>
      <w:r>
        <w:rPr>
          <w:rFonts w:hint="eastAsia"/>
        </w:rPr>
        <w:t>的残疾人在工作。为了遵守</w:t>
      </w:r>
      <w:r>
        <w:rPr>
          <w:rFonts w:hint="eastAsia"/>
        </w:rPr>
        <w:t>1999</w:t>
      </w:r>
      <w:r>
        <w:rPr>
          <w:rFonts w:hint="eastAsia"/>
        </w:rPr>
        <w:t>年颁布的残疾人社会融合国家政策中规定的原则，正在加强将残疾人融合到工作队伍中，并为他们拟订了安插和受保护的就业方案。就业的残疾人不受到任何特别待遇，但是在正常的公共行政系统里和私</w:t>
      </w:r>
      <w:r>
        <w:rPr>
          <w:rFonts w:hint="eastAsia"/>
        </w:rPr>
        <w:t>人实体里为他们提供的空缺在增加。</w:t>
      </w:r>
    </w:p>
    <w:p w:rsidR="00000000" w:rsidRDefault="009C1C61">
      <w:pPr>
        <w:spacing w:after="320"/>
        <w:rPr>
          <w:rFonts w:hint="eastAsia"/>
        </w:rPr>
      </w:pPr>
      <w:r>
        <w:rPr>
          <w:rFonts w:hint="eastAsia"/>
        </w:rPr>
        <w:tab/>
        <w:t xml:space="preserve">77.  </w:t>
      </w:r>
      <w:r>
        <w:rPr>
          <w:rFonts w:hint="eastAsia"/>
        </w:rPr>
        <w:t>在智利，没有规定公共和私人实体雇佣残疾人的特殊条例。然而，作为一项鼓励征聘他们的手段，在颁布残疾人法令之同时，共和国总统于</w:t>
      </w:r>
      <w:r>
        <w:rPr>
          <w:rFonts w:hint="eastAsia"/>
        </w:rPr>
        <w:t>1994</w:t>
      </w:r>
      <w:r>
        <w:rPr>
          <w:rFonts w:hint="eastAsia"/>
        </w:rPr>
        <w:t>年向所有公共实体发出了指令，要求它们在一项工作所要求的资格和履行条件等其他方面同等的情况下，对残疾人予以优先考虑。</w:t>
      </w:r>
    </w:p>
    <w:p w:rsidR="00000000" w:rsidRDefault="009C1C61">
      <w:pPr>
        <w:pStyle w:val="Heading4"/>
        <w:rPr>
          <w:rFonts w:hint="eastAsia"/>
        </w:rPr>
      </w:pPr>
      <w:r>
        <w:rPr>
          <w:rFonts w:ascii="Time New Roman" w:eastAsia="SimHei" w:hAnsi="Time New Roman" w:hint="eastAsia"/>
          <w:u w:val="none"/>
        </w:rPr>
        <w:t>社会保险权</w:t>
      </w:r>
    </w:p>
    <w:p w:rsidR="00000000" w:rsidRDefault="009C1C61">
      <w:pPr>
        <w:rPr>
          <w:rFonts w:hint="eastAsia"/>
        </w:rPr>
      </w:pPr>
      <w:r>
        <w:rPr>
          <w:rFonts w:hint="eastAsia"/>
        </w:rPr>
        <w:tab/>
        <w:t xml:space="preserve">78.  </w:t>
      </w:r>
      <w:r>
        <w:rPr>
          <w:rFonts w:hint="eastAsia"/>
        </w:rPr>
        <w:t>社会保险是一项人人应享有的权利，不论社会、经济、文化、健康或种族因素。政府在不断改善获取社会保险的条件，以便规定一个有保证的最低标准，特别是为那些患有任何残疾而又无社会保险的人。</w:t>
      </w:r>
    </w:p>
    <w:p w:rsidR="00000000" w:rsidRDefault="009C1C61">
      <w:pPr>
        <w:rPr>
          <w:rFonts w:hint="eastAsia"/>
        </w:rPr>
      </w:pPr>
      <w:r>
        <w:rPr>
          <w:rFonts w:hint="eastAsia"/>
        </w:rPr>
        <w:tab/>
        <w:t xml:space="preserve">79.  </w:t>
      </w:r>
      <w:r>
        <w:rPr>
          <w:rFonts w:hint="eastAsia"/>
        </w:rPr>
        <w:t>关于</w:t>
      </w:r>
      <w:r>
        <w:rPr>
          <w:rFonts w:hint="eastAsia"/>
        </w:rPr>
        <w:t>晋级和休假的规定适用于所有工人，不论是公共或私人部门的雇员。在这方面，私人企业必须遵守关于工作意外和职业病及养老金保险制度的规则；在公共行政部门也适用上述规则。在有关《公约》第九条的段落里将详细讨论这些事项。</w:t>
      </w:r>
    </w:p>
    <w:p w:rsidR="00000000" w:rsidRDefault="009C1C61">
      <w:pPr>
        <w:rPr>
          <w:rFonts w:hint="eastAsia"/>
        </w:rPr>
      </w:pPr>
      <w:r>
        <w:rPr>
          <w:rFonts w:hint="eastAsia"/>
        </w:rPr>
        <w:tab/>
        <w:t xml:space="preserve">80.  </w:t>
      </w:r>
      <w:r>
        <w:rPr>
          <w:rFonts w:hint="eastAsia"/>
        </w:rPr>
        <w:t>最缺乏资源的人，可以残疾或精神缺陷为理由申请援助养老金。这项福利已在逐渐扩大以包括更多的残疾人。根据</w:t>
      </w:r>
      <w:r>
        <w:rPr>
          <w:rFonts w:hint="eastAsia"/>
        </w:rPr>
        <w:t>1996</w:t>
      </w:r>
      <w:r>
        <w:rPr>
          <w:rFonts w:hint="eastAsia"/>
        </w:rPr>
        <w:t>年社会经济趋势调查，有</w:t>
      </w:r>
      <w:r>
        <w:rPr>
          <w:rFonts w:hint="eastAsia"/>
        </w:rPr>
        <w:t>29.7%</w:t>
      </w:r>
      <w:r>
        <w:rPr>
          <w:rFonts w:hint="eastAsia"/>
        </w:rPr>
        <w:t>的残疾人获得这项福利，他们有一项收入并得到各级的全面保健。</w:t>
      </w:r>
    </w:p>
    <w:p w:rsidR="00000000" w:rsidRDefault="009C1C61">
      <w:pPr>
        <w:spacing w:after="320"/>
        <w:rPr>
          <w:rFonts w:hint="eastAsia"/>
        </w:rPr>
      </w:pPr>
      <w:r>
        <w:rPr>
          <w:rFonts w:hint="eastAsia"/>
        </w:rPr>
        <w:tab/>
        <w:t>81.  1994-1998</w:t>
      </w:r>
      <w:r>
        <w:rPr>
          <w:rFonts w:hint="eastAsia"/>
        </w:rPr>
        <w:t>年间获得补助养恤金的人数增加了</w:t>
      </w:r>
      <w:r>
        <w:rPr>
          <w:rFonts w:hint="eastAsia"/>
        </w:rPr>
        <w:t>12%</w:t>
      </w:r>
      <w:r>
        <w:rPr>
          <w:rFonts w:hint="eastAsia"/>
        </w:rPr>
        <w:t>。因残废原因支付的补助养</w:t>
      </w:r>
      <w:r>
        <w:rPr>
          <w:rFonts w:hint="eastAsia"/>
        </w:rPr>
        <w:t>恤金的对象是既没有资源又没有社会保险的人。这种养恤金支付到受益人死亡为止。</w:t>
      </w:r>
      <w:r>
        <w:rPr>
          <w:rFonts w:hint="eastAsia"/>
        </w:rPr>
        <w:t>1990-1998</w:t>
      </w:r>
      <w:r>
        <w:rPr>
          <w:rFonts w:hint="eastAsia"/>
        </w:rPr>
        <w:t>年间补助养恤金的支付情况见表：</w:t>
      </w:r>
    </w:p>
    <w:p w:rsidR="00000000" w:rsidRDefault="009C1C61">
      <w:pPr>
        <w:pStyle w:val="Heading3"/>
        <w:rPr>
          <w:rFonts w:hint="eastAsia"/>
        </w:rPr>
      </w:pPr>
      <w:r>
        <w:rPr>
          <w:rFonts w:hint="eastAsia"/>
        </w:rPr>
        <w:t>表</w:t>
      </w:r>
      <w:r>
        <w:rPr>
          <w:rFonts w:hint="eastAsia"/>
        </w:rPr>
        <w:t xml:space="preserve"> 1.  </w:t>
      </w:r>
      <w:r>
        <w:rPr>
          <w:rFonts w:hint="eastAsia"/>
        </w:rPr>
        <w:t>根据补助的原因分列的每年发放补助养恤金的数目</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40"/>
        <w:gridCol w:w="1568"/>
        <w:gridCol w:w="1569"/>
        <w:gridCol w:w="1568"/>
        <w:gridCol w:w="1568"/>
        <w:gridCol w:w="1547"/>
      </w:tblGrid>
      <w:tr w:rsidR="00000000">
        <w:tblPrEx>
          <w:tblCellMar>
            <w:top w:w="0" w:type="dxa"/>
            <w:bottom w:w="0" w:type="dxa"/>
          </w:tblCellMar>
        </w:tblPrEx>
        <w:tc>
          <w:tcPr>
            <w:tcW w:w="1540" w:type="dxa"/>
          </w:tcPr>
          <w:p w:rsidR="00000000" w:rsidRDefault="009C1C61">
            <w:pPr>
              <w:spacing w:before="120"/>
              <w:jc w:val="center"/>
              <w:rPr>
                <w:rFonts w:hint="eastAsia"/>
                <w:sz w:val="21"/>
              </w:rPr>
            </w:pPr>
            <w:r>
              <w:rPr>
                <w:rFonts w:hint="eastAsia"/>
                <w:sz w:val="21"/>
              </w:rPr>
              <w:t>年</w:t>
            </w:r>
            <w:r>
              <w:rPr>
                <w:rFonts w:hint="eastAsia"/>
                <w:sz w:val="21"/>
              </w:rPr>
              <w:t xml:space="preserve">  </w:t>
            </w:r>
            <w:r>
              <w:rPr>
                <w:rFonts w:hint="eastAsia"/>
                <w:sz w:val="21"/>
              </w:rPr>
              <w:t>度</w:t>
            </w:r>
          </w:p>
        </w:tc>
        <w:tc>
          <w:tcPr>
            <w:tcW w:w="1568" w:type="dxa"/>
          </w:tcPr>
          <w:p w:rsidR="00000000" w:rsidRDefault="009C1C61">
            <w:pPr>
              <w:spacing w:before="120"/>
              <w:jc w:val="center"/>
              <w:rPr>
                <w:rFonts w:hint="eastAsia"/>
                <w:sz w:val="21"/>
              </w:rPr>
            </w:pPr>
            <w:r>
              <w:rPr>
                <w:rFonts w:hint="eastAsia"/>
                <w:sz w:val="21"/>
              </w:rPr>
              <w:t>1994</w:t>
            </w:r>
          </w:p>
        </w:tc>
        <w:tc>
          <w:tcPr>
            <w:tcW w:w="1569" w:type="dxa"/>
          </w:tcPr>
          <w:p w:rsidR="00000000" w:rsidRDefault="009C1C61">
            <w:pPr>
              <w:spacing w:before="120"/>
              <w:jc w:val="center"/>
              <w:rPr>
                <w:rFonts w:hint="eastAsia"/>
                <w:sz w:val="21"/>
              </w:rPr>
            </w:pPr>
            <w:r>
              <w:rPr>
                <w:rFonts w:hint="eastAsia"/>
                <w:sz w:val="21"/>
              </w:rPr>
              <w:t>1995</w:t>
            </w:r>
          </w:p>
        </w:tc>
        <w:tc>
          <w:tcPr>
            <w:tcW w:w="1568" w:type="dxa"/>
          </w:tcPr>
          <w:p w:rsidR="00000000" w:rsidRDefault="009C1C61">
            <w:pPr>
              <w:spacing w:before="120"/>
              <w:jc w:val="center"/>
              <w:rPr>
                <w:rFonts w:hint="eastAsia"/>
                <w:sz w:val="21"/>
              </w:rPr>
            </w:pPr>
            <w:r>
              <w:rPr>
                <w:rFonts w:hint="eastAsia"/>
                <w:sz w:val="21"/>
              </w:rPr>
              <w:t>1996</w:t>
            </w:r>
          </w:p>
        </w:tc>
        <w:tc>
          <w:tcPr>
            <w:tcW w:w="1568" w:type="dxa"/>
          </w:tcPr>
          <w:p w:rsidR="00000000" w:rsidRDefault="009C1C61">
            <w:pPr>
              <w:spacing w:before="120"/>
              <w:jc w:val="center"/>
              <w:rPr>
                <w:rFonts w:hint="eastAsia"/>
                <w:sz w:val="21"/>
              </w:rPr>
            </w:pPr>
            <w:r>
              <w:rPr>
                <w:rFonts w:hint="eastAsia"/>
                <w:sz w:val="21"/>
              </w:rPr>
              <w:t>1997</w:t>
            </w:r>
          </w:p>
        </w:tc>
        <w:tc>
          <w:tcPr>
            <w:tcW w:w="1547" w:type="dxa"/>
          </w:tcPr>
          <w:p w:rsidR="00000000" w:rsidRDefault="009C1C61">
            <w:pPr>
              <w:spacing w:before="120"/>
              <w:jc w:val="center"/>
              <w:rPr>
                <w:rFonts w:hint="eastAsia"/>
                <w:sz w:val="21"/>
              </w:rPr>
            </w:pPr>
            <w:r>
              <w:rPr>
                <w:rFonts w:hint="eastAsia"/>
                <w:sz w:val="21"/>
              </w:rPr>
              <w:t>1998</w:t>
            </w:r>
          </w:p>
        </w:tc>
      </w:tr>
      <w:tr w:rsidR="00000000">
        <w:tblPrEx>
          <w:tblCellMar>
            <w:top w:w="0" w:type="dxa"/>
            <w:bottom w:w="0" w:type="dxa"/>
          </w:tblCellMar>
        </w:tblPrEx>
        <w:tc>
          <w:tcPr>
            <w:tcW w:w="1540" w:type="dxa"/>
          </w:tcPr>
          <w:p w:rsidR="00000000" w:rsidRDefault="009C1C61">
            <w:pPr>
              <w:spacing w:before="120"/>
              <w:jc w:val="center"/>
              <w:rPr>
                <w:rFonts w:hint="eastAsia"/>
                <w:sz w:val="21"/>
              </w:rPr>
            </w:pPr>
            <w:r>
              <w:rPr>
                <w:rFonts w:hint="eastAsia"/>
                <w:sz w:val="21"/>
              </w:rPr>
              <w:t>残</w:t>
            </w:r>
            <w:r>
              <w:rPr>
                <w:rFonts w:hint="eastAsia"/>
                <w:sz w:val="21"/>
              </w:rPr>
              <w:t xml:space="preserve">  </w:t>
            </w:r>
            <w:r>
              <w:rPr>
                <w:rFonts w:hint="eastAsia"/>
                <w:sz w:val="21"/>
              </w:rPr>
              <w:t>废</w:t>
            </w:r>
          </w:p>
        </w:tc>
        <w:tc>
          <w:tcPr>
            <w:tcW w:w="1568" w:type="dxa"/>
          </w:tcPr>
          <w:p w:rsidR="00000000" w:rsidRDefault="009C1C61">
            <w:pPr>
              <w:spacing w:before="120"/>
              <w:jc w:val="center"/>
              <w:rPr>
                <w:rFonts w:hint="eastAsia"/>
                <w:sz w:val="21"/>
              </w:rPr>
            </w:pPr>
            <w:r>
              <w:rPr>
                <w:rFonts w:hint="eastAsia"/>
                <w:sz w:val="21"/>
              </w:rPr>
              <w:t>163.397</w:t>
            </w:r>
          </w:p>
        </w:tc>
        <w:tc>
          <w:tcPr>
            <w:tcW w:w="1569" w:type="dxa"/>
          </w:tcPr>
          <w:p w:rsidR="00000000" w:rsidRDefault="009C1C61">
            <w:pPr>
              <w:spacing w:before="120"/>
              <w:jc w:val="center"/>
              <w:rPr>
                <w:rFonts w:hint="eastAsia"/>
                <w:sz w:val="21"/>
              </w:rPr>
            </w:pPr>
            <w:r>
              <w:rPr>
                <w:rFonts w:hint="eastAsia"/>
                <w:sz w:val="21"/>
              </w:rPr>
              <w:t>166.343</w:t>
            </w:r>
          </w:p>
        </w:tc>
        <w:tc>
          <w:tcPr>
            <w:tcW w:w="1568" w:type="dxa"/>
          </w:tcPr>
          <w:p w:rsidR="00000000" w:rsidRDefault="009C1C61">
            <w:pPr>
              <w:spacing w:before="120"/>
              <w:jc w:val="center"/>
              <w:rPr>
                <w:rFonts w:hint="eastAsia"/>
                <w:sz w:val="21"/>
              </w:rPr>
            </w:pPr>
            <w:r>
              <w:rPr>
                <w:rFonts w:hint="eastAsia"/>
                <w:sz w:val="21"/>
              </w:rPr>
              <w:t>171.607</w:t>
            </w:r>
          </w:p>
        </w:tc>
        <w:tc>
          <w:tcPr>
            <w:tcW w:w="1568" w:type="dxa"/>
          </w:tcPr>
          <w:p w:rsidR="00000000" w:rsidRDefault="009C1C61">
            <w:pPr>
              <w:spacing w:before="120"/>
              <w:jc w:val="center"/>
              <w:rPr>
                <w:rFonts w:hint="eastAsia"/>
                <w:sz w:val="21"/>
              </w:rPr>
            </w:pPr>
            <w:r>
              <w:rPr>
                <w:rFonts w:hint="eastAsia"/>
                <w:sz w:val="21"/>
              </w:rPr>
              <w:t>178.840</w:t>
            </w:r>
          </w:p>
        </w:tc>
        <w:tc>
          <w:tcPr>
            <w:tcW w:w="1547" w:type="dxa"/>
          </w:tcPr>
          <w:p w:rsidR="00000000" w:rsidRDefault="009C1C61">
            <w:pPr>
              <w:spacing w:before="120"/>
              <w:jc w:val="center"/>
              <w:rPr>
                <w:rFonts w:hint="eastAsia"/>
                <w:sz w:val="21"/>
              </w:rPr>
            </w:pPr>
            <w:r>
              <w:rPr>
                <w:rFonts w:hint="eastAsia"/>
                <w:sz w:val="21"/>
              </w:rPr>
              <w:t>183.208</w:t>
            </w:r>
          </w:p>
        </w:tc>
      </w:tr>
    </w:tbl>
    <w:p w:rsidR="00000000" w:rsidRDefault="009C1C61">
      <w:pPr>
        <w:pStyle w:val="EndnoteText"/>
        <w:spacing w:before="240" w:after="480"/>
        <w:rPr>
          <w:rFonts w:hint="eastAsia"/>
          <w:snapToGrid/>
        </w:rPr>
      </w:pPr>
      <w:r>
        <w:rPr>
          <w:rFonts w:hint="eastAsia"/>
          <w:snapToGrid/>
          <w:u w:val="single"/>
        </w:rPr>
        <w:t>资料来源</w:t>
      </w:r>
      <w:r>
        <w:rPr>
          <w:rFonts w:hint="eastAsia"/>
          <w:snapToGrid/>
        </w:rPr>
        <w:t>：社会保险标准化协会，</w:t>
      </w:r>
      <w:r>
        <w:rPr>
          <w:rFonts w:hint="eastAsia"/>
          <w:snapToGrid/>
        </w:rPr>
        <w:t>1998</w:t>
      </w:r>
      <w:r>
        <w:rPr>
          <w:rFonts w:hint="eastAsia"/>
          <w:snapToGrid/>
        </w:rPr>
        <w:t>年。</w:t>
      </w:r>
    </w:p>
    <w:p w:rsidR="00000000" w:rsidRDefault="009C1C61">
      <w:pPr>
        <w:spacing w:after="320"/>
        <w:rPr>
          <w:rFonts w:hint="eastAsia"/>
          <w:snapToGrid/>
        </w:rPr>
      </w:pPr>
      <w:r>
        <w:rPr>
          <w:rFonts w:eastAsia="KaiTi_GB2312" w:hint="eastAsia"/>
          <w:snapToGrid/>
          <w:spacing w:val="0"/>
        </w:rPr>
        <w:tab/>
      </w:r>
      <w:r>
        <w:rPr>
          <w:rFonts w:hint="eastAsia"/>
          <w:snapToGrid/>
        </w:rPr>
        <w:t xml:space="preserve">82.  </w:t>
      </w:r>
      <w:r>
        <w:rPr>
          <w:rFonts w:hint="eastAsia"/>
          <w:snapToGrid/>
        </w:rPr>
        <w:t>统一家属津贴是为没有资源或社会保险的精神上有缺陷者提供的，它相当于一项家属补贴。从表</w:t>
      </w:r>
      <w:r>
        <w:rPr>
          <w:rFonts w:hint="eastAsia"/>
          <w:snapToGrid/>
        </w:rPr>
        <w:t>2</w:t>
      </w:r>
      <w:r>
        <w:rPr>
          <w:rFonts w:hint="eastAsia"/>
          <w:snapToGrid/>
        </w:rPr>
        <w:t>可以看到，得到这项福利的人在</w:t>
      </w:r>
      <w:r>
        <w:rPr>
          <w:rFonts w:hint="eastAsia"/>
          <w:snapToGrid/>
        </w:rPr>
        <w:t>199</w:t>
      </w:r>
      <w:r>
        <w:rPr>
          <w:rFonts w:hint="eastAsia"/>
          <w:snapToGrid/>
        </w:rPr>
        <w:t>4-1998</w:t>
      </w:r>
      <w:r>
        <w:rPr>
          <w:rFonts w:hint="eastAsia"/>
          <w:snapToGrid/>
        </w:rPr>
        <w:t>年期间增加了</w:t>
      </w:r>
      <w:r>
        <w:rPr>
          <w:rFonts w:hint="eastAsia"/>
          <w:snapToGrid/>
        </w:rPr>
        <w:t>6.5</w:t>
      </w:r>
      <w:r>
        <w:rPr>
          <w:rFonts w:hint="eastAsia"/>
          <w:snapToGrid/>
        </w:rPr>
        <w:t>倍。这项津贴的支付期是三年，如果作为支付原因的社会－经济条件没有改变则可以再予延长。</w:t>
      </w:r>
    </w:p>
    <w:p w:rsidR="00000000" w:rsidRDefault="009C1C61">
      <w:pPr>
        <w:pStyle w:val="Heading3"/>
        <w:rPr>
          <w:rFonts w:hint="eastAsia"/>
        </w:rPr>
      </w:pPr>
      <w:r>
        <w:rPr>
          <w:rFonts w:hint="eastAsia"/>
        </w:rPr>
        <w:t>表</w:t>
      </w:r>
      <w:r>
        <w:rPr>
          <w:rFonts w:hint="eastAsia"/>
        </w:rPr>
        <w:t xml:space="preserve"> 2.  </w:t>
      </w:r>
      <w:r>
        <w:rPr>
          <w:rFonts w:hint="eastAsia"/>
        </w:rPr>
        <w:t>因精神上的缺陷支付的统一家属津贴</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40"/>
        <w:gridCol w:w="1568"/>
        <w:gridCol w:w="1569"/>
        <w:gridCol w:w="1568"/>
        <w:gridCol w:w="1568"/>
        <w:gridCol w:w="1417"/>
      </w:tblGrid>
      <w:tr w:rsidR="00000000">
        <w:tblPrEx>
          <w:tblCellMar>
            <w:top w:w="0" w:type="dxa"/>
            <w:bottom w:w="0" w:type="dxa"/>
          </w:tblCellMar>
        </w:tblPrEx>
        <w:tc>
          <w:tcPr>
            <w:tcW w:w="1540" w:type="dxa"/>
          </w:tcPr>
          <w:p w:rsidR="00000000" w:rsidRDefault="009C1C61">
            <w:pPr>
              <w:spacing w:before="120"/>
              <w:jc w:val="center"/>
              <w:rPr>
                <w:rFonts w:hint="eastAsia"/>
                <w:sz w:val="21"/>
              </w:rPr>
            </w:pPr>
            <w:r>
              <w:rPr>
                <w:rFonts w:hint="eastAsia"/>
                <w:sz w:val="21"/>
              </w:rPr>
              <w:t>年</w:t>
            </w:r>
            <w:r>
              <w:rPr>
                <w:rFonts w:hint="eastAsia"/>
                <w:sz w:val="21"/>
              </w:rPr>
              <w:t xml:space="preserve">  </w:t>
            </w:r>
            <w:r>
              <w:rPr>
                <w:rFonts w:hint="eastAsia"/>
                <w:sz w:val="21"/>
              </w:rPr>
              <w:t>度</w:t>
            </w:r>
          </w:p>
        </w:tc>
        <w:tc>
          <w:tcPr>
            <w:tcW w:w="1568" w:type="dxa"/>
          </w:tcPr>
          <w:p w:rsidR="00000000" w:rsidRDefault="009C1C61">
            <w:pPr>
              <w:spacing w:before="120"/>
              <w:jc w:val="center"/>
              <w:rPr>
                <w:rFonts w:hint="eastAsia"/>
                <w:sz w:val="21"/>
              </w:rPr>
            </w:pPr>
            <w:r>
              <w:rPr>
                <w:rFonts w:hint="eastAsia"/>
                <w:sz w:val="21"/>
              </w:rPr>
              <w:t>1994</w:t>
            </w:r>
          </w:p>
        </w:tc>
        <w:tc>
          <w:tcPr>
            <w:tcW w:w="1569" w:type="dxa"/>
          </w:tcPr>
          <w:p w:rsidR="00000000" w:rsidRDefault="009C1C61">
            <w:pPr>
              <w:spacing w:before="120"/>
              <w:jc w:val="center"/>
              <w:rPr>
                <w:rFonts w:hint="eastAsia"/>
                <w:sz w:val="21"/>
              </w:rPr>
            </w:pPr>
            <w:r>
              <w:rPr>
                <w:rFonts w:hint="eastAsia"/>
                <w:sz w:val="21"/>
              </w:rPr>
              <w:t>1995</w:t>
            </w:r>
          </w:p>
        </w:tc>
        <w:tc>
          <w:tcPr>
            <w:tcW w:w="1568" w:type="dxa"/>
          </w:tcPr>
          <w:p w:rsidR="00000000" w:rsidRDefault="009C1C61">
            <w:pPr>
              <w:spacing w:before="120"/>
              <w:jc w:val="center"/>
              <w:rPr>
                <w:rFonts w:hint="eastAsia"/>
                <w:sz w:val="21"/>
              </w:rPr>
            </w:pPr>
            <w:r>
              <w:rPr>
                <w:rFonts w:hint="eastAsia"/>
                <w:sz w:val="21"/>
              </w:rPr>
              <w:t>1996</w:t>
            </w:r>
          </w:p>
        </w:tc>
        <w:tc>
          <w:tcPr>
            <w:tcW w:w="1568" w:type="dxa"/>
          </w:tcPr>
          <w:p w:rsidR="00000000" w:rsidRDefault="009C1C61">
            <w:pPr>
              <w:spacing w:before="120"/>
              <w:jc w:val="center"/>
              <w:rPr>
                <w:rFonts w:hint="eastAsia"/>
                <w:sz w:val="21"/>
              </w:rPr>
            </w:pPr>
            <w:r>
              <w:rPr>
                <w:rFonts w:hint="eastAsia"/>
                <w:sz w:val="21"/>
              </w:rPr>
              <w:t>1997</w:t>
            </w:r>
          </w:p>
        </w:tc>
        <w:tc>
          <w:tcPr>
            <w:tcW w:w="1417" w:type="dxa"/>
          </w:tcPr>
          <w:p w:rsidR="00000000" w:rsidRDefault="009C1C61">
            <w:pPr>
              <w:spacing w:before="120"/>
              <w:jc w:val="center"/>
              <w:rPr>
                <w:rFonts w:hint="eastAsia"/>
                <w:sz w:val="21"/>
              </w:rPr>
            </w:pPr>
            <w:r>
              <w:rPr>
                <w:rFonts w:hint="eastAsia"/>
                <w:sz w:val="21"/>
              </w:rPr>
              <w:t>1998</w:t>
            </w:r>
          </w:p>
        </w:tc>
      </w:tr>
      <w:tr w:rsidR="00000000">
        <w:tblPrEx>
          <w:tblCellMar>
            <w:top w:w="0" w:type="dxa"/>
            <w:bottom w:w="0" w:type="dxa"/>
          </w:tblCellMar>
        </w:tblPrEx>
        <w:tc>
          <w:tcPr>
            <w:tcW w:w="1540" w:type="dxa"/>
          </w:tcPr>
          <w:p w:rsidR="00000000" w:rsidRDefault="009C1C61">
            <w:pPr>
              <w:spacing w:before="120"/>
              <w:jc w:val="center"/>
              <w:rPr>
                <w:rFonts w:hint="eastAsia"/>
                <w:sz w:val="21"/>
              </w:rPr>
            </w:pPr>
            <w:r>
              <w:rPr>
                <w:rFonts w:hint="eastAsia"/>
                <w:sz w:val="21"/>
              </w:rPr>
              <w:t>总</w:t>
            </w:r>
            <w:r>
              <w:rPr>
                <w:rFonts w:hint="eastAsia"/>
                <w:sz w:val="21"/>
              </w:rPr>
              <w:t xml:space="preserve">  </w:t>
            </w:r>
            <w:r>
              <w:rPr>
                <w:rFonts w:hint="eastAsia"/>
                <w:sz w:val="21"/>
              </w:rPr>
              <w:t>计</w:t>
            </w:r>
          </w:p>
        </w:tc>
        <w:tc>
          <w:tcPr>
            <w:tcW w:w="1568" w:type="dxa"/>
          </w:tcPr>
          <w:p w:rsidR="00000000" w:rsidRDefault="009C1C61">
            <w:pPr>
              <w:spacing w:before="120"/>
              <w:jc w:val="center"/>
              <w:rPr>
                <w:rFonts w:hint="eastAsia"/>
                <w:sz w:val="21"/>
              </w:rPr>
            </w:pPr>
            <w:r>
              <w:rPr>
                <w:rFonts w:hint="eastAsia"/>
                <w:sz w:val="21"/>
              </w:rPr>
              <w:t>84</w:t>
            </w:r>
          </w:p>
        </w:tc>
        <w:tc>
          <w:tcPr>
            <w:tcW w:w="1569" w:type="dxa"/>
          </w:tcPr>
          <w:p w:rsidR="00000000" w:rsidRDefault="009C1C61">
            <w:pPr>
              <w:spacing w:before="120"/>
              <w:jc w:val="center"/>
              <w:rPr>
                <w:rFonts w:hint="eastAsia"/>
                <w:sz w:val="21"/>
              </w:rPr>
            </w:pPr>
            <w:r>
              <w:rPr>
                <w:rFonts w:hint="eastAsia"/>
                <w:sz w:val="21"/>
              </w:rPr>
              <w:t>156</w:t>
            </w:r>
          </w:p>
        </w:tc>
        <w:tc>
          <w:tcPr>
            <w:tcW w:w="1568" w:type="dxa"/>
          </w:tcPr>
          <w:p w:rsidR="00000000" w:rsidRDefault="009C1C61">
            <w:pPr>
              <w:spacing w:before="120"/>
              <w:jc w:val="center"/>
              <w:rPr>
                <w:rFonts w:hint="eastAsia"/>
                <w:sz w:val="21"/>
              </w:rPr>
            </w:pPr>
            <w:r>
              <w:rPr>
                <w:rFonts w:hint="eastAsia"/>
                <w:sz w:val="21"/>
              </w:rPr>
              <w:t>266</w:t>
            </w:r>
          </w:p>
        </w:tc>
        <w:tc>
          <w:tcPr>
            <w:tcW w:w="1568" w:type="dxa"/>
          </w:tcPr>
          <w:p w:rsidR="00000000" w:rsidRDefault="009C1C61">
            <w:pPr>
              <w:spacing w:before="120"/>
              <w:jc w:val="center"/>
              <w:rPr>
                <w:rFonts w:hint="eastAsia"/>
                <w:sz w:val="21"/>
              </w:rPr>
            </w:pPr>
            <w:r>
              <w:rPr>
                <w:rFonts w:hint="eastAsia"/>
                <w:sz w:val="21"/>
              </w:rPr>
              <w:t>423</w:t>
            </w:r>
          </w:p>
        </w:tc>
        <w:tc>
          <w:tcPr>
            <w:tcW w:w="1417" w:type="dxa"/>
          </w:tcPr>
          <w:p w:rsidR="00000000" w:rsidRDefault="009C1C61">
            <w:pPr>
              <w:spacing w:before="120"/>
              <w:jc w:val="center"/>
              <w:rPr>
                <w:rFonts w:hint="eastAsia"/>
                <w:sz w:val="21"/>
              </w:rPr>
            </w:pPr>
            <w:r>
              <w:rPr>
                <w:rFonts w:hint="eastAsia"/>
                <w:sz w:val="21"/>
              </w:rPr>
              <w:t>544</w:t>
            </w:r>
          </w:p>
        </w:tc>
      </w:tr>
    </w:tbl>
    <w:p w:rsidR="00000000" w:rsidRDefault="009C1C61">
      <w:pPr>
        <w:spacing w:before="360" w:after="360"/>
        <w:ind w:firstLine="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：社会保险标准化协会，</w:t>
      </w:r>
      <w:r>
        <w:rPr>
          <w:rFonts w:eastAsia="KaiTi_GB2312" w:hint="eastAsia"/>
          <w:snapToGrid/>
          <w:spacing w:val="0"/>
        </w:rPr>
        <w:t>1998</w:t>
      </w:r>
      <w:r>
        <w:rPr>
          <w:rFonts w:eastAsia="KaiTi_GB2312" w:hint="eastAsia"/>
          <w:snapToGrid/>
          <w:spacing w:val="0"/>
        </w:rPr>
        <w:t>年。</w:t>
      </w:r>
    </w:p>
    <w:p w:rsidR="00000000" w:rsidRDefault="009C1C61">
      <w:pPr>
        <w:spacing w:after="240"/>
        <w:rPr>
          <w:rFonts w:hint="eastAsia"/>
        </w:rPr>
      </w:pPr>
      <w:r>
        <w:rPr>
          <w:rFonts w:hint="eastAsia"/>
        </w:rPr>
        <w:tab/>
        <w:t xml:space="preserve">83.  </w:t>
      </w:r>
      <w:r>
        <w:rPr>
          <w:rFonts w:hint="eastAsia"/>
        </w:rPr>
        <w:t>通过补助养恤金和统一家属津贴，政府不单向受惠者提供现款收入，并且在政府提供的保健、教育和社会方案等方面给予残疾人优先。根据对全国的社会－经济特点调查所提供的资料，在</w:t>
      </w:r>
      <w:r>
        <w:rPr>
          <w:rFonts w:hint="eastAsia"/>
        </w:rPr>
        <w:t>2000</w:t>
      </w:r>
      <w:r>
        <w:rPr>
          <w:rFonts w:hint="eastAsia"/>
        </w:rPr>
        <w:t>年，</w:t>
      </w:r>
      <w:r>
        <w:rPr>
          <w:rFonts w:hint="eastAsia"/>
        </w:rPr>
        <w:t>81.</w:t>
      </w:r>
      <w:r>
        <w:rPr>
          <w:rFonts w:hint="eastAsia"/>
        </w:rPr>
        <w:t>2%</w:t>
      </w:r>
      <w:r>
        <w:rPr>
          <w:rFonts w:hint="eastAsia"/>
        </w:rPr>
        <w:t>的残疾人得到公共保健制度的照料。</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获得适当生活水准的权利</w:t>
      </w:r>
    </w:p>
    <w:p w:rsidR="00000000" w:rsidRDefault="009C1C61">
      <w:pPr>
        <w:spacing w:after="240"/>
        <w:rPr>
          <w:rFonts w:hint="eastAsia"/>
        </w:rPr>
      </w:pPr>
      <w:r>
        <w:rPr>
          <w:rFonts w:hint="eastAsia"/>
        </w:rPr>
        <w:tab/>
        <w:t xml:space="preserve">84.  </w:t>
      </w:r>
      <w:r>
        <w:rPr>
          <w:rFonts w:hint="eastAsia"/>
        </w:rPr>
        <w:t>获得适当生活水准的权利包括个人生活的各个方面，鉴于其范围很广，对这项权利的审议只限于《公约》规定的其他权利所没有讨论到的方面。</w:t>
      </w:r>
    </w:p>
    <w:p w:rsidR="00000000" w:rsidRDefault="009C1C61">
      <w:pPr>
        <w:pStyle w:val="Heading4"/>
        <w:rPr>
          <w:rFonts w:hint="eastAsia"/>
        </w:rPr>
      </w:pPr>
      <w:r>
        <w:rPr>
          <w:rFonts w:ascii="Time New Roman" w:eastAsia="SimHei" w:hAnsi="Time New Roman" w:hint="eastAsia"/>
          <w:u w:val="none"/>
        </w:rPr>
        <w:t>未成年残疾人</w:t>
      </w:r>
    </w:p>
    <w:p w:rsidR="00000000" w:rsidRDefault="009C1C61">
      <w:pPr>
        <w:rPr>
          <w:rFonts w:hint="eastAsia"/>
        </w:rPr>
      </w:pPr>
      <w:r>
        <w:rPr>
          <w:rFonts w:hint="eastAsia"/>
        </w:rPr>
        <w:tab/>
        <w:t xml:space="preserve">85.  </w:t>
      </w:r>
      <w:r>
        <w:rPr>
          <w:rFonts w:hint="eastAsia"/>
        </w:rPr>
        <w:t>全国未成年人服务处</w:t>
      </w:r>
      <w:r>
        <w:rPr>
          <w:rFonts w:hint="eastAsia"/>
        </w:rPr>
        <w:t>(</w:t>
      </w:r>
      <w:r>
        <w:rPr>
          <w:rFonts w:hint="eastAsia"/>
        </w:rPr>
        <w:t>未成年人服务处</w:t>
      </w:r>
      <w:r>
        <w:rPr>
          <w:rFonts w:hint="eastAsia"/>
        </w:rPr>
        <w:t>)</w:t>
      </w:r>
      <w:r>
        <w:rPr>
          <w:rFonts w:hint="eastAsia"/>
        </w:rPr>
        <w:t>通过一个协作机构网络为超过</w:t>
      </w:r>
      <w:r>
        <w:rPr>
          <w:rFonts w:hint="eastAsia"/>
        </w:rPr>
        <w:t>4,900</w:t>
      </w:r>
      <w:r>
        <w:rPr>
          <w:rFonts w:hint="eastAsia"/>
        </w:rPr>
        <w:t>名在心理、身体或感官方面有缺陷的男女童和青少年提供照料。这一网络包括</w:t>
      </w:r>
      <w:r>
        <w:rPr>
          <w:rFonts w:hint="eastAsia"/>
        </w:rPr>
        <w:t>260</w:t>
      </w:r>
      <w:r>
        <w:rPr>
          <w:rFonts w:hint="eastAsia"/>
        </w:rPr>
        <w:t>个非营利机构，在全国有</w:t>
      </w:r>
      <w:r>
        <w:rPr>
          <w:rFonts w:hint="eastAsia"/>
        </w:rPr>
        <w:t>800</w:t>
      </w:r>
      <w:r>
        <w:rPr>
          <w:rFonts w:hint="eastAsia"/>
        </w:rPr>
        <w:t>间照料所。未成年人服务网有四个援助系统</w:t>
      </w:r>
      <w:r>
        <w:rPr>
          <w:rFonts w:hint="eastAsia"/>
          <w:vertAlign w:val="superscript"/>
        </w:rPr>
        <w:t xml:space="preserve"> </w:t>
      </w:r>
      <w:r>
        <w:rPr>
          <w:rStyle w:val="FootnoteReference"/>
        </w:rPr>
        <w:footnoteReference w:id="36"/>
      </w:r>
      <w:r>
        <w:rPr>
          <w:rFonts w:hint="eastAsia"/>
        </w:rPr>
        <w:t xml:space="preserve"> </w:t>
      </w:r>
      <w:r>
        <w:rPr>
          <w:rFonts w:hint="eastAsia"/>
        </w:rPr>
        <w:t>为从最轻微到最严重的精神缺陷的男女童提供照料。其中有两个系统提供保</w:t>
      </w:r>
      <w:r>
        <w:rPr>
          <w:rFonts w:hint="eastAsia"/>
        </w:rPr>
        <w:t>护。</w:t>
      </w:r>
    </w:p>
    <w:p w:rsidR="00000000" w:rsidRDefault="009C1C61">
      <w:pPr>
        <w:rPr>
          <w:rFonts w:hint="eastAsia"/>
        </w:rPr>
      </w:pPr>
      <w:r>
        <w:rPr>
          <w:rFonts w:hint="eastAsia"/>
        </w:rPr>
        <w:tab/>
        <w:t xml:space="preserve">86.  </w:t>
      </w:r>
      <w:r>
        <w:rPr>
          <w:rFonts w:hint="eastAsia"/>
        </w:rPr>
        <w:t>在一个住宿照料环境里为有轻微或不严重的缺陷的人提供保护，这是为智能稍微低于普通人的男女童设计的。在全国有</w:t>
      </w:r>
      <w:r>
        <w:rPr>
          <w:rFonts w:hint="eastAsia"/>
        </w:rPr>
        <w:t>24</w:t>
      </w:r>
      <w:r>
        <w:rPr>
          <w:rFonts w:hint="eastAsia"/>
        </w:rPr>
        <w:t>个中心。</w:t>
      </w:r>
    </w:p>
    <w:p w:rsidR="00000000" w:rsidRDefault="009C1C61">
      <w:pPr>
        <w:rPr>
          <w:rFonts w:hint="eastAsia"/>
        </w:rPr>
      </w:pPr>
      <w:r>
        <w:rPr>
          <w:rFonts w:hint="eastAsia"/>
        </w:rPr>
        <w:tab/>
        <w:t xml:space="preserve">87.  </w:t>
      </w:r>
      <w:r>
        <w:rPr>
          <w:rFonts w:hint="eastAsia"/>
        </w:rPr>
        <w:t>在一个住宿照料制度下为有严重精神缺陷的人提供保护。这个办法也为智能很弱或特别弱而又有精神问题的男女童和青少年提供生理、感官和心理方面的治疗。全国有</w:t>
      </w:r>
      <w:r>
        <w:rPr>
          <w:rFonts w:hint="eastAsia"/>
        </w:rPr>
        <w:t>8</w:t>
      </w:r>
      <w:r>
        <w:rPr>
          <w:rFonts w:hint="eastAsia"/>
        </w:rPr>
        <w:t>个这样的中心。</w:t>
      </w:r>
    </w:p>
    <w:p w:rsidR="00000000" w:rsidRDefault="009C1C61">
      <w:pPr>
        <w:rPr>
          <w:rFonts w:hint="eastAsia"/>
        </w:rPr>
      </w:pPr>
      <w:r>
        <w:rPr>
          <w:rFonts w:hint="eastAsia"/>
        </w:rPr>
        <w:tab/>
        <w:t xml:space="preserve">88.  </w:t>
      </w:r>
      <w:r>
        <w:rPr>
          <w:rFonts w:hint="eastAsia"/>
        </w:rPr>
        <w:t>此外，有两个预防性质的中心，旨在为其权利受到威胁情况下的男女童提供日间照料，并为他们的缺陷提供适当医疗。这些系统是：</w:t>
      </w:r>
    </w:p>
    <w:p w:rsidR="00000000" w:rsidRDefault="009C1C61">
      <w:pPr>
        <w:numPr>
          <w:ilvl w:val="0"/>
          <w:numId w:val="84"/>
        </w:numPr>
        <w:rPr>
          <w:rFonts w:hint="eastAsia"/>
        </w:rPr>
      </w:pPr>
      <w:r>
        <w:rPr>
          <w:rFonts w:hint="eastAsia"/>
        </w:rPr>
        <w:t>有轻微不严重缺陷的男女童和青少年日间照料中心。总共有五个协作中心；</w:t>
      </w:r>
    </w:p>
    <w:p w:rsidR="00000000" w:rsidRDefault="009C1C61">
      <w:pPr>
        <w:numPr>
          <w:ilvl w:val="0"/>
          <w:numId w:val="84"/>
        </w:numPr>
        <w:spacing w:after="240"/>
        <w:rPr>
          <w:rFonts w:hint="eastAsia"/>
        </w:rPr>
      </w:pPr>
      <w:r>
        <w:rPr>
          <w:rFonts w:hint="eastAsia"/>
        </w:rPr>
        <w:t>为</w:t>
      </w:r>
      <w:r>
        <w:rPr>
          <w:rFonts w:hint="eastAsia"/>
        </w:rPr>
        <w:t>严重或十分严重的精神缺陷者提供日间照料的中心，有四个协作中心。</w:t>
      </w:r>
    </w:p>
    <w:p w:rsidR="00000000" w:rsidRDefault="009C1C61">
      <w:pPr>
        <w:pStyle w:val="Heading4"/>
        <w:rPr>
          <w:rFonts w:hint="eastAsia"/>
        </w:rPr>
      </w:pPr>
      <w:r>
        <w:rPr>
          <w:rFonts w:ascii="Time New Roman" w:eastAsia="SimHei" w:hAnsi="Time New Roman" w:hint="eastAsia"/>
          <w:u w:val="none"/>
        </w:rPr>
        <w:t>丧失自由的残疾人士</w:t>
      </w:r>
    </w:p>
    <w:p w:rsidR="00000000" w:rsidRDefault="009C1C61">
      <w:pPr>
        <w:rPr>
          <w:rFonts w:hint="eastAsia"/>
        </w:rPr>
      </w:pPr>
      <w:r>
        <w:rPr>
          <w:rFonts w:hint="eastAsia"/>
        </w:rPr>
        <w:tab/>
        <w:t>89.  1999</w:t>
      </w:r>
      <w:r>
        <w:rPr>
          <w:rFonts w:hint="eastAsia"/>
        </w:rPr>
        <w:t>年，智利宪兵队启用了</w:t>
      </w:r>
      <w:r>
        <w:t>Colina</w:t>
      </w:r>
      <w:r>
        <w:rPr>
          <w:rFonts w:hint="eastAsia"/>
        </w:rPr>
        <w:t>教养中心。这个发展体制及使其现代化的战略性项目所基于的一般原则是其政策、方案、服务和基础结构资源以及统一的专业和行政人员应尽心尽力并受到培训以应付残疾监犯在下列领域里的特殊需求：</w:t>
      </w:r>
    </w:p>
    <w:p w:rsidR="00000000" w:rsidRDefault="009C1C61">
      <w:pPr>
        <w:numPr>
          <w:ilvl w:val="0"/>
          <w:numId w:val="85"/>
        </w:numPr>
        <w:rPr>
          <w:rFonts w:hint="eastAsia"/>
        </w:rPr>
      </w:pPr>
      <w:r>
        <w:rPr>
          <w:rFonts w:hint="eastAsia"/>
        </w:rPr>
        <w:t>健康方面的康复；这是为失去自由的残疾人提供的，他们从该机构的专门化中心或外界保健网络获得社会援助、诊疗、医疗、经常的检查和医院照料。有十五名监犯在</w:t>
      </w:r>
      <w:r>
        <w:t>Colina</w:t>
      </w:r>
      <w:r>
        <w:rPr>
          <w:rFonts w:hint="eastAsia"/>
        </w:rPr>
        <w:t xml:space="preserve"> 1</w:t>
      </w:r>
      <w:r>
        <w:rPr>
          <w:rFonts w:hint="eastAsia"/>
        </w:rPr>
        <w:t>号监狱接受特别医疗，该监狱拥有适当</w:t>
      </w:r>
      <w:r>
        <w:rPr>
          <w:rFonts w:hint="eastAsia"/>
        </w:rPr>
        <w:t>的基础设施和专业工作人员</w:t>
      </w:r>
      <w:r>
        <w:rPr>
          <w:rFonts w:hint="eastAsia"/>
        </w:rPr>
        <w:t>(</w:t>
      </w:r>
      <w:r>
        <w:rPr>
          <w:rFonts w:hint="eastAsia"/>
        </w:rPr>
        <w:t>社会工作者、护士、准医疗助手、职能治疗专家</w:t>
      </w:r>
      <w:r>
        <w:rPr>
          <w:rFonts w:hint="eastAsia"/>
        </w:rPr>
        <w:t>)</w:t>
      </w:r>
      <w:r>
        <w:rPr>
          <w:rFonts w:hint="eastAsia"/>
        </w:rPr>
        <w:t>；</w:t>
      </w:r>
    </w:p>
    <w:p w:rsidR="00000000" w:rsidRDefault="009C1C61">
      <w:pPr>
        <w:numPr>
          <w:ilvl w:val="0"/>
          <w:numId w:val="85"/>
        </w:numPr>
        <w:rPr>
          <w:rFonts w:hint="eastAsia"/>
        </w:rPr>
      </w:pPr>
      <w:r>
        <w:rPr>
          <w:rFonts w:hint="eastAsia"/>
        </w:rPr>
        <w:t>教育；为失去自由的残疾人提供，他们可在三个监狱系统内获得有关监狱为监犯提供的教育程序、方案和水平；</w:t>
      </w:r>
    </w:p>
    <w:p w:rsidR="00000000" w:rsidRDefault="009C1C61">
      <w:pPr>
        <w:numPr>
          <w:ilvl w:val="0"/>
          <w:numId w:val="85"/>
        </w:numPr>
        <w:rPr>
          <w:rFonts w:hint="eastAsia"/>
        </w:rPr>
      </w:pPr>
      <w:r>
        <w:rPr>
          <w:rFonts w:hint="eastAsia"/>
        </w:rPr>
        <w:t>工作和社会保险：为失去自由的残疾人提供，他们可在三个监狱系统内获得有关监狱为监犯提供的培训和就业方案和水平；</w:t>
      </w:r>
    </w:p>
    <w:p w:rsidR="00000000" w:rsidRDefault="009C1C61">
      <w:pPr>
        <w:numPr>
          <w:ilvl w:val="0"/>
          <w:numId w:val="85"/>
        </w:numPr>
        <w:rPr>
          <w:rFonts w:hint="eastAsia"/>
        </w:rPr>
      </w:pPr>
      <w:r>
        <w:rPr>
          <w:rFonts w:hint="eastAsia"/>
        </w:rPr>
        <w:t>技术援助；为失去自由的残疾人提供，他们根据与全国残疾基金达成的协议获得技术援助；</w:t>
      </w:r>
    </w:p>
    <w:p w:rsidR="00000000" w:rsidRDefault="009C1C61">
      <w:pPr>
        <w:numPr>
          <w:ilvl w:val="0"/>
          <w:numId w:val="85"/>
        </w:numPr>
        <w:rPr>
          <w:rFonts w:hint="eastAsia"/>
        </w:rPr>
      </w:pPr>
      <w:r>
        <w:rPr>
          <w:rFonts w:hint="eastAsia"/>
        </w:rPr>
        <w:t>取消物体障碍：这是为了照顾失去自由的残疾人，由于在建造新监狱时执行有关的标准和改良，他们能使用适当的基础设施；</w:t>
      </w:r>
    </w:p>
    <w:p w:rsidR="00000000" w:rsidRDefault="009C1C61">
      <w:pPr>
        <w:numPr>
          <w:ilvl w:val="0"/>
          <w:numId w:val="85"/>
        </w:numPr>
        <w:rPr>
          <w:rFonts w:hint="eastAsia"/>
        </w:rPr>
      </w:pPr>
      <w:r>
        <w:rPr>
          <w:rFonts w:hint="eastAsia"/>
        </w:rPr>
        <w:t>在其他需要方面的照顾；此外，失去自</w:t>
      </w:r>
      <w:r>
        <w:rPr>
          <w:rFonts w:hint="eastAsia"/>
        </w:rPr>
        <w:t>由的残疾人由于智利宪兵人员在有关残疾、容忍和不歧视方面受到的培训而获得了适当的待遇；他们在全国援助罪犯理事会的同意下参加教育、文化和生产性活动并由于国际合作的结果，享受不受歧视的待遇。</w:t>
      </w:r>
    </w:p>
    <w:p w:rsidR="00000000" w:rsidRDefault="009C1C61">
      <w:pPr>
        <w:spacing w:after="240"/>
        <w:rPr>
          <w:rFonts w:hint="eastAsia"/>
        </w:rPr>
      </w:pPr>
      <w:r>
        <w:rPr>
          <w:rFonts w:hint="eastAsia"/>
        </w:rPr>
        <w:tab/>
        <w:t xml:space="preserve">90.  </w:t>
      </w:r>
      <w:r>
        <w:rPr>
          <w:rFonts w:hint="eastAsia"/>
        </w:rPr>
        <w:t>智利宪兵队对残疾人的待遇是康复领域里的一个基础良好的体制政策的一部分，并得到所谓的对待监牢监犯一般典范的技术和理论支持。这方面的原则是，促进融入社会的主要努力应主要针对那些即将能申请释放或正在服刑的监犯，为他们提供社会技能和就业培训，以方便他们的重新融合，避免未来再犯案。在这方面，隔离监犯的政策特别有效；在一个封</w:t>
      </w:r>
      <w:r>
        <w:rPr>
          <w:rFonts w:hint="eastAsia"/>
        </w:rPr>
        <w:t>闭的环境中执行，这个政策将监犯根据他们的共同特征集中起来，以保护他们的权利和他们的身体和心理健康，改善他们的生活质量，促进他们的康复和随后的融入社会。</w:t>
      </w:r>
    </w:p>
    <w:p w:rsidR="00000000" w:rsidRDefault="009C1C61">
      <w:pPr>
        <w:pStyle w:val="Heading4"/>
        <w:rPr>
          <w:rFonts w:hint="eastAsia"/>
        </w:rPr>
      </w:pPr>
      <w:r>
        <w:rPr>
          <w:rFonts w:ascii="Time New Roman" w:eastAsia="SimHei" w:hAnsi="Time New Roman" w:hint="eastAsia"/>
          <w:u w:val="none"/>
        </w:rPr>
        <w:t>健康权利</w:t>
      </w:r>
    </w:p>
    <w:p w:rsidR="00000000" w:rsidRDefault="009C1C61">
      <w:pPr>
        <w:rPr>
          <w:rFonts w:hint="eastAsia"/>
        </w:rPr>
      </w:pPr>
      <w:r>
        <w:rPr>
          <w:rFonts w:hint="eastAsia"/>
        </w:rPr>
        <w:tab/>
        <w:t xml:space="preserve">91.  </w:t>
      </w:r>
      <w:r>
        <w:rPr>
          <w:rFonts w:hint="eastAsia"/>
        </w:rPr>
        <w:t>卫生部为残疾人提供的一项服务是签发残疾证件。在履行这项任务时它与社会保险主管人办事处、国家卫生基金</w:t>
      </w:r>
      <w:r>
        <w:rPr>
          <w:rFonts w:hint="eastAsia"/>
        </w:rPr>
        <w:t>(</w:t>
      </w:r>
      <w:r>
        <w:rPr>
          <w:rFonts w:hint="eastAsia"/>
        </w:rPr>
        <w:t>国卫基金</w:t>
      </w:r>
      <w:r>
        <w:rPr>
          <w:rFonts w:hint="eastAsia"/>
        </w:rPr>
        <w:t>)</w:t>
      </w:r>
      <w:r>
        <w:rPr>
          <w:rFonts w:hint="eastAsia"/>
        </w:rPr>
        <w:t>和全国残疾人基金</w:t>
      </w:r>
      <w:r>
        <w:rPr>
          <w:rFonts w:hint="eastAsia"/>
        </w:rPr>
        <w:t>(</w:t>
      </w:r>
      <w:r>
        <w:rPr>
          <w:rFonts w:hint="eastAsia"/>
        </w:rPr>
        <w:t>残疾基金</w:t>
      </w:r>
      <w:r>
        <w:rPr>
          <w:rFonts w:hint="eastAsia"/>
        </w:rPr>
        <w:t>)</w:t>
      </w:r>
      <w:r>
        <w:rPr>
          <w:rFonts w:hint="eastAsia"/>
        </w:rPr>
        <w:t>密切合作。</w:t>
      </w:r>
    </w:p>
    <w:p w:rsidR="00000000" w:rsidRDefault="009C1C61">
      <w:pPr>
        <w:rPr>
          <w:rFonts w:hint="eastAsia"/>
        </w:rPr>
      </w:pPr>
      <w:r>
        <w:rPr>
          <w:rFonts w:hint="eastAsia"/>
        </w:rPr>
        <w:tab/>
        <w:t xml:space="preserve">92.  </w:t>
      </w:r>
      <w:r>
        <w:rPr>
          <w:rFonts w:hint="eastAsia"/>
        </w:rPr>
        <w:t>在为所有公共保健制度使用者设计的方案内，卫生部有一个康复中心，该中心为向使用国内已有的公众服务的残疾人提供康复服务创造了基础。这个制度在全国都有保健服务－医院、最初保健手术、提</w:t>
      </w:r>
      <w:r>
        <w:rPr>
          <w:rFonts w:hint="eastAsia"/>
        </w:rPr>
        <w:t>供中等和高等困难性门诊的中心。它也与私营部门在诊断、医疗和康复方面达成协议，以便提高各种福利，特别是在防止残疾方面。</w:t>
      </w:r>
    </w:p>
    <w:p w:rsidR="00000000" w:rsidRDefault="009C1C61">
      <w:pPr>
        <w:rPr>
          <w:rFonts w:hint="eastAsia"/>
        </w:rPr>
      </w:pPr>
      <w:r>
        <w:rPr>
          <w:rFonts w:hint="eastAsia"/>
        </w:rPr>
        <w:tab/>
        <w:t xml:space="preserve">93.  </w:t>
      </w:r>
      <w:r>
        <w:rPr>
          <w:rFonts w:hint="eastAsia"/>
        </w:rPr>
        <w:t>在公共制度下的福利是通过国卫基金提供。对接受补助养恤金者或统一家属津贴者医疗是免费的；因此接受上述福利的残疾人的保健需求得到了满足。</w:t>
      </w:r>
    </w:p>
    <w:p w:rsidR="00000000" w:rsidRDefault="009C1C61">
      <w:pPr>
        <w:rPr>
          <w:rFonts w:hint="eastAsia"/>
        </w:rPr>
      </w:pPr>
      <w:r>
        <w:rPr>
          <w:rFonts w:hint="eastAsia"/>
        </w:rPr>
        <w:tab/>
        <w:t xml:space="preserve">94.  </w:t>
      </w:r>
      <w:r>
        <w:rPr>
          <w:rFonts w:hint="eastAsia"/>
        </w:rPr>
        <w:t>卫生部通过其基本方案和特别单位在儿童卫生监督、免疫、刺激精神运动发展、遗传学咨询、老年人方案、促进心理卫生、控制传染病等方面进行预防和诊断残疾病。卫生部在康复领域里也十分活跃；它评估和执行措施以减少疾病和引起残疾的各种缺陷的根由。</w:t>
      </w:r>
    </w:p>
    <w:p w:rsidR="00000000" w:rsidRDefault="009C1C61">
      <w:pPr>
        <w:rPr>
          <w:rFonts w:hint="eastAsia"/>
        </w:rPr>
      </w:pPr>
      <w:r>
        <w:rPr>
          <w:rFonts w:hint="eastAsia"/>
        </w:rPr>
        <w:tab/>
        <w:t>9</w:t>
      </w:r>
      <w:r>
        <w:rPr>
          <w:rFonts w:hint="eastAsia"/>
        </w:rPr>
        <w:t xml:space="preserve">5.  </w:t>
      </w:r>
      <w:r>
        <w:rPr>
          <w:rFonts w:hint="eastAsia"/>
        </w:rPr>
        <w:t>精神卫生股是卫生部下的一个技术机构。它的目的是促进个人的精神健康，以便符合在社会里以团结为基础的共处要求，达到全面的人类发展。其任务包括鼓励在人口中促进个人和群体的健康</w:t>
      </w:r>
      <w:r>
        <w:rPr>
          <w:rFonts w:hint="eastAsia"/>
        </w:rPr>
        <w:t>(</w:t>
      </w:r>
      <w:r>
        <w:rPr>
          <w:rFonts w:hint="eastAsia"/>
        </w:rPr>
        <w:t>包括预防措施</w:t>
      </w:r>
      <w:r>
        <w:rPr>
          <w:rFonts w:hint="eastAsia"/>
        </w:rPr>
        <w:t>)</w:t>
      </w:r>
      <w:r>
        <w:rPr>
          <w:rFonts w:hint="eastAsia"/>
        </w:rPr>
        <w:t>，包括精神健康方面；并协助改善个人在治疗精神失调的公共和私营部门获得预防、治疗和康复服务的机会。至于在精神健康领域里的促进和预防活动，它企图为个人、家庭和团体提供支助、推广在与其他人和其他环境相互影响后获得的技巧，以形成一种有利于精神健康的生活方式。</w:t>
      </w:r>
    </w:p>
    <w:p w:rsidR="00000000" w:rsidRDefault="009C1C61">
      <w:pPr>
        <w:rPr>
          <w:rFonts w:hint="eastAsia"/>
        </w:rPr>
      </w:pPr>
      <w:r>
        <w:rPr>
          <w:rFonts w:hint="eastAsia"/>
        </w:rPr>
        <w:tab/>
        <w:t xml:space="preserve">96.  </w:t>
      </w:r>
      <w:r>
        <w:rPr>
          <w:rFonts w:hint="eastAsia"/>
        </w:rPr>
        <w:t>精神健康被指定为卫生政策领域里的</w:t>
      </w:r>
      <w:r>
        <w:rPr>
          <w:rFonts w:hint="eastAsia"/>
        </w:rPr>
        <w:t>16</w:t>
      </w:r>
      <w:r>
        <w:rPr>
          <w:rFonts w:hint="eastAsia"/>
        </w:rPr>
        <w:t>个优先领域之一。它的</w:t>
      </w:r>
      <w:r>
        <w:rPr>
          <w:rFonts w:hint="eastAsia"/>
        </w:rPr>
        <w:t>受惠者得到三个等级的照顾</w:t>
      </w:r>
      <w:r>
        <w:rPr>
          <w:rFonts w:hint="eastAsia"/>
          <w:spacing w:val="-40"/>
        </w:rPr>
        <w:t>——</w:t>
      </w:r>
      <w:r>
        <w:rPr>
          <w:rFonts w:hint="eastAsia"/>
        </w:rPr>
        <w:t>一级、二级和三级。他们之中大部分受到初级治疗，或在医院的急症病房接受治疗。</w:t>
      </w:r>
    </w:p>
    <w:p w:rsidR="00000000" w:rsidRDefault="009C1C61">
      <w:pPr>
        <w:rPr>
          <w:rFonts w:hint="eastAsia"/>
        </w:rPr>
      </w:pPr>
      <w:r>
        <w:rPr>
          <w:rFonts w:hint="eastAsia"/>
        </w:rPr>
        <w:tab/>
        <w:t xml:space="preserve">97.  </w:t>
      </w:r>
      <w:r>
        <w:rPr>
          <w:rFonts w:hint="eastAsia"/>
        </w:rPr>
        <w:t>心理社会康复方案的对象是刑事诉讼由于精神病被取消了的人。这个方案的目的是减少残疾的症状和在工作领域、社会生活、自我照料及基本生计方面养成新的习惯；它的对象是由于精神病而被取消刑事诉讼的人。这个方案于</w:t>
      </w:r>
      <w:r>
        <w:rPr>
          <w:rFonts w:hint="eastAsia"/>
        </w:rPr>
        <w:t>1998</w:t>
      </w:r>
      <w:r>
        <w:rPr>
          <w:rFonts w:hint="eastAsia"/>
        </w:rPr>
        <w:t>年成立，没有时限，并在全国</w:t>
      </w:r>
      <w:r>
        <w:rPr>
          <w:rFonts w:hint="eastAsia"/>
        </w:rPr>
        <w:t>28</w:t>
      </w:r>
      <w:r>
        <w:rPr>
          <w:rFonts w:hint="eastAsia"/>
        </w:rPr>
        <w:t>个保健中心中实施。</w:t>
      </w:r>
      <w:r>
        <w:rPr>
          <w:rFonts w:hint="eastAsia"/>
        </w:rPr>
        <w:t>400</w:t>
      </w:r>
      <w:r>
        <w:rPr>
          <w:rFonts w:hint="eastAsia"/>
        </w:rPr>
        <w:t>个人由于精神病而被取消对他们的刑事诉讼，他们都在接受治疗和心理康复方案。</w:t>
      </w:r>
    </w:p>
    <w:p w:rsidR="00000000" w:rsidRDefault="009C1C61">
      <w:pPr>
        <w:rPr>
          <w:rFonts w:hint="eastAsia"/>
        </w:rPr>
      </w:pPr>
      <w:r>
        <w:rPr>
          <w:rFonts w:hint="eastAsia"/>
        </w:rPr>
        <w:tab/>
        <w:t xml:space="preserve">98.  </w:t>
      </w:r>
      <w:r>
        <w:rPr>
          <w:rFonts w:hint="eastAsia"/>
        </w:rPr>
        <w:t>该方案为使用精神健康服务的使用者团体和他们的家庭提</w:t>
      </w:r>
      <w:r>
        <w:rPr>
          <w:rFonts w:hint="eastAsia"/>
        </w:rPr>
        <w:t>供组织发展方面的支助，以协助有关人士负起相互援助职能，在社群内促进对该问题的意识和知识，捍卫使用者的权利和提供康复和社会重新融合的服务。</w:t>
      </w:r>
      <w:r>
        <w:rPr>
          <w:rFonts w:hint="eastAsia"/>
        </w:rPr>
        <w:t>1999</w:t>
      </w:r>
      <w:r>
        <w:rPr>
          <w:rFonts w:hint="eastAsia"/>
        </w:rPr>
        <w:t>年有</w:t>
      </w:r>
      <w:r>
        <w:rPr>
          <w:rFonts w:hint="eastAsia"/>
        </w:rPr>
        <w:t>400</w:t>
      </w:r>
      <w:r>
        <w:rPr>
          <w:rFonts w:hint="eastAsia"/>
        </w:rPr>
        <w:t>个使用者团体从公共卫生制度得到技术和资金援助。该方案于</w:t>
      </w:r>
      <w:r>
        <w:rPr>
          <w:rFonts w:hint="eastAsia"/>
        </w:rPr>
        <w:t>1993</w:t>
      </w:r>
      <w:r>
        <w:rPr>
          <w:rFonts w:hint="eastAsia"/>
        </w:rPr>
        <w:t>年启用，没有限期，它通过位于全国的</w:t>
      </w:r>
      <w:r>
        <w:rPr>
          <w:rFonts w:hint="eastAsia"/>
        </w:rPr>
        <w:t>28</w:t>
      </w:r>
      <w:r>
        <w:rPr>
          <w:rFonts w:hint="eastAsia"/>
        </w:rPr>
        <w:t>个保健中心提供全国性服务。</w:t>
      </w:r>
    </w:p>
    <w:p w:rsidR="00000000" w:rsidRDefault="009C1C61">
      <w:pPr>
        <w:rPr>
          <w:rFonts w:hint="eastAsia"/>
        </w:rPr>
      </w:pPr>
      <w:r>
        <w:rPr>
          <w:rFonts w:hint="eastAsia"/>
        </w:rPr>
        <w:tab/>
        <w:t xml:space="preserve">99.  </w:t>
      </w:r>
      <w:r>
        <w:rPr>
          <w:rFonts w:hint="eastAsia"/>
        </w:rPr>
        <w:t>从</w:t>
      </w:r>
      <w:r>
        <w:rPr>
          <w:rFonts w:hint="eastAsia"/>
        </w:rPr>
        <w:t>1990</w:t>
      </w:r>
      <w:r>
        <w:rPr>
          <w:rFonts w:hint="eastAsia"/>
        </w:rPr>
        <w:t>年代开始，在回到民主政权作出努力，发展现代的精神保健服务后，心理严重失常病人的家人团体变得更活跃。</w:t>
      </w:r>
      <w:r>
        <w:rPr>
          <w:rFonts w:hint="eastAsia"/>
        </w:rPr>
        <w:t>1998</w:t>
      </w:r>
      <w:r>
        <w:rPr>
          <w:rFonts w:hint="eastAsia"/>
        </w:rPr>
        <w:t>年在卫生部支持下成立了全国心理残疾者亲友协会</w:t>
      </w:r>
      <w:r>
        <w:rPr>
          <w:rFonts w:hint="eastAsia"/>
        </w:rPr>
        <w:t>(</w:t>
      </w:r>
      <w:r>
        <w:rPr>
          <w:rFonts w:hint="eastAsia"/>
        </w:rPr>
        <w:t>心残者亲友协</w:t>
      </w:r>
      <w:r>
        <w:rPr>
          <w:rFonts w:hint="eastAsia"/>
        </w:rPr>
        <w:t>)</w:t>
      </w:r>
      <w:r>
        <w:rPr>
          <w:rFonts w:hint="eastAsia"/>
        </w:rPr>
        <w:t>。同时，也成立了综合医疗方案受益人协会和其</w:t>
      </w:r>
      <w:r>
        <w:rPr>
          <w:rFonts w:hint="eastAsia"/>
        </w:rPr>
        <w:t>他自助性组织，以应付新出现的问题，如老人性痴呆病。这些团体的主要任务是：</w:t>
      </w:r>
    </w:p>
    <w:p w:rsidR="00000000" w:rsidRDefault="009C1C61">
      <w:pPr>
        <w:numPr>
          <w:ilvl w:val="0"/>
          <w:numId w:val="86"/>
        </w:numPr>
        <w:rPr>
          <w:rFonts w:hint="eastAsia"/>
        </w:rPr>
      </w:pPr>
      <w:r>
        <w:rPr>
          <w:rFonts w:hint="eastAsia"/>
        </w:rPr>
        <w:t>维护病人在享有尊严、适当的治疗、不受歧视、获得高质量的服务和消息方面的权利，以及对他们的治疗的同意权；</w:t>
      </w:r>
    </w:p>
    <w:p w:rsidR="00000000" w:rsidRDefault="009C1C61">
      <w:pPr>
        <w:numPr>
          <w:ilvl w:val="0"/>
          <w:numId w:val="86"/>
        </w:numPr>
        <w:rPr>
          <w:rFonts w:hint="eastAsia"/>
        </w:rPr>
      </w:pPr>
      <w:r>
        <w:rPr>
          <w:rFonts w:hint="eastAsia"/>
        </w:rPr>
        <w:t>对创立更好的精神卫生和心理医院加强社会压力、促进参与者之间相互感情上的支持，对疾病及其治疗方法提供教育，及解决共同的问题；</w:t>
      </w:r>
    </w:p>
    <w:p w:rsidR="00000000" w:rsidRDefault="009C1C61">
      <w:pPr>
        <w:numPr>
          <w:ilvl w:val="0"/>
          <w:numId w:val="86"/>
        </w:numPr>
        <w:spacing w:after="240"/>
        <w:rPr>
          <w:rFonts w:hint="eastAsia"/>
        </w:rPr>
      </w:pPr>
      <w:r>
        <w:rPr>
          <w:rFonts w:hint="eastAsia"/>
        </w:rPr>
        <w:t>提高族群内和当局之间、传媒和其他部门对精神病的了解，及其对家庭的影响和对社会的重要性并使人接受在先天禀性方面的差异。</w:t>
      </w:r>
    </w:p>
    <w:p w:rsidR="00000000" w:rsidRDefault="009C1C61">
      <w:pPr>
        <w:pStyle w:val="Heading4"/>
        <w:rPr>
          <w:rFonts w:hint="eastAsia"/>
        </w:rPr>
      </w:pPr>
      <w:r>
        <w:rPr>
          <w:rFonts w:ascii="Time New Roman" w:eastAsia="SimHei" w:hAnsi="Time New Roman" w:hint="eastAsia"/>
          <w:u w:val="none"/>
        </w:rPr>
        <w:t>促进残疾人行使权利的政府政策</w:t>
      </w:r>
    </w:p>
    <w:p w:rsidR="00000000" w:rsidRDefault="009C1C61">
      <w:pPr>
        <w:rPr>
          <w:rFonts w:hint="eastAsia"/>
        </w:rPr>
      </w:pPr>
      <w:r>
        <w:rPr>
          <w:rFonts w:hint="eastAsia"/>
        </w:rPr>
        <w:tab/>
        <w:t xml:space="preserve">100.  </w:t>
      </w:r>
      <w:r>
        <w:rPr>
          <w:rFonts w:hint="eastAsia"/>
        </w:rPr>
        <w:t>规划和合作部与下列各部门一齐关注残疾人的问题：</w:t>
      </w:r>
    </w:p>
    <w:p w:rsidR="00000000" w:rsidRDefault="009C1C61">
      <w:pPr>
        <w:numPr>
          <w:ilvl w:val="0"/>
          <w:numId w:val="87"/>
        </w:numPr>
        <w:rPr>
          <w:rFonts w:hint="eastAsia"/>
        </w:rPr>
      </w:pPr>
      <w:r>
        <w:rPr>
          <w:rFonts w:hint="eastAsia"/>
        </w:rPr>
        <w:t>全国残疾基金，这是一个附属于规划和合作部的独立机构。它与卫生部、教育部、劳工部、工程部、运输和电信部、内政部总秘书处、社会保险标准化协会、市政局、省长办公室、行政办事处、公民身份和证件处和国会都有直接关系。这些关系直接源自一些使残疾人的社会融合出现困难的情况。全国残疾基金由于为有关残疾人的项目提供技术援助的资金而帮助了他们的社会融合，方便了他们获取康复、教育、工作、文化、娱乐、实际空间、资料、电信和运输等设施、为技术援助提供资金的方案正在全国实施；它于</w:t>
      </w:r>
      <w:r>
        <w:rPr>
          <w:rFonts w:hint="eastAsia"/>
        </w:rPr>
        <w:t>1995</w:t>
      </w:r>
      <w:r>
        <w:rPr>
          <w:rFonts w:hint="eastAsia"/>
        </w:rPr>
        <w:t>年开始，没有时限。它为自己规定的目标是每年不少于</w:t>
      </w:r>
      <w:r>
        <w:rPr>
          <w:rFonts w:hint="eastAsia"/>
        </w:rPr>
        <w:t>4,500</w:t>
      </w:r>
      <w:r>
        <w:rPr>
          <w:rFonts w:hint="eastAsia"/>
        </w:rPr>
        <w:t>项技术援助。为了享受该方案，必须向残疾人国家登记处登记。</w:t>
      </w:r>
    </w:p>
    <w:p w:rsidR="00000000" w:rsidRDefault="009C1C61">
      <w:pPr>
        <w:numPr>
          <w:ilvl w:val="0"/>
          <w:numId w:val="87"/>
        </w:numPr>
        <w:rPr>
          <w:rFonts w:hint="eastAsia"/>
        </w:rPr>
      </w:pPr>
      <w:r>
        <w:rPr>
          <w:rFonts w:hint="eastAsia"/>
        </w:rPr>
        <w:t>社会声援和投资基金</w:t>
      </w:r>
      <w:r>
        <w:rPr>
          <w:rFonts w:hint="eastAsia"/>
        </w:rPr>
        <w:t>(</w:t>
      </w:r>
      <w:r>
        <w:rPr>
          <w:rFonts w:hint="eastAsia"/>
        </w:rPr>
        <w:t>社援投资基金</w:t>
      </w:r>
      <w:r>
        <w:rPr>
          <w:rFonts w:hint="eastAsia"/>
        </w:rPr>
        <w:t>)</w:t>
      </w:r>
      <w:r>
        <w:rPr>
          <w:rFonts w:hint="eastAsia"/>
        </w:rPr>
        <w:t>的一项目标是为生活在城市里的贫穷残疾人创造同等机会，将他们作为使用者带到社援投资基金在该区域里的不同活动中。国家其他地区也在进行类似活动。第一项这类活动是于</w:t>
      </w:r>
      <w:r>
        <w:rPr>
          <w:rFonts w:hint="eastAsia"/>
        </w:rPr>
        <w:t>1992</w:t>
      </w:r>
      <w:r>
        <w:rPr>
          <w:rFonts w:hint="eastAsia"/>
        </w:rPr>
        <w:t>年在残疾人生产性支助方案的范围内得到资助的，这是残疾基金与社援投资基金之间所订的一项协定的后果。</w:t>
      </w:r>
    </w:p>
    <w:p w:rsidR="00000000" w:rsidRDefault="009C1C61">
      <w:pPr>
        <w:numPr>
          <w:ilvl w:val="0"/>
          <w:numId w:val="87"/>
        </w:numPr>
        <w:rPr>
          <w:rFonts w:hint="eastAsia"/>
        </w:rPr>
      </w:pPr>
      <w:r>
        <w:rPr>
          <w:rFonts w:hint="eastAsia"/>
        </w:rPr>
        <w:t>全国土著人发展办事处</w:t>
      </w:r>
      <w:r>
        <w:rPr>
          <w:rFonts w:hint="eastAsia"/>
        </w:rPr>
        <w:t>(</w:t>
      </w:r>
      <w:r>
        <w:rPr>
          <w:rFonts w:hint="eastAsia"/>
        </w:rPr>
        <w:t>土发公司</w:t>
      </w:r>
      <w:r>
        <w:rPr>
          <w:rFonts w:hint="eastAsia"/>
        </w:rPr>
        <w:t>)</w:t>
      </w:r>
      <w:r>
        <w:rPr>
          <w:rFonts w:hint="eastAsia"/>
        </w:rPr>
        <w:t>的一个目标是促进土著人口中的残疾人的社会融合及满足他们因残疾和种族身份而引起的特别需求。</w:t>
      </w:r>
    </w:p>
    <w:p w:rsidR="00000000" w:rsidRDefault="009C1C61">
      <w:pPr>
        <w:numPr>
          <w:ilvl w:val="0"/>
          <w:numId w:val="87"/>
        </w:numPr>
        <w:rPr>
          <w:rFonts w:hint="eastAsia"/>
        </w:rPr>
      </w:pPr>
      <w:r>
        <w:rPr>
          <w:rFonts w:hint="eastAsia"/>
        </w:rPr>
        <w:t>全国青年服务署附属于规划和</w:t>
      </w:r>
      <w:r>
        <w:rPr>
          <w:rFonts w:hint="eastAsia"/>
        </w:rPr>
        <w:t>合作部，它的宗旨是促进残疾年轻人的社会融合。</w:t>
      </w:r>
    </w:p>
    <w:p w:rsidR="00000000" w:rsidRDefault="009C1C61">
      <w:pPr>
        <w:numPr>
          <w:ilvl w:val="0"/>
          <w:numId w:val="87"/>
        </w:numPr>
        <w:spacing w:after="240"/>
        <w:rPr>
          <w:rFonts w:hint="eastAsia"/>
        </w:rPr>
      </w:pPr>
      <w:r>
        <w:rPr>
          <w:rFonts w:hint="eastAsia"/>
        </w:rPr>
        <w:t>自从颁布残疾法案及</w:t>
      </w:r>
      <w:r>
        <w:rPr>
          <w:rFonts w:hint="eastAsia"/>
        </w:rPr>
        <w:t>1999</w:t>
      </w:r>
      <w:r>
        <w:rPr>
          <w:rFonts w:hint="eastAsia"/>
        </w:rPr>
        <w:t>年融合残疾人国家政策后，残疾人组织变得更强大，这些组织提请有关当局注意它们成员的要求。这种发展导致在政策、规划和议会的动议中列入了这些个人和他们的需求。正在设计一些具体的法律、行政和司法措施，以促进残疾人充分融合到社会里。正在实施国家残疾人融合政策的目标和指导原则，该政策宣布残疾人可充分参与他们各自的社会，充分行使他们的公民权并参与所有与残疾有关的机构和服务，特别是与康复、教育和工作有关的机构和服务，作为他们发展的基础；积极参与有关他们</w:t>
      </w:r>
      <w:r>
        <w:rPr>
          <w:rFonts w:hint="eastAsia"/>
        </w:rPr>
        <w:t>的活动的规划和开展，特别是在康复和融合方面，享有最高程度的能动性，使他们能使用物质空间，进入建筑物和车辆、享受经济独立、不论是通过做一项可为他们带来收入的职业或工作，或通过社会福利领取一项最低的收入</w:t>
      </w:r>
      <w:r>
        <w:rPr>
          <w:rFonts w:hint="eastAsia"/>
        </w:rPr>
        <w:t>(</w:t>
      </w:r>
      <w:r>
        <w:rPr>
          <w:rFonts w:hint="eastAsia"/>
        </w:rPr>
        <w:t>视情况而定</w:t>
      </w:r>
      <w:r>
        <w:rPr>
          <w:rFonts w:hint="eastAsia"/>
        </w:rPr>
        <w:t>)</w:t>
      </w:r>
      <w:r>
        <w:rPr>
          <w:rFonts w:hint="eastAsia"/>
        </w:rPr>
        <w:t>。</w:t>
      </w:r>
    </w:p>
    <w:p w:rsidR="00000000" w:rsidRDefault="009C1C61">
      <w:pPr>
        <w:pStyle w:val="Heading4"/>
        <w:rPr>
          <w:rFonts w:hint="eastAsia"/>
        </w:rPr>
      </w:pPr>
      <w:r>
        <w:rPr>
          <w:rFonts w:ascii="Time New Roman" w:eastAsia="SimHei" w:hAnsi="Time New Roman" w:hint="eastAsia"/>
          <w:u w:val="none"/>
        </w:rPr>
        <w:t>老年人的经济、社会、文化权利</w:t>
      </w:r>
      <w:r>
        <w:rPr>
          <w:rFonts w:ascii="Time New Roman" w:eastAsia="SimHei" w:hAnsi="Time New Roman" w:hint="eastAsia"/>
          <w:u w:val="none"/>
        </w:rPr>
        <w:t>(</w:t>
      </w:r>
      <w:r>
        <w:rPr>
          <w:rFonts w:ascii="Time New Roman" w:eastAsia="SimHei" w:hAnsi="Time New Roman" w:hint="eastAsia"/>
          <w:u w:val="none"/>
        </w:rPr>
        <w:t>经济、社会、文化权利委员会第</w:t>
      </w:r>
      <w:r>
        <w:rPr>
          <w:rFonts w:ascii="Time New Roman" w:eastAsia="SimHei" w:hAnsi="Time New Roman" w:hint="eastAsia"/>
          <w:u w:val="none"/>
        </w:rPr>
        <w:t>6</w:t>
      </w:r>
      <w:r>
        <w:rPr>
          <w:rFonts w:ascii="Time New Roman" w:eastAsia="SimHei" w:hAnsi="Time New Roman" w:hint="eastAsia"/>
          <w:u w:val="none"/>
        </w:rPr>
        <w:t>号</w:t>
      </w:r>
      <w:r>
        <w:rPr>
          <w:rFonts w:ascii="Time New Roman" w:eastAsia="SimHei" w:hAnsi="Time New Roman" w:hint="eastAsia"/>
          <w:u w:val="none"/>
        </w:rPr>
        <w:t>(1995</w:t>
      </w:r>
      <w:r>
        <w:rPr>
          <w:rFonts w:ascii="Time New Roman" w:eastAsia="SimHei" w:hAnsi="Time New Roman" w:hint="eastAsia"/>
          <w:u w:val="none"/>
        </w:rPr>
        <w:t>年</w:t>
      </w:r>
      <w:r>
        <w:rPr>
          <w:rFonts w:ascii="Time New Roman" w:eastAsia="SimHei" w:hAnsi="Time New Roman" w:hint="eastAsia"/>
          <w:u w:val="none"/>
        </w:rPr>
        <w:t>)</w:t>
      </w:r>
      <w:r>
        <w:rPr>
          <w:rFonts w:ascii="Time New Roman" w:eastAsia="SimHei" w:hAnsi="Time New Roman" w:hint="eastAsia"/>
          <w:u w:val="none"/>
        </w:rPr>
        <w:t>一般性意见</w:t>
      </w:r>
      <w:r>
        <w:rPr>
          <w:rFonts w:ascii="Time New Roman" w:eastAsia="SimHei" w:hAnsi="Time New Roman" w:hint="eastAsia"/>
          <w:u w:val="none"/>
        </w:rPr>
        <w:t>)</w:t>
      </w:r>
    </w:p>
    <w:p w:rsidR="00000000" w:rsidRDefault="009C1C61">
      <w:pPr>
        <w:rPr>
          <w:rFonts w:hint="eastAsia"/>
        </w:rPr>
      </w:pPr>
      <w:r>
        <w:rPr>
          <w:rFonts w:hint="eastAsia"/>
        </w:rPr>
        <w:tab/>
        <w:t xml:space="preserve">101.  </w:t>
      </w:r>
      <w:r>
        <w:rPr>
          <w:rFonts w:hint="eastAsia"/>
        </w:rPr>
        <w:t>智利的老年人不拥有任何特别的经济、社会和文化权利或不同于经济宪章中所规定的公民权利之外的其他权利。在今日的智利人口中，</w:t>
      </w:r>
      <w:r>
        <w:rPr>
          <w:rFonts w:hint="eastAsia"/>
        </w:rPr>
        <w:t>10%</w:t>
      </w:r>
      <w:r>
        <w:rPr>
          <w:rFonts w:hint="eastAsia"/>
        </w:rPr>
        <w:t>为老年人，据估计到</w:t>
      </w:r>
      <w:r>
        <w:rPr>
          <w:rFonts w:hint="eastAsia"/>
        </w:rPr>
        <w:t>2000</w:t>
      </w:r>
      <w:r>
        <w:rPr>
          <w:rFonts w:hint="eastAsia"/>
        </w:rPr>
        <w:t>年，他们将达到</w:t>
      </w:r>
      <w:r>
        <w:rPr>
          <w:rFonts w:hint="eastAsia"/>
        </w:rPr>
        <w:t>16%</w:t>
      </w:r>
      <w:r>
        <w:rPr>
          <w:rFonts w:hint="eastAsia"/>
        </w:rPr>
        <w:t>，也就是说将有</w:t>
      </w:r>
      <w:r>
        <w:rPr>
          <w:rFonts w:hint="eastAsia"/>
        </w:rPr>
        <w:t>300</w:t>
      </w:r>
      <w:r>
        <w:rPr>
          <w:rFonts w:hint="eastAsia"/>
        </w:rPr>
        <w:t>万</w:t>
      </w:r>
      <w:r>
        <w:rPr>
          <w:rFonts w:hint="eastAsia"/>
        </w:rPr>
        <w:t>人超过</w:t>
      </w:r>
      <w:r>
        <w:rPr>
          <w:rFonts w:hint="eastAsia"/>
        </w:rPr>
        <w:t>60</w:t>
      </w:r>
      <w:r>
        <w:rPr>
          <w:rFonts w:hint="eastAsia"/>
        </w:rPr>
        <w:t>岁。</w:t>
      </w:r>
    </w:p>
    <w:p w:rsidR="00000000" w:rsidRDefault="009C1C61">
      <w:pPr>
        <w:rPr>
          <w:rFonts w:hint="eastAsia"/>
        </w:rPr>
      </w:pPr>
      <w:r>
        <w:rPr>
          <w:rFonts w:hint="eastAsia"/>
        </w:rPr>
        <w:tab/>
        <w:t xml:space="preserve">102.  </w:t>
      </w:r>
      <w:r>
        <w:rPr>
          <w:rFonts w:hint="eastAsia"/>
        </w:rPr>
        <w:t>智利政府在</w:t>
      </w:r>
      <w:r>
        <w:rPr>
          <w:rFonts w:hint="eastAsia"/>
        </w:rPr>
        <w:t>1991</w:t>
      </w:r>
      <w:r>
        <w:rPr>
          <w:rFonts w:hint="eastAsia"/>
        </w:rPr>
        <w:t>年通过了《联合国老年人原则》。这些原则为拟订老年人国家政策提供了基础，该政策于</w:t>
      </w:r>
      <w:r>
        <w:rPr>
          <w:rFonts w:hint="eastAsia"/>
        </w:rPr>
        <w:t>1996</w:t>
      </w:r>
      <w:r>
        <w:rPr>
          <w:rFonts w:hint="eastAsia"/>
        </w:rPr>
        <w:t>年</w:t>
      </w:r>
      <w:r>
        <w:rPr>
          <w:rFonts w:hint="eastAsia"/>
        </w:rPr>
        <w:t>3</w:t>
      </w:r>
      <w:r>
        <w:rPr>
          <w:rFonts w:hint="eastAsia"/>
        </w:rPr>
        <w:t>月获得社会事务部长会议的批准。</w:t>
      </w:r>
    </w:p>
    <w:p w:rsidR="00000000" w:rsidRDefault="009C1C61">
      <w:pPr>
        <w:rPr>
          <w:rFonts w:hint="eastAsia"/>
        </w:rPr>
      </w:pPr>
      <w:r>
        <w:rPr>
          <w:rFonts w:hint="eastAsia"/>
        </w:rPr>
        <w:tab/>
        <w:t>103.  1996</w:t>
      </w:r>
      <w:r>
        <w:rPr>
          <w:rFonts w:hint="eastAsia"/>
        </w:rPr>
        <w:t>年和</w:t>
      </w:r>
      <w:r>
        <w:rPr>
          <w:rFonts w:hint="eastAsia"/>
        </w:rPr>
        <w:t>2002</w:t>
      </w:r>
      <w:r>
        <w:rPr>
          <w:rFonts w:hint="eastAsia"/>
        </w:rPr>
        <w:t>年之间一个被称为国家老年人委员会的委员会负责协调政府的老年人社会政策，协调使他们受惠的新政策和方案并向共和国总统提出建议。</w:t>
      </w:r>
    </w:p>
    <w:p w:rsidR="00000000" w:rsidRDefault="009C1C61">
      <w:pPr>
        <w:rPr>
          <w:rFonts w:hint="eastAsia"/>
        </w:rPr>
      </w:pPr>
      <w:r>
        <w:rPr>
          <w:rFonts w:hint="eastAsia"/>
        </w:rPr>
        <w:tab/>
        <w:t xml:space="preserve">104.  </w:t>
      </w:r>
      <w:r>
        <w:rPr>
          <w:rFonts w:hint="eastAsia"/>
        </w:rPr>
        <w:t>共和国总统于</w:t>
      </w:r>
      <w:r>
        <w:rPr>
          <w:rFonts w:hint="eastAsia"/>
        </w:rPr>
        <w:t>2002</w:t>
      </w:r>
      <w:r>
        <w:rPr>
          <w:rFonts w:hint="eastAsia"/>
        </w:rPr>
        <w:t>年颁布了第</w:t>
      </w:r>
      <w:r>
        <w:rPr>
          <w:rFonts w:hint="eastAsia"/>
        </w:rPr>
        <w:t>19,828</w:t>
      </w:r>
      <w:r>
        <w:rPr>
          <w:rFonts w:hint="eastAsia"/>
        </w:rPr>
        <w:t>号法令，该法令于该年</w:t>
      </w:r>
      <w:r>
        <w:rPr>
          <w:rFonts w:hint="eastAsia"/>
        </w:rPr>
        <w:t>7</w:t>
      </w:r>
      <w:r>
        <w:rPr>
          <w:rFonts w:hint="eastAsia"/>
        </w:rPr>
        <w:t>月</w:t>
      </w:r>
      <w:r>
        <w:rPr>
          <w:rFonts w:hint="eastAsia"/>
        </w:rPr>
        <w:t>30</w:t>
      </w:r>
      <w:r>
        <w:rPr>
          <w:rFonts w:hint="eastAsia"/>
        </w:rPr>
        <w:t>日获得国会的批准，它设立了国家老年人服务处。这个新机构于</w:t>
      </w:r>
      <w:r>
        <w:rPr>
          <w:rFonts w:hint="eastAsia"/>
        </w:rPr>
        <w:t>2003</w:t>
      </w:r>
      <w:r>
        <w:rPr>
          <w:rFonts w:hint="eastAsia"/>
        </w:rPr>
        <w:t>年</w:t>
      </w:r>
      <w:r>
        <w:rPr>
          <w:rFonts w:hint="eastAsia"/>
        </w:rPr>
        <w:t>1</w:t>
      </w:r>
      <w:r>
        <w:rPr>
          <w:rFonts w:hint="eastAsia"/>
        </w:rPr>
        <w:t>月</w:t>
      </w:r>
      <w:r>
        <w:rPr>
          <w:rFonts w:hint="eastAsia"/>
        </w:rPr>
        <w:t>1</w:t>
      </w:r>
      <w:r>
        <w:rPr>
          <w:rFonts w:hint="eastAsia"/>
        </w:rPr>
        <w:t>日开始工作，取代了国家老年人</w:t>
      </w:r>
      <w:r>
        <w:rPr>
          <w:rFonts w:hint="eastAsia"/>
        </w:rPr>
        <w:t>委员会。法律规定该老年人服务处为一个“职能性权力分散公共服务，具有法人性质并拥有自己的资产，受到共和国总统的监督，这项监督功能由总统的秘书长办公室执行。”该服务处的主要职能为提出旨在使老年人有效地融入家庭和社会的政策和影响到他们的问题的对策。该服务处也在考虑设立一些区域委员会，其职责是采取措施，执行有关老年人的政策，为服务处管理偿债基金并为在区域一级促进和执行计划和方案向行政首脑提供咨询。管理该部门的法律也设想设立一项偿债基金，以资助各项直接支持老年人的措施。这项基金的数额每年在预算案中规定，但它也可以接受</w:t>
      </w:r>
      <w:r>
        <w:rPr>
          <w:rFonts w:hint="eastAsia"/>
        </w:rPr>
        <w:t>赠款；基金将由该新机构管理。该服务处将通过区域委员会将资金直接转移到各区域然后由后者将资金分配给各个老年人组织和机构提出的项目。</w:t>
      </w:r>
    </w:p>
    <w:p w:rsidR="00000000" w:rsidRDefault="009C1C61">
      <w:pPr>
        <w:rPr>
          <w:rFonts w:hint="eastAsia"/>
        </w:rPr>
      </w:pPr>
      <w:r>
        <w:rPr>
          <w:rFonts w:hint="eastAsia"/>
        </w:rPr>
        <w:tab/>
        <w:t xml:space="preserve">105.  </w:t>
      </w:r>
      <w:r>
        <w:rPr>
          <w:rFonts w:hint="eastAsia"/>
        </w:rPr>
        <w:t>到</w:t>
      </w:r>
      <w:r>
        <w:rPr>
          <w:rFonts w:hint="eastAsia"/>
        </w:rPr>
        <w:t>2002</w:t>
      </w:r>
      <w:r>
        <w:rPr>
          <w:rFonts w:hint="eastAsia"/>
        </w:rPr>
        <w:t>年为止，国家老年人委员会由于意识到老年人想继续工作的愿望，将培训作为其五项主要活动之一，企图为老年人提供方便他们寻找工作和重新融入社会的工具。培训的领域包括项目的制订和设立；关于公共机构和部门中空缺的资料；在卫生和营养方面的自我照料；领导才能、交流和自信心的确立；学习怎样变老，处理丧亲和哀悼的情况和解决冲突。</w:t>
      </w:r>
    </w:p>
    <w:p w:rsidR="00000000" w:rsidRDefault="009C1C61">
      <w:pPr>
        <w:rPr>
          <w:rFonts w:hint="eastAsia"/>
        </w:rPr>
      </w:pPr>
      <w:r>
        <w:rPr>
          <w:rFonts w:hint="eastAsia"/>
        </w:rPr>
        <w:tab/>
        <w:t xml:space="preserve">106.  </w:t>
      </w:r>
      <w:r>
        <w:rPr>
          <w:rFonts w:hint="eastAsia"/>
        </w:rPr>
        <w:t>设立和扩大一个老年人培训和发展模</w:t>
      </w:r>
      <w:r>
        <w:rPr>
          <w:rFonts w:hint="eastAsia"/>
        </w:rPr>
        <w:t>范中心的项目是在智利政府和联合国开发计划署达成一项协定后出现的。该项目在</w:t>
      </w:r>
      <w:r>
        <w:rPr>
          <w:rFonts w:hint="eastAsia"/>
        </w:rPr>
        <w:t>1997-1999</w:t>
      </w:r>
      <w:r>
        <w:rPr>
          <w:rFonts w:hint="eastAsia"/>
        </w:rPr>
        <w:t>年期间执行。在该期间，生活在首都、</w:t>
      </w:r>
      <w:r>
        <w:rPr>
          <w:rFonts w:hint="eastAsia"/>
        </w:rPr>
        <w:t>V1</w:t>
      </w:r>
      <w:r>
        <w:rPr>
          <w:rFonts w:hint="eastAsia"/>
        </w:rPr>
        <w:t>和</w:t>
      </w:r>
      <w:r>
        <w:rPr>
          <w:rFonts w:hint="eastAsia"/>
        </w:rPr>
        <w:t>V2</w:t>
      </w:r>
      <w:r>
        <w:rPr>
          <w:rFonts w:hint="eastAsia"/>
        </w:rPr>
        <w:t>区域的</w:t>
      </w:r>
      <w:r>
        <w:rPr>
          <w:rFonts w:hint="eastAsia"/>
        </w:rPr>
        <w:t>1,651</w:t>
      </w:r>
      <w:r>
        <w:rPr>
          <w:rFonts w:hint="eastAsia"/>
        </w:rPr>
        <w:t>名老年人得到上文所提到的各个领域的训练。这个项目的一个成功之处是在</w:t>
      </w:r>
      <w:r>
        <w:t>Ternuco</w:t>
      </w:r>
      <w:r>
        <w:rPr>
          <w:rFonts w:hint="eastAsia"/>
        </w:rPr>
        <w:t>城建立了模范培训中心；它得到住房和城市规划部及开发计划署的资助，并得到日本的捐款。</w:t>
      </w:r>
    </w:p>
    <w:p w:rsidR="00000000" w:rsidRDefault="009C1C61">
      <w:pPr>
        <w:rPr>
          <w:rFonts w:hint="eastAsia"/>
        </w:rPr>
      </w:pPr>
      <w:r>
        <w:rPr>
          <w:rFonts w:hint="eastAsia"/>
        </w:rPr>
        <w:tab/>
      </w:r>
      <w:r>
        <w:t xml:space="preserve">107.  </w:t>
      </w:r>
      <w:r>
        <w:rPr>
          <w:rFonts w:hint="eastAsia"/>
        </w:rPr>
        <w:t>在培训和参与方面采取了下列措施：</w:t>
      </w:r>
    </w:p>
    <w:p w:rsidR="00000000" w:rsidRDefault="009C1C61">
      <w:pPr>
        <w:numPr>
          <w:ilvl w:val="0"/>
          <w:numId w:val="88"/>
        </w:numPr>
        <w:rPr>
          <w:rFonts w:hint="eastAsia"/>
        </w:rPr>
      </w:pPr>
      <w:r>
        <w:rPr>
          <w:rFonts w:hint="eastAsia"/>
        </w:rPr>
        <w:t>鼓励和促进老年人和他们的组织。在</w:t>
      </w:r>
      <w:r>
        <w:rPr>
          <w:rFonts w:hint="eastAsia"/>
        </w:rPr>
        <w:t>1999</w:t>
      </w:r>
      <w:r>
        <w:rPr>
          <w:rFonts w:hint="eastAsia"/>
        </w:rPr>
        <w:t>年将近</w:t>
      </w:r>
      <w:r>
        <w:rPr>
          <w:rFonts w:hint="eastAsia"/>
        </w:rPr>
        <w:t>200,000</w:t>
      </w:r>
      <w:r>
        <w:rPr>
          <w:rFonts w:hint="eastAsia"/>
        </w:rPr>
        <w:t>名老年人参加了各市的成年人俱乐部和工会组织的活动；</w:t>
      </w:r>
    </w:p>
    <w:p w:rsidR="00000000" w:rsidRDefault="009C1C61">
      <w:pPr>
        <w:numPr>
          <w:ilvl w:val="0"/>
          <w:numId w:val="88"/>
        </w:numPr>
        <w:rPr>
          <w:rFonts w:hint="eastAsia"/>
        </w:rPr>
      </w:pPr>
      <w:r>
        <w:rPr>
          <w:rFonts w:hint="eastAsia"/>
        </w:rPr>
        <w:t>鼓励和推广老年人的新机会。政府设立了偿</w:t>
      </w:r>
      <w:r>
        <w:rPr>
          <w:rFonts w:hint="eastAsia"/>
        </w:rPr>
        <w:t>债基金，通过其各部门和机构，诸如社会声援和投资基金</w:t>
      </w:r>
      <w:r>
        <w:rPr>
          <w:rFonts w:hint="eastAsia"/>
        </w:rPr>
        <w:t>(</w:t>
      </w:r>
      <w:r>
        <w:rPr>
          <w:rFonts w:hint="eastAsia"/>
        </w:rPr>
        <w:t>社援投资基金</w:t>
      </w:r>
      <w:r>
        <w:rPr>
          <w:rFonts w:hint="eastAsia"/>
        </w:rPr>
        <w:t>)</w:t>
      </w:r>
      <w:r>
        <w:rPr>
          <w:rFonts w:hint="eastAsia"/>
        </w:rPr>
        <w:t>、国家体育协会和卫生部向老年人组织提供资金；</w:t>
      </w:r>
    </w:p>
    <w:p w:rsidR="00000000" w:rsidRDefault="009C1C61">
      <w:pPr>
        <w:numPr>
          <w:ilvl w:val="0"/>
          <w:numId w:val="88"/>
        </w:numPr>
        <w:rPr>
          <w:rFonts w:hint="eastAsia"/>
        </w:rPr>
      </w:pPr>
      <w:r>
        <w:rPr>
          <w:rFonts w:hint="eastAsia"/>
        </w:rPr>
        <w:t>鼓励和推广在工作领域里的活动。发起运动，反对工作方面的年龄歧视。在</w:t>
      </w:r>
      <w:r>
        <w:rPr>
          <w:rFonts w:hint="eastAsia"/>
        </w:rPr>
        <w:t>1998</w:t>
      </w:r>
      <w:r>
        <w:rPr>
          <w:rFonts w:hint="eastAsia"/>
        </w:rPr>
        <w:t>年举办了一个关于对老年人的歧视问题讨论会，以提请注意这一类的歧视。私人企业也越来越喜欢雇用老年人，因为他们在工作方面负责和认真；</w:t>
      </w:r>
    </w:p>
    <w:p w:rsidR="00000000" w:rsidRDefault="009C1C61">
      <w:pPr>
        <w:numPr>
          <w:ilvl w:val="0"/>
          <w:numId w:val="88"/>
        </w:numPr>
        <w:spacing w:after="320"/>
        <w:rPr>
          <w:rFonts w:hint="eastAsia"/>
        </w:rPr>
      </w:pPr>
      <w:r>
        <w:rPr>
          <w:rFonts w:hint="eastAsia"/>
        </w:rPr>
        <w:t>鼓励走上老年之路；促进对老年人作为人力资源的文化改变，特别在社会工作方面。</w:t>
      </w:r>
    </w:p>
    <w:p w:rsidR="00000000" w:rsidRDefault="009C1C61">
      <w:pPr>
        <w:pStyle w:val="Heading4"/>
        <w:tabs>
          <w:tab w:val="left" w:pos="5895"/>
        </w:tabs>
        <w:rPr>
          <w:rFonts w:ascii="Time New Roman" w:eastAsia="SimHei" w:hAnsi="Time New Roman" w:hint="eastAsia"/>
          <w:u w:val="none"/>
        </w:rPr>
      </w:pPr>
      <w:r>
        <w:rPr>
          <w:rFonts w:ascii="Time New Roman" w:eastAsia="SimHei" w:hAnsi="Time New Roman" w:hint="eastAsia"/>
          <w:u w:val="none"/>
        </w:rPr>
        <w:t>工</w:t>
      </w:r>
      <w:r>
        <w:rPr>
          <w:rFonts w:ascii="Time New Roman" w:eastAsia="SimHei" w:hAnsi="Time New Roman" w:hint="eastAsia"/>
          <w:u w:val="none"/>
        </w:rPr>
        <w:t xml:space="preserve"> </w:t>
      </w:r>
      <w:r>
        <w:rPr>
          <w:rFonts w:ascii="Time New Roman" w:eastAsia="SimHei" w:hAnsi="Time New Roman" w:hint="eastAsia"/>
          <w:u w:val="none"/>
        </w:rPr>
        <w:t>作</w:t>
      </w:r>
      <w:r>
        <w:rPr>
          <w:rFonts w:ascii="Time New Roman" w:eastAsia="SimHei" w:hAnsi="Time New Roman" w:hint="eastAsia"/>
          <w:u w:val="none"/>
        </w:rPr>
        <w:t xml:space="preserve"> </w:t>
      </w:r>
      <w:r>
        <w:rPr>
          <w:rFonts w:ascii="Time New Roman" w:eastAsia="SimHei" w:hAnsi="Time New Roman" w:hint="eastAsia"/>
          <w:u w:val="none"/>
        </w:rPr>
        <w:t>权</w:t>
      </w:r>
    </w:p>
    <w:p w:rsidR="00000000" w:rsidRDefault="009C1C61">
      <w:pPr>
        <w:rPr>
          <w:rFonts w:hint="eastAsia"/>
        </w:rPr>
      </w:pPr>
      <w:r>
        <w:rPr>
          <w:rFonts w:hint="eastAsia"/>
        </w:rPr>
        <w:tab/>
        <w:t xml:space="preserve">108.  </w:t>
      </w:r>
      <w:r>
        <w:rPr>
          <w:rFonts w:hint="eastAsia"/>
        </w:rPr>
        <w:t>工作权是老年人的一个重要愿望。各项研究和方案显示这组人口中有许多人</w:t>
      </w:r>
      <w:r>
        <w:rPr>
          <w:rFonts w:hint="eastAsia"/>
        </w:rPr>
        <w:t>(</w:t>
      </w:r>
      <w:r>
        <w:rPr>
          <w:rFonts w:hint="eastAsia"/>
        </w:rPr>
        <w:t>特别是男人</w:t>
      </w:r>
      <w:r>
        <w:rPr>
          <w:rFonts w:hint="eastAsia"/>
        </w:rPr>
        <w:t>)</w:t>
      </w:r>
      <w:r>
        <w:rPr>
          <w:rFonts w:hint="eastAsia"/>
        </w:rPr>
        <w:t>希望在达到退休</w:t>
      </w:r>
      <w:r>
        <w:rPr>
          <w:rFonts w:hint="eastAsia"/>
        </w:rPr>
        <w:t>年龄后还继续工作下去，以便维持他们在社会上扮演的角色和一种归属感。这种愿望更由于养老金的不足而得到加强。他们似乎也希望继续对社会作出贡献，虽然作出贡献的方式有异于退休之前的工作，是在一种兼职性式或弹性工作时间的基础上。做义工也是重新融入社会的一个重要方式，并通过文化活动、旅行和娱乐提供个人发展的机会。</w:t>
      </w:r>
    </w:p>
    <w:p w:rsidR="00000000" w:rsidRDefault="009C1C61">
      <w:pPr>
        <w:spacing w:after="240"/>
        <w:rPr>
          <w:rFonts w:hint="eastAsia"/>
        </w:rPr>
      </w:pPr>
      <w:r>
        <w:rPr>
          <w:rFonts w:hint="eastAsia"/>
        </w:rPr>
        <w:tab/>
        <w:t xml:space="preserve">109.  </w:t>
      </w:r>
      <w:r>
        <w:rPr>
          <w:rFonts w:hint="eastAsia"/>
        </w:rPr>
        <w:t>根据国家统计局的资料，在</w:t>
      </w:r>
      <w:r>
        <w:rPr>
          <w:rFonts w:hint="eastAsia"/>
        </w:rPr>
        <w:t>1996-1999</w:t>
      </w:r>
      <w:r>
        <w:rPr>
          <w:rFonts w:hint="eastAsia"/>
        </w:rPr>
        <w:t>年期间，</w:t>
      </w:r>
      <w:r>
        <w:rPr>
          <w:rFonts w:hint="eastAsia"/>
        </w:rPr>
        <w:t>65</w:t>
      </w:r>
      <w:r>
        <w:rPr>
          <w:rFonts w:hint="eastAsia"/>
        </w:rPr>
        <w:t>岁或以上的人口参加劳动力的比率如下</w:t>
      </w:r>
    </w:p>
    <w:p w:rsidR="00000000" w:rsidRDefault="009C1C61">
      <w:pPr>
        <w:pStyle w:val="Heading3"/>
        <w:spacing w:after="240"/>
        <w:rPr>
          <w:rFonts w:hint="eastAsia"/>
        </w:rPr>
      </w:pPr>
      <w:r>
        <w:rPr>
          <w:rFonts w:hint="eastAsia"/>
        </w:rPr>
        <w:t>表</w:t>
      </w:r>
      <w:r>
        <w:rPr>
          <w:rFonts w:hint="eastAsia"/>
        </w:rPr>
        <w:t xml:space="preserve"> 3.  65</w:t>
      </w:r>
      <w:r>
        <w:rPr>
          <w:rFonts w:hint="eastAsia"/>
        </w:rPr>
        <w:t>岁或以上的人口参加劳动力的比率</w:t>
      </w:r>
      <w:r>
        <w:br/>
      </w:r>
      <w:r>
        <w:rPr>
          <w:rFonts w:hint="eastAsia"/>
        </w:rPr>
        <w:t>(</w:t>
      </w:r>
      <w:r>
        <w:rPr>
          <w:rFonts w:hint="eastAsia"/>
        </w:rPr>
        <w:t>百分比</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Pr>
          <w:p w:rsidR="00000000" w:rsidRDefault="009C1C61">
            <w:pPr>
              <w:pStyle w:val="a2"/>
              <w:spacing w:before="40" w:after="20" w:line="312" w:lineRule="auto"/>
              <w:jc w:val="center"/>
              <w:rPr>
                <w:rFonts w:hint="eastAsia"/>
              </w:rPr>
            </w:pPr>
            <w:r>
              <w:rPr>
                <w:rFonts w:hint="eastAsia"/>
              </w:rPr>
              <w:t>年</w:t>
            </w:r>
            <w:r>
              <w:rPr>
                <w:rFonts w:hint="eastAsia"/>
              </w:rPr>
              <w:t xml:space="preserve">  </w:t>
            </w:r>
            <w:r>
              <w:rPr>
                <w:rFonts w:hint="eastAsia"/>
              </w:rPr>
              <w:t>度</w:t>
            </w:r>
          </w:p>
        </w:tc>
        <w:tc>
          <w:tcPr>
            <w:tcW w:w="1882" w:type="dxa"/>
          </w:tcPr>
          <w:p w:rsidR="00000000" w:rsidRDefault="009C1C61">
            <w:pPr>
              <w:spacing w:before="40" w:after="20" w:line="312" w:lineRule="auto"/>
              <w:jc w:val="center"/>
              <w:rPr>
                <w:rFonts w:hint="eastAsia"/>
                <w:sz w:val="21"/>
              </w:rPr>
            </w:pPr>
            <w:r>
              <w:rPr>
                <w:rFonts w:hint="eastAsia"/>
                <w:sz w:val="21"/>
              </w:rPr>
              <w:t>1996</w:t>
            </w:r>
            <w:r>
              <w:rPr>
                <w:rFonts w:hint="eastAsia"/>
                <w:sz w:val="21"/>
              </w:rPr>
              <w:t>年</w:t>
            </w:r>
          </w:p>
        </w:tc>
        <w:tc>
          <w:tcPr>
            <w:tcW w:w="1882" w:type="dxa"/>
          </w:tcPr>
          <w:p w:rsidR="00000000" w:rsidRDefault="009C1C61">
            <w:pPr>
              <w:spacing w:before="40" w:after="20" w:line="312" w:lineRule="auto"/>
              <w:jc w:val="center"/>
              <w:rPr>
                <w:rFonts w:hint="eastAsia"/>
                <w:sz w:val="21"/>
              </w:rPr>
            </w:pPr>
            <w:r>
              <w:rPr>
                <w:rFonts w:hint="eastAsia"/>
                <w:sz w:val="21"/>
              </w:rPr>
              <w:t>1997</w:t>
            </w:r>
            <w:r>
              <w:rPr>
                <w:rFonts w:hint="eastAsia"/>
                <w:sz w:val="21"/>
              </w:rPr>
              <w:t>年</w:t>
            </w:r>
          </w:p>
        </w:tc>
        <w:tc>
          <w:tcPr>
            <w:tcW w:w="1882" w:type="dxa"/>
          </w:tcPr>
          <w:p w:rsidR="00000000" w:rsidRDefault="009C1C61">
            <w:pPr>
              <w:spacing w:before="40" w:after="20" w:line="312" w:lineRule="auto"/>
              <w:jc w:val="center"/>
              <w:rPr>
                <w:rFonts w:hint="eastAsia"/>
                <w:sz w:val="21"/>
              </w:rPr>
            </w:pPr>
            <w:r>
              <w:rPr>
                <w:rFonts w:hint="eastAsia"/>
                <w:sz w:val="21"/>
              </w:rPr>
              <w:t>1998</w:t>
            </w:r>
            <w:r>
              <w:rPr>
                <w:rFonts w:hint="eastAsia"/>
                <w:sz w:val="21"/>
              </w:rPr>
              <w:t>年</w:t>
            </w:r>
          </w:p>
        </w:tc>
        <w:tc>
          <w:tcPr>
            <w:tcW w:w="1882" w:type="dxa"/>
          </w:tcPr>
          <w:p w:rsidR="00000000" w:rsidRDefault="009C1C61">
            <w:pPr>
              <w:spacing w:before="40" w:after="20" w:line="312" w:lineRule="auto"/>
              <w:jc w:val="center"/>
              <w:rPr>
                <w:rFonts w:hint="eastAsia"/>
                <w:sz w:val="21"/>
              </w:rPr>
            </w:pPr>
            <w:r>
              <w:rPr>
                <w:rFonts w:hint="eastAsia"/>
                <w:sz w:val="21"/>
              </w:rPr>
              <w:t>1999</w:t>
            </w:r>
            <w:r>
              <w:rPr>
                <w:rFonts w:hint="eastAsia"/>
                <w:sz w:val="21"/>
              </w:rPr>
              <w:t>年</w:t>
            </w:r>
          </w:p>
        </w:tc>
      </w:tr>
      <w:tr w:rsidR="00000000">
        <w:tblPrEx>
          <w:tblCellMar>
            <w:top w:w="0" w:type="dxa"/>
            <w:bottom w:w="0" w:type="dxa"/>
          </w:tblCellMar>
        </w:tblPrEx>
        <w:tc>
          <w:tcPr>
            <w:tcW w:w="1882" w:type="dxa"/>
          </w:tcPr>
          <w:p w:rsidR="00000000" w:rsidRDefault="009C1C61">
            <w:pPr>
              <w:pStyle w:val="a2"/>
              <w:spacing w:before="40" w:after="20" w:line="312" w:lineRule="auto"/>
              <w:ind w:left="113"/>
              <w:rPr>
                <w:rFonts w:hint="eastAsia"/>
              </w:rPr>
            </w:pPr>
            <w:r>
              <w:rPr>
                <w:rFonts w:hint="eastAsia"/>
              </w:rPr>
              <w:t>男人和女人</w:t>
            </w:r>
          </w:p>
        </w:tc>
        <w:tc>
          <w:tcPr>
            <w:tcW w:w="1882" w:type="dxa"/>
          </w:tcPr>
          <w:p w:rsidR="00000000" w:rsidRDefault="009C1C61">
            <w:pPr>
              <w:spacing w:before="40" w:after="20" w:line="312" w:lineRule="auto"/>
              <w:ind w:right="680"/>
              <w:jc w:val="right"/>
              <w:rPr>
                <w:rFonts w:hint="eastAsia"/>
                <w:sz w:val="21"/>
              </w:rPr>
            </w:pPr>
            <w:r>
              <w:rPr>
                <w:rFonts w:hint="eastAsia"/>
                <w:sz w:val="21"/>
              </w:rPr>
              <w:t>15.8</w:t>
            </w:r>
          </w:p>
        </w:tc>
        <w:tc>
          <w:tcPr>
            <w:tcW w:w="1882" w:type="dxa"/>
          </w:tcPr>
          <w:p w:rsidR="00000000" w:rsidRDefault="009C1C61">
            <w:pPr>
              <w:spacing w:before="40" w:after="20" w:line="312" w:lineRule="auto"/>
              <w:ind w:right="680"/>
              <w:jc w:val="right"/>
              <w:rPr>
                <w:rFonts w:hint="eastAsia"/>
                <w:sz w:val="21"/>
              </w:rPr>
            </w:pPr>
            <w:r>
              <w:rPr>
                <w:rFonts w:hint="eastAsia"/>
                <w:sz w:val="21"/>
              </w:rPr>
              <w:t>15.8</w:t>
            </w:r>
          </w:p>
        </w:tc>
        <w:tc>
          <w:tcPr>
            <w:tcW w:w="1882" w:type="dxa"/>
          </w:tcPr>
          <w:p w:rsidR="00000000" w:rsidRDefault="009C1C61">
            <w:pPr>
              <w:spacing w:before="40" w:after="20" w:line="312" w:lineRule="auto"/>
              <w:ind w:right="680"/>
              <w:jc w:val="right"/>
              <w:rPr>
                <w:rFonts w:hint="eastAsia"/>
                <w:sz w:val="21"/>
              </w:rPr>
            </w:pPr>
            <w:r>
              <w:rPr>
                <w:rFonts w:hint="eastAsia"/>
                <w:sz w:val="21"/>
              </w:rPr>
              <w:t>16.3</w:t>
            </w:r>
          </w:p>
        </w:tc>
        <w:tc>
          <w:tcPr>
            <w:tcW w:w="1882" w:type="dxa"/>
          </w:tcPr>
          <w:p w:rsidR="00000000" w:rsidRDefault="009C1C61">
            <w:pPr>
              <w:spacing w:before="40" w:after="20" w:line="312" w:lineRule="auto"/>
              <w:ind w:right="680"/>
              <w:jc w:val="right"/>
              <w:rPr>
                <w:rFonts w:hint="eastAsia"/>
                <w:sz w:val="21"/>
              </w:rPr>
            </w:pPr>
            <w:r>
              <w:rPr>
                <w:rFonts w:hint="eastAsia"/>
                <w:sz w:val="21"/>
              </w:rPr>
              <w:t>14.9</w:t>
            </w:r>
          </w:p>
        </w:tc>
      </w:tr>
      <w:tr w:rsidR="00000000">
        <w:tblPrEx>
          <w:tblCellMar>
            <w:top w:w="0" w:type="dxa"/>
            <w:bottom w:w="0" w:type="dxa"/>
          </w:tblCellMar>
        </w:tblPrEx>
        <w:tc>
          <w:tcPr>
            <w:tcW w:w="1882" w:type="dxa"/>
          </w:tcPr>
          <w:p w:rsidR="00000000" w:rsidRDefault="009C1C61">
            <w:pPr>
              <w:pStyle w:val="a2"/>
              <w:spacing w:before="40" w:after="20" w:line="312" w:lineRule="auto"/>
              <w:ind w:left="113"/>
              <w:rPr>
                <w:rFonts w:hint="eastAsia"/>
              </w:rPr>
            </w:pPr>
            <w:r>
              <w:rPr>
                <w:rFonts w:hint="eastAsia"/>
              </w:rPr>
              <w:t>男</w:t>
            </w:r>
            <w:r>
              <w:rPr>
                <w:rFonts w:hint="eastAsia"/>
              </w:rPr>
              <w:t xml:space="preserve">  </w:t>
            </w:r>
            <w:r>
              <w:rPr>
                <w:rFonts w:hint="eastAsia"/>
              </w:rPr>
              <w:t>人</w:t>
            </w:r>
          </w:p>
        </w:tc>
        <w:tc>
          <w:tcPr>
            <w:tcW w:w="1882" w:type="dxa"/>
          </w:tcPr>
          <w:p w:rsidR="00000000" w:rsidRDefault="009C1C61">
            <w:pPr>
              <w:spacing w:before="40" w:after="20" w:line="312" w:lineRule="auto"/>
              <w:ind w:right="680"/>
              <w:jc w:val="right"/>
              <w:rPr>
                <w:rFonts w:hint="eastAsia"/>
                <w:sz w:val="21"/>
              </w:rPr>
            </w:pPr>
            <w:r>
              <w:rPr>
                <w:rFonts w:hint="eastAsia"/>
                <w:sz w:val="21"/>
              </w:rPr>
              <w:t>27.4</w:t>
            </w:r>
          </w:p>
        </w:tc>
        <w:tc>
          <w:tcPr>
            <w:tcW w:w="1882" w:type="dxa"/>
          </w:tcPr>
          <w:p w:rsidR="00000000" w:rsidRDefault="009C1C61">
            <w:pPr>
              <w:spacing w:before="40" w:after="20" w:line="312" w:lineRule="auto"/>
              <w:ind w:right="680"/>
              <w:jc w:val="right"/>
              <w:rPr>
                <w:rFonts w:hint="eastAsia"/>
                <w:sz w:val="21"/>
              </w:rPr>
            </w:pPr>
            <w:r>
              <w:rPr>
                <w:rFonts w:hint="eastAsia"/>
                <w:sz w:val="21"/>
              </w:rPr>
              <w:t>27.4</w:t>
            </w:r>
          </w:p>
        </w:tc>
        <w:tc>
          <w:tcPr>
            <w:tcW w:w="1882" w:type="dxa"/>
          </w:tcPr>
          <w:p w:rsidR="00000000" w:rsidRDefault="009C1C61">
            <w:pPr>
              <w:spacing w:before="40" w:after="20" w:line="312" w:lineRule="auto"/>
              <w:ind w:right="680"/>
              <w:jc w:val="right"/>
              <w:rPr>
                <w:rFonts w:hint="eastAsia"/>
                <w:sz w:val="21"/>
              </w:rPr>
            </w:pPr>
            <w:r>
              <w:rPr>
                <w:rFonts w:hint="eastAsia"/>
                <w:sz w:val="21"/>
              </w:rPr>
              <w:t>28.3</w:t>
            </w:r>
          </w:p>
        </w:tc>
        <w:tc>
          <w:tcPr>
            <w:tcW w:w="1882" w:type="dxa"/>
          </w:tcPr>
          <w:p w:rsidR="00000000" w:rsidRDefault="009C1C61">
            <w:pPr>
              <w:spacing w:before="40" w:after="20" w:line="312" w:lineRule="auto"/>
              <w:ind w:right="680"/>
              <w:jc w:val="right"/>
              <w:rPr>
                <w:rFonts w:hint="eastAsia"/>
                <w:sz w:val="21"/>
              </w:rPr>
            </w:pPr>
            <w:r>
              <w:rPr>
                <w:rFonts w:hint="eastAsia"/>
                <w:sz w:val="21"/>
              </w:rPr>
              <w:t>25.5</w:t>
            </w:r>
          </w:p>
        </w:tc>
      </w:tr>
      <w:tr w:rsidR="00000000">
        <w:tblPrEx>
          <w:tblCellMar>
            <w:top w:w="0" w:type="dxa"/>
            <w:bottom w:w="0" w:type="dxa"/>
          </w:tblCellMar>
        </w:tblPrEx>
        <w:tc>
          <w:tcPr>
            <w:tcW w:w="1882" w:type="dxa"/>
          </w:tcPr>
          <w:p w:rsidR="00000000" w:rsidRDefault="009C1C61">
            <w:pPr>
              <w:pStyle w:val="a2"/>
              <w:spacing w:before="40" w:after="20" w:line="312" w:lineRule="auto"/>
              <w:ind w:left="113"/>
              <w:rPr>
                <w:rFonts w:hint="eastAsia"/>
              </w:rPr>
            </w:pPr>
            <w:r>
              <w:rPr>
                <w:rFonts w:hint="eastAsia"/>
              </w:rPr>
              <w:t>女</w:t>
            </w:r>
            <w:r>
              <w:rPr>
                <w:rFonts w:hint="eastAsia"/>
              </w:rPr>
              <w:t xml:space="preserve">  </w:t>
            </w:r>
            <w:r>
              <w:rPr>
                <w:rFonts w:hint="eastAsia"/>
              </w:rPr>
              <w:t>人</w:t>
            </w:r>
          </w:p>
        </w:tc>
        <w:tc>
          <w:tcPr>
            <w:tcW w:w="1882" w:type="dxa"/>
          </w:tcPr>
          <w:p w:rsidR="00000000" w:rsidRDefault="009C1C61">
            <w:pPr>
              <w:spacing w:before="40" w:after="20" w:line="312" w:lineRule="auto"/>
              <w:ind w:right="680"/>
              <w:jc w:val="right"/>
              <w:rPr>
                <w:rFonts w:hint="eastAsia"/>
                <w:sz w:val="21"/>
              </w:rPr>
            </w:pPr>
            <w:r>
              <w:rPr>
                <w:rFonts w:hint="eastAsia"/>
                <w:sz w:val="21"/>
              </w:rPr>
              <w:t>6.2</w:t>
            </w:r>
          </w:p>
        </w:tc>
        <w:tc>
          <w:tcPr>
            <w:tcW w:w="1882" w:type="dxa"/>
          </w:tcPr>
          <w:p w:rsidR="00000000" w:rsidRDefault="009C1C61">
            <w:pPr>
              <w:spacing w:before="40" w:after="20" w:line="312" w:lineRule="auto"/>
              <w:ind w:right="680"/>
              <w:jc w:val="right"/>
              <w:rPr>
                <w:rFonts w:hint="eastAsia"/>
                <w:sz w:val="21"/>
              </w:rPr>
            </w:pPr>
            <w:r>
              <w:rPr>
                <w:rFonts w:hint="eastAsia"/>
                <w:sz w:val="21"/>
              </w:rPr>
              <w:t>6.2</w:t>
            </w:r>
          </w:p>
        </w:tc>
        <w:tc>
          <w:tcPr>
            <w:tcW w:w="1882" w:type="dxa"/>
          </w:tcPr>
          <w:p w:rsidR="00000000" w:rsidRDefault="009C1C61">
            <w:pPr>
              <w:spacing w:before="40" w:after="20" w:line="312" w:lineRule="auto"/>
              <w:ind w:right="680"/>
              <w:jc w:val="right"/>
              <w:rPr>
                <w:rFonts w:hint="eastAsia"/>
                <w:sz w:val="21"/>
              </w:rPr>
            </w:pPr>
            <w:r>
              <w:rPr>
                <w:rFonts w:hint="eastAsia"/>
                <w:sz w:val="21"/>
              </w:rPr>
              <w:t>6.5</w:t>
            </w:r>
          </w:p>
        </w:tc>
        <w:tc>
          <w:tcPr>
            <w:tcW w:w="1882" w:type="dxa"/>
          </w:tcPr>
          <w:p w:rsidR="00000000" w:rsidRDefault="009C1C61">
            <w:pPr>
              <w:spacing w:before="40" w:after="20" w:line="312" w:lineRule="auto"/>
              <w:ind w:right="680"/>
              <w:jc w:val="right"/>
              <w:rPr>
                <w:rFonts w:hint="eastAsia"/>
                <w:sz w:val="21"/>
              </w:rPr>
            </w:pPr>
            <w:r>
              <w:rPr>
                <w:rFonts w:hint="eastAsia"/>
                <w:sz w:val="21"/>
              </w:rPr>
              <w:t>6.2</w:t>
            </w:r>
          </w:p>
        </w:tc>
      </w:tr>
    </w:tbl>
    <w:p w:rsidR="00000000" w:rsidRDefault="009C1C61">
      <w:pPr>
        <w:rPr>
          <w:rFonts w:hint="eastAsia"/>
        </w:rPr>
      </w:pPr>
    </w:p>
    <w:p w:rsidR="00000000" w:rsidRDefault="009C1C61">
      <w:pPr>
        <w:spacing w:after="320"/>
        <w:rPr>
          <w:rFonts w:eastAsia="KaiTi_GB2312" w:hint="eastAsia"/>
          <w:snapToGrid/>
          <w:spacing w:val="0"/>
        </w:rPr>
      </w:pPr>
      <w:r>
        <w:rPr>
          <w:rFonts w:hint="eastAsia"/>
        </w:rPr>
        <w:tab/>
      </w:r>
      <w:r>
        <w:rPr>
          <w:rFonts w:eastAsia="KaiTi_GB2312" w:hint="eastAsia"/>
          <w:snapToGrid/>
          <w:spacing w:val="0"/>
          <w:u w:val="single"/>
        </w:rPr>
        <w:t>资料来源</w:t>
      </w:r>
      <w:r>
        <w:rPr>
          <w:rFonts w:eastAsia="KaiTi_GB2312" w:hint="eastAsia"/>
          <w:snapToGrid/>
          <w:spacing w:val="0"/>
        </w:rPr>
        <w:t>：国家统计局</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获得公平和适当工作条件的权利</w:t>
      </w:r>
    </w:p>
    <w:p w:rsidR="00000000" w:rsidRDefault="009C1C61">
      <w:pPr>
        <w:spacing w:after="320"/>
        <w:rPr>
          <w:rFonts w:hint="eastAsia"/>
        </w:rPr>
      </w:pPr>
      <w:r>
        <w:rPr>
          <w:rFonts w:hint="eastAsia"/>
        </w:rPr>
        <w:tab/>
        <w:t xml:space="preserve">110.  </w:t>
      </w:r>
      <w:r>
        <w:rPr>
          <w:rFonts w:hint="eastAsia"/>
        </w:rPr>
        <w:t>没有任何调查或资料证明对这个年龄组的人给予任何不同于劳工法所规定的特别待遇。</w:t>
      </w:r>
    </w:p>
    <w:p w:rsidR="00000000" w:rsidRDefault="009C1C61">
      <w:pPr>
        <w:pStyle w:val="Heading4"/>
        <w:rPr>
          <w:rFonts w:hint="eastAsia"/>
        </w:rPr>
      </w:pPr>
      <w:r>
        <w:rPr>
          <w:rFonts w:ascii="Time New Roman" w:eastAsia="SimHei" w:hAnsi="Time New Roman" w:hint="eastAsia"/>
          <w:u w:val="none"/>
        </w:rPr>
        <w:t>组</w:t>
      </w:r>
      <w:r>
        <w:rPr>
          <w:rFonts w:ascii="Time New Roman" w:eastAsia="SimHei" w:hAnsi="Time New Roman" w:hint="eastAsia"/>
          <w:u w:val="none"/>
        </w:rPr>
        <w:t xml:space="preserve"> </w:t>
      </w:r>
      <w:r>
        <w:rPr>
          <w:rFonts w:ascii="Time New Roman" w:eastAsia="SimHei" w:hAnsi="Time New Roman" w:hint="eastAsia"/>
          <w:u w:val="none"/>
        </w:rPr>
        <w:t>织</w:t>
      </w:r>
      <w:r>
        <w:rPr>
          <w:rFonts w:ascii="Time New Roman" w:eastAsia="SimHei" w:hAnsi="Time New Roman" w:hint="eastAsia"/>
          <w:u w:val="none"/>
        </w:rPr>
        <w:t xml:space="preserve"> </w:t>
      </w:r>
      <w:r>
        <w:rPr>
          <w:rFonts w:ascii="Time New Roman" w:eastAsia="SimHei" w:hAnsi="Time New Roman" w:hint="eastAsia"/>
          <w:u w:val="none"/>
        </w:rPr>
        <w:t>权</w:t>
      </w:r>
    </w:p>
    <w:p w:rsidR="00000000" w:rsidRDefault="009C1C61">
      <w:pPr>
        <w:spacing w:after="320"/>
        <w:rPr>
          <w:rFonts w:hint="eastAsia"/>
        </w:rPr>
      </w:pPr>
      <w:r>
        <w:rPr>
          <w:rFonts w:hint="eastAsia"/>
        </w:rPr>
        <w:tab/>
        <w:t xml:space="preserve">111.  </w:t>
      </w:r>
      <w:r>
        <w:rPr>
          <w:rFonts w:hint="eastAsia"/>
        </w:rPr>
        <w:t>对于这个年龄组的人不适用。国内有些退休者团体和协会继续为他们的经济和社会权利提出要求。</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社会保险权</w:t>
      </w:r>
    </w:p>
    <w:p w:rsidR="00000000" w:rsidRDefault="009C1C61">
      <w:pPr>
        <w:rPr>
          <w:rFonts w:hint="eastAsia"/>
        </w:rPr>
      </w:pPr>
      <w:r>
        <w:rPr>
          <w:rFonts w:hint="eastAsia"/>
        </w:rPr>
        <w:tab/>
        <w:t xml:space="preserve">112.  </w:t>
      </w:r>
      <w:r>
        <w:rPr>
          <w:rFonts w:hint="eastAsia"/>
        </w:rPr>
        <w:t>在智利，法律规定的退休年龄是：女人：</w:t>
      </w:r>
      <w:r>
        <w:rPr>
          <w:rFonts w:hint="eastAsia"/>
        </w:rPr>
        <w:t>60</w:t>
      </w:r>
      <w:r>
        <w:rPr>
          <w:rFonts w:hint="eastAsia"/>
        </w:rPr>
        <w:t>岁；男人：</w:t>
      </w:r>
      <w:r>
        <w:rPr>
          <w:rFonts w:hint="eastAsia"/>
        </w:rPr>
        <w:t>65</w:t>
      </w:r>
      <w:r>
        <w:rPr>
          <w:rFonts w:hint="eastAsia"/>
        </w:rPr>
        <w:t>岁。</w:t>
      </w:r>
    </w:p>
    <w:p w:rsidR="00000000" w:rsidRDefault="009C1C61">
      <w:pPr>
        <w:spacing w:after="320"/>
        <w:rPr>
          <w:rFonts w:hint="eastAsia"/>
        </w:rPr>
      </w:pPr>
      <w:r>
        <w:rPr>
          <w:rFonts w:hint="eastAsia"/>
        </w:rPr>
        <w:tab/>
        <w:t>113.  1995</w:t>
      </w:r>
      <w:r>
        <w:rPr>
          <w:rFonts w:hint="eastAsia"/>
        </w:rPr>
        <w:t>年开始对寡妇最低养老金、少于财政部和劳工和社会保险部下的社会保险副部长办公室所规定的某些数额的养老金。</w:t>
      </w:r>
      <w:r>
        <w:rPr>
          <w:rFonts w:hint="eastAsia"/>
        </w:rPr>
        <w:t>70</w:t>
      </w:r>
      <w:r>
        <w:rPr>
          <w:rFonts w:hint="eastAsia"/>
        </w:rPr>
        <w:t>岁以上的人的最低养老金和补助养恤金作出调整，该调整超出按消费者物价指数所作的调整。</w:t>
      </w:r>
      <w:r>
        <w:rPr>
          <w:rFonts w:hint="eastAsia"/>
        </w:rPr>
        <w:t>1997</w:t>
      </w:r>
      <w:r>
        <w:rPr>
          <w:rFonts w:hint="eastAsia"/>
        </w:rPr>
        <w:t>年以来对养老金低于有关当局每年规定的数额的所有退休者支付冬季津贴。</w:t>
      </w:r>
      <w:r>
        <w:rPr>
          <w:rFonts w:hint="eastAsia"/>
        </w:rPr>
        <w:t>1998</w:t>
      </w:r>
      <w:r>
        <w:rPr>
          <w:rFonts w:hint="eastAsia"/>
        </w:rPr>
        <w:t>年以来，智利的退休者可成为均衡会所</w:t>
      </w:r>
      <w:r>
        <w:t xml:space="preserve"> </w:t>
      </w:r>
      <w:r>
        <w:rPr>
          <w:rStyle w:val="FootnoteReference"/>
        </w:rPr>
        <w:footnoteReference w:id="37"/>
      </w:r>
      <w:r>
        <w:t xml:space="preserve"> </w:t>
      </w:r>
      <w:r>
        <w:rPr>
          <w:rFonts w:hint="eastAsia"/>
        </w:rPr>
        <w:t>的成员，以便获取额外津贴、社会信贷和补充津贴办法。这项措施是一项重要的步骤，使受惠者获得比该法令下所规定的更多的社会保险。</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家庭、母亲和儿童受到保护的权利</w:t>
      </w:r>
    </w:p>
    <w:p w:rsidR="00000000" w:rsidRDefault="009C1C61">
      <w:pPr>
        <w:rPr>
          <w:rFonts w:hint="eastAsia"/>
        </w:rPr>
      </w:pPr>
      <w:r>
        <w:rPr>
          <w:rFonts w:hint="eastAsia"/>
        </w:rPr>
        <w:tab/>
        <w:t xml:space="preserve">114.  </w:t>
      </w:r>
      <w:r>
        <w:rPr>
          <w:rFonts w:hint="eastAsia"/>
        </w:rPr>
        <w:t>这方面所</w:t>
      </w:r>
      <w:r>
        <w:rPr>
          <w:rFonts w:hint="eastAsia"/>
        </w:rPr>
        <w:t>采取的措施旨在加强家庭对老年人的照顾。</w:t>
      </w:r>
      <w:r>
        <w:rPr>
          <w:rFonts w:hint="eastAsia"/>
        </w:rPr>
        <w:t>1997</w:t>
      </w:r>
      <w:r>
        <w:rPr>
          <w:rFonts w:hint="eastAsia"/>
        </w:rPr>
        <w:t>年，为公共和私人机构、一般老年人和照顾老年人的人举办了一个关于老年人和家庭的讨论会。该讨论会的目的是散播有关在这个领域里促进家庭作用的重要性。</w:t>
      </w:r>
    </w:p>
    <w:p w:rsidR="00000000" w:rsidRDefault="009C1C61">
      <w:pPr>
        <w:spacing w:after="320"/>
        <w:rPr>
          <w:rFonts w:hint="eastAsia"/>
        </w:rPr>
      </w:pPr>
      <w:r>
        <w:rPr>
          <w:rFonts w:hint="eastAsia"/>
        </w:rPr>
        <w:tab/>
        <w:t xml:space="preserve">115.  </w:t>
      </w:r>
      <w:r>
        <w:rPr>
          <w:rFonts w:hint="eastAsia"/>
        </w:rPr>
        <w:t>国家老年人政策的基础是代与代之间的休戚相关。在两代之间的活动方面采取了不少的措施。作为自</w:t>
      </w:r>
      <w:r>
        <w:rPr>
          <w:rFonts w:hint="eastAsia"/>
        </w:rPr>
        <w:t>1994</w:t>
      </w:r>
      <w:r>
        <w:rPr>
          <w:rFonts w:hint="eastAsia"/>
        </w:rPr>
        <w:t>年以来每年十月举办的“为自己生活”活动的一部分，在</w:t>
      </w:r>
      <w:r>
        <w:rPr>
          <w:rFonts w:hint="eastAsia"/>
        </w:rPr>
        <w:t>1997</w:t>
      </w:r>
      <w:r>
        <w:rPr>
          <w:rFonts w:hint="eastAsia"/>
        </w:rPr>
        <w:t>年</w:t>
      </w:r>
      <w:r>
        <w:rPr>
          <w:rFonts w:hint="eastAsia"/>
        </w:rPr>
        <w:t>F</w:t>
      </w:r>
      <w:r>
        <w:t xml:space="preserve">undación </w:t>
      </w:r>
      <w:r>
        <w:rPr>
          <w:rFonts w:hint="eastAsia"/>
        </w:rPr>
        <w:t>I</w:t>
      </w:r>
      <w:r>
        <w:t>ntegra</w:t>
      </w:r>
      <w:r>
        <w:rPr>
          <w:rFonts w:hint="eastAsia"/>
        </w:rPr>
        <w:t>及在该机构接受基本教育的小学生发动了一个称为“替祖父母画像”的活动，最好的画并可得奖。</w:t>
      </w:r>
    </w:p>
    <w:p w:rsidR="00000000" w:rsidRDefault="009C1C61">
      <w:pPr>
        <w:pStyle w:val="Heading4"/>
        <w:rPr>
          <w:rFonts w:hint="eastAsia"/>
        </w:rPr>
      </w:pPr>
      <w:r>
        <w:rPr>
          <w:rFonts w:ascii="Time New Roman" w:eastAsia="SimHei" w:hAnsi="Time New Roman" w:hint="eastAsia"/>
          <w:u w:val="none"/>
        </w:rPr>
        <w:t>获得适足生活水平的权利</w:t>
      </w:r>
    </w:p>
    <w:p w:rsidR="00000000" w:rsidRDefault="009C1C61">
      <w:pPr>
        <w:pStyle w:val="Heading4"/>
        <w:rPr>
          <w:rFonts w:hint="eastAsia"/>
        </w:rPr>
      </w:pPr>
      <w:r>
        <w:rPr>
          <w:rFonts w:ascii="Time New Roman" w:eastAsia="SimHei" w:hAnsi="Time New Roman" w:hint="eastAsia"/>
          <w:u w:val="none"/>
        </w:rPr>
        <w:t>生活质</w:t>
      </w:r>
      <w:r>
        <w:rPr>
          <w:rFonts w:ascii="Time New Roman" w:eastAsia="SimHei" w:hAnsi="Time New Roman" w:hint="eastAsia"/>
          <w:u w:val="none"/>
        </w:rPr>
        <w:t>量</w:t>
      </w:r>
    </w:p>
    <w:p w:rsidR="00000000" w:rsidRDefault="009C1C61">
      <w:pPr>
        <w:rPr>
          <w:rFonts w:hint="eastAsia"/>
        </w:rPr>
      </w:pPr>
      <w:r>
        <w:rPr>
          <w:rFonts w:hint="eastAsia"/>
        </w:rPr>
        <w:tab/>
        <w:t xml:space="preserve">116.  </w:t>
      </w:r>
      <w:r>
        <w:rPr>
          <w:rFonts w:hint="eastAsia"/>
        </w:rPr>
        <w:t>国家老年人政策的主要目标是：“在整个人口中发动文化改革，使我们的社会对老年更友善和尊敬，也就是说对变老的过程持一种不同的看法，使所有老年人有更好的生活质量”，这个目标在</w:t>
      </w:r>
      <w:r>
        <w:rPr>
          <w:rFonts w:hint="eastAsia"/>
        </w:rPr>
        <w:t>1996</w:t>
      </w:r>
      <w:r>
        <w:rPr>
          <w:rFonts w:hint="eastAsia"/>
        </w:rPr>
        <w:t>年</w:t>
      </w:r>
      <w:r>
        <w:rPr>
          <w:rFonts w:hint="eastAsia"/>
        </w:rPr>
        <w:t>3</w:t>
      </w:r>
      <w:r>
        <w:rPr>
          <w:rFonts w:hint="eastAsia"/>
        </w:rPr>
        <w:t>月得到社会事务部长会议的批准而官方化。</w:t>
      </w:r>
    </w:p>
    <w:p w:rsidR="00000000" w:rsidRDefault="009C1C61">
      <w:pPr>
        <w:rPr>
          <w:rFonts w:hint="eastAsia"/>
        </w:rPr>
      </w:pPr>
      <w:r>
        <w:rPr>
          <w:rFonts w:hint="eastAsia"/>
        </w:rPr>
        <w:tab/>
        <w:t xml:space="preserve">117.  </w:t>
      </w:r>
      <w:r>
        <w:rPr>
          <w:rFonts w:hint="eastAsia"/>
        </w:rPr>
        <w:t>根据这一政策，发动了下列改善老年人生活质量的方案：</w:t>
      </w:r>
    </w:p>
    <w:p w:rsidR="00000000" w:rsidRDefault="009C1C61">
      <w:pPr>
        <w:numPr>
          <w:ilvl w:val="0"/>
          <w:numId w:val="89"/>
        </w:numPr>
        <w:rPr>
          <w:rFonts w:hint="eastAsia"/>
        </w:rPr>
      </w:pPr>
      <w:r>
        <w:rPr>
          <w:rFonts w:hint="eastAsia"/>
        </w:rPr>
        <w:t>自</w:t>
      </w:r>
      <w:r>
        <w:rPr>
          <w:rFonts w:hint="eastAsia"/>
        </w:rPr>
        <w:t>1995</w:t>
      </w:r>
      <w:r>
        <w:rPr>
          <w:rFonts w:hint="eastAsia"/>
        </w:rPr>
        <w:t>年以来，在社会声援和投资基金的主持下，在老年人的自我管理、自尊和社会参与方面取得了很大的进展。“年龄越大越要生活”这个方案及它的两个部门</w:t>
      </w:r>
      <w:r>
        <w:rPr>
          <w:rFonts w:hint="eastAsia"/>
          <w:spacing w:val="-40"/>
        </w:rPr>
        <w:t>——</w:t>
      </w:r>
      <w:r>
        <w:rPr>
          <w:rFonts w:hint="eastAsia"/>
        </w:rPr>
        <w:t>向老年人提供服务及项目竞争基金</w:t>
      </w:r>
      <w:r>
        <w:rPr>
          <w:rFonts w:hint="eastAsia"/>
          <w:spacing w:val="-40"/>
        </w:rPr>
        <w:t>——</w:t>
      </w:r>
      <w:r>
        <w:rPr>
          <w:rFonts w:hint="eastAsia"/>
        </w:rPr>
        <w:t>对改善老年人生活质量作出</w:t>
      </w:r>
      <w:r>
        <w:rPr>
          <w:rFonts w:hint="eastAsia"/>
        </w:rPr>
        <w:t>了巨大的贡献。在头一期方案下，有</w:t>
      </w:r>
      <w:r>
        <w:rPr>
          <w:rFonts w:hint="eastAsia"/>
        </w:rPr>
        <w:t>75,000</w:t>
      </w:r>
      <w:r>
        <w:rPr>
          <w:rFonts w:hint="eastAsia"/>
        </w:rPr>
        <w:t>人受惠，在第二期方案下提出了</w:t>
      </w:r>
      <w:r>
        <w:rPr>
          <w:rFonts w:hint="eastAsia"/>
        </w:rPr>
        <w:t>3,000</w:t>
      </w:r>
      <w:r>
        <w:rPr>
          <w:rFonts w:hint="eastAsia"/>
        </w:rPr>
        <w:t>个项目；</w:t>
      </w:r>
    </w:p>
    <w:p w:rsidR="00000000" w:rsidRDefault="009C1C61">
      <w:pPr>
        <w:numPr>
          <w:ilvl w:val="0"/>
          <w:numId w:val="89"/>
        </w:numPr>
        <w:rPr>
          <w:rFonts w:hint="eastAsia"/>
        </w:rPr>
      </w:pPr>
      <w:r>
        <w:rPr>
          <w:rFonts w:hint="eastAsia"/>
        </w:rPr>
        <w:t>通过前体育理事会</w:t>
      </w:r>
      <w:r>
        <w:rPr>
          <w:rFonts w:hint="eastAsia"/>
        </w:rPr>
        <w:t>(</w:t>
      </w:r>
      <w:r>
        <w:rPr>
          <w:rFonts w:hint="eastAsia"/>
        </w:rPr>
        <w:t>现为国家体育协会</w:t>
      </w:r>
      <w:r>
        <w:rPr>
          <w:rFonts w:hint="eastAsia"/>
        </w:rPr>
        <w:t>)</w:t>
      </w:r>
      <w:r>
        <w:rPr>
          <w:rFonts w:hint="eastAsia"/>
        </w:rPr>
        <w:t>的中介为老年人设立了一个娱乐体育方案以便没有钱的老年人能够从事一项娱乐和体育性质的活动。在</w:t>
      </w:r>
      <w:r>
        <w:rPr>
          <w:rFonts w:hint="eastAsia"/>
        </w:rPr>
        <w:t>1995</w:t>
      </w:r>
      <w:r>
        <w:rPr>
          <w:rFonts w:hint="eastAsia"/>
        </w:rPr>
        <w:t>年和</w:t>
      </w:r>
      <w:r>
        <w:rPr>
          <w:rFonts w:hint="eastAsia"/>
        </w:rPr>
        <w:t>1999</w:t>
      </w:r>
      <w:r>
        <w:rPr>
          <w:rFonts w:hint="eastAsia"/>
        </w:rPr>
        <w:t>年之间，</w:t>
      </w:r>
      <w:r>
        <w:rPr>
          <w:rFonts w:hint="eastAsia"/>
        </w:rPr>
        <w:t>25,000</w:t>
      </w:r>
      <w:r>
        <w:rPr>
          <w:rFonts w:hint="eastAsia"/>
        </w:rPr>
        <w:t>名老年人参加了这个方案；</w:t>
      </w:r>
    </w:p>
    <w:p w:rsidR="00000000" w:rsidRDefault="009C1C61">
      <w:pPr>
        <w:numPr>
          <w:ilvl w:val="0"/>
          <w:numId w:val="89"/>
        </w:numPr>
        <w:rPr>
          <w:rFonts w:hint="eastAsia"/>
        </w:rPr>
      </w:pPr>
      <w:r>
        <w:rPr>
          <w:rFonts w:hint="eastAsia"/>
        </w:rPr>
        <w:t>1992</w:t>
      </w:r>
      <w:r>
        <w:rPr>
          <w:rFonts w:hint="eastAsia"/>
        </w:rPr>
        <w:t>年以来，国家旅游局为老年人设立了一个旅游方案。在这个方案下，在</w:t>
      </w:r>
      <w:r>
        <w:rPr>
          <w:rFonts w:hint="eastAsia"/>
        </w:rPr>
        <w:t>1994</w:t>
      </w:r>
      <w:r>
        <w:rPr>
          <w:rFonts w:hint="eastAsia"/>
        </w:rPr>
        <w:t>年和</w:t>
      </w:r>
      <w:r>
        <w:rPr>
          <w:rFonts w:hint="eastAsia"/>
        </w:rPr>
        <w:t>1999</w:t>
      </w:r>
      <w:r>
        <w:rPr>
          <w:rFonts w:hint="eastAsia"/>
        </w:rPr>
        <w:t>年间，有</w:t>
      </w:r>
      <w:r>
        <w:rPr>
          <w:rFonts w:hint="eastAsia"/>
        </w:rPr>
        <w:t>3,040</w:t>
      </w:r>
      <w:r>
        <w:rPr>
          <w:rFonts w:hint="eastAsia"/>
        </w:rPr>
        <w:t>名老年人受惠。该局执行的其他方案包括要旅游业为老年人提供折扣，全国有</w:t>
      </w:r>
      <w:r>
        <w:rPr>
          <w:rFonts w:hint="eastAsia"/>
        </w:rPr>
        <w:t>749</w:t>
      </w:r>
      <w:r>
        <w:rPr>
          <w:rFonts w:hint="eastAsia"/>
        </w:rPr>
        <w:t>个旅游公司参加这个方案；以及老年人旅游年度会议</w:t>
      </w:r>
      <w:r>
        <w:rPr>
          <w:rFonts w:hint="eastAsia"/>
        </w:rPr>
        <w:t>，有</w:t>
      </w:r>
      <w:r>
        <w:rPr>
          <w:rFonts w:hint="eastAsia"/>
        </w:rPr>
        <w:t>3,200</w:t>
      </w:r>
      <w:r>
        <w:rPr>
          <w:rFonts w:hint="eastAsia"/>
        </w:rPr>
        <w:t>人参与；</w:t>
      </w:r>
    </w:p>
    <w:p w:rsidR="00000000" w:rsidRDefault="009C1C61">
      <w:pPr>
        <w:numPr>
          <w:ilvl w:val="0"/>
          <w:numId w:val="89"/>
        </w:numPr>
        <w:spacing w:after="320"/>
        <w:rPr>
          <w:rFonts w:hint="eastAsia"/>
        </w:rPr>
      </w:pPr>
      <w:r>
        <w:rPr>
          <w:rFonts w:hint="eastAsia"/>
        </w:rPr>
        <w:t>自</w:t>
      </w:r>
      <w:r>
        <w:rPr>
          <w:rFonts w:hint="eastAsia"/>
        </w:rPr>
        <w:t>1999</w:t>
      </w:r>
      <w:r>
        <w:rPr>
          <w:rFonts w:hint="eastAsia"/>
        </w:rPr>
        <w:t>年</w:t>
      </w:r>
      <w:r>
        <w:rPr>
          <w:rFonts w:hint="eastAsia"/>
        </w:rPr>
        <w:t>1</w:t>
      </w:r>
      <w:r>
        <w:rPr>
          <w:rFonts w:hint="eastAsia"/>
        </w:rPr>
        <w:t>月以来</w:t>
      </w:r>
      <w:r>
        <w:rPr>
          <w:rFonts w:hint="eastAsia"/>
        </w:rPr>
        <w:t>M</w:t>
      </w:r>
      <w:r>
        <w:t>etro</w:t>
      </w:r>
      <w:r>
        <w:rPr>
          <w:rFonts w:hint="eastAsia"/>
        </w:rPr>
        <w:t>公司为老年人提供一个减价方案。</w:t>
      </w:r>
      <w:r>
        <w:rPr>
          <w:rFonts w:hint="eastAsia"/>
        </w:rPr>
        <w:t>1999</w:t>
      </w:r>
      <w:r>
        <w:rPr>
          <w:rFonts w:hint="eastAsia"/>
        </w:rPr>
        <w:t>年共有</w:t>
      </w:r>
      <w:r>
        <w:rPr>
          <w:rFonts w:hint="eastAsia"/>
        </w:rPr>
        <w:t>24,332</w:t>
      </w:r>
      <w:r>
        <w:rPr>
          <w:rFonts w:hint="eastAsia"/>
        </w:rPr>
        <w:t>人登记。</w:t>
      </w:r>
    </w:p>
    <w:p w:rsidR="00000000" w:rsidRDefault="009C1C61">
      <w:pPr>
        <w:pStyle w:val="Heading4"/>
        <w:rPr>
          <w:rFonts w:hint="eastAsia"/>
        </w:rPr>
      </w:pPr>
      <w:r>
        <w:rPr>
          <w:rFonts w:ascii="Time New Roman" w:eastAsia="SimHei" w:hAnsi="Time New Roman" w:hint="eastAsia"/>
          <w:u w:val="none"/>
        </w:rPr>
        <w:t>粮</w:t>
      </w:r>
      <w:r>
        <w:rPr>
          <w:rFonts w:ascii="Time New Roman" w:eastAsia="SimHei" w:hAnsi="Time New Roman" w:hint="eastAsia"/>
          <w:u w:val="none"/>
        </w:rPr>
        <w:t xml:space="preserve">  </w:t>
      </w:r>
      <w:r>
        <w:rPr>
          <w:rFonts w:ascii="Time New Roman" w:eastAsia="SimHei" w:hAnsi="Time New Roman" w:hint="eastAsia"/>
          <w:u w:val="none"/>
        </w:rPr>
        <w:t>食</w:t>
      </w:r>
    </w:p>
    <w:p w:rsidR="00000000" w:rsidRDefault="009C1C61">
      <w:pPr>
        <w:rPr>
          <w:rFonts w:hint="eastAsia"/>
        </w:rPr>
      </w:pPr>
      <w:r>
        <w:rPr>
          <w:rFonts w:hint="eastAsia"/>
        </w:rPr>
        <w:tab/>
        <w:t>118.  1996</w:t>
      </w:r>
      <w:r>
        <w:rPr>
          <w:rFonts w:hint="eastAsia"/>
        </w:rPr>
        <w:t>和</w:t>
      </w:r>
      <w:r>
        <w:rPr>
          <w:rFonts w:hint="eastAsia"/>
        </w:rPr>
        <w:t>2002</w:t>
      </w:r>
      <w:r>
        <w:rPr>
          <w:rFonts w:hint="eastAsia"/>
        </w:rPr>
        <w:t>年间</w:t>
      </w:r>
      <w:r>
        <w:rPr>
          <w:rFonts w:hint="eastAsia"/>
        </w:rPr>
        <w:t>(2002</w:t>
      </w:r>
      <w:r>
        <w:rPr>
          <w:rFonts w:hint="eastAsia"/>
        </w:rPr>
        <w:t>年成立了国家老年人局</w:t>
      </w:r>
      <w:r>
        <w:rPr>
          <w:rFonts w:hint="eastAsia"/>
        </w:rPr>
        <w:t>)</w:t>
      </w:r>
      <w:r>
        <w:rPr>
          <w:rFonts w:hint="eastAsia"/>
        </w:rPr>
        <w:t>国家老年人委员会在其所有活动中纳入了泛美卫生组织就老年人的卫生制定的原则：在卫生和营养方面自我照顾、健身活动和社会参与。在食物方面采取了下列措施：</w:t>
      </w:r>
    </w:p>
    <w:p w:rsidR="00000000" w:rsidRDefault="009C1C61">
      <w:pPr>
        <w:numPr>
          <w:ilvl w:val="0"/>
          <w:numId w:val="90"/>
        </w:numPr>
        <w:rPr>
          <w:rFonts w:hint="eastAsia"/>
        </w:rPr>
      </w:pPr>
      <w:r>
        <w:rPr>
          <w:rFonts w:hint="eastAsia"/>
        </w:rPr>
        <w:t>自</w:t>
      </w:r>
      <w:r>
        <w:rPr>
          <w:rFonts w:hint="eastAsia"/>
        </w:rPr>
        <w:t>1999</w:t>
      </w:r>
      <w:r>
        <w:rPr>
          <w:rFonts w:hint="eastAsia"/>
        </w:rPr>
        <w:t>年开展的补充食物方案为</w:t>
      </w:r>
      <w:r>
        <w:rPr>
          <w:rFonts w:hint="eastAsia"/>
        </w:rPr>
        <w:t>70</w:t>
      </w:r>
      <w:r>
        <w:rPr>
          <w:rFonts w:hint="eastAsia"/>
        </w:rPr>
        <w:t>岁以上，健康受到定期监测的人和所有患肺结核病的</w:t>
      </w:r>
      <w:r>
        <w:rPr>
          <w:rFonts w:hint="eastAsia"/>
        </w:rPr>
        <w:t>70</w:t>
      </w:r>
      <w:r>
        <w:rPr>
          <w:rFonts w:hint="eastAsia"/>
        </w:rPr>
        <w:t>岁以下的老年人提供两公斤的“黄金年龄汤”，一种富有维他命和蛋白质的食物。于</w:t>
      </w:r>
      <w:r>
        <w:rPr>
          <w:rFonts w:hint="eastAsia"/>
        </w:rPr>
        <w:t>199</w:t>
      </w:r>
      <w:r>
        <w:rPr>
          <w:rFonts w:hint="eastAsia"/>
        </w:rPr>
        <w:t>9</w:t>
      </w:r>
      <w:r>
        <w:rPr>
          <w:rFonts w:hint="eastAsia"/>
        </w:rPr>
        <w:t>年</w:t>
      </w:r>
      <w:r>
        <w:rPr>
          <w:rFonts w:hint="eastAsia"/>
        </w:rPr>
        <w:t>12</w:t>
      </w:r>
      <w:r>
        <w:rPr>
          <w:rFonts w:hint="eastAsia"/>
        </w:rPr>
        <w:t>月，该方案下有</w:t>
      </w:r>
      <w:r>
        <w:rPr>
          <w:rFonts w:hint="eastAsia"/>
        </w:rPr>
        <w:t>55,000</w:t>
      </w:r>
      <w:r>
        <w:rPr>
          <w:rFonts w:hint="eastAsia"/>
        </w:rPr>
        <w:t>名受惠者。在与卫生部合作下，编写了一本关于这种食物调制法的书并向老年人广泛分发；</w:t>
      </w:r>
    </w:p>
    <w:p w:rsidR="00000000" w:rsidRDefault="009C1C61">
      <w:pPr>
        <w:numPr>
          <w:ilvl w:val="0"/>
          <w:numId w:val="90"/>
        </w:numPr>
        <w:spacing w:after="320"/>
        <w:rPr>
          <w:rFonts w:hint="eastAsia"/>
        </w:rPr>
      </w:pPr>
      <w:r>
        <w:rPr>
          <w:rFonts w:hint="eastAsia"/>
        </w:rPr>
        <w:t>1999</w:t>
      </w:r>
      <w:r>
        <w:rPr>
          <w:rFonts w:hint="eastAsia"/>
        </w:rPr>
        <w:t>年在与智利大学营养和食品技术研究所</w:t>
      </w:r>
      <w:r>
        <w:rPr>
          <w:rFonts w:hint="eastAsia"/>
        </w:rPr>
        <w:t>(</w:t>
      </w:r>
      <w:r>
        <w:t>INTA</w:t>
      </w:r>
      <w:r>
        <w:rPr>
          <w:rFonts w:hint="eastAsia"/>
        </w:rPr>
        <w:t>)</w:t>
      </w:r>
      <w:r>
        <w:rPr>
          <w:rFonts w:hint="eastAsia"/>
        </w:rPr>
        <w:t>合作下编制了一张营养卡，在各个会议和培训班上向老年人和从事老年人工作的人分发。</w:t>
      </w:r>
    </w:p>
    <w:p w:rsidR="00000000" w:rsidRDefault="009C1C61">
      <w:pPr>
        <w:pStyle w:val="Heading4"/>
        <w:rPr>
          <w:rFonts w:hint="eastAsia"/>
        </w:rPr>
      </w:pPr>
      <w:r>
        <w:rPr>
          <w:rFonts w:ascii="Time New Roman" w:eastAsia="SimHei" w:hAnsi="Time New Roman" w:hint="eastAsia"/>
          <w:u w:val="none"/>
        </w:rPr>
        <w:t>住</w:t>
      </w:r>
      <w:r>
        <w:rPr>
          <w:rFonts w:ascii="Time New Roman" w:eastAsia="SimHei" w:hAnsi="Time New Roman" w:hint="eastAsia"/>
          <w:u w:val="none"/>
        </w:rPr>
        <w:t xml:space="preserve">  </w:t>
      </w:r>
      <w:r>
        <w:rPr>
          <w:rFonts w:ascii="Time New Roman" w:eastAsia="SimHei" w:hAnsi="Time New Roman" w:hint="eastAsia"/>
          <w:u w:val="none"/>
        </w:rPr>
        <w:t>房</w:t>
      </w:r>
    </w:p>
    <w:p w:rsidR="00000000" w:rsidRDefault="009C1C61">
      <w:pPr>
        <w:rPr>
          <w:rFonts w:hint="eastAsia"/>
        </w:rPr>
      </w:pPr>
      <w:r>
        <w:rPr>
          <w:rFonts w:hint="eastAsia"/>
        </w:rPr>
        <w:tab/>
        <w:t xml:space="preserve">119.  </w:t>
      </w:r>
      <w:r>
        <w:rPr>
          <w:rFonts w:hint="eastAsia"/>
        </w:rPr>
        <w:t>在住房方面采取了下列措施：</w:t>
      </w:r>
    </w:p>
    <w:p w:rsidR="00000000" w:rsidRDefault="009C1C61">
      <w:pPr>
        <w:numPr>
          <w:ilvl w:val="0"/>
          <w:numId w:val="91"/>
        </w:numPr>
        <w:rPr>
          <w:rFonts w:hint="eastAsia"/>
        </w:rPr>
      </w:pPr>
      <w:r>
        <w:rPr>
          <w:rFonts w:hint="eastAsia"/>
        </w:rPr>
        <w:t>1995</w:t>
      </w:r>
      <w:r>
        <w:rPr>
          <w:rFonts w:hint="eastAsia"/>
        </w:rPr>
        <w:t>年，鉴于老年人的全面发展在住房方面的需求极大，开始在国内不同地区为老年人建造社区中心；</w:t>
      </w:r>
    </w:p>
    <w:p w:rsidR="00000000" w:rsidRDefault="009C1C61">
      <w:pPr>
        <w:numPr>
          <w:ilvl w:val="0"/>
          <w:numId w:val="91"/>
        </w:numPr>
        <w:rPr>
          <w:rFonts w:hint="eastAsia"/>
        </w:rPr>
      </w:pPr>
      <w:r>
        <w:rPr>
          <w:rFonts w:hint="eastAsia"/>
        </w:rPr>
        <w:t>自</w:t>
      </w:r>
      <w:r>
        <w:rPr>
          <w:rFonts w:hint="eastAsia"/>
        </w:rPr>
        <w:t>1997</w:t>
      </w:r>
      <w:r>
        <w:rPr>
          <w:rFonts w:hint="eastAsia"/>
        </w:rPr>
        <w:t>年以来，在国家老年人委员会的倡议下，住房和城市规划部为老年人配给该部所建的所有基本住房</w:t>
      </w:r>
      <w:r>
        <w:rPr>
          <w:rFonts w:hint="eastAsia"/>
        </w:rPr>
        <w:t>(</w:t>
      </w:r>
      <w:r>
        <w:rPr>
          <w:rFonts w:hint="eastAsia"/>
        </w:rPr>
        <w:t>房屋和公寓</w:t>
      </w:r>
      <w:r>
        <w:rPr>
          <w:rFonts w:hint="eastAsia"/>
        </w:rPr>
        <w:t>)</w:t>
      </w:r>
      <w:r>
        <w:rPr>
          <w:rFonts w:hint="eastAsia"/>
        </w:rPr>
        <w:t>的</w:t>
      </w:r>
      <w:r>
        <w:rPr>
          <w:rFonts w:hint="eastAsia"/>
        </w:rPr>
        <w:t>2</w:t>
      </w:r>
      <w:r>
        <w:rPr>
          <w:rFonts w:hint="eastAsia"/>
        </w:rPr>
        <w:t>%</w:t>
      </w:r>
      <w:r>
        <w:rPr>
          <w:rFonts w:hint="eastAsia"/>
        </w:rPr>
        <w:t>。在申请时并无关于储蓄的条件。当一家人的收入不超过</w:t>
      </w:r>
      <w:r>
        <w:rPr>
          <w:rFonts w:hint="eastAsia"/>
        </w:rPr>
        <w:t xml:space="preserve"> 1.5</w:t>
      </w:r>
      <w:r>
        <w:rPr>
          <w:rFonts w:hint="eastAsia"/>
        </w:rPr>
        <w:t>个调值单位</w:t>
      </w:r>
      <w:r>
        <w:rPr>
          <w:rFonts w:hint="eastAsia"/>
        </w:rPr>
        <w:t>(36.45</w:t>
      </w:r>
      <w:r>
        <w:rPr>
          <w:rFonts w:hint="eastAsia"/>
        </w:rPr>
        <w:t>美元</w:t>
      </w:r>
      <w:r>
        <w:rPr>
          <w:rFonts w:hint="eastAsia"/>
        </w:rPr>
        <w:t>)</w:t>
      </w:r>
      <w:r>
        <w:rPr>
          <w:rFonts w:hint="eastAsia"/>
        </w:rPr>
        <w:t>时，可免租金；只在收入超过这个数额时才需支付房租。在</w:t>
      </w:r>
      <w:r>
        <w:rPr>
          <w:rFonts w:hint="eastAsia"/>
        </w:rPr>
        <w:t>1998</w:t>
      </w:r>
      <w:r>
        <w:rPr>
          <w:rFonts w:hint="eastAsia"/>
        </w:rPr>
        <w:t>年向老年人配给了</w:t>
      </w:r>
      <w:r>
        <w:rPr>
          <w:rFonts w:hint="eastAsia"/>
        </w:rPr>
        <w:t>860</w:t>
      </w:r>
      <w:r>
        <w:rPr>
          <w:rFonts w:hint="eastAsia"/>
        </w:rPr>
        <w:t>个住房，</w:t>
      </w:r>
      <w:r>
        <w:rPr>
          <w:rFonts w:hint="eastAsia"/>
        </w:rPr>
        <w:t>1999</w:t>
      </w:r>
      <w:r>
        <w:rPr>
          <w:rFonts w:hint="eastAsia"/>
        </w:rPr>
        <w:t>年配给了</w:t>
      </w:r>
      <w:r>
        <w:rPr>
          <w:rFonts w:hint="eastAsia"/>
        </w:rPr>
        <w:t>950</w:t>
      </w:r>
      <w:r>
        <w:rPr>
          <w:rFonts w:hint="eastAsia"/>
        </w:rPr>
        <w:t>个住房；</w:t>
      </w:r>
    </w:p>
    <w:p w:rsidR="00000000" w:rsidRDefault="009C1C61">
      <w:pPr>
        <w:numPr>
          <w:ilvl w:val="0"/>
          <w:numId w:val="91"/>
        </w:numPr>
        <w:rPr>
          <w:rFonts w:hint="eastAsia"/>
        </w:rPr>
      </w:pPr>
      <w:r>
        <w:rPr>
          <w:rFonts w:hint="eastAsia"/>
        </w:rPr>
        <w:t>国家老年人委员会与住房和城市规划部合作拟订了关于改善老年人社会福利住房方案计划；</w:t>
      </w:r>
    </w:p>
    <w:p w:rsidR="00000000" w:rsidRDefault="009C1C61">
      <w:pPr>
        <w:numPr>
          <w:ilvl w:val="0"/>
          <w:numId w:val="91"/>
        </w:numPr>
        <w:spacing w:after="320"/>
        <w:rPr>
          <w:rFonts w:hint="eastAsia"/>
        </w:rPr>
      </w:pPr>
      <w:r>
        <w:rPr>
          <w:rFonts w:hint="eastAsia"/>
        </w:rPr>
        <w:t>1998</w:t>
      </w:r>
      <w:r>
        <w:rPr>
          <w:rFonts w:hint="eastAsia"/>
        </w:rPr>
        <w:t>和</w:t>
      </w:r>
      <w:r>
        <w:rPr>
          <w:rFonts w:hint="eastAsia"/>
        </w:rPr>
        <w:t>1999</w:t>
      </w:r>
      <w:r>
        <w:rPr>
          <w:rFonts w:hint="eastAsia"/>
        </w:rPr>
        <w:t>年间在全国为老年人建造了约</w:t>
      </w:r>
      <w:r>
        <w:rPr>
          <w:rFonts w:hint="eastAsia"/>
        </w:rPr>
        <w:t>100</w:t>
      </w:r>
      <w:r>
        <w:rPr>
          <w:rFonts w:hint="eastAsia"/>
        </w:rPr>
        <w:t>个日间中心。</w:t>
      </w:r>
    </w:p>
    <w:p w:rsidR="00000000" w:rsidRDefault="009C1C61">
      <w:pPr>
        <w:pStyle w:val="Heading4"/>
        <w:rPr>
          <w:rFonts w:hint="eastAsia"/>
        </w:rPr>
      </w:pPr>
      <w:r>
        <w:rPr>
          <w:rFonts w:ascii="Time New Roman" w:eastAsia="SimHei" w:hAnsi="Time New Roman" w:hint="eastAsia"/>
          <w:u w:val="none"/>
        </w:rPr>
        <w:t>获得身体和精神健康的权利</w:t>
      </w:r>
    </w:p>
    <w:p w:rsidR="00000000" w:rsidRDefault="009C1C61">
      <w:pPr>
        <w:rPr>
          <w:rFonts w:hint="eastAsia"/>
        </w:rPr>
      </w:pPr>
      <w:r>
        <w:rPr>
          <w:rFonts w:hint="eastAsia"/>
        </w:rPr>
        <w:tab/>
        <w:t xml:space="preserve">120.  </w:t>
      </w:r>
      <w:r>
        <w:rPr>
          <w:rFonts w:hint="eastAsia"/>
        </w:rPr>
        <w:t>在卫生领域里采取了下列措施：</w:t>
      </w:r>
    </w:p>
    <w:p w:rsidR="00000000" w:rsidRDefault="009C1C61">
      <w:pPr>
        <w:numPr>
          <w:ilvl w:val="0"/>
          <w:numId w:val="92"/>
        </w:numPr>
        <w:rPr>
          <w:rFonts w:hint="eastAsia"/>
        </w:rPr>
      </w:pPr>
      <w:r>
        <w:rPr>
          <w:rFonts w:hint="eastAsia"/>
        </w:rPr>
        <w:t>1998</w:t>
      </w:r>
      <w:r>
        <w:rPr>
          <w:rFonts w:hint="eastAsia"/>
        </w:rPr>
        <w:t>年在国家老年人委员会的倡议下，卫生部制定了一个老年人方案，将在全国所有初级保健</w:t>
      </w:r>
      <w:r>
        <w:rPr>
          <w:rFonts w:hint="eastAsia"/>
        </w:rPr>
        <w:t>中心对老年人的健康监测活动纳入该方案。在智利公共卫生历史中第一次执行了针对这个年龄组的特别保健方案。为了实现这个目的，将资源增加了六倍，从</w:t>
      </w:r>
      <w:r>
        <w:rPr>
          <w:rFonts w:hint="eastAsia"/>
        </w:rPr>
        <w:t>1995</w:t>
      </w:r>
      <w:r>
        <w:rPr>
          <w:rFonts w:hint="eastAsia"/>
        </w:rPr>
        <w:t>年的</w:t>
      </w:r>
      <w:r>
        <w:rPr>
          <w:rFonts w:hint="eastAsia"/>
        </w:rPr>
        <w:t>15</w:t>
      </w:r>
      <w:r>
        <w:rPr>
          <w:rFonts w:hint="eastAsia"/>
        </w:rPr>
        <w:t>亿比索</w:t>
      </w:r>
      <w:r>
        <w:rPr>
          <w:rFonts w:hint="eastAsia"/>
        </w:rPr>
        <w:t>(3,780,527</w:t>
      </w:r>
      <w:r>
        <w:rPr>
          <w:rFonts w:hint="eastAsia"/>
        </w:rPr>
        <w:t>美元</w:t>
      </w:r>
      <w:r>
        <w:rPr>
          <w:rFonts w:hint="eastAsia"/>
        </w:rPr>
        <w:t>)</w:t>
      </w:r>
      <w:r>
        <w:rPr>
          <w:rFonts w:hint="eastAsia"/>
        </w:rPr>
        <w:t>增至</w:t>
      </w:r>
      <w:r>
        <w:rPr>
          <w:rFonts w:hint="eastAsia"/>
        </w:rPr>
        <w:t>1999</w:t>
      </w:r>
      <w:r>
        <w:rPr>
          <w:rFonts w:hint="eastAsia"/>
        </w:rPr>
        <w:t>年的</w:t>
      </w:r>
      <w:r>
        <w:rPr>
          <w:rFonts w:hint="eastAsia"/>
        </w:rPr>
        <w:t>90</w:t>
      </w:r>
      <w:r>
        <w:rPr>
          <w:rFonts w:hint="eastAsia"/>
        </w:rPr>
        <w:t>亿比索</w:t>
      </w:r>
      <w:r>
        <w:rPr>
          <w:rFonts w:hint="eastAsia"/>
        </w:rPr>
        <w:t>(17,689,374</w:t>
      </w:r>
      <w:r>
        <w:rPr>
          <w:rFonts w:hint="eastAsia"/>
        </w:rPr>
        <w:t>美元</w:t>
      </w:r>
      <w:r>
        <w:rPr>
          <w:rFonts w:hint="eastAsia"/>
        </w:rPr>
        <w:t>)</w:t>
      </w:r>
      <w:r>
        <w:rPr>
          <w:rFonts w:hint="eastAsia"/>
        </w:rPr>
        <w:t>。在</w:t>
      </w:r>
      <w:r>
        <w:rPr>
          <w:rFonts w:hint="eastAsia"/>
        </w:rPr>
        <w:t>1999</w:t>
      </w:r>
      <w:r>
        <w:rPr>
          <w:rFonts w:hint="eastAsia"/>
        </w:rPr>
        <w:t>年共有</w:t>
      </w:r>
      <w:r>
        <w:rPr>
          <w:rFonts w:hint="eastAsia"/>
        </w:rPr>
        <w:t>150,000</w:t>
      </w:r>
      <w:r>
        <w:rPr>
          <w:rFonts w:hint="eastAsia"/>
        </w:rPr>
        <w:t>名老年人接受了身体检查；</w:t>
      </w:r>
    </w:p>
    <w:p w:rsidR="00000000" w:rsidRDefault="009C1C61">
      <w:pPr>
        <w:numPr>
          <w:ilvl w:val="0"/>
          <w:numId w:val="92"/>
        </w:numPr>
        <w:rPr>
          <w:rFonts w:hint="eastAsia"/>
        </w:rPr>
      </w:pPr>
      <w:r>
        <w:rPr>
          <w:rFonts w:hint="eastAsia"/>
        </w:rPr>
        <w:t>1997</w:t>
      </w:r>
      <w:r>
        <w:rPr>
          <w:rFonts w:hint="eastAsia"/>
        </w:rPr>
        <w:t>年发动了大规模的流行性感冒的预防接种运动；它在每年</w:t>
      </w:r>
      <w:r>
        <w:rPr>
          <w:rFonts w:hint="eastAsia"/>
        </w:rPr>
        <w:t>4</w:t>
      </w:r>
      <w:r>
        <w:rPr>
          <w:rFonts w:hint="eastAsia"/>
        </w:rPr>
        <w:t>月开始，几乎</w:t>
      </w:r>
      <w:r>
        <w:rPr>
          <w:rFonts w:hint="eastAsia"/>
        </w:rPr>
        <w:t>100%</w:t>
      </w:r>
      <w:r>
        <w:rPr>
          <w:rFonts w:hint="eastAsia"/>
        </w:rPr>
        <w:t>的老年人都进行接种；</w:t>
      </w:r>
    </w:p>
    <w:p w:rsidR="00000000" w:rsidRDefault="009C1C61">
      <w:pPr>
        <w:numPr>
          <w:ilvl w:val="0"/>
          <w:numId w:val="92"/>
        </w:numPr>
        <w:rPr>
          <w:rFonts w:hint="eastAsia"/>
        </w:rPr>
      </w:pPr>
      <w:r>
        <w:rPr>
          <w:rFonts w:hint="eastAsia"/>
        </w:rPr>
        <w:t>1995</w:t>
      </w:r>
      <w:r>
        <w:rPr>
          <w:rFonts w:hint="eastAsia"/>
        </w:rPr>
        <w:t>年，通过国卫基金，发动了矫形和假体分配方案。从</w:t>
      </w:r>
      <w:r>
        <w:rPr>
          <w:rFonts w:hint="eastAsia"/>
        </w:rPr>
        <w:t>1995</w:t>
      </w:r>
      <w:r>
        <w:rPr>
          <w:rFonts w:hint="eastAsia"/>
        </w:rPr>
        <w:t>年开始免费分发技术援助，分发了</w:t>
      </w:r>
      <w:r>
        <w:rPr>
          <w:rFonts w:hint="eastAsia"/>
        </w:rPr>
        <w:t>39,531</w:t>
      </w:r>
      <w:r>
        <w:rPr>
          <w:rFonts w:hint="eastAsia"/>
        </w:rPr>
        <w:t>个器具；</w:t>
      </w:r>
      <w:r>
        <w:rPr>
          <w:rFonts w:hint="eastAsia"/>
        </w:rPr>
        <w:t>1999</w:t>
      </w:r>
      <w:r>
        <w:rPr>
          <w:rFonts w:hint="eastAsia"/>
        </w:rPr>
        <w:t>年，分发了</w:t>
      </w:r>
      <w:r>
        <w:rPr>
          <w:rFonts w:hint="eastAsia"/>
        </w:rPr>
        <w:t>284,731</w:t>
      </w:r>
      <w:r>
        <w:rPr>
          <w:rFonts w:hint="eastAsia"/>
        </w:rPr>
        <w:t>个器具；</w:t>
      </w:r>
    </w:p>
    <w:p w:rsidR="00000000" w:rsidRDefault="009C1C61">
      <w:pPr>
        <w:numPr>
          <w:ilvl w:val="0"/>
          <w:numId w:val="92"/>
        </w:numPr>
        <w:rPr>
          <w:rFonts w:hint="eastAsia"/>
        </w:rPr>
      </w:pPr>
      <w:r>
        <w:rPr>
          <w:rFonts w:hint="eastAsia"/>
        </w:rPr>
        <w:t>费用十分大的疾病，在</w:t>
      </w:r>
      <w:r>
        <w:rPr>
          <w:rFonts w:hint="eastAsia"/>
        </w:rPr>
        <w:t>1995</w:t>
      </w:r>
      <w:r>
        <w:rPr>
          <w:rFonts w:hint="eastAsia"/>
        </w:rPr>
        <w:t>年，批准了</w:t>
      </w:r>
      <w:r>
        <w:rPr>
          <w:rFonts w:hint="eastAsia"/>
        </w:rPr>
        <w:t>3,234</w:t>
      </w:r>
      <w:r>
        <w:rPr>
          <w:rFonts w:hint="eastAsia"/>
        </w:rPr>
        <w:t>宗；在</w:t>
      </w:r>
      <w:r>
        <w:rPr>
          <w:rFonts w:hint="eastAsia"/>
        </w:rPr>
        <w:t>1999</w:t>
      </w:r>
      <w:r>
        <w:rPr>
          <w:rFonts w:hint="eastAsia"/>
        </w:rPr>
        <w:t>年有</w:t>
      </w:r>
      <w:r>
        <w:rPr>
          <w:rFonts w:hint="eastAsia"/>
        </w:rPr>
        <w:t>33,067</w:t>
      </w:r>
      <w:r>
        <w:rPr>
          <w:rFonts w:hint="eastAsia"/>
        </w:rPr>
        <w:t>名老年人获得这一类的福利；</w:t>
      </w:r>
    </w:p>
    <w:p w:rsidR="00000000" w:rsidRDefault="009C1C61">
      <w:pPr>
        <w:numPr>
          <w:ilvl w:val="0"/>
          <w:numId w:val="92"/>
        </w:numPr>
        <w:rPr>
          <w:rFonts w:hint="eastAsia"/>
        </w:rPr>
      </w:pPr>
      <w:r>
        <w:rPr>
          <w:rFonts w:hint="eastAsia"/>
        </w:rPr>
        <w:t>预早治疗方案：在</w:t>
      </w:r>
      <w:r>
        <w:rPr>
          <w:rFonts w:hint="eastAsia"/>
        </w:rPr>
        <w:t>1996</w:t>
      </w:r>
      <w:r>
        <w:rPr>
          <w:rFonts w:hint="eastAsia"/>
        </w:rPr>
        <w:t>年，进行了</w:t>
      </w:r>
      <w:r>
        <w:rPr>
          <w:rFonts w:hint="eastAsia"/>
        </w:rPr>
        <w:t>1,383</w:t>
      </w:r>
      <w:r>
        <w:rPr>
          <w:rFonts w:hint="eastAsia"/>
        </w:rPr>
        <w:t>个手术，</w:t>
      </w:r>
      <w:r>
        <w:rPr>
          <w:rFonts w:hint="eastAsia"/>
        </w:rPr>
        <w:t>1999</w:t>
      </w:r>
      <w:r>
        <w:rPr>
          <w:rFonts w:hint="eastAsia"/>
        </w:rPr>
        <w:t>年，进行了</w:t>
      </w:r>
      <w:r>
        <w:rPr>
          <w:rFonts w:hint="eastAsia"/>
        </w:rPr>
        <w:t>33,067</w:t>
      </w:r>
      <w:r>
        <w:rPr>
          <w:rFonts w:hint="eastAsia"/>
        </w:rPr>
        <w:t>个手术；</w:t>
      </w:r>
    </w:p>
    <w:p w:rsidR="00000000" w:rsidRDefault="009C1C61">
      <w:pPr>
        <w:numPr>
          <w:ilvl w:val="0"/>
          <w:numId w:val="92"/>
        </w:numPr>
        <w:rPr>
          <w:rFonts w:hint="eastAsia"/>
        </w:rPr>
      </w:pPr>
      <w:r>
        <w:rPr>
          <w:rFonts w:hint="eastAsia"/>
        </w:rPr>
        <w:t>在</w:t>
      </w:r>
      <w:r>
        <w:rPr>
          <w:rFonts w:hint="eastAsia"/>
        </w:rPr>
        <w:t>1999</w:t>
      </w:r>
      <w:r>
        <w:rPr>
          <w:rFonts w:hint="eastAsia"/>
        </w:rPr>
        <w:t>年下半年，开始实行为高血压、糖尿病和神经衰弱能病症预早分发药品，该年</w:t>
      </w:r>
      <w:r>
        <w:rPr>
          <w:rFonts w:hint="eastAsia"/>
        </w:rPr>
        <w:t>12</w:t>
      </w:r>
      <w:r>
        <w:rPr>
          <w:rFonts w:hint="eastAsia"/>
        </w:rPr>
        <w:t>月共有</w:t>
      </w:r>
      <w:r>
        <w:rPr>
          <w:rFonts w:hint="eastAsia"/>
        </w:rPr>
        <w:t>156,871</w:t>
      </w:r>
      <w:r>
        <w:rPr>
          <w:rFonts w:hint="eastAsia"/>
        </w:rPr>
        <w:t>人得到治疗；</w:t>
      </w:r>
    </w:p>
    <w:p w:rsidR="00000000" w:rsidRDefault="009C1C61">
      <w:pPr>
        <w:numPr>
          <w:ilvl w:val="0"/>
          <w:numId w:val="92"/>
        </w:numPr>
        <w:rPr>
          <w:rFonts w:hint="eastAsia"/>
        </w:rPr>
      </w:pPr>
      <w:r>
        <w:rPr>
          <w:rFonts w:hint="eastAsia"/>
        </w:rPr>
        <w:t>1999</w:t>
      </w:r>
      <w:r>
        <w:rPr>
          <w:rFonts w:hint="eastAsia"/>
        </w:rPr>
        <w:t>年为老年人和照顾老年人的人制作了一个题为“照顾悲伤的老年人”的录象带。此外，又为老年人印发了一本关于运动的指南；</w:t>
      </w:r>
    </w:p>
    <w:p w:rsidR="00000000" w:rsidRDefault="009C1C61">
      <w:pPr>
        <w:numPr>
          <w:ilvl w:val="0"/>
          <w:numId w:val="92"/>
        </w:numPr>
        <w:rPr>
          <w:rFonts w:hint="eastAsia"/>
        </w:rPr>
      </w:pPr>
      <w:r>
        <w:rPr>
          <w:rFonts w:hint="eastAsia"/>
        </w:rPr>
        <w:t>在市的一级设立了讲习班以改善老年人</w:t>
      </w:r>
      <w:r>
        <w:rPr>
          <w:rFonts w:hint="eastAsia"/>
        </w:rPr>
        <w:t>的记忆力和自尊。然而必须指出的是旨在改善精神健康的措施不如旨在改善身体健康的措施受重视；</w:t>
      </w:r>
    </w:p>
    <w:p w:rsidR="00000000" w:rsidRDefault="009C1C61">
      <w:pPr>
        <w:numPr>
          <w:ilvl w:val="0"/>
          <w:numId w:val="92"/>
        </w:numPr>
        <w:rPr>
          <w:rFonts w:hint="eastAsia"/>
        </w:rPr>
      </w:pPr>
      <w:r>
        <w:rPr>
          <w:rFonts w:hint="eastAsia"/>
        </w:rPr>
        <w:t>正在就编制一本关于“健康生活方式”的指南的内容进行各部门间的合作，以鼓励自己照顾自己的健康，早期采取措施达到健康的老年。</w:t>
      </w:r>
    </w:p>
    <w:p w:rsidR="00000000" w:rsidRDefault="009C1C61">
      <w:pPr>
        <w:rPr>
          <w:rFonts w:hint="eastAsia"/>
        </w:rPr>
      </w:pPr>
      <w:r>
        <w:rPr>
          <w:rFonts w:hint="eastAsia"/>
        </w:rPr>
        <w:tab/>
        <w:t xml:space="preserve">121.  </w:t>
      </w:r>
      <w:r>
        <w:rPr>
          <w:rFonts w:hint="eastAsia"/>
        </w:rPr>
        <w:t>在智利</w:t>
      </w:r>
      <w:r>
        <w:rPr>
          <w:rFonts w:hint="eastAsia"/>
        </w:rPr>
        <w:t>65</w:t>
      </w:r>
      <w:r>
        <w:rPr>
          <w:rFonts w:hint="eastAsia"/>
        </w:rPr>
        <w:t>岁或以上的所有老年人中</w:t>
      </w:r>
      <w:r>
        <w:rPr>
          <w:rFonts w:hint="eastAsia"/>
        </w:rPr>
        <w:t>90%</w:t>
      </w:r>
      <w:r>
        <w:rPr>
          <w:rFonts w:hint="eastAsia"/>
        </w:rPr>
        <w:t>拥有公共保健计划。自</w:t>
      </w:r>
      <w:r>
        <w:rPr>
          <w:rFonts w:hint="eastAsia"/>
        </w:rPr>
        <w:t>1999</w:t>
      </w:r>
      <w:r>
        <w:rPr>
          <w:rFonts w:hint="eastAsia"/>
        </w:rPr>
        <w:t>年</w:t>
      </w:r>
      <w:r>
        <w:rPr>
          <w:rFonts w:hint="eastAsia"/>
        </w:rPr>
        <w:t>5</w:t>
      </w:r>
      <w:r>
        <w:rPr>
          <w:rFonts w:hint="eastAsia"/>
        </w:rPr>
        <w:t>月补充食物方案开始实施以来，目前已有</w:t>
      </w:r>
      <w:r>
        <w:rPr>
          <w:rFonts w:hint="eastAsia"/>
        </w:rPr>
        <w:t>40%</w:t>
      </w:r>
      <w:r>
        <w:rPr>
          <w:rFonts w:hint="eastAsia"/>
        </w:rPr>
        <w:t>超过</w:t>
      </w:r>
      <w:r>
        <w:rPr>
          <w:rFonts w:hint="eastAsia"/>
        </w:rPr>
        <w:t>70</w:t>
      </w:r>
      <w:r>
        <w:rPr>
          <w:rFonts w:hint="eastAsia"/>
        </w:rPr>
        <w:t>岁的成年人享受该方案。</w:t>
      </w:r>
    </w:p>
    <w:p w:rsidR="00000000" w:rsidRDefault="009C1C61">
      <w:pPr>
        <w:rPr>
          <w:rFonts w:hint="eastAsia"/>
        </w:rPr>
      </w:pPr>
      <w:r>
        <w:rPr>
          <w:rFonts w:hint="eastAsia"/>
        </w:rPr>
        <w:tab/>
        <w:t xml:space="preserve">122.  </w:t>
      </w:r>
      <w:r>
        <w:rPr>
          <w:rFonts w:hint="eastAsia"/>
        </w:rPr>
        <w:t>自</w:t>
      </w:r>
      <w:r>
        <w:rPr>
          <w:rFonts w:hint="eastAsia"/>
        </w:rPr>
        <w:t>1995</w:t>
      </w:r>
      <w:r>
        <w:rPr>
          <w:rFonts w:hint="eastAsia"/>
        </w:rPr>
        <w:t>年来，在医院里实施了四个方案：使人衰弱的病症</w:t>
      </w:r>
      <w:r>
        <w:rPr>
          <w:rFonts w:hint="eastAsia"/>
        </w:rPr>
        <w:t>(</w:t>
      </w:r>
      <w:r>
        <w:rPr>
          <w:rFonts w:hint="eastAsia"/>
        </w:rPr>
        <w:t>白内障手术、激光凝固法、起搏器的安装、髋关节手术</w:t>
      </w:r>
      <w:r>
        <w:rPr>
          <w:rFonts w:hint="eastAsia"/>
        </w:rPr>
        <w:t>)</w:t>
      </w:r>
      <w:r>
        <w:rPr>
          <w:rFonts w:hint="eastAsia"/>
        </w:rPr>
        <w:t>；矫形和假体</w:t>
      </w:r>
      <w:r>
        <w:rPr>
          <w:rFonts w:hint="eastAsia"/>
        </w:rPr>
        <w:t>(</w:t>
      </w:r>
      <w:r>
        <w:rPr>
          <w:rFonts w:hint="eastAsia"/>
        </w:rPr>
        <w:t>眼镜、助</w:t>
      </w:r>
      <w:r>
        <w:rPr>
          <w:rFonts w:hint="eastAsia"/>
        </w:rPr>
        <w:t>听器、假牙、轮椅、学步器</w:t>
      </w:r>
      <w:r>
        <w:rPr>
          <w:rFonts w:hint="eastAsia"/>
        </w:rPr>
        <w:t>)</w:t>
      </w:r>
      <w:r>
        <w:rPr>
          <w:rFonts w:hint="eastAsia"/>
        </w:rPr>
        <w:t>；在胆囊手术领域里的治疗机会；子宫脱垂和前列腺。</w:t>
      </w:r>
    </w:p>
    <w:p w:rsidR="00000000" w:rsidRDefault="009C1C61">
      <w:pPr>
        <w:spacing w:after="320"/>
        <w:rPr>
          <w:rFonts w:hint="eastAsia"/>
        </w:rPr>
      </w:pPr>
      <w:r>
        <w:rPr>
          <w:rFonts w:hint="eastAsia"/>
        </w:rPr>
        <w:tab/>
        <w:t xml:space="preserve">123.  </w:t>
      </w:r>
      <w:r>
        <w:rPr>
          <w:rFonts w:hint="eastAsia"/>
        </w:rPr>
        <w:t>自</w:t>
      </w:r>
      <w:r>
        <w:rPr>
          <w:rFonts w:hint="eastAsia"/>
        </w:rPr>
        <w:t>1998</w:t>
      </w:r>
      <w:r>
        <w:rPr>
          <w:rFonts w:hint="eastAsia"/>
        </w:rPr>
        <w:t>年来实施了第三级肺炎老年人住院治疗和不需住院治疗方案。目前，所有老年人都免费接种防流行性感冒疫苗，不论他们属于那一个养老金制度。在预防方面，根据有关老年人健康情况进行初步和后续的体格检查。</w:t>
      </w:r>
    </w:p>
    <w:p w:rsidR="00000000" w:rsidRDefault="009C1C61">
      <w:pPr>
        <w:pStyle w:val="Heading4"/>
        <w:rPr>
          <w:rFonts w:hint="eastAsia"/>
        </w:rPr>
      </w:pPr>
      <w:r>
        <w:rPr>
          <w:rFonts w:ascii="Time New Roman" w:eastAsia="SimHei" w:hAnsi="Time New Roman" w:hint="eastAsia"/>
          <w:u w:val="none"/>
        </w:rPr>
        <w:t>接受教育权</w:t>
      </w:r>
    </w:p>
    <w:p w:rsidR="00000000" w:rsidRDefault="009C1C61">
      <w:pPr>
        <w:rPr>
          <w:rFonts w:hint="eastAsia"/>
        </w:rPr>
      </w:pPr>
      <w:r>
        <w:rPr>
          <w:rFonts w:hint="eastAsia"/>
        </w:rPr>
        <w:tab/>
        <w:t xml:space="preserve">124.  </w:t>
      </w:r>
      <w:r>
        <w:rPr>
          <w:rFonts w:hint="eastAsia"/>
        </w:rPr>
        <w:t>在这方面采取了下列措施：</w:t>
      </w:r>
    </w:p>
    <w:p w:rsidR="00000000" w:rsidRDefault="009C1C61">
      <w:pPr>
        <w:numPr>
          <w:ilvl w:val="0"/>
          <w:numId w:val="93"/>
        </w:numPr>
        <w:rPr>
          <w:rFonts w:hint="eastAsia"/>
        </w:rPr>
      </w:pPr>
      <w:r>
        <w:rPr>
          <w:rFonts w:hint="eastAsia"/>
        </w:rPr>
        <w:t>于</w:t>
      </w:r>
      <w:r>
        <w:rPr>
          <w:rFonts w:hint="eastAsia"/>
        </w:rPr>
        <w:t>1990</w:t>
      </w:r>
      <w:r>
        <w:rPr>
          <w:rFonts w:hint="eastAsia"/>
        </w:rPr>
        <w:t>年开展了改善成人教育方案，以便老年人能完成他们的小学和中学教育，不做文盲；</w:t>
      </w:r>
    </w:p>
    <w:p w:rsidR="00000000" w:rsidRDefault="009C1C61">
      <w:pPr>
        <w:numPr>
          <w:ilvl w:val="0"/>
          <w:numId w:val="93"/>
        </w:numPr>
        <w:rPr>
          <w:rFonts w:hint="eastAsia"/>
        </w:rPr>
      </w:pPr>
      <w:r>
        <w:rPr>
          <w:rFonts w:hint="eastAsia"/>
        </w:rPr>
        <w:t>在某些大学中列入关于衰老过程的课程，通过智利各个大学所提供的机会；</w:t>
      </w:r>
    </w:p>
    <w:p w:rsidR="00000000" w:rsidRDefault="009C1C61">
      <w:pPr>
        <w:numPr>
          <w:ilvl w:val="0"/>
          <w:numId w:val="93"/>
        </w:numPr>
        <w:spacing w:after="320"/>
        <w:rPr>
          <w:rFonts w:hint="eastAsia"/>
        </w:rPr>
      </w:pPr>
      <w:r>
        <w:rPr>
          <w:rFonts w:hint="eastAsia"/>
        </w:rPr>
        <w:t>把</w:t>
      </w:r>
      <w:r>
        <w:rPr>
          <w:rFonts w:hint="eastAsia"/>
        </w:rPr>
        <w:t>10</w:t>
      </w:r>
      <w:r>
        <w:rPr>
          <w:rFonts w:hint="eastAsia"/>
        </w:rPr>
        <w:t>月</w:t>
      </w:r>
      <w:r>
        <w:rPr>
          <w:rFonts w:hint="eastAsia"/>
        </w:rPr>
        <w:t>1</w:t>
      </w:r>
      <w:r>
        <w:rPr>
          <w:rFonts w:hint="eastAsia"/>
        </w:rPr>
        <w:t>日庆祝</w:t>
      </w:r>
      <w:r>
        <w:rPr>
          <w:rFonts w:hint="eastAsia"/>
        </w:rPr>
        <w:t>“国际老年人日”列入学校日历中。</w:t>
      </w:r>
    </w:p>
    <w:p w:rsidR="00000000" w:rsidRDefault="009C1C61">
      <w:pPr>
        <w:pStyle w:val="Heading4"/>
        <w:rPr>
          <w:rFonts w:hint="eastAsia"/>
        </w:rPr>
      </w:pPr>
      <w:r>
        <w:rPr>
          <w:rFonts w:ascii="Time New Roman" w:eastAsia="SimHei" w:hAnsi="Time New Roman" w:hint="eastAsia"/>
          <w:u w:val="none"/>
        </w:rPr>
        <w:t>参加文化生活的权利</w:t>
      </w:r>
    </w:p>
    <w:p w:rsidR="00000000" w:rsidRDefault="009C1C61">
      <w:pPr>
        <w:rPr>
          <w:rFonts w:hint="eastAsia"/>
        </w:rPr>
      </w:pPr>
      <w:r>
        <w:rPr>
          <w:rFonts w:hint="eastAsia"/>
        </w:rPr>
        <w:tab/>
        <w:t>125.  1998</w:t>
      </w:r>
      <w:r>
        <w:rPr>
          <w:rFonts w:hint="eastAsia"/>
        </w:rPr>
        <w:t>年，国家老年人委员会与教育部文化司合作制订了一个项目，以审议有关不同形式的艺术表现的文化倡议：</w:t>
      </w:r>
    </w:p>
    <w:p w:rsidR="00000000" w:rsidRDefault="009C1C61">
      <w:pPr>
        <w:numPr>
          <w:ilvl w:val="0"/>
          <w:numId w:val="94"/>
        </w:numPr>
        <w:rPr>
          <w:rFonts w:hint="eastAsia"/>
        </w:rPr>
      </w:pPr>
      <w:r>
        <w:rPr>
          <w:rFonts w:hint="eastAsia"/>
        </w:rPr>
        <w:t>为年轻人举办了一个关于“老年人艺术创造力”的讨论会，以研究老年人对艺术创造的贡献；</w:t>
      </w:r>
    </w:p>
    <w:p w:rsidR="00000000" w:rsidRDefault="009C1C61">
      <w:pPr>
        <w:numPr>
          <w:ilvl w:val="0"/>
          <w:numId w:val="94"/>
        </w:numPr>
        <w:rPr>
          <w:rFonts w:hint="eastAsia"/>
          <w:snapToGrid/>
        </w:rPr>
      </w:pPr>
      <w:r>
        <w:rPr>
          <w:rFonts w:hint="eastAsia"/>
          <w:snapToGrid/>
        </w:rPr>
        <w:t>在与国家老年人委员会和国家老年人协调员的合作下，为老年人举办了一个基本电影－录影课程；</w:t>
      </w:r>
    </w:p>
    <w:p w:rsidR="00000000" w:rsidRDefault="009C1C61">
      <w:pPr>
        <w:numPr>
          <w:ilvl w:val="0"/>
          <w:numId w:val="94"/>
        </w:numPr>
        <w:spacing w:after="320"/>
        <w:rPr>
          <w:rFonts w:hint="eastAsia"/>
          <w:snapToGrid/>
        </w:rPr>
      </w:pPr>
      <w:r>
        <w:rPr>
          <w:rFonts w:hint="eastAsia"/>
          <w:snapToGrid/>
        </w:rPr>
        <w:t>在博物馆和公共图书馆内为老年人提供一份简介，列出各图书馆、档案馆和博物馆所提供的服务。</w:t>
      </w:r>
    </w:p>
    <w:p w:rsidR="00000000" w:rsidRDefault="009C1C61">
      <w:pPr>
        <w:pStyle w:val="Heading3"/>
        <w:rPr>
          <w:kern w:val="0"/>
        </w:rPr>
      </w:pPr>
      <w:r>
        <w:rPr>
          <w:rFonts w:hint="eastAsia"/>
          <w:kern w:val="0"/>
        </w:rPr>
        <w:t>第</w:t>
      </w:r>
      <w:r>
        <w:rPr>
          <w:rFonts w:hint="eastAsia"/>
          <w:kern w:val="0"/>
        </w:rPr>
        <w:t xml:space="preserve"> </w:t>
      </w:r>
      <w:r>
        <w:rPr>
          <w:rFonts w:hint="eastAsia"/>
          <w:kern w:val="0"/>
        </w:rPr>
        <w:t>三</w:t>
      </w:r>
      <w:r>
        <w:rPr>
          <w:rFonts w:hint="eastAsia"/>
          <w:kern w:val="0"/>
        </w:rPr>
        <w:t xml:space="preserve"> </w:t>
      </w:r>
      <w:r>
        <w:rPr>
          <w:rFonts w:hint="eastAsia"/>
          <w:kern w:val="0"/>
        </w:rPr>
        <w:t>条</w:t>
      </w:r>
    </w:p>
    <w:p w:rsidR="00000000" w:rsidRDefault="009C1C61">
      <w:pPr>
        <w:pStyle w:val="Heading3"/>
        <w:rPr>
          <w:kern w:val="0"/>
        </w:rPr>
      </w:pPr>
      <w:r>
        <w:rPr>
          <w:rFonts w:hint="eastAsia"/>
          <w:kern w:val="0"/>
        </w:rPr>
        <w:t>承诺确保男女有权平等享有《公约》所列的权利</w:t>
      </w:r>
    </w:p>
    <w:p w:rsidR="00000000" w:rsidRDefault="009C1C61">
      <w:pPr>
        <w:rPr>
          <w:snapToGrid/>
        </w:rPr>
      </w:pPr>
      <w:r>
        <w:rPr>
          <w:rFonts w:hint="eastAsia"/>
          <w:snapToGrid/>
        </w:rPr>
        <w:tab/>
      </w:r>
      <w:r>
        <w:rPr>
          <w:snapToGrid/>
        </w:rPr>
        <w:t>126.</w:t>
      </w:r>
      <w:r>
        <w:rPr>
          <w:rFonts w:hint="eastAsia"/>
          <w:snapToGrid/>
        </w:rPr>
        <w:t xml:space="preserve">  </w:t>
      </w:r>
      <w:r>
        <w:rPr>
          <w:rFonts w:hint="eastAsia"/>
          <w:snapToGrid/>
        </w:rPr>
        <w:t>多党联盟组</w:t>
      </w:r>
      <w:r>
        <w:rPr>
          <w:rFonts w:hint="eastAsia"/>
          <w:snapToGrid/>
        </w:rPr>
        <w:t>建的各届政府从上任伊始，即承诺在各个方面实现国家的民主化，与此同时，克服男女之间的不平等，因为保障公平地获得福利、资源和机会，可使妇女成为名副其实的公民。</w:t>
      </w:r>
    </w:p>
    <w:p w:rsidR="00000000" w:rsidRDefault="009C1C61">
      <w:pPr>
        <w:rPr>
          <w:rFonts w:eastAsia="KaiTi_GB2312"/>
          <w:snapToGrid/>
          <w:spacing w:val="0"/>
        </w:rPr>
      </w:pPr>
      <w:r>
        <w:rPr>
          <w:rFonts w:hint="eastAsia"/>
          <w:snapToGrid/>
        </w:rPr>
        <w:tab/>
      </w:r>
      <w:r>
        <w:rPr>
          <w:snapToGrid/>
        </w:rPr>
        <w:t>127.</w:t>
      </w:r>
      <w:r>
        <w:rPr>
          <w:rFonts w:hint="eastAsia"/>
          <w:snapToGrid/>
        </w:rPr>
        <w:t xml:space="preserve">  </w:t>
      </w:r>
      <w:r>
        <w:rPr>
          <w:snapToGrid/>
        </w:rPr>
        <w:t>1991</w:t>
      </w:r>
      <w:r>
        <w:rPr>
          <w:snapToGrid/>
        </w:rPr>
        <w:t>年通过建立</w:t>
      </w:r>
      <w:r>
        <w:rPr>
          <w:rFonts w:hint="eastAsia"/>
          <w:snapToGrid/>
        </w:rPr>
        <w:t>“</w:t>
      </w:r>
      <w:r>
        <w:rPr>
          <w:snapToGrid/>
        </w:rPr>
        <w:t>全国妇女服务</w:t>
      </w:r>
      <w:r>
        <w:rPr>
          <w:rFonts w:hint="eastAsia"/>
          <w:snapToGrid/>
        </w:rPr>
        <w:t>署”</w:t>
      </w:r>
      <w:r>
        <w:rPr>
          <w:snapToGrid/>
        </w:rPr>
        <w:t>(</w:t>
      </w:r>
      <w:r>
        <w:rPr>
          <w:rFonts w:hint="eastAsia"/>
          <w:snapToGrid/>
        </w:rPr>
        <w:t>妇女服务署</w:t>
      </w:r>
      <w:r>
        <w:rPr>
          <w:snapToGrid/>
        </w:rPr>
        <w:t>)</w:t>
      </w:r>
      <w:r>
        <w:rPr>
          <w:snapToGrid/>
        </w:rPr>
        <w:t>的法律，以及随后</w:t>
      </w:r>
      <w:r>
        <w:rPr>
          <w:rFonts w:hint="eastAsia"/>
          <w:snapToGrid/>
        </w:rPr>
        <w:t>制</w:t>
      </w:r>
      <w:r>
        <w:rPr>
          <w:snapToGrid/>
        </w:rPr>
        <w:t>定的</w:t>
      </w:r>
      <w:r>
        <w:rPr>
          <w:snapToGrid/>
        </w:rPr>
        <w:t>1994</w:t>
      </w:r>
      <w:r>
        <w:rPr>
          <w:rFonts w:hint="eastAsia"/>
          <w:snapToGrid/>
        </w:rPr>
        <w:t>-</w:t>
      </w:r>
      <w:r>
        <w:rPr>
          <w:snapToGrid/>
        </w:rPr>
        <w:t>1999</w:t>
      </w:r>
      <w:r>
        <w:rPr>
          <w:snapToGrid/>
        </w:rPr>
        <w:t>年促进妇女机会平等计划</w:t>
      </w:r>
      <w:r>
        <w:rPr>
          <w:rFonts w:hint="eastAsia"/>
          <w:snapToGrid/>
        </w:rPr>
        <w:t>明</w:t>
      </w:r>
      <w:r>
        <w:rPr>
          <w:snapToGrid/>
        </w:rPr>
        <w:t>显地体现了这一目标。从</w:t>
      </w:r>
      <w:r>
        <w:rPr>
          <w:snapToGrid/>
        </w:rPr>
        <w:t>1991</w:t>
      </w:r>
      <w:r>
        <w:rPr>
          <w:snapToGrid/>
        </w:rPr>
        <w:t>年</w:t>
      </w:r>
      <w:r>
        <w:rPr>
          <w:snapToGrid/>
        </w:rPr>
        <w:t>1</w:t>
      </w:r>
      <w:r>
        <w:rPr>
          <w:snapToGrid/>
        </w:rPr>
        <w:t>月</w:t>
      </w:r>
      <w:r>
        <w:rPr>
          <w:rFonts w:hint="eastAsia"/>
          <w:snapToGrid/>
        </w:rPr>
        <w:t>3</w:t>
      </w:r>
      <w:r>
        <w:rPr>
          <w:snapToGrid/>
        </w:rPr>
        <w:t>日</w:t>
      </w:r>
      <w:r>
        <w:rPr>
          <w:snapToGrid/>
        </w:rPr>
        <w:t>(</w:t>
      </w:r>
      <w:r>
        <w:rPr>
          <w:rFonts w:hint="eastAsia"/>
          <w:snapToGrid/>
        </w:rPr>
        <w:t>“妇女服务署”</w:t>
      </w:r>
      <w:r>
        <w:rPr>
          <w:snapToGrid/>
        </w:rPr>
        <w:t>组建日</w:t>
      </w:r>
      <w:r>
        <w:rPr>
          <w:snapToGrid/>
        </w:rPr>
        <w:t>)</w:t>
      </w:r>
      <w:r>
        <w:rPr>
          <w:snapToGrid/>
        </w:rPr>
        <w:t>生效之日起，这个机构一直</w:t>
      </w:r>
      <w:r>
        <w:rPr>
          <w:rFonts w:hint="eastAsia"/>
          <w:snapToGrid/>
        </w:rPr>
        <w:t>在</w:t>
      </w:r>
      <w:r>
        <w:rPr>
          <w:snapToGrid/>
        </w:rPr>
        <w:t>国际和国内各级力求促进和增强实现男女之间机会平等</w:t>
      </w:r>
      <w:r>
        <w:rPr>
          <w:rFonts w:hint="eastAsia"/>
          <w:snapToGrid/>
        </w:rPr>
        <w:t>，这是</w:t>
      </w:r>
      <w:r>
        <w:rPr>
          <w:snapToGrid/>
        </w:rPr>
        <w:t>1990</w:t>
      </w:r>
      <w:r>
        <w:rPr>
          <w:snapToGrid/>
        </w:rPr>
        <w:t>年以来</w:t>
      </w:r>
      <w:r>
        <w:rPr>
          <w:rFonts w:hint="eastAsia"/>
          <w:snapToGrid/>
        </w:rPr>
        <w:t>历届</w:t>
      </w:r>
      <w:r>
        <w:rPr>
          <w:snapToGrid/>
        </w:rPr>
        <w:t>民</w:t>
      </w:r>
      <w:r>
        <w:rPr>
          <w:rFonts w:hint="eastAsia"/>
          <w:snapToGrid/>
        </w:rPr>
        <w:t>主</w:t>
      </w:r>
      <w:r>
        <w:rPr>
          <w:snapToGrid/>
        </w:rPr>
        <w:t>当选政府</w:t>
      </w:r>
      <w:r>
        <w:rPr>
          <w:rFonts w:hint="eastAsia"/>
          <w:snapToGrid/>
        </w:rPr>
        <w:t>同意承担的任务。</w:t>
      </w:r>
      <w:r>
        <w:rPr>
          <w:snapToGrid/>
        </w:rPr>
        <w:t>全国妇女服务</w:t>
      </w:r>
      <w:r>
        <w:rPr>
          <w:rFonts w:hint="eastAsia"/>
          <w:snapToGrid/>
        </w:rPr>
        <w:t>署</w:t>
      </w:r>
      <w:r>
        <w:rPr>
          <w:rFonts w:hint="eastAsia"/>
          <w:snapToGrid/>
          <w:color w:val="003366"/>
        </w:rPr>
        <w:t>是</w:t>
      </w:r>
      <w:r>
        <w:rPr>
          <w:rFonts w:hint="eastAsia"/>
          <w:snapToGrid/>
        </w:rPr>
        <w:t>一个放权性的公共服务部</w:t>
      </w:r>
      <w:r>
        <w:rPr>
          <w:rFonts w:hint="eastAsia"/>
          <w:snapToGrid/>
        </w:rPr>
        <w:t>门；该机构的女社长级别为国务部长级。上述法律规定，该机构的任务是“</w:t>
      </w:r>
      <w:r>
        <w:rPr>
          <w:rFonts w:eastAsia="KaiTi_GB2312" w:hint="eastAsia"/>
          <w:snapToGrid/>
          <w:spacing w:val="0"/>
        </w:rPr>
        <w:t>与执政政府合作研究并提出总体计划和措施，以便使妇女在本国政治、社会、经济及文化发展的进程中享有与男性平等的权利和机会。”</w:t>
      </w:r>
    </w:p>
    <w:p w:rsidR="00000000" w:rsidRDefault="009C1C61">
      <w:pPr>
        <w:rPr>
          <w:snapToGrid/>
        </w:rPr>
      </w:pPr>
      <w:r>
        <w:rPr>
          <w:rFonts w:hint="eastAsia"/>
          <w:snapToGrid/>
        </w:rPr>
        <w:tab/>
      </w:r>
      <w:r>
        <w:rPr>
          <w:snapToGrid/>
        </w:rPr>
        <w:t>128.</w:t>
      </w:r>
      <w:r>
        <w:rPr>
          <w:rFonts w:hint="eastAsia"/>
          <w:snapToGrid/>
        </w:rPr>
        <w:t xml:space="preserve">  </w:t>
      </w:r>
      <w:r>
        <w:rPr>
          <w:snapToGrid/>
        </w:rPr>
        <w:t>1995</w:t>
      </w:r>
      <w:r>
        <w:rPr>
          <w:snapToGrid/>
        </w:rPr>
        <w:t>年</w:t>
      </w:r>
      <w:r>
        <w:rPr>
          <w:rFonts w:hint="eastAsia"/>
          <w:snapToGrid/>
        </w:rPr>
        <w:t>，</w:t>
      </w:r>
      <w:r>
        <w:rPr>
          <w:snapToGrid/>
        </w:rPr>
        <w:t>上述计划成为第二届民主政府优先事项的一部分。这就意味着</w:t>
      </w:r>
      <w:r>
        <w:rPr>
          <w:rFonts w:hint="eastAsia"/>
          <w:snapToGrid/>
        </w:rPr>
        <w:t>涉及</w:t>
      </w:r>
      <w:r>
        <w:rPr>
          <w:snapToGrid/>
        </w:rPr>
        <w:t>妇女的问题不再被认为与社会其他方面无关，</w:t>
      </w:r>
      <w:r>
        <w:rPr>
          <w:rFonts w:hint="eastAsia"/>
          <w:snapToGrid/>
        </w:rPr>
        <w:t>相反它已经</w:t>
      </w:r>
      <w:r>
        <w:rPr>
          <w:snapToGrid/>
        </w:rPr>
        <w:t>融入政府</w:t>
      </w:r>
      <w:r>
        <w:rPr>
          <w:rFonts w:hint="eastAsia"/>
          <w:snapToGrid/>
        </w:rPr>
        <w:t>的各</w:t>
      </w:r>
      <w:r>
        <w:rPr>
          <w:snapToGrid/>
        </w:rPr>
        <w:t>优先事项</w:t>
      </w:r>
      <w:r>
        <w:rPr>
          <w:rFonts w:hint="eastAsia"/>
          <w:snapToGrid/>
        </w:rPr>
        <w:t>之中</w:t>
      </w:r>
      <w:r>
        <w:rPr>
          <w:snapToGrid/>
        </w:rPr>
        <w:t>。这项计划</w:t>
      </w:r>
      <w:r>
        <w:rPr>
          <w:rFonts w:hint="eastAsia"/>
          <w:snapToGrid/>
        </w:rPr>
        <w:t>有助</w:t>
      </w:r>
      <w:r>
        <w:rPr>
          <w:snapToGrid/>
        </w:rPr>
        <w:t>于拟订各项提案，以</w:t>
      </w:r>
      <w:r>
        <w:rPr>
          <w:rFonts w:hint="eastAsia"/>
          <w:snapToGrid/>
        </w:rPr>
        <w:t>促进</w:t>
      </w:r>
      <w:r>
        <w:rPr>
          <w:snapToGrid/>
        </w:rPr>
        <w:t>制定有</w:t>
      </w:r>
      <w:r>
        <w:rPr>
          <w:rFonts w:hint="eastAsia"/>
          <w:snapToGrid/>
        </w:rPr>
        <w:t>益</w:t>
      </w:r>
      <w:r>
        <w:rPr>
          <w:snapToGrid/>
        </w:rPr>
        <w:t>于妇女的政府政策并为政府各所涉部门的行动</w:t>
      </w:r>
      <w:r>
        <w:rPr>
          <w:rFonts w:hint="eastAsia"/>
          <w:snapToGrid/>
        </w:rPr>
        <w:t>指出了</w:t>
      </w:r>
      <w:r>
        <w:rPr>
          <w:snapToGrid/>
        </w:rPr>
        <w:t>方向。</w:t>
      </w:r>
      <w:r>
        <w:rPr>
          <w:rFonts w:hint="eastAsia"/>
          <w:snapToGrid/>
        </w:rPr>
        <w:t>此计划的制定可大大提高</w:t>
      </w:r>
      <w:r>
        <w:rPr>
          <w:snapToGrid/>
        </w:rPr>
        <w:t>妇女</w:t>
      </w:r>
      <w:r>
        <w:rPr>
          <w:rFonts w:hint="eastAsia"/>
          <w:snapToGrid/>
        </w:rPr>
        <w:t>的地位和</w:t>
      </w:r>
      <w:r>
        <w:rPr>
          <w:snapToGrid/>
        </w:rPr>
        <w:t>生活质量</w:t>
      </w:r>
      <w:r>
        <w:rPr>
          <w:rFonts w:hint="eastAsia"/>
          <w:snapToGrid/>
        </w:rPr>
        <w:t>。为提高对不同阶层、领域和部</w:t>
      </w:r>
      <w:r>
        <w:rPr>
          <w:rFonts w:hint="eastAsia"/>
          <w:snapToGrid/>
        </w:rPr>
        <w:t>门的妇女的现实状况的认识已采取了各项措施；取得进步的方面还有：各机构在日常活动中融入对性别问题的关注，确定开展有利于妇女的平权行动，并建立了着眼妇女需要和符合她们实际处境的服务署和方案署。</w:t>
      </w:r>
    </w:p>
    <w:p w:rsidR="00000000" w:rsidRDefault="009C1C61">
      <w:pPr>
        <w:rPr>
          <w:snapToGrid/>
        </w:rPr>
      </w:pPr>
      <w:r>
        <w:rPr>
          <w:rFonts w:hint="eastAsia"/>
          <w:snapToGrid/>
        </w:rPr>
        <w:tab/>
      </w:r>
      <w:r>
        <w:rPr>
          <w:snapToGrid/>
        </w:rPr>
        <w:t>129.</w:t>
      </w:r>
      <w:r>
        <w:rPr>
          <w:rFonts w:hint="eastAsia"/>
          <w:snapToGrid/>
        </w:rPr>
        <w:t xml:space="preserve">  </w:t>
      </w:r>
      <w:r>
        <w:rPr>
          <w:snapToGrid/>
        </w:rPr>
        <w:t>在国家现代化的领域中，性别</w:t>
      </w:r>
      <w:r>
        <w:rPr>
          <w:rFonts w:hint="eastAsia"/>
          <w:snapToGrid/>
        </w:rPr>
        <w:t>问</w:t>
      </w:r>
      <w:r>
        <w:rPr>
          <w:snapToGrid/>
        </w:rPr>
        <w:t>题</w:t>
      </w:r>
      <w:r>
        <w:rPr>
          <w:rFonts w:hint="eastAsia"/>
          <w:snapToGrid/>
        </w:rPr>
        <w:t>正在</w:t>
      </w:r>
      <w:r>
        <w:rPr>
          <w:snapToGrid/>
        </w:rPr>
        <w:t>逐步地融入国家体制结构</w:t>
      </w:r>
      <w:r>
        <w:rPr>
          <w:rFonts w:hint="eastAsia"/>
          <w:snapToGrid/>
        </w:rPr>
        <w:t>之中</w:t>
      </w:r>
      <w:r>
        <w:rPr>
          <w:snapToGrid/>
        </w:rPr>
        <w:t>。这</w:t>
      </w:r>
      <w:r>
        <w:rPr>
          <w:rFonts w:hint="eastAsia"/>
          <w:snapToGrid/>
        </w:rPr>
        <w:t>方面存在一种</w:t>
      </w:r>
      <w:r>
        <w:rPr>
          <w:snapToGrid/>
        </w:rPr>
        <w:t>平等和多元化</w:t>
      </w:r>
      <w:r>
        <w:rPr>
          <w:rFonts w:hint="eastAsia"/>
          <w:snapToGrid/>
        </w:rPr>
        <w:t>的氛围正</w:t>
      </w:r>
      <w:r>
        <w:rPr>
          <w:snapToGrid/>
        </w:rPr>
        <w:t>逐步地在</w:t>
      </w:r>
      <w:r>
        <w:rPr>
          <w:rFonts w:hint="eastAsia"/>
          <w:snapToGrid/>
        </w:rPr>
        <w:t>政府</w:t>
      </w:r>
      <w:r>
        <w:rPr>
          <w:snapToGrid/>
        </w:rPr>
        <w:t>政策中得到体现，从而</w:t>
      </w:r>
      <w:r>
        <w:rPr>
          <w:rFonts w:hint="eastAsia"/>
          <w:snapToGrid/>
        </w:rPr>
        <w:t>可</w:t>
      </w:r>
      <w:r>
        <w:rPr>
          <w:snapToGrid/>
        </w:rPr>
        <w:t>使政府各部、公共服务部门和国</w:t>
      </w:r>
      <w:r>
        <w:rPr>
          <w:rFonts w:hint="eastAsia"/>
          <w:snapToGrid/>
        </w:rPr>
        <w:t>营</w:t>
      </w:r>
      <w:r>
        <w:rPr>
          <w:snapToGrid/>
        </w:rPr>
        <w:t>企业采取</w:t>
      </w:r>
      <w:r>
        <w:rPr>
          <w:rFonts w:hint="eastAsia"/>
          <w:snapToGrid/>
        </w:rPr>
        <w:t>的措施</w:t>
      </w:r>
      <w:r>
        <w:rPr>
          <w:snapToGrid/>
        </w:rPr>
        <w:t>更</w:t>
      </w:r>
      <w:r>
        <w:rPr>
          <w:rFonts w:hint="eastAsia"/>
          <w:snapToGrid/>
        </w:rPr>
        <w:t>加得体</w:t>
      </w:r>
      <w:r>
        <w:rPr>
          <w:snapToGrid/>
        </w:rPr>
        <w:t>有效。</w:t>
      </w:r>
    </w:p>
    <w:p w:rsidR="00000000" w:rsidRDefault="009C1C61">
      <w:pPr>
        <w:rPr>
          <w:snapToGrid/>
        </w:rPr>
      </w:pPr>
      <w:r>
        <w:rPr>
          <w:rFonts w:hint="eastAsia"/>
          <w:snapToGrid/>
        </w:rPr>
        <w:tab/>
      </w:r>
      <w:r>
        <w:rPr>
          <w:snapToGrid/>
        </w:rPr>
        <w:t xml:space="preserve">130. </w:t>
      </w:r>
      <w:r>
        <w:rPr>
          <w:rFonts w:hint="eastAsia"/>
          <w:snapToGrid/>
        </w:rPr>
        <w:t xml:space="preserve"> </w:t>
      </w:r>
      <w:r>
        <w:rPr>
          <w:rFonts w:hint="eastAsia"/>
          <w:snapToGrid/>
        </w:rPr>
        <w:t>让</w:t>
      </w:r>
      <w:r>
        <w:rPr>
          <w:snapToGrid/>
        </w:rPr>
        <w:t>妇女</w:t>
      </w:r>
      <w:r>
        <w:rPr>
          <w:rFonts w:hint="eastAsia"/>
          <w:snapToGrid/>
        </w:rPr>
        <w:t>进</w:t>
      </w:r>
      <w:r>
        <w:rPr>
          <w:snapToGrid/>
        </w:rPr>
        <w:t>入国家管理层的</w:t>
      </w:r>
      <w:r>
        <w:rPr>
          <w:rFonts w:hint="eastAsia"/>
          <w:snapToGrid/>
        </w:rPr>
        <w:t>工作已经进行了很长时间</w:t>
      </w:r>
      <w:r>
        <w:rPr>
          <w:snapToGrid/>
        </w:rPr>
        <w:t>。最初采取的步骤是将这一</w:t>
      </w:r>
      <w:r>
        <w:rPr>
          <w:rFonts w:hint="eastAsia"/>
          <w:snapToGrid/>
        </w:rPr>
        <w:t>工作列</w:t>
      </w:r>
      <w:r>
        <w:rPr>
          <w:snapToGrid/>
        </w:rPr>
        <w:t>入初级公共议程，然后列入</w:t>
      </w:r>
      <w:r>
        <w:rPr>
          <w:rFonts w:hint="eastAsia"/>
          <w:snapToGrid/>
        </w:rPr>
        <w:t>机构</w:t>
      </w:r>
      <w:r>
        <w:rPr>
          <w:snapToGrid/>
        </w:rPr>
        <w:t>议</w:t>
      </w:r>
      <w:r>
        <w:rPr>
          <w:snapToGrid/>
        </w:rPr>
        <w:t>程，着手建立</w:t>
      </w:r>
      <w:r>
        <w:rPr>
          <w:rFonts w:hint="eastAsia"/>
          <w:snapToGrid/>
        </w:rPr>
        <w:t>专</w:t>
      </w:r>
      <w:r>
        <w:rPr>
          <w:snapToGrid/>
        </w:rPr>
        <w:t>管妇女事务的</w:t>
      </w:r>
      <w:r>
        <w:rPr>
          <w:rFonts w:hint="eastAsia"/>
          <w:snapToGrid/>
        </w:rPr>
        <w:t>机构</w:t>
      </w:r>
      <w:r>
        <w:rPr>
          <w:snapToGrid/>
        </w:rPr>
        <w:t>体制</w:t>
      </w:r>
      <w:r>
        <w:rPr>
          <w:snapToGrid/>
        </w:rPr>
        <w:t>(</w:t>
      </w:r>
      <w:r>
        <w:rPr>
          <w:snapToGrid/>
        </w:rPr>
        <w:t>诸如全国妇女服务</w:t>
      </w:r>
      <w:r>
        <w:rPr>
          <w:rFonts w:hint="eastAsia"/>
          <w:snapToGrid/>
        </w:rPr>
        <w:t>署</w:t>
      </w:r>
      <w:r>
        <w:rPr>
          <w:snapToGrid/>
        </w:rPr>
        <w:t>)</w:t>
      </w:r>
      <w:r>
        <w:rPr>
          <w:snapToGrid/>
        </w:rPr>
        <w:t>。目前，整个国家机制面临的一项挑战是，</w:t>
      </w:r>
      <w:r>
        <w:rPr>
          <w:rFonts w:hint="eastAsia"/>
          <w:snapToGrid/>
        </w:rPr>
        <w:t>使</w:t>
      </w:r>
      <w:r>
        <w:rPr>
          <w:snapToGrid/>
        </w:rPr>
        <w:t>妇女</w:t>
      </w:r>
      <w:r>
        <w:rPr>
          <w:rFonts w:hint="eastAsia"/>
          <w:snapToGrid/>
        </w:rPr>
        <w:t>能够</w:t>
      </w:r>
      <w:r>
        <w:rPr>
          <w:snapToGrid/>
        </w:rPr>
        <w:t>承担并</w:t>
      </w:r>
      <w:r>
        <w:rPr>
          <w:rFonts w:hint="eastAsia"/>
          <w:snapToGrid/>
        </w:rPr>
        <w:t>扩大</w:t>
      </w:r>
      <w:r>
        <w:rPr>
          <w:snapToGrid/>
        </w:rPr>
        <w:t>规划和管理</w:t>
      </w:r>
      <w:r>
        <w:rPr>
          <w:rFonts w:hint="eastAsia"/>
          <w:snapToGrid/>
        </w:rPr>
        <w:t>方面</w:t>
      </w:r>
      <w:r>
        <w:rPr>
          <w:snapToGrid/>
        </w:rPr>
        <w:t>的</w:t>
      </w:r>
      <w:r>
        <w:rPr>
          <w:rFonts w:hint="eastAsia"/>
          <w:snapToGrid/>
        </w:rPr>
        <w:t>具体义务</w:t>
      </w:r>
      <w:r>
        <w:rPr>
          <w:snapToGrid/>
        </w:rPr>
        <w:t>和责任，由此克服基于性别的歧视，从而</w:t>
      </w:r>
      <w:r>
        <w:rPr>
          <w:rFonts w:hint="eastAsia"/>
          <w:snapToGrid/>
        </w:rPr>
        <w:t>基于</w:t>
      </w:r>
      <w:r>
        <w:rPr>
          <w:snapToGrid/>
        </w:rPr>
        <w:t>名副其实的公民</w:t>
      </w:r>
      <w:r>
        <w:rPr>
          <w:rFonts w:hint="eastAsia"/>
          <w:snapToGrid/>
        </w:rPr>
        <w:t>地位，</w:t>
      </w:r>
      <w:r>
        <w:rPr>
          <w:snapToGrid/>
        </w:rPr>
        <w:t>促进国家的发展。</w:t>
      </w:r>
    </w:p>
    <w:p w:rsidR="00000000" w:rsidRDefault="009C1C61">
      <w:pPr>
        <w:rPr>
          <w:snapToGrid/>
        </w:rPr>
      </w:pPr>
      <w:r>
        <w:rPr>
          <w:rFonts w:hint="eastAsia"/>
          <w:snapToGrid/>
        </w:rPr>
        <w:tab/>
      </w:r>
      <w:r>
        <w:rPr>
          <w:snapToGrid/>
        </w:rPr>
        <w:t>131.</w:t>
      </w:r>
      <w:r>
        <w:rPr>
          <w:rFonts w:hint="eastAsia"/>
          <w:snapToGrid/>
        </w:rPr>
        <w:t xml:space="preserve">  </w:t>
      </w:r>
      <w:r>
        <w:rPr>
          <w:snapToGrid/>
        </w:rPr>
        <w:t>在现代化的进程中融入性别</w:t>
      </w:r>
      <w:r>
        <w:rPr>
          <w:rFonts w:hint="eastAsia"/>
          <w:snapToGrid/>
        </w:rPr>
        <w:t>公</w:t>
      </w:r>
      <w:r>
        <w:rPr>
          <w:snapToGrid/>
        </w:rPr>
        <w:t>平观意味着，对</w:t>
      </w:r>
      <w:r>
        <w:rPr>
          <w:rFonts w:hint="eastAsia"/>
          <w:snapToGrid/>
        </w:rPr>
        <w:t>国家实体</w:t>
      </w:r>
      <w:r>
        <w:rPr>
          <w:snapToGrid/>
        </w:rPr>
        <w:t>内部管理的一些核心成分实行变革。这些成分不仅应当在法律上是正确的，而且还得</w:t>
      </w:r>
      <w:r>
        <w:rPr>
          <w:rFonts w:hint="eastAsia"/>
          <w:snapToGrid/>
        </w:rPr>
        <w:t>具备</w:t>
      </w:r>
      <w:r>
        <w:rPr>
          <w:snapToGrid/>
        </w:rPr>
        <w:t>促进整个国家管理体制革新进程的性质。这就意味着实行政府高层决策机构的变革。为此，设立平等机会问题部长</w:t>
      </w:r>
      <w:r>
        <w:rPr>
          <w:rFonts w:hint="eastAsia"/>
          <w:snapToGrid/>
        </w:rPr>
        <w:t>理事</w:t>
      </w:r>
      <w:r>
        <w:rPr>
          <w:snapToGrid/>
        </w:rPr>
        <w:t>会</w:t>
      </w:r>
      <w:r>
        <w:rPr>
          <w:rFonts w:hint="eastAsia"/>
          <w:snapToGrid/>
        </w:rPr>
        <w:t>，是朝前迈出的一个</w:t>
      </w:r>
      <w:r>
        <w:rPr>
          <w:snapToGrid/>
        </w:rPr>
        <w:t>极重大</w:t>
      </w:r>
      <w:r>
        <w:rPr>
          <w:rFonts w:hint="eastAsia"/>
          <w:snapToGrid/>
        </w:rPr>
        <w:t>步</w:t>
      </w:r>
      <w:r>
        <w:rPr>
          <w:snapToGrid/>
        </w:rPr>
        <w:t>骤。在</w:t>
      </w:r>
      <w:r>
        <w:rPr>
          <w:rFonts w:hint="eastAsia"/>
          <w:snapToGrid/>
        </w:rPr>
        <w:t>此</w:t>
      </w:r>
      <w:r>
        <w:rPr>
          <w:snapToGrid/>
        </w:rPr>
        <w:t>期间已实现的另</w:t>
      </w:r>
      <w:r>
        <w:rPr>
          <w:rFonts w:hint="eastAsia"/>
          <w:snapToGrid/>
        </w:rPr>
        <w:t>一</w:t>
      </w:r>
      <w:r>
        <w:rPr>
          <w:snapToGrid/>
        </w:rPr>
        <w:t>项变革是，对管理层某些</w:t>
      </w:r>
      <w:r>
        <w:rPr>
          <w:rFonts w:hint="eastAsia"/>
          <w:snapToGrid/>
        </w:rPr>
        <w:t>特定成份</w:t>
      </w:r>
      <w:r>
        <w:rPr>
          <w:snapToGrid/>
        </w:rPr>
        <w:t>实</w:t>
      </w:r>
      <w:r>
        <w:rPr>
          <w:rFonts w:hint="eastAsia"/>
          <w:snapToGrid/>
        </w:rPr>
        <w:t>行</w:t>
      </w:r>
      <w:r>
        <w:rPr>
          <w:snapToGrid/>
        </w:rPr>
        <w:t>了变革</w:t>
      </w:r>
      <w:r>
        <w:rPr>
          <w:rFonts w:hint="eastAsia"/>
          <w:snapToGrid/>
        </w:rPr>
        <w:t>，成为我</w:t>
      </w:r>
      <w:r>
        <w:rPr>
          <w:snapToGrid/>
        </w:rPr>
        <w:t>国前所未</w:t>
      </w:r>
      <w:r>
        <w:rPr>
          <w:rFonts w:hint="eastAsia"/>
          <w:snapToGrid/>
        </w:rPr>
        <w:t>有地向</w:t>
      </w:r>
      <w:r>
        <w:rPr>
          <w:snapToGrid/>
        </w:rPr>
        <w:t>前推进的</w:t>
      </w:r>
      <w:r>
        <w:rPr>
          <w:rFonts w:hint="eastAsia"/>
          <w:snapToGrid/>
        </w:rPr>
        <w:t>一</w:t>
      </w:r>
      <w:r>
        <w:rPr>
          <w:snapToGrid/>
        </w:rPr>
        <w:t>步。</w:t>
      </w:r>
    </w:p>
    <w:p w:rsidR="00000000" w:rsidRDefault="009C1C61">
      <w:pPr>
        <w:rPr>
          <w:rFonts w:hint="eastAsia"/>
          <w:snapToGrid/>
        </w:rPr>
      </w:pPr>
      <w:r>
        <w:rPr>
          <w:rFonts w:hint="eastAsia"/>
          <w:snapToGrid/>
        </w:rPr>
        <w:tab/>
      </w:r>
      <w:r>
        <w:rPr>
          <w:snapToGrid/>
        </w:rPr>
        <w:t>132.</w:t>
      </w:r>
      <w:r>
        <w:rPr>
          <w:rFonts w:hint="eastAsia"/>
          <w:snapToGrid/>
        </w:rPr>
        <w:t xml:space="preserve">  </w:t>
      </w:r>
      <w:r>
        <w:rPr>
          <w:snapToGrid/>
        </w:rPr>
        <w:t>机会平等问题部长</w:t>
      </w:r>
      <w:r>
        <w:rPr>
          <w:rFonts w:hint="eastAsia"/>
          <w:snapToGrid/>
        </w:rPr>
        <w:t>理事会</w:t>
      </w:r>
      <w:r>
        <w:rPr>
          <w:rFonts w:hint="eastAsia"/>
          <w:snapToGrid/>
        </w:rPr>
        <w:t xml:space="preserve"> </w:t>
      </w:r>
      <w:r>
        <w:rPr>
          <w:rStyle w:val="FootnoteReference"/>
          <w:snapToGrid/>
        </w:rPr>
        <w:footnoteReference w:id="38"/>
      </w:r>
      <w:r>
        <w:rPr>
          <w:rFonts w:hint="eastAsia"/>
          <w:snapToGrid/>
        </w:rPr>
        <w:t xml:space="preserve"> </w:t>
      </w:r>
      <w:r>
        <w:rPr>
          <w:snapToGrid/>
        </w:rPr>
        <w:t>负责监督和实施</w:t>
      </w:r>
      <w:r>
        <w:rPr>
          <w:rFonts w:hint="eastAsia"/>
          <w:snapToGrid/>
        </w:rPr>
        <w:t>“</w:t>
      </w:r>
      <w:r>
        <w:rPr>
          <w:snapToGrid/>
        </w:rPr>
        <w:t>机会平等计划</w:t>
      </w:r>
      <w:r>
        <w:rPr>
          <w:rFonts w:hint="eastAsia"/>
          <w:snapToGrid/>
        </w:rPr>
        <w:t>”</w:t>
      </w:r>
      <w:r>
        <w:rPr>
          <w:snapToGrid/>
        </w:rPr>
        <w:t>，</w:t>
      </w:r>
      <w:r>
        <w:rPr>
          <w:rFonts w:hint="eastAsia"/>
          <w:snapToGrid/>
        </w:rPr>
        <w:t>将</w:t>
      </w:r>
      <w:r>
        <w:rPr>
          <w:snapToGrid/>
        </w:rPr>
        <w:t>含有性别平等内容的具体政策</w:t>
      </w:r>
      <w:r>
        <w:rPr>
          <w:rFonts w:hint="eastAsia"/>
          <w:snapToGrid/>
        </w:rPr>
        <w:t>融入</w:t>
      </w:r>
      <w:r>
        <w:rPr>
          <w:snapToGrid/>
        </w:rPr>
        <w:t>政府各部和国家服务部门</w:t>
      </w:r>
      <w:r>
        <w:rPr>
          <w:rFonts w:hint="eastAsia"/>
          <w:snapToGrid/>
        </w:rPr>
        <w:t>以</w:t>
      </w:r>
      <w:r>
        <w:rPr>
          <w:snapToGrid/>
        </w:rPr>
        <w:t>及</w:t>
      </w:r>
      <w:r>
        <w:rPr>
          <w:rFonts w:hint="eastAsia"/>
          <w:snapToGrid/>
        </w:rPr>
        <w:t>各个</w:t>
      </w:r>
      <w:r>
        <w:rPr>
          <w:snapToGrid/>
        </w:rPr>
        <w:t>企业。</w:t>
      </w:r>
      <w:r>
        <w:rPr>
          <w:rFonts w:hint="eastAsia"/>
          <w:snapToGrid/>
        </w:rPr>
        <w:t>委员</w:t>
      </w:r>
      <w:r>
        <w:rPr>
          <w:snapToGrid/>
        </w:rPr>
        <w:t>会的设立</w:t>
      </w:r>
      <w:r>
        <w:rPr>
          <w:rFonts w:hint="eastAsia"/>
          <w:snapToGrid/>
        </w:rPr>
        <w:t>使</w:t>
      </w:r>
      <w:r>
        <w:rPr>
          <w:snapToGrid/>
        </w:rPr>
        <w:t>国家实体</w:t>
      </w:r>
      <w:r>
        <w:rPr>
          <w:rFonts w:hint="eastAsia"/>
          <w:snapToGrid/>
        </w:rPr>
        <w:t>采纳</w:t>
      </w:r>
      <w:r>
        <w:rPr>
          <w:snapToGrid/>
        </w:rPr>
        <w:t>机会</w:t>
      </w:r>
      <w:r>
        <w:rPr>
          <w:rFonts w:hint="eastAsia"/>
          <w:snapToGrid/>
        </w:rPr>
        <w:t>平</w:t>
      </w:r>
      <w:r>
        <w:rPr>
          <w:snapToGrid/>
        </w:rPr>
        <w:t>等</w:t>
      </w:r>
      <w:r>
        <w:rPr>
          <w:rFonts w:hint="eastAsia"/>
          <w:snapToGrid/>
        </w:rPr>
        <w:t>政策的工作得以实现</w:t>
      </w:r>
      <w:r>
        <w:rPr>
          <w:snapToGrid/>
        </w:rPr>
        <w:t>质</w:t>
      </w:r>
      <w:r>
        <w:rPr>
          <w:rFonts w:hint="eastAsia"/>
          <w:snapToGrid/>
        </w:rPr>
        <w:t>的飞跃</w:t>
      </w:r>
      <w:r>
        <w:rPr>
          <w:snapToGrid/>
        </w:rPr>
        <w:t>；</w:t>
      </w:r>
      <w:r>
        <w:rPr>
          <w:rFonts w:hint="eastAsia"/>
          <w:snapToGrid/>
        </w:rPr>
        <w:t>首次</w:t>
      </w:r>
      <w:r>
        <w:rPr>
          <w:snapToGrid/>
        </w:rPr>
        <w:t>将机会</w:t>
      </w:r>
      <w:r>
        <w:rPr>
          <w:rFonts w:hint="eastAsia"/>
          <w:snapToGrid/>
        </w:rPr>
        <w:t>平</w:t>
      </w:r>
      <w:r>
        <w:rPr>
          <w:snapToGrid/>
        </w:rPr>
        <w:t>等问题</w:t>
      </w:r>
      <w:r>
        <w:rPr>
          <w:rFonts w:hint="eastAsia"/>
          <w:snapToGrid/>
        </w:rPr>
        <w:t>作为</w:t>
      </w:r>
      <w:r>
        <w:rPr>
          <w:snapToGrid/>
        </w:rPr>
        <w:t>国家事务</w:t>
      </w:r>
      <w:r>
        <w:rPr>
          <w:rFonts w:hint="eastAsia"/>
          <w:snapToGrid/>
        </w:rPr>
        <w:t>对待</w:t>
      </w:r>
      <w:r>
        <w:rPr>
          <w:snapToGrid/>
        </w:rPr>
        <w:t>。例如，</w:t>
      </w:r>
      <w:r>
        <w:rPr>
          <w:snapToGrid/>
        </w:rPr>
        <w:t>2002</w:t>
      </w:r>
      <w:r>
        <w:rPr>
          <w:snapToGrid/>
        </w:rPr>
        <w:t>年</w:t>
      </w:r>
      <w:r>
        <w:rPr>
          <w:snapToGrid/>
        </w:rPr>
        <w:t>3</w:t>
      </w:r>
      <w:r>
        <w:rPr>
          <w:snapToGrid/>
        </w:rPr>
        <w:t>月部长</w:t>
      </w:r>
      <w:r>
        <w:rPr>
          <w:rFonts w:hint="eastAsia"/>
          <w:snapToGrid/>
        </w:rPr>
        <w:t>理事会</w:t>
      </w:r>
      <w:r>
        <w:rPr>
          <w:snapToGrid/>
        </w:rPr>
        <w:t>下属</w:t>
      </w:r>
      <w:r>
        <w:rPr>
          <w:rFonts w:hint="eastAsia"/>
          <w:snapToGrid/>
        </w:rPr>
        <w:t>的</w:t>
      </w:r>
      <w:r>
        <w:rPr>
          <w:snapToGrid/>
        </w:rPr>
        <w:t>所有各成员机构</w:t>
      </w:r>
      <w:r>
        <w:rPr>
          <w:rFonts w:hint="eastAsia"/>
          <w:snapToGrid/>
        </w:rPr>
        <w:t>均承担</w:t>
      </w:r>
      <w:r>
        <w:rPr>
          <w:snapToGrid/>
        </w:rPr>
        <w:t>了这方面</w:t>
      </w:r>
      <w:r>
        <w:rPr>
          <w:rFonts w:hint="eastAsia"/>
          <w:snapToGrid/>
        </w:rPr>
        <w:t>的</w:t>
      </w:r>
      <w:r>
        <w:rPr>
          <w:snapToGrid/>
        </w:rPr>
        <w:t>公共</w:t>
      </w:r>
      <w:r>
        <w:rPr>
          <w:rFonts w:hint="eastAsia"/>
          <w:snapToGrid/>
        </w:rPr>
        <w:t>义务</w:t>
      </w:r>
      <w:r>
        <w:rPr>
          <w:snapToGrid/>
        </w:rPr>
        <w:t>；随后，</w:t>
      </w:r>
      <w:r>
        <w:rPr>
          <w:rFonts w:hint="eastAsia"/>
          <w:snapToGrid/>
        </w:rPr>
        <w:t>审查了</w:t>
      </w:r>
      <w:r>
        <w:rPr>
          <w:snapToGrid/>
        </w:rPr>
        <w:t>一项</w:t>
      </w:r>
      <w:r>
        <w:rPr>
          <w:rFonts w:hint="eastAsia"/>
          <w:snapToGrid/>
        </w:rPr>
        <w:t>业已</w:t>
      </w:r>
      <w:r>
        <w:rPr>
          <w:snapToGrid/>
        </w:rPr>
        <w:t>采取</w:t>
      </w:r>
      <w:r>
        <w:rPr>
          <w:rFonts w:hint="eastAsia"/>
          <w:snapToGrid/>
        </w:rPr>
        <w:t>的行动</w:t>
      </w:r>
      <w:r>
        <w:rPr>
          <w:snapToGrid/>
        </w:rPr>
        <w:t>。</w:t>
      </w:r>
    </w:p>
    <w:p w:rsidR="00000000" w:rsidRDefault="009C1C61">
      <w:pPr>
        <w:rPr>
          <w:rFonts w:hint="eastAsia"/>
          <w:snapToGrid/>
        </w:rPr>
      </w:pPr>
      <w:r>
        <w:rPr>
          <w:rFonts w:hint="eastAsia"/>
          <w:snapToGrid/>
        </w:rPr>
        <w:tab/>
      </w:r>
      <w:r>
        <w:rPr>
          <w:snapToGrid/>
        </w:rPr>
        <w:t>133.</w:t>
      </w:r>
      <w:r>
        <w:rPr>
          <w:rFonts w:hint="eastAsia"/>
          <w:snapToGrid/>
        </w:rPr>
        <w:t xml:space="preserve">  </w:t>
      </w:r>
      <w:r>
        <w:rPr>
          <w:rFonts w:hint="eastAsia"/>
          <w:snapToGrid/>
        </w:rPr>
        <w:t>理事会</w:t>
      </w:r>
      <w:r>
        <w:rPr>
          <w:snapToGrid/>
        </w:rPr>
        <w:t>由下列各方面的成员组成：总统秘书长办公厅</w:t>
      </w:r>
      <w:r>
        <w:rPr>
          <w:snapToGrid/>
        </w:rPr>
        <w:t>(</w:t>
      </w:r>
      <w:r>
        <w:rPr>
          <w:snapToGrid/>
        </w:rPr>
        <w:t>负责主持会议</w:t>
      </w:r>
      <w:r>
        <w:rPr>
          <w:snapToGrid/>
        </w:rPr>
        <w:t>)</w:t>
      </w:r>
      <w:r>
        <w:rPr>
          <w:snapToGrid/>
        </w:rPr>
        <w:t>；经济、</w:t>
      </w:r>
      <w:r>
        <w:rPr>
          <w:snapToGrid/>
        </w:rPr>
        <w:t>发展和重建部；规划和合作部；卫生部；教育部；司法部；内务部；劳工和社会保险部；以及全国妇女服务</w:t>
      </w:r>
      <w:r>
        <w:rPr>
          <w:rFonts w:hint="eastAsia"/>
          <w:snapToGrid/>
        </w:rPr>
        <w:t>署</w:t>
      </w:r>
      <w:r>
        <w:rPr>
          <w:snapToGrid/>
        </w:rPr>
        <w:t>(</w:t>
      </w:r>
      <w:r>
        <w:rPr>
          <w:snapToGrid/>
        </w:rPr>
        <w:t>由</w:t>
      </w:r>
      <w:r>
        <w:rPr>
          <w:rFonts w:hint="eastAsia"/>
          <w:snapToGrid/>
        </w:rPr>
        <w:t>该署</w:t>
      </w:r>
      <w:r>
        <w:rPr>
          <w:snapToGrid/>
        </w:rPr>
        <w:t>执行秘书处代表</w:t>
      </w:r>
      <w:r>
        <w:rPr>
          <w:snapToGrid/>
        </w:rPr>
        <w:t>)</w:t>
      </w:r>
      <w:r>
        <w:rPr>
          <w:snapToGrid/>
        </w:rPr>
        <w:t>。此外，还有财政部预算局和总</w:t>
      </w:r>
      <w:r>
        <w:rPr>
          <w:rFonts w:hint="eastAsia"/>
          <w:snapToGrid/>
        </w:rPr>
        <w:t>统</w:t>
      </w:r>
      <w:r>
        <w:rPr>
          <w:snapToGrid/>
        </w:rPr>
        <w:t>秘书长办公厅的部际间协调处</w:t>
      </w:r>
      <w:r>
        <w:rPr>
          <w:rFonts w:hint="eastAsia"/>
          <w:snapToGrid/>
        </w:rPr>
        <w:t>作为观察员出席</w:t>
      </w:r>
      <w:r>
        <w:rPr>
          <w:snapToGrid/>
        </w:rPr>
        <w:t>。</w:t>
      </w:r>
    </w:p>
    <w:p w:rsidR="00000000" w:rsidRDefault="009C1C61">
      <w:pPr>
        <w:rPr>
          <w:snapToGrid/>
        </w:rPr>
      </w:pPr>
      <w:r>
        <w:rPr>
          <w:rFonts w:hint="eastAsia"/>
          <w:snapToGrid/>
        </w:rPr>
        <w:tab/>
      </w:r>
      <w:r>
        <w:rPr>
          <w:snapToGrid/>
        </w:rPr>
        <w:t>134.</w:t>
      </w:r>
      <w:r>
        <w:rPr>
          <w:rFonts w:hint="eastAsia"/>
          <w:snapToGrid/>
        </w:rPr>
        <w:t xml:space="preserve">  </w:t>
      </w:r>
      <w:r>
        <w:rPr>
          <w:snapToGrid/>
        </w:rPr>
        <w:t>国家管理层的变革</w:t>
      </w:r>
      <w:r>
        <w:rPr>
          <w:rFonts w:hint="eastAsia"/>
          <w:snapToGrid/>
        </w:rPr>
        <w:t>意味着要</w:t>
      </w:r>
      <w:r>
        <w:rPr>
          <w:snapToGrid/>
        </w:rPr>
        <w:t>逐步</w:t>
      </w:r>
      <w:r>
        <w:rPr>
          <w:rFonts w:hint="eastAsia"/>
          <w:snapToGrid/>
        </w:rPr>
        <w:t>纳</w:t>
      </w:r>
      <w:r>
        <w:rPr>
          <w:snapToGrid/>
        </w:rPr>
        <w:t>入</w:t>
      </w:r>
      <w:r>
        <w:rPr>
          <w:rFonts w:hint="eastAsia"/>
          <w:snapToGrid/>
        </w:rPr>
        <w:t>着眼</w:t>
      </w:r>
      <w:r>
        <w:rPr>
          <w:snapToGrid/>
        </w:rPr>
        <w:t>性别</w:t>
      </w:r>
      <w:r>
        <w:rPr>
          <w:rFonts w:hint="eastAsia"/>
          <w:snapToGrid/>
        </w:rPr>
        <w:t>公平的理念</w:t>
      </w:r>
      <w:r>
        <w:rPr>
          <w:snapToGrid/>
        </w:rPr>
        <w:t>。在拉戈斯总统</w:t>
      </w:r>
      <w:r>
        <w:rPr>
          <w:rFonts w:hint="eastAsia"/>
          <w:snapToGrid/>
        </w:rPr>
        <w:t>执政</w:t>
      </w:r>
      <w:r>
        <w:rPr>
          <w:snapToGrid/>
        </w:rPr>
        <w:t>期间</w:t>
      </w:r>
      <w:r>
        <w:rPr>
          <w:rFonts w:hint="eastAsia"/>
          <w:snapToGrid/>
        </w:rPr>
        <w:t>通过</w:t>
      </w:r>
      <w:r>
        <w:rPr>
          <w:snapToGrid/>
        </w:rPr>
        <w:t>运用</w:t>
      </w:r>
      <w:r>
        <w:rPr>
          <w:rFonts w:hint="eastAsia"/>
          <w:snapToGrid/>
        </w:rPr>
        <w:t>四种核心管理手段</w:t>
      </w:r>
      <w:r>
        <w:rPr>
          <w:snapToGrid/>
        </w:rPr>
        <w:t>加快推进了这一进程，</w:t>
      </w:r>
      <w:r>
        <w:rPr>
          <w:rFonts w:hint="eastAsia"/>
          <w:snapToGrid/>
        </w:rPr>
        <w:t>使着眼性别公平理念的法律问题获得了正式地位，并为着眼性别公平的理念融入预算定义的分析工作奠定了基础。这四种手段是：</w:t>
      </w:r>
    </w:p>
    <w:p w:rsidR="00000000" w:rsidRDefault="009C1C61">
      <w:pPr>
        <w:numPr>
          <w:ilvl w:val="0"/>
          <w:numId w:val="234"/>
        </w:numPr>
        <w:rPr>
          <w:rFonts w:hint="eastAsia"/>
          <w:snapToGrid/>
        </w:rPr>
      </w:pPr>
      <w:r>
        <w:rPr>
          <w:rFonts w:ascii="Time New Roman" w:eastAsia="SimHei" w:hAnsi="Time New Roman"/>
          <w:snapToGrid/>
        </w:rPr>
        <w:t>基本投资</w:t>
      </w:r>
      <w:r>
        <w:rPr>
          <w:rFonts w:ascii="Time New Roman" w:eastAsia="SimHei" w:hAnsi="Time New Roman" w:hint="eastAsia"/>
          <w:snapToGrid/>
        </w:rPr>
        <w:t>一般规划系统</w:t>
      </w:r>
      <w:r>
        <w:rPr>
          <w:rFonts w:ascii="Time New Roman" w:eastAsia="SimHei" w:hAnsi="Time New Roman"/>
          <w:snapToGrid/>
        </w:rPr>
        <w:t>(</w:t>
      </w:r>
      <w:r>
        <w:rPr>
          <w:rFonts w:ascii="Time New Roman" w:eastAsia="SimHei" w:hAnsi="Time New Roman" w:hint="eastAsia"/>
          <w:snapToGrid/>
        </w:rPr>
        <w:t>投资规划系统</w:t>
      </w:r>
      <w:r>
        <w:rPr>
          <w:rFonts w:ascii="Time New Roman" w:eastAsia="SimHei" w:hAnsi="Time New Roman"/>
          <w:snapToGrid/>
        </w:rPr>
        <w:t>)</w:t>
      </w:r>
      <w:r>
        <w:rPr>
          <w:snapToGrid/>
        </w:rPr>
        <w:t>，</w:t>
      </w:r>
      <w:r>
        <w:rPr>
          <w:rFonts w:hint="eastAsia"/>
          <w:snapToGrid/>
        </w:rPr>
        <w:t>由</w:t>
      </w:r>
      <w:r>
        <w:rPr>
          <w:snapToGrid/>
        </w:rPr>
        <w:t>规划部</w:t>
      </w:r>
      <w:r>
        <w:rPr>
          <w:snapToGrid/>
        </w:rPr>
        <w:t>(</w:t>
      </w:r>
      <w:r>
        <w:rPr>
          <w:rFonts w:hint="eastAsia"/>
          <w:snapToGrid/>
        </w:rPr>
        <w:t>规合部</w:t>
      </w:r>
      <w:r>
        <w:rPr>
          <w:snapToGrid/>
        </w:rPr>
        <w:t>)</w:t>
      </w:r>
      <w:r>
        <w:rPr>
          <w:snapToGrid/>
        </w:rPr>
        <w:t>协调</w:t>
      </w:r>
      <w:r>
        <w:rPr>
          <w:rFonts w:hint="eastAsia"/>
          <w:snapToGrid/>
        </w:rPr>
        <w:t>运作</w:t>
      </w:r>
      <w:r>
        <w:rPr>
          <w:snapToGrid/>
        </w:rPr>
        <w:t>的一</w:t>
      </w:r>
      <w:r>
        <w:rPr>
          <w:rFonts w:hint="eastAsia"/>
          <w:snapToGrid/>
        </w:rPr>
        <w:t>种</w:t>
      </w:r>
      <w:r>
        <w:rPr>
          <w:snapToGrid/>
        </w:rPr>
        <w:t>规</w:t>
      </w:r>
      <w:r>
        <w:rPr>
          <w:snapToGrid/>
        </w:rPr>
        <w:t>划</w:t>
      </w:r>
      <w:r>
        <w:rPr>
          <w:rFonts w:hint="eastAsia"/>
          <w:snapToGrid/>
        </w:rPr>
        <w:t>工具</w:t>
      </w:r>
      <w:r>
        <w:rPr>
          <w:snapToGrid/>
        </w:rPr>
        <w:t>。所有旨在</w:t>
      </w:r>
      <w:r>
        <w:rPr>
          <w:rFonts w:hint="eastAsia"/>
          <w:snapToGrid/>
        </w:rPr>
        <w:t>申请公共资金</w:t>
      </w:r>
      <w:r>
        <w:rPr>
          <w:snapToGrid/>
        </w:rPr>
        <w:t>的研究、方案及项目提案</w:t>
      </w:r>
      <w:r>
        <w:rPr>
          <w:rFonts w:hint="eastAsia"/>
          <w:snapToGrid/>
        </w:rPr>
        <w:t>，</w:t>
      </w:r>
      <w:r>
        <w:rPr>
          <w:snapToGrid/>
        </w:rPr>
        <w:t>都必须</w:t>
      </w:r>
      <w:r>
        <w:rPr>
          <w:rFonts w:hint="eastAsia"/>
          <w:snapToGrid/>
        </w:rPr>
        <w:t>每年以</w:t>
      </w:r>
      <w:r>
        <w:rPr>
          <w:snapToGrid/>
        </w:rPr>
        <w:t>投资</w:t>
      </w:r>
      <w:r>
        <w:rPr>
          <w:rFonts w:hint="eastAsia"/>
          <w:snapToGrid/>
        </w:rPr>
        <w:t>规划系统文</w:t>
      </w:r>
      <w:r>
        <w:rPr>
          <w:snapToGrid/>
        </w:rPr>
        <w:t>档的方式</w:t>
      </w:r>
      <w:r>
        <w:rPr>
          <w:rFonts w:hint="eastAsia"/>
          <w:snapToGrid/>
        </w:rPr>
        <w:t>提出来作</w:t>
      </w:r>
      <w:r>
        <w:rPr>
          <w:snapToGrid/>
        </w:rPr>
        <w:t>技术评估。</w:t>
      </w:r>
      <w:r>
        <w:rPr>
          <w:snapToGrid/>
        </w:rPr>
        <w:t>2001</w:t>
      </w:r>
      <w:r>
        <w:rPr>
          <w:snapToGrid/>
        </w:rPr>
        <w:t>年以来，性别关注问题已</w:t>
      </w:r>
      <w:r>
        <w:rPr>
          <w:rFonts w:hint="eastAsia"/>
          <w:snapToGrid/>
        </w:rPr>
        <w:t>列为一般</w:t>
      </w:r>
      <w:r>
        <w:rPr>
          <w:snapToGrid/>
        </w:rPr>
        <w:t>指</w:t>
      </w:r>
      <w:r>
        <w:rPr>
          <w:rFonts w:hint="eastAsia"/>
          <w:snapToGrid/>
        </w:rPr>
        <w:t>令的附件</w:t>
      </w:r>
      <w:r>
        <w:rPr>
          <w:snapToGrid/>
        </w:rPr>
        <w:t>，并设立了某些程序将性别</w:t>
      </w:r>
      <w:r>
        <w:rPr>
          <w:rFonts w:hint="eastAsia"/>
          <w:snapToGrid/>
        </w:rPr>
        <w:t>公</w:t>
      </w:r>
      <w:r>
        <w:rPr>
          <w:snapToGrid/>
        </w:rPr>
        <w:t>平观</w:t>
      </w:r>
      <w:r>
        <w:rPr>
          <w:rFonts w:hint="eastAsia"/>
          <w:snapToGrid/>
        </w:rPr>
        <w:t>纳</w:t>
      </w:r>
      <w:r>
        <w:rPr>
          <w:snapToGrid/>
        </w:rPr>
        <w:t>入</w:t>
      </w:r>
      <w:r>
        <w:rPr>
          <w:rFonts w:hint="eastAsia"/>
          <w:snapToGrid/>
        </w:rPr>
        <w:t>确定</w:t>
      </w:r>
      <w:r>
        <w:rPr>
          <w:snapToGrid/>
        </w:rPr>
        <w:t>方案受惠</w:t>
      </w:r>
      <w:r>
        <w:rPr>
          <w:rFonts w:hint="eastAsia"/>
          <w:snapToGrid/>
        </w:rPr>
        <w:t>人</w:t>
      </w:r>
      <w:r>
        <w:rPr>
          <w:snapToGrid/>
        </w:rPr>
        <w:t>以及说明</w:t>
      </w:r>
      <w:r>
        <w:rPr>
          <w:rFonts w:hint="eastAsia"/>
          <w:snapToGrid/>
        </w:rPr>
        <w:t>和论证方案的工作之中</w:t>
      </w:r>
      <w:r>
        <w:rPr>
          <w:snapToGrid/>
        </w:rPr>
        <w:t>；</w:t>
      </w:r>
    </w:p>
    <w:p w:rsidR="00000000" w:rsidRDefault="009C1C61">
      <w:pPr>
        <w:numPr>
          <w:ilvl w:val="0"/>
          <w:numId w:val="234"/>
        </w:numPr>
        <w:rPr>
          <w:snapToGrid/>
        </w:rPr>
      </w:pPr>
      <w:r>
        <w:rPr>
          <w:rFonts w:ascii="Time New Roman" w:eastAsia="SimHei" w:hAnsi="Time New Roman" w:hint="eastAsia"/>
          <w:snapToGrid/>
        </w:rPr>
        <w:t>管理改善方案</w:t>
      </w:r>
      <w:r>
        <w:rPr>
          <w:rFonts w:ascii="Time New Roman" w:eastAsia="SimHei" w:hAnsi="Time New Roman"/>
          <w:snapToGrid/>
        </w:rPr>
        <w:t>(</w:t>
      </w:r>
      <w:r>
        <w:rPr>
          <w:rFonts w:ascii="Time New Roman" w:eastAsia="SimHei" w:hAnsi="Time New Roman" w:hint="eastAsia"/>
          <w:snapToGrid/>
        </w:rPr>
        <w:t>管改方案</w:t>
      </w:r>
      <w:r>
        <w:rPr>
          <w:rFonts w:ascii="Time New Roman" w:eastAsia="SimHei" w:hAnsi="Time New Roman" w:hint="eastAsia"/>
          <w:snapToGrid/>
        </w:rPr>
        <w:t>)</w:t>
      </w:r>
      <w:r>
        <w:rPr>
          <w:rFonts w:ascii="Time New Roman" w:eastAsia="SimHei" w:hAnsi="Time New Roman" w:hint="eastAsia"/>
          <w:snapToGrid/>
        </w:rPr>
        <w:t>是由财政部协调的方案</w:t>
      </w:r>
      <w:r>
        <w:rPr>
          <w:rFonts w:hint="eastAsia"/>
          <w:snapToGrid/>
        </w:rPr>
        <w:t>。这是一个资金性质的体制性奖励方案，奖励那些实施方案内容或遵从具体要求的国家公务员。此种管改方案由不同部门依据一个共同的框架分别制定，这个框架涉及所有有关机构都须改善管理的一系列领域从而成为制订方案的大纲。</w:t>
      </w:r>
      <w:r>
        <w:rPr>
          <w:snapToGrid/>
        </w:rPr>
        <w:t>2001</w:t>
      </w:r>
      <w:r>
        <w:rPr>
          <w:snapToGrid/>
        </w:rPr>
        <w:t>年期间决定</w:t>
      </w:r>
      <w:r>
        <w:rPr>
          <w:rFonts w:hint="eastAsia"/>
          <w:snapToGrid/>
        </w:rPr>
        <w:t>在编制</w:t>
      </w:r>
      <w:r>
        <w:rPr>
          <w:snapToGrid/>
        </w:rPr>
        <w:t>200</w:t>
      </w:r>
      <w:r>
        <w:rPr>
          <w:snapToGrid/>
        </w:rPr>
        <w:t>2</w:t>
      </w:r>
      <w:r>
        <w:rPr>
          <w:snapToGrid/>
        </w:rPr>
        <w:t>年</w:t>
      </w:r>
      <w:r>
        <w:rPr>
          <w:rFonts w:hint="eastAsia"/>
          <w:snapToGrid/>
        </w:rPr>
        <w:t>预算时，在管改方案中列入一项称为“性别公平”的</w:t>
      </w:r>
      <w:r>
        <w:rPr>
          <w:snapToGrid/>
        </w:rPr>
        <w:t>新制</w:t>
      </w:r>
      <w:r>
        <w:rPr>
          <w:rFonts w:hint="eastAsia"/>
          <w:snapToGrid/>
        </w:rPr>
        <w:t>度</w:t>
      </w:r>
      <w:r>
        <w:rPr>
          <w:snapToGrid/>
        </w:rPr>
        <w:t>或</w:t>
      </w:r>
      <w:r>
        <w:rPr>
          <w:rFonts w:hint="eastAsia"/>
          <w:snapToGrid/>
        </w:rPr>
        <w:t>新</w:t>
      </w:r>
      <w:r>
        <w:rPr>
          <w:snapToGrid/>
        </w:rPr>
        <w:t>领域</w:t>
      </w:r>
      <w:r>
        <w:rPr>
          <w:rFonts w:hint="eastAsia"/>
          <w:snapToGrid/>
        </w:rPr>
        <w:t>，</w:t>
      </w:r>
      <w:r>
        <w:rPr>
          <w:snapToGrid/>
        </w:rPr>
        <w:t>目的</w:t>
      </w:r>
      <w:r>
        <w:rPr>
          <w:rFonts w:hint="eastAsia"/>
          <w:snapToGrid/>
        </w:rPr>
        <w:t>是要</w:t>
      </w:r>
      <w:r>
        <w:rPr>
          <w:snapToGrid/>
        </w:rPr>
        <w:t>使各机构</w:t>
      </w:r>
      <w:r>
        <w:rPr>
          <w:rFonts w:hint="eastAsia"/>
          <w:snapToGrid/>
        </w:rPr>
        <w:t>采用提倡和容许</w:t>
      </w:r>
      <w:r>
        <w:rPr>
          <w:snapToGrid/>
        </w:rPr>
        <w:t>男女</w:t>
      </w:r>
      <w:r>
        <w:rPr>
          <w:rFonts w:hint="eastAsia"/>
          <w:snapToGrid/>
        </w:rPr>
        <w:t>在创造成果方面享有</w:t>
      </w:r>
      <w:r>
        <w:rPr>
          <w:snapToGrid/>
        </w:rPr>
        <w:t>平等机会</w:t>
      </w:r>
      <w:r>
        <w:rPr>
          <w:rFonts w:hint="eastAsia"/>
          <w:snapToGrid/>
        </w:rPr>
        <w:t>的程序</w:t>
      </w:r>
      <w:r>
        <w:rPr>
          <w:snapToGrid/>
        </w:rPr>
        <w:t>。妇女服务</w:t>
      </w:r>
      <w:r>
        <w:rPr>
          <w:rFonts w:hint="eastAsia"/>
          <w:snapToGrid/>
        </w:rPr>
        <w:t>署负责支持这一体制的社会化，规定核查手段，为各机构提供技术咨询，并对程序目标进行技术认证。</w:t>
      </w:r>
    </w:p>
    <w:p w:rsidR="00000000" w:rsidRDefault="009C1C61">
      <w:pPr>
        <w:numPr>
          <w:ilvl w:val="0"/>
          <w:numId w:val="234"/>
        </w:numPr>
        <w:rPr>
          <w:rFonts w:hint="eastAsia"/>
          <w:snapToGrid/>
        </w:rPr>
      </w:pPr>
      <w:r>
        <w:rPr>
          <w:rFonts w:hint="eastAsia"/>
          <w:b/>
          <w:bCs/>
          <w:snapToGrid/>
        </w:rPr>
        <w:t>2</w:t>
      </w:r>
      <w:r>
        <w:rPr>
          <w:b/>
          <w:bCs/>
          <w:snapToGrid/>
        </w:rPr>
        <w:t>%</w:t>
      </w:r>
      <w:r>
        <w:rPr>
          <w:rFonts w:hint="eastAsia"/>
          <w:b/>
          <w:bCs/>
          <w:snapToGrid/>
        </w:rPr>
        <w:t>的偿债基金</w:t>
      </w:r>
      <w:r>
        <w:rPr>
          <w:snapToGrid/>
        </w:rPr>
        <w:t>。这项基金</w:t>
      </w:r>
      <w:r>
        <w:rPr>
          <w:rFonts w:hint="eastAsia"/>
          <w:snapToGrid/>
        </w:rPr>
        <w:t>是</w:t>
      </w:r>
      <w:r>
        <w:rPr>
          <w:snapToGrid/>
        </w:rPr>
        <w:t>财政部</w:t>
      </w:r>
      <w:r>
        <w:rPr>
          <w:rFonts w:hint="eastAsia"/>
          <w:snapToGrid/>
        </w:rPr>
        <w:t>内部编制</w:t>
      </w:r>
      <w:r>
        <w:rPr>
          <w:snapToGrid/>
        </w:rPr>
        <w:t>预算</w:t>
      </w:r>
      <w:r>
        <w:rPr>
          <w:rFonts w:hint="eastAsia"/>
          <w:snapToGrid/>
        </w:rPr>
        <w:t>工作的</w:t>
      </w:r>
      <w:r>
        <w:rPr>
          <w:snapToGrid/>
        </w:rPr>
        <w:t>一个协调</w:t>
      </w:r>
      <w:r>
        <w:rPr>
          <w:rFonts w:hint="eastAsia"/>
          <w:snapToGrid/>
        </w:rPr>
        <w:t>机构。关于</w:t>
      </w:r>
      <w:r>
        <w:rPr>
          <w:snapToGrid/>
        </w:rPr>
        <w:t>2001</w:t>
      </w:r>
      <w:r>
        <w:rPr>
          <w:snapToGrid/>
        </w:rPr>
        <w:t>年预算</w:t>
      </w:r>
      <w:r>
        <w:rPr>
          <w:rFonts w:hint="eastAsia"/>
          <w:snapToGrid/>
        </w:rPr>
        <w:t>编制</w:t>
      </w:r>
      <w:r>
        <w:rPr>
          <w:snapToGrid/>
        </w:rPr>
        <w:t>工作偿债基金的</w:t>
      </w:r>
      <w:r>
        <w:rPr>
          <w:rFonts w:hint="eastAsia"/>
          <w:snapToGrid/>
        </w:rPr>
        <w:t>指示中列入了按性别区分适用该基金的方案的受惠人的办法。</w:t>
      </w:r>
      <w:r>
        <w:rPr>
          <w:snapToGrid/>
        </w:rPr>
        <w:t>2002</w:t>
      </w:r>
      <w:r>
        <w:rPr>
          <w:snapToGrid/>
        </w:rPr>
        <w:t>年</w:t>
      </w:r>
      <w:r>
        <w:rPr>
          <w:rFonts w:hint="eastAsia"/>
          <w:snapToGrid/>
        </w:rPr>
        <w:t>同样</w:t>
      </w:r>
      <w:r>
        <w:rPr>
          <w:snapToGrid/>
        </w:rPr>
        <w:t>的</w:t>
      </w:r>
      <w:r>
        <w:rPr>
          <w:rFonts w:hint="eastAsia"/>
          <w:snapToGrid/>
        </w:rPr>
        <w:t>指示在</w:t>
      </w:r>
      <w:r>
        <w:rPr>
          <w:snapToGrid/>
        </w:rPr>
        <w:t>方案起草</w:t>
      </w:r>
      <w:r>
        <w:rPr>
          <w:rFonts w:hint="eastAsia"/>
          <w:snapToGrid/>
        </w:rPr>
        <w:t>工作的</w:t>
      </w:r>
      <w:r>
        <w:rPr>
          <w:snapToGrid/>
        </w:rPr>
        <w:t>每一个阶段</w:t>
      </w:r>
      <w:r>
        <w:rPr>
          <w:rFonts w:hint="eastAsia"/>
          <w:snapToGrid/>
        </w:rPr>
        <w:t>，诸如：问题的分析、受惠者的确定、方案的目标和宗旨，组成内容和指标的规定等，</w:t>
      </w:r>
      <w:r>
        <w:rPr>
          <w:snapToGrid/>
        </w:rPr>
        <w:t>都</w:t>
      </w:r>
      <w:r>
        <w:rPr>
          <w:snapToGrid/>
        </w:rPr>
        <w:t>融入了性别</w:t>
      </w:r>
      <w:r>
        <w:rPr>
          <w:rFonts w:hint="eastAsia"/>
          <w:snapToGrid/>
        </w:rPr>
        <w:t>公</w:t>
      </w:r>
      <w:r>
        <w:rPr>
          <w:snapToGrid/>
        </w:rPr>
        <w:t>平</w:t>
      </w:r>
      <w:r>
        <w:rPr>
          <w:rFonts w:hint="eastAsia"/>
          <w:snapToGrid/>
        </w:rPr>
        <w:t>观。这意味着，政府今后推出的革新方案将体现出性别公平观；</w:t>
      </w:r>
    </w:p>
    <w:p w:rsidR="00000000" w:rsidRDefault="009C1C61">
      <w:pPr>
        <w:numPr>
          <w:ilvl w:val="0"/>
          <w:numId w:val="234"/>
        </w:numPr>
        <w:rPr>
          <w:snapToGrid/>
        </w:rPr>
      </w:pPr>
      <w:r>
        <w:rPr>
          <w:rFonts w:ascii="Time New Roman" w:eastAsia="SimHei" w:hAnsi="Time New Roman" w:hint="eastAsia"/>
          <w:snapToGrid/>
        </w:rPr>
        <w:t>关于</w:t>
      </w:r>
      <w:r>
        <w:rPr>
          <w:rFonts w:ascii="Time New Roman" w:eastAsia="SimHei" w:hAnsi="Time New Roman"/>
          <w:snapToGrid/>
        </w:rPr>
        <w:t>政府方案编纂</w:t>
      </w:r>
      <w:r>
        <w:rPr>
          <w:rFonts w:ascii="Time New Roman" w:eastAsia="SimHei" w:hAnsi="Time New Roman" w:hint="eastAsia"/>
          <w:snapToGrid/>
        </w:rPr>
        <w:t>系统</w:t>
      </w:r>
      <w:r>
        <w:rPr>
          <w:rFonts w:ascii="Time New Roman" w:eastAsia="SimHei" w:hAnsi="Time New Roman"/>
          <w:snapToGrid/>
        </w:rPr>
        <w:t>的后续行动</w:t>
      </w:r>
      <w:r>
        <w:rPr>
          <w:snapToGrid/>
        </w:rPr>
        <w:t>。这</w:t>
      </w:r>
      <w:r>
        <w:rPr>
          <w:rFonts w:hint="eastAsia"/>
          <w:snapToGrid/>
        </w:rPr>
        <w:t>个</w:t>
      </w:r>
      <w:r>
        <w:rPr>
          <w:snapToGrid/>
        </w:rPr>
        <w:t>由总统</w:t>
      </w:r>
      <w:r>
        <w:rPr>
          <w:rFonts w:hint="eastAsia"/>
          <w:snapToGrid/>
        </w:rPr>
        <w:t>府</w:t>
      </w:r>
      <w:r>
        <w:rPr>
          <w:snapToGrid/>
        </w:rPr>
        <w:t>秘书长办公厅设立的</w:t>
      </w:r>
      <w:r>
        <w:rPr>
          <w:rFonts w:hint="eastAsia"/>
          <w:snapToGrid/>
        </w:rPr>
        <w:t>系统</w:t>
      </w:r>
      <w:r>
        <w:rPr>
          <w:snapToGrid/>
        </w:rPr>
        <w:t>旨在监督支持机会平等</w:t>
      </w:r>
      <w:r>
        <w:rPr>
          <w:rFonts w:hint="eastAsia"/>
          <w:snapToGrid/>
        </w:rPr>
        <w:t>的承诺</w:t>
      </w:r>
      <w:r>
        <w:rPr>
          <w:snapToGrid/>
        </w:rPr>
        <w:t>和</w:t>
      </w:r>
      <w:r>
        <w:rPr>
          <w:rFonts w:hint="eastAsia"/>
          <w:snapToGrid/>
        </w:rPr>
        <w:t>政府当局</w:t>
      </w:r>
      <w:r>
        <w:rPr>
          <w:snapToGrid/>
        </w:rPr>
        <w:t>所采取的行动。</w:t>
      </w:r>
      <w:r>
        <w:rPr>
          <w:rFonts w:hint="eastAsia"/>
          <w:snapToGrid/>
        </w:rPr>
        <w:t>将</w:t>
      </w:r>
      <w:r>
        <w:rPr>
          <w:snapToGrid/>
        </w:rPr>
        <w:t>性别</w:t>
      </w:r>
      <w:r>
        <w:rPr>
          <w:rFonts w:hint="eastAsia"/>
          <w:snapToGrid/>
        </w:rPr>
        <w:t>公</w:t>
      </w:r>
      <w:r>
        <w:rPr>
          <w:snapToGrid/>
        </w:rPr>
        <w:t>平观</w:t>
      </w:r>
      <w:r>
        <w:rPr>
          <w:rFonts w:hint="eastAsia"/>
          <w:snapToGrid/>
        </w:rPr>
        <w:t>融入这个体制，可在</w:t>
      </w:r>
      <w:r>
        <w:rPr>
          <w:snapToGrid/>
        </w:rPr>
        <w:t>两个具体领域取得进展：在政府所有各</w:t>
      </w:r>
      <w:r>
        <w:rPr>
          <w:rFonts w:hint="eastAsia"/>
          <w:snapToGrid/>
        </w:rPr>
        <w:t>部的日常规划工作中融入性别公平观；系统并定期</w:t>
      </w:r>
      <w:r>
        <w:rPr>
          <w:rFonts w:hint="eastAsia"/>
          <w:snapToGrid/>
        </w:rPr>
        <w:t>(</w:t>
      </w:r>
      <w:r>
        <w:rPr>
          <w:rFonts w:hint="eastAsia"/>
          <w:snapToGrid/>
        </w:rPr>
        <w:t>每季度</w:t>
      </w:r>
      <w:r>
        <w:rPr>
          <w:rFonts w:hint="eastAsia"/>
          <w:snapToGrid/>
        </w:rPr>
        <w:t>)</w:t>
      </w:r>
      <w:r>
        <w:rPr>
          <w:rFonts w:hint="eastAsia"/>
          <w:snapToGrid/>
        </w:rPr>
        <w:t>监督在机会平等计划的框架内落实各部承诺的情况。</w:t>
      </w:r>
    </w:p>
    <w:p w:rsidR="00000000" w:rsidRDefault="009C1C61">
      <w:pPr>
        <w:rPr>
          <w:snapToGrid/>
        </w:rPr>
      </w:pPr>
      <w:r>
        <w:rPr>
          <w:rFonts w:hint="eastAsia"/>
          <w:snapToGrid/>
        </w:rPr>
        <w:tab/>
      </w:r>
      <w:r>
        <w:rPr>
          <w:snapToGrid/>
        </w:rPr>
        <w:t xml:space="preserve">135. </w:t>
      </w:r>
      <w:r>
        <w:rPr>
          <w:rFonts w:hint="eastAsia"/>
          <w:snapToGrid/>
        </w:rPr>
        <w:t xml:space="preserve"> </w:t>
      </w:r>
      <w:r>
        <w:rPr>
          <w:snapToGrid/>
        </w:rPr>
        <w:t>在当今世界</w:t>
      </w:r>
      <w:r>
        <w:rPr>
          <w:rFonts w:hint="eastAsia"/>
          <w:snapToGrid/>
        </w:rPr>
        <w:t>，</w:t>
      </w:r>
      <w:r>
        <w:rPr>
          <w:snapToGrid/>
        </w:rPr>
        <w:t>信息</w:t>
      </w:r>
      <w:r>
        <w:rPr>
          <w:rFonts w:hint="eastAsia"/>
          <w:snapToGrid/>
        </w:rPr>
        <w:t>是一种</w:t>
      </w:r>
      <w:r>
        <w:rPr>
          <w:snapToGrid/>
        </w:rPr>
        <w:t>可</w:t>
      </w:r>
      <w:r>
        <w:rPr>
          <w:rFonts w:hint="eastAsia"/>
          <w:snapToGrid/>
        </w:rPr>
        <w:t>大幅度地</w:t>
      </w:r>
      <w:r>
        <w:rPr>
          <w:snapToGrid/>
        </w:rPr>
        <w:t>促进社会发展</w:t>
      </w:r>
      <w:r>
        <w:rPr>
          <w:rFonts w:hint="eastAsia"/>
          <w:snapToGrid/>
        </w:rPr>
        <w:t>的大众商品，</w:t>
      </w:r>
      <w:r>
        <w:rPr>
          <w:snapToGrid/>
        </w:rPr>
        <w:t>将性别</w:t>
      </w:r>
      <w:r>
        <w:rPr>
          <w:rFonts w:hint="eastAsia"/>
          <w:snapToGrid/>
        </w:rPr>
        <w:t>公</w:t>
      </w:r>
      <w:r>
        <w:rPr>
          <w:snapToGrid/>
        </w:rPr>
        <w:t>平观融入信息，对国家机构进行决策极为重要。为此，政府</w:t>
      </w:r>
      <w:r>
        <w:rPr>
          <w:rFonts w:hint="eastAsia"/>
          <w:snapToGrid/>
        </w:rPr>
        <w:t>结合性别问题启动</w:t>
      </w:r>
      <w:r>
        <w:rPr>
          <w:snapToGrid/>
        </w:rPr>
        <w:t>了公共实体统</w:t>
      </w:r>
      <w:r>
        <w:rPr>
          <w:snapToGrid/>
        </w:rPr>
        <w:t>计部门程序</w:t>
      </w:r>
      <w:r>
        <w:rPr>
          <w:rFonts w:hint="eastAsia"/>
          <w:snapToGrid/>
        </w:rPr>
        <w:t>的</w:t>
      </w:r>
      <w:r>
        <w:rPr>
          <w:snapToGrid/>
        </w:rPr>
        <w:t>现代化进程。在某些情况下，需要各不同部门</w:t>
      </w:r>
      <w:r>
        <w:rPr>
          <w:rFonts w:hint="eastAsia"/>
          <w:snapToGrid/>
        </w:rPr>
        <w:t>再接再厉</w:t>
      </w:r>
      <w:r>
        <w:rPr>
          <w:snapToGrid/>
        </w:rPr>
        <w:t>，</w:t>
      </w:r>
      <w:r>
        <w:rPr>
          <w:rFonts w:hint="eastAsia"/>
          <w:snapToGrid/>
        </w:rPr>
        <w:t>力求对</w:t>
      </w:r>
      <w:r>
        <w:rPr>
          <w:snapToGrid/>
        </w:rPr>
        <w:t>这些体制</w:t>
      </w:r>
      <w:r>
        <w:rPr>
          <w:rFonts w:hint="eastAsia"/>
          <w:snapToGrid/>
        </w:rPr>
        <w:t>实行适应性</w:t>
      </w:r>
      <w:r>
        <w:rPr>
          <w:snapToGrid/>
        </w:rPr>
        <w:t>调整，</w:t>
      </w:r>
      <w:r>
        <w:rPr>
          <w:rFonts w:hint="eastAsia"/>
          <w:snapToGrid/>
        </w:rPr>
        <w:t>以</w:t>
      </w:r>
      <w:r>
        <w:rPr>
          <w:snapToGrid/>
        </w:rPr>
        <w:t>应付对数据解</w:t>
      </w:r>
      <w:r>
        <w:rPr>
          <w:rFonts w:hint="eastAsia"/>
          <w:snapToGrid/>
        </w:rPr>
        <w:t>读</w:t>
      </w:r>
      <w:r>
        <w:rPr>
          <w:snapToGrid/>
        </w:rPr>
        <w:t>和处</w:t>
      </w:r>
      <w:r>
        <w:rPr>
          <w:rFonts w:hint="eastAsia"/>
          <w:snapToGrid/>
        </w:rPr>
        <w:t>置</w:t>
      </w:r>
      <w:r>
        <w:rPr>
          <w:snapToGrid/>
        </w:rPr>
        <w:t>方面的新挑战。为此，</w:t>
      </w:r>
      <w:r>
        <w:rPr>
          <w:rFonts w:hint="eastAsia"/>
          <w:snapToGrid/>
        </w:rPr>
        <w:t>拟将陆续贯彻的措施</w:t>
      </w:r>
      <w:r>
        <w:rPr>
          <w:snapToGrid/>
        </w:rPr>
        <w:t>已</w:t>
      </w:r>
      <w:r>
        <w:rPr>
          <w:rFonts w:hint="eastAsia"/>
          <w:snapToGrid/>
        </w:rPr>
        <w:t>有若干得到实施。这些措施是：</w:t>
      </w:r>
    </w:p>
    <w:p w:rsidR="00000000" w:rsidRDefault="009C1C61">
      <w:pPr>
        <w:numPr>
          <w:ilvl w:val="0"/>
          <w:numId w:val="237"/>
        </w:numPr>
        <w:rPr>
          <w:snapToGrid/>
        </w:rPr>
      </w:pPr>
      <w:r>
        <w:rPr>
          <w:rFonts w:eastAsia="SimHei"/>
          <w:snapToGrid/>
        </w:rPr>
        <w:t>编纂</w:t>
      </w:r>
      <w:r>
        <w:rPr>
          <w:rFonts w:eastAsia="SimHei" w:hint="eastAsia"/>
          <w:snapToGrid/>
        </w:rPr>
        <w:t>一套</w:t>
      </w:r>
      <w:r>
        <w:rPr>
          <w:rFonts w:eastAsia="SimHei"/>
          <w:snapToGrid/>
        </w:rPr>
        <w:t>全国</w:t>
      </w:r>
      <w:r>
        <w:rPr>
          <w:rFonts w:eastAsia="SimHei" w:hint="eastAsia"/>
          <w:snapToGrid/>
        </w:rPr>
        <w:t>性</w:t>
      </w:r>
      <w:r>
        <w:rPr>
          <w:rFonts w:eastAsia="SimHei"/>
          <w:snapToGrid/>
        </w:rPr>
        <w:t>性别</w:t>
      </w:r>
      <w:r>
        <w:rPr>
          <w:rFonts w:eastAsia="SimHei" w:hint="eastAsia"/>
          <w:snapToGrid/>
        </w:rPr>
        <w:t>公平指标</w:t>
      </w:r>
      <w:r>
        <w:rPr>
          <w:snapToGrid/>
        </w:rPr>
        <w:t>；</w:t>
      </w:r>
      <w:r>
        <w:rPr>
          <w:snapToGrid/>
        </w:rPr>
        <w:t>200</w:t>
      </w:r>
      <w:r>
        <w:rPr>
          <w:rFonts w:hint="eastAsia"/>
          <w:snapToGrid/>
        </w:rPr>
        <w:t>2</w:t>
      </w:r>
      <w:r>
        <w:rPr>
          <w:snapToGrid/>
        </w:rPr>
        <w:t>年初提出了一项</w:t>
      </w:r>
      <w:r>
        <w:rPr>
          <w:rFonts w:hint="eastAsia"/>
          <w:snapToGrid/>
        </w:rPr>
        <w:t>提案，建议制订一套</w:t>
      </w:r>
      <w:r>
        <w:rPr>
          <w:snapToGrid/>
        </w:rPr>
        <w:t>性别</w:t>
      </w:r>
      <w:r>
        <w:rPr>
          <w:rFonts w:hint="eastAsia"/>
          <w:snapToGrid/>
        </w:rPr>
        <w:t>公平</w:t>
      </w:r>
      <w:r>
        <w:rPr>
          <w:snapToGrid/>
        </w:rPr>
        <w:t>指</w:t>
      </w:r>
      <w:r>
        <w:rPr>
          <w:rFonts w:hint="eastAsia"/>
          <w:snapToGrid/>
        </w:rPr>
        <w:t>标，从而</w:t>
      </w:r>
      <w:r>
        <w:rPr>
          <w:snapToGrid/>
        </w:rPr>
        <w:t>智利可系统性地评估</w:t>
      </w:r>
      <w:r>
        <w:rPr>
          <w:rFonts w:hint="eastAsia"/>
          <w:snapToGrid/>
        </w:rPr>
        <w:t>哪些领域对</w:t>
      </w:r>
      <w:r>
        <w:rPr>
          <w:snapToGrid/>
        </w:rPr>
        <w:t>机会平等</w:t>
      </w:r>
      <w:r>
        <w:rPr>
          <w:rFonts w:hint="eastAsia"/>
          <w:snapToGrid/>
        </w:rPr>
        <w:t>的形成</w:t>
      </w:r>
      <w:r>
        <w:rPr>
          <w:snapToGrid/>
        </w:rPr>
        <w:t>至关重要。在编撰提案</w:t>
      </w:r>
      <w:r>
        <w:rPr>
          <w:rFonts w:hint="eastAsia"/>
          <w:snapToGrid/>
        </w:rPr>
        <w:t>时，借鉴了其他国家的经验以及这一领域国际专门机构的建议。为此，征集汇总了中央一级</w:t>
      </w:r>
      <w:r>
        <w:rPr>
          <w:snapToGrid/>
        </w:rPr>
        <w:t>60</w:t>
      </w:r>
      <w:r>
        <w:rPr>
          <w:snapToGrid/>
        </w:rPr>
        <w:t>多个国家机构</w:t>
      </w:r>
      <w:r>
        <w:rPr>
          <w:rFonts w:hint="eastAsia"/>
          <w:snapToGrid/>
        </w:rPr>
        <w:t>的统计资料。</w:t>
      </w:r>
    </w:p>
    <w:p w:rsidR="00000000" w:rsidRDefault="009C1C61">
      <w:pPr>
        <w:numPr>
          <w:ilvl w:val="0"/>
          <w:numId w:val="237"/>
        </w:numPr>
        <w:rPr>
          <w:snapToGrid/>
        </w:rPr>
      </w:pPr>
      <w:r>
        <w:rPr>
          <w:rFonts w:eastAsia="SimHei" w:hint="eastAsia"/>
          <w:snapToGrid/>
        </w:rPr>
        <w:t>国家</w:t>
      </w:r>
      <w:r>
        <w:rPr>
          <w:rFonts w:eastAsia="SimHei"/>
          <w:snapToGrid/>
        </w:rPr>
        <w:t>统计按性别</w:t>
      </w:r>
      <w:r>
        <w:rPr>
          <w:rFonts w:eastAsia="SimHei" w:hint="eastAsia"/>
          <w:snapToGrid/>
        </w:rPr>
        <w:t>详细</w:t>
      </w:r>
      <w:r>
        <w:rPr>
          <w:rFonts w:eastAsia="SimHei"/>
          <w:snapToGrid/>
        </w:rPr>
        <w:t>分类</w:t>
      </w:r>
      <w:r>
        <w:rPr>
          <w:rFonts w:hint="eastAsia"/>
          <w:snapToGrid/>
        </w:rPr>
        <w:t>；</w:t>
      </w:r>
      <w:r>
        <w:rPr>
          <w:snapToGrid/>
        </w:rPr>
        <w:t>2001</w:t>
      </w:r>
      <w:r>
        <w:rPr>
          <w:snapToGrid/>
        </w:rPr>
        <w:t>年期间按使用者</w:t>
      </w:r>
      <w:r>
        <w:rPr>
          <w:snapToGrid/>
        </w:rPr>
        <w:t>/</w:t>
      </w:r>
      <w:r>
        <w:rPr>
          <w:snapToGrid/>
        </w:rPr>
        <w:t>受惠者性别详细分类评估</w:t>
      </w:r>
      <w:r>
        <w:rPr>
          <w:snapToGrid/>
        </w:rPr>
        <w:t>了公</w:t>
      </w:r>
      <w:r>
        <w:rPr>
          <w:rFonts w:hint="eastAsia"/>
          <w:snapToGrid/>
        </w:rPr>
        <w:t>共事</w:t>
      </w:r>
      <w:r>
        <w:rPr>
          <w:snapToGrid/>
        </w:rPr>
        <w:t>务部门的进展状况。这项措施可逐步改善一些资料最缺乏的领域，并在完善和更新补充性别指</w:t>
      </w:r>
      <w:r>
        <w:rPr>
          <w:rFonts w:hint="eastAsia"/>
          <w:snapToGrid/>
        </w:rPr>
        <w:t>标体</w:t>
      </w:r>
      <w:r>
        <w:rPr>
          <w:snapToGrid/>
        </w:rPr>
        <w:t>系方面取得进展；</w:t>
      </w:r>
    </w:p>
    <w:p w:rsidR="00000000" w:rsidRDefault="009C1C61">
      <w:pPr>
        <w:numPr>
          <w:ilvl w:val="0"/>
          <w:numId w:val="237"/>
        </w:numPr>
        <w:rPr>
          <w:snapToGrid/>
        </w:rPr>
      </w:pPr>
      <w:r>
        <w:rPr>
          <w:rFonts w:eastAsia="SimHei" w:hint="eastAsia"/>
          <w:snapToGrid/>
        </w:rPr>
        <w:t>建立统计数据库</w:t>
      </w:r>
      <w:r>
        <w:rPr>
          <w:rFonts w:hint="eastAsia"/>
          <w:snapToGrid/>
        </w:rPr>
        <w:t>；</w:t>
      </w:r>
      <w:r>
        <w:rPr>
          <w:rFonts w:hint="eastAsia"/>
          <w:snapToGrid/>
        </w:rPr>
        <w:t>2001</w:t>
      </w:r>
      <w:r>
        <w:rPr>
          <w:rFonts w:hint="eastAsia"/>
          <w:snapToGrid/>
        </w:rPr>
        <w:t>年期间，这项工作涉及通过一个履行交互性职能的中央信息系统收集、整理和收编来自各公共事务部门的大量数据，并可对过去十年来的男女统计资料进行分析。分析将预测国内各方面的趋势并就国家政策的范围及实效进行决策。一旦这些资料通过互联网可检索到时，则将更便利各公共事务部门，也便利学者和广大公众获取按性别详细分类的官方资料；</w:t>
      </w:r>
    </w:p>
    <w:p w:rsidR="00000000" w:rsidRDefault="009C1C61">
      <w:pPr>
        <w:numPr>
          <w:ilvl w:val="0"/>
          <w:numId w:val="237"/>
        </w:numPr>
        <w:rPr>
          <w:snapToGrid/>
        </w:rPr>
      </w:pPr>
      <w:r>
        <w:rPr>
          <w:rFonts w:eastAsia="SimHei"/>
          <w:snapToGrid/>
        </w:rPr>
        <w:t>传播有关</w:t>
      </w:r>
      <w:r>
        <w:rPr>
          <w:rFonts w:eastAsia="SimHei" w:hint="eastAsia"/>
          <w:snapToGrid/>
        </w:rPr>
        <w:t>本</w:t>
      </w:r>
      <w:r>
        <w:rPr>
          <w:rFonts w:eastAsia="SimHei"/>
          <w:snapToGrid/>
        </w:rPr>
        <w:t>国男女</w:t>
      </w:r>
      <w:r>
        <w:rPr>
          <w:rFonts w:eastAsia="SimHei" w:hint="eastAsia"/>
          <w:snapToGrid/>
        </w:rPr>
        <w:t>情况</w:t>
      </w:r>
      <w:r>
        <w:rPr>
          <w:rFonts w:eastAsia="SimHei"/>
          <w:snapToGrid/>
        </w:rPr>
        <w:t>的资料</w:t>
      </w:r>
      <w:r>
        <w:rPr>
          <w:snapToGrid/>
        </w:rPr>
        <w:t>；</w:t>
      </w:r>
      <w:r>
        <w:rPr>
          <w:snapToGrid/>
        </w:rPr>
        <w:t>2001</w:t>
      </w:r>
      <w:r>
        <w:rPr>
          <w:snapToGrid/>
        </w:rPr>
        <w:t>年期间，发表了</w:t>
      </w:r>
      <w:r>
        <w:rPr>
          <w:rFonts w:hint="eastAsia"/>
          <w:snapToGrid/>
        </w:rPr>
        <w:t>与国家</w:t>
      </w:r>
      <w:r>
        <w:rPr>
          <w:snapToGrid/>
        </w:rPr>
        <w:t>统计</w:t>
      </w:r>
      <w:r>
        <w:rPr>
          <w:rFonts w:hint="eastAsia"/>
          <w:snapToGrid/>
        </w:rPr>
        <w:t>局</w:t>
      </w:r>
      <w:r>
        <w:rPr>
          <w:snapToGrid/>
        </w:rPr>
        <w:t>合作努力编纂</w:t>
      </w:r>
      <w:r>
        <w:rPr>
          <w:rFonts w:hint="eastAsia"/>
          <w:snapToGrid/>
        </w:rPr>
        <w:t>的</w:t>
      </w:r>
      <w:r>
        <w:rPr>
          <w:snapToGrid/>
        </w:rPr>
        <w:t>一</w:t>
      </w:r>
      <w:r>
        <w:rPr>
          <w:rFonts w:hint="eastAsia"/>
          <w:snapToGrid/>
        </w:rPr>
        <w:t>本书籍，</w:t>
      </w:r>
      <w:r>
        <w:rPr>
          <w:snapToGrid/>
        </w:rPr>
        <w:t>题为</w:t>
      </w:r>
      <w:r>
        <w:rPr>
          <w:rFonts w:hint="eastAsia"/>
          <w:snapToGrid/>
        </w:rPr>
        <w:t>“</w:t>
      </w:r>
      <w:r>
        <w:rPr>
          <w:snapToGrid/>
        </w:rPr>
        <w:t>智利妇女：新世纪统计数字</w:t>
      </w:r>
      <w:r>
        <w:rPr>
          <w:rFonts w:hint="eastAsia"/>
          <w:snapToGrid/>
        </w:rPr>
        <w:t>”</w:t>
      </w:r>
      <w:r>
        <w:rPr>
          <w:snapToGrid/>
        </w:rPr>
        <w:t>。</w:t>
      </w:r>
      <w:r>
        <w:rPr>
          <w:snapToGrid/>
        </w:rPr>
        <w:t>2002</w:t>
      </w:r>
      <w:r>
        <w:rPr>
          <w:snapToGrid/>
        </w:rPr>
        <w:t>年</w:t>
      </w:r>
      <w:r>
        <w:rPr>
          <w:rFonts w:hint="eastAsia"/>
          <w:snapToGrid/>
        </w:rPr>
        <w:t>中期，妇女服务署网页将开辟一个名为“性别指标数据库”的栏目，载列从各国家实体收集的全国和各区的统计数字。</w:t>
      </w:r>
    </w:p>
    <w:p w:rsidR="00000000" w:rsidRDefault="009C1C61">
      <w:pPr>
        <w:rPr>
          <w:snapToGrid/>
        </w:rPr>
      </w:pPr>
      <w:r>
        <w:rPr>
          <w:rFonts w:hint="eastAsia"/>
          <w:snapToGrid/>
        </w:rPr>
        <w:tab/>
      </w:r>
      <w:r>
        <w:rPr>
          <w:snapToGrid/>
        </w:rPr>
        <w:t>136.</w:t>
      </w:r>
      <w:r>
        <w:rPr>
          <w:rFonts w:hint="eastAsia"/>
          <w:snapToGrid/>
        </w:rPr>
        <w:t xml:space="preserve">  </w:t>
      </w:r>
      <w:r>
        <w:rPr>
          <w:rFonts w:hint="eastAsia"/>
          <w:snapToGrid/>
        </w:rPr>
        <w:t>建立</w:t>
      </w:r>
      <w:r>
        <w:rPr>
          <w:snapToGrid/>
        </w:rPr>
        <w:t>财政系统管理指</w:t>
      </w:r>
      <w:r>
        <w:rPr>
          <w:rFonts w:hint="eastAsia"/>
          <w:snapToGrid/>
        </w:rPr>
        <w:t>标</w:t>
      </w:r>
      <w:r>
        <w:rPr>
          <w:snapToGrid/>
        </w:rPr>
        <w:t>的工作也取得了进展。这是银行和金融机构监督</w:t>
      </w:r>
      <w:r>
        <w:rPr>
          <w:rFonts w:hint="eastAsia"/>
          <w:snapToGrid/>
        </w:rPr>
        <w:t>署主管的任务。根据这项行动计划，发表了一份有关财政系统内部借贷情况研究报告。研究表明，与男性相比，女性有获得不同类型信贷的机会，但较少提出商业性借贷，而且还本付息记录较好。</w:t>
      </w:r>
    </w:p>
    <w:p w:rsidR="00000000" w:rsidRDefault="009C1C61">
      <w:pPr>
        <w:rPr>
          <w:snapToGrid/>
        </w:rPr>
      </w:pPr>
      <w:r>
        <w:rPr>
          <w:rFonts w:hint="eastAsia"/>
          <w:snapToGrid/>
        </w:rPr>
        <w:tab/>
      </w:r>
      <w:r>
        <w:rPr>
          <w:snapToGrid/>
        </w:rPr>
        <w:t>137.</w:t>
      </w:r>
      <w:r>
        <w:rPr>
          <w:rFonts w:hint="eastAsia"/>
          <w:snapToGrid/>
        </w:rPr>
        <w:t xml:space="preserve">  </w:t>
      </w:r>
      <w:r>
        <w:rPr>
          <w:snapToGrid/>
        </w:rPr>
        <w:t>此外，鉴于</w:t>
      </w:r>
      <w:r>
        <w:rPr>
          <w:rFonts w:hint="eastAsia"/>
          <w:snapToGrid/>
        </w:rPr>
        <w:t>政府</w:t>
      </w:r>
      <w:r>
        <w:rPr>
          <w:snapToGrid/>
        </w:rPr>
        <w:t>有责任确保国家本身体制机构内以及</w:t>
      </w:r>
      <w:r>
        <w:rPr>
          <w:rFonts w:hint="eastAsia"/>
          <w:snapToGrid/>
        </w:rPr>
        <w:t>全国境内</w:t>
      </w:r>
      <w:r>
        <w:rPr>
          <w:snapToGrid/>
        </w:rPr>
        <w:t>的性别平等，</w:t>
      </w:r>
      <w:r>
        <w:rPr>
          <w:rFonts w:hint="eastAsia"/>
          <w:snapToGrid/>
        </w:rPr>
        <w:t>在制订</w:t>
      </w:r>
      <w:r>
        <w:rPr>
          <w:snapToGrid/>
        </w:rPr>
        <w:t>国</w:t>
      </w:r>
      <w:r>
        <w:rPr>
          <w:snapToGrid/>
        </w:rPr>
        <w:t>家各部和公务部门</w:t>
      </w:r>
      <w:r>
        <w:rPr>
          <w:rFonts w:hint="eastAsia"/>
          <w:snapToGrid/>
        </w:rPr>
        <w:t>内的</w:t>
      </w:r>
      <w:r>
        <w:rPr>
          <w:snapToGrid/>
        </w:rPr>
        <w:t>平等机会计划</w:t>
      </w:r>
      <w:r>
        <w:rPr>
          <w:rFonts w:hint="eastAsia"/>
          <w:snapToGrid/>
        </w:rPr>
        <w:t>方面和为在</w:t>
      </w:r>
      <w:r>
        <w:rPr>
          <w:snapToGrid/>
        </w:rPr>
        <w:t>人力资源开发</w:t>
      </w:r>
      <w:r>
        <w:rPr>
          <w:rFonts w:hint="eastAsia"/>
          <w:snapToGrid/>
        </w:rPr>
        <w:t>领域</w:t>
      </w:r>
      <w:r>
        <w:rPr>
          <w:snapToGrid/>
        </w:rPr>
        <w:t>实现性别平等采取的其他措施</w:t>
      </w:r>
      <w:r>
        <w:rPr>
          <w:rFonts w:hint="eastAsia"/>
          <w:snapToGrid/>
        </w:rPr>
        <w:t>方面均已</w:t>
      </w:r>
      <w:r>
        <w:rPr>
          <w:snapToGrid/>
        </w:rPr>
        <w:t>取得了进展。</w:t>
      </w:r>
    </w:p>
    <w:p w:rsidR="00000000" w:rsidRDefault="009C1C61">
      <w:pPr>
        <w:rPr>
          <w:snapToGrid/>
        </w:rPr>
      </w:pPr>
      <w:r>
        <w:rPr>
          <w:rFonts w:hint="eastAsia"/>
          <w:snapToGrid/>
        </w:rPr>
        <w:tab/>
      </w:r>
      <w:r>
        <w:rPr>
          <w:snapToGrid/>
        </w:rPr>
        <w:t>138.</w:t>
      </w:r>
      <w:r>
        <w:rPr>
          <w:rFonts w:hint="eastAsia"/>
          <w:snapToGrid/>
        </w:rPr>
        <w:t xml:space="preserve">  </w:t>
      </w:r>
      <w:r>
        <w:rPr>
          <w:snapToGrid/>
        </w:rPr>
        <w:t>2001</w:t>
      </w:r>
      <w:r>
        <w:rPr>
          <w:snapToGrid/>
        </w:rPr>
        <w:t>年的第一个积极的步骤是，建立起了由劳工部、妇女服务</w:t>
      </w:r>
      <w:r>
        <w:rPr>
          <w:rFonts w:hint="eastAsia"/>
          <w:snapToGrid/>
        </w:rPr>
        <w:t>署</w:t>
      </w:r>
      <w:r>
        <w:rPr>
          <w:snapToGrid/>
        </w:rPr>
        <w:t>和国家雇员工会组成的协调委员会。这项措施的目标是实施共和国总统</w:t>
      </w:r>
      <w:r>
        <w:rPr>
          <w:rFonts w:hint="eastAsia"/>
          <w:snapToGrid/>
        </w:rPr>
        <w:t>同</w:t>
      </w:r>
      <w:r>
        <w:rPr>
          <w:snapToGrid/>
        </w:rPr>
        <w:t>国家公务员就工作条件达成的商定协议书。上述</w:t>
      </w:r>
      <w:r>
        <w:rPr>
          <w:rFonts w:hint="eastAsia"/>
          <w:snapToGrid/>
        </w:rPr>
        <w:t>委员</w:t>
      </w:r>
      <w:r>
        <w:rPr>
          <w:snapToGrid/>
        </w:rPr>
        <w:t>会为其本身确定的任务是：通过对中央和地方各级进行的抽样</w:t>
      </w:r>
      <w:r>
        <w:rPr>
          <w:rFonts w:hint="eastAsia"/>
          <w:snapToGrid/>
        </w:rPr>
        <w:t>调</w:t>
      </w:r>
      <w:r>
        <w:rPr>
          <w:snapToGrid/>
        </w:rPr>
        <w:t>查，分析男女</w:t>
      </w:r>
      <w:r>
        <w:rPr>
          <w:rFonts w:hint="eastAsia"/>
          <w:snapToGrid/>
        </w:rPr>
        <w:t>公务员</w:t>
      </w:r>
      <w:r>
        <w:rPr>
          <w:snapToGrid/>
        </w:rPr>
        <w:t>之间的不平等情况；为</w:t>
      </w:r>
      <w:r>
        <w:rPr>
          <w:rFonts w:hint="eastAsia"/>
          <w:snapToGrid/>
        </w:rPr>
        <w:t>公务</w:t>
      </w:r>
      <w:r>
        <w:rPr>
          <w:snapToGrid/>
        </w:rPr>
        <w:t>员制定一项机会平等计划；</w:t>
      </w:r>
      <w:r>
        <w:rPr>
          <w:rFonts w:hint="eastAsia"/>
          <w:snapToGrid/>
        </w:rPr>
        <w:t>落实</w:t>
      </w:r>
      <w:r>
        <w:rPr>
          <w:snapToGrid/>
        </w:rPr>
        <w:t>这项计划。</w:t>
      </w:r>
    </w:p>
    <w:p w:rsidR="00000000" w:rsidRDefault="009C1C61">
      <w:pPr>
        <w:rPr>
          <w:rFonts w:hint="eastAsia"/>
          <w:snapToGrid/>
        </w:rPr>
      </w:pPr>
      <w:r>
        <w:rPr>
          <w:rFonts w:hint="eastAsia"/>
          <w:snapToGrid/>
        </w:rPr>
        <w:tab/>
      </w:r>
      <w:r>
        <w:rPr>
          <w:snapToGrid/>
        </w:rPr>
        <w:t>139.</w:t>
      </w:r>
      <w:r>
        <w:rPr>
          <w:rFonts w:hint="eastAsia"/>
          <w:snapToGrid/>
        </w:rPr>
        <w:t xml:space="preserve">  </w:t>
      </w:r>
      <w:r>
        <w:rPr>
          <w:rFonts w:hint="eastAsia"/>
          <w:snapToGrid/>
        </w:rPr>
        <w:t>国家</w:t>
      </w:r>
      <w:r>
        <w:rPr>
          <w:snapToGrid/>
        </w:rPr>
        <w:t>现代化的另一个方面是</w:t>
      </w:r>
      <w:r>
        <w:rPr>
          <w:rFonts w:hint="eastAsia"/>
          <w:snapToGrid/>
        </w:rPr>
        <w:t>要使</w:t>
      </w:r>
      <w:r>
        <w:rPr>
          <w:snapToGrid/>
        </w:rPr>
        <w:t>智利</w:t>
      </w:r>
      <w:r>
        <w:rPr>
          <w:rFonts w:hint="eastAsia"/>
          <w:snapToGrid/>
        </w:rPr>
        <w:t>走向国际。为此必须提及此领域中的下列一</w:t>
      </w:r>
      <w:r>
        <w:rPr>
          <w:rFonts w:hint="eastAsia"/>
          <w:snapToGrid/>
        </w:rPr>
        <w:t>些进展：</w:t>
      </w:r>
    </w:p>
    <w:p w:rsidR="00000000" w:rsidRDefault="009C1C61">
      <w:pPr>
        <w:numPr>
          <w:ilvl w:val="0"/>
          <w:numId w:val="239"/>
        </w:numPr>
        <w:rPr>
          <w:snapToGrid/>
        </w:rPr>
      </w:pPr>
      <w:r>
        <w:rPr>
          <w:rFonts w:hint="eastAsia"/>
          <w:snapToGrid/>
        </w:rPr>
        <w:t>智利是亚洲及太平洋经济合作组织</w:t>
      </w:r>
      <w:r>
        <w:rPr>
          <w:rFonts w:hint="eastAsia"/>
          <w:snapToGrid/>
        </w:rPr>
        <w:t>(</w:t>
      </w:r>
      <w:r>
        <w:rPr>
          <w:rFonts w:hint="eastAsia"/>
          <w:snapToGrid/>
        </w:rPr>
        <w:t>亚太经合组织</w:t>
      </w:r>
      <w:r>
        <w:rPr>
          <w:rFonts w:hint="eastAsia"/>
          <w:snapToGrid/>
        </w:rPr>
        <w:t>)</w:t>
      </w:r>
      <w:r>
        <w:rPr>
          <w:rFonts w:hint="eastAsia"/>
          <w:snapToGrid/>
        </w:rPr>
        <w:t>纳入性别公平观问题特设咨询小组的积极成员。该小组已经取得了重大的成果，增强妇女的参与已在诸如运输、科学和技术等部门得到了切实体现；</w:t>
      </w:r>
    </w:p>
    <w:p w:rsidR="00000000" w:rsidRDefault="009C1C61">
      <w:pPr>
        <w:numPr>
          <w:ilvl w:val="0"/>
          <w:numId w:val="239"/>
        </w:numPr>
        <w:rPr>
          <w:snapToGrid/>
          <w:spacing w:val="6"/>
        </w:rPr>
      </w:pPr>
      <w:r>
        <w:rPr>
          <w:snapToGrid/>
        </w:rPr>
        <w:t>2001</w:t>
      </w:r>
      <w:r>
        <w:rPr>
          <w:snapToGrid/>
        </w:rPr>
        <w:t>年</w:t>
      </w:r>
      <w:r>
        <w:rPr>
          <w:snapToGrid/>
        </w:rPr>
        <w:t>8</w:t>
      </w:r>
      <w:r>
        <w:rPr>
          <w:snapToGrid/>
        </w:rPr>
        <w:t>月</w:t>
      </w:r>
      <w:r>
        <w:rPr>
          <w:snapToGrid/>
        </w:rPr>
        <w:t>17</w:t>
      </w:r>
      <w:r>
        <w:rPr>
          <w:snapToGrid/>
        </w:rPr>
        <w:t>日的《里约集团圣地亚哥宣言》</w:t>
      </w:r>
      <w:r>
        <w:rPr>
          <w:rFonts w:hint="eastAsia"/>
          <w:snapToGrid/>
        </w:rPr>
        <w:t>确</w:t>
      </w:r>
      <w:r>
        <w:rPr>
          <w:snapToGrid/>
        </w:rPr>
        <w:t>认</w:t>
      </w:r>
      <w:r>
        <w:rPr>
          <w:rFonts w:hint="eastAsia"/>
          <w:snapToGrid/>
        </w:rPr>
        <w:t>，在</w:t>
      </w:r>
      <w:r>
        <w:rPr>
          <w:snapToGrid/>
        </w:rPr>
        <w:t>制定和执行公共政策</w:t>
      </w:r>
      <w:r>
        <w:rPr>
          <w:rFonts w:hint="eastAsia"/>
          <w:snapToGrid/>
        </w:rPr>
        <w:t>的过程中</w:t>
      </w:r>
      <w:r>
        <w:rPr>
          <w:snapToGrid/>
        </w:rPr>
        <w:t>，</w:t>
      </w:r>
      <w:r>
        <w:rPr>
          <w:rFonts w:hint="eastAsia"/>
          <w:snapToGrid/>
        </w:rPr>
        <w:t>在执行</w:t>
      </w:r>
      <w:r>
        <w:rPr>
          <w:snapToGrid/>
        </w:rPr>
        <w:t>经济和社会发展战略性任务以及</w:t>
      </w:r>
      <w:r>
        <w:rPr>
          <w:rFonts w:hint="eastAsia"/>
          <w:snapToGrid/>
        </w:rPr>
        <w:t>加</w:t>
      </w:r>
      <w:r>
        <w:rPr>
          <w:snapToGrid/>
        </w:rPr>
        <w:t>强民主</w:t>
      </w:r>
      <w:r>
        <w:rPr>
          <w:snapToGrid/>
          <w:spacing w:val="6"/>
        </w:rPr>
        <w:t>的工作</w:t>
      </w:r>
      <w:r>
        <w:rPr>
          <w:rFonts w:hint="eastAsia"/>
          <w:snapToGrid/>
          <w:spacing w:val="6"/>
        </w:rPr>
        <w:t>中，</w:t>
      </w:r>
      <w:r>
        <w:rPr>
          <w:snapToGrid/>
          <w:spacing w:val="6"/>
        </w:rPr>
        <w:t>必须</w:t>
      </w:r>
      <w:r>
        <w:rPr>
          <w:rFonts w:hint="eastAsia"/>
          <w:snapToGrid/>
          <w:spacing w:val="6"/>
        </w:rPr>
        <w:t>融入着眼</w:t>
      </w:r>
      <w:r>
        <w:rPr>
          <w:snapToGrid/>
          <w:spacing w:val="6"/>
        </w:rPr>
        <w:t>性别</w:t>
      </w:r>
      <w:r>
        <w:rPr>
          <w:rFonts w:hint="eastAsia"/>
          <w:snapToGrid/>
          <w:spacing w:val="6"/>
        </w:rPr>
        <w:t>公平的理念</w:t>
      </w:r>
      <w:r>
        <w:rPr>
          <w:snapToGrid/>
          <w:spacing w:val="6"/>
        </w:rPr>
        <w:t>。《宣言》还强调，必须重新评估妇女在公民生活每一</w:t>
      </w:r>
      <w:r>
        <w:rPr>
          <w:rFonts w:hint="eastAsia"/>
          <w:snapToGrid/>
          <w:spacing w:val="6"/>
        </w:rPr>
        <w:t>个</w:t>
      </w:r>
      <w:r>
        <w:rPr>
          <w:snapToGrid/>
          <w:spacing w:val="6"/>
        </w:rPr>
        <w:t>方面的作用</w:t>
      </w:r>
      <w:r>
        <w:rPr>
          <w:rFonts w:hint="eastAsia"/>
          <w:snapToGrid/>
          <w:spacing w:val="6"/>
        </w:rPr>
        <w:t>，这是</w:t>
      </w:r>
      <w:r>
        <w:rPr>
          <w:snapToGrid/>
          <w:spacing w:val="6"/>
        </w:rPr>
        <w:t>国家现代化</w:t>
      </w:r>
      <w:r>
        <w:rPr>
          <w:rFonts w:hint="eastAsia"/>
          <w:snapToGrid/>
          <w:spacing w:val="6"/>
        </w:rPr>
        <w:t>的</w:t>
      </w:r>
      <w:r>
        <w:rPr>
          <w:snapToGrid/>
          <w:spacing w:val="6"/>
        </w:rPr>
        <w:t>任务之一；</w:t>
      </w:r>
    </w:p>
    <w:p w:rsidR="00000000" w:rsidRDefault="009C1C61">
      <w:pPr>
        <w:numPr>
          <w:ilvl w:val="0"/>
          <w:numId w:val="239"/>
        </w:numPr>
        <w:rPr>
          <w:snapToGrid/>
        </w:rPr>
      </w:pPr>
      <w:r>
        <w:rPr>
          <w:rFonts w:hint="eastAsia"/>
          <w:snapToGrid/>
        </w:rPr>
        <w:t>智利是拉丁美洲和加勒比妇女问题区域会议常任主席团成员。</w:t>
      </w:r>
      <w:r>
        <w:rPr>
          <w:snapToGrid/>
        </w:rPr>
        <w:t>2001</w:t>
      </w:r>
      <w:r>
        <w:rPr>
          <w:snapToGrid/>
        </w:rPr>
        <w:t>年期间，主席</w:t>
      </w:r>
      <w:r>
        <w:rPr>
          <w:snapToGrid/>
        </w:rPr>
        <w:t>团举行了第三次会议，会议请拉丁美洲和加勒比经济委员会的成员国</w:t>
      </w:r>
      <w:r>
        <w:rPr>
          <w:rFonts w:hint="eastAsia"/>
          <w:snapToGrid/>
        </w:rPr>
        <w:t>以</w:t>
      </w:r>
      <w:r>
        <w:rPr>
          <w:snapToGrid/>
        </w:rPr>
        <w:t>性别</w:t>
      </w:r>
      <w:r>
        <w:rPr>
          <w:rFonts w:hint="eastAsia"/>
          <w:snapToGrid/>
        </w:rPr>
        <w:t>公</w:t>
      </w:r>
      <w:r>
        <w:rPr>
          <w:snapToGrid/>
        </w:rPr>
        <w:t>平观看待贫困问题，并</w:t>
      </w:r>
      <w:r>
        <w:rPr>
          <w:rFonts w:hint="eastAsia"/>
          <w:snapToGrid/>
        </w:rPr>
        <w:t>引入</w:t>
      </w:r>
      <w:r>
        <w:rPr>
          <w:snapToGrid/>
        </w:rPr>
        <w:t>一些新</w:t>
      </w:r>
      <w:r>
        <w:rPr>
          <w:rFonts w:hint="eastAsia"/>
          <w:snapToGrid/>
        </w:rPr>
        <w:t>出现</w:t>
      </w:r>
      <w:r>
        <w:rPr>
          <w:snapToGrid/>
        </w:rPr>
        <w:t>的</w:t>
      </w:r>
      <w:r>
        <w:rPr>
          <w:rFonts w:hint="eastAsia"/>
          <w:snapToGrid/>
        </w:rPr>
        <w:t>论</w:t>
      </w:r>
      <w:r>
        <w:rPr>
          <w:snapToGrid/>
        </w:rPr>
        <w:t>题，诸如为增强政府</w:t>
      </w:r>
      <w:r>
        <w:rPr>
          <w:rFonts w:hint="eastAsia"/>
          <w:snapToGrid/>
        </w:rPr>
        <w:t>与</w:t>
      </w:r>
      <w:r>
        <w:rPr>
          <w:snapToGrid/>
        </w:rPr>
        <w:t>民间社会之间对话</w:t>
      </w:r>
      <w:r>
        <w:rPr>
          <w:rFonts w:hint="eastAsia"/>
          <w:snapToGrid/>
        </w:rPr>
        <w:t>所需</w:t>
      </w:r>
      <w:r>
        <w:rPr>
          <w:snapToGrid/>
        </w:rPr>
        <w:t>的</w:t>
      </w:r>
      <w:r>
        <w:rPr>
          <w:rFonts w:hint="eastAsia"/>
          <w:snapToGrid/>
        </w:rPr>
        <w:t>融资</w:t>
      </w:r>
      <w:r>
        <w:rPr>
          <w:snapToGrid/>
        </w:rPr>
        <w:t>和</w:t>
      </w:r>
      <w:r>
        <w:rPr>
          <w:rFonts w:hint="eastAsia"/>
          <w:snapToGrid/>
        </w:rPr>
        <w:t>机构体</w:t>
      </w:r>
      <w:r>
        <w:rPr>
          <w:snapToGrid/>
        </w:rPr>
        <w:t>制</w:t>
      </w:r>
      <w:r>
        <w:rPr>
          <w:rFonts w:hint="eastAsia"/>
          <w:snapToGrid/>
        </w:rPr>
        <w:t>问题</w:t>
      </w:r>
      <w:r>
        <w:rPr>
          <w:snapToGrid/>
        </w:rPr>
        <w:t>；</w:t>
      </w:r>
    </w:p>
    <w:p w:rsidR="00000000" w:rsidRDefault="009C1C61">
      <w:pPr>
        <w:numPr>
          <w:ilvl w:val="0"/>
          <w:numId w:val="239"/>
        </w:numPr>
        <w:rPr>
          <w:snapToGrid/>
        </w:rPr>
      </w:pPr>
      <w:r>
        <w:rPr>
          <w:rFonts w:hint="eastAsia"/>
          <w:snapToGrid/>
        </w:rPr>
        <w:t>妇女服务署和联合国正在携手组建一个由政府、联合国机构和民间社会形成的三方工作组，以审议不同类型的侵害妇女的暴力行为，以期全面推动建设一个更为发达、和平、民主和平等的社会。</w:t>
      </w:r>
    </w:p>
    <w:p w:rsidR="00000000" w:rsidRDefault="009C1C61">
      <w:pPr>
        <w:rPr>
          <w:snapToGrid/>
        </w:rPr>
      </w:pPr>
      <w:r>
        <w:rPr>
          <w:rFonts w:hint="eastAsia"/>
          <w:snapToGrid/>
        </w:rPr>
        <w:tab/>
      </w:r>
      <w:r>
        <w:rPr>
          <w:snapToGrid/>
        </w:rPr>
        <w:t>140.</w:t>
      </w:r>
      <w:r>
        <w:rPr>
          <w:rFonts w:hint="eastAsia"/>
          <w:snapToGrid/>
        </w:rPr>
        <w:t xml:space="preserve">  </w:t>
      </w:r>
      <w:r>
        <w:rPr>
          <w:snapToGrid/>
        </w:rPr>
        <w:t>1999</w:t>
      </w:r>
      <w:r>
        <w:rPr>
          <w:snapToGrid/>
        </w:rPr>
        <w:t>年修订了《政治宪法》第</w:t>
      </w:r>
      <w:r>
        <w:rPr>
          <w:rFonts w:hint="eastAsia"/>
          <w:snapToGrid/>
        </w:rPr>
        <w:t>1</w:t>
      </w:r>
      <w:r>
        <w:rPr>
          <w:snapToGrid/>
        </w:rPr>
        <w:t>和</w:t>
      </w:r>
      <w:r>
        <w:rPr>
          <w:snapToGrid/>
        </w:rPr>
        <w:t>19</w:t>
      </w:r>
      <w:r>
        <w:rPr>
          <w:snapToGrid/>
        </w:rPr>
        <w:t>条。原先的第</w:t>
      </w:r>
      <w:r>
        <w:rPr>
          <w:snapToGrid/>
        </w:rPr>
        <w:t>1</w:t>
      </w:r>
      <w:r>
        <w:rPr>
          <w:snapToGrid/>
        </w:rPr>
        <w:t>条</w:t>
      </w:r>
      <w:r>
        <w:rPr>
          <w:rFonts w:hint="eastAsia"/>
          <w:snapToGrid/>
        </w:rPr>
        <w:t>规定</w:t>
      </w:r>
      <w:r>
        <w:rPr>
          <w:snapToGrid/>
        </w:rPr>
        <w:t>：</w:t>
      </w:r>
      <w:r>
        <w:rPr>
          <w:rFonts w:hint="eastAsia"/>
          <w:snapToGrid/>
        </w:rPr>
        <w:t>“</w:t>
      </w:r>
      <w:r>
        <w:rPr>
          <w:rFonts w:eastAsia="KaiTi_GB2312"/>
          <w:snapToGrid/>
          <w:spacing w:val="0"/>
        </w:rPr>
        <w:t>人生来自由</w:t>
      </w:r>
      <w:r>
        <w:rPr>
          <w:rFonts w:eastAsia="KaiTi_GB2312" w:hint="eastAsia"/>
          <w:snapToGrid/>
          <w:spacing w:val="0"/>
        </w:rPr>
        <w:t>，而且</w:t>
      </w:r>
      <w:r>
        <w:rPr>
          <w:rFonts w:eastAsia="KaiTi_GB2312"/>
          <w:snapToGrid/>
          <w:spacing w:val="0"/>
        </w:rPr>
        <w:t>尊严和权利</w:t>
      </w:r>
      <w:r>
        <w:rPr>
          <w:rFonts w:eastAsia="KaiTi_GB2312" w:hint="eastAsia"/>
          <w:snapToGrid/>
          <w:spacing w:val="0"/>
        </w:rPr>
        <w:t>生来</w:t>
      </w:r>
      <w:r>
        <w:rPr>
          <w:rFonts w:eastAsia="KaiTi_GB2312"/>
          <w:snapToGrid/>
          <w:spacing w:val="0"/>
        </w:rPr>
        <w:t>平等</w:t>
      </w:r>
      <w:r>
        <w:rPr>
          <w:rFonts w:hint="eastAsia"/>
          <w:snapToGrid/>
        </w:rPr>
        <w:t>”</w:t>
      </w:r>
      <w:r>
        <w:rPr>
          <w:snapToGrid/>
        </w:rPr>
        <w:t>；</w:t>
      </w:r>
      <w:r>
        <w:rPr>
          <w:rFonts w:hint="eastAsia"/>
          <w:snapToGrid/>
        </w:rPr>
        <w:t>“</w:t>
      </w:r>
      <w:r>
        <w:rPr>
          <w:snapToGrid/>
        </w:rPr>
        <w:t>人</w:t>
      </w:r>
      <w:r>
        <w:rPr>
          <w:rFonts w:hint="eastAsia"/>
          <w:snapToGrid/>
        </w:rPr>
        <w:t>”</w:t>
      </w:r>
      <w:r>
        <w:rPr>
          <w:snapToGrid/>
        </w:rPr>
        <w:t>字已经改为</w:t>
      </w:r>
      <w:r>
        <w:rPr>
          <w:rFonts w:hint="eastAsia"/>
          <w:snapToGrid/>
        </w:rPr>
        <w:t>“人</w:t>
      </w:r>
      <w:r>
        <w:rPr>
          <w:snapToGrid/>
        </w:rPr>
        <w:t>人</w:t>
      </w:r>
      <w:r>
        <w:rPr>
          <w:rFonts w:hint="eastAsia"/>
          <w:snapToGrid/>
        </w:rPr>
        <w:t>”</w:t>
      </w:r>
      <w:r>
        <w:rPr>
          <w:snapToGrid/>
        </w:rPr>
        <w:t>。第</w:t>
      </w:r>
      <w:r>
        <w:rPr>
          <w:snapToGrid/>
        </w:rPr>
        <w:t>19</w:t>
      </w:r>
      <w:r>
        <w:rPr>
          <w:snapToGrid/>
        </w:rPr>
        <w:t>条保证所有</w:t>
      </w:r>
      <w:r>
        <w:rPr>
          <w:rFonts w:hint="eastAsia"/>
          <w:snapToGrid/>
        </w:rPr>
        <w:t>人在“</w:t>
      </w:r>
      <w:r>
        <w:rPr>
          <w:rFonts w:eastAsia="KaiTi_GB2312"/>
          <w:snapToGrid/>
          <w:spacing w:val="0"/>
        </w:rPr>
        <w:t>法律面前</w:t>
      </w:r>
      <w:r>
        <w:rPr>
          <w:rFonts w:eastAsia="KaiTi_GB2312"/>
          <w:snapToGrid/>
          <w:spacing w:val="0"/>
        </w:rPr>
        <w:t>平等</w:t>
      </w:r>
      <w:r>
        <w:rPr>
          <w:rFonts w:hint="eastAsia"/>
          <w:snapToGrid/>
        </w:rPr>
        <w:t>”</w:t>
      </w:r>
      <w:r>
        <w:rPr>
          <w:snapToGrid/>
        </w:rPr>
        <w:t>；如今该条具体</w:t>
      </w:r>
      <w:r>
        <w:rPr>
          <w:rFonts w:hint="eastAsia"/>
          <w:snapToGrid/>
        </w:rPr>
        <w:t>规定“</w:t>
      </w:r>
      <w:r>
        <w:rPr>
          <w:rFonts w:eastAsia="KaiTi_GB2312"/>
          <w:snapToGrid/>
          <w:spacing w:val="0"/>
        </w:rPr>
        <w:t>男人和女人在法律面前平等</w:t>
      </w:r>
      <w:r>
        <w:rPr>
          <w:rFonts w:hint="eastAsia"/>
          <w:snapToGrid/>
        </w:rPr>
        <w:t>”</w:t>
      </w:r>
      <w:r>
        <w:rPr>
          <w:snapToGrid/>
        </w:rPr>
        <w:t>。</w:t>
      </w:r>
    </w:p>
    <w:p w:rsidR="00000000" w:rsidRDefault="009C1C61">
      <w:pPr>
        <w:spacing w:after="360"/>
        <w:rPr>
          <w:snapToGrid/>
        </w:rPr>
      </w:pPr>
      <w:r>
        <w:rPr>
          <w:rFonts w:hint="eastAsia"/>
          <w:snapToGrid/>
        </w:rPr>
        <w:tab/>
      </w:r>
      <w:r>
        <w:rPr>
          <w:snapToGrid/>
        </w:rPr>
        <w:t>141.</w:t>
      </w:r>
      <w:r>
        <w:rPr>
          <w:rFonts w:hint="eastAsia"/>
          <w:snapToGrid/>
        </w:rPr>
        <w:t xml:space="preserve">  </w:t>
      </w:r>
      <w:r>
        <w:rPr>
          <w:snapToGrid/>
        </w:rPr>
        <w:t>本报告一些有关章节阐明了在确保男女平等享有健康、工作和教育权利方面取得的具体进展。智利关于《消除对妇女一切</w:t>
      </w:r>
      <w:r>
        <w:rPr>
          <w:rFonts w:hint="eastAsia"/>
          <w:snapToGrid/>
        </w:rPr>
        <w:t>形式</w:t>
      </w:r>
      <w:r>
        <w:rPr>
          <w:snapToGrid/>
        </w:rPr>
        <w:t>歧视公约》执行情况</w:t>
      </w:r>
      <w:r>
        <w:rPr>
          <w:rFonts w:hint="eastAsia"/>
          <w:snapToGrid/>
        </w:rPr>
        <w:t>的</w:t>
      </w:r>
      <w:r>
        <w:rPr>
          <w:snapToGrid/>
        </w:rPr>
        <w:t>第二次定期报告</w:t>
      </w:r>
      <w:r>
        <w:rPr>
          <w:snapToGrid/>
        </w:rPr>
        <w:t>(</w:t>
      </w:r>
      <w:r>
        <w:rPr>
          <w:rFonts w:hint="eastAsia"/>
          <w:snapToGrid/>
        </w:rPr>
        <w:t>CEDAW/C/CHI/2</w:t>
      </w:r>
      <w:r>
        <w:rPr>
          <w:rFonts w:hint="eastAsia"/>
          <w:snapToGrid/>
        </w:rPr>
        <w:t>和</w:t>
      </w:r>
      <w:r>
        <w:rPr>
          <w:rFonts w:hint="eastAsia"/>
          <w:snapToGrid/>
        </w:rPr>
        <w:t>CEDAW/C/CHI/3</w:t>
      </w:r>
      <w:r>
        <w:rPr>
          <w:snapToGrid/>
        </w:rPr>
        <w:t>)</w:t>
      </w:r>
      <w:r>
        <w:rPr>
          <w:snapToGrid/>
        </w:rPr>
        <w:t>，已经向消除对妇女一切歧视形式委员会提交了有关上述这些权利的资料。委员会于</w:t>
      </w:r>
      <w:r>
        <w:rPr>
          <w:snapToGrid/>
        </w:rPr>
        <w:t>1999</w:t>
      </w:r>
      <w:r>
        <w:rPr>
          <w:snapToGrid/>
        </w:rPr>
        <w:t>年审议了这份报告。</w:t>
      </w:r>
    </w:p>
    <w:p w:rsidR="00000000" w:rsidRDefault="009C1C61">
      <w:pPr>
        <w:pStyle w:val="Heading3"/>
        <w:rPr>
          <w:kern w:val="0"/>
        </w:rPr>
      </w:pPr>
      <w:r>
        <w:rPr>
          <w:rFonts w:hint="eastAsia"/>
          <w:kern w:val="0"/>
        </w:rPr>
        <w:t>第</w:t>
      </w:r>
      <w:r>
        <w:rPr>
          <w:rFonts w:hint="eastAsia"/>
          <w:kern w:val="0"/>
        </w:rPr>
        <w:t xml:space="preserve"> </w:t>
      </w:r>
      <w:r>
        <w:rPr>
          <w:rFonts w:hint="eastAsia"/>
          <w:kern w:val="0"/>
        </w:rPr>
        <w:t>四</w:t>
      </w:r>
      <w:r>
        <w:rPr>
          <w:rFonts w:hint="eastAsia"/>
          <w:kern w:val="0"/>
        </w:rPr>
        <w:t xml:space="preserve"> </w:t>
      </w:r>
      <w:r>
        <w:rPr>
          <w:rFonts w:hint="eastAsia"/>
          <w:kern w:val="0"/>
        </w:rPr>
        <w:t>条</w:t>
      </w:r>
    </w:p>
    <w:p w:rsidR="00000000" w:rsidRDefault="009C1C61">
      <w:pPr>
        <w:pStyle w:val="Heading3"/>
        <w:rPr>
          <w:kern w:val="0"/>
        </w:rPr>
      </w:pPr>
      <w:r>
        <w:rPr>
          <w:rFonts w:hint="eastAsia"/>
          <w:kern w:val="0"/>
        </w:rPr>
        <w:t>对《公约》所保障权利的限制</w:t>
      </w:r>
    </w:p>
    <w:p w:rsidR="00000000" w:rsidRDefault="009C1C61">
      <w:pPr>
        <w:spacing w:after="320"/>
        <w:rPr>
          <w:snapToGrid/>
        </w:rPr>
      </w:pPr>
      <w:r>
        <w:rPr>
          <w:rFonts w:hint="eastAsia"/>
          <w:snapToGrid/>
        </w:rPr>
        <w:tab/>
      </w:r>
      <w:r>
        <w:rPr>
          <w:snapToGrid/>
        </w:rPr>
        <w:t>142.</w:t>
      </w:r>
      <w:r>
        <w:rPr>
          <w:rFonts w:hint="eastAsia"/>
          <w:snapToGrid/>
        </w:rPr>
        <w:t xml:space="preserve">  </w:t>
      </w:r>
      <w:r>
        <w:rPr>
          <w:snapToGrid/>
        </w:rPr>
        <w:t>国内法</w:t>
      </w:r>
      <w:r>
        <w:rPr>
          <w:rFonts w:hint="eastAsia"/>
          <w:snapToGrid/>
        </w:rPr>
        <w:t>体系</w:t>
      </w:r>
      <w:r>
        <w:rPr>
          <w:snapToGrid/>
        </w:rPr>
        <w:t>完全符合《公约》</w:t>
      </w:r>
      <w:r>
        <w:rPr>
          <w:rFonts w:hint="eastAsia"/>
          <w:snapToGrid/>
        </w:rPr>
        <w:t>的这项规定</w:t>
      </w:r>
      <w:r>
        <w:rPr>
          <w:snapToGrid/>
        </w:rPr>
        <w:t>。</w:t>
      </w:r>
      <w:r>
        <w:rPr>
          <w:rFonts w:hint="eastAsia"/>
          <w:snapToGrid/>
        </w:rPr>
        <w:t>《</w:t>
      </w:r>
      <w:r>
        <w:rPr>
          <w:snapToGrid/>
        </w:rPr>
        <w:t>宪法</w:t>
      </w:r>
      <w:r>
        <w:rPr>
          <w:rFonts w:hint="eastAsia"/>
          <w:snapToGrid/>
        </w:rPr>
        <w:t>》</w:t>
      </w:r>
      <w:r>
        <w:rPr>
          <w:snapToGrid/>
        </w:rPr>
        <w:t>第</w:t>
      </w:r>
      <w:r>
        <w:rPr>
          <w:snapToGrid/>
        </w:rPr>
        <w:t>19</w:t>
      </w:r>
      <w:r>
        <w:rPr>
          <w:snapToGrid/>
        </w:rPr>
        <w:t>条第</w:t>
      </w:r>
      <w:r>
        <w:rPr>
          <w:snapToGrid/>
        </w:rPr>
        <w:t>26</w:t>
      </w:r>
      <w:r>
        <w:rPr>
          <w:rFonts w:hint="eastAsia"/>
          <w:snapToGrid/>
        </w:rPr>
        <w:t>节规定，只有法律才可管制</w:t>
      </w:r>
      <w:r>
        <w:rPr>
          <w:rFonts w:hint="eastAsia"/>
          <w:snapToGrid/>
        </w:rPr>
        <w:t>或补充各项基本权利，而法律本身只限于适用《宪法》授权管辖的案例。同一节还规定了进一步的限制，即，这类法律既不得影响基本权利的本质，也不得规定各种条件、税收和要求而阻碍这些权利的自由行使。这项宪法规定与《</w:t>
      </w:r>
      <w:r>
        <w:rPr>
          <w:rFonts w:hint="eastAsia"/>
          <w:snapToGrid/>
          <w:lang w:val="fr-CH"/>
        </w:rPr>
        <w:t>宪法</w:t>
      </w:r>
      <w:r>
        <w:rPr>
          <w:rFonts w:hint="eastAsia"/>
          <w:snapToGrid/>
        </w:rPr>
        <w:t>》第一条第四节的规定相关。该节规定：国家，而且当然是指作为制定法律实体的国家</w:t>
      </w:r>
      <w:r>
        <w:rPr>
          <w:rFonts w:hint="eastAsia"/>
          <w:snapToGrid/>
        </w:rPr>
        <w:t xml:space="preserve"> </w:t>
      </w:r>
      <w:r>
        <w:rPr>
          <w:rFonts w:hint="eastAsia"/>
          <w:snapToGrid/>
        </w:rPr>
        <w:t>“</w:t>
      </w:r>
      <w:r>
        <w:rPr>
          <w:rFonts w:eastAsia="KaiTi_GB2312" w:hint="eastAsia"/>
          <w:snapToGrid/>
          <w:spacing w:val="0"/>
        </w:rPr>
        <w:t>是为个人服务的，其目标是为了增进共同的福祉。为此，国家必须推动创造社会条件以使民族大家庭的每一个成员都能在充分尊重本《宪法》确立的权利和保障的情况下，得到精神和物质上最大限度的满足”。</w:t>
      </w:r>
    </w:p>
    <w:p w:rsidR="00000000" w:rsidRDefault="009C1C61">
      <w:pPr>
        <w:pStyle w:val="Heading3"/>
        <w:rPr>
          <w:rFonts w:hint="eastAsia"/>
          <w:kern w:val="0"/>
        </w:rPr>
      </w:pPr>
      <w:r>
        <w:rPr>
          <w:rFonts w:hint="eastAsia"/>
          <w:kern w:val="0"/>
        </w:rPr>
        <w:t>第</w:t>
      </w:r>
      <w:r>
        <w:rPr>
          <w:rFonts w:hint="eastAsia"/>
          <w:kern w:val="0"/>
        </w:rPr>
        <w:t xml:space="preserve"> </w:t>
      </w:r>
      <w:r>
        <w:rPr>
          <w:rFonts w:hint="eastAsia"/>
          <w:kern w:val="0"/>
        </w:rPr>
        <w:t>五</w:t>
      </w:r>
      <w:r>
        <w:rPr>
          <w:rFonts w:hint="eastAsia"/>
          <w:kern w:val="0"/>
        </w:rPr>
        <w:t xml:space="preserve"> </w:t>
      </w:r>
      <w:r>
        <w:rPr>
          <w:rFonts w:hint="eastAsia"/>
          <w:kern w:val="0"/>
        </w:rPr>
        <w:t>条</w:t>
      </w:r>
    </w:p>
    <w:p w:rsidR="00000000" w:rsidRDefault="009C1C61">
      <w:pPr>
        <w:spacing w:after="320"/>
        <w:rPr>
          <w:snapToGrid/>
        </w:rPr>
      </w:pPr>
      <w:r>
        <w:rPr>
          <w:rFonts w:hint="eastAsia"/>
          <w:snapToGrid/>
        </w:rPr>
        <w:tab/>
      </w:r>
      <w:r>
        <w:rPr>
          <w:snapToGrid/>
        </w:rPr>
        <w:t>143.</w:t>
      </w:r>
      <w:r>
        <w:rPr>
          <w:rFonts w:hint="eastAsia"/>
          <w:snapToGrid/>
        </w:rPr>
        <w:t xml:space="preserve">  </w:t>
      </w:r>
      <w:r>
        <w:rPr>
          <w:snapToGrid/>
        </w:rPr>
        <w:t>虽然国内法</w:t>
      </w:r>
      <w:r>
        <w:rPr>
          <w:rFonts w:hint="eastAsia"/>
          <w:snapToGrid/>
        </w:rPr>
        <w:t>律</w:t>
      </w:r>
      <w:r>
        <w:rPr>
          <w:snapToGrid/>
        </w:rPr>
        <w:t>体</w:t>
      </w:r>
      <w:r>
        <w:rPr>
          <w:rFonts w:hint="eastAsia"/>
          <w:snapToGrid/>
        </w:rPr>
        <w:t>系没有</w:t>
      </w:r>
      <w:r>
        <w:rPr>
          <w:snapToGrid/>
        </w:rPr>
        <w:t>条款明</w:t>
      </w:r>
      <w:r>
        <w:rPr>
          <w:rFonts w:hint="eastAsia"/>
          <w:snapToGrid/>
        </w:rPr>
        <w:t>文规定这些解释</w:t>
      </w:r>
      <w:r>
        <w:rPr>
          <w:snapToGrid/>
        </w:rPr>
        <w:t>《公约》条款的原则，但是</w:t>
      </w:r>
      <w:r>
        <w:rPr>
          <w:rFonts w:hint="eastAsia"/>
          <w:snapToGrid/>
        </w:rPr>
        <w:t>，按照理解，</w:t>
      </w:r>
      <w:r>
        <w:rPr>
          <w:snapToGrid/>
        </w:rPr>
        <w:t>系统</w:t>
      </w:r>
      <w:r>
        <w:rPr>
          <w:rFonts w:hint="eastAsia"/>
          <w:snapToGrid/>
        </w:rPr>
        <w:t>地</w:t>
      </w:r>
      <w:r>
        <w:rPr>
          <w:snapToGrid/>
        </w:rPr>
        <w:t>运用若干宪法规定</w:t>
      </w:r>
      <w:r>
        <w:rPr>
          <w:snapToGrid/>
        </w:rPr>
        <w:t>(</w:t>
      </w:r>
      <w:r>
        <w:rPr>
          <w:snapToGrid/>
        </w:rPr>
        <w:t>尤其</w:t>
      </w:r>
      <w:r>
        <w:rPr>
          <w:rFonts w:hint="eastAsia"/>
          <w:snapToGrid/>
        </w:rPr>
        <w:t>是</w:t>
      </w:r>
      <w:r>
        <w:rPr>
          <w:snapToGrid/>
        </w:rPr>
        <w:t>第</w:t>
      </w:r>
      <w:r>
        <w:rPr>
          <w:rFonts w:hint="eastAsia"/>
          <w:snapToGrid/>
        </w:rPr>
        <w:t>1</w:t>
      </w:r>
      <w:r>
        <w:rPr>
          <w:snapToGrid/>
        </w:rPr>
        <w:t>条第</w:t>
      </w:r>
      <w:r>
        <w:rPr>
          <w:rFonts w:hint="eastAsia"/>
          <w:snapToGrid/>
        </w:rPr>
        <w:t>1</w:t>
      </w:r>
      <w:r>
        <w:rPr>
          <w:rFonts w:hint="eastAsia"/>
          <w:snapToGrid/>
        </w:rPr>
        <w:t>和</w:t>
      </w:r>
      <w:r>
        <w:rPr>
          <w:rFonts w:hint="eastAsia"/>
          <w:snapToGrid/>
        </w:rPr>
        <w:t>4</w:t>
      </w:r>
      <w:r>
        <w:rPr>
          <w:snapToGrid/>
        </w:rPr>
        <w:t>节、第</w:t>
      </w:r>
      <w:r>
        <w:rPr>
          <w:rFonts w:hint="eastAsia"/>
          <w:snapToGrid/>
        </w:rPr>
        <w:t>5</w:t>
      </w:r>
      <w:r>
        <w:rPr>
          <w:snapToGrid/>
        </w:rPr>
        <w:t>、</w:t>
      </w:r>
      <w:r>
        <w:rPr>
          <w:rFonts w:hint="eastAsia"/>
          <w:snapToGrid/>
        </w:rPr>
        <w:t>6</w:t>
      </w:r>
      <w:r>
        <w:rPr>
          <w:snapToGrid/>
        </w:rPr>
        <w:t>和</w:t>
      </w:r>
      <w:r>
        <w:rPr>
          <w:rFonts w:hint="eastAsia"/>
          <w:snapToGrid/>
        </w:rPr>
        <w:t>7</w:t>
      </w:r>
      <w:r>
        <w:rPr>
          <w:snapToGrid/>
        </w:rPr>
        <w:t>条以及第</w:t>
      </w:r>
      <w:r>
        <w:rPr>
          <w:snapToGrid/>
        </w:rPr>
        <w:t>19</w:t>
      </w:r>
      <w:r>
        <w:rPr>
          <w:snapToGrid/>
        </w:rPr>
        <w:t>条第</w:t>
      </w:r>
      <w:r>
        <w:rPr>
          <w:snapToGrid/>
        </w:rPr>
        <w:t>26</w:t>
      </w:r>
      <w:r>
        <w:rPr>
          <w:snapToGrid/>
        </w:rPr>
        <w:t>节</w:t>
      </w:r>
      <w:r>
        <w:rPr>
          <w:snapToGrid/>
        </w:rPr>
        <w:t>)</w:t>
      </w:r>
      <w:r>
        <w:rPr>
          <w:snapToGrid/>
        </w:rPr>
        <w:t>可肯定无疑地认为实现了同样的目标。</w:t>
      </w:r>
    </w:p>
    <w:p w:rsidR="00000000" w:rsidRDefault="009C1C61">
      <w:pPr>
        <w:pStyle w:val="Heading2"/>
        <w:rPr>
          <w:rFonts w:eastAsia="SimHei"/>
          <w:kern w:val="0"/>
        </w:rPr>
      </w:pPr>
      <w:r>
        <w:rPr>
          <w:rFonts w:eastAsia="SimHei" w:hint="eastAsia"/>
          <w:kern w:val="0"/>
        </w:rPr>
        <w:t>报告涉及某些权利的部分</w:t>
      </w:r>
    </w:p>
    <w:p w:rsidR="00000000" w:rsidRDefault="009C1C61">
      <w:pPr>
        <w:pStyle w:val="Heading3"/>
        <w:rPr>
          <w:rFonts w:hint="eastAsia"/>
          <w:kern w:val="0"/>
        </w:rPr>
      </w:pPr>
      <w:r>
        <w:rPr>
          <w:rFonts w:hint="eastAsia"/>
          <w:kern w:val="0"/>
        </w:rPr>
        <w:t>第</w:t>
      </w:r>
      <w:r>
        <w:rPr>
          <w:rFonts w:hint="eastAsia"/>
          <w:kern w:val="0"/>
        </w:rPr>
        <w:t xml:space="preserve"> </w:t>
      </w:r>
      <w:r>
        <w:rPr>
          <w:rFonts w:hint="eastAsia"/>
          <w:kern w:val="0"/>
        </w:rPr>
        <w:t>六</w:t>
      </w:r>
      <w:r>
        <w:rPr>
          <w:rFonts w:hint="eastAsia"/>
          <w:kern w:val="0"/>
        </w:rPr>
        <w:t xml:space="preserve"> </w:t>
      </w:r>
      <w:r>
        <w:rPr>
          <w:rFonts w:hint="eastAsia"/>
          <w:kern w:val="0"/>
        </w:rPr>
        <w:t>条</w:t>
      </w:r>
    </w:p>
    <w:p w:rsidR="00000000" w:rsidRDefault="009C1C61">
      <w:pPr>
        <w:pStyle w:val="Heading3"/>
        <w:rPr>
          <w:kern w:val="0"/>
        </w:rPr>
      </w:pPr>
      <w:r>
        <w:rPr>
          <w:rFonts w:hint="eastAsia"/>
          <w:kern w:val="0"/>
        </w:rPr>
        <w:t>工</w:t>
      </w:r>
      <w:r>
        <w:rPr>
          <w:rFonts w:hint="eastAsia"/>
          <w:kern w:val="0"/>
        </w:rPr>
        <w:t xml:space="preserve"> </w:t>
      </w:r>
      <w:r>
        <w:rPr>
          <w:rFonts w:hint="eastAsia"/>
          <w:kern w:val="0"/>
        </w:rPr>
        <w:t>作</w:t>
      </w:r>
      <w:r>
        <w:rPr>
          <w:rFonts w:hint="eastAsia"/>
          <w:kern w:val="0"/>
        </w:rPr>
        <w:t xml:space="preserve"> </w:t>
      </w:r>
      <w:r>
        <w:rPr>
          <w:rFonts w:hint="eastAsia"/>
          <w:kern w:val="0"/>
        </w:rPr>
        <w:t>权</w:t>
      </w:r>
    </w:p>
    <w:p w:rsidR="00000000" w:rsidRDefault="009C1C61">
      <w:pPr>
        <w:rPr>
          <w:snapToGrid/>
        </w:rPr>
      </w:pPr>
      <w:r>
        <w:rPr>
          <w:rFonts w:hint="eastAsia"/>
          <w:snapToGrid/>
        </w:rPr>
        <w:tab/>
      </w:r>
      <w:r>
        <w:rPr>
          <w:snapToGrid/>
        </w:rPr>
        <w:t>144.</w:t>
      </w:r>
      <w:r>
        <w:rPr>
          <w:rFonts w:hint="eastAsia"/>
          <w:snapToGrid/>
        </w:rPr>
        <w:t xml:space="preserve">  </w:t>
      </w:r>
      <w:r>
        <w:rPr>
          <w:rFonts w:hint="eastAsia"/>
          <w:snapToGrid/>
        </w:rPr>
        <w:t>智利政府批准了下列由国际劳工组织</w:t>
      </w:r>
      <w:r>
        <w:rPr>
          <w:snapToGrid/>
        </w:rPr>
        <w:t>(</w:t>
      </w:r>
      <w:r>
        <w:rPr>
          <w:snapToGrid/>
        </w:rPr>
        <w:t>劳工组织</w:t>
      </w:r>
      <w:r>
        <w:rPr>
          <w:snapToGrid/>
        </w:rPr>
        <w:t>)</w:t>
      </w:r>
      <w:r>
        <w:rPr>
          <w:rFonts w:hint="eastAsia"/>
          <w:snapToGrid/>
        </w:rPr>
        <w:t>主管</w:t>
      </w:r>
      <w:r>
        <w:rPr>
          <w:snapToGrid/>
        </w:rPr>
        <w:t>的公约：</w:t>
      </w:r>
    </w:p>
    <w:p w:rsidR="00000000" w:rsidRDefault="009C1C61">
      <w:pPr>
        <w:numPr>
          <w:ilvl w:val="0"/>
          <w:numId w:val="241"/>
        </w:numPr>
        <w:rPr>
          <w:snapToGrid/>
        </w:rPr>
      </w:pPr>
      <w:r>
        <w:rPr>
          <w:snapToGrid/>
        </w:rPr>
        <w:t>19</w:t>
      </w:r>
      <w:r>
        <w:rPr>
          <w:rFonts w:hint="eastAsia"/>
          <w:snapToGrid/>
        </w:rPr>
        <w:t>6</w:t>
      </w:r>
      <w:r>
        <w:rPr>
          <w:snapToGrid/>
        </w:rPr>
        <w:t>8</w:t>
      </w:r>
      <w:r>
        <w:rPr>
          <w:snapToGrid/>
        </w:rPr>
        <w:t>年</w:t>
      </w:r>
      <w:r>
        <w:rPr>
          <w:snapToGrid/>
        </w:rPr>
        <w:t>10</w:t>
      </w:r>
      <w:r>
        <w:rPr>
          <w:snapToGrid/>
        </w:rPr>
        <w:t>月</w:t>
      </w:r>
      <w:r>
        <w:rPr>
          <w:snapToGrid/>
        </w:rPr>
        <w:t>20</w:t>
      </w:r>
      <w:r>
        <w:rPr>
          <w:snapToGrid/>
        </w:rPr>
        <w:t>日批准</w:t>
      </w:r>
      <w:r>
        <w:rPr>
          <w:rFonts w:hint="eastAsia"/>
          <w:snapToGrid/>
        </w:rPr>
        <w:t>的</w:t>
      </w:r>
      <w:r>
        <w:rPr>
          <w:snapToGrid/>
        </w:rPr>
        <w:t>19</w:t>
      </w:r>
      <w:r>
        <w:rPr>
          <w:rFonts w:hint="eastAsia"/>
          <w:snapToGrid/>
        </w:rPr>
        <w:t>6</w:t>
      </w:r>
      <w:r>
        <w:rPr>
          <w:snapToGrid/>
        </w:rPr>
        <w:t>4</w:t>
      </w:r>
      <w:r>
        <w:rPr>
          <w:snapToGrid/>
        </w:rPr>
        <w:t>年</w:t>
      </w:r>
      <w:r>
        <w:rPr>
          <w:rFonts w:hint="eastAsia"/>
          <w:snapToGrid/>
        </w:rPr>
        <w:t>的</w:t>
      </w:r>
      <w:r>
        <w:rPr>
          <w:snapToGrid/>
        </w:rPr>
        <w:t>《就业政策公约》</w:t>
      </w:r>
      <w:r>
        <w:rPr>
          <w:snapToGrid/>
        </w:rPr>
        <w:t>(</w:t>
      </w:r>
      <w:r>
        <w:rPr>
          <w:snapToGrid/>
        </w:rPr>
        <w:t>第</w:t>
      </w:r>
      <w:r>
        <w:rPr>
          <w:snapToGrid/>
        </w:rPr>
        <w:t>122</w:t>
      </w:r>
      <w:r>
        <w:rPr>
          <w:snapToGrid/>
        </w:rPr>
        <w:t>号</w:t>
      </w:r>
      <w:r>
        <w:rPr>
          <w:rFonts w:hint="eastAsia"/>
          <w:snapToGrid/>
        </w:rPr>
        <w:t>)</w:t>
      </w:r>
      <w:r>
        <w:rPr>
          <w:snapToGrid/>
        </w:rPr>
        <w:t>。</w:t>
      </w:r>
      <w:r>
        <w:rPr>
          <w:rFonts w:hint="eastAsia"/>
          <w:snapToGrid/>
        </w:rPr>
        <w:t>向</w:t>
      </w:r>
      <w:r>
        <w:rPr>
          <w:snapToGrid/>
        </w:rPr>
        <w:t>劳工组织公约和建议</w:t>
      </w:r>
      <w:r>
        <w:rPr>
          <w:rFonts w:hint="eastAsia"/>
          <w:snapToGrid/>
        </w:rPr>
        <w:t>适用</w:t>
      </w:r>
      <w:r>
        <w:rPr>
          <w:snapToGrid/>
        </w:rPr>
        <w:t>委员会提交了有关此项</w:t>
      </w:r>
      <w:r>
        <w:rPr>
          <w:rFonts w:hint="eastAsia"/>
          <w:snapToGrid/>
        </w:rPr>
        <w:t>《</w:t>
      </w:r>
      <w:r>
        <w:rPr>
          <w:snapToGrid/>
        </w:rPr>
        <w:t>公约</w:t>
      </w:r>
      <w:r>
        <w:rPr>
          <w:rFonts w:hint="eastAsia"/>
          <w:snapToGrid/>
        </w:rPr>
        <w:t>》</w:t>
      </w:r>
      <w:r>
        <w:rPr>
          <w:snapToGrid/>
        </w:rPr>
        <w:t>的</w:t>
      </w:r>
      <w:r>
        <w:rPr>
          <w:rFonts w:hint="eastAsia"/>
          <w:snapToGrid/>
        </w:rPr>
        <w:t>四</w:t>
      </w:r>
      <w:r>
        <w:rPr>
          <w:snapToGrid/>
        </w:rPr>
        <w:t>份报告，分别报告了</w:t>
      </w:r>
      <w:r>
        <w:rPr>
          <w:snapToGrid/>
        </w:rPr>
        <w:t>1990</w:t>
      </w:r>
      <w:r>
        <w:rPr>
          <w:snapToGrid/>
        </w:rPr>
        <w:t>年</w:t>
      </w:r>
      <w:r>
        <w:rPr>
          <w:snapToGrid/>
        </w:rPr>
        <w:t>7</w:t>
      </w:r>
      <w:r>
        <w:rPr>
          <w:snapToGrid/>
        </w:rPr>
        <w:t>月</w:t>
      </w:r>
      <w:r>
        <w:rPr>
          <w:snapToGrid/>
        </w:rPr>
        <w:t>1</w:t>
      </w:r>
      <w:r>
        <w:rPr>
          <w:snapToGrid/>
        </w:rPr>
        <w:t>日至</w:t>
      </w:r>
      <w:r>
        <w:rPr>
          <w:snapToGrid/>
        </w:rPr>
        <w:t>1992</w:t>
      </w:r>
      <w:r>
        <w:rPr>
          <w:snapToGrid/>
        </w:rPr>
        <w:t>年</w:t>
      </w:r>
      <w:r>
        <w:rPr>
          <w:snapToGrid/>
        </w:rPr>
        <w:t>6</w:t>
      </w:r>
      <w:r>
        <w:rPr>
          <w:snapToGrid/>
        </w:rPr>
        <w:t>月</w:t>
      </w:r>
      <w:r>
        <w:rPr>
          <w:snapToGrid/>
        </w:rPr>
        <w:t>30</w:t>
      </w:r>
      <w:r>
        <w:rPr>
          <w:snapToGrid/>
        </w:rPr>
        <w:t>日、</w:t>
      </w:r>
      <w:r>
        <w:rPr>
          <w:snapToGrid/>
        </w:rPr>
        <w:t>1992</w:t>
      </w:r>
      <w:r>
        <w:rPr>
          <w:snapToGrid/>
        </w:rPr>
        <w:t>年</w:t>
      </w:r>
      <w:r>
        <w:rPr>
          <w:snapToGrid/>
        </w:rPr>
        <w:t>7</w:t>
      </w:r>
      <w:r>
        <w:rPr>
          <w:snapToGrid/>
        </w:rPr>
        <w:t>月</w:t>
      </w:r>
      <w:r>
        <w:rPr>
          <w:snapToGrid/>
        </w:rPr>
        <w:t>1</w:t>
      </w:r>
      <w:r>
        <w:rPr>
          <w:snapToGrid/>
        </w:rPr>
        <w:t>日至</w:t>
      </w:r>
      <w:r>
        <w:rPr>
          <w:snapToGrid/>
        </w:rPr>
        <w:t>1</w:t>
      </w:r>
      <w:r>
        <w:rPr>
          <w:snapToGrid/>
        </w:rPr>
        <w:t>994</w:t>
      </w:r>
      <w:r>
        <w:rPr>
          <w:snapToGrid/>
        </w:rPr>
        <w:t>年</w:t>
      </w:r>
      <w:r>
        <w:rPr>
          <w:snapToGrid/>
        </w:rPr>
        <w:t>6</w:t>
      </w:r>
      <w:r>
        <w:rPr>
          <w:snapToGrid/>
        </w:rPr>
        <w:t>月</w:t>
      </w:r>
      <w:r>
        <w:rPr>
          <w:snapToGrid/>
        </w:rPr>
        <w:t>30</w:t>
      </w:r>
      <w:r>
        <w:rPr>
          <w:snapToGrid/>
        </w:rPr>
        <w:t>日、</w:t>
      </w:r>
      <w:r>
        <w:rPr>
          <w:snapToGrid/>
        </w:rPr>
        <w:t>1994</w:t>
      </w:r>
      <w:r>
        <w:rPr>
          <w:snapToGrid/>
        </w:rPr>
        <w:t>年</w:t>
      </w:r>
      <w:r>
        <w:rPr>
          <w:snapToGrid/>
        </w:rPr>
        <w:t>7</w:t>
      </w:r>
      <w:r>
        <w:rPr>
          <w:snapToGrid/>
        </w:rPr>
        <w:t>月</w:t>
      </w:r>
      <w:r>
        <w:rPr>
          <w:snapToGrid/>
        </w:rPr>
        <w:t>1</w:t>
      </w:r>
      <w:r>
        <w:rPr>
          <w:snapToGrid/>
        </w:rPr>
        <w:t>日至</w:t>
      </w:r>
      <w:r>
        <w:rPr>
          <w:snapToGrid/>
        </w:rPr>
        <w:t>1996</w:t>
      </w:r>
      <w:r>
        <w:rPr>
          <w:snapToGrid/>
        </w:rPr>
        <w:t>年</w:t>
      </w:r>
      <w:r>
        <w:rPr>
          <w:snapToGrid/>
        </w:rPr>
        <w:t>6</w:t>
      </w:r>
      <w:r>
        <w:rPr>
          <w:snapToGrid/>
        </w:rPr>
        <w:t>月</w:t>
      </w:r>
      <w:r>
        <w:rPr>
          <w:snapToGrid/>
        </w:rPr>
        <w:t>30</w:t>
      </w:r>
      <w:r>
        <w:rPr>
          <w:snapToGrid/>
        </w:rPr>
        <w:t>日，和</w:t>
      </w:r>
      <w:r>
        <w:rPr>
          <w:snapToGrid/>
        </w:rPr>
        <w:t>1996</w:t>
      </w:r>
      <w:r>
        <w:rPr>
          <w:snapToGrid/>
        </w:rPr>
        <w:t>年</w:t>
      </w:r>
      <w:r>
        <w:rPr>
          <w:snapToGrid/>
        </w:rPr>
        <w:t>7</w:t>
      </w:r>
      <w:r>
        <w:rPr>
          <w:snapToGrid/>
        </w:rPr>
        <w:t>月</w:t>
      </w:r>
      <w:r>
        <w:rPr>
          <w:snapToGrid/>
        </w:rPr>
        <w:t>1</w:t>
      </w:r>
      <w:r>
        <w:rPr>
          <w:snapToGrid/>
        </w:rPr>
        <w:t>日至</w:t>
      </w:r>
      <w:r>
        <w:rPr>
          <w:snapToGrid/>
        </w:rPr>
        <w:t>1998</w:t>
      </w:r>
      <w:r>
        <w:rPr>
          <w:snapToGrid/>
        </w:rPr>
        <w:t>年</w:t>
      </w:r>
      <w:r>
        <w:rPr>
          <w:snapToGrid/>
        </w:rPr>
        <w:t>6</w:t>
      </w:r>
      <w:r>
        <w:rPr>
          <w:snapToGrid/>
        </w:rPr>
        <w:t>月</w:t>
      </w:r>
      <w:r>
        <w:rPr>
          <w:snapToGrid/>
        </w:rPr>
        <w:t>30</w:t>
      </w:r>
      <w:r>
        <w:rPr>
          <w:snapToGrid/>
        </w:rPr>
        <w:t>日期间的情况；</w:t>
      </w:r>
    </w:p>
    <w:p w:rsidR="00000000" w:rsidRDefault="009C1C61">
      <w:pPr>
        <w:numPr>
          <w:ilvl w:val="0"/>
          <w:numId w:val="241"/>
        </w:numPr>
        <w:spacing w:after="240"/>
        <w:rPr>
          <w:snapToGrid/>
        </w:rPr>
      </w:pPr>
      <w:r>
        <w:rPr>
          <w:rFonts w:hint="eastAsia"/>
          <w:snapToGrid/>
        </w:rPr>
        <w:t>1971</w:t>
      </w:r>
      <w:r>
        <w:rPr>
          <w:snapToGrid/>
        </w:rPr>
        <w:t>年</w:t>
      </w:r>
      <w:r>
        <w:rPr>
          <w:snapToGrid/>
        </w:rPr>
        <w:t>9</w:t>
      </w:r>
      <w:r>
        <w:rPr>
          <w:snapToGrid/>
        </w:rPr>
        <w:t>月</w:t>
      </w:r>
      <w:r>
        <w:rPr>
          <w:snapToGrid/>
        </w:rPr>
        <w:t>2</w:t>
      </w:r>
      <w:r>
        <w:rPr>
          <w:rFonts w:hint="eastAsia"/>
          <w:snapToGrid/>
        </w:rPr>
        <w:t>0</w:t>
      </w:r>
      <w:r>
        <w:rPr>
          <w:snapToGrid/>
        </w:rPr>
        <w:t>日批准</w:t>
      </w:r>
      <w:r>
        <w:rPr>
          <w:rFonts w:hint="eastAsia"/>
          <w:snapToGrid/>
        </w:rPr>
        <w:t>的</w:t>
      </w:r>
      <w:r>
        <w:rPr>
          <w:snapToGrid/>
        </w:rPr>
        <w:t>1958</w:t>
      </w:r>
      <w:r>
        <w:rPr>
          <w:snapToGrid/>
        </w:rPr>
        <w:t>年《歧视</w:t>
      </w:r>
      <w:r>
        <w:rPr>
          <w:snapToGrid/>
        </w:rPr>
        <w:t>(</w:t>
      </w:r>
      <w:r>
        <w:rPr>
          <w:snapToGrid/>
        </w:rPr>
        <w:t>就业</w:t>
      </w:r>
      <w:r>
        <w:rPr>
          <w:rFonts w:hint="eastAsia"/>
          <w:snapToGrid/>
        </w:rPr>
        <w:t>及</w:t>
      </w:r>
      <w:r>
        <w:rPr>
          <w:snapToGrid/>
        </w:rPr>
        <w:t>职业</w:t>
      </w:r>
      <w:r>
        <w:rPr>
          <w:snapToGrid/>
        </w:rPr>
        <w:t>)</w:t>
      </w:r>
      <w:r>
        <w:rPr>
          <w:snapToGrid/>
        </w:rPr>
        <w:t>公约》</w:t>
      </w:r>
      <w:r>
        <w:rPr>
          <w:snapToGrid/>
        </w:rPr>
        <w:t>(</w:t>
      </w:r>
      <w:r>
        <w:rPr>
          <w:snapToGrid/>
        </w:rPr>
        <w:t>第</w:t>
      </w:r>
      <w:r>
        <w:rPr>
          <w:snapToGrid/>
        </w:rPr>
        <w:t>111</w:t>
      </w:r>
      <w:r>
        <w:rPr>
          <w:snapToGrid/>
        </w:rPr>
        <w:t>号</w:t>
      </w:r>
      <w:r>
        <w:rPr>
          <w:rFonts w:hint="eastAsia"/>
          <w:snapToGrid/>
        </w:rPr>
        <w:t>)</w:t>
      </w:r>
      <w:r>
        <w:rPr>
          <w:snapToGrid/>
        </w:rPr>
        <w:t>。</w:t>
      </w:r>
      <w:r>
        <w:rPr>
          <w:rFonts w:hint="eastAsia"/>
          <w:snapToGrid/>
        </w:rPr>
        <w:t>向</w:t>
      </w:r>
      <w:r>
        <w:rPr>
          <w:snapToGrid/>
        </w:rPr>
        <w:t>劳工组织公约和建议</w:t>
      </w:r>
      <w:r>
        <w:rPr>
          <w:rFonts w:hint="eastAsia"/>
          <w:snapToGrid/>
        </w:rPr>
        <w:t>适用</w:t>
      </w:r>
      <w:r>
        <w:rPr>
          <w:snapToGrid/>
        </w:rPr>
        <w:t>委员会提交了</w:t>
      </w:r>
      <w:r>
        <w:rPr>
          <w:snapToGrid/>
        </w:rPr>
        <w:t>1</w:t>
      </w:r>
      <w:r>
        <w:rPr>
          <w:rFonts w:hint="eastAsia"/>
          <w:snapToGrid/>
        </w:rPr>
        <w:t>0</w:t>
      </w:r>
      <w:r>
        <w:rPr>
          <w:rFonts w:hint="eastAsia"/>
          <w:snapToGrid/>
        </w:rPr>
        <w:t>份</w:t>
      </w:r>
      <w:r>
        <w:rPr>
          <w:rFonts w:hint="eastAsia"/>
          <w:snapToGrid/>
        </w:rPr>
        <w:t xml:space="preserve"> </w:t>
      </w:r>
      <w:r>
        <w:rPr>
          <w:snapToGrid/>
        </w:rPr>
        <w:t>报告，分别报告了</w:t>
      </w:r>
      <w:r>
        <w:rPr>
          <w:snapToGrid/>
        </w:rPr>
        <w:t>1990</w:t>
      </w:r>
      <w:r>
        <w:rPr>
          <w:snapToGrid/>
        </w:rPr>
        <w:t>年</w:t>
      </w:r>
      <w:r>
        <w:rPr>
          <w:snapToGrid/>
        </w:rPr>
        <w:t>7</w:t>
      </w:r>
      <w:r>
        <w:rPr>
          <w:snapToGrid/>
        </w:rPr>
        <w:t>月</w:t>
      </w:r>
      <w:r>
        <w:rPr>
          <w:snapToGrid/>
        </w:rPr>
        <w:t>1</w:t>
      </w:r>
      <w:r>
        <w:rPr>
          <w:snapToGrid/>
        </w:rPr>
        <w:t>日至</w:t>
      </w:r>
      <w:r>
        <w:rPr>
          <w:snapToGrid/>
        </w:rPr>
        <w:t>1991</w:t>
      </w:r>
      <w:r>
        <w:rPr>
          <w:snapToGrid/>
        </w:rPr>
        <w:t>年</w:t>
      </w:r>
      <w:r>
        <w:rPr>
          <w:rFonts w:hint="eastAsia"/>
          <w:snapToGrid/>
        </w:rPr>
        <w:t>1</w:t>
      </w:r>
      <w:r>
        <w:rPr>
          <w:snapToGrid/>
        </w:rPr>
        <w:t>月</w:t>
      </w:r>
      <w:r>
        <w:rPr>
          <w:snapToGrid/>
        </w:rPr>
        <w:t>1</w:t>
      </w:r>
      <w:r>
        <w:rPr>
          <w:snapToGrid/>
        </w:rPr>
        <w:t>日、</w:t>
      </w:r>
      <w:r>
        <w:rPr>
          <w:snapToGrid/>
        </w:rPr>
        <w:t>1990</w:t>
      </w:r>
      <w:r>
        <w:rPr>
          <w:snapToGrid/>
        </w:rPr>
        <w:t>年</w:t>
      </w:r>
      <w:r>
        <w:rPr>
          <w:rFonts w:hint="eastAsia"/>
          <w:snapToGrid/>
        </w:rPr>
        <w:t>7</w:t>
      </w:r>
      <w:r>
        <w:rPr>
          <w:snapToGrid/>
        </w:rPr>
        <w:t>月</w:t>
      </w:r>
      <w:r>
        <w:rPr>
          <w:snapToGrid/>
        </w:rPr>
        <w:t>1</w:t>
      </w:r>
      <w:r>
        <w:rPr>
          <w:snapToGrid/>
        </w:rPr>
        <w:t>日至</w:t>
      </w:r>
      <w:r>
        <w:rPr>
          <w:snapToGrid/>
        </w:rPr>
        <w:t>1991</w:t>
      </w:r>
      <w:r>
        <w:rPr>
          <w:snapToGrid/>
        </w:rPr>
        <w:t>年</w:t>
      </w:r>
      <w:r>
        <w:rPr>
          <w:snapToGrid/>
        </w:rPr>
        <w:t>2</w:t>
      </w:r>
      <w:r>
        <w:rPr>
          <w:snapToGrid/>
        </w:rPr>
        <w:t>月</w:t>
      </w:r>
      <w:r>
        <w:rPr>
          <w:snapToGrid/>
        </w:rPr>
        <w:t>14</w:t>
      </w:r>
      <w:r>
        <w:rPr>
          <w:snapToGrid/>
        </w:rPr>
        <w:t>日、</w:t>
      </w:r>
      <w:r>
        <w:rPr>
          <w:snapToGrid/>
        </w:rPr>
        <w:t>1992</w:t>
      </w:r>
      <w:r>
        <w:rPr>
          <w:snapToGrid/>
        </w:rPr>
        <w:t>年</w:t>
      </w:r>
      <w:r>
        <w:rPr>
          <w:snapToGrid/>
        </w:rPr>
        <w:t>7</w:t>
      </w:r>
      <w:r>
        <w:rPr>
          <w:snapToGrid/>
        </w:rPr>
        <w:t>月</w:t>
      </w:r>
      <w:r>
        <w:rPr>
          <w:snapToGrid/>
        </w:rPr>
        <w:t>1</w:t>
      </w:r>
      <w:r>
        <w:rPr>
          <w:snapToGrid/>
        </w:rPr>
        <w:t>日至</w:t>
      </w:r>
      <w:r>
        <w:rPr>
          <w:snapToGrid/>
        </w:rPr>
        <w:t>1993</w:t>
      </w:r>
      <w:r>
        <w:rPr>
          <w:snapToGrid/>
        </w:rPr>
        <w:t>年</w:t>
      </w:r>
      <w:r>
        <w:rPr>
          <w:snapToGrid/>
        </w:rPr>
        <w:t>6</w:t>
      </w:r>
      <w:r>
        <w:rPr>
          <w:snapToGrid/>
        </w:rPr>
        <w:t>月</w:t>
      </w:r>
      <w:r>
        <w:rPr>
          <w:snapToGrid/>
        </w:rPr>
        <w:t>30</w:t>
      </w:r>
      <w:r>
        <w:rPr>
          <w:snapToGrid/>
        </w:rPr>
        <w:t>日、</w:t>
      </w:r>
      <w:r>
        <w:rPr>
          <w:snapToGrid/>
        </w:rPr>
        <w:t>1993</w:t>
      </w:r>
      <w:r>
        <w:rPr>
          <w:snapToGrid/>
        </w:rPr>
        <w:t>年</w:t>
      </w:r>
      <w:r>
        <w:rPr>
          <w:snapToGrid/>
        </w:rPr>
        <w:t>7</w:t>
      </w:r>
      <w:r>
        <w:rPr>
          <w:snapToGrid/>
        </w:rPr>
        <w:t>月</w:t>
      </w:r>
      <w:r>
        <w:rPr>
          <w:snapToGrid/>
        </w:rPr>
        <w:t>1</w:t>
      </w:r>
      <w:r>
        <w:rPr>
          <w:snapToGrid/>
        </w:rPr>
        <w:t>日至</w:t>
      </w:r>
      <w:r>
        <w:rPr>
          <w:snapToGrid/>
        </w:rPr>
        <w:t>1994</w:t>
      </w:r>
      <w:r>
        <w:rPr>
          <w:snapToGrid/>
        </w:rPr>
        <w:t>年</w:t>
      </w:r>
      <w:r>
        <w:rPr>
          <w:snapToGrid/>
        </w:rPr>
        <w:t>6</w:t>
      </w:r>
      <w:r>
        <w:rPr>
          <w:snapToGrid/>
        </w:rPr>
        <w:t>月</w:t>
      </w:r>
      <w:r>
        <w:rPr>
          <w:snapToGrid/>
        </w:rPr>
        <w:t>30</w:t>
      </w:r>
      <w:r>
        <w:rPr>
          <w:snapToGrid/>
        </w:rPr>
        <w:t>日、</w:t>
      </w:r>
      <w:r>
        <w:rPr>
          <w:snapToGrid/>
        </w:rPr>
        <w:t>1994</w:t>
      </w:r>
      <w:r>
        <w:rPr>
          <w:snapToGrid/>
        </w:rPr>
        <w:t>年</w:t>
      </w:r>
      <w:r>
        <w:rPr>
          <w:snapToGrid/>
        </w:rPr>
        <w:t>7</w:t>
      </w:r>
      <w:r>
        <w:rPr>
          <w:snapToGrid/>
        </w:rPr>
        <w:t>月</w:t>
      </w:r>
      <w:r>
        <w:rPr>
          <w:snapToGrid/>
        </w:rPr>
        <w:t>1</w:t>
      </w:r>
      <w:r>
        <w:rPr>
          <w:snapToGrid/>
        </w:rPr>
        <w:t>日至</w:t>
      </w:r>
      <w:r>
        <w:rPr>
          <w:snapToGrid/>
        </w:rPr>
        <w:t>1995</w:t>
      </w:r>
      <w:r>
        <w:rPr>
          <w:snapToGrid/>
        </w:rPr>
        <w:t>年</w:t>
      </w:r>
      <w:r>
        <w:rPr>
          <w:snapToGrid/>
        </w:rPr>
        <w:t>6</w:t>
      </w:r>
      <w:r>
        <w:rPr>
          <w:snapToGrid/>
        </w:rPr>
        <w:t>月</w:t>
      </w:r>
      <w:r>
        <w:rPr>
          <w:snapToGrid/>
        </w:rPr>
        <w:t>30</w:t>
      </w:r>
      <w:r>
        <w:rPr>
          <w:snapToGrid/>
        </w:rPr>
        <w:t>日、</w:t>
      </w:r>
      <w:r>
        <w:rPr>
          <w:snapToGrid/>
        </w:rPr>
        <w:t>1995</w:t>
      </w:r>
      <w:r>
        <w:rPr>
          <w:snapToGrid/>
        </w:rPr>
        <w:t>年</w:t>
      </w:r>
      <w:r>
        <w:rPr>
          <w:snapToGrid/>
        </w:rPr>
        <w:t>7</w:t>
      </w:r>
      <w:r>
        <w:rPr>
          <w:snapToGrid/>
        </w:rPr>
        <w:t>月</w:t>
      </w:r>
      <w:r>
        <w:rPr>
          <w:snapToGrid/>
        </w:rPr>
        <w:t>1</w:t>
      </w:r>
      <w:r>
        <w:rPr>
          <w:snapToGrid/>
        </w:rPr>
        <w:t>日至</w:t>
      </w:r>
      <w:r>
        <w:rPr>
          <w:snapToGrid/>
        </w:rPr>
        <w:t>1997</w:t>
      </w:r>
      <w:r>
        <w:rPr>
          <w:snapToGrid/>
        </w:rPr>
        <w:t>年</w:t>
      </w:r>
      <w:r>
        <w:rPr>
          <w:snapToGrid/>
        </w:rPr>
        <w:t>9</w:t>
      </w:r>
      <w:r>
        <w:rPr>
          <w:snapToGrid/>
        </w:rPr>
        <w:t>月</w:t>
      </w:r>
      <w:r>
        <w:rPr>
          <w:snapToGrid/>
        </w:rPr>
        <w:t>30</w:t>
      </w:r>
      <w:r>
        <w:rPr>
          <w:snapToGrid/>
        </w:rPr>
        <w:t>、</w:t>
      </w:r>
      <w:r>
        <w:rPr>
          <w:snapToGrid/>
        </w:rPr>
        <w:t>1995</w:t>
      </w:r>
      <w:r>
        <w:rPr>
          <w:snapToGrid/>
        </w:rPr>
        <w:t>年</w:t>
      </w:r>
      <w:r>
        <w:rPr>
          <w:snapToGrid/>
        </w:rPr>
        <w:t>7</w:t>
      </w:r>
      <w:r>
        <w:rPr>
          <w:snapToGrid/>
        </w:rPr>
        <w:t>月</w:t>
      </w:r>
      <w:r>
        <w:rPr>
          <w:snapToGrid/>
        </w:rPr>
        <w:t>1</w:t>
      </w:r>
      <w:r>
        <w:rPr>
          <w:snapToGrid/>
        </w:rPr>
        <w:t>日至</w:t>
      </w:r>
      <w:r>
        <w:rPr>
          <w:snapToGrid/>
        </w:rPr>
        <w:t>1997</w:t>
      </w:r>
      <w:r>
        <w:rPr>
          <w:snapToGrid/>
        </w:rPr>
        <w:t>年</w:t>
      </w:r>
      <w:r>
        <w:rPr>
          <w:rFonts w:hint="eastAsia"/>
          <w:snapToGrid/>
        </w:rPr>
        <w:t>9</w:t>
      </w:r>
      <w:r>
        <w:rPr>
          <w:snapToGrid/>
        </w:rPr>
        <w:t>月</w:t>
      </w:r>
      <w:r>
        <w:rPr>
          <w:snapToGrid/>
        </w:rPr>
        <w:t>30</w:t>
      </w:r>
      <w:r>
        <w:rPr>
          <w:snapToGrid/>
        </w:rPr>
        <w:t>日</w:t>
      </w:r>
      <w:r>
        <w:rPr>
          <w:snapToGrid/>
        </w:rPr>
        <w:t>(</w:t>
      </w:r>
      <w:r>
        <w:rPr>
          <w:snapToGrid/>
        </w:rPr>
        <w:t>补充</w:t>
      </w:r>
      <w:r>
        <w:rPr>
          <w:snapToGrid/>
        </w:rPr>
        <w:t>)</w:t>
      </w:r>
      <w:r>
        <w:rPr>
          <w:snapToGrid/>
        </w:rPr>
        <w:t>，以及</w:t>
      </w:r>
      <w:r>
        <w:rPr>
          <w:snapToGrid/>
        </w:rPr>
        <w:t>1997</w:t>
      </w:r>
      <w:r>
        <w:rPr>
          <w:snapToGrid/>
        </w:rPr>
        <w:t>年</w:t>
      </w:r>
      <w:r>
        <w:rPr>
          <w:snapToGrid/>
        </w:rPr>
        <w:t>10</w:t>
      </w:r>
      <w:r>
        <w:rPr>
          <w:snapToGrid/>
        </w:rPr>
        <w:t>月</w:t>
      </w:r>
      <w:r>
        <w:rPr>
          <w:snapToGrid/>
        </w:rPr>
        <w:t>1</w:t>
      </w:r>
      <w:r>
        <w:rPr>
          <w:snapToGrid/>
        </w:rPr>
        <w:t>日至</w:t>
      </w:r>
      <w:r>
        <w:rPr>
          <w:snapToGrid/>
        </w:rPr>
        <w:t>1999</w:t>
      </w:r>
      <w:r>
        <w:rPr>
          <w:snapToGrid/>
        </w:rPr>
        <w:t>年</w:t>
      </w:r>
      <w:r>
        <w:rPr>
          <w:snapToGrid/>
        </w:rPr>
        <w:t>10</w:t>
      </w:r>
      <w:r>
        <w:rPr>
          <w:snapToGrid/>
        </w:rPr>
        <w:t>月</w:t>
      </w:r>
      <w:r>
        <w:rPr>
          <w:snapToGrid/>
        </w:rPr>
        <w:t>15</w:t>
      </w:r>
      <w:r>
        <w:rPr>
          <w:snapToGrid/>
        </w:rPr>
        <w:t>日期间的情况。</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一般的以及特别影响某些类别工作人员的就业、失业和就业不足情况、程度和趋势</w:t>
      </w:r>
    </w:p>
    <w:p w:rsidR="00000000" w:rsidRDefault="009C1C61">
      <w:pPr>
        <w:rPr>
          <w:snapToGrid/>
        </w:rPr>
      </w:pPr>
      <w:r>
        <w:rPr>
          <w:rFonts w:hint="eastAsia"/>
          <w:snapToGrid/>
        </w:rPr>
        <w:tab/>
        <w:t xml:space="preserve">145.  </w:t>
      </w:r>
      <w:r>
        <w:rPr>
          <w:snapToGrid/>
        </w:rPr>
        <w:t>1995</w:t>
      </w:r>
      <w:r>
        <w:rPr>
          <w:snapToGrid/>
        </w:rPr>
        <w:t>至</w:t>
      </w:r>
      <w:r>
        <w:rPr>
          <w:snapToGrid/>
        </w:rPr>
        <w:t>1998</w:t>
      </w:r>
      <w:r>
        <w:rPr>
          <w:snapToGrid/>
        </w:rPr>
        <w:t>年期间，劳工队伍增长</w:t>
      </w:r>
      <w:r>
        <w:rPr>
          <w:rFonts w:hint="eastAsia"/>
          <w:snapToGrid/>
        </w:rPr>
        <w:t>的速度虽有所变化</w:t>
      </w:r>
      <w:r>
        <w:rPr>
          <w:snapToGrid/>
        </w:rPr>
        <w:t>，但</w:t>
      </w:r>
      <w:r>
        <w:rPr>
          <w:rFonts w:hint="eastAsia"/>
          <w:snapToGrid/>
        </w:rPr>
        <w:t>还是以年均</w:t>
      </w:r>
      <w:r>
        <w:rPr>
          <w:snapToGrid/>
        </w:rPr>
        <w:t>2.2%</w:t>
      </w:r>
      <w:r>
        <w:rPr>
          <w:snapToGrid/>
        </w:rPr>
        <w:t>的</w:t>
      </w:r>
      <w:r>
        <w:rPr>
          <w:rFonts w:hint="eastAsia"/>
          <w:snapToGrid/>
        </w:rPr>
        <w:t>速度</w:t>
      </w:r>
      <w:r>
        <w:rPr>
          <w:snapToGrid/>
        </w:rPr>
        <w:t>持续</w:t>
      </w:r>
      <w:r>
        <w:rPr>
          <w:rFonts w:hint="eastAsia"/>
          <w:snapToGrid/>
        </w:rPr>
        <w:t>增长</w:t>
      </w:r>
      <w:r>
        <w:rPr>
          <w:snapToGrid/>
        </w:rPr>
        <w:t>，相当于每</w:t>
      </w:r>
      <w:r>
        <w:rPr>
          <w:rFonts w:hint="eastAsia"/>
          <w:snapToGrid/>
        </w:rPr>
        <w:t>年新</w:t>
      </w:r>
      <w:r>
        <w:rPr>
          <w:snapToGrid/>
        </w:rPr>
        <w:t>进入劳务市场</w:t>
      </w:r>
      <w:r>
        <w:rPr>
          <w:rFonts w:hint="eastAsia"/>
          <w:snapToGrid/>
        </w:rPr>
        <w:t>的求职者有</w:t>
      </w:r>
      <w:r>
        <w:rPr>
          <w:rFonts w:hint="eastAsia"/>
          <w:snapToGrid/>
        </w:rPr>
        <w:t>1,046,000</w:t>
      </w:r>
      <w:r>
        <w:rPr>
          <w:rFonts w:hint="eastAsia"/>
          <w:snapToGrid/>
        </w:rPr>
        <w:t>人。</w:t>
      </w:r>
    </w:p>
    <w:p w:rsidR="00000000" w:rsidRDefault="009C1C61">
      <w:pPr>
        <w:spacing w:after="240"/>
        <w:rPr>
          <w:snapToGrid/>
        </w:rPr>
      </w:pPr>
      <w:r>
        <w:rPr>
          <w:rFonts w:hint="eastAsia"/>
          <w:snapToGrid/>
        </w:rPr>
        <w:tab/>
        <w:t xml:space="preserve">146.  </w:t>
      </w:r>
      <w:r>
        <w:rPr>
          <w:snapToGrid/>
        </w:rPr>
        <w:t>1999</w:t>
      </w:r>
      <w:r>
        <w:rPr>
          <w:snapToGrid/>
        </w:rPr>
        <w:t>至</w:t>
      </w:r>
      <w:r>
        <w:rPr>
          <w:snapToGrid/>
        </w:rPr>
        <w:t>2001</w:t>
      </w:r>
      <w:r>
        <w:rPr>
          <w:snapToGrid/>
        </w:rPr>
        <w:t>年期间，劳工队伍继续增长，但</w:t>
      </w:r>
      <w:r>
        <w:rPr>
          <w:rFonts w:hint="eastAsia"/>
          <w:snapToGrid/>
        </w:rPr>
        <w:t>速度放</w:t>
      </w:r>
      <w:r>
        <w:rPr>
          <w:snapToGrid/>
        </w:rPr>
        <w:t>慢。在</w:t>
      </w:r>
      <w:r>
        <w:rPr>
          <w:rFonts w:hint="eastAsia"/>
          <w:snapToGrid/>
        </w:rPr>
        <w:t>此</w:t>
      </w:r>
      <w:r>
        <w:rPr>
          <w:snapToGrid/>
        </w:rPr>
        <w:t>期间，年增长率仅为</w:t>
      </w:r>
      <w:r>
        <w:rPr>
          <w:snapToGrid/>
        </w:rPr>
        <w:t>0.2%(</w:t>
      </w:r>
      <w:r>
        <w:rPr>
          <w:snapToGrid/>
        </w:rPr>
        <w:t>相当于每年新进入劳务市场的求职者</w:t>
      </w:r>
      <w:r>
        <w:rPr>
          <w:rFonts w:hint="eastAsia"/>
          <w:snapToGrid/>
        </w:rPr>
        <w:t>为</w:t>
      </w:r>
      <w:r>
        <w:rPr>
          <w:snapToGrid/>
        </w:rPr>
        <w:t>34,470</w:t>
      </w:r>
      <w:r>
        <w:rPr>
          <w:snapToGrid/>
        </w:rPr>
        <w:t>人；参见表</w:t>
      </w:r>
      <w:r>
        <w:rPr>
          <w:rFonts w:hint="eastAsia"/>
          <w:snapToGrid/>
        </w:rPr>
        <w:t>4</w:t>
      </w:r>
      <w:r>
        <w:rPr>
          <w:snapToGrid/>
        </w:rPr>
        <w:t>)</w:t>
      </w:r>
      <w:r>
        <w:rPr>
          <w:snapToGrid/>
        </w:rPr>
        <w:t>。</w:t>
      </w:r>
    </w:p>
    <w:p w:rsidR="00000000" w:rsidRDefault="009C1C61">
      <w:pPr>
        <w:pStyle w:val="Heading3"/>
        <w:spacing w:after="240"/>
        <w:rPr>
          <w:rFonts w:ascii="Time New Roman" w:hAnsi="Time New Roman" w:hint="eastAsia"/>
        </w:rPr>
      </w:pPr>
      <w:r>
        <w:rPr>
          <w:rFonts w:ascii="Time New Roman" w:hAnsi="Time New Roman" w:hint="eastAsia"/>
        </w:rPr>
        <w:t>表</w:t>
      </w:r>
      <w:r>
        <w:rPr>
          <w:rFonts w:ascii="Time New Roman" w:hAnsi="Time New Roman" w:hint="eastAsia"/>
        </w:rPr>
        <w:t xml:space="preserve"> </w:t>
      </w:r>
      <w:r>
        <w:rPr>
          <w:rFonts w:ascii="Time New Roman" w:hAnsi="Time New Roman" w:hint="eastAsia"/>
        </w:rPr>
        <w:t xml:space="preserve"> </w:t>
      </w:r>
      <w:r>
        <w:rPr>
          <w:rFonts w:ascii="Time New Roman" w:hAnsi="Time New Roman" w:hint="eastAsia"/>
          <w:b/>
        </w:rPr>
        <w:t>4</w:t>
      </w:r>
      <w:r>
        <w:rPr>
          <w:rFonts w:ascii="Time New Roman" w:hAnsi="Time New Roman"/>
          <w:b/>
        </w:rPr>
        <w:br/>
      </w:r>
      <w:r>
        <w:rPr>
          <w:rFonts w:ascii="Time New Roman" w:hAnsi="Time New Roman" w:hint="eastAsia"/>
          <w:b/>
        </w:rPr>
        <w:t>1990</w:t>
      </w:r>
      <w:r>
        <w:rPr>
          <w:rFonts w:ascii="Time New Roman" w:hAnsi="Time New Roman" w:hint="eastAsia"/>
        </w:rPr>
        <w:t>至</w:t>
      </w:r>
      <w:r>
        <w:rPr>
          <w:rFonts w:ascii="Time New Roman" w:hAnsi="Time New Roman" w:hint="eastAsia"/>
          <w:b/>
        </w:rPr>
        <w:t>2001</w:t>
      </w:r>
      <w:r>
        <w:rPr>
          <w:rFonts w:ascii="Time New Roman" w:hAnsi="Time New Roman" w:hint="eastAsia"/>
        </w:rPr>
        <w:t>年智利的就业趋势</w:t>
      </w:r>
    </w:p>
    <w:tbl>
      <w:tblPr>
        <w:tblW w:w="94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2"/>
        <w:gridCol w:w="1274"/>
        <w:gridCol w:w="1414"/>
        <w:gridCol w:w="1430"/>
        <w:gridCol w:w="1430"/>
        <w:gridCol w:w="1390"/>
      </w:tblGrid>
      <w:tr w:rsidR="00000000">
        <w:trPr>
          <w:cantSplit/>
        </w:trPr>
        <w:tc>
          <w:tcPr>
            <w:tcW w:w="2551" w:type="dxa"/>
            <w:vMerge w:val="restart"/>
          </w:tcPr>
          <w:p w:rsidR="00000000" w:rsidRDefault="009C1C61">
            <w:pPr>
              <w:pStyle w:val="a2"/>
              <w:spacing w:before="120"/>
              <w:ind w:left="170"/>
              <w:rPr>
                <w:rFonts w:ascii="Time New Roman" w:eastAsia="SimHei" w:hAnsi="Time New Roman" w:hint="eastAsia"/>
                <w:snapToGrid/>
              </w:rPr>
            </w:pPr>
            <w:r>
              <w:rPr>
                <w:rFonts w:ascii="Time New Roman" w:eastAsia="SimHei" w:hAnsi="Time New Roman" w:hint="eastAsia"/>
                <w:snapToGrid/>
              </w:rPr>
              <w:t>全国总数</w:t>
            </w:r>
          </w:p>
        </w:tc>
        <w:tc>
          <w:tcPr>
            <w:tcW w:w="1276" w:type="dxa"/>
          </w:tcPr>
          <w:p w:rsidR="00000000" w:rsidRDefault="009C1C61">
            <w:pPr>
              <w:pStyle w:val="a2"/>
              <w:jc w:val="center"/>
              <w:rPr>
                <w:rFonts w:hint="eastAsia"/>
                <w:snapToGrid/>
              </w:rPr>
            </w:pPr>
            <w:r>
              <w:rPr>
                <w:snapToGrid/>
              </w:rPr>
              <w:t>1990</w:t>
            </w:r>
            <w:r>
              <w:rPr>
                <w:rFonts w:hint="eastAsia"/>
                <w:snapToGrid/>
              </w:rPr>
              <w:t>年</w:t>
            </w:r>
          </w:p>
        </w:tc>
        <w:tc>
          <w:tcPr>
            <w:tcW w:w="1417" w:type="dxa"/>
          </w:tcPr>
          <w:p w:rsidR="00000000" w:rsidRDefault="009C1C61">
            <w:pPr>
              <w:pStyle w:val="a2"/>
              <w:jc w:val="center"/>
              <w:rPr>
                <w:rFonts w:hint="eastAsia"/>
                <w:snapToGrid/>
              </w:rPr>
            </w:pPr>
            <w:r>
              <w:rPr>
                <w:snapToGrid/>
              </w:rPr>
              <w:t>1995</w:t>
            </w:r>
            <w:r>
              <w:rPr>
                <w:rFonts w:hint="eastAsia"/>
                <w:snapToGrid/>
              </w:rPr>
              <w:t>年</w:t>
            </w:r>
          </w:p>
        </w:tc>
        <w:tc>
          <w:tcPr>
            <w:tcW w:w="1418" w:type="dxa"/>
          </w:tcPr>
          <w:p w:rsidR="00000000" w:rsidRDefault="009C1C61">
            <w:pPr>
              <w:pStyle w:val="a2"/>
              <w:jc w:val="center"/>
              <w:rPr>
                <w:rFonts w:hint="eastAsia"/>
                <w:snapToGrid/>
              </w:rPr>
            </w:pPr>
            <w:r>
              <w:rPr>
                <w:snapToGrid/>
              </w:rPr>
              <w:t>1999</w:t>
            </w:r>
            <w:r>
              <w:rPr>
                <w:rFonts w:hint="eastAsia"/>
                <w:snapToGrid/>
              </w:rPr>
              <w:t>年</w:t>
            </w:r>
          </w:p>
        </w:tc>
        <w:tc>
          <w:tcPr>
            <w:tcW w:w="1417" w:type="dxa"/>
          </w:tcPr>
          <w:p w:rsidR="00000000" w:rsidRDefault="009C1C61">
            <w:pPr>
              <w:pStyle w:val="a2"/>
              <w:jc w:val="center"/>
              <w:rPr>
                <w:rFonts w:hint="eastAsia"/>
                <w:snapToGrid/>
              </w:rPr>
            </w:pPr>
            <w:r>
              <w:rPr>
                <w:snapToGrid/>
              </w:rPr>
              <w:t>2000</w:t>
            </w:r>
            <w:r>
              <w:rPr>
                <w:rFonts w:hint="eastAsia"/>
                <w:snapToGrid/>
              </w:rPr>
              <w:t>年</w:t>
            </w:r>
          </w:p>
        </w:tc>
        <w:tc>
          <w:tcPr>
            <w:tcW w:w="1351" w:type="dxa"/>
          </w:tcPr>
          <w:p w:rsidR="00000000" w:rsidRDefault="009C1C61">
            <w:pPr>
              <w:pStyle w:val="a2"/>
              <w:jc w:val="center"/>
              <w:rPr>
                <w:rFonts w:hint="eastAsia"/>
                <w:snapToGrid/>
                <w:sz w:val="20"/>
              </w:rPr>
            </w:pPr>
            <w:r>
              <w:rPr>
                <w:snapToGrid/>
                <w:sz w:val="20"/>
              </w:rPr>
              <w:t>2001</w:t>
            </w:r>
            <w:r>
              <w:rPr>
                <w:rFonts w:hint="eastAsia"/>
                <w:snapToGrid/>
                <w:sz w:val="20"/>
              </w:rPr>
              <w:t>年</w:t>
            </w:r>
          </w:p>
        </w:tc>
      </w:tr>
      <w:tr w:rsidR="00000000">
        <w:trPr>
          <w:cantSplit/>
        </w:trPr>
        <w:tc>
          <w:tcPr>
            <w:tcW w:w="2551" w:type="dxa"/>
            <w:vMerge/>
          </w:tcPr>
          <w:p w:rsidR="00000000" w:rsidRDefault="009C1C61">
            <w:pPr>
              <w:pStyle w:val="a2"/>
              <w:rPr>
                <w:snapToGrid/>
              </w:rPr>
            </w:pPr>
          </w:p>
        </w:tc>
        <w:tc>
          <w:tcPr>
            <w:tcW w:w="6879" w:type="dxa"/>
            <w:gridSpan w:val="5"/>
          </w:tcPr>
          <w:p w:rsidR="00000000" w:rsidRDefault="009C1C61">
            <w:pPr>
              <w:pStyle w:val="a2"/>
              <w:jc w:val="center"/>
              <w:rPr>
                <w:rFonts w:hint="eastAsia"/>
                <w:snapToGrid/>
              </w:rPr>
            </w:pPr>
            <w:r>
              <w:rPr>
                <w:rFonts w:hint="eastAsia"/>
                <w:snapToGrid/>
              </w:rPr>
              <w:t>10</w:t>
            </w:r>
            <w:r>
              <w:rPr>
                <w:rFonts w:hint="eastAsia"/>
                <w:snapToGrid/>
              </w:rPr>
              <w:t>月至</w:t>
            </w:r>
            <w:r>
              <w:rPr>
                <w:rFonts w:hint="eastAsia"/>
                <w:snapToGrid/>
              </w:rPr>
              <w:t>12</w:t>
            </w:r>
            <w:r>
              <w:rPr>
                <w:rFonts w:hint="eastAsia"/>
                <w:snapToGrid/>
              </w:rPr>
              <w:t>月</w:t>
            </w:r>
          </w:p>
        </w:tc>
      </w:tr>
      <w:tr w:rsidR="00000000">
        <w:tc>
          <w:tcPr>
            <w:tcW w:w="2551" w:type="dxa"/>
          </w:tcPr>
          <w:p w:rsidR="00000000" w:rsidRDefault="009C1C61">
            <w:pPr>
              <w:pStyle w:val="a2"/>
              <w:rPr>
                <w:rFonts w:hint="eastAsia"/>
                <w:snapToGrid/>
              </w:rPr>
            </w:pPr>
            <w:r>
              <w:rPr>
                <w:rFonts w:hint="eastAsia"/>
                <w:snapToGrid/>
              </w:rPr>
              <w:t>15</w:t>
            </w:r>
            <w:r>
              <w:rPr>
                <w:rFonts w:hint="eastAsia"/>
                <w:snapToGrid/>
              </w:rPr>
              <w:t>岁及以上的人口</w:t>
            </w:r>
          </w:p>
        </w:tc>
        <w:tc>
          <w:tcPr>
            <w:tcW w:w="1276" w:type="dxa"/>
          </w:tcPr>
          <w:p w:rsidR="00000000" w:rsidRDefault="009C1C61">
            <w:pPr>
              <w:pStyle w:val="a2"/>
              <w:ind w:right="284"/>
              <w:jc w:val="right"/>
              <w:rPr>
                <w:snapToGrid/>
              </w:rPr>
            </w:pPr>
            <w:r>
              <w:rPr>
                <w:snapToGrid/>
              </w:rPr>
              <w:t>9,225,3</w:t>
            </w:r>
          </w:p>
        </w:tc>
        <w:tc>
          <w:tcPr>
            <w:tcW w:w="1417" w:type="dxa"/>
          </w:tcPr>
          <w:p w:rsidR="00000000" w:rsidRDefault="009C1C61">
            <w:pPr>
              <w:pStyle w:val="a2"/>
              <w:ind w:right="284"/>
              <w:jc w:val="right"/>
              <w:rPr>
                <w:snapToGrid/>
              </w:rPr>
            </w:pPr>
            <w:r>
              <w:rPr>
                <w:snapToGrid/>
              </w:rPr>
              <w:t>10,092,2</w:t>
            </w:r>
          </w:p>
        </w:tc>
        <w:tc>
          <w:tcPr>
            <w:tcW w:w="1418" w:type="dxa"/>
          </w:tcPr>
          <w:p w:rsidR="00000000" w:rsidRDefault="009C1C61">
            <w:pPr>
              <w:pStyle w:val="a2"/>
              <w:ind w:right="284"/>
              <w:jc w:val="right"/>
              <w:rPr>
                <w:snapToGrid/>
              </w:rPr>
            </w:pPr>
            <w:r>
              <w:rPr>
                <w:snapToGrid/>
              </w:rPr>
              <w:t>10,782,81</w:t>
            </w:r>
          </w:p>
        </w:tc>
        <w:tc>
          <w:tcPr>
            <w:tcW w:w="1417" w:type="dxa"/>
          </w:tcPr>
          <w:p w:rsidR="00000000" w:rsidRDefault="009C1C61">
            <w:pPr>
              <w:pStyle w:val="a2"/>
              <w:ind w:right="284"/>
              <w:jc w:val="right"/>
              <w:rPr>
                <w:snapToGrid/>
              </w:rPr>
            </w:pPr>
            <w:r>
              <w:rPr>
                <w:snapToGrid/>
              </w:rPr>
              <w:t>10,977,02</w:t>
            </w:r>
          </w:p>
        </w:tc>
        <w:tc>
          <w:tcPr>
            <w:tcW w:w="1351" w:type="dxa"/>
          </w:tcPr>
          <w:p w:rsidR="00000000" w:rsidRDefault="009C1C61">
            <w:pPr>
              <w:pStyle w:val="a2"/>
              <w:ind w:right="284"/>
              <w:jc w:val="right"/>
              <w:rPr>
                <w:snapToGrid/>
                <w:sz w:val="20"/>
              </w:rPr>
            </w:pPr>
            <w:r>
              <w:rPr>
                <w:snapToGrid/>
                <w:sz w:val="20"/>
              </w:rPr>
              <w:t>11,153,69</w:t>
            </w:r>
          </w:p>
        </w:tc>
      </w:tr>
      <w:tr w:rsidR="00000000">
        <w:tc>
          <w:tcPr>
            <w:tcW w:w="2551" w:type="dxa"/>
          </w:tcPr>
          <w:p w:rsidR="00000000" w:rsidRDefault="009C1C61">
            <w:pPr>
              <w:pStyle w:val="a2"/>
              <w:rPr>
                <w:rFonts w:hint="eastAsia"/>
                <w:snapToGrid/>
              </w:rPr>
            </w:pPr>
            <w:r>
              <w:rPr>
                <w:rFonts w:hint="eastAsia"/>
                <w:snapToGrid/>
              </w:rPr>
              <w:t>劳动力队伍</w:t>
            </w:r>
          </w:p>
        </w:tc>
        <w:tc>
          <w:tcPr>
            <w:tcW w:w="1276" w:type="dxa"/>
          </w:tcPr>
          <w:p w:rsidR="00000000" w:rsidRDefault="009C1C61">
            <w:pPr>
              <w:pStyle w:val="a2"/>
              <w:ind w:right="284"/>
              <w:jc w:val="right"/>
              <w:rPr>
                <w:snapToGrid/>
              </w:rPr>
            </w:pPr>
            <w:r>
              <w:rPr>
                <w:snapToGrid/>
              </w:rPr>
              <w:t>4,888,6</w:t>
            </w:r>
          </w:p>
        </w:tc>
        <w:tc>
          <w:tcPr>
            <w:tcW w:w="1417" w:type="dxa"/>
          </w:tcPr>
          <w:p w:rsidR="00000000" w:rsidRDefault="009C1C61">
            <w:pPr>
              <w:pStyle w:val="a2"/>
              <w:ind w:right="284"/>
              <w:jc w:val="right"/>
              <w:rPr>
                <w:snapToGrid/>
              </w:rPr>
            </w:pPr>
            <w:r>
              <w:rPr>
                <w:snapToGrid/>
              </w:rPr>
              <w:t>5,538,2</w:t>
            </w:r>
          </w:p>
        </w:tc>
        <w:tc>
          <w:tcPr>
            <w:tcW w:w="1418" w:type="dxa"/>
          </w:tcPr>
          <w:p w:rsidR="00000000" w:rsidRDefault="009C1C61">
            <w:pPr>
              <w:pStyle w:val="a2"/>
              <w:ind w:right="284"/>
              <w:jc w:val="right"/>
              <w:rPr>
                <w:snapToGrid/>
              </w:rPr>
            </w:pPr>
            <w:r>
              <w:rPr>
                <w:snapToGrid/>
              </w:rPr>
              <w:t>5,933,56</w:t>
            </w:r>
          </w:p>
        </w:tc>
        <w:tc>
          <w:tcPr>
            <w:tcW w:w="1417" w:type="dxa"/>
          </w:tcPr>
          <w:p w:rsidR="00000000" w:rsidRDefault="009C1C61">
            <w:pPr>
              <w:pStyle w:val="a2"/>
              <w:ind w:right="284"/>
              <w:jc w:val="right"/>
              <w:rPr>
                <w:snapToGrid/>
              </w:rPr>
            </w:pPr>
            <w:r>
              <w:rPr>
                <w:rFonts w:hint="eastAsia"/>
                <w:snapToGrid/>
              </w:rPr>
              <w:t>1</w:t>
            </w:r>
          </w:p>
        </w:tc>
        <w:tc>
          <w:tcPr>
            <w:tcW w:w="1351" w:type="dxa"/>
          </w:tcPr>
          <w:p w:rsidR="00000000" w:rsidRDefault="009C1C61">
            <w:pPr>
              <w:pStyle w:val="a2"/>
              <w:ind w:right="284"/>
              <w:jc w:val="right"/>
              <w:rPr>
                <w:snapToGrid/>
                <w:sz w:val="20"/>
              </w:rPr>
            </w:pPr>
            <w:r>
              <w:rPr>
                <w:snapToGrid/>
                <w:sz w:val="20"/>
              </w:rPr>
              <w:t>5,948,82</w:t>
            </w:r>
          </w:p>
        </w:tc>
      </w:tr>
      <w:tr w:rsidR="00000000">
        <w:tc>
          <w:tcPr>
            <w:tcW w:w="2551" w:type="dxa"/>
          </w:tcPr>
          <w:p w:rsidR="00000000" w:rsidRDefault="009C1C61">
            <w:pPr>
              <w:pStyle w:val="a2"/>
              <w:rPr>
                <w:rFonts w:hint="eastAsia"/>
                <w:snapToGrid/>
              </w:rPr>
            </w:pPr>
            <w:r>
              <w:rPr>
                <w:rFonts w:hint="eastAsia"/>
                <w:snapToGrid/>
              </w:rPr>
              <w:t>参与率</w:t>
            </w:r>
          </w:p>
        </w:tc>
        <w:tc>
          <w:tcPr>
            <w:tcW w:w="1276" w:type="dxa"/>
          </w:tcPr>
          <w:p w:rsidR="00000000" w:rsidRDefault="009C1C61">
            <w:pPr>
              <w:pStyle w:val="a2"/>
              <w:ind w:right="284"/>
              <w:jc w:val="right"/>
              <w:rPr>
                <w:snapToGrid/>
              </w:rPr>
            </w:pPr>
            <w:r>
              <w:rPr>
                <w:snapToGrid/>
              </w:rPr>
              <w:t>53,0</w:t>
            </w:r>
          </w:p>
        </w:tc>
        <w:tc>
          <w:tcPr>
            <w:tcW w:w="1417" w:type="dxa"/>
          </w:tcPr>
          <w:p w:rsidR="00000000" w:rsidRDefault="009C1C61">
            <w:pPr>
              <w:pStyle w:val="a2"/>
              <w:ind w:right="284"/>
              <w:jc w:val="right"/>
              <w:rPr>
                <w:snapToGrid/>
              </w:rPr>
            </w:pPr>
            <w:r>
              <w:rPr>
                <w:snapToGrid/>
              </w:rPr>
              <w:t>54,9</w:t>
            </w:r>
          </w:p>
        </w:tc>
        <w:tc>
          <w:tcPr>
            <w:tcW w:w="1418" w:type="dxa"/>
          </w:tcPr>
          <w:p w:rsidR="00000000" w:rsidRDefault="009C1C61">
            <w:pPr>
              <w:pStyle w:val="a2"/>
              <w:ind w:right="284"/>
              <w:jc w:val="right"/>
              <w:rPr>
                <w:snapToGrid/>
              </w:rPr>
            </w:pPr>
            <w:r>
              <w:rPr>
                <w:snapToGrid/>
              </w:rPr>
              <w:t>55,0</w:t>
            </w:r>
          </w:p>
        </w:tc>
        <w:tc>
          <w:tcPr>
            <w:tcW w:w="1417" w:type="dxa"/>
          </w:tcPr>
          <w:p w:rsidR="00000000" w:rsidRDefault="009C1C61">
            <w:pPr>
              <w:pStyle w:val="a2"/>
              <w:ind w:right="284"/>
              <w:jc w:val="right"/>
              <w:rPr>
                <w:snapToGrid/>
              </w:rPr>
            </w:pPr>
            <w:r>
              <w:rPr>
                <w:snapToGrid/>
              </w:rPr>
              <w:t>53,4</w:t>
            </w:r>
          </w:p>
        </w:tc>
        <w:tc>
          <w:tcPr>
            <w:tcW w:w="1351" w:type="dxa"/>
          </w:tcPr>
          <w:p w:rsidR="00000000" w:rsidRDefault="009C1C61">
            <w:pPr>
              <w:pStyle w:val="a2"/>
              <w:ind w:right="284"/>
              <w:jc w:val="right"/>
              <w:rPr>
                <w:snapToGrid/>
                <w:sz w:val="20"/>
              </w:rPr>
            </w:pPr>
            <w:r>
              <w:rPr>
                <w:snapToGrid/>
                <w:sz w:val="20"/>
              </w:rPr>
              <w:t>53,3</w:t>
            </w:r>
          </w:p>
        </w:tc>
      </w:tr>
      <w:tr w:rsidR="00000000">
        <w:tc>
          <w:tcPr>
            <w:tcW w:w="2551" w:type="dxa"/>
          </w:tcPr>
          <w:p w:rsidR="00000000" w:rsidRDefault="009C1C61">
            <w:pPr>
              <w:pStyle w:val="a2"/>
              <w:rPr>
                <w:rFonts w:hint="eastAsia"/>
                <w:snapToGrid/>
              </w:rPr>
            </w:pPr>
            <w:r>
              <w:rPr>
                <w:rFonts w:hint="eastAsia"/>
                <w:snapToGrid/>
              </w:rPr>
              <w:t>就业者</w:t>
            </w:r>
          </w:p>
        </w:tc>
        <w:tc>
          <w:tcPr>
            <w:tcW w:w="1276" w:type="dxa"/>
          </w:tcPr>
          <w:p w:rsidR="00000000" w:rsidRDefault="009C1C61">
            <w:pPr>
              <w:pStyle w:val="a2"/>
              <w:ind w:right="284"/>
              <w:jc w:val="right"/>
              <w:rPr>
                <w:snapToGrid/>
              </w:rPr>
            </w:pPr>
            <w:r>
              <w:rPr>
                <w:snapToGrid/>
              </w:rPr>
              <w:t>4,525,5</w:t>
            </w:r>
          </w:p>
        </w:tc>
        <w:tc>
          <w:tcPr>
            <w:tcW w:w="1417" w:type="dxa"/>
          </w:tcPr>
          <w:p w:rsidR="00000000" w:rsidRDefault="009C1C61">
            <w:pPr>
              <w:pStyle w:val="a2"/>
              <w:ind w:right="284"/>
              <w:jc w:val="right"/>
              <w:rPr>
                <w:snapToGrid/>
              </w:rPr>
            </w:pPr>
            <w:r>
              <w:rPr>
                <w:snapToGrid/>
              </w:rPr>
              <w:t>5,174,4</w:t>
            </w:r>
          </w:p>
        </w:tc>
        <w:tc>
          <w:tcPr>
            <w:tcW w:w="1418" w:type="dxa"/>
          </w:tcPr>
          <w:p w:rsidR="00000000" w:rsidRDefault="009C1C61">
            <w:pPr>
              <w:pStyle w:val="a2"/>
              <w:ind w:right="284"/>
              <w:jc w:val="right"/>
              <w:rPr>
                <w:snapToGrid/>
              </w:rPr>
            </w:pPr>
            <w:r>
              <w:rPr>
                <w:snapToGrid/>
              </w:rPr>
              <w:t>5,404,48</w:t>
            </w:r>
          </w:p>
        </w:tc>
        <w:tc>
          <w:tcPr>
            <w:tcW w:w="1417" w:type="dxa"/>
          </w:tcPr>
          <w:p w:rsidR="00000000" w:rsidRDefault="009C1C61">
            <w:pPr>
              <w:pStyle w:val="a2"/>
              <w:ind w:right="284"/>
              <w:jc w:val="right"/>
              <w:rPr>
                <w:snapToGrid/>
              </w:rPr>
            </w:pPr>
            <w:r>
              <w:rPr>
                <w:rFonts w:hint="eastAsia"/>
                <w:snapToGrid/>
              </w:rPr>
              <w:t>1</w:t>
            </w:r>
          </w:p>
        </w:tc>
        <w:tc>
          <w:tcPr>
            <w:tcW w:w="1351" w:type="dxa"/>
          </w:tcPr>
          <w:p w:rsidR="00000000" w:rsidRDefault="009C1C61">
            <w:pPr>
              <w:pStyle w:val="a2"/>
              <w:ind w:right="284"/>
              <w:jc w:val="right"/>
              <w:rPr>
                <w:snapToGrid/>
                <w:sz w:val="20"/>
              </w:rPr>
            </w:pPr>
            <w:r>
              <w:rPr>
                <w:snapToGrid/>
                <w:sz w:val="20"/>
              </w:rPr>
              <w:t>5,479,39</w:t>
            </w:r>
          </w:p>
        </w:tc>
      </w:tr>
      <w:tr w:rsidR="00000000">
        <w:trPr>
          <w:trHeight w:val="192"/>
        </w:trPr>
        <w:tc>
          <w:tcPr>
            <w:tcW w:w="2551" w:type="dxa"/>
          </w:tcPr>
          <w:p w:rsidR="00000000" w:rsidRDefault="009C1C61">
            <w:pPr>
              <w:pStyle w:val="a2"/>
              <w:rPr>
                <w:rFonts w:hint="eastAsia"/>
                <w:snapToGrid/>
              </w:rPr>
            </w:pPr>
            <w:r>
              <w:rPr>
                <w:rFonts w:hint="eastAsia"/>
                <w:snapToGrid/>
              </w:rPr>
              <w:t>失业者</w:t>
            </w:r>
          </w:p>
        </w:tc>
        <w:tc>
          <w:tcPr>
            <w:tcW w:w="1276" w:type="dxa"/>
          </w:tcPr>
          <w:p w:rsidR="00000000" w:rsidRDefault="009C1C61">
            <w:pPr>
              <w:pStyle w:val="a2"/>
              <w:ind w:right="284"/>
              <w:jc w:val="right"/>
              <w:rPr>
                <w:snapToGrid/>
              </w:rPr>
            </w:pPr>
            <w:r>
              <w:rPr>
                <w:snapToGrid/>
              </w:rPr>
              <w:t>363,1</w:t>
            </w:r>
          </w:p>
        </w:tc>
        <w:tc>
          <w:tcPr>
            <w:tcW w:w="1417" w:type="dxa"/>
          </w:tcPr>
          <w:p w:rsidR="00000000" w:rsidRDefault="009C1C61">
            <w:pPr>
              <w:pStyle w:val="a2"/>
              <w:ind w:right="284"/>
              <w:jc w:val="right"/>
              <w:rPr>
                <w:snapToGrid/>
              </w:rPr>
            </w:pPr>
            <w:r>
              <w:rPr>
                <w:snapToGrid/>
              </w:rPr>
              <w:t>363,8</w:t>
            </w:r>
          </w:p>
        </w:tc>
        <w:tc>
          <w:tcPr>
            <w:tcW w:w="1418" w:type="dxa"/>
          </w:tcPr>
          <w:p w:rsidR="00000000" w:rsidRDefault="009C1C61">
            <w:pPr>
              <w:pStyle w:val="a2"/>
              <w:ind w:right="284"/>
              <w:jc w:val="right"/>
              <w:rPr>
                <w:snapToGrid/>
              </w:rPr>
            </w:pPr>
            <w:r>
              <w:rPr>
                <w:snapToGrid/>
              </w:rPr>
              <w:t>5</w:t>
            </w:r>
            <w:r>
              <w:rPr>
                <w:snapToGrid/>
              </w:rPr>
              <w:t>29,08</w:t>
            </w:r>
          </w:p>
        </w:tc>
        <w:tc>
          <w:tcPr>
            <w:tcW w:w="1417" w:type="dxa"/>
          </w:tcPr>
          <w:p w:rsidR="00000000" w:rsidRDefault="009C1C61">
            <w:pPr>
              <w:pStyle w:val="a2"/>
              <w:ind w:right="284"/>
              <w:jc w:val="right"/>
              <w:rPr>
                <w:snapToGrid/>
              </w:rPr>
            </w:pPr>
            <w:r>
              <w:rPr>
                <w:snapToGrid/>
              </w:rPr>
              <w:t>489,42</w:t>
            </w:r>
          </w:p>
        </w:tc>
        <w:tc>
          <w:tcPr>
            <w:tcW w:w="1351" w:type="dxa"/>
          </w:tcPr>
          <w:p w:rsidR="00000000" w:rsidRDefault="009C1C61">
            <w:pPr>
              <w:pStyle w:val="a2"/>
              <w:ind w:right="284"/>
              <w:jc w:val="right"/>
              <w:rPr>
                <w:snapToGrid/>
                <w:sz w:val="20"/>
              </w:rPr>
            </w:pPr>
            <w:r>
              <w:rPr>
                <w:snapToGrid/>
                <w:sz w:val="20"/>
              </w:rPr>
              <w:t>469,43</w:t>
            </w:r>
          </w:p>
        </w:tc>
      </w:tr>
      <w:tr w:rsidR="00000000">
        <w:tc>
          <w:tcPr>
            <w:tcW w:w="2551" w:type="dxa"/>
          </w:tcPr>
          <w:p w:rsidR="00000000" w:rsidRDefault="009C1C61">
            <w:pPr>
              <w:pStyle w:val="a2"/>
              <w:rPr>
                <w:rFonts w:hint="eastAsia"/>
                <w:snapToGrid/>
              </w:rPr>
            </w:pPr>
            <w:r>
              <w:rPr>
                <w:rFonts w:hint="eastAsia"/>
                <w:snapToGrid/>
              </w:rPr>
              <w:t>失业率</w:t>
            </w:r>
          </w:p>
          <w:p w:rsidR="00000000" w:rsidRDefault="009C1C61">
            <w:pPr>
              <w:pStyle w:val="a2"/>
              <w:rPr>
                <w:rFonts w:hint="eastAsia"/>
                <w:snapToGrid/>
              </w:rPr>
            </w:pPr>
            <w:r>
              <w:rPr>
                <w:snapToGrid/>
              </w:rPr>
              <w:t>(15</w:t>
            </w:r>
            <w:r>
              <w:rPr>
                <w:rFonts w:hint="eastAsia"/>
                <w:snapToGrid/>
              </w:rPr>
              <w:t>至</w:t>
            </w:r>
            <w:r>
              <w:rPr>
                <w:snapToGrid/>
              </w:rPr>
              <w:t>19</w:t>
            </w:r>
            <w:r>
              <w:rPr>
                <w:rFonts w:hint="eastAsia"/>
                <w:snapToGrid/>
              </w:rPr>
              <w:t>岁</w:t>
            </w:r>
            <w:r>
              <w:rPr>
                <w:snapToGrid/>
              </w:rPr>
              <w:t>)</w:t>
            </w:r>
          </w:p>
          <w:p w:rsidR="00000000" w:rsidRDefault="009C1C61">
            <w:pPr>
              <w:pStyle w:val="a2"/>
              <w:rPr>
                <w:snapToGrid/>
              </w:rPr>
            </w:pPr>
            <w:r>
              <w:rPr>
                <w:snapToGrid/>
              </w:rPr>
              <w:t>(20</w:t>
            </w:r>
            <w:r>
              <w:rPr>
                <w:rFonts w:hint="eastAsia"/>
                <w:snapToGrid/>
              </w:rPr>
              <w:t>至</w:t>
            </w:r>
            <w:r>
              <w:rPr>
                <w:snapToGrid/>
              </w:rPr>
              <w:t>24</w:t>
            </w:r>
            <w:r>
              <w:rPr>
                <w:rFonts w:hint="eastAsia"/>
                <w:snapToGrid/>
              </w:rPr>
              <w:t>岁</w:t>
            </w:r>
            <w:r>
              <w:rPr>
                <w:snapToGrid/>
              </w:rPr>
              <w:t>)</w:t>
            </w:r>
          </w:p>
        </w:tc>
        <w:tc>
          <w:tcPr>
            <w:tcW w:w="1276" w:type="dxa"/>
          </w:tcPr>
          <w:p w:rsidR="00000000" w:rsidRDefault="009C1C61">
            <w:pPr>
              <w:pStyle w:val="a2"/>
              <w:ind w:right="284"/>
              <w:jc w:val="right"/>
              <w:rPr>
                <w:snapToGrid/>
              </w:rPr>
            </w:pPr>
            <w:r>
              <w:rPr>
                <w:snapToGrid/>
              </w:rPr>
              <w:t>7,4</w:t>
            </w:r>
          </w:p>
          <w:p w:rsidR="00000000" w:rsidRDefault="009C1C61">
            <w:pPr>
              <w:pStyle w:val="a2"/>
              <w:ind w:right="284"/>
              <w:jc w:val="right"/>
              <w:rPr>
                <w:snapToGrid/>
              </w:rPr>
            </w:pPr>
            <w:r>
              <w:rPr>
                <w:snapToGrid/>
              </w:rPr>
              <w:t>-</w:t>
            </w:r>
          </w:p>
          <w:p w:rsidR="00000000" w:rsidRDefault="009C1C61">
            <w:pPr>
              <w:pStyle w:val="a2"/>
              <w:ind w:right="284"/>
              <w:jc w:val="right"/>
              <w:rPr>
                <w:snapToGrid/>
              </w:rPr>
            </w:pPr>
            <w:r>
              <w:rPr>
                <w:snapToGrid/>
              </w:rPr>
              <w:t>-</w:t>
            </w:r>
          </w:p>
        </w:tc>
        <w:tc>
          <w:tcPr>
            <w:tcW w:w="1417" w:type="dxa"/>
          </w:tcPr>
          <w:p w:rsidR="00000000" w:rsidRDefault="009C1C61">
            <w:pPr>
              <w:pStyle w:val="a2"/>
              <w:ind w:right="284"/>
              <w:jc w:val="right"/>
              <w:rPr>
                <w:snapToGrid/>
              </w:rPr>
            </w:pPr>
            <w:r>
              <w:rPr>
                <w:snapToGrid/>
              </w:rPr>
              <w:t>6,6</w:t>
            </w:r>
          </w:p>
          <w:p w:rsidR="00000000" w:rsidRDefault="009C1C61">
            <w:pPr>
              <w:pStyle w:val="a2"/>
              <w:ind w:right="284"/>
              <w:jc w:val="right"/>
              <w:rPr>
                <w:snapToGrid/>
              </w:rPr>
            </w:pPr>
            <w:r>
              <w:rPr>
                <w:snapToGrid/>
              </w:rPr>
              <w:t>-</w:t>
            </w:r>
          </w:p>
          <w:p w:rsidR="00000000" w:rsidRDefault="009C1C61">
            <w:pPr>
              <w:pStyle w:val="a2"/>
              <w:ind w:right="284"/>
              <w:jc w:val="right"/>
              <w:rPr>
                <w:snapToGrid/>
              </w:rPr>
            </w:pPr>
            <w:r>
              <w:rPr>
                <w:snapToGrid/>
              </w:rPr>
              <w:t>-</w:t>
            </w:r>
          </w:p>
        </w:tc>
        <w:tc>
          <w:tcPr>
            <w:tcW w:w="1418" w:type="dxa"/>
          </w:tcPr>
          <w:p w:rsidR="00000000" w:rsidRDefault="009C1C61">
            <w:pPr>
              <w:pStyle w:val="a2"/>
              <w:ind w:right="284"/>
              <w:jc w:val="right"/>
              <w:rPr>
                <w:snapToGrid/>
              </w:rPr>
            </w:pPr>
            <w:r>
              <w:rPr>
                <w:snapToGrid/>
              </w:rPr>
              <w:t>8,9</w:t>
            </w:r>
          </w:p>
          <w:p w:rsidR="00000000" w:rsidRDefault="009C1C61">
            <w:pPr>
              <w:pStyle w:val="a2"/>
              <w:ind w:right="284"/>
              <w:jc w:val="right"/>
              <w:rPr>
                <w:snapToGrid/>
              </w:rPr>
            </w:pPr>
            <w:r>
              <w:rPr>
                <w:snapToGrid/>
              </w:rPr>
              <w:t>26,8</w:t>
            </w:r>
          </w:p>
          <w:p w:rsidR="00000000" w:rsidRDefault="009C1C61">
            <w:pPr>
              <w:pStyle w:val="a2"/>
              <w:ind w:right="284"/>
              <w:jc w:val="right"/>
              <w:rPr>
                <w:snapToGrid/>
              </w:rPr>
            </w:pPr>
            <w:r>
              <w:rPr>
                <w:snapToGrid/>
              </w:rPr>
              <w:t>18,8</w:t>
            </w:r>
          </w:p>
        </w:tc>
        <w:tc>
          <w:tcPr>
            <w:tcW w:w="1417" w:type="dxa"/>
          </w:tcPr>
          <w:p w:rsidR="00000000" w:rsidRDefault="009C1C61">
            <w:pPr>
              <w:pStyle w:val="a2"/>
              <w:ind w:right="284"/>
              <w:jc w:val="right"/>
              <w:rPr>
                <w:snapToGrid/>
              </w:rPr>
            </w:pPr>
            <w:r>
              <w:rPr>
                <w:snapToGrid/>
              </w:rPr>
              <w:t>8,3</w:t>
            </w:r>
          </w:p>
          <w:p w:rsidR="00000000" w:rsidRDefault="009C1C61">
            <w:pPr>
              <w:pStyle w:val="a2"/>
              <w:ind w:right="284"/>
              <w:jc w:val="right"/>
              <w:rPr>
                <w:snapToGrid/>
              </w:rPr>
            </w:pPr>
            <w:r>
              <w:rPr>
                <w:snapToGrid/>
              </w:rPr>
              <w:t>25,2</w:t>
            </w:r>
          </w:p>
          <w:p w:rsidR="00000000" w:rsidRDefault="009C1C61">
            <w:pPr>
              <w:pStyle w:val="a2"/>
              <w:ind w:right="284"/>
              <w:jc w:val="right"/>
              <w:rPr>
                <w:snapToGrid/>
              </w:rPr>
            </w:pPr>
            <w:r>
              <w:rPr>
                <w:snapToGrid/>
              </w:rPr>
              <w:t>18,4</w:t>
            </w:r>
          </w:p>
        </w:tc>
        <w:tc>
          <w:tcPr>
            <w:tcW w:w="1351" w:type="dxa"/>
          </w:tcPr>
          <w:p w:rsidR="00000000" w:rsidRDefault="009C1C61">
            <w:pPr>
              <w:pStyle w:val="a2"/>
              <w:ind w:right="284"/>
              <w:jc w:val="right"/>
              <w:rPr>
                <w:snapToGrid/>
                <w:sz w:val="20"/>
              </w:rPr>
            </w:pPr>
            <w:r>
              <w:rPr>
                <w:snapToGrid/>
                <w:sz w:val="20"/>
              </w:rPr>
              <w:t>7,9</w:t>
            </w:r>
          </w:p>
          <w:p w:rsidR="00000000" w:rsidRDefault="009C1C61">
            <w:pPr>
              <w:pStyle w:val="a2"/>
              <w:ind w:right="284"/>
              <w:jc w:val="right"/>
              <w:rPr>
                <w:snapToGrid/>
                <w:sz w:val="20"/>
              </w:rPr>
            </w:pPr>
            <w:r>
              <w:rPr>
                <w:snapToGrid/>
                <w:sz w:val="20"/>
              </w:rPr>
              <w:t>25,7</w:t>
            </w:r>
          </w:p>
          <w:p w:rsidR="00000000" w:rsidRDefault="009C1C61">
            <w:pPr>
              <w:pStyle w:val="a2"/>
              <w:ind w:right="284"/>
              <w:jc w:val="right"/>
              <w:rPr>
                <w:snapToGrid/>
                <w:sz w:val="20"/>
              </w:rPr>
            </w:pPr>
            <w:r>
              <w:rPr>
                <w:snapToGrid/>
                <w:sz w:val="20"/>
              </w:rPr>
              <w:t>17,0</w:t>
            </w:r>
          </w:p>
        </w:tc>
      </w:tr>
    </w:tbl>
    <w:p w:rsidR="00000000" w:rsidRDefault="009C1C61">
      <w:pPr>
        <w:spacing w:before="120" w:after="120"/>
        <w:ind w:left="1021"/>
        <w:rPr>
          <w:rFonts w:hint="eastAsia"/>
          <w:snapToGrid/>
        </w:rPr>
      </w:pPr>
      <w:r>
        <w:rPr>
          <w:rFonts w:eastAsia="KaiTi_GB2312" w:hint="eastAsia"/>
          <w:snapToGrid/>
          <w:spacing w:val="0"/>
          <w:u w:val="single"/>
        </w:rPr>
        <w:t>资料来源</w:t>
      </w:r>
      <w:r>
        <w:rPr>
          <w:rFonts w:eastAsia="KaiTi_GB2312" w:hint="eastAsia"/>
          <w:snapToGrid/>
          <w:spacing w:val="0"/>
        </w:rPr>
        <w:t>：国家统计局</w:t>
      </w:r>
      <w:r>
        <w:rPr>
          <w:rFonts w:hint="eastAsia"/>
          <w:snapToGrid/>
        </w:rPr>
        <w:t>。</w:t>
      </w:r>
    </w:p>
    <w:p w:rsidR="00000000" w:rsidRDefault="009C1C61">
      <w:pPr>
        <w:rPr>
          <w:snapToGrid/>
          <w:spacing w:val="0"/>
        </w:rPr>
      </w:pPr>
      <w:r>
        <w:rPr>
          <w:rFonts w:hint="eastAsia"/>
          <w:snapToGrid/>
        </w:rPr>
        <w:tab/>
      </w:r>
      <w:r>
        <w:rPr>
          <w:snapToGrid/>
        </w:rPr>
        <w:t>1</w:t>
      </w:r>
      <w:r>
        <w:rPr>
          <w:rFonts w:hint="eastAsia"/>
          <w:snapToGrid/>
          <w:spacing w:val="0"/>
        </w:rPr>
        <w:t xml:space="preserve">47.  </w:t>
      </w:r>
      <w:r>
        <w:rPr>
          <w:snapToGrid/>
          <w:spacing w:val="0"/>
        </w:rPr>
        <w:t>1990</w:t>
      </w:r>
      <w:r>
        <w:rPr>
          <w:snapToGrid/>
          <w:spacing w:val="0"/>
        </w:rPr>
        <w:t>至</w:t>
      </w:r>
      <w:r>
        <w:rPr>
          <w:snapToGrid/>
          <w:spacing w:val="0"/>
        </w:rPr>
        <w:t>20</w:t>
      </w:r>
      <w:r>
        <w:rPr>
          <w:rFonts w:hint="eastAsia"/>
          <w:snapToGrid/>
          <w:spacing w:val="0"/>
        </w:rPr>
        <w:t>0</w:t>
      </w:r>
      <w:r>
        <w:rPr>
          <w:snapToGrid/>
          <w:spacing w:val="0"/>
        </w:rPr>
        <w:t>0</w:t>
      </w:r>
      <w:r>
        <w:rPr>
          <w:snapToGrid/>
          <w:spacing w:val="0"/>
        </w:rPr>
        <w:t>年期间，创造了</w:t>
      </w:r>
      <w:r>
        <w:rPr>
          <w:snapToGrid/>
          <w:spacing w:val="0"/>
        </w:rPr>
        <w:t>918,</w:t>
      </w:r>
      <w:r>
        <w:rPr>
          <w:rFonts w:hint="eastAsia"/>
          <w:snapToGrid/>
          <w:spacing w:val="0"/>
        </w:rPr>
        <w:t>0</w:t>
      </w:r>
      <w:r>
        <w:rPr>
          <w:snapToGrid/>
          <w:spacing w:val="0"/>
        </w:rPr>
        <w:t>00</w:t>
      </w:r>
      <w:r>
        <w:rPr>
          <w:rFonts w:hint="eastAsia"/>
          <w:snapToGrid/>
          <w:spacing w:val="0"/>
        </w:rPr>
        <w:t>个</w:t>
      </w:r>
      <w:r>
        <w:rPr>
          <w:snapToGrid/>
          <w:spacing w:val="0"/>
        </w:rPr>
        <w:t>新工作。</w:t>
      </w:r>
      <w:r>
        <w:rPr>
          <w:snapToGrid/>
          <w:spacing w:val="0"/>
        </w:rPr>
        <w:t>1990</w:t>
      </w:r>
      <w:r>
        <w:rPr>
          <w:snapToGrid/>
          <w:spacing w:val="0"/>
        </w:rPr>
        <w:t>至</w:t>
      </w:r>
      <w:r>
        <w:rPr>
          <w:snapToGrid/>
          <w:spacing w:val="0"/>
        </w:rPr>
        <w:t>1998</w:t>
      </w:r>
      <w:r>
        <w:rPr>
          <w:snapToGrid/>
          <w:spacing w:val="0"/>
        </w:rPr>
        <w:t>年期间的年就业增长率为</w:t>
      </w:r>
      <w:r>
        <w:rPr>
          <w:snapToGrid/>
          <w:spacing w:val="0"/>
        </w:rPr>
        <w:t>2.1%</w:t>
      </w:r>
      <w:r>
        <w:rPr>
          <w:snapToGrid/>
          <w:spacing w:val="0"/>
        </w:rPr>
        <w:t>。</w:t>
      </w:r>
      <w:r>
        <w:rPr>
          <w:snapToGrid/>
          <w:spacing w:val="0"/>
        </w:rPr>
        <w:t>1999</w:t>
      </w:r>
      <w:r>
        <w:rPr>
          <w:snapToGrid/>
          <w:spacing w:val="0"/>
        </w:rPr>
        <w:t>至</w:t>
      </w:r>
      <w:r>
        <w:rPr>
          <w:snapToGrid/>
          <w:spacing w:val="0"/>
        </w:rPr>
        <w:t>2001</w:t>
      </w:r>
      <w:r>
        <w:rPr>
          <w:snapToGrid/>
          <w:spacing w:val="0"/>
        </w:rPr>
        <w:t>年期间就业</w:t>
      </w:r>
      <w:r>
        <w:rPr>
          <w:rFonts w:hint="eastAsia"/>
          <w:snapToGrid/>
          <w:spacing w:val="0"/>
        </w:rPr>
        <w:t>趋势</w:t>
      </w:r>
      <w:r>
        <w:rPr>
          <w:snapToGrid/>
          <w:spacing w:val="0"/>
        </w:rPr>
        <w:t>逆转</w:t>
      </w:r>
      <w:r>
        <w:rPr>
          <w:rFonts w:hint="eastAsia"/>
          <w:snapToGrid/>
          <w:spacing w:val="0"/>
        </w:rPr>
        <w:t>，</w:t>
      </w:r>
      <w:r>
        <w:rPr>
          <w:snapToGrid/>
          <w:spacing w:val="0"/>
        </w:rPr>
        <w:t>就业率分别下降了</w:t>
      </w:r>
      <w:r>
        <w:rPr>
          <w:snapToGrid/>
          <w:spacing w:val="0"/>
        </w:rPr>
        <w:t>0.5%</w:t>
      </w:r>
      <w:r>
        <w:rPr>
          <w:snapToGrid/>
          <w:spacing w:val="0"/>
        </w:rPr>
        <w:t>和</w:t>
      </w:r>
      <w:r>
        <w:rPr>
          <w:snapToGrid/>
          <w:spacing w:val="0"/>
        </w:rPr>
        <w:t>0.4%</w:t>
      </w:r>
      <w:r>
        <w:rPr>
          <w:snapToGrid/>
          <w:spacing w:val="0"/>
        </w:rPr>
        <w:t>。</w:t>
      </w:r>
    </w:p>
    <w:p w:rsidR="00000000" w:rsidRDefault="009C1C61">
      <w:pPr>
        <w:rPr>
          <w:rFonts w:hint="eastAsia"/>
          <w:snapToGrid/>
        </w:rPr>
      </w:pPr>
      <w:r>
        <w:rPr>
          <w:rFonts w:hint="eastAsia"/>
          <w:snapToGrid/>
        </w:rPr>
        <w:tab/>
      </w:r>
      <w:r>
        <w:rPr>
          <w:snapToGrid/>
        </w:rPr>
        <w:t>148.</w:t>
      </w:r>
      <w:r>
        <w:rPr>
          <w:rFonts w:hint="eastAsia"/>
          <w:snapToGrid/>
        </w:rPr>
        <w:t xml:space="preserve">  </w:t>
      </w:r>
      <w:r>
        <w:rPr>
          <w:snapToGrid/>
        </w:rPr>
        <w:t>同期</w:t>
      </w:r>
      <w:r>
        <w:rPr>
          <w:snapToGrid/>
        </w:rPr>
        <w:t>(1990</w:t>
      </w:r>
      <w:r>
        <w:rPr>
          <w:snapToGrid/>
        </w:rPr>
        <w:t>至</w:t>
      </w:r>
      <w:r>
        <w:rPr>
          <w:snapToGrid/>
        </w:rPr>
        <w:t>2000</w:t>
      </w:r>
      <w:r>
        <w:rPr>
          <w:snapToGrid/>
        </w:rPr>
        <w:t>年</w:t>
      </w:r>
      <w:r>
        <w:rPr>
          <w:snapToGrid/>
        </w:rPr>
        <w:t>)</w:t>
      </w:r>
      <w:r>
        <w:rPr>
          <w:snapToGrid/>
        </w:rPr>
        <w:t>，参与率</w:t>
      </w:r>
      <w:r>
        <w:rPr>
          <w:rFonts w:hint="eastAsia"/>
          <w:snapToGrid/>
        </w:rPr>
        <w:t>稳中有增，从</w:t>
      </w:r>
      <w:r>
        <w:rPr>
          <w:snapToGrid/>
        </w:rPr>
        <w:t>1990</w:t>
      </w:r>
      <w:r>
        <w:rPr>
          <w:snapToGrid/>
        </w:rPr>
        <w:t>至</w:t>
      </w:r>
      <w:r>
        <w:rPr>
          <w:snapToGrid/>
        </w:rPr>
        <w:t>1991</w:t>
      </w:r>
      <w:r>
        <w:rPr>
          <w:snapToGrid/>
        </w:rPr>
        <w:t>年期间</w:t>
      </w:r>
      <w:r>
        <w:rPr>
          <w:rFonts w:hint="eastAsia"/>
          <w:snapToGrid/>
        </w:rPr>
        <w:t>的</w:t>
      </w:r>
      <w:r>
        <w:rPr>
          <w:snapToGrid/>
        </w:rPr>
        <w:t>53%</w:t>
      </w:r>
      <w:r>
        <w:rPr>
          <w:rFonts w:hint="eastAsia"/>
          <w:snapToGrid/>
        </w:rPr>
        <w:t>提高到</w:t>
      </w:r>
      <w:r>
        <w:rPr>
          <w:snapToGrid/>
        </w:rPr>
        <w:t>1993</w:t>
      </w:r>
      <w:r>
        <w:rPr>
          <w:snapToGrid/>
        </w:rPr>
        <w:t>至</w:t>
      </w:r>
      <w:r>
        <w:rPr>
          <w:snapToGrid/>
        </w:rPr>
        <w:t>1994</w:t>
      </w:r>
      <w:r>
        <w:rPr>
          <w:snapToGrid/>
        </w:rPr>
        <w:t>年期间</w:t>
      </w:r>
      <w:r>
        <w:rPr>
          <w:rFonts w:hint="eastAsia"/>
          <w:snapToGrid/>
        </w:rPr>
        <w:t>的</w:t>
      </w:r>
      <w:r>
        <w:rPr>
          <w:snapToGrid/>
        </w:rPr>
        <w:t>56%</w:t>
      </w:r>
      <w:r>
        <w:rPr>
          <w:snapToGrid/>
        </w:rPr>
        <w:t>。男女</w:t>
      </w:r>
      <w:r>
        <w:rPr>
          <w:rFonts w:hint="eastAsia"/>
          <w:snapToGrid/>
        </w:rPr>
        <w:t>的参与率有所</w:t>
      </w:r>
      <w:r>
        <w:rPr>
          <w:snapToGrid/>
        </w:rPr>
        <w:t>不同；男性增长率在</w:t>
      </w:r>
      <w:r>
        <w:rPr>
          <w:snapToGrid/>
        </w:rPr>
        <w:t>77.8%</w:t>
      </w:r>
      <w:r>
        <w:rPr>
          <w:rFonts w:hint="eastAsia"/>
          <w:snapToGrid/>
        </w:rPr>
        <w:t>与</w:t>
      </w:r>
      <w:r>
        <w:rPr>
          <w:snapToGrid/>
        </w:rPr>
        <w:t>72.9%</w:t>
      </w:r>
      <w:r>
        <w:rPr>
          <w:snapToGrid/>
        </w:rPr>
        <w:t>之间，</w:t>
      </w:r>
      <w:r>
        <w:rPr>
          <w:rFonts w:hint="eastAsia"/>
          <w:snapToGrid/>
        </w:rPr>
        <w:t>女性</w:t>
      </w:r>
      <w:r>
        <w:rPr>
          <w:snapToGrid/>
        </w:rPr>
        <w:t>增长率则在</w:t>
      </w:r>
      <w:r>
        <w:rPr>
          <w:snapToGrid/>
        </w:rPr>
        <w:t>36.5%</w:t>
      </w:r>
      <w:r>
        <w:rPr>
          <w:snapToGrid/>
        </w:rPr>
        <w:t>至</w:t>
      </w:r>
      <w:r>
        <w:rPr>
          <w:snapToGrid/>
        </w:rPr>
        <w:t>31.5%</w:t>
      </w:r>
      <w:r>
        <w:rPr>
          <w:snapToGrid/>
        </w:rPr>
        <w:t>之间。</w:t>
      </w:r>
    </w:p>
    <w:p w:rsidR="00000000" w:rsidRDefault="009C1C61">
      <w:pPr>
        <w:rPr>
          <w:snapToGrid/>
        </w:rPr>
      </w:pPr>
      <w:r>
        <w:rPr>
          <w:rFonts w:hint="eastAsia"/>
          <w:snapToGrid/>
        </w:rPr>
        <w:tab/>
      </w:r>
      <w:r>
        <w:rPr>
          <w:snapToGrid/>
        </w:rPr>
        <w:t>149.</w:t>
      </w:r>
      <w:r>
        <w:rPr>
          <w:rFonts w:hint="eastAsia"/>
          <w:snapToGrid/>
        </w:rPr>
        <w:t xml:space="preserve">  </w:t>
      </w:r>
      <w:r>
        <w:rPr>
          <w:snapToGrid/>
        </w:rPr>
        <w:t>在</w:t>
      </w:r>
      <w:r>
        <w:rPr>
          <w:snapToGrid/>
        </w:rPr>
        <w:t>1999</w:t>
      </w:r>
      <w:r>
        <w:rPr>
          <w:rFonts w:hint="eastAsia"/>
          <w:snapToGrid/>
        </w:rPr>
        <w:t>、</w:t>
      </w:r>
      <w:r>
        <w:rPr>
          <w:snapToGrid/>
        </w:rPr>
        <w:t>2000</w:t>
      </w:r>
      <w:r>
        <w:rPr>
          <w:snapToGrid/>
        </w:rPr>
        <w:t>和</w:t>
      </w:r>
      <w:r>
        <w:rPr>
          <w:snapToGrid/>
        </w:rPr>
        <w:t>2001</w:t>
      </w:r>
      <w:r>
        <w:rPr>
          <w:snapToGrid/>
        </w:rPr>
        <w:t>年期间，男女参与率</w:t>
      </w:r>
      <w:r>
        <w:rPr>
          <w:rFonts w:hint="eastAsia"/>
          <w:snapToGrid/>
        </w:rPr>
        <w:t>均</w:t>
      </w:r>
      <w:r>
        <w:rPr>
          <w:snapToGrid/>
        </w:rPr>
        <w:t>下跌，男性的下跌比女性更</w:t>
      </w:r>
      <w:r>
        <w:rPr>
          <w:rFonts w:hint="eastAsia"/>
          <w:snapToGrid/>
        </w:rPr>
        <w:t>为急剧</w:t>
      </w:r>
      <w:r>
        <w:rPr>
          <w:snapToGrid/>
        </w:rPr>
        <w:t>(</w:t>
      </w:r>
      <w:r>
        <w:rPr>
          <w:rFonts w:hint="eastAsia"/>
          <w:snapToGrid/>
        </w:rPr>
        <w:t>表</w:t>
      </w:r>
      <w:r>
        <w:rPr>
          <w:rFonts w:hint="eastAsia"/>
          <w:snapToGrid/>
        </w:rPr>
        <w:t>5)</w:t>
      </w:r>
      <w:r>
        <w:rPr>
          <w:rFonts w:hint="eastAsia"/>
          <w:snapToGrid/>
        </w:rPr>
        <w:t>。</w:t>
      </w:r>
    </w:p>
    <w:p w:rsidR="00000000" w:rsidRDefault="009C1C61">
      <w:pPr>
        <w:pStyle w:val="Heading3"/>
        <w:spacing w:after="120"/>
        <w:rPr>
          <w:rFonts w:hint="eastAsia"/>
        </w:rPr>
      </w:pPr>
      <w:r>
        <w:rPr>
          <w:rFonts w:ascii="Time New Roman" w:hAnsi="Time New Roman" w:hint="eastAsia"/>
        </w:rPr>
        <w:t>表</w:t>
      </w:r>
      <w:r>
        <w:rPr>
          <w:rFonts w:ascii="Time New Roman" w:hAnsi="Time New Roman" w:hint="eastAsia"/>
        </w:rPr>
        <w:t xml:space="preserve">  </w:t>
      </w:r>
      <w:r>
        <w:rPr>
          <w:rFonts w:ascii="Time New Roman" w:hAnsi="Time New Roman" w:hint="eastAsia"/>
          <w:b/>
        </w:rPr>
        <w:t>5</w:t>
      </w:r>
      <w:r>
        <w:rPr>
          <w:rFonts w:ascii="Time New Roman" w:hAnsi="Time New Roman"/>
          <w:b/>
        </w:rPr>
        <w:br/>
      </w:r>
      <w:r>
        <w:rPr>
          <w:rFonts w:ascii="Time New Roman" w:hAnsi="Time New Roman" w:hint="eastAsia"/>
          <w:b/>
        </w:rPr>
        <w:t>1990</w:t>
      </w:r>
      <w:r>
        <w:rPr>
          <w:rFonts w:ascii="Time New Roman" w:hAnsi="Time New Roman" w:hint="eastAsia"/>
        </w:rPr>
        <w:t>至</w:t>
      </w:r>
      <w:r>
        <w:rPr>
          <w:rFonts w:ascii="Time New Roman" w:hAnsi="Time New Roman" w:hint="eastAsia"/>
          <w:b/>
        </w:rPr>
        <w:t>2001</w:t>
      </w:r>
      <w:r>
        <w:rPr>
          <w:rFonts w:ascii="Time New Roman" w:hAnsi="Time New Roman" w:hint="eastAsia"/>
        </w:rPr>
        <w:t>年</w:t>
      </w:r>
      <w:r>
        <w:rPr>
          <w:rFonts w:ascii="Time New Roman" w:hAnsi="Time New Roman" w:hint="eastAsia"/>
        </w:rPr>
        <w:t>**</w:t>
      </w:r>
      <w:r>
        <w:rPr>
          <w:rFonts w:ascii="Time New Roman" w:hAnsi="Time New Roman" w:hint="eastAsia"/>
        </w:rPr>
        <w:t>，按性别</w:t>
      </w:r>
      <w:r>
        <w:rPr>
          <w:rFonts w:ascii="Time New Roman" w:hAnsi="Time New Roman" w:hint="eastAsia"/>
        </w:rPr>
        <w:t xml:space="preserve">* </w:t>
      </w:r>
      <w:r>
        <w:rPr>
          <w:rFonts w:ascii="Time New Roman" w:hAnsi="Time New Roman" w:hint="eastAsia"/>
        </w:rPr>
        <w:t>分列的参与率</w:t>
      </w:r>
      <w:r>
        <w:br/>
      </w:r>
      <w:r>
        <w:rPr>
          <w:rFonts w:hint="eastAsia"/>
          <w:sz w:val="22"/>
        </w:rPr>
        <w:t>(</w:t>
      </w:r>
      <w:r>
        <w:rPr>
          <w:rFonts w:hint="eastAsia"/>
          <w:sz w:val="22"/>
        </w:rPr>
        <w:t>百分比</w:t>
      </w:r>
      <w:r>
        <w:rPr>
          <w:rFonts w:hint="eastAsia"/>
          <w:sz w:val="22"/>
        </w:rPr>
        <w:t>)</w:t>
      </w:r>
    </w:p>
    <w:tbl>
      <w:tblPr>
        <w:tblW w:w="9135"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3"/>
        <w:gridCol w:w="2284"/>
        <w:gridCol w:w="2284"/>
        <w:gridCol w:w="2284"/>
      </w:tblGrid>
      <w:tr w:rsidR="00000000">
        <w:trPr>
          <w:trHeight w:val="261"/>
        </w:trPr>
        <w:tc>
          <w:tcPr>
            <w:tcW w:w="2206" w:type="dxa"/>
            <w:tcBorders>
              <w:bottom w:val="single" w:sz="4" w:space="0" w:color="auto"/>
            </w:tcBorders>
          </w:tcPr>
          <w:p w:rsidR="00000000" w:rsidRDefault="009C1C61">
            <w:pPr>
              <w:pStyle w:val="List"/>
              <w:spacing w:line="280" w:lineRule="exact"/>
              <w:ind w:left="0" w:firstLine="0"/>
              <w:jc w:val="center"/>
              <w:rPr>
                <w:rFonts w:eastAsia="SimSun" w:hint="eastAsia"/>
                <w:bCs/>
                <w:snapToGrid/>
                <w:spacing w:val="10"/>
                <w:lang w:eastAsia="zh-CN"/>
              </w:rPr>
            </w:pPr>
            <w:r>
              <w:rPr>
                <w:rFonts w:eastAsia="SimSun" w:hint="eastAsia"/>
                <w:bCs/>
                <w:snapToGrid/>
                <w:spacing w:val="10"/>
                <w:lang w:eastAsia="zh-CN"/>
              </w:rPr>
              <w:t>年</w:t>
            </w:r>
            <w:r>
              <w:rPr>
                <w:rFonts w:eastAsia="SimSun" w:hint="eastAsia"/>
                <w:bCs/>
                <w:snapToGrid/>
                <w:spacing w:val="10"/>
                <w:lang w:eastAsia="zh-CN"/>
              </w:rPr>
              <w:t xml:space="preserve"> </w:t>
            </w:r>
            <w:r>
              <w:rPr>
                <w:rFonts w:eastAsia="SimSun" w:hint="eastAsia"/>
                <w:bCs/>
                <w:snapToGrid/>
                <w:spacing w:val="10"/>
                <w:lang w:eastAsia="zh-CN"/>
              </w:rPr>
              <w:t>份</w:t>
            </w:r>
          </w:p>
        </w:tc>
        <w:tc>
          <w:tcPr>
            <w:tcW w:w="2206" w:type="dxa"/>
            <w:tcBorders>
              <w:bottom w:val="single" w:sz="4" w:space="0" w:color="auto"/>
            </w:tcBorders>
          </w:tcPr>
          <w:p w:rsidR="00000000" w:rsidRDefault="009C1C61">
            <w:pPr>
              <w:pStyle w:val="List"/>
              <w:widowControl/>
              <w:spacing w:line="280" w:lineRule="exact"/>
              <w:ind w:left="0" w:firstLine="0"/>
              <w:jc w:val="center"/>
              <w:rPr>
                <w:rFonts w:eastAsia="SimSun" w:hint="eastAsia"/>
                <w:bCs/>
                <w:snapToGrid/>
                <w:spacing w:val="10"/>
                <w:lang w:eastAsia="zh-CN"/>
              </w:rPr>
            </w:pPr>
            <w:r>
              <w:rPr>
                <w:rFonts w:eastAsia="SimSun" w:hint="eastAsia"/>
                <w:bCs/>
                <w:snapToGrid/>
                <w:spacing w:val="10"/>
                <w:lang w:eastAsia="zh-CN"/>
              </w:rPr>
              <w:t>男</w:t>
            </w:r>
            <w:r>
              <w:rPr>
                <w:rFonts w:eastAsia="SimSun" w:hint="eastAsia"/>
                <w:bCs/>
                <w:snapToGrid/>
                <w:spacing w:val="10"/>
                <w:lang w:eastAsia="zh-CN"/>
              </w:rPr>
              <w:t xml:space="preserve"> </w:t>
            </w:r>
            <w:r>
              <w:rPr>
                <w:rFonts w:eastAsia="SimSun" w:hint="eastAsia"/>
                <w:bCs/>
                <w:snapToGrid/>
                <w:spacing w:val="10"/>
                <w:lang w:eastAsia="zh-CN"/>
              </w:rPr>
              <w:t>性</w:t>
            </w:r>
          </w:p>
        </w:tc>
        <w:tc>
          <w:tcPr>
            <w:tcW w:w="2206" w:type="dxa"/>
            <w:tcBorders>
              <w:bottom w:val="single" w:sz="4" w:space="0" w:color="auto"/>
            </w:tcBorders>
          </w:tcPr>
          <w:p w:rsidR="00000000" w:rsidRDefault="009C1C61">
            <w:pPr>
              <w:pStyle w:val="List"/>
              <w:widowControl/>
              <w:spacing w:line="280" w:lineRule="exact"/>
              <w:ind w:left="0" w:firstLine="0"/>
              <w:jc w:val="center"/>
              <w:rPr>
                <w:rFonts w:eastAsia="SimSun" w:hint="eastAsia"/>
                <w:bCs/>
                <w:snapToGrid/>
                <w:spacing w:val="10"/>
                <w:lang w:eastAsia="zh-CN"/>
              </w:rPr>
            </w:pPr>
            <w:r>
              <w:rPr>
                <w:rFonts w:eastAsia="SimSun" w:hint="eastAsia"/>
                <w:bCs/>
                <w:snapToGrid/>
                <w:spacing w:val="10"/>
                <w:lang w:eastAsia="zh-CN"/>
              </w:rPr>
              <w:t>女</w:t>
            </w:r>
            <w:r>
              <w:rPr>
                <w:rFonts w:eastAsia="SimSun" w:hint="eastAsia"/>
                <w:bCs/>
                <w:snapToGrid/>
                <w:spacing w:val="10"/>
                <w:lang w:eastAsia="zh-CN"/>
              </w:rPr>
              <w:t xml:space="preserve"> </w:t>
            </w:r>
            <w:r>
              <w:rPr>
                <w:rFonts w:eastAsia="SimSun" w:hint="eastAsia"/>
                <w:bCs/>
                <w:snapToGrid/>
                <w:spacing w:val="10"/>
                <w:lang w:eastAsia="zh-CN"/>
              </w:rPr>
              <w:t>性</w:t>
            </w:r>
          </w:p>
        </w:tc>
        <w:tc>
          <w:tcPr>
            <w:tcW w:w="2206" w:type="dxa"/>
            <w:tcBorders>
              <w:bottom w:val="single" w:sz="4" w:space="0" w:color="auto"/>
            </w:tcBorders>
          </w:tcPr>
          <w:p w:rsidR="00000000" w:rsidRDefault="009C1C61">
            <w:pPr>
              <w:pStyle w:val="List"/>
              <w:spacing w:line="280" w:lineRule="exact"/>
              <w:ind w:left="0" w:firstLine="0"/>
              <w:jc w:val="center"/>
              <w:rPr>
                <w:rFonts w:eastAsia="SimSun" w:hint="eastAsia"/>
                <w:bCs/>
                <w:snapToGrid/>
                <w:spacing w:val="10"/>
                <w:lang w:eastAsia="zh-CN"/>
              </w:rPr>
            </w:pPr>
            <w:r>
              <w:rPr>
                <w:rFonts w:eastAsia="SimSun" w:hint="eastAsia"/>
                <w:bCs/>
                <w:snapToGrid/>
                <w:spacing w:val="10"/>
                <w:lang w:eastAsia="zh-CN"/>
              </w:rPr>
              <w:t>合</w:t>
            </w:r>
            <w:r>
              <w:rPr>
                <w:rFonts w:eastAsia="SimSun" w:hint="eastAsia"/>
                <w:bCs/>
                <w:snapToGrid/>
                <w:spacing w:val="10"/>
                <w:lang w:eastAsia="zh-CN"/>
              </w:rPr>
              <w:t xml:space="preserve"> </w:t>
            </w:r>
            <w:r>
              <w:rPr>
                <w:rFonts w:eastAsia="SimSun" w:hint="eastAsia"/>
                <w:bCs/>
                <w:snapToGrid/>
                <w:spacing w:val="10"/>
                <w:lang w:eastAsia="zh-CN"/>
              </w:rPr>
              <w:t>计</w:t>
            </w:r>
          </w:p>
        </w:tc>
      </w:tr>
      <w:tr w:rsidR="00000000">
        <w:trPr>
          <w:trHeight w:val="320"/>
        </w:trPr>
        <w:tc>
          <w:tcPr>
            <w:tcW w:w="2206" w:type="dxa"/>
            <w:tcBorders>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1990</w:t>
            </w:r>
          </w:p>
        </w:tc>
        <w:tc>
          <w:tcPr>
            <w:tcW w:w="2206" w:type="dxa"/>
            <w:tcBorders>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75,4</w:t>
            </w:r>
          </w:p>
        </w:tc>
        <w:tc>
          <w:tcPr>
            <w:tcW w:w="2206" w:type="dxa"/>
            <w:tcBorders>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31,7</w:t>
            </w:r>
          </w:p>
        </w:tc>
        <w:tc>
          <w:tcPr>
            <w:tcW w:w="2206" w:type="dxa"/>
            <w:tcBorders>
              <w:bottom w:val="nil"/>
            </w:tcBorders>
          </w:tcPr>
          <w:p w:rsidR="00000000" w:rsidRDefault="009C1C61">
            <w:pPr>
              <w:pStyle w:val="List"/>
              <w:spacing w:line="280" w:lineRule="exact"/>
              <w:ind w:left="0" w:right="837" w:firstLine="0"/>
              <w:jc w:val="right"/>
              <w:rPr>
                <w:rFonts w:eastAsia="SimSun"/>
                <w:snapToGrid/>
                <w:spacing w:val="10"/>
                <w:lang w:eastAsia="zh-CN"/>
              </w:rPr>
            </w:pPr>
            <w:r>
              <w:rPr>
                <w:rFonts w:eastAsia="SimSun"/>
                <w:snapToGrid/>
                <w:spacing w:val="10"/>
                <w:lang w:eastAsia="zh-CN"/>
              </w:rPr>
              <w:t>53,0</w:t>
            </w:r>
          </w:p>
        </w:tc>
      </w:tr>
      <w:tr w:rsidR="00000000">
        <w:trPr>
          <w:trHeight w:val="211"/>
        </w:trPr>
        <w:tc>
          <w:tcPr>
            <w:tcW w:w="2206" w:type="dxa"/>
            <w:tcBorders>
              <w:top w:val="nil"/>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1991</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75,6</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31,5</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53,0</w:t>
            </w:r>
          </w:p>
        </w:tc>
      </w:tr>
      <w:tr w:rsidR="00000000">
        <w:trPr>
          <w:trHeight w:val="233"/>
        </w:trPr>
        <w:tc>
          <w:tcPr>
            <w:tcW w:w="2206" w:type="dxa"/>
            <w:tcBorders>
              <w:top w:val="nil"/>
              <w:bottom w:val="nil"/>
            </w:tcBorders>
          </w:tcPr>
          <w:p w:rsidR="00000000" w:rsidRDefault="009C1C61">
            <w:pPr>
              <w:spacing w:line="280" w:lineRule="exact"/>
              <w:jc w:val="center"/>
              <w:rPr>
                <w:snapToGrid/>
              </w:rPr>
            </w:pPr>
            <w:r>
              <w:rPr>
                <w:snapToGrid/>
              </w:rPr>
              <w:t>1992</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76,0</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33,6</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4,3</w:t>
            </w:r>
          </w:p>
        </w:tc>
      </w:tr>
      <w:tr w:rsidR="00000000">
        <w:trPr>
          <w:trHeight w:val="269"/>
        </w:trPr>
        <w:tc>
          <w:tcPr>
            <w:tcW w:w="2206" w:type="dxa"/>
            <w:tcBorders>
              <w:top w:val="nil"/>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1993</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77,8</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35</w:t>
            </w:r>
            <w:r>
              <w:rPr>
                <w:rFonts w:eastAsia="SimSun"/>
                <w:snapToGrid/>
                <w:spacing w:val="10"/>
                <w:lang w:eastAsia="zh-CN"/>
              </w:rPr>
              <w:t>,2</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56,0</w:t>
            </w:r>
          </w:p>
        </w:tc>
      </w:tr>
      <w:tr w:rsidR="00000000">
        <w:trPr>
          <w:trHeight w:val="305"/>
        </w:trPr>
        <w:tc>
          <w:tcPr>
            <w:tcW w:w="2206" w:type="dxa"/>
            <w:tcBorders>
              <w:top w:val="nil"/>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1994</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77,5</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35,4</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56,0</w:t>
            </w:r>
          </w:p>
        </w:tc>
      </w:tr>
      <w:tr w:rsidR="00000000">
        <w:trPr>
          <w:trHeight w:val="327"/>
        </w:trPr>
        <w:tc>
          <w:tcPr>
            <w:tcW w:w="2206" w:type="dxa"/>
            <w:tcBorders>
              <w:top w:val="nil"/>
              <w:bottom w:val="nil"/>
            </w:tcBorders>
          </w:tcPr>
          <w:p w:rsidR="00000000" w:rsidRDefault="009C1C61">
            <w:pPr>
              <w:spacing w:line="280" w:lineRule="exact"/>
              <w:jc w:val="center"/>
              <w:rPr>
                <w:snapToGrid/>
              </w:rPr>
            </w:pPr>
            <w:r>
              <w:rPr>
                <w:snapToGrid/>
              </w:rPr>
              <w:t>1995</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76,2</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34,5</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54,9</w:t>
            </w:r>
          </w:p>
        </w:tc>
      </w:tr>
      <w:tr w:rsidR="00000000">
        <w:trPr>
          <w:trHeight w:val="275"/>
        </w:trPr>
        <w:tc>
          <w:tcPr>
            <w:tcW w:w="2206" w:type="dxa"/>
            <w:tcBorders>
              <w:top w:val="nil"/>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1996</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75,5</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34,5</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54,4</w:t>
            </w:r>
          </w:p>
        </w:tc>
      </w:tr>
      <w:tr w:rsidR="00000000">
        <w:trPr>
          <w:trHeight w:val="293"/>
        </w:trPr>
        <w:tc>
          <w:tcPr>
            <w:tcW w:w="2206" w:type="dxa"/>
            <w:tcBorders>
              <w:top w:val="nil"/>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1997</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74,6</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35,2</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54,4</w:t>
            </w:r>
          </w:p>
        </w:tc>
      </w:tr>
      <w:tr w:rsidR="00000000">
        <w:trPr>
          <w:trHeight w:val="283"/>
        </w:trPr>
        <w:tc>
          <w:tcPr>
            <w:tcW w:w="2206" w:type="dxa"/>
            <w:tcBorders>
              <w:top w:val="nil"/>
              <w:bottom w:val="nil"/>
            </w:tcBorders>
          </w:tcPr>
          <w:p w:rsidR="00000000" w:rsidRDefault="009C1C61">
            <w:pPr>
              <w:spacing w:line="280" w:lineRule="exact"/>
              <w:jc w:val="center"/>
              <w:rPr>
                <w:snapToGrid/>
              </w:rPr>
            </w:pPr>
            <w:r>
              <w:rPr>
                <w:snapToGrid/>
              </w:rPr>
              <w:t>1998</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75,0</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36,1</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55,1</w:t>
            </w:r>
          </w:p>
        </w:tc>
      </w:tr>
      <w:tr w:rsidR="00000000">
        <w:trPr>
          <w:trHeight w:val="287"/>
        </w:trPr>
        <w:tc>
          <w:tcPr>
            <w:tcW w:w="2206" w:type="dxa"/>
            <w:tcBorders>
              <w:top w:val="nil"/>
              <w:bottom w:val="nil"/>
            </w:tcBorders>
          </w:tcPr>
          <w:p w:rsidR="00000000" w:rsidRDefault="009C1C61">
            <w:pPr>
              <w:pStyle w:val="List"/>
              <w:spacing w:line="280" w:lineRule="exact"/>
              <w:ind w:left="0" w:firstLine="0"/>
              <w:jc w:val="center"/>
              <w:rPr>
                <w:rFonts w:eastAsia="SimSun"/>
                <w:snapToGrid/>
                <w:spacing w:val="10"/>
                <w:lang w:eastAsia="zh-CN"/>
              </w:rPr>
            </w:pPr>
            <w:r>
              <w:rPr>
                <w:rFonts w:eastAsia="SimSun"/>
                <w:snapToGrid/>
                <w:spacing w:val="10"/>
                <w:lang w:eastAsia="zh-CN"/>
              </w:rPr>
              <w:t>1999</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74,4</w:t>
            </w:r>
          </w:p>
        </w:tc>
        <w:tc>
          <w:tcPr>
            <w:tcW w:w="2206" w:type="dxa"/>
            <w:tcBorders>
              <w:top w:val="nil"/>
              <w:bottom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36,5</w:t>
            </w:r>
          </w:p>
        </w:tc>
        <w:tc>
          <w:tcPr>
            <w:tcW w:w="2206" w:type="dxa"/>
            <w:tcBorders>
              <w:top w:val="nil"/>
              <w:bottom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55,0</w:t>
            </w:r>
          </w:p>
        </w:tc>
      </w:tr>
      <w:tr w:rsidR="00000000">
        <w:trPr>
          <w:trHeight w:val="277"/>
        </w:trPr>
        <w:tc>
          <w:tcPr>
            <w:tcW w:w="2206" w:type="dxa"/>
            <w:tcBorders>
              <w:top w:val="nil"/>
            </w:tcBorders>
          </w:tcPr>
          <w:p w:rsidR="00000000" w:rsidRDefault="009C1C61">
            <w:pPr>
              <w:spacing w:line="280" w:lineRule="exact"/>
              <w:jc w:val="center"/>
              <w:rPr>
                <w:snapToGrid/>
              </w:rPr>
            </w:pPr>
            <w:r>
              <w:rPr>
                <w:snapToGrid/>
              </w:rPr>
              <w:t>2000</w:t>
            </w:r>
          </w:p>
        </w:tc>
        <w:tc>
          <w:tcPr>
            <w:tcW w:w="2206" w:type="dxa"/>
            <w:tcBorders>
              <w:top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72,9</w:t>
            </w:r>
          </w:p>
        </w:tc>
        <w:tc>
          <w:tcPr>
            <w:tcW w:w="2206" w:type="dxa"/>
            <w:tcBorders>
              <w:top w:val="nil"/>
            </w:tcBorders>
          </w:tcPr>
          <w:p w:rsidR="00000000" w:rsidRDefault="009C1C61">
            <w:pPr>
              <w:pStyle w:val="List"/>
              <w:widowControl/>
              <w:spacing w:line="280" w:lineRule="exact"/>
              <w:ind w:left="0" w:firstLine="0"/>
              <w:jc w:val="center"/>
              <w:rPr>
                <w:rFonts w:eastAsia="SimSun"/>
                <w:snapToGrid/>
                <w:spacing w:val="10"/>
                <w:lang w:eastAsia="zh-CN"/>
              </w:rPr>
            </w:pPr>
            <w:r>
              <w:rPr>
                <w:rFonts w:eastAsia="SimSun"/>
                <w:snapToGrid/>
                <w:spacing w:val="10"/>
                <w:lang w:eastAsia="zh-CN"/>
              </w:rPr>
              <w:t>35,0</w:t>
            </w:r>
          </w:p>
        </w:tc>
        <w:tc>
          <w:tcPr>
            <w:tcW w:w="2206" w:type="dxa"/>
            <w:tcBorders>
              <w:top w:val="nil"/>
            </w:tcBorders>
          </w:tcPr>
          <w:p w:rsidR="00000000" w:rsidRDefault="009C1C61">
            <w:pPr>
              <w:pStyle w:val="List"/>
              <w:widowControl/>
              <w:spacing w:line="280" w:lineRule="exact"/>
              <w:ind w:left="0" w:right="837" w:firstLine="0"/>
              <w:jc w:val="right"/>
              <w:rPr>
                <w:rFonts w:eastAsia="SimSun"/>
                <w:snapToGrid/>
                <w:spacing w:val="10"/>
                <w:lang w:eastAsia="zh-CN"/>
              </w:rPr>
            </w:pPr>
            <w:r>
              <w:rPr>
                <w:rFonts w:eastAsia="SimSun"/>
                <w:snapToGrid/>
                <w:spacing w:val="10"/>
                <w:lang w:eastAsia="zh-CN"/>
              </w:rPr>
              <w:t>53,6</w:t>
            </w:r>
          </w:p>
        </w:tc>
      </w:tr>
    </w:tbl>
    <w:p w:rsidR="00000000" w:rsidRDefault="009C1C61">
      <w:pPr>
        <w:spacing w:before="120" w:line="312" w:lineRule="auto"/>
        <w:ind w:firstLine="525"/>
        <w:rPr>
          <w:rFonts w:eastAsia="KaiTi_GB2312"/>
          <w:snapToGrid/>
          <w:spacing w:val="0"/>
        </w:rPr>
      </w:pPr>
      <w:r>
        <w:rPr>
          <w:rFonts w:eastAsia="KaiTi_GB2312" w:hint="eastAsia"/>
          <w:snapToGrid/>
          <w:spacing w:val="0"/>
          <w:u w:val="single"/>
        </w:rPr>
        <w:t>资料来源</w:t>
      </w:r>
      <w:r>
        <w:rPr>
          <w:rFonts w:eastAsia="KaiTi_GB2312" w:hint="eastAsia"/>
          <w:snapToGrid/>
          <w:spacing w:val="0"/>
        </w:rPr>
        <w:t>：国家统计局</w:t>
      </w:r>
      <w:r>
        <w:rPr>
          <w:rFonts w:eastAsia="KaiTi_GB2312"/>
          <w:snapToGrid/>
          <w:spacing w:val="0"/>
        </w:rPr>
        <w:t>199</w:t>
      </w:r>
      <w:r>
        <w:rPr>
          <w:rFonts w:eastAsia="KaiTi_GB2312" w:hint="eastAsia"/>
          <w:snapToGrid/>
          <w:spacing w:val="0"/>
        </w:rPr>
        <w:t>0</w:t>
      </w:r>
      <w:r>
        <w:rPr>
          <w:rFonts w:eastAsia="KaiTi_GB2312"/>
          <w:snapToGrid/>
          <w:spacing w:val="0"/>
        </w:rPr>
        <w:t>至</w:t>
      </w:r>
      <w:r>
        <w:rPr>
          <w:rFonts w:eastAsia="KaiTi_GB2312"/>
          <w:snapToGrid/>
          <w:spacing w:val="0"/>
        </w:rPr>
        <w:t>20</w:t>
      </w:r>
      <w:r>
        <w:rPr>
          <w:rFonts w:eastAsia="KaiTi_GB2312" w:hint="eastAsia"/>
          <w:snapToGrid/>
          <w:spacing w:val="0"/>
        </w:rPr>
        <w:t>0</w:t>
      </w:r>
      <w:r>
        <w:rPr>
          <w:rFonts w:eastAsia="KaiTi_GB2312"/>
          <w:snapToGrid/>
          <w:spacing w:val="0"/>
        </w:rPr>
        <w:t>0</w:t>
      </w:r>
      <w:r>
        <w:rPr>
          <w:rFonts w:eastAsia="KaiTi_GB2312"/>
          <w:snapToGrid/>
          <w:spacing w:val="0"/>
        </w:rPr>
        <w:t>年经济和社会指</w:t>
      </w:r>
      <w:r>
        <w:rPr>
          <w:rFonts w:eastAsia="KaiTi_GB2312" w:hint="eastAsia"/>
          <w:snapToGrid/>
          <w:spacing w:val="0"/>
        </w:rPr>
        <w:t>标，</w:t>
      </w:r>
      <w:r>
        <w:rPr>
          <w:rFonts w:eastAsia="KaiTi_GB2312"/>
          <w:snapToGrid/>
          <w:spacing w:val="0"/>
        </w:rPr>
        <w:t>规划</w:t>
      </w:r>
      <w:r>
        <w:rPr>
          <w:rFonts w:eastAsia="KaiTi_GB2312" w:hint="eastAsia"/>
          <w:snapToGrid/>
          <w:spacing w:val="0"/>
        </w:rPr>
        <w:t>部</w:t>
      </w:r>
      <w:r>
        <w:rPr>
          <w:rFonts w:eastAsia="KaiTi_GB2312"/>
          <w:snapToGrid/>
          <w:spacing w:val="0"/>
        </w:rPr>
        <w:t>(</w:t>
      </w:r>
      <w:r>
        <w:rPr>
          <w:rFonts w:eastAsia="KaiTi_GB2312" w:hint="eastAsia"/>
          <w:snapToGrid/>
          <w:spacing w:val="0"/>
        </w:rPr>
        <w:t>规合部</w:t>
      </w:r>
      <w:r>
        <w:rPr>
          <w:rFonts w:eastAsia="KaiTi_GB2312" w:hint="eastAsia"/>
          <w:snapToGrid/>
          <w:spacing w:val="0"/>
        </w:rPr>
        <w:t>)</w:t>
      </w:r>
      <w:r>
        <w:rPr>
          <w:rFonts w:eastAsia="KaiTi_GB2312"/>
          <w:snapToGrid/>
          <w:spacing w:val="0"/>
        </w:rPr>
        <w:t>。</w:t>
      </w:r>
    </w:p>
    <w:p w:rsidR="00000000" w:rsidRDefault="009C1C61">
      <w:pPr>
        <w:tabs>
          <w:tab w:val="left" w:pos="1690"/>
        </w:tabs>
        <w:spacing w:line="312" w:lineRule="auto"/>
        <w:ind w:left="1210"/>
        <w:rPr>
          <w:rFonts w:eastAsia="KaiTi_GB2312"/>
          <w:snapToGrid/>
          <w:spacing w:val="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劳动力</w:t>
      </w:r>
      <w:r>
        <w:rPr>
          <w:rFonts w:eastAsia="KaiTi_GB2312" w:hint="eastAsia"/>
          <w:snapToGrid/>
          <w:spacing w:val="0"/>
        </w:rPr>
        <w:t>(</w:t>
      </w:r>
      <w:r>
        <w:rPr>
          <w:rFonts w:eastAsia="KaiTi_GB2312" w:hint="eastAsia"/>
          <w:snapToGrid/>
          <w:spacing w:val="0"/>
        </w:rPr>
        <w:t>人口中</w:t>
      </w:r>
      <w:r>
        <w:rPr>
          <w:rFonts w:eastAsia="KaiTi_GB2312" w:hint="eastAsia"/>
          <w:snapToGrid/>
          <w:spacing w:val="0"/>
        </w:rPr>
        <w:t>15</w:t>
      </w:r>
      <w:r>
        <w:rPr>
          <w:rFonts w:eastAsia="KaiTi_GB2312" w:hint="eastAsia"/>
          <w:snapToGrid/>
          <w:spacing w:val="0"/>
        </w:rPr>
        <w:t>岁或以上</w:t>
      </w:r>
      <w:r>
        <w:rPr>
          <w:rFonts w:eastAsia="KaiTi_GB2312"/>
          <w:snapToGrid/>
          <w:spacing w:val="0"/>
        </w:rPr>
        <w:t>)</w:t>
      </w:r>
    </w:p>
    <w:p w:rsidR="00000000" w:rsidRDefault="009C1C61">
      <w:pPr>
        <w:tabs>
          <w:tab w:val="left" w:pos="1690"/>
        </w:tabs>
        <w:spacing w:after="120" w:line="312" w:lineRule="auto"/>
        <w:ind w:left="1227" w:hanging="17"/>
        <w:rPr>
          <w:snapToGrid/>
          <w:sz w:val="2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每年</w:t>
      </w:r>
      <w:r>
        <w:rPr>
          <w:rFonts w:eastAsia="KaiTi_GB2312" w:hint="eastAsia"/>
          <w:snapToGrid/>
          <w:spacing w:val="0"/>
        </w:rPr>
        <w:t>10</w:t>
      </w:r>
      <w:r>
        <w:rPr>
          <w:rFonts w:eastAsia="KaiTi_GB2312" w:hint="eastAsia"/>
          <w:snapToGrid/>
          <w:spacing w:val="0"/>
        </w:rPr>
        <w:t>至</w:t>
      </w:r>
      <w:r>
        <w:rPr>
          <w:rFonts w:eastAsia="KaiTi_GB2312"/>
          <w:snapToGrid/>
          <w:spacing w:val="0"/>
        </w:rPr>
        <w:t>12</w:t>
      </w:r>
      <w:r>
        <w:rPr>
          <w:rFonts w:eastAsia="KaiTi_GB2312"/>
          <w:snapToGrid/>
          <w:spacing w:val="0"/>
        </w:rPr>
        <w:t>月</w:t>
      </w:r>
      <w:r>
        <w:rPr>
          <w:rFonts w:eastAsia="KaiTi_GB2312" w:hint="eastAsia"/>
          <w:snapToGrid/>
          <w:spacing w:val="0"/>
        </w:rPr>
        <w:t>这个变动大的</w:t>
      </w:r>
      <w:r>
        <w:rPr>
          <w:rFonts w:eastAsia="KaiTi_GB2312"/>
          <w:snapToGrid/>
          <w:spacing w:val="0"/>
        </w:rPr>
        <w:t>季度的数</w:t>
      </w:r>
      <w:r>
        <w:rPr>
          <w:rFonts w:eastAsia="KaiTi_GB2312" w:hint="eastAsia"/>
          <w:snapToGrid/>
          <w:spacing w:val="0"/>
        </w:rPr>
        <w:t>字</w:t>
      </w:r>
      <w:r>
        <w:rPr>
          <w:rFonts w:eastAsia="KaiTi_GB2312"/>
          <w:snapToGrid/>
          <w:spacing w:val="0"/>
        </w:rPr>
        <w:t>。</w:t>
      </w:r>
    </w:p>
    <w:p w:rsidR="00000000" w:rsidRDefault="009C1C61">
      <w:pPr>
        <w:rPr>
          <w:rFonts w:hint="eastAsia"/>
          <w:snapToGrid/>
        </w:rPr>
      </w:pPr>
      <w:r>
        <w:rPr>
          <w:rFonts w:hint="eastAsia"/>
          <w:snapToGrid/>
        </w:rPr>
        <w:tab/>
      </w:r>
      <w:r>
        <w:rPr>
          <w:snapToGrid/>
        </w:rPr>
        <w:t>150.</w:t>
      </w:r>
      <w:r>
        <w:rPr>
          <w:rFonts w:hint="eastAsia"/>
          <w:snapToGrid/>
        </w:rPr>
        <w:t xml:space="preserve">  </w:t>
      </w:r>
      <w:r>
        <w:rPr>
          <w:snapToGrid/>
        </w:rPr>
        <w:t xml:space="preserve"> </w:t>
      </w:r>
      <w:r>
        <w:rPr>
          <w:snapToGrid/>
        </w:rPr>
        <w:t>长期以来</w:t>
      </w:r>
      <w:r>
        <w:rPr>
          <w:snapToGrid/>
        </w:rPr>
        <w:t>15</w:t>
      </w:r>
      <w:r>
        <w:rPr>
          <w:snapToGrid/>
        </w:rPr>
        <w:t>至</w:t>
      </w:r>
      <w:r>
        <w:rPr>
          <w:snapToGrid/>
        </w:rPr>
        <w:t>24</w:t>
      </w:r>
      <w:r>
        <w:rPr>
          <w:snapToGrid/>
        </w:rPr>
        <w:t>岁之间年</w:t>
      </w:r>
      <w:r>
        <w:rPr>
          <w:rFonts w:hint="eastAsia"/>
          <w:snapToGrid/>
        </w:rPr>
        <w:t>青人的</w:t>
      </w:r>
      <w:r>
        <w:rPr>
          <w:snapToGrid/>
        </w:rPr>
        <w:t>失业率较高。</w:t>
      </w:r>
      <w:r>
        <w:rPr>
          <w:snapToGrid/>
        </w:rPr>
        <w:t>1999</w:t>
      </w:r>
      <w:r>
        <w:rPr>
          <w:snapToGrid/>
        </w:rPr>
        <w:t>年</w:t>
      </w:r>
      <w:r>
        <w:rPr>
          <w:snapToGrid/>
        </w:rPr>
        <w:t>20</w:t>
      </w:r>
      <w:r>
        <w:rPr>
          <w:snapToGrid/>
        </w:rPr>
        <w:t>至</w:t>
      </w:r>
      <w:r>
        <w:rPr>
          <w:snapToGrid/>
        </w:rPr>
        <w:t>24</w:t>
      </w:r>
      <w:r>
        <w:rPr>
          <w:snapToGrid/>
        </w:rPr>
        <w:t>岁年龄组的失业率为</w:t>
      </w:r>
      <w:r>
        <w:rPr>
          <w:snapToGrid/>
        </w:rPr>
        <w:t>18.8%</w:t>
      </w:r>
      <w:r>
        <w:rPr>
          <w:snapToGrid/>
        </w:rPr>
        <w:t>，</w:t>
      </w:r>
      <w:r>
        <w:rPr>
          <w:snapToGrid/>
        </w:rPr>
        <w:t>2001</w:t>
      </w:r>
      <w:r>
        <w:rPr>
          <w:snapToGrid/>
        </w:rPr>
        <w:t>年为</w:t>
      </w:r>
      <w:r>
        <w:rPr>
          <w:snapToGrid/>
        </w:rPr>
        <w:t>17%</w:t>
      </w:r>
      <w:r>
        <w:rPr>
          <w:snapToGrid/>
        </w:rPr>
        <w:t>。</w:t>
      </w:r>
      <w:r>
        <w:rPr>
          <w:snapToGrid/>
        </w:rPr>
        <w:t>1999</w:t>
      </w:r>
      <w:r>
        <w:rPr>
          <w:snapToGrid/>
        </w:rPr>
        <w:t>年</w:t>
      </w:r>
      <w:r>
        <w:rPr>
          <w:snapToGrid/>
        </w:rPr>
        <w:t>15</w:t>
      </w:r>
      <w:r>
        <w:rPr>
          <w:snapToGrid/>
        </w:rPr>
        <w:t>至</w:t>
      </w:r>
      <w:r>
        <w:rPr>
          <w:snapToGrid/>
        </w:rPr>
        <w:t>19</w:t>
      </w:r>
      <w:r>
        <w:rPr>
          <w:snapToGrid/>
        </w:rPr>
        <w:t>岁年龄组的失业率为</w:t>
      </w:r>
      <w:r>
        <w:rPr>
          <w:snapToGrid/>
        </w:rPr>
        <w:t>26.8%</w:t>
      </w:r>
      <w:r>
        <w:rPr>
          <w:snapToGrid/>
        </w:rPr>
        <w:t>，</w:t>
      </w:r>
      <w:r>
        <w:rPr>
          <w:snapToGrid/>
        </w:rPr>
        <w:t>2001</w:t>
      </w:r>
      <w:r>
        <w:rPr>
          <w:snapToGrid/>
        </w:rPr>
        <w:t>年为</w:t>
      </w:r>
      <w:r>
        <w:rPr>
          <w:snapToGrid/>
        </w:rPr>
        <w:t>25.7%(</w:t>
      </w:r>
      <w:r>
        <w:rPr>
          <w:snapToGrid/>
        </w:rPr>
        <w:t>表</w:t>
      </w:r>
      <w:r>
        <w:rPr>
          <w:rFonts w:hint="eastAsia"/>
          <w:snapToGrid/>
        </w:rPr>
        <w:t>4</w:t>
      </w:r>
      <w:r>
        <w:rPr>
          <w:snapToGrid/>
        </w:rPr>
        <w:t>)</w:t>
      </w:r>
      <w:r>
        <w:rPr>
          <w:snapToGrid/>
        </w:rPr>
        <w:t>。</w:t>
      </w:r>
    </w:p>
    <w:p w:rsidR="00000000" w:rsidRDefault="009C1C61">
      <w:pPr>
        <w:rPr>
          <w:snapToGrid/>
        </w:rPr>
      </w:pPr>
      <w:r>
        <w:rPr>
          <w:rFonts w:hint="eastAsia"/>
          <w:snapToGrid/>
        </w:rPr>
        <w:tab/>
        <w:t>1</w:t>
      </w:r>
      <w:r>
        <w:rPr>
          <w:snapToGrid/>
        </w:rPr>
        <w:t>51.</w:t>
      </w:r>
      <w:r>
        <w:rPr>
          <w:rFonts w:hint="eastAsia"/>
          <w:snapToGrid/>
        </w:rPr>
        <w:t xml:space="preserve">  </w:t>
      </w:r>
      <w:r>
        <w:rPr>
          <w:rFonts w:hint="eastAsia"/>
          <w:snapToGrid/>
        </w:rPr>
        <w:t>与</w:t>
      </w:r>
      <w:r>
        <w:rPr>
          <w:snapToGrid/>
        </w:rPr>
        <w:t>十几年前的情况相比，新</w:t>
      </w:r>
      <w:r>
        <w:rPr>
          <w:rFonts w:hint="eastAsia"/>
          <w:snapToGrid/>
        </w:rPr>
        <w:t>工作</w:t>
      </w:r>
      <w:r>
        <w:rPr>
          <w:snapToGrid/>
        </w:rPr>
        <w:t>的</w:t>
      </w:r>
      <w:r>
        <w:rPr>
          <w:rFonts w:hint="eastAsia"/>
          <w:snapToGrid/>
        </w:rPr>
        <w:t>构</w:t>
      </w:r>
      <w:r>
        <w:rPr>
          <w:snapToGrid/>
        </w:rPr>
        <w:t>成</w:t>
      </w:r>
      <w:r>
        <w:rPr>
          <w:rFonts w:hint="eastAsia"/>
          <w:snapToGrid/>
        </w:rPr>
        <w:t>成份</w:t>
      </w:r>
      <w:r>
        <w:rPr>
          <w:snapToGrid/>
        </w:rPr>
        <w:t>正在出现重大变化。创造</w:t>
      </w:r>
      <w:r>
        <w:rPr>
          <w:rFonts w:hint="eastAsia"/>
          <w:snapToGrid/>
        </w:rPr>
        <w:t>就</w:t>
      </w:r>
      <w:r>
        <w:rPr>
          <w:snapToGrid/>
        </w:rPr>
        <w:t>业的一个明显趋势是</w:t>
      </w:r>
      <w:r>
        <w:rPr>
          <w:rFonts w:hint="eastAsia"/>
          <w:snapToGrid/>
        </w:rPr>
        <w:t>逐步从第一产业转向</w:t>
      </w:r>
      <w:r>
        <w:rPr>
          <w:snapToGrid/>
        </w:rPr>
        <w:t>服务</w:t>
      </w:r>
      <w:r>
        <w:rPr>
          <w:rFonts w:hint="eastAsia"/>
          <w:snapToGrid/>
        </w:rPr>
        <w:t>业。根据国家统计局</w:t>
      </w:r>
      <w:r>
        <w:rPr>
          <w:snapToGrid/>
        </w:rPr>
        <w:t>1990</w:t>
      </w:r>
      <w:r>
        <w:rPr>
          <w:snapToGrid/>
        </w:rPr>
        <w:t>至</w:t>
      </w:r>
      <w:r>
        <w:rPr>
          <w:snapToGrid/>
        </w:rPr>
        <w:t>1998</w:t>
      </w:r>
      <w:r>
        <w:rPr>
          <w:snapToGrid/>
        </w:rPr>
        <w:t>年的</w:t>
      </w:r>
      <w:r>
        <w:rPr>
          <w:rFonts w:hint="eastAsia"/>
          <w:snapToGrid/>
        </w:rPr>
        <w:t>统计</w:t>
      </w:r>
      <w:r>
        <w:rPr>
          <w:snapToGrid/>
        </w:rPr>
        <w:t>数字，服务</w:t>
      </w:r>
      <w:r>
        <w:rPr>
          <w:rFonts w:hint="eastAsia"/>
          <w:snapToGrid/>
        </w:rPr>
        <w:t>业</w:t>
      </w:r>
      <w:r>
        <w:rPr>
          <w:snapToGrid/>
        </w:rPr>
        <w:t>创造了</w:t>
      </w:r>
      <w:r>
        <w:rPr>
          <w:rFonts w:hint="eastAsia"/>
          <w:snapToGrid/>
        </w:rPr>
        <w:t>70</w:t>
      </w:r>
      <w:r>
        <w:rPr>
          <w:snapToGrid/>
        </w:rPr>
        <w:t>%</w:t>
      </w:r>
      <w:r>
        <w:rPr>
          <w:snapToGrid/>
        </w:rPr>
        <w:t>的新</w:t>
      </w:r>
      <w:r>
        <w:rPr>
          <w:rFonts w:hint="eastAsia"/>
          <w:snapToGrid/>
        </w:rPr>
        <w:t>工作岗位</w:t>
      </w:r>
      <w:r>
        <w:rPr>
          <w:snapToGrid/>
        </w:rPr>
        <w:t>，而</w:t>
      </w:r>
      <w:r>
        <w:rPr>
          <w:snapToGrid/>
        </w:rPr>
        <w:t>2001</w:t>
      </w:r>
      <w:r>
        <w:rPr>
          <w:snapToGrid/>
        </w:rPr>
        <w:t>年服务</w:t>
      </w:r>
      <w:r>
        <w:rPr>
          <w:rFonts w:hint="eastAsia"/>
          <w:snapToGrid/>
        </w:rPr>
        <w:t>业</w:t>
      </w:r>
      <w:r>
        <w:rPr>
          <w:snapToGrid/>
        </w:rPr>
        <w:t>提供了</w:t>
      </w:r>
      <w:r>
        <w:rPr>
          <w:snapToGrid/>
        </w:rPr>
        <w:t>27,</w:t>
      </w:r>
      <w:r>
        <w:rPr>
          <w:rFonts w:hint="eastAsia"/>
          <w:snapToGrid/>
        </w:rPr>
        <w:t>0</w:t>
      </w:r>
      <w:r>
        <w:rPr>
          <w:snapToGrid/>
        </w:rPr>
        <w:t>00</w:t>
      </w:r>
      <w:r>
        <w:rPr>
          <w:snapToGrid/>
        </w:rPr>
        <w:t>个新</w:t>
      </w:r>
      <w:r>
        <w:rPr>
          <w:rFonts w:hint="eastAsia"/>
          <w:snapToGrid/>
        </w:rPr>
        <w:t>工作岗位</w:t>
      </w:r>
      <w:r>
        <w:rPr>
          <w:snapToGrid/>
        </w:rPr>
        <w:t>，</w:t>
      </w:r>
      <w:r>
        <w:rPr>
          <w:rFonts w:hint="eastAsia"/>
          <w:snapToGrid/>
        </w:rPr>
        <w:t>占</w:t>
      </w:r>
      <w:r>
        <w:rPr>
          <w:snapToGrid/>
        </w:rPr>
        <w:t>全国所有</w:t>
      </w:r>
      <w:r>
        <w:rPr>
          <w:rFonts w:hint="eastAsia"/>
          <w:snapToGrid/>
        </w:rPr>
        <w:t>新创工作岗位</w:t>
      </w:r>
      <w:r>
        <w:rPr>
          <w:snapToGrid/>
        </w:rPr>
        <w:t>的</w:t>
      </w:r>
      <w:r>
        <w:rPr>
          <w:snapToGrid/>
        </w:rPr>
        <w:t>63%</w:t>
      </w:r>
      <w:r>
        <w:rPr>
          <w:snapToGrid/>
        </w:rPr>
        <w:t>。相反，农业和畜牧业、采矿</w:t>
      </w:r>
      <w:r>
        <w:rPr>
          <w:rFonts w:hint="eastAsia"/>
          <w:snapToGrid/>
        </w:rPr>
        <w:t>业和</w:t>
      </w:r>
      <w:r>
        <w:rPr>
          <w:snapToGrid/>
        </w:rPr>
        <w:t>工业部门则裁减工人</w:t>
      </w:r>
      <w:r>
        <w:rPr>
          <w:rFonts w:hint="eastAsia"/>
          <w:snapToGrid/>
        </w:rPr>
        <w:t>。</w:t>
      </w:r>
      <w:r>
        <w:rPr>
          <w:snapToGrid/>
        </w:rPr>
        <w:t>这是农业和采</w:t>
      </w:r>
      <w:r>
        <w:rPr>
          <w:snapToGrid/>
        </w:rPr>
        <w:t>矿</w:t>
      </w:r>
      <w:r>
        <w:rPr>
          <w:rFonts w:hint="eastAsia"/>
          <w:snapToGrid/>
        </w:rPr>
        <w:t>业</w:t>
      </w:r>
      <w:r>
        <w:rPr>
          <w:snapToGrid/>
        </w:rPr>
        <w:t>长期以来早已形成的趋势。</w:t>
      </w:r>
    </w:p>
    <w:p w:rsidR="00000000" w:rsidRDefault="009C1C61">
      <w:pPr>
        <w:rPr>
          <w:rFonts w:hint="eastAsia"/>
          <w:snapToGrid/>
        </w:rPr>
      </w:pPr>
      <w:r>
        <w:rPr>
          <w:rFonts w:hint="eastAsia"/>
          <w:snapToGrid/>
        </w:rPr>
        <w:tab/>
      </w:r>
      <w:r>
        <w:rPr>
          <w:snapToGrid/>
        </w:rPr>
        <w:t>152.</w:t>
      </w:r>
      <w:r>
        <w:rPr>
          <w:rFonts w:hint="eastAsia"/>
          <w:snapToGrid/>
        </w:rPr>
        <w:t xml:space="preserve">  </w:t>
      </w:r>
      <w:r>
        <w:rPr>
          <w:snapToGrid/>
        </w:rPr>
        <w:t>从</w:t>
      </w:r>
      <w:r>
        <w:rPr>
          <w:rFonts w:hint="eastAsia"/>
          <w:snapToGrid/>
        </w:rPr>
        <w:t>智利</w:t>
      </w:r>
      <w:r>
        <w:rPr>
          <w:snapToGrid/>
        </w:rPr>
        <w:t>各</w:t>
      </w:r>
      <w:r>
        <w:rPr>
          <w:rFonts w:hint="eastAsia"/>
          <w:snapToGrid/>
        </w:rPr>
        <w:t>行政区</w:t>
      </w:r>
      <w:r>
        <w:rPr>
          <w:snapToGrid/>
        </w:rPr>
        <w:t>的角度来看，</w:t>
      </w:r>
      <w:r>
        <w:rPr>
          <w:rStyle w:val="FootnoteReference"/>
          <w:snapToGrid/>
        </w:rPr>
        <w:footnoteReference w:id="39"/>
      </w:r>
      <w:r>
        <w:rPr>
          <w:rFonts w:hint="eastAsia"/>
          <w:snapToGrid/>
        </w:rPr>
        <w:t xml:space="preserve"> </w:t>
      </w:r>
      <w:r>
        <w:rPr>
          <w:snapToGrid/>
        </w:rPr>
        <w:t>大部分的工作</w:t>
      </w:r>
      <w:r>
        <w:rPr>
          <w:rFonts w:hint="eastAsia"/>
          <w:snapToGrid/>
        </w:rPr>
        <w:t>岗位</w:t>
      </w:r>
      <w:r>
        <w:rPr>
          <w:snapToGrid/>
        </w:rPr>
        <w:t>是</w:t>
      </w:r>
      <w:r>
        <w:rPr>
          <w:rFonts w:hint="eastAsia"/>
          <w:snapToGrid/>
        </w:rPr>
        <w:t>首都区</w:t>
      </w:r>
      <w:r>
        <w:rPr>
          <w:snapToGrid/>
        </w:rPr>
        <w:t>创造的，创造工作</w:t>
      </w:r>
      <w:r>
        <w:rPr>
          <w:rFonts w:hint="eastAsia"/>
          <w:snapToGrid/>
        </w:rPr>
        <w:t>岗位</w:t>
      </w:r>
      <w:r>
        <w:rPr>
          <w:snapToGrid/>
        </w:rPr>
        <w:t>的数量远远超过其他</w:t>
      </w:r>
      <w:r>
        <w:rPr>
          <w:rFonts w:hint="eastAsia"/>
          <w:snapToGrid/>
        </w:rPr>
        <w:t>各区</w:t>
      </w:r>
      <w:r>
        <w:rPr>
          <w:snapToGrid/>
        </w:rPr>
        <w:t>。在</w:t>
      </w:r>
      <w:r>
        <w:rPr>
          <w:snapToGrid/>
        </w:rPr>
        <w:t>1992</w:t>
      </w:r>
      <w:r>
        <w:rPr>
          <w:snapToGrid/>
        </w:rPr>
        <w:t>至</w:t>
      </w:r>
      <w:r>
        <w:rPr>
          <w:snapToGrid/>
        </w:rPr>
        <w:t>1998</w:t>
      </w:r>
      <w:r>
        <w:rPr>
          <w:snapToGrid/>
        </w:rPr>
        <w:t>年期间，</w:t>
      </w:r>
      <w:r>
        <w:rPr>
          <w:rFonts w:hint="eastAsia"/>
          <w:snapToGrid/>
        </w:rPr>
        <w:t>首都区</w:t>
      </w:r>
      <w:r>
        <w:rPr>
          <w:snapToGrid/>
        </w:rPr>
        <w:t>创造的工作</w:t>
      </w:r>
      <w:r>
        <w:rPr>
          <w:rFonts w:hint="eastAsia"/>
          <w:snapToGrid/>
        </w:rPr>
        <w:t>岗位占</w:t>
      </w:r>
      <w:r>
        <w:rPr>
          <w:snapToGrid/>
        </w:rPr>
        <w:t>所有新工作</w:t>
      </w:r>
      <w:r>
        <w:rPr>
          <w:rFonts w:hint="eastAsia"/>
          <w:snapToGrid/>
        </w:rPr>
        <w:t>岗位</w:t>
      </w:r>
      <w:r>
        <w:rPr>
          <w:snapToGrid/>
        </w:rPr>
        <w:t>的</w:t>
      </w:r>
      <w:r>
        <w:rPr>
          <w:snapToGrid/>
        </w:rPr>
        <w:t>60%</w:t>
      </w:r>
      <w:r>
        <w:rPr>
          <w:snapToGrid/>
        </w:rPr>
        <w:t>；</w:t>
      </w:r>
      <w:r>
        <w:rPr>
          <w:snapToGrid/>
        </w:rPr>
        <w:t>1999</w:t>
      </w:r>
      <w:r>
        <w:rPr>
          <w:snapToGrid/>
        </w:rPr>
        <w:t>至</w:t>
      </w:r>
      <w:r>
        <w:rPr>
          <w:snapToGrid/>
        </w:rPr>
        <w:t>2001</w:t>
      </w:r>
      <w:r>
        <w:rPr>
          <w:snapToGrid/>
        </w:rPr>
        <w:t>年期间，这一比例上升至</w:t>
      </w:r>
      <w:r>
        <w:rPr>
          <w:snapToGrid/>
        </w:rPr>
        <w:t>88%</w:t>
      </w:r>
      <w:r>
        <w:rPr>
          <w:snapToGrid/>
        </w:rPr>
        <w:t>。</w:t>
      </w:r>
    </w:p>
    <w:p w:rsidR="00000000" w:rsidRDefault="009C1C61">
      <w:pPr>
        <w:rPr>
          <w:snapToGrid/>
        </w:rPr>
      </w:pPr>
      <w:r>
        <w:rPr>
          <w:rFonts w:hint="eastAsia"/>
          <w:snapToGrid/>
        </w:rPr>
        <w:tab/>
      </w:r>
      <w:r>
        <w:rPr>
          <w:snapToGrid/>
        </w:rPr>
        <w:t>153.</w:t>
      </w:r>
      <w:r>
        <w:rPr>
          <w:rFonts w:hint="eastAsia"/>
          <w:snapToGrid/>
        </w:rPr>
        <w:t xml:space="preserve">  </w:t>
      </w:r>
      <w:r>
        <w:rPr>
          <w:snapToGrid/>
        </w:rPr>
        <w:t>其他</w:t>
      </w:r>
      <w:r>
        <w:rPr>
          <w:rFonts w:hint="eastAsia"/>
          <w:snapToGrid/>
        </w:rPr>
        <w:t>各区</w:t>
      </w:r>
      <w:r>
        <w:rPr>
          <w:snapToGrid/>
        </w:rPr>
        <w:t>在幅度上以及趋势方面各有差异。</w:t>
      </w:r>
      <w:r>
        <w:rPr>
          <w:rFonts w:hint="eastAsia"/>
          <w:snapToGrid/>
        </w:rPr>
        <w:t>19</w:t>
      </w:r>
      <w:r>
        <w:rPr>
          <w:snapToGrid/>
        </w:rPr>
        <w:t>99</w:t>
      </w:r>
      <w:r>
        <w:rPr>
          <w:snapToGrid/>
        </w:rPr>
        <w:t>至</w:t>
      </w:r>
      <w:r>
        <w:rPr>
          <w:snapToGrid/>
        </w:rPr>
        <w:t>2001</w:t>
      </w:r>
      <w:r>
        <w:rPr>
          <w:snapToGrid/>
        </w:rPr>
        <w:t>年期间，第一、二、四、八和</w:t>
      </w:r>
      <w:r>
        <w:rPr>
          <w:rFonts w:hint="eastAsia"/>
          <w:snapToGrid/>
        </w:rPr>
        <w:t>十一区创造的</w:t>
      </w:r>
      <w:r>
        <w:rPr>
          <w:snapToGrid/>
        </w:rPr>
        <w:t>(</w:t>
      </w:r>
      <w:r>
        <w:rPr>
          <w:snapToGrid/>
        </w:rPr>
        <w:t>尤其捕鱼、采矿、林业和</w:t>
      </w:r>
      <w:r>
        <w:rPr>
          <w:rFonts w:hint="eastAsia"/>
          <w:snapToGrid/>
        </w:rPr>
        <w:t>农业工</w:t>
      </w:r>
      <w:r>
        <w:rPr>
          <w:snapToGrid/>
        </w:rPr>
        <w:t>业方面的</w:t>
      </w:r>
      <w:r>
        <w:rPr>
          <w:snapToGrid/>
        </w:rPr>
        <w:t>)</w:t>
      </w:r>
      <w:r>
        <w:rPr>
          <w:snapToGrid/>
        </w:rPr>
        <w:t>就业增长率在</w:t>
      </w:r>
      <w:r>
        <w:rPr>
          <w:snapToGrid/>
        </w:rPr>
        <w:t>4.9</w:t>
      </w:r>
      <w:r>
        <w:rPr>
          <w:rFonts w:hint="eastAsia"/>
          <w:snapToGrid/>
        </w:rPr>
        <w:t>-</w:t>
      </w:r>
      <w:r>
        <w:rPr>
          <w:snapToGrid/>
        </w:rPr>
        <w:t>0.</w:t>
      </w:r>
      <w:r>
        <w:rPr>
          <w:rFonts w:hint="eastAsia"/>
          <w:snapToGrid/>
        </w:rPr>
        <w:t>5</w:t>
      </w:r>
      <w:r>
        <w:rPr>
          <w:snapToGrid/>
        </w:rPr>
        <w:t>%</w:t>
      </w:r>
      <w:r>
        <w:rPr>
          <w:snapToGrid/>
        </w:rPr>
        <w:t>之间；其他一些</w:t>
      </w:r>
      <w:r>
        <w:rPr>
          <w:rFonts w:hint="eastAsia"/>
          <w:snapToGrid/>
        </w:rPr>
        <w:t>区</w:t>
      </w:r>
      <w:r>
        <w:rPr>
          <w:snapToGrid/>
        </w:rPr>
        <w:t>丧失</w:t>
      </w:r>
      <w:r>
        <w:rPr>
          <w:rFonts w:hint="eastAsia"/>
          <w:snapToGrid/>
        </w:rPr>
        <w:t>就业岗位</w:t>
      </w:r>
      <w:r>
        <w:rPr>
          <w:snapToGrid/>
        </w:rPr>
        <w:t>的</w:t>
      </w:r>
      <w:r>
        <w:rPr>
          <w:rFonts w:hint="eastAsia"/>
          <w:snapToGrid/>
        </w:rPr>
        <w:t>数量</w:t>
      </w:r>
      <w:r>
        <w:rPr>
          <w:snapToGrid/>
        </w:rPr>
        <w:t>在</w:t>
      </w:r>
      <w:r>
        <w:rPr>
          <w:snapToGrid/>
        </w:rPr>
        <w:t>11,600</w:t>
      </w:r>
      <w:r>
        <w:rPr>
          <w:rFonts w:hint="eastAsia"/>
          <w:snapToGrid/>
        </w:rPr>
        <w:t>与</w:t>
      </w:r>
      <w:r>
        <w:rPr>
          <w:rFonts w:hint="eastAsia"/>
          <w:snapToGrid/>
        </w:rPr>
        <w:t>6</w:t>
      </w:r>
      <w:r>
        <w:rPr>
          <w:snapToGrid/>
        </w:rPr>
        <w:t>70</w:t>
      </w:r>
      <w:r>
        <w:rPr>
          <w:snapToGrid/>
        </w:rPr>
        <w:t>之间。</w:t>
      </w:r>
    </w:p>
    <w:p w:rsidR="00000000" w:rsidRDefault="009C1C61">
      <w:pPr>
        <w:rPr>
          <w:snapToGrid/>
        </w:rPr>
      </w:pPr>
      <w:r>
        <w:rPr>
          <w:rFonts w:hint="eastAsia"/>
          <w:snapToGrid/>
        </w:rPr>
        <w:tab/>
      </w:r>
      <w:r>
        <w:rPr>
          <w:snapToGrid/>
        </w:rPr>
        <w:t>15</w:t>
      </w:r>
      <w:r>
        <w:rPr>
          <w:snapToGrid/>
        </w:rPr>
        <w:t>4.</w:t>
      </w:r>
      <w:r>
        <w:rPr>
          <w:rFonts w:hint="eastAsia"/>
          <w:snapToGrid/>
        </w:rPr>
        <w:t xml:space="preserve">  </w:t>
      </w:r>
      <w:r>
        <w:rPr>
          <w:snapToGrid/>
        </w:rPr>
        <w:t>就业方面最弱</w:t>
      </w:r>
      <w:r>
        <w:rPr>
          <w:rFonts w:hint="eastAsia"/>
          <w:snapToGrid/>
        </w:rPr>
        <w:t>势和处境最不利的人口群体主要在第五区</w:t>
      </w:r>
      <w:r>
        <w:rPr>
          <w:snapToGrid/>
        </w:rPr>
        <w:t>(</w:t>
      </w:r>
      <w:r>
        <w:rPr>
          <w:snapToGrid/>
        </w:rPr>
        <w:t>服务业</w:t>
      </w:r>
      <w:r>
        <w:rPr>
          <w:snapToGrid/>
        </w:rPr>
        <w:t>)</w:t>
      </w:r>
      <w:r>
        <w:rPr>
          <w:snapToGrid/>
        </w:rPr>
        <w:t>、第七</w:t>
      </w:r>
      <w:r>
        <w:rPr>
          <w:rFonts w:hint="eastAsia"/>
          <w:snapToGrid/>
        </w:rPr>
        <w:t>区</w:t>
      </w:r>
      <w:r>
        <w:rPr>
          <w:snapToGrid/>
        </w:rPr>
        <w:t>(</w:t>
      </w:r>
      <w:r>
        <w:rPr>
          <w:snapToGrid/>
        </w:rPr>
        <w:t>未转化作物</w:t>
      </w:r>
      <w:r>
        <w:rPr>
          <w:rFonts w:hint="eastAsia"/>
          <w:snapToGrid/>
        </w:rPr>
        <w:t>培栽方面</w:t>
      </w:r>
      <w:r>
        <w:rPr>
          <w:snapToGrid/>
        </w:rPr>
        <w:t>)</w:t>
      </w:r>
      <w:r>
        <w:rPr>
          <w:snapToGrid/>
        </w:rPr>
        <w:t>和第</w:t>
      </w:r>
      <w:r>
        <w:rPr>
          <w:rFonts w:hint="eastAsia"/>
          <w:snapToGrid/>
        </w:rPr>
        <w:t>三区</w:t>
      </w:r>
      <w:r>
        <w:rPr>
          <w:snapToGrid/>
        </w:rPr>
        <w:t>(</w:t>
      </w:r>
      <w:r>
        <w:rPr>
          <w:snapToGrid/>
        </w:rPr>
        <w:t>经济滞</w:t>
      </w:r>
      <w:r>
        <w:rPr>
          <w:rFonts w:hint="eastAsia"/>
          <w:snapToGrid/>
        </w:rPr>
        <w:t>涨</w:t>
      </w:r>
      <w:r>
        <w:rPr>
          <w:snapToGrid/>
        </w:rPr>
        <w:t>)</w:t>
      </w:r>
      <w:r>
        <w:rPr>
          <w:snapToGrid/>
        </w:rPr>
        <w:t>。全国最弱势的群体是青年人和</w:t>
      </w:r>
      <w:r>
        <w:rPr>
          <w:rFonts w:hint="eastAsia"/>
          <w:snapToGrid/>
        </w:rPr>
        <w:t>身为户主</w:t>
      </w:r>
      <w:r>
        <w:rPr>
          <w:snapToGrid/>
        </w:rPr>
        <w:t>的妇女。</w:t>
      </w:r>
    </w:p>
    <w:p w:rsidR="00000000" w:rsidRDefault="009C1C61">
      <w:pPr>
        <w:spacing w:line="288" w:lineRule="auto"/>
        <w:rPr>
          <w:snapToGrid/>
        </w:rPr>
      </w:pPr>
      <w:r>
        <w:rPr>
          <w:rFonts w:hint="eastAsia"/>
          <w:snapToGrid/>
        </w:rPr>
        <w:tab/>
      </w:r>
      <w:r>
        <w:rPr>
          <w:snapToGrid/>
        </w:rPr>
        <w:t>155.</w:t>
      </w:r>
      <w:r>
        <w:rPr>
          <w:rFonts w:hint="eastAsia"/>
          <w:snapToGrid/>
        </w:rPr>
        <w:t xml:space="preserve">  </w:t>
      </w:r>
      <w:r>
        <w:rPr>
          <w:snapToGrid/>
        </w:rPr>
        <w:t>在亚洲危机之后，经济增长</w:t>
      </w:r>
      <w:r>
        <w:rPr>
          <w:rFonts w:hint="eastAsia"/>
          <w:snapToGrid/>
        </w:rPr>
        <w:t>率未能恢复到</w:t>
      </w:r>
      <w:r>
        <w:rPr>
          <w:snapToGrid/>
        </w:rPr>
        <w:t>前几年的水平。</w:t>
      </w:r>
      <w:r>
        <w:rPr>
          <w:snapToGrid/>
        </w:rPr>
        <w:t>1990</w:t>
      </w:r>
      <w:r>
        <w:rPr>
          <w:snapToGrid/>
        </w:rPr>
        <w:t>和</w:t>
      </w:r>
      <w:r>
        <w:rPr>
          <w:snapToGrid/>
        </w:rPr>
        <w:t>2000</w:t>
      </w:r>
      <w:r>
        <w:rPr>
          <w:snapToGrid/>
        </w:rPr>
        <w:t>年期间，失业率上下</w:t>
      </w:r>
      <w:r>
        <w:rPr>
          <w:rFonts w:hint="eastAsia"/>
          <w:snapToGrid/>
        </w:rPr>
        <w:t>波</w:t>
      </w:r>
      <w:r>
        <w:rPr>
          <w:snapToGrid/>
        </w:rPr>
        <w:t>动，从</w:t>
      </w:r>
      <w:r>
        <w:rPr>
          <w:snapToGrid/>
        </w:rPr>
        <w:t>1990</w:t>
      </w:r>
      <w:r>
        <w:rPr>
          <w:snapToGrid/>
        </w:rPr>
        <w:t>年的</w:t>
      </w:r>
      <w:r>
        <w:rPr>
          <w:snapToGrid/>
        </w:rPr>
        <w:t>7.4 %</w:t>
      </w:r>
      <w:r>
        <w:rPr>
          <w:rFonts w:hint="eastAsia"/>
          <w:snapToGrid/>
        </w:rPr>
        <w:t>下降</w:t>
      </w:r>
      <w:r>
        <w:rPr>
          <w:snapToGrid/>
        </w:rPr>
        <w:t>至</w:t>
      </w:r>
      <w:r>
        <w:rPr>
          <w:snapToGrid/>
        </w:rPr>
        <w:t>1995</w:t>
      </w:r>
      <w:r>
        <w:rPr>
          <w:snapToGrid/>
        </w:rPr>
        <w:t>年的</w:t>
      </w:r>
      <w:r>
        <w:rPr>
          <w:snapToGrid/>
        </w:rPr>
        <w:t>6.</w:t>
      </w:r>
      <w:r>
        <w:rPr>
          <w:rFonts w:hint="eastAsia"/>
          <w:snapToGrid/>
        </w:rPr>
        <w:t>6</w:t>
      </w:r>
      <w:r>
        <w:rPr>
          <w:snapToGrid/>
        </w:rPr>
        <w:t>%</w:t>
      </w:r>
      <w:r>
        <w:rPr>
          <w:snapToGrid/>
        </w:rPr>
        <w:t>，</w:t>
      </w:r>
      <w:r>
        <w:rPr>
          <w:rFonts w:hint="eastAsia"/>
          <w:snapToGrid/>
        </w:rPr>
        <w:t>再</w:t>
      </w:r>
      <w:r>
        <w:rPr>
          <w:snapToGrid/>
        </w:rPr>
        <w:t>下跌至</w:t>
      </w:r>
      <w:r>
        <w:rPr>
          <w:snapToGrid/>
        </w:rPr>
        <w:t>1997</w:t>
      </w:r>
      <w:r>
        <w:rPr>
          <w:snapToGrid/>
        </w:rPr>
        <w:t>年的</w:t>
      </w:r>
      <w:r>
        <w:rPr>
          <w:snapToGrid/>
        </w:rPr>
        <w:t>5.6%</w:t>
      </w:r>
      <w:r>
        <w:rPr>
          <w:snapToGrid/>
        </w:rPr>
        <w:t>，</w:t>
      </w:r>
      <w:r>
        <w:rPr>
          <w:snapToGrid/>
        </w:rPr>
        <w:t>2000</w:t>
      </w:r>
      <w:r>
        <w:rPr>
          <w:snapToGrid/>
        </w:rPr>
        <w:t>年</w:t>
      </w:r>
      <w:r>
        <w:rPr>
          <w:rFonts w:hint="eastAsia"/>
          <w:snapToGrid/>
        </w:rPr>
        <w:t>又</w:t>
      </w:r>
      <w:r>
        <w:rPr>
          <w:snapToGrid/>
        </w:rPr>
        <w:t>回升至</w:t>
      </w:r>
      <w:r>
        <w:rPr>
          <w:snapToGrid/>
        </w:rPr>
        <w:t>8.3%</w:t>
      </w:r>
      <w:r>
        <w:rPr>
          <w:snapToGrid/>
        </w:rPr>
        <w:t>。在上述整个期间，女</w:t>
      </w:r>
      <w:r>
        <w:rPr>
          <w:rFonts w:hint="eastAsia"/>
          <w:snapToGrid/>
        </w:rPr>
        <w:t>性</w:t>
      </w:r>
      <w:r>
        <w:rPr>
          <w:snapToGrid/>
        </w:rPr>
        <w:t>失业率比男性高</w:t>
      </w:r>
      <w:r>
        <w:rPr>
          <w:snapToGrid/>
        </w:rPr>
        <w:t>(</w:t>
      </w:r>
      <w:r>
        <w:rPr>
          <w:snapToGrid/>
        </w:rPr>
        <w:t>表</w:t>
      </w:r>
      <w:r>
        <w:rPr>
          <w:rFonts w:hint="eastAsia"/>
          <w:snapToGrid/>
        </w:rPr>
        <w:t>6</w:t>
      </w:r>
      <w:r>
        <w:rPr>
          <w:snapToGrid/>
        </w:rPr>
        <w:t>)</w:t>
      </w:r>
      <w:r>
        <w:rPr>
          <w:snapToGrid/>
        </w:rPr>
        <w:t>。</w:t>
      </w:r>
    </w:p>
    <w:p w:rsidR="00000000" w:rsidRDefault="009C1C61">
      <w:pPr>
        <w:pStyle w:val="Heading3"/>
        <w:spacing w:before="300" w:after="120" w:line="288" w:lineRule="auto"/>
      </w:pPr>
      <w:r>
        <w:rPr>
          <w:rFonts w:ascii="Time New Roman" w:hAnsi="Time New Roman"/>
        </w:rPr>
        <w:t>表</w:t>
      </w:r>
      <w:r>
        <w:rPr>
          <w:rFonts w:ascii="Time New Roman" w:hAnsi="Time New Roman" w:hint="eastAsia"/>
        </w:rPr>
        <w:t xml:space="preserve">  </w:t>
      </w:r>
      <w:r>
        <w:rPr>
          <w:rFonts w:ascii="Time New Roman" w:hAnsi="Time New Roman" w:hint="eastAsia"/>
          <w:b/>
        </w:rPr>
        <w:t>6</w:t>
      </w:r>
      <w:r>
        <w:rPr>
          <w:rFonts w:ascii="Time New Roman" w:hAnsi="Time New Roman"/>
          <w:b/>
        </w:rPr>
        <w:br/>
        <w:t>1990</w:t>
      </w:r>
      <w:r>
        <w:rPr>
          <w:rFonts w:ascii="Time New Roman" w:hAnsi="Time New Roman"/>
        </w:rPr>
        <w:t>至</w:t>
      </w:r>
      <w:r>
        <w:rPr>
          <w:rFonts w:ascii="Time New Roman" w:hAnsi="Time New Roman"/>
          <w:b/>
        </w:rPr>
        <w:t>2000</w:t>
      </w:r>
      <w:r>
        <w:rPr>
          <w:rFonts w:ascii="Time New Roman" w:hAnsi="Time New Roman"/>
        </w:rPr>
        <w:t>年按性别分列的失业率</w:t>
      </w:r>
      <w:r>
        <w:rPr>
          <w:rFonts w:ascii="Time New Roman" w:hAnsi="Time New Roman" w:hint="eastAsia"/>
        </w:rPr>
        <w:t xml:space="preserve"> *</w:t>
      </w:r>
      <w:r>
        <w:rPr>
          <w:rFonts w:ascii="Time New Roman" w:hAnsi="Time New Roman"/>
        </w:rPr>
        <w:br/>
      </w:r>
      <w:r>
        <w:rPr>
          <w:sz w:val="22"/>
        </w:rPr>
        <w:t>(</w:t>
      </w:r>
      <w:r>
        <w:rPr>
          <w:sz w:val="22"/>
        </w:rPr>
        <w:t>百分比</w:t>
      </w:r>
      <w:r>
        <w:rPr>
          <w:sz w:val="22"/>
        </w:rPr>
        <w:t>)</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506"/>
        <w:gridCol w:w="2394"/>
        <w:gridCol w:w="2056"/>
      </w:tblGrid>
      <w:tr w:rsidR="00000000">
        <w:tc>
          <w:tcPr>
            <w:tcW w:w="1278" w:type="pct"/>
            <w:tcBorders>
              <w:bottom w:val="single" w:sz="4" w:space="0" w:color="auto"/>
            </w:tcBorders>
          </w:tcPr>
          <w:p w:rsidR="00000000" w:rsidRDefault="009C1C61">
            <w:pPr>
              <w:pStyle w:val="a2"/>
              <w:spacing w:before="60" w:after="60"/>
              <w:jc w:val="center"/>
              <w:rPr>
                <w:rFonts w:hint="eastAsia"/>
                <w:snapToGrid/>
              </w:rPr>
            </w:pPr>
            <w:r>
              <w:rPr>
                <w:rFonts w:hint="eastAsia"/>
                <w:snapToGrid/>
              </w:rPr>
              <w:t>年</w:t>
            </w:r>
            <w:r>
              <w:rPr>
                <w:rFonts w:hint="eastAsia"/>
                <w:snapToGrid/>
              </w:rPr>
              <w:t xml:space="preserve"> </w:t>
            </w:r>
            <w:r>
              <w:rPr>
                <w:rFonts w:hint="eastAsia"/>
                <w:snapToGrid/>
              </w:rPr>
              <w:t>份</w:t>
            </w:r>
          </w:p>
        </w:tc>
        <w:tc>
          <w:tcPr>
            <w:tcW w:w="1341" w:type="pct"/>
            <w:tcBorders>
              <w:bottom w:val="single" w:sz="4" w:space="0" w:color="auto"/>
            </w:tcBorders>
          </w:tcPr>
          <w:p w:rsidR="00000000" w:rsidRDefault="009C1C61">
            <w:pPr>
              <w:pStyle w:val="a2"/>
              <w:spacing w:before="60" w:after="60"/>
              <w:jc w:val="center"/>
              <w:rPr>
                <w:rFonts w:hint="eastAsia"/>
                <w:snapToGrid/>
              </w:rPr>
            </w:pPr>
            <w:r>
              <w:rPr>
                <w:rFonts w:hint="eastAsia"/>
                <w:snapToGrid/>
              </w:rPr>
              <w:t>男</w:t>
            </w:r>
            <w:r>
              <w:rPr>
                <w:rFonts w:hint="eastAsia"/>
                <w:snapToGrid/>
              </w:rPr>
              <w:t xml:space="preserve"> </w:t>
            </w:r>
            <w:r>
              <w:rPr>
                <w:rFonts w:hint="eastAsia"/>
                <w:snapToGrid/>
              </w:rPr>
              <w:t>性</w:t>
            </w:r>
          </w:p>
        </w:tc>
        <w:tc>
          <w:tcPr>
            <w:tcW w:w="1281" w:type="pct"/>
            <w:tcBorders>
              <w:bottom w:val="single" w:sz="4" w:space="0" w:color="auto"/>
            </w:tcBorders>
          </w:tcPr>
          <w:p w:rsidR="00000000" w:rsidRDefault="009C1C61">
            <w:pPr>
              <w:pStyle w:val="a2"/>
              <w:spacing w:before="60" w:after="60"/>
              <w:jc w:val="center"/>
              <w:rPr>
                <w:rFonts w:hint="eastAsia"/>
                <w:snapToGrid/>
              </w:rPr>
            </w:pPr>
            <w:r>
              <w:rPr>
                <w:rFonts w:hint="eastAsia"/>
                <w:snapToGrid/>
              </w:rPr>
              <w:t>女</w:t>
            </w:r>
            <w:r>
              <w:rPr>
                <w:rFonts w:hint="eastAsia"/>
                <w:snapToGrid/>
              </w:rPr>
              <w:t xml:space="preserve"> </w:t>
            </w:r>
            <w:r>
              <w:rPr>
                <w:rFonts w:hint="eastAsia"/>
                <w:snapToGrid/>
              </w:rPr>
              <w:t>性</w:t>
            </w:r>
          </w:p>
        </w:tc>
        <w:tc>
          <w:tcPr>
            <w:tcW w:w="1101" w:type="pct"/>
            <w:tcBorders>
              <w:bottom w:val="single" w:sz="4" w:space="0" w:color="auto"/>
            </w:tcBorders>
          </w:tcPr>
          <w:p w:rsidR="00000000" w:rsidRDefault="009C1C61">
            <w:pPr>
              <w:pStyle w:val="a2"/>
              <w:spacing w:before="60" w:after="60"/>
              <w:jc w:val="center"/>
              <w:rPr>
                <w:rFonts w:hint="eastAsia"/>
                <w:snapToGrid/>
              </w:rPr>
            </w:pPr>
            <w:r>
              <w:rPr>
                <w:rFonts w:hint="eastAsia"/>
                <w:snapToGrid/>
              </w:rPr>
              <w:t>合</w:t>
            </w:r>
            <w:r>
              <w:rPr>
                <w:rFonts w:hint="eastAsia"/>
                <w:snapToGrid/>
              </w:rPr>
              <w:t xml:space="preserve"> </w:t>
            </w:r>
            <w:r>
              <w:rPr>
                <w:rFonts w:hint="eastAsia"/>
                <w:snapToGrid/>
              </w:rPr>
              <w:t>计</w:t>
            </w:r>
          </w:p>
        </w:tc>
      </w:tr>
      <w:tr w:rsidR="00000000">
        <w:tc>
          <w:tcPr>
            <w:tcW w:w="1278" w:type="pct"/>
            <w:tcBorders>
              <w:bottom w:val="nil"/>
            </w:tcBorders>
          </w:tcPr>
          <w:p w:rsidR="00000000" w:rsidRDefault="009C1C61">
            <w:pPr>
              <w:pStyle w:val="a2"/>
              <w:spacing w:line="280" w:lineRule="exact"/>
              <w:jc w:val="center"/>
              <w:rPr>
                <w:snapToGrid/>
              </w:rPr>
            </w:pPr>
            <w:r>
              <w:rPr>
                <w:snapToGrid/>
              </w:rPr>
              <w:t>1990</w:t>
            </w:r>
          </w:p>
        </w:tc>
        <w:tc>
          <w:tcPr>
            <w:tcW w:w="1341" w:type="pct"/>
            <w:tcBorders>
              <w:bottom w:val="nil"/>
            </w:tcBorders>
          </w:tcPr>
          <w:p w:rsidR="00000000" w:rsidRDefault="009C1C61">
            <w:pPr>
              <w:pStyle w:val="a2"/>
              <w:spacing w:line="280" w:lineRule="exact"/>
              <w:jc w:val="center"/>
              <w:rPr>
                <w:snapToGrid/>
              </w:rPr>
            </w:pPr>
            <w:r>
              <w:rPr>
                <w:snapToGrid/>
              </w:rPr>
              <w:t>6,6</w:t>
            </w:r>
          </w:p>
        </w:tc>
        <w:tc>
          <w:tcPr>
            <w:tcW w:w="1281" w:type="pct"/>
            <w:tcBorders>
              <w:bottom w:val="nil"/>
            </w:tcBorders>
          </w:tcPr>
          <w:p w:rsidR="00000000" w:rsidRDefault="009C1C61">
            <w:pPr>
              <w:pStyle w:val="a2"/>
              <w:spacing w:line="280" w:lineRule="exact"/>
              <w:ind w:right="880"/>
              <w:jc w:val="right"/>
              <w:rPr>
                <w:snapToGrid/>
              </w:rPr>
            </w:pPr>
            <w:r>
              <w:rPr>
                <w:snapToGrid/>
              </w:rPr>
              <w:t>9,2</w:t>
            </w:r>
          </w:p>
        </w:tc>
        <w:tc>
          <w:tcPr>
            <w:tcW w:w="1101" w:type="pct"/>
            <w:tcBorders>
              <w:bottom w:val="nil"/>
            </w:tcBorders>
          </w:tcPr>
          <w:p w:rsidR="00000000" w:rsidRDefault="009C1C61">
            <w:pPr>
              <w:pStyle w:val="a2"/>
              <w:spacing w:line="280" w:lineRule="exact"/>
              <w:ind w:right="731"/>
              <w:jc w:val="right"/>
              <w:rPr>
                <w:snapToGrid/>
              </w:rPr>
            </w:pPr>
            <w:r>
              <w:rPr>
                <w:snapToGrid/>
              </w:rPr>
              <w:t>7,4</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1991</w:t>
            </w:r>
          </w:p>
        </w:tc>
        <w:tc>
          <w:tcPr>
            <w:tcW w:w="1341" w:type="pct"/>
            <w:tcBorders>
              <w:top w:val="nil"/>
              <w:bottom w:val="nil"/>
            </w:tcBorders>
          </w:tcPr>
          <w:p w:rsidR="00000000" w:rsidRDefault="009C1C61">
            <w:pPr>
              <w:pStyle w:val="a2"/>
              <w:spacing w:line="280" w:lineRule="exact"/>
              <w:jc w:val="center"/>
              <w:rPr>
                <w:snapToGrid/>
              </w:rPr>
            </w:pPr>
            <w:r>
              <w:rPr>
                <w:snapToGrid/>
              </w:rPr>
              <w:t>6,1</w:t>
            </w:r>
          </w:p>
        </w:tc>
        <w:tc>
          <w:tcPr>
            <w:tcW w:w="1281" w:type="pct"/>
            <w:tcBorders>
              <w:top w:val="nil"/>
              <w:bottom w:val="nil"/>
            </w:tcBorders>
          </w:tcPr>
          <w:p w:rsidR="00000000" w:rsidRDefault="009C1C61">
            <w:pPr>
              <w:pStyle w:val="a2"/>
              <w:spacing w:line="280" w:lineRule="exact"/>
              <w:ind w:right="880"/>
              <w:jc w:val="right"/>
              <w:rPr>
                <w:snapToGrid/>
              </w:rPr>
            </w:pPr>
            <w:r>
              <w:rPr>
                <w:snapToGrid/>
              </w:rPr>
              <w:t>9,4</w:t>
            </w:r>
          </w:p>
        </w:tc>
        <w:tc>
          <w:tcPr>
            <w:tcW w:w="1101" w:type="pct"/>
            <w:tcBorders>
              <w:top w:val="nil"/>
              <w:bottom w:val="nil"/>
            </w:tcBorders>
          </w:tcPr>
          <w:p w:rsidR="00000000" w:rsidRDefault="009C1C61">
            <w:pPr>
              <w:pStyle w:val="a2"/>
              <w:spacing w:line="280" w:lineRule="exact"/>
              <w:ind w:right="731"/>
              <w:jc w:val="right"/>
              <w:rPr>
                <w:snapToGrid/>
              </w:rPr>
            </w:pPr>
            <w:r>
              <w:rPr>
                <w:snapToGrid/>
              </w:rPr>
              <w:t>7,1</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1992</w:t>
            </w:r>
          </w:p>
        </w:tc>
        <w:tc>
          <w:tcPr>
            <w:tcW w:w="1341" w:type="pct"/>
            <w:tcBorders>
              <w:top w:val="nil"/>
              <w:bottom w:val="nil"/>
            </w:tcBorders>
          </w:tcPr>
          <w:p w:rsidR="00000000" w:rsidRDefault="009C1C61">
            <w:pPr>
              <w:pStyle w:val="a2"/>
              <w:spacing w:line="280" w:lineRule="exact"/>
              <w:jc w:val="center"/>
              <w:rPr>
                <w:snapToGrid/>
              </w:rPr>
            </w:pPr>
            <w:r>
              <w:rPr>
                <w:snapToGrid/>
              </w:rPr>
              <w:t>5,0</w:t>
            </w:r>
          </w:p>
        </w:tc>
        <w:tc>
          <w:tcPr>
            <w:tcW w:w="1281" w:type="pct"/>
            <w:tcBorders>
              <w:top w:val="nil"/>
              <w:bottom w:val="nil"/>
            </w:tcBorders>
          </w:tcPr>
          <w:p w:rsidR="00000000" w:rsidRDefault="009C1C61">
            <w:pPr>
              <w:pStyle w:val="a2"/>
              <w:spacing w:line="280" w:lineRule="exact"/>
              <w:ind w:right="880"/>
              <w:jc w:val="right"/>
              <w:rPr>
                <w:snapToGrid/>
              </w:rPr>
            </w:pPr>
            <w:r>
              <w:rPr>
                <w:snapToGrid/>
              </w:rPr>
              <w:t>8,9</w:t>
            </w:r>
          </w:p>
        </w:tc>
        <w:tc>
          <w:tcPr>
            <w:tcW w:w="1101" w:type="pct"/>
            <w:tcBorders>
              <w:top w:val="nil"/>
              <w:bottom w:val="nil"/>
            </w:tcBorders>
          </w:tcPr>
          <w:p w:rsidR="00000000" w:rsidRDefault="009C1C61">
            <w:pPr>
              <w:pStyle w:val="a2"/>
              <w:spacing w:line="280" w:lineRule="exact"/>
              <w:ind w:right="731"/>
              <w:jc w:val="right"/>
              <w:rPr>
                <w:snapToGrid/>
              </w:rPr>
            </w:pPr>
            <w:r>
              <w:rPr>
                <w:snapToGrid/>
              </w:rPr>
              <w:t>6,2</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1993</w:t>
            </w:r>
          </w:p>
        </w:tc>
        <w:tc>
          <w:tcPr>
            <w:tcW w:w="1341" w:type="pct"/>
            <w:tcBorders>
              <w:top w:val="nil"/>
              <w:bottom w:val="nil"/>
            </w:tcBorders>
          </w:tcPr>
          <w:p w:rsidR="00000000" w:rsidRDefault="009C1C61">
            <w:pPr>
              <w:pStyle w:val="a2"/>
              <w:spacing w:line="280" w:lineRule="exact"/>
              <w:jc w:val="center"/>
              <w:rPr>
                <w:snapToGrid/>
              </w:rPr>
            </w:pPr>
            <w:r>
              <w:rPr>
                <w:snapToGrid/>
              </w:rPr>
              <w:t>5,3</w:t>
            </w:r>
          </w:p>
        </w:tc>
        <w:tc>
          <w:tcPr>
            <w:tcW w:w="1281" w:type="pct"/>
            <w:tcBorders>
              <w:top w:val="nil"/>
              <w:bottom w:val="nil"/>
            </w:tcBorders>
          </w:tcPr>
          <w:p w:rsidR="00000000" w:rsidRDefault="009C1C61">
            <w:pPr>
              <w:pStyle w:val="a2"/>
              <w:spacing w:line="280" w:lineRule="exact"/>
              <w:ind w:right="880"/>
              <w:jc w:val="right"/>
              <w:rPr>
                <w:snapToGrid/>
              </w:rPr>
            </w:pPr>
            <w:r>
              <w:rPr>
                <w:snapToGrid/>
              </w:rPr>
              <w:t>8,8</w:t>
            </w:r>
          </w:p>
        </w:tc>
        <w:tc>
          <w:tcPr>
            <w:tcW w:w="1101" w:type="pct"/>
            <w:tcBorders>
              <w:top w:val="nil"/>
              <w:bottom w:val="nil"/>
            </w:tcBorders>
          </w:tcPr>
          <w:p w:rsidR="00000000" w:rsidRDefault="009C1C61">
            <w:pPr>
              <w:pStyle w:val="a2"/>
              <w:spacing w:line="280" w:lineRule="exact"/>
              <w:ind w:right="731"/>
              <w:jc w:val="right"/>
              <w:rPr>
                <w:snapToGrid/>
              </w:rPr>
            </w:pPr>
            <w:r>
              <w:rPr>
                <w:snapToGrid/>
              </w:rPr>
              <w:t>6,4</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1994</w:t>
            </w:r>
          </w:p>
        </w:tc>
        <w:tc>
          <w:tcPr>
            <w:tcW w:w="1341" w:type="pct"/>
            <w:tcBorders>
              <w:top w:val="nil"/>
              <w:bottom w:val="nil"/>
            </w:tcBorders>
          </w:tcPr>
          <w:p w:rsidR="00000000" w:rsidRDefault="009C1C61">
            <w:pPr>
              <w:pStyle w:val="a2"/>
              <w:spacing w:line="280" w:lineRule="exact"/>
              <w:jc w:val="center"/>
              <w:rPr>
                <w:snapToGrid/>
              </w:rPr>
            </w:pPr>
            <w:r>
              <w:rPr>
                <w:snapToGrid/>
              </w:rPr>
              <w:t>6,5</w:t>
            </w:r>
          </w:p>
        </w:tc>
        <w:tc>
          <w:tcPr>
            <w:tcW w:w="1281" w:type="pct"/>
            <w:tcBorders>
              <w:top w:val="nil"/>
              <w:bottom w:val="nil"/>
            </w:tcBorders>
          </w:tcPr>
          <w:p w:rsidR="00000000" w:rsidRDefault="009C1C61">
            <w:pPr>
              <w:pStyle w:val="a2"/>
              <w:spacing w:line="280" w:lineRule="exact"/>
              <w:ind w:right="880"/>
              <w:jc w:val="right"/>
              <w:rPr>
                <w:snapToGrid/>
              </w:rPr>
            </w:pPr>
            <w:r>
              <w:rPr>
                <w:snapToGrid/>
              </w:rPr>
              <w:t>10,3</w:t>
            </w:r>
          </w:p>
        </w:tc>
        <w:tc>
          <w:tcPr>
            <w:tcW w:w="1101" w:type="pct"/>
            <w:tcBorders>
              <w:top w:val="nil"/>
              <w:bottom w:val="nil"/>
            </w:tcBorders>
          </w:tcPr>
          <w:p w:rsidR="00000000" w:rsidRDefault="009C1C61">
            <w:pPr>
              <w:pStyle w:val="a2"/>
              <w:spacing w:line="280" w:lineRule="exact"/>
              <w:ind w:right="731"/>
              <w:jc w:val="right"/>
              <w:rPr>
                <w:snapToGrid/>
              </w:rPr>
            </w:pPr>
            <w:r>
              <w:rPr>
                <w:snapToGrid/>
              </w:rPr>
              <w:t>7,8</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1995</w:t>
            </w:r>
          </w:p>
        </w:tc>
        <w:tc>
          <w:tcPr>
            <w:tcW w:w="1341" w:type="pct"/>
            <w:tcBorders>
              <w:top w:val="nil"/>
              <w:bottom w:val="nil"/>
            </w:tcBorders>
          </w:tcPr>
          <w:p w:rsidR="00000000" w:rsidRDefault="009C1C61">
            <w:pPr>
              <w:pStyle w:val="a2"/>
              <w:spacing w:line="280" w:lineRule="exact"/>
              <w:jc w:val="center"/>
              <w:rPr>
                <w:snapToGrid/>
              </w:rPr>
            </w:pPr>
            <w:r>
              <w:rPr>
                <w:snapToGrid/>
              </w:rPr>
              <w:t>5,5</w:t>
            </w:r>
          </w:p>
        </w:tc>
        <w:tc>
          <w:tcPr>
            <w:tcW w:w="1281" w:type="pct"/>
            <w:tcBorders>
              <w:top w:val="nil"/>
              <w:bottom w:val="nil"/>
            </w:tcBorders>
          </w:tcPr>
          <w:p w:rsidR="00000000" w:rsidRDefault="009C1C61">
            <w:pPr>
              <w:pStyle w:val="a2"/>
              <w:spacing w:line="280" w:lineRule="exact"/>
              <w:ind w:right="880"/>
              <w:jc w:val="right"/>
              <w:rPr>
                <w:snapToGrid/>
              </w:rPr>
            </w:pPr>
            <w:r>
              <w:rPr>
                <w:snapToGrid/>
              </w:rPr>
              <w:t>8,9</w:t>
            </w:r>
          </w:p>
        </w:tc>
        <w:tc>
          <w:tcPr>
            <w:tcW w:w="1101" w:type="pct"/>
            <w:tcBorders>
              <w:top w:val="nil"/>
              <w:bottom w:val="nil"/>
            </w:tcBorders>
          </w:tcPr>
          <w:p w:rsidR="00000000" w:rsidRDefault="009C1C61">
            <w:pPr>
              <w:pStyle w:val="a2"/>
              <w:spacing w:line="280" w:lineRule="exact"/>
              <w:ind w:right="731"/>
              <w:jc w:val="right"/>
              <w:rPr>
                <w:snapToGrid/>
              </w:rPr>
            </w:pPr>
            <w:r>
              <w:rPr>
                <w:snapToGrid/>
              </w:rPr>
              <w:t>6,6</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1996</w:t>
            </w:r>
          </w:p>
        </w:tc>
        <w:tc>
          <w:tcPr>
            <w:tcW w:w="1341" w:type="pct"/>
            <w:tcBorders>
              <w:top w:val="nil"/>
              <w:bottom w:val="nil"/>
            </w:tcBorders>
          </w:tcPr>
          <w:p w:rsidR="00000000" w:rsidRDefault="009C1C61">
            <w:pPr>
              <w:pStyle w:val="a2"/>
              <w:spacing w:line="280" w:lineRule="exact"/>
              <w:jc w:val="center"/>
              <w:rPr>
                <w:snapToGrid/>
              </w:rPr>
            </w:pPr>
            <w:r>
              <w:rPr>
                <w:snapToGrid/>
              </w:rPr>
              <w:t>4,8</w:t>
            </w:r>
          </w:p>
        </w:tc>
        <w:tc>
          <w:tcPr>
            <w:tcW w:w="1281" w:type="pct"/>
            <w:tcBorders>
              <w:top w:val="nil"/>
              <w:bottom w:val="nil"/>
            </w:tcBorders>
          </w:tcPr>
          <w:p w:rsidR="00000000" w:rsidRDefault="009C1C61">
            <w:pPr>
              <w:pStyle w:val="a2"/>
              <w:spacing w:line="280" w:lineRule="exact"/>
              <w:ind w:right="880"/>
              <w:jc w:val="right"/>
              <w:rPr>
                <w:snapToGrid/>
              </w:rPr>
            </w:pPr>
            <w:r>
              <w:rPr>
                <w:snapToGrid/>
              </w:rPr>
              <w:t>6,7</w:t>
            </w:r>
          </w:p>
        </w:tc>
        <w:tc>
          <w:tcPr>
            <w:tcW w:w="1101" w:type="pct"/>
            <w:tcBorders>
              <w:top w:val="nil"/>
              <w:bottom w:val="nil"/>
            </w:tcBorders>
          </w:tcPr>
          <w:p w:rsidR="00000000" w:rsidRDefault="009C1C61">
            <w:pPr>
              <w:pStyle w:val="a2"/>
              <w:spacing w:line="280" w:lineRule="exact"/>
              <w:ind w:right="731"/>
              <w:jc w:val="right"/>
              <w:rPr>
                <w:snapToGrid/>
              </w:rPr>
            </w:pPr>
            <w:r>
              <w:rPr>
                <w:snapToGrid/>
              </w:rPr>
              <w:t>5,4</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1997</w:t>
            </w:r>
          </w:p>
        </w:tc>
        <w:tc>
          <w:tcPr>
            <w:tcW w:w="1341" w:type="pct"/>
            <w:tcBorders>
              <w:top w:val="nil"/>
              <w:bottom w:val="nil"/>
            </w:tcBorders>
          </w:tcPr>
          <w:p w:rsidR="00000000" w:rsidRDefault="009C1C61">
            <w:pPr>
              <w:pStyle w:val="a2"/>
              <w:spacing w:line="280" w:lineRule="exact"/>
              <w:jc w:val="center"/>
              <w:rPr>
                <w:snapToGrid/>
              </w:rPr>
            </w:pPr>
            <w:r>
              <w:rPr>
                <w:snapToGrid/>
              </w:rPr>
              <w:t>4,7</w:t>
            </w:r>
          </w:p>
        </w:tc>
        <w:tc>
          <w:tcPr>
            <w:tcW w:w="1281" w:type="pct"/>
            <w:tcBorders>
              <w:top w:val="nil"/>
              <w:bottom w:val="nil"/>
            </w:tcBorders>
          </w:tcPr>
          <w:p w:rsidR="00000000" w:rsidRDefault="009C1C61">
            <w:pPr>
              <w:pStyle w:val="a2"/>
              <w:spacing w:line="280" w:lineRule="exact"/>
              <w:ind w:right="880"/>
              <w:jc w:val="right"/>
              <w:rPr>
                <w:snapToGrid/>
              </w:rPr>
            </w:pPr>
            <w:r>
              <w:rPr>
                <w:snapToGrid/>
              </w:rPr>
              <w:t>6,6</w:t>
            </w:r>
          </w:p>
        </w:tc>
        <w:tc>
          <w:tcPr>
            <w:tcW w:w="1101" w:type="pct"/>
            <w:tcBorders>
              <w:top w:val="nil"/>
              <w:bottom w:val="nil"/>
            </w:tcBorders>
          </w:tcPr>
          <w:p w:rsidR="00000000" w:rsidRDefault="009C1C61">
            <w:pPr>
              <w:pStyle w:val="a2"/>
              <w:spacing w:line="280" w:lineRule="exact"/>
              <w:ind w:right="731"/>
              <w:jc w:val="right"/>
              <w:rPr>
                <w:snapToGrid/>
              </w:rPr>
            </w:pPr>
            <w:r>
              <w:rPr>
                <w:snapToGrid/>
              </w:rPr>
              <w:t>5,3</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1998</w:t>
            </w:r>
          </w:p>
        </w:tc>
        <w:tc>
          <w:tcPr>
            <w:tcW w:w="1341" w:type="pct"/>
            <w:tcBorders>
              <w:top w:val="nil"/>
              <w:bottom w:val="nil"/>
            </w:tcBorders>
          </w:tcPr>
          <w:p w:rsidR="00000000" w:rsidRDefault="009C1C61">
            <w:pPr>
              <w:pStyle w:val="a2"/>
              <w:spacing w:line="280" w:lineRule="exact"/>
              <w:jc w:val="center"/>
              <w:rPr>
                <w:snapToGrid/>
              </w:rPr>
            </w:pPr>
            <w:r>
              <w:rPr>
                <w:snapToGrid/>
              </w:rPr>
              <w:t>7,0</w:t>
            </w:r>
          </w:p>
        </w:tc>
        <w:tc>
          <w:tcPr>
            <w:tcW w:w="1281" w:type="pct"/>
            <w:tcBorders>
              <w:top w:val="nil"/>
              <w:bottom w:val="nil"/>
            </w:tcBorders>
          </w:tcPr>
          <w:p w:rsidR="00000000" w:rsidRDefault="009C1C61">
            <w:pPr>
              <w:pStyle w:val="a2"/>
              <w:spacing w:line="280" w:lineRule="exact"/>
              <w:ind w:right="880"/>
              <w:jc w:val="right"/>
              <w:rPr>
                <w:snapToGrid/>
              </w:rPr>
            </w:pPr>
            <w:r>
              <w:rPr>
                <w:snapToGrid/>
              </w:rPr>
              <w:t>7,6</w:t>
            </w:r>
          </w:p>
        </w:tc>
        <w:tc>
          <w:tcPr>
            <w:tcW w:w="1101" w:type="pct"/>
            <w:tcBorders>
              <w:top w:val="nil"/>
              <w:bottom w:val="nil"/>
            </w:tcBorders>
          </w:tcPr>
          <w:p w:rsidR="00000000" w:rsidRDefault="009C1C61">
            <w:pPr>
              <w:pStyle w:val="a2"/>
              <w:spacing w:line="280" w:lineRule="exact"/>
              <w:ind w:right="731"/>
              <w:jc w:val="right"/>
              <w:rPr>
                <w:snapToGrid/>
              </w:rPr>
            </w:pPr>
            <w:r>
              <w:rPr>
                <w:snapToGrid/>
              </w:rPr>
              <w:t>7,2</w:t>
            </w:r>
          </w:p>
        </w:tc>
      </w:tr>
      <w:tr w:rsidR="00000000">
        <w:tc>
          <w:tcPr>
            <w:tcW w:w="1278" w:type="pct"/>
            <w:tcBorders>
              <w:top w:val="nil"/>
              <w:bottom w:val="nil"/>
            </w:tcBorders>
          </w:tcPr>
          <w:p w:rsidR="00000000" w:rsidRDefault="009C1C61">
            <w:pPr>
              <w:pStyle w:val="a2"/>
              <w:spacing w:line="280" w:lineRule="exact"/>
              <w:jc w:val="center"/>
              <w:rPr>
                <w:snapToGrid/>
              </w:rPr>
            </w:pPr>
            <w:r>
              <w:rPr>
                <w:snapToGrid/>
              </w:rPr>
              <w:t>1999</w:t>
            </w:r>
          </w:p>
        </w:tc>
        <w:tc>
          <w:tcPr>
            <w:tcW w:w="1341" w:type="pct"/>
            <w:tcBorders>
              <w:top w:val="nil"/>
              <w:bottom w:val="nil"/>
            </w:tcBorders>
          </w:tcPr>
          <w:p w:rsidR="00000000" w:rsidRDefault="009C1C61">
            <w:pPr>
              <w:pStyle w:val="a2"/>
              <w:spacing w:line="280" w:lineRule="exact"/>
              <w:jc w:val="center"/>
              <w:rPr>
                <w:snapToGrid/>
              </w:rPr>
            </w:pPr>
            <w:r>
              <w:rPr>
                <w:snapToGrid/>
              </w:rPr>
              <w:t>8,2</w:t>
            </w:r>
          </w:p>
        </w:tc>
        <w:tc>
          <w:tcPr>
            <w:tcW w:w="1281" w:type="pct"/>
            <w:tcBorders>
              <w:top w:val="nil"/>
              <w:bottom w:val="nil"/>
            </w:tcBorders>
          </w:tcPr>
          <w:p w:rsidR="00000000" w:rsidRDefault="009C1C61">
            <w:pPr>
              <w:pStyle w:val="a2"/>
              <w:spacing w:line="280" w:lineRule="exact"/>
              <w:ind w:right="880"/>
              <w:jc w:val="right"/>
              <w:rPr>
                <w:snapToGrid/>
              </w:rPr>
            </w:pPr>
            <w:r>
              <w:rPr>
                <w:snapToGrid/>
              </w:rPr>
              <w:t>10,3</w:t>
            </w:r>
          </w:p>
        </w:tc>
        <w:tc>
          <w:tcPr>
            <w:tcW w:w="1101" w:type="pct"/>
            <w:tcBorders>
              <w:top w:val="nil"/>
              <w:bottom w:val="nil"/>
            </w:tcBorders>
          </w:tcPr>
          <w:p w:rsidR="00000000" w:rsidRDefault="009C1C61">
            <w:pPr>
              <w:pStyle w:val="a2"/>
              <w:spacing w:line="280" w:lineRule="exact"/>
              <w:ind w:right="731"/>
              <w:jc w:val="right"/>
              <w:rPr>
                <w:snapToGrid/>
              </w:rPr>
            </w:pPr>
            <w:r>
              <w:rPr>
                <w:snapToGrid/>
              </w:rPr>
              <w:t>8,9</w:t>
            </w:r>
          </w:p>
        </w:tc>
      </w:tr>
      <w:tr w:rsidR="00000000">
        <w:tc>
          <w:tcPr>
            <w:tcW w:w="1278" w:type="pct"/>
            <w:tcBorders>
              <w:top w:val="nil"/>
            </w:tcBorders>
          </w:tcPr>
          <w:p w:rsidR="00000000" w:rsidRDefault="009C1C61">
            <w:pPr>
              <w:pStyle w:val="a2"/>
              <w:spacing w:line="280" w:lineRule="exact"/>
              <w:jc w:val="center"/>
              <w:rPr>
                <w:snapToGrid/>
              </w:rPr>
            </w:pPr>
            <w:r>
              <w:rPr>
                <w:snapToGrid/>
              </w:rPr>
              <w:t>2000</w:t>
            </w:r>
          </w:p>
        </w:tc>
        <w:tc>
          <w:tcPr>
            <w:tcW w:w="1341" w:type="pct"/>
            <w:tcBorders>
              <w:top w:val="nil"/>
            </w:tcBorders>
          </w:tcPr>
          <w:p w:rsidR="00000000" w:rsidRDefault="009C1C61">
            <w:pPr>
              <w:pStyle w:val="a2"/>
              <w:spacing w:line="280" w:lineRule="exact"/>
              <w:jc w:val="center"/>
              <w:rPr>
                <w:snapToGrid/>
              </w:rPr>
            </w:pPr>
            <w:r>
              <w:rPr>
                <w:snapToGrid/>
              </w:rPr>
              <w:t>8,0</w:t>
            </w:r>
          </w:p>
        </w:tc>
        <w:tc>
          <w:tcPr>
            <w:tcW w:w="1281" w:type="pct"/>
            <w:tcBorders>
              <w:top w:val="nil"/>
            </w:tcBorders>
          </w:tcPr>
          <w:p w:rsidR="00000000" w:rsidRDefault="009C1C61">
            <w:pPr>
              <w:pStyle w:val="a2"/>
              <w:spacing w:line="280" w:lineRule="exact"/>
              <w:ind w:right="880"/>
              <w:jc w:val="right"/>
              <w:rPr>
                <w:snapToGrid/>
              </w:rPr>
            </w:pPr>
            <w:r>
              <w:rPr>
                <w:snapToGrid/>
              </w:rPr>
              <w:t>9,0</w:t>
            </w:r>
          </w:p>
        </w:tc>
        <w:tc>
          <w:tcPr>
            <w:tcW w:w="1101" w:type="pct"/>
            <w:tcBorders>
              <w:top w:val="nil"/>
            </w:tcBorders>
          </w:tcPr>
          <w:p w:rsidR="00000000" w:rsidRDefault="009C1C61">
            <w:pPr>
              <w:pStyle w:val="a2"/>
              <w:spacing w:line="280" w:lineRule="exact"/>
              <w:ind w:right="731"/>
              <w:jc w:val="right"/>
              <w:rPr>
                <w:snapToGrid/>
              </w:rPr>
            </w:pPr>
            <w:r>
              <w:rPr>
                <w:snapToGrid/>
              </w:rPr>
              <w:t>8,3</w:t>
            </w:r>
          </w:p>
        </w:tc>
      </w:tr>
    </w:tbl>
    <w:p w:rsidR="00000000" w:rsidRDefault="009C1C61">
      <w:pPr>
        <w:spacing w:before="120" w:line="240" w:lineRule="auto"/>
        <w:ind w:left="510"/>
        <w:rPr>
          <w:rFonts w:eastAsia="KaiTi_GB2312"/>
          <w:snapToGrid/>
          <w:spacing w:val="0"/>
        </w:rPr>
      </w:pPr>
      <w:r>
        <w:rPr>
          <w:rFonts w:eastAsia="KaiTi_GB2312" w:hint="eastAsia"/>
          <w:snapToGrid/>
          <w:spacing w:val="0"/>
          <w:sz w:val="22"/>
          <w:u w:val="single"/>
        </w:rPr>
        <w:t>资料来源</w:t>
      </w:r>
      <w:r>
        <w:rPr>
          <w:rFonts w:eastAsia="KaiTi_GB2312" w:hint="eastAsia"/>
          <w:snapToGrid/>
          <w:spacing w:val="0"/>
          <w:sz w:val="22"/>
        </w:rPr>
        <w:t>：</w:t>
      </w:r>
      <w:r>
        <w:rPr>
          <w:rFonts w:eastAsia="KaiTi_GB2312" w:hint="eastAsia"/>
          <w:snapToGrid/>
          <w:spacing w:val="0"/>
        </w:rPr>
        <w:t>国家统计局，</w:t>
      </w:r>
      <w:r>
        <w:rPr>
          <w:rFonts w:eastAsia="KaiTi_GB2312"/>
          <w:snapToGrid/>
          <w:spacing w:val="0"/>
        </w:rPr>
        <w:t>199</w:t>
      </w:r>
      <w:r>
        <w:rPr>
          <w:rFonts w:eastAsia="KaiTi_GB2312" w:hint="eastAsia"/>
          <w:snapToGrid/>
          <w:spacing w:val="0"/>
        </w:rPr>
        <w:t>0</w:t>
      </w:r>
      <w:r>
        <w:rPr>
          <w:rFonts w:eastAsia="KaiTi_GB2312"/>
          <w:snapToGrid/>
          <w:spacing w:val="0"/>
        </w:rPr>
        <w:t>至</w:t>
      </w:r>
      <w:r>
        <w:rPr>
          <w:rFonts w:eastAsia="KaiTi_GB2312"/>
          <w:snapToGrid/>
          <w:spacing w:val="0"/>
        </w:rPr>
        <w:t>2000</w:t>
      </w:r>
      <w:r>
        <w:rPr>
          <w:rFonts w:eastAsia="KaiTi_GB2312"/>
          <w:snapToGrid/>
          <w:spacing w:val="0"/>
        </w:rPr>
        <w:t>年经济社会指</w:t>
      </w:r>
      <w:r>
        <w:rPr>
          <w:rFonts w:eastAsia="KaiTi_GB2312" w:hint="eastAsia"/>
          <w:snapToGrid/>
          <w:spacing w:val="0"/>
        </w:rPr>
        <w:t>标</w:t>
      </w:r>
      <w:r>
        <w:rPr>
          <w:rFonts w:eastAsia="KaiTi_GB2312"/>
          <w:snapToGrid/>
          <w:spacing w:val="0"/>
        </w:rPr>
        <w:t>数，规划部</w:t>
      </w:r>
      <w:r>
        <w:rPr>
          <w:rFonts w:eastAsia="KaiTi_GB2312"/>
          <w:snapToGrid/>
          <w:spacing w:val="0"/>
        </w:rPr>
        <w:t>(</w:t>
      </w:r>
      <w:r>
        <w:rPr>
          <w:rFonts w:eastAsia="KaiTi_GB2312" w:hint="eastAsia"/>
          <w:snapToGrid/>
          <w:spacing w:val="0"/>
        </w:rPr>
        <w:t>规合部</w:t>
      </w:r>
      <w:r>
        <w:rPr>
          <w:rFonts w:eastAsia="KaiTi_GB2312"/>
          <w:snapToGrid/>
          <w:spacing w:val="0"/>
        </w:rPr>
        <w:t>)</w:t>
      </w:r>
      <w:r>
        <w:rPr>
          <w:rFonts w:eastAsia="KaiTi_GB2312"/>
          <w:snapToGrid/>
          <w:spacing w:val="0"/>
        </w:rPr>
        <w:t>。</w:t>
      </w:r>
    </w:p>
    <w:p w:rsidR="00000000" w:rsidRDefault="009C1C61">
      <w:pPr>
        <w:tabs>
          <w:tab w:val="left" w:pos="1560"/>
        </w:tabs>
        <w:spacing w:after="180" w:line="240" w:lineRule="auto"/>
        <w:ind w:left="1210"/>
        <w:rPr>
          <w:rFonts w:eastAsia="KaiTi_GB2312" w:hint="eastAsia"/>
          <w:snapToGrid/>
          <w:spacing w:val="0"/>
          <w:sz w:val="22"/>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每年</w:t>
      </w:r>
      <w:r>
        <w:rPr>
          <w:rFonts w:eastAsia="KaiTi_GB2312" w:hint="eastAsia"/>
          <w:snapToGrid/>
          <w:spacing w:val="0"/>
        </w:rPr>
        <w:t>10</w:t>
      </w:r>
      <w:r>
        <w:rPr>
          <w:rFonts w:eastAsia="KaiTi_GB2312" w:hint="eastAsia"/>
          <w:snapToGrid/>
          <w:spacing w:val="0"/>
        </w:rPr>
        <w:t>月至</w:t>
      </w:r>
      <w:r>
        <w:rPr>
          <w:rFonts w:eastAsia="KaiTi_GB2312"/>
          <w:snapToGrid/>
          <w:spacing w:val="0"/>
        </w:rPr>
        <w:t>12</w:t>
      </w:r>
      <w:r>
        <w:rPr>
          <w:rFonts w:eastAsia="KaiTi_GB2312"/>
          <w:snapToGrid/>
          <w:spacing w:val="0"/>
        </w:rPr>
        <w:t>月</w:t>
      </w:r>
      <w:r>
        <w:rPr>
          <w:rFonts w:eastAsia="KaiTi_GB2312" w:hint="eastAsia"/>
          <w:snapToGrid/>
          <w:spacing w:val="0"/>
        </w:rPr>
        <w:t>这个变动大的</w:t>
      </w:r>
      <w:r>
        <w:rPr>
          <w:rFonts w:eastAsia="KaiTi_GB2312"/>
          <w:snapToGrid/>
          <w:spacing w:val="0"/>
        </w:rPr>
        <w:t>季度</w:t>
      </w:r>
      <w:r>
        <w:rPr>
          <w:rFonts w:eastAsia="KaiTi_GB2312" w:hint="eastAsia"/>
          <w:snapToGrid/>
          <w:spacing w:val="0"/>
        </w:rPr>
        <w:t>的</w:t>
      </w:r>
      <w:r>
        <w:rPr>
          <w:rFonts w:eastAsia="KaiTi_GB2312"/>
          <w:snapToGrid/>
          <w:spacing w:val="0"/>
        </w:rPr>
        <w:t>数字</w:t>
      </w:r>
      <w:r>
        <w:rPr>
          <w:rFonts w:eastAsia="KaiTi_GB2312"/>
          <w:snapToGrid/>
          <w:spacing w:val="0"/>
          <w:sz w:val="22"/>
        </w:rPr>
        <w:t>。</w:t>
      </w:r>
    </w:p>
    <w:p w:rsidR="00000000" w:rsidRDefault="009C1C61">
      <w:pPr>
        <w:spacing w:after="320"/>
        <w:rPr>
          <w:snapToGrid/>
        </w:rPr>
      </w:pPr>
      <w:r>
        <w:rPr>
          <w:rFonts w:eastAsia="KaiTi_GB2312" w:hint="eastAsia"/>
          <w:snapToGrid/>
          <w:color w:val="FF0000"/>
          <w:spacing w:val="0"/>
          <w:sz w:val="22"/>
        </w:rPr>
        <w:tab/>
      </w:r>
      <w:r>
        <w:rPr>
          <w:snapToGrid/>
        </w:rPr>
        <w:t>156.</w:t>
      </w:r>
      <w:r>
        <w:rPr>
          <w:rFonts w:hint="eastAsia"/>
          <w:snapToGrid/>
        </w:rPr>
        <w:t xml:space="preserve">  </w:t>
      </w:r>
      <w:r>
        <w:rPr>
          <w:snapToGrid/>
        </w:rPr>
        <w:t>按性别分类</w:t>
      </w:r>
      <w:r>
        <w:rPr>
          <w:rFonts w:hint="eastAsia"/>
          <w:snapToGrid/>
        </w:rPr>
        <w:t>时</w:t>
      </w:r>
      <w:r>
        <w:rPr>
          <w:snapToGrid/>
        </w:rPr>
        <w:t>，失业率各有差异。</w:t>
      </w:r>
      <w:r>
        <w:rPr>
          <w:snapToGrid/>
        </w:rPr>
        <w:t>1990</w:t>
      </w:r>
      <w:r>
        <w:rPr>
          <w:snapToGrid/>
        </w:rPr>
        <w:t>年，男性失业率是</w:t>
      </w:r>
      <w:r>
        <w:rPr>
          <w:snapToGrid/>
        </w:rPr>
        <w:t>6.6%</w:t>
      </w:r>
      <w:r>
        <w:rPr>
          <w:snapToGrid/>
        </w:rPr>
        <w:t>；</w:t>
      </w:r>
      <w:r>
        <w:rPr>
          <w:snapToGrid/>
        </w:rPr>
        <w:t>1995</w:t>
      </w:r>
      <w:r>
        <w:rPr>
          <w:snapToGrid/>
        </w:rPr>
        <w:t>年下跌至</w:t>
      </w:r>
      <w:r>
        <w:rPr>
          <w:snapToGrid/>
        </w:rPr>
        <w:t>5.5%</w:t>
      </w:r>
      <w:r>
        <w:rPr>
          <w:snapToGrid/>
        </w:rPr>
        <w:t>，但</w:t>
      </w:r>
      <w:r>
        <w:rPr>
          <w:rFonts w:hint="eastAsia"/>
          <w:snapToGrid/>
        </w:rPr>
        <w:t>于</w:t>
      </w:r>
      <w:r>
        <w:rPr>
          <w:snapToGrid/>
        </w:rPr>
        <w:t>1999</w:t>
      </w:r>
      <w:r>
        <w:rPr>
          <w:snapToGrid/>
        </w:rPr>
        <w:t>年第四季度上升至</w:t>
      </w:r>
      <w:r>
        <w:rPr>
          <w:snapToGrid/>
        </w:rPr>
        <w:t>8.2%</w:t>
      </w:r>
      <w:r>
        <w:rPr>
          <w:snapToGrid/>
        </w:rPr>
        <w:t>，然后于</w:t>
      </w:r>
      <w:r>
        <w:rPr>
          <w:snapToGrid/>
        </w:rPr>
        <w:t>2001</w:t>
      </w:r>
      <w:r>
        <w:rPr>
          <w:snapToGrid/>
        </w:rPr>
        <w:t>年第一季度</w:t>
      </w:r>
      <w:r>
        <w:rPr>
          <w:rFonts w:hint="eastAsia"/>
          <w:snapToGrid/>
        </w:rPr>
        <w:t>又</w:t>
      </w:r>
      <w:r>
        <w:rPr>
          <w:snapToGrid/>
        </w:rPr>
        <w:t>下跌至</w:t>
      </w:r>
      <w:r>
        <w:rPr>
          <w:snapToGrid/>
        </w:rPr>
        <w:t>7.6%</w:t>
      </w:r>
      <w:r>
        <w:rPr>
          <w:snapToGrid/>
        </w:rPr>
        <w:t>；而妇女的失业率</w:t>
      </w:r>
      <w:r>
        <w:rPr>
          <w:snapToGrid/>
        </w:rPr>
        <w:t>1990</w:t>
      </w:r>
      <w:r>
        <w:rPr>
          <w:snapToGrid/>
        </w:rPr>
        <w:t>年为</w:t>
      </w:r>
      <w:r>
        <w:rPr>
          <w:snapToGrid/>
        </w:rPr>
        <w:t>9.2%</w:t>
      </w:r>
      <w:r>
        <w:rPr>
          <w:snapToGrid/>
        </w:rPr>
        <w:t>，</w:t>
      </w:r>
      <w:r>
        <w:rPr>
          <w:snapToGrid/>
        </w:rPr>
        <w:t>1995</w:t>
      </w:r>
      <w:r>
        <w:rPr>
          <w:snapToGrid/>
        </w:rPr>
        <w:t>年下跌至</w:t>
      </w:r>
      <w:r>
        <w:rPr>
          <w:snapToGrid/>
        </w:rPr>
        <w:t>8.9%</w:t>
      </w:r>
      <w:r>
        <w:rPr>
          <w:snapToGrid/>
        </w:rPr>
        <w:t>，</w:t>
      </w:r>
      <w:r>
        <w:rPr>
          <w:snapToGrid/>
        </w:rPr>
        <w:t>1999</w:t>
      </w:r>
      <w:r>
        <w:rPr>
          <w:snapToGrid/>
        </w:rPr>
        <w:t>年升到</w:t>
      </w:r>
      <w:r>
        <w:rPr>
          <w:rFonts w:hint="eastAsia"/>
          <w:snapToGrid/>
        </w:rPr>
        <w:t>1</w:t>
      </w:r>
      <w:r>
        <w:rPr>
          <w:snapToGrid/>
        </w:rPr>
        <w:t>0.3%</w:t>
      </w:r>
      <w:r>
        <w:rPr>
          <w:snapToGrid/>
        </w:rPr>
        <w:t>，然后，于</w:t>
      </w:r>
      <w:r>
        <w:rPr>
          <w:snapToGrid/>
        </w:rPr>
        <w:t>2001</w:t>
      </w:r>
      <w:r>
        <w:rPr>
          <w:snapToGrid/>
        </w:rPr>
        <w:t>年</w:t>
      </w:r>
      <w:r>
        <w:rPr>
          <w:rFonts w:hint="eastAsia"/>
          <w:snapToGrid/>
        </w:rPr>
        <w:t>又回</w:t>
      </w:r>
      <w:r>
        <w:rPr>
          <w:snapToGrid/>
        </w:rPr>
        <w:t>跌至</w:t>
      </w:r>
      <w:r>
        <w:rPr>
          <w:snapToGrid/>
        </w:rPr>
        <w:t>8.6%(</w:t>
      </w:r>
      <w:r>
        <w:rPr>
          <w:snapToGrid/>
        </w:rPr>
        <w:t>表</w:t>
      </w:r>
      <w:r>
        <w:rPr>
          <w:snapToGrid/>
        </w:rPr>
        <w:t>7)</w:t>
      </w:r>
      <w:r>
        <w:rPr>
          <w:snapToGrid/>
        </w:rPr>
        <w:t>。</w:t>
      </w:r>
    </w:p>
    <w:p w:rsidR="00000000" w:rsidRDefault="009C1C61">
      <w:pPr>
        <w:pStyle w:val="Heading3"/>
        <w:spacing w:after="120"/>
        <w:rPr>
          <w:rFonts w:ascii="Time New Roman" w:hAnsi="Time New Roman"/>
        </w:rPr>
      </w:pPr>
      <w:r>
        <w:rPr>
          <w:rFonts w:ascii="Time New Roman" w:hAnsi="Time New Roman" w:hint="eastAsia"/>
        </w:rPr>
        <w:t>表</w:t>
      </w:r>
      <w:r>
        <w:rPr>
          <w:rFonts w:ascii="Time New Roman" w:hAnsi="Time New Roman" w:hint="eastAsia"/>
        </w:rPr>
        <w:t xml:space="preserve">  </w:t>
      </w:r>
      <w:r>
        <w:rPr>
          <w:rFonts w:ascii="Time New Roman" w:hAnsi="Time New Roman" w:hint="eastAsia"/>
          <w:b/>
        </w:rPr>
        <w:t>7</w:t>
      </w:r>
      <w:r>
        <w:rPr>
          <w:rFonts w:ascii="Time New Roman" w:hAnsi="Time New Roman"/>
          <w:b/>
        </w:rPr>
        <w:br/>
        <w:t>1990</w:t>
      </w:r>
      <w:r>
        <w:rPr>
          <w:rFonts w:ascii="Time New Roman" w:hAnsi="Time New Roman"/>
        </w:rPr>
        <w:t>至</w:t>
      </w:r>
      <w:r>
        <w:rPr>
          <w:rFonts w:ascii="Time New Roman" w:hAnsi="Time New Roman"/>
          <w:b/>
        </w:rPr>
        <w:t>2001</w:t>
      </w:r>
      <w:r>
        <w:rPr>
          <w:rFonts w:ascii="Time New Roman" w:hAnsi="Time New Roman"/>
        </w:rPr>
        <w:t>年，智利男女性失业</w:t>
      </w:r>
      <w:r>
        <w:rPr>
          <w:rFonts w:ascii="Time New Roman" w:hAnsi="Time New Roman" w:hint="eastAsia"/>
        </w:rPr>
        <w:t>情况变化</w:t>
      </w:r>
      <w:r>
        <w:rPr>
          <w:rFonts w:ascii="Time New Roman" w:hAnsi="Time New Roman"/>
        </w:rPr>
        <w:t>趋势</w:t>
      </w:r>
      <w:r>
        <w:br/>
      </w:r>
      <w:r>
        <w:rPr>
          <w:rFonts w:ascii="Time New Roman" w:hAnsi="Time New Roman" w:hint="eastAsia"/>
          <w:sz w:val="22"/>
        </w:rPr>
        <w:t>(</w:t>
      </w:r>
      <w:r>
        <w:rPr>
          <w:rFonts w:ascii="Time New Roman" w:hAnsi="Time New Roman" w:hint="eastAsia"/>
          <w:sz w:val="22"/>
        </w:rPr>
        <w:t>每千人</w:t>
      </w:r>
      <w:r>
        <w:rPr>
          <w:rFonts w:ascii="Time New Roman" w:hAnsi="Time New Roman" w:hint="eastAsia"/>
        </w:rPr>
        <w:t>)</w:t>
      </w:r>
    </w:p>
    <w:tbl>
      <w:tblPr>
        <w:tblW w:w="93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789"/>
        <w:gridCol w:w="789"/>
        <w:gridCol w:w="789"/>
        <w:gridCol w:w="789"/>
        <w:gridCol w:w="789"/>
        <w:gridCol w:w="789"/>
        <w:gridCol w:w="789"/>
        <w:gridCol w:w="789"/>
        <w:gridCol w:w="789"/>
        <w:gridCol w:w="789"/>
      </w:tblGrid>
      <w:tr w:rsidR="00000000">
        <w:trPr>
          <w:cantSplit/>
          <w:trHeight w:val="315"/>
        </w:trPr>
        <w:tc>
          <w:tcPr>
            <w:tcW w:w="1509" w:type="dxa"/>
            <w:vMerge w:val="restart"/>
            <w:tcMar>
              <w:left w:w="57" w:type="dxa"/>
              <w:right w:w="57" w:type="dxa"/>
            </w:tcMar>
          </w:tcPr>
          <w:p w:rsidR="00000000" w:rsidRDefault="009C1C61">
            <w:pPr>
              <w:pStyle w:val="a2"/>
              <w:spacing w:line="280" w:lineRule="exact"/>
              <w:jc w:val="left"/>
              <w:rPr>
                <w:rFonts w:hint="eastAsia"/>
                <w:spacing w:val="0"/>
                <w:sz w:val="18"/>
              </w:rPr>
            </w:pPr>
          </w:p>
        </w:tc>
        <w:tc>
          <w:tcPr>
            <w:tcW w:w="1578" w:type="dxa"/>
            <w:gridSpan w:val="2"/>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bCs/>
                <w:sz w:val="18"/>
                <w:szCs w:val="20"/>
              </w:rPr>
              <w:t>1990</w:t>
            </w:r>
            <w:r>
              <w:rPr>
                <w:rFonts w:eastAsia="SimSun" w:hint="eastAsia"/>
                <w:bCs/>
                <w:sz w:val="18"/>
                <w:szCs w:val="20"/>
                <w:lang w:eastAsia="zh-CN"/>
              </w:rPr>
              <w:t>年</w:t>
            </w:r>
          </w:p>
        </w:tc>
        <w:tc>
          <w:tcPr>
            <w:tcW w:w="1578" w:type="dxa"/>
            <w:gridSpan w:val="2"/>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bCs/>
                <w:sz w:val="18"/>
                <w:szCs w:val="20"/>
              </w:rPr>
              <w:t>1995</w:t>
            </w:r>
            <w:r>
              <w:rPr>
                <w:rFonts w:eastAsia="SimSun" w:hint="eastAsia"/>
                <w:bCs/>
                <w:sz w:val="18"/>
                <w:szCs w:val="20"/>
                <w:lang w:eastAsia="zh-CN"/>
              </w:rPr>
              <w:t>年</w:t>
            </w:r>
          </w:p>
        </w:tc>
        <w:tc>
          <w:tcPr>
            <w:tcW w:w="1578" w:type="dxa"/>
            <w:gridSpan w:val="2"/>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bCs/>
                <w:sz w:val="18"/>
                <w:szCs w:val="20"/>
              </w:rPr>
              <w:t>1999</w:t>
            </w:r>
            <w:r>
              <w:rPr>
                <w:rFonts w:eastAsia="SimSun" w:hint="eastAsia"/>
                <w:bCs/>
                <w:sz w:val="18"/>
                <w:szCs w:val="20"/>
                <w:lang w:eastAsia="zh-CN"/>
              </w:rPr>
              <w:t>年</w:t>
            </w:r>
          </w:p>
        </w:tc>
        <w:tc>
          <w:tcPr>
            <w:tcW w:w="1578" w:type="dxa"/>
            <w:gridSpan w:val="2"/>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bCs/>
                <w:sz w:val="18"/>
                <w:szCs w:val="20"/>
              </w:rPr>
              <w:t>2000</w:t>
            </w:r>
            <w:r>
              <w:rPr>
                <w:rFonts w:eastAsia="SimSun" w:hint="eastAsia"/>
                <w:bCs/>
                <w:sz w:val="18"/>
                <w:szCs w:val="20"/>
                <w:lang w:eastAsia="zh-CN"/>
              </w:rPr>
              <w:t>年</w:t>
            </w:r>
          </w:p>
        </w:tc>
        <w:tc>
          <w:tcPr>
            <w:tcW w:w="1578" w:type="dxa"/>
            <w:gridSpan w:val="2"/>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bCs/>
                <w:sz w:val="18"/>
                <w:szCs w:val="20"/>
              </w:rPr>
            </w:pPr>
            <w:r>
              <w:rPr>
                <w:rFonts w:eastAsia="SimSun"/>
                <w:bCs/>
                <w:sz w:val="18"/>
                <w:szCs w:val="20"/>
              </w:rPr>
              <w:t>2001</w:t>
            </w:r>
          </w:p>
        </w:tc>
      </w:tr>
      <w:tr w:rsidR="00000000">
        <w:trPr>
          <w:cantSplit/>
          <w:trHeight w:val="315"/>
        </w:trPr>
        <w:tc>
          <w:tcPr>
            <w:tcW w:w="1509" w:type="dxa"/>
            <w:vMerge/>
            <w:tcMar>
              <w:left w:w="57" w:type="dxa"/>
              <w:right w:w="57" w:type="dxa"/>
            </w:tcMar>
          </w:tcPr>
          <w:p w:rsidR="00000000" w:rsidRDefault="009C1C61">
            <w:pPr>
              <w:pStyle w:val="a2"/>
              <w:spacing w:line="280" w:lineRule="exact"/>
              <w:jc w:val="left"/>
              <w:rPr>
                <w:rFonts w:hint="eastAsia"/>
                <w:spacing w:val="0"/>
                <w:sz w:val="18"/>
              </w:rPr>
            </w:pPr>
          </w:p>
        </w:tc>
        <w:tc>
          <w:tcPr>
            <w:tcW w:w="7890" w:type="dxa"/>
            <w:gridSpan w:val="10"/>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hint="eastAsia"/>
                <w:bCs/>
                <w:sz w:val="18"/>
                <w:szCs w:val="20"/>
                <w:lang w:eastAsia="zh-CN"/>
              </w:rPr>
              <w:t>10</w:t>
            </w:r>
            <w:r>
              <w:rPr>
                <w:rFonts w:eastAsia="SimSun" w:hint="eastAsia"/>
                <w:bCs/>
                <w:sz w:val="18"/>
                <w:szCs w:val="20"/>
                <w:lang w:eastAsia="zh-CN"/>
              </w:rPr>
              <w:t>月至</w:t>
            </w:r>
            <w:r>
              <w:rPr>
                <w:rFonts w:eastAsia="SimSun" w:hint="eastAsia"/>
                <w:bCs/>
                <w:sz w:val="18"/>
                <w:szCs w:val="20"/>
                <w:lang w:eastAsia="zh-CN"/>
              </w:rPr>
              <w:t>12</w:t>
            </w:r>
            <w:r>
              <w:rPr>
                <w:rFonts w:eastAsia="SimSun" w:hint="eastAsia"/>
                <w:bCs/>
                <w:sz w:val="18"/>
                <w:szCs w:val="20"/>
                <w:lang w:eastAsia="zh-CN"/>
              </w:rPr>
              <w:t>月</w:t>
            </w:r>
          </w:p>
        </w:tc>
      </w:tr>
      <w:tr w:rsidR="00000000">
        <w:trPr>
          <w:cantSplit/>
          <w:trHeight w:val="315"/>
        </w:trPr>
        <w:tc>
          <w:tcPr>
            <w:tcW w:w="1509" w:type="dxa"/>
            <w:vMerge/>
            <w:tcBorders>
              <w:bottom w:val="nil"/>
            </w:tcBorders>
            <w:tcMar>
              <w:left w:w="57" w:type="dxa"/>
              <w:right w:w="57" w:type="dxa"/>
            </w:tcMar>
          </w:tcPr>
          <w:p w:rsidR="00000000" w:rsidRDefault="009C1C61">
            <w:pPr>
              <w:pStyle w:val="a2"/>
              <w:spacing w:line="280" w:lineRule="exact"/>
              <w:jc w:val="left"/>
              <w:rPr>
                <w:rFonts w:hint="eastAsia"/>
                <w:spacing w:val="0"/>
                <w:sz w:val="18"/>
              </w:rPr>
            </w:pP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hint="eastAsia"/>
                <w:bCs/>
                <w:sz w:val="18"/>
                <w:szCs w:val="20"/>
                <w:lang w:eastAsia="zh-CN"/>
              </w:rPr>
              <w:t>男性</w:t>
            </w:r>
          </w:p>
        </w:tc>
        <w:tc>
          <w:tcPr>
            <w:tcW w:w="789" w:type="dxa"/>
            <w:tcBorders>
              <w:bottom w:val="nil"/>
            </w:tcBorders>
            <w:tcMar>
              <w:left w:w="57" w:type="dxa"/>
              <w:right w:w="57" w:type="dxa"/>
            </w:tcMar>
          </w:tcPr>
          <w:p w:rsidR="00000000" w:rsidRDefault="009C1C61">
            <w:pPr>
              <w:pStyle w:val="a2"/>
              <w:spacing w:line="280" w:lineRule="exact"/>
              <w:jc w:val="center"/>
              <w:rPr>
                <w:bCs/>
                <w:spacing w:val="0"/>
                <w:sz w:val="18"/>
                <w:lang w:val="fr-CH"/>
              </w:rPr>
            </w:pPr>
            <w:r>
              <w:rPr>
                <w:rFonts w:hint="eastAsia"/>
                <w:bCs/>
                <w:spacing w:val="0"/>
                <w:sz w:val="18"/>
              </w:rPr>
              <w:t>女性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eastAsia="zh-CN"/>
              </w:rPr>
            </w:pPr>
            <w:r>
              <w:rPr>
                <w:rFonts w:eastAsia="SimSun" w:hint="eastAsia"/>
                <w:bCs/>
                <w:sz w:val="18"/>
                <w:szCs w:val="20"/>
                <w:lang w:eastAsia="zh-CN"/>
              </w:rPr>
              <w:t>男性</w:t>
            </w:r>
          </w:p>
        </w:tc>
        <w:tc>
          <w:tcPr>
            <w:tcW w:w="789" w:type="dxa"/>
            <w:tcBorders>
              <w:bottom w:val="nil"/>
            </w:tcBorders>
            <w:tcMar>
              <w:left w:w="57" w:type="dxa"/>
              <w:right w:w="57" w:type="dxa"/>
            </w:tcMar>
          </w:tcPr>
          <w:p w:rsidR="00000000" w:rsidRDefault="009C1C61">
            <w:pPr>
              <w:pStyle w:val="a2"/>
              <w:spacing w:line="280" w:lineRule="exact"/>
              <w:jc w:val="center"/>
              <w:rPr>
                <w:bCs/>
                <w:spacing w:val="0"/>
                <w:sz w:val="18"/>
                <w:lang w:val="fr-CH"/>
              </w:rPr>
            </w:pPr>
            <w:r>
              <w:rPr>
                <w:rFonts w:hint="eastAsia"/>
                <w:bCs/>
                <w:spacing w:val="0"/>
                <w:sz w:val="18"/>
              </w:rPr>
              <w:t>女性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val="fr-CH" w:eastAsia="zh-CN"/>
              </w:rPr>
            </w:pPr>
            <w:r>
              <w:rPr>
                <w:rFonts w:eastAsia="SimSun" w:hint="eastAsia"/>
                <w:bCs/>
                <w:sz w:val="18"/>
                <w:szCs w:val="20"/>
                <w:lang w:eastAsia="zh-CN"/>
              </w:rPr>
              <w:t>男性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val="fr-CH" w:eastAsia="zh-CN"/>
              </w:rPr>
            </w:pPr>
            <w:r>
              <w:rPr>
                <w:rFonts w:eastAsia="SimSun" w:hint="eastAsia"/>
                <w:bCs/>
                <w:sz w:val="18"/>
                <w:szCs w:val="20"/>
                <w:lang w:eastAsia="zh-CN"/>
              </w:rPr>
              <w:t>女性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val="fr-CH" w:eastAsia="zh-CN"/>
              </w:rPr>
            </w:pPr>
            <w:r>
              <w:rPr>
                <w:rFonts w:eastAsia="SimSun" w:hint="eastAsia"/>
                <w:bCs/>
                <w:sz w:val="18"/>
                <w:szCs w:val="20"/>
                <w:lang w:eastAsia="zh-CN"/>
              </w:rPr>
              <w:t>男性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val="fr-CH" w:eastAsia="zh-CN"/>
              </w:rPr>
            </w:pPr>
            <w:r>
              <w:rPr>
                <w:rFonts w:eastAsia="SimSun" w:hint="eastAsia"/>
                <w:bCs/>
                <w:sz w:val="18"/>
                <w:szCs w:val="20"/>
                <w:lang w:eastAsia="zh-CN"/>
              </w:rPr>
              <w:t>女性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val="fr-CH" w:eastAsia="zh-CN"/>
              </w:rPr>
            </w:pPr>
            <w:r>
              <w:rPr>
                <w:rFonts w:eastAsia="SimSun" w:hint="eastAsia"/>
                <w:bCs/>
                <w:sz w:val="18"/>
                <w:szCs w:val="20"/>
                <w:lang w:eastAsia="zh-CN"/>
              </w:rPr>
              <w:t>男性</w:t>
            </w:r>
          </w:p>
        </w:tc>
        <w:tc>
          <w:tcPr>
            <w:tcW w:w="789" w:type="dxa"/>
            <w:tcBorders>
              <w:bottom w:val="nil"/>
            </w:tcBorders>
            <w:tcMar>
              <w:left w:w="57" w:type="dxa"/>
              <w:right w:w="57" w:type="dxa"/>
            </w:tcMar>
          </w:tcPr>
          <w:p w:rsidR="00000000" w:rsidRDefault="009C1C61">
            <w:pPr>
              <w:pStyle w:val="BodyTextIndent"/>
              <w:widowControl/>
              <w:spacing w:after="0" w:line="280" w:lineRule="exact"/>
              <w:ind w:left="0"/>
              <w:jc w:val="center"/>
              <w:rPr>
                <w:rFonts w:eastAsia="SimSun" w:hint="eastAsia"/>
                <w:bCs/>
                <w:sz w:val="18"/>
                <w:szCs w:val="20"/>
                <w:lang w:val="fr-CH" w:eastAsia="zh-CN"/>
              </w:rPr>
            </w:pPr>
            <w:r>
              <w:rPr>
                <w:rFonts w:eastAsia="SimSun" w:hint="eastAsia"/>
                <w:bCs/>
                <w:sz w:val="18"/>
                <w:szCs w:val="20"/>
                <w:lang w:eastAsia="zh-CN"/>
              </w:rPr>
              <w:t>女性</w:t>
            </w:r>
          </w:p>
        </w:tc>
      </w:tr>
      <w:tr w:rsidR="00000000">
        <w:trPr>
          <w:trHeight w:val="315"/>
        </w:trPr>
        <w:tc>
          <w:tcPr>
            <w:tcW w:w="1509" w:type="dxa"/>
            <w:tcBorders>
              <w:bottom w:val="nil"/>
            </w:tcBorders>
            <w:tcMar>
              <w:left w:w="57" w:type="dxa"/>
              <w:right w:w="57" w:type="dxa"/>
            </w:tcMar>
          </w:tcPr>
          <w:p w:rsidR="00000000" w:rsidRDefault="009C1C61">
            <w:pPr>
              <w:pStyle w:val="a2"/>
              <w:spacing w:line="280" w:lineRule="exact"/>
              <w:jc w:val="left"/>
              <w:rPr>
                <w:spacing w:val="0"/>
                <w:sz w:val="18"/>
              </w:rPr>
            </w:pPr>
            <w:r>
              <w:rPr>
                <w:rFonts w:hint="eastAsia"/>
                <w:spacing w:val="0"/>
                <w:sz w:val="18"/>
              </w:rPr>
              <w:t>人口</w:t>
            </w:r>
            <w:r>
              <w:rPr>
                <w:spacing w:val="0"/>
                <w:sz w:val="18"/>
              </w:rPr>
              <w:t>(</w:t>
            </w:r>
            <w:r>
              <w:rPr>
                <w:rFonts w:hint="eastAsia"/>
                <w:spacing w:val="0"/>
                <w:sz w:val="18"/>
              </w:rPr>
              <w:t>年龄</w:t>
            </w:r>
            <w:r>
              <w:rPr>
                <w:spacing w:val="0"/>
                <w:sz w:val="18"/>
              </w:rPr>
              <w:t>&gt;15</w:t>
            </w:r>
            <w:r>
              <w:rPr>
                <w:rFonts w:hint="eastAsia"/>
                <w:spacing w:val="0"/>
                <w:sz w:val="18"/>
              </w:rPr>
              <w:t>岁</w:t>
            </w:r>
            <w:r>
              <w:rPr>
                <w:spacing w:val="0"/>
                <w:sz w:val="18"/>
              </w:rPr>
              <w:t>)</w:t>
            </w:r>
          </w:p>
        </w:tc>
        <w:tc>
          <w:tcPr>
            <w:tcW w:w="789" w:type="dxa"/>
            <w:tcBorders>
              <w:bottom w:val="nil"/>
            </w:tcBorders>
            <w:tcMar>
              <w:left w:w="57" w:type="dxa"/>
              <w:right w:w="57" w:type="dxa"/>
            </w:tcMar>
          </w:tcPr>
          <w:p w:rsidR="00000000" w:rsidRDefault="009C1C61">
            <w:pPr>
              <w:pStyle w:val="a2"/>
              <w:spacing w:line="280" w:lineRule="exact"/>
              <w:ind w:right="13"/>
              <w:jc w:val="right"/>
              <w:rPr>
                <w:spacing w:val="0"/>
                <w:sz w:val="18"/>
                <w:lang w:val="fr-CH"/>
              </w:rPr>
            </w:pPr>
            <w:r>
              <w:rPr>
                <w:spacing w:val="0"/>
                <w:sz w:val="18"/>
                <w:lang w:val="fr-CH"/>
              </w:rPr>
              <w:t>4,501,8</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4,</w:t>
            </w:r>
            <w:r>
              <w:rPr>
                <w:spacing w:val="0"/>
                <w:sz w:val="18"/>
                <w:lang w:val="fr-CH"/>
              </w:rPr>
              <w:t>723,</w:t>
            </w:r>
            <w:r>
              <w:rPr>
                <w:bCs/>
                <w:spacing w:val="0"/>
                <w:sz w:val="18"/>
                <w:lang w:val="fr-CH"/>
              </w:rPr>
              <w:t>6</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4,</w:t>
            </w:r>
            <w:r>
              <w:rPr>
                <w:spacing w:val="0"/>
                <w:sz w:val="18"/>
                <w:lang w:val="fr-CH"/>
              </w:rPr>
              <w:t>933,</w:t>
            </w:r>
            <w:r>
              <w:rPr>
                <w:bCs/>
                <w:spacing w:val="0"/>
                <w:sz w:val="18"/>
                <w:lang w:val="fr-CH"/>
              </w:rPr>
              <w:t>7</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w:t>
            </w:r>
            <w:r>
              <w:rPr>
                <w:spacing w:val="0"/>
                <w:sz w:val="18"/>
                <w:lang w:val="fr-CH"/>
              </w:rPr>
              <w:t>158,</w:t>
            </w:r>
            <w:r>
              <w:rPr>
                <w:bCs/>
                <w:spacing w:val="0"/>
                <w:sz w:val="18"/>
                <w:lang w:val="fr-CH"/>
              </w:rPr>
              <w:t>5</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w:t>
            </w:r>
            <w:r>
              <w:rPr>
                <w:spacing w:val="0"/>
                <w:sz w:val="18"/>
                <w:lang w:val="fr-CH"/>
              </w:rPr>
              <w:t>280,</w:t>
            </w:r>
            <w:r>
              <w:rPr>
                <w:bCs/>
                <w:spacing w:val="0"/>
                <w:sz w:val="18"/>
                <w:lang w:val="fr-CH"/>
              </w:rPr>
              <w:t>3</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w:t>
            </w:r>
            <w:r>
              <w:rPr>
                <w:spacing w:val="0"/>
                <w:sz w:val="18"/>
                <w:lang w:val="fr-CH"/>
              </w:rPr>
              <w:t>502,</w:t>
            </w:r>
            <w:r>
              <w:rPr>
                <w:bCs/>
                <w:spacing w:val="0"/>
                <w:sz w:val="18"/>
                <w:lang w:val="fr-CH"/>
              </w:rPr>
              <w:t>6</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5,369,0</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w:t>
            </w:r>
            <w:r>
              <w:rPr>
                <w:spacing w:val="0"/>
                <w:sz w:val="18"/>
                <w:lang w:val="fr-CH"/>
              </w:rPr>
              <w:t>591,</w:t>
            </w:r>
            <w:r>
              <w:rPr>
                <w:bCs/>
                <w:spacing w:val="0"/>
                <w:sz w:val="18"/>
                <w:lang w:val="fr-CH"/>
              </w:rPr>
              <w:t>5</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w:t>
            </w:r>
            <w:r>
              <w:rPr>
                <w:spacing w:val="0"/>
                <w:sz w:val="18"/>
                <w:lang w:val="fr-CH"/>
              </w:rPr>
              <w:t>465,</w:t>
            </w:r>
            <w:r>
              <w:rPr>
                <w:bCs/>
                <w:spacing w:val="0"/>
                <w:sz w:val="18"/>
                <w:lang w:val="fr-CH"/>
              </w:rPr>
              <w:t>6</w:t>
            </w:r>
          </w:p>
        </w:tc>
        <w:tc>
          <w:tcPr>
            <w:tcW w:w="789" w:type="dxa"/>
            <w:tcBorders>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5,688,1</w:t>
            </w:r>
          </w:p>
        </w:tc>
      </w:tr>
      <w:tr w:rsidR="00000000">
        <w:trPr>
          <w:trHeight w:val="221"/>
        </w:trPr>
        <w:tc>
          <w:tcPr>
            <w:tcW w:w="1509" w:type="dxa"/>
            <w:tcBorders>
              <w:top w:val="nil"/>
              <w:bottom w:val="nil"/>
            </w:tcBorders>
            <w:tcMar>
              <w:left w:w="57" w:type="dxa"/>
              <w:right w:w="57" w:type="dxa"/>
            </w:tcMar>
          </w:tcPr>
          <w:p w:rsidR="00000000" w:rsidRDefault="009C1C61">
            <w:pPr>
              <w:pStyle w:val="a2"/>
              <w:spacing w:line="280" w:lineRule="exact"/>
              <w:jc w:val="left"/>
              <w:rPr>
                <w:rFonts w:hint="eastAsia"/>
                <w:spacing w:val="0"/>
                <w:sz w:val="18"/>
                <w:lang w:val="fr-CH"/>
              </w:rPr>
            </w:pPr>
            <w:r>
              <w:rPr>
                <w:rFonts w:hint="eastAsia"/>
                <w:spacing w:val="0"/>
                <w:sz w:val="18"/>
                <w:lang w:val="fr-CH"/>
              </w:rPr>
              <w:t>劳动力队伍</w:t>
            </w:r>
          </w:p>
        </w:tc>
        <w:tc>
          <w:tcPr>
            <w:tcW w:w="789" w:type="dxa"/>
            <w:tcBorders>
              <w:top w:val="nil"/>
              <w:bottom w:val="nil"/>
            </w:tcBorders>
            <w:tcMar>
              <w:left w:w="57" w:type="dxa"/>
              <w:right w:w="57" w:type="dxa"/>
            </w:tcMar>
          </w:tcPr>
          <w:p w:rsidR="00000000" w:rsidRDefault="009C1C61">
            <w:pPr>
              <w:pStyle w:val="a2"/>
              <w:spacing w:line="280" w:lineRule="exact"/>
              <w:ind w:right="13"/>
              <w:jc w:val="right"/>
              <w:rPr>
                <w:spacing w:val="0"/>
                <w:sz w:val="18"/>
                <w:lang w:val="fr-CH"/>
              </w:rPr>
            </w:pPr>
            <w:r>
              <w:rPr>
                <w:spacing w:val="0"/>
                <w:sz w:val="18"/>
                <w:lang w:val="fr-CH"/>
              </w:rPr>
              <w:t>3,392,7</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1,</w:t>
            </w:r>
            <w:r>
              <w:rPr>
                <w:spacing w:val="0"/>
                <w:sz w:val="18"/>
                <w:lang w:val="fr-CH"/>
              </w:rPr>
              <w:t>495,</w:t>
            </w:r>
            <w:r>
              <w:rPr>
                <w:bCs/>
                <w:spacing w:val="0"/>
                <w:sz w:val="18"/>
                <w:lang w:val="fr-CH"/>
              </w:rPr>
              <w:t>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3,</w:t>
            </w:r>
            <w:r>
              <w:rPr>
                <w:spacing w:val="0"/>
                <w:sz w:val="18"/>
                <w:lang w:val="fr-CH"/>
              </w:rPr>
              <w:t>758,</w:t>
            </w:r>
            <w:r>
              <w:rPr>
                <w:bCs/>
                <w:spacing w:val="0"/>
                <w:sz w:val="18"/>
                <w:lang w:val="fr-CH"/>
              </w:rPr>
              <w:t>0</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1,</w:t>
            </w:r>
            <w:r>
              <w:rPr>
                <w:spacing w:val="0"/>
                <w:sz w:val="18"/>
                <w:lang w:val="fr-CH"/>
              </w:rPr>
              <w:t>780,</w:t>
            </w:r>
            <w:r>
              <w:rPr>
                <w:bCs/>
                <w:spacing w:val="0"/>
                <w:sz w:val="18"/>
                <w:lang w:val="fr-CH"/>
              </w:rPr>
              <w:t>3</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3,926,5</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2,007,0</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3,</w:t>
            </w:r>
            <w:r>
              <w:rPr>
                <w:spacing w:val="0"/>
                <w:sz w:val="18"/>
                <w:lang w:val="fr-CH"/>
              </w:rPr>
              <w:t>913,</w:t>
            </w:r>
            <w:r>
              <w:rPr>
                <w:bCs/>
                <w:spacing w:val="0"/>
                <w:sz w:val="18"/>
                <w:lang w:val="fr-CH"/>
              </w:rPr>
              <w:t>0</w:t>
            </w:r>
          </w:p>
        </w:tc>
        <w:tc>
          <w:tcPr>
            <w:tcW w:w="789" w:type="dxa"/>
            <w:tcBorders>
              <w:top w:val="nil"/>
              <w:bottom w:val="nil"/>
            </w:tcBorders>
            <w:tcMar>
              <w:left w:w="57" w:type="dxa"/>
              <w:right w:w="57" w:type="dxa"/>
            </w:tcMar>
          </w:tcPr>
          <w:p w:rsidR="00000000" w:rsidRDefault="009C1C61">
            <w:pPr>
              <w:pStyle w:val="a2"/>
              <w:spacing w:line="280" w:lineRule="exact"/>
              <w:jc w:val="right"/>
              <w:rPr>
                <w:spacing w:val="0"/>
                <w:sz w:val="18"/>
                <w:lang w:val="fr-CH"/>
              </w:rPr>
            </w:pPr>
            <w:r>
              <w:rPr>
                <w:spacing w:val="0"/>
                <w:sz w:val="18"/>
                <w:lang w:val="fr-CH"/>
              </w:rPr>
              <w:t>1,</w:t>
            </w:r>
            <w:r>
              <w:rPr>
                <w:bCs/>
                <w:spacing w:val="0"/>
                <w:sz w:val="18"/>
                <w:lang w:val="fr-CH"/>
              </w:rPr>
              <w:t>957,</w:t>
            </w:r>
            <w:r>
              <w:rPr>
                <w:spacing w:val="0"/>
                <w:sz w:val="18"/>
                <w:lang w:val="fr-CH"/>
              </w:rPr>
              <w:t>8</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3,</w:t>
            </w:r>
            <w:r>
              <w:rPr>
                <w:spacing w:val="0"/>
                <w:sz w:val="18"/>
                <w:lang w:val="fr-CH"/>
              </w:rPr>
              <w:t>966,</w:t>
            </w:r>
            <w:r>
              <w:rPr>
                <w:bCs/>
                <w:spacing w:val="0"/>
                <w:sz w:val="18"/>
                <w:lang w:val="fr-CH"/>
              </w:rPr>
              <w:t>2</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lang w:val="fr-CH"/>
              </w:rPr>
            </w:pPr>
            <w:r>
              <w:rPr>
                <w:bCs/>
                <w:spacing w:val="0"/>
                <w:sz w:val="18"/>
                <w:lang w:val="fr-CH"/>
              </w:rPr>
              <w:t>1,982,6</w:t>
            </w:r>
          </w:p>
        </w:tc>
      </w:tr>
      <w:tr w:rsidR="00000000">
        <w:trPr>
          <w:trHeight w:val="185"/>
        </w:trPr>
        <w:tc>
          <w:tcPr>
            <w:tcW w:w="1509" w:type="dxa"/>
            <w:tcBorders>
              <w:top w:val="nil"/>
              <w:bottom w:val="nil"/>
            </w:tcBorders>
            <w:tcMar>
              <w:left w:w="57" w:type="dxa"/>
              <w:right w:w="57" w:type="dxa"/>
            </w:tcMar>
          </w:tcPr>
          <w:p w:rsidR="00000000" w:rsidRDefault="009C1C61">
            <w:pPr>
              <w:pStyle w:val="a2"/>
              <w:spacing w:line="280" w:lineRule="exact"/>
              <w:jc w:val="left"/>
              <w:rPr>
                <w:rFonts w:hint="eastAsia"/>
                <w:spacing w:val="0"/>
                <w:sz w:val="18"/>
                <w:lang w:val="fr-CH"/>
              </w:rPr>
            </w:pPr>
            <w:r>
              <w:rPr>
                <w:rFonts w:hint="eastAsia"/>
                <w:spacing w:val="0"/>
                <w:sz w:val="18"/>
                <w:lang w:val="fr-CH"/>
              </w:rPr>
              <w:t>参与</w:t>
            </w:r>
          </w:p>
        </w:tc>
        <w:tc>
          <w:tcPr>
            <w:tcW w:w="789" w:type="dxa"/>
            <w:tcBorders>
              <w:top w:val="nil"/>
              <w:bottom w:val="nil"/>
            </w:tcBorders>
            <w:tcMar>
              <w:left w:w="57" w:type="dxa"/>
              <w:right w:w="57" w:type="dxa"/>
            </w:tcMar>
          </w:tcPr>
          <w:p w:rsidR="00000000" w:rsidRDefault="009C1C61">
            <w:pPr>
              <w:pStyle w:val="a2"/>
              <w:spacing w:line="280" w:lineRule="exact"/>
              <w:ind w:right="13"/>
              <w:jc w:val="right"/>
              <w:rPr>
                <w:spacing w:val="0"/>
                <w:sz w:val="18"/>
                <w:lang w:val="fr-CH"/>
              </w:rPr>
            </w:pPr>
            <w:r>
              <w:rPr>
                <w:spacing w:val="0"/>
                <w:sz w:val="18"/>
                <w:lang w:val="fr-CH"/>
              </w:rPr>
              <w:t>75,4</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31,7</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76,2</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34,5</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74,4</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36,5</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72,9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35,0</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72,6</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34,9</w:t>
            </w:r>
          </w:p>
        </w:tc>
      </w:tr>
      <w:tr w:rsidR="00000000">
        <w:trPr>
          <w:trHeight w:val="291"/>
        </w:trPr>
        <w:tc>
          <w:tcPr>
            <w:tcW w:w="1509" w:type="dxa"/>
            <w:tcBorders>
              <w:top w:val="nil"/>
              <w:bottom w:val="nil"/>
            </w:tcBorders>
            <w:tcMar>
              <w:left w:w="57" w:type="dxa"/>
              <w:right w:w="57" w:type="dxa"/>
            </w:tcMar>
          </w:tcPr>
          <w:p w:rsidR="00000000" w:rsidRDefault="009C1C61">
            <w:pPr>
              <w:pStyle w:val="a2"/>
              <w:spacing w:line="280" w:lineRule="exact"/>
              <w:jc w:val="left"/>
              <w:rPr>
                <w:rFonts w:hint="eastAsia"/>
                <w:spacing w:val="0"/>
                <w:sz w:val="18"/>
              </w:rPr>
            </w:pPr>
            <w:r>
              <w:rPr>
                <w:rFonts w:hint="eastAsia"/>
                <w:spacing w:val="0"/>
                <w:sz w:val="18"/>
              </w:rPr>
              <w:t>已就业</w:t>
            </w:r>
          </w:p>
        </w:tc>
        <w:tc>
          <w:tcPr>
            <w:tcW w:w="789" w:type="dxa"/>
            <w:tcBorders>
              <w:top w:val="nil"/>
              <w:bottom w:val="nil"/>
            </w:tcBorders>
            <w:tcMar>
              <w:left w:w="57" w:type="dxa"/>
              <w:right w:w="57" w:type="dxa"/>
            </w:tcMar>
          </w:tcPr>
          <w:p w:rsidR="00000000" w:rsidRDefault="009C1C61">
            <w:pPr>
              <w:pStyle w:val="a2"/>
              <w:spacing w:line="280" w:lineRule="exact"/>
              <w:ind w:right="13"/>
              <w:jc w:val="right"/>
              <w:rPr>
                <w:spacing w:val="0"/>
                <w:sz w:val="18"/>
              </w:rPr>
            </w:pPr>
            <w:r>
              <w:rPr>
                <w:spacing w:val="0"/>
                <w:sz w:val="18"/>
              </w:rPr>
              <w:t>3,167,9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1,357,6</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3,551,9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1,622,5</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3,603,6</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1,800,9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3,600,4</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w:t>
            </w:r>
            <w:r>
              <w:rPr>
                <w:bCs/>
                <w:spacing w:val="0"/>
                <w:sz w:val="18"/>
                <w:lang w:val="fr-CH"/>
              </w:rPr>
              <w:t>781,</w:t>
            </w:r>
            <w:r>
              <w:rPr>
                <w:bCs/>
                <w:spacing w:val="0"/>
                <w:sz w:val="18"/>
              </w:rPr>
              <w:t>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w:t>
            </w:r>
            <w:r>
              <w:rPr>
                <w:bCs/>
                <w:spacing w:val="0"/>
                <w:sz w:val="18"/>
                <w:lang w:val="fr-CH"/>
              </w:rPr>
              <w:t>663,</w:t>
            </w:r>
            <w:r>
              <w:rPr>
                <w:bCs/>
                <w:spacing w:val="0"/>
                <w:sz w:val="18"/>
              </w:rPr>
              <w:t>6</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w:t>
            </w:r>
            <w:r>
              <w:rPr>
                <w:bCs/>
                <w:spacing w:val="0"/>
                <w:sz w:val="18"/>
                <w:lang w:val="fr-CH"/>
              </w:rPr>
              <w:t>1815,</w:t>
            </w:r>
            <w:r>
              <w:rPr>
                <w:bCs/>
                <w:spacing w:val="0"/>
                <w:sz w:val="18"/>
              </w:rPr>
              <w:t>8</w:t>
            </w:r>
          </w:p>
        </w:tc>
      </w:tr>
      <w:tr w:rsidR="00000000">
        <w:trPr>
          <w:trHeight w:val="383"/>
        </w:trPr>
        <w:tc>
          <w:tcPr>
            <w:tcW w:w="1509" w:type="dxa"/>
            <w:tcBorders>
              <w:top w:val="nil"/>
              <w:bottom w:val="nil"/>
            </w:tcBorders>
            <w:tcMar>
              <w:left w:w="57" w:type="dxa"/>
              <w:right w:w="57" w:type="dxa"/>
            </w:tcMar>
          </w:tcPr>
          <w:p w:rsidR="00000000" w:rsidRDefault="009C1C61">
            <w:pPr>
              <w:pStyle w:val="a2"/>
              <w:spacing w:line="280" w:lineRule="exact"/>
              <w:jc w:val="left"/>
              <w:rPr>
                <w:rFonts w:hint="eastAsia"/>
                <w:spacing w:val="0"/>
                <w:sz w:val="18"/>
              </w:rPr>
            </w:pPr>
            <w:r>
              <w:rPr>
                <w:rFonts w:hint="eastAsia"/>
                <w:spacing w:val="0"/>
                <w:sz w:val="18"/>
              </w:rPr>
              <w:t>未就业</w:t>
            </w:r>
          </w:p>
        </w:tc>
        <w:tc>
          <w:tcPr>
            <w:tcW w:w="789" w:type="dxa"/>
            <w:tcBorders>
              <w:top w:val="nil"/>
              <w:bottom w:val="nil"/>
            </w:tcBorders>
            <w:tcMar>
              <w:left w:w="57" w:type="dxa"/>
              <w:right w:w="57" w:type="dxa"/>
            </w:tcMar>
          </w:tcPr>
          <w:p w:rsidR="00000000" w:rsidRDefault="009C1C61">
            <w:pPr>
              <w:pStyle w:val="a2"/>
              <w:spacing w:line="280" w:lineRule="exact"/>
              <w:ind w:right="13"/>
              <w:jc w:val="right"/>
              <w:rPr>
                <w:spacing w:val="0"/>
                <w:sz w:val="18"/>
              </w:rPr>
            </w:pPr>
            <w:r>
              <w:rPr>
                <w:spacing w:val="0"/>
                <w:sz w:val="18"/>
              </w:rPr>
              <w:t>224,8</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138,2</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206,1</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157,8</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322,9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206,2</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312,5</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176,9</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302,6</w:t>
            </w:r>
          </w:p>
        </w:tc>
        <w:tc>
          <w:tcPr>
            <w:tcW w:w="789" w:type="dxa"/>
            <w:tcBorders>
              <w:top w:val="nil"/>
              <w:bottom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16</w:t>
            </w:r>
            <w:r>
              <w:rPr>
                <w:bCs/>
                <w:spacing w:val="0"/>
                <w:sz w:val="18"/>
                <w:lang w:val="fr-CH"/>
              </w:rPr>
              <w:t>6,</w:t>
            </w:r>
            <w:r>
              <w:rPr>
                <w:bCs/>
                <w:spacing w:val="0"/>
                <w:sz w:val="18"/>
              </w:rPr>
              <w:t>9</w:t>
            </w:r>
          </w:p>
        </w:tc>
      </w:tr>
      <w:tr w:rsidR="00000000">
        <w:trPr>
          <w:trHeight w:val="361"/>
        </w:trPr>
        <w:tc>
          <w:tcPr>
            <w:tcW w:w="1509" w:type="dxa"/>
            <w:tcBorders>
              <w:top w:val="nil"/>
            </w:tcBorders>
            <w:tcMar>
              <w:left w:w="57" w:type="dxa"/>
              <w:right w:w="57" w:type="dxa"/>
            </w:tcMar>
          </w:tcPr>
          <w:p w:rsidR="00000000" w:rsidRDefault="009C1C61">
            <w:pPr>
              <w:pStyle w:val="a2"/>
              <w:spacing w:line="280" w:lineRule="exact"/>
              <w:jc w:val="left"/>
              <w:rPr>
                <w:rFonts w:hint="eastAsia"/>
                <w:spacing w:val="0"/>
                <w:sz w:val="18"/>
              </w:rPr>
            </w:pPr>
            <w:r>
              <w:rPr>
                <w:rFonts w:hint="eastAsia"/>
                <w:spacing w:val="0"/>
                <w:sz w:val="18"/>
              </w:rPr>
              <w:t>失业率</w:t>
            </w:r>
          </w:p>
        </w:tc>
        <w:tc>
          <w:tcPr>
            <w:tcW w:w="789" w:type="dxa"/>
            <w:tcBorders>
              <w:top w:val="nil"/>
            </w:tcBorders>
            <w:tcMar>
              <w:left w:w="57" w:type="dxa"/>
              <w:right w:w="57" w:type="dxa"/>
            </w:tcMar>
          </w:tcPr>
          <w:p w:rsidR="00000000" w:rsidRDefault="009C1C61">
            <w:pPr>
              <w:pStyle w:val="a2"/>
              <w:spacing w:line="280" w:lineRule="exact"/>
              <w:ind w:right="13"/>
              <w:jc w:val="right"/>
              <w:rPr>
                <w:bCs/>
                <w:spacing w:val="0"/>
                <w:sz w:val="18"/>
              </w:rPr>
            </w:pPr>
            <w:r>
              <w:rPr>
                <w:bCs/>
                <w:spacing w:val="0"/>
                <w:sz w:val="18"/>
              </w:rPr>
              <w:t>6,6</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9,2</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5,5</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8,9</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8,2</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10,3</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8,0</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9,0</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7,6</w:t>
            </w:r>
          </w:p>
        </w:tc>
        <w:tc>
          <w:tcPr>
            <w:tcW w:w="789" w:type="dxa"/>
            <w:tcBorders>
              <w:top w:val="nil"/>
            </w:tcBorders>
            <w:tcMar>
              <w:left w:w="57" w:type="dxa"/>
              <w:right w:w="57" w:type="dxa"/>
            </w:tcMar>
          </w:tcPr>
          <w:p w:rsidR="00000000" w:rsidRDefault="009C1C61">
            <w:pPr>
              <w:pStyle w:val="a2"/>
              <w:spacing w:line="280" w:lineRule="exact"/>
              <w:jc w:val="right"/>
              <w:rPr>
                <w:bCs/>
                <w:spacing w:val="0"/>
                <w:sz w:val="18"/>
              </w:rPr>
            </w:pPr>
            <w:r>
              <w:rPr>
                <w:bCs/>
                <w:spacing w:val="0"/>
                <w:sz w:val="18"/>
              </w:rPr>
              <w:t>8,4</w:t>
            </w:r>
          </w:p>
        </w:tc>
      </w:tr>
    </w:tbl>
    <w:p w:rsidR="00000000" w:rsidRDefault="009C1C61">
      <w:pPr>
        <w:spacing w:before="120" w:after="120"/>
        <w:ind w:left="510"/>
        <w:rPr>
          <w:rFonts w:eastAsia="KaiTi_GB2312"/>
          <w:snapToGrid/>
          <w:spacing w:val="0"/>
        </w:rPr>
      </w:pPr>
      <w:r>
        <w:rPr>
          <w:rFonts w:eastAsia="KaiTi_GB2312" w:hint="eastAsia"/>
          <w:snapToGrid/>
          <w:spacing w:val="0"/>
          <w:u w:val="single"/>
        </w:rPr>
        <w:t>资料来源</w:t>
      </w:r>
      <w:r>
        <w:rPr>
          <w:rFonts w:eastAsia="KaiTi_GB2312" w:hint="eastAsia"/>
          <w:snapToGrid/>
          <w:spacing w:val="0"/>
        </w:rPr>
        <w:t>：国家统计局</w:t>
      </w:r>
      <w:r>
        <w:rPr>
          <w:rFonts w:eastAsia="KaiTi_GB2312"/>
          <w:snapToGrid/>
          <w:spacing w:val="0"/>
        </w:rPr>
        <w:t>(</w:t>
      </w:r>
      <w:r>
        <w:rPr>
          <w:rFonts w:eastAsia="KaiTi_GB2312" w:hint="eastAsia"/>
          <w:snapToGrid/>
          <w:spacing w:val="0"/>
        </w:rPr>
        <w:t>统计局</w:t>
      </w:r>
      <w:r>
        <w:rPr>
          <w:rFonts w:eastAsia="KaiTi_GB2312"/>
          <w:snapToGrid/>
          <w:spacing w:val="0"/>
        </w:rPr>
        <w:t>)</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保障充分就业的政策和措施</w:t>
      </w:r>
    </w:p>
    <w:p w:rsidR="00000000" w:rsidRDefault="009C1C61">
      <w:pPr>
        <w:spacing w:after="120"/>
        <w:rPr>
          <w:snapToGrid/>
        </w:rPr>
      </w:pPr>
      <w:r>
        <w:rPr>
          <w:rFonts w:hint="eastAsia"/>
          <w:snapToGrid/>
        </w:rPr>
        <w:tab/>
      </w:r>
      <w:r>
        <w:rPr>
          <w:snapToGrid/>
        </w:rPr>
        <w:t>157.</w:t>
      </w:r>
      <w:r>
        <w:rPr>
          <w:rFonts w:hint="eastAsia"/>
          <w:snapToGrid/>
        </w:rPr>
        <w:t xml:space="preserve">  </w:t>
      </w:r>
      <w:r>
        <w:rPr>
          <w:snapToGrid/>
        </w:rPr>
        <w:t>关于智</w:t>
      </w:r>
      <w:r>
        <w:t>利为确保</w:t>
      </w:r>
      <w:r>
        <w:rPr>
          <w:rFonts w:hint="eastAsia"/>
        </w:rPr>
        <w:t>向</w:t>
      </w:r>
      <w:r>
        <w:t>所有愿意工作和寻求工作的人</w:t>
      </w:r>
      <w:r>
        <w:t>提供工作</w:t>
      </w:r>
      <w:r>
        <w:rPr>
          <w:rFonts w:hint="eastAsia"/>
        </w:rPr>
        <w:t>而</w:t>
      </w:r>
      <w:r>
        <w:t>采取的措施，政府建议参</w:t>
      </w:r>
      <w:r>
        <w:rPr>
          <w:rFonts w:hint="eastAsia"/>
        </w:rPr>
        <w:t>阅</w:t>
      </w:r>
      <w:r>
        <w:t>智利政府根据劳工组织章程</w:t>
      </w:r>
      <w:r>
        <w:rPr>
          <w:snapToGrid/>
        </w:rPr>
        <w:t>第</w:t>
      </w:r>
      <w:r>
        <w:rPr>
          <w:snapToGrid/>
        </w:rPr>
        <w:t>22</w:t>
      </w:r>
      <w:r>
        <w:rPr>
          <w:snapToGrid/>
        </w:rPr>
        <w:t>条规定提交的报告，报告阐述了</w:t>
      </w:r>
      <w:r>
        <w:rPr>
          <w:snapToGrid/>
        </w:rPr>
        <w:t>1990</w:t>
      </w:r>
      <w:r>
        <w:rPr>
          <w:snapToGrid/>
        </w:rPr>
        <w:t>年</w:t>
      </w:r>
      <w:r>
        <w:rPr>
          <w:snapToGrid/>
        </w:rPr>
        <w:t>7</w:t>
      </w:r>
      <w:r>
        <w:rPr>
          <w:snapToGrid/>
        </w:rPr>
        <w:t>月</w:t>
      </w:r>
      <w:r>
        <w:rPr>
          <w:snapToGrid/>
        </w:rPr>
        <w:t>1</w:t>
      </w:r>
      <w:r>
        <w:rPr>
          <w:snapToGrid/>
        </w:rPr>
        <w:t>日至</w:t>
      </w:r>
      <w:r>
        <w:rPr>
          <w:snapToGrid/>
        </w:rPr>
        <w:t>1998</w:t>
      </w:r>
      <w:r>
        <w:rPr>
          <w:snapToGrid/>
        </w:rPr>
        <w:t>年</w:t>
      </w:r>
      <w:r>
        <w:rPr>
          <w:snapToGrid/>
        </w:rPr>
        <w:t>6</w:t>
      </w:r>
      <w:r>
        <w:rPr>
          <w:snapToGrid/>
        </w:rPr>
        <w:t>月</w:t>
      </w:r>
      <w:r>
        <w:rPr>
          <w:snapToGrid/>
        </w:rPr>
        <w:t>30</w:t>
      </w:r>
      <w:r>
        <w:rPr>
          <w:snapToGrid/>
        </w:rPr>
        <w:t>日期间为落实</w:t>
      </w:r>
      <w:r>
        <w:rPr>
          <w:snapToGrid/>
        </w:rPr>
        <w:t>19</w:t>
      </w:r>
      <w:r>
        <w:rPr>
          <w:rFonts w:hint="eastAsia"/>
          <w:snapToGrid/>
        </w:rPr>
        <w:t>6</w:t>
      </w:r>
      <w:r>
        <w:rPr>
          <w:snapToGrid/>
        </w:rPr>
        <w:t>4</w:t>
      </w:r>
      <w:r>
        <w:rPr>
          <w:snapToGrid/>
        </w:rPr>
        <w:t>年《就业政策公约》</w:t>
      </w:r>
      <w:r>
        <w:rPr>
          <w:snapToGrid/>
        </w:rPr>
        <w:t>(</w:t>
      </w:r>
      <w:r>
        <w:rPr>
          <w:snapToGrid/>
        </w:rPr>
        <w:t>第</w:t>
      </w:r>
      <w:r>
        <w:rPr>
          <w:rFonts w:hint="eastAsia"/>
          <w:snapToGrid/>
        </w:rPr>
        <w:t>1</w:t>
      </w:r>
      <w:r>
        <w:rPr>
          <w:snapToGrid/>
        </w:rPr>
        <w:t>22</w:t>
      </w:r>
      <w:r>
        <w:rPr>
          <w:snapToGrid/>
        </w:rPr>
        <w:t>号</w:t>
      </w:r>
      <w:r>
        <w:rPr>
          <w:rFonts w:hint="eastAsia"/>
          <w:snapToGrid/>
        </w:rPr>
        <w:t>))</w:t>
      </w:r>
      <w:r>
        <w:rPr>
          <w:snapToGrid/>
        </w:rPr>
        <w:t>规定</w:t>
      </w:r>
      <w:r>
        <w:rPr>
          <w:rFonts w:hint="eastAsia"/>
          <w:snapToGrid/>
        </w:rPr>
        <w:t>而</w:t>
      </w:r>
      <w:r>
        <w:rPr>
          <w:snapToGrid/>
        </w:rPr>
        <w:t>采取的措施。</w:t>
      </w:r>
    </w:p>
    <w:p w:rsidR="00000000" w:rsidRDefault="009C1C61">
      <w:pPr>
        <w:pStyle w:val="Heading4"/>
        <w:spacing w:after="120"/>
        <w:rPr>
          <w:rFonts w:ascii="Time New Roman" w:eastAsia="SimHei" w:hAnsi="Time New Roman"/>
          <w:u w:val="none"/>
        </w:rPr>
      </w:pPr>
      <w:r>
        <w:rPr>
          <w:rFonts w:ascii="Time New Roman" w:eastAsia="SimHei" w:hAnsi="Time New Roman" w:hint="eastAsia"/>
          <w:u w:val="none"/>
        </w:rPr>
        <w:t>劳动生产率</w:t>
      </w:r>
    </w:p>
    <w:p w:rsidR="00000000" w:rsidRDefault="009C1C61">
      <w:pPr>
        <w:rPr>
          <w:snapToGrid/>
          <w:spacing w:val="6"/>
        </w:rPr>
      </w:pPr>
      <w:r>
        <w:rPr>
          <w:rFonts w:hint="eastAsia"/>
          <w:snapToGrid/>
          <w:spacing w:val="6"/>
        </w:rPr>
        <w:tab/>
      </w:r>
      <w:r>
        <w:rPr>
          <w:snapToGrid/>
          <w:spacing w:val="6"/>
        </w:rPr>
        <w:t xml:space="preserve">158. </w:t>
      </w:r>
      <w:r>
        <w:rPr>
          <w:rFonts w:hint="eastAsia"/>
          <w:snapToGrid/>
          <w:spacing w:val="6"/>
        </w:rPr>
        <w:t xml:space="preserve"> </w:t>
      </w:r>
      <w:r>
        <w:rPr>
          <w:snapToGrid/>
          <w:spacing w:val="6"/>
        </w:rPr>
        <w:t>1990</w:t>
      </w:r>
      <w:r>
        <w:rPr>
          <w:snapToGrid/>
          <w:spacing w:val="6"/>
        </w:rPr>
        <w:t>至</w:t>
      </w:r>
      <w:r>
        <w:rPr>
          <w:snapToGrid/>
          <w:spacing w:val="6"/>
        </w:rPr>
        <w:t>1998</w:t>
      </w:r>
      <w:r>
        <w:rPr>
          <w:snapToGrid/>
          <w:spacing w:val="6"/>
        </w:rPr>
        <w:t>年期间智利生产率大幅度提高。工</w:t>
      </w:r>
      <w:r>
        <w:rPr>
          <w:rFonts w:hint="eastAsia"/>
          <w:snapToGrid/>
          <w:spacing w:val="6"/>
        </w:rPr>
        <w:t>人</w:t>
      </w:r>
      <w:r>
        <w:rPr>
          <w:snapToGrid/>
          <w:spacing w:val="6"/>
        </w:rPr>
        <w:t>人</w:t>
      </w:r>
      <w:r>
        <w:rPr>
          <w:rFonts w:hint="eastAsia"/>
          <w:snapToGrid/>
          <w:spacing w:val="6"/>
        </w:rPr>
        <w:t>均</w:t>
      </w:r>
      <w:r>
        <w:rPr>
          <w:snapToGrid/>
          <w:spacing w:val="6"/>
        </w:rPr>
        <w:t>实际</w:t>
      </w:r>
      <w:r>
        <w:rPr>
          <w:rFonts w:hint="eastAsia"/>
          <w:snapToGrid/>
          <w:spacing w:val="6"/>
        </w:rPr>
        <w:t>产出</w:t>
      </w:r>
      <w:r>
        <w:rPr>
          <w:snapToGrid/>
          <w:spacing w:val="6"/>
        </w:rPr>
        <w:t>增长了</w:t>
      </w:r>
      <w:r>
        <w:rPr>
          <w:snapToGrid/>
          <w:spacing w:val="6"/>
        </w:rPr>
        <w:t>50%</w:t>
      </w:r>
      <w:r>
        <w:rPr>
          <w:snapToGrid/>
          <w:spacing w:val="6"/>
        </w:rPr>
        <w:t>。采矿和运输业增长</w:t>
      </w:r>
      <w:r>
        <w:rPr>
          <w:rFonts w:hint="eastAsia"/>
          <w:snapToGrid/>
          <w:spacing w:val="6"/>
        </w:rPr>
        <w:t>率</w:t>
      </w:r>
      <w:r>
        <w:rPr>
          <w:snapToGrid/>
          <w:spacing w:val="6"/>
        </w:rPr>
        <w:t>最</w:t>
      </w:r>
      <w:r>
        <w:rPr>
          <w:rFonts w:hint="eastAsia"/>
          <w:snapToGrid/>
          <w:spacing w:val="6"/>
        </w:rPr>
        <w:t>高</w:t>
      </w:r>
      <w:r>
        <w:rPr>
          <w:snapToGrid/>
          <w:spacing w:val="6"/>
        </w:rPr>
        <w:t>，增长幅度超过全国平均率。</w:t>
      </w:r>
      <w:r>
        <w:rPr>
          <w:rStyle w:val="FootnoteReference"/>
          <w:snapToGrid/>
          <w:spacing w:val="6"/>
        </w:rPr>
        <w:footnoteReference w:id="40"/>
      </w:r>
      <w:r>
        <w:rPr>
          <w:rFonts w:hint="eastAsia"/>
          <w:snapToGrid/>
          <w:spacing w:val="6"/>
        </w:rPr>
        <w:t xml:space="preserve"> </w:t>
      </w:r>
      <w:r>
        <w:rPr>
          <w:snapToGrid/>
          <w:spacing w:val="6"/>
        </w:rPr>
        <w:t>2001</w:t>
      </w:r>
      <w:r>
        <w:rPr>
          <w:snapToGrid/>
          <w:spacing w:val="6"/>
        </w:rPr>
        <w:t>年劳动生产率增长了</w:t>
      </w:r>
      <w:r>
        <w:rPr>
          <w:snapToGrid/>
          <w:spacing w:val="6"/>
        </w:rPr>
        <w:t>2.7%</w:t>
      </w:r>
      <w:r>
        <w:rPr>
          <w:snapToGrid/>
          <w:spacing w:val="6"/>
        </w:rPr>
        <w:t>；采矿、电力、供气和供水</w:t>
      </w:r>
      <w:r>
        <w:rPr>
          <w:snapToGrid/>
          <w:spacing w:val="6"/>
        </w:rPr>
        <w:t>(</w:t>
      </w:r>
      <w:r>
        <w:rPr>
          <w:snapToGrid/>
          <w:spacing w:val="6"/>
        </w:rPr>
        <w:t>这些非劳动密集型部门</w:t>
      </w:r>
      <w:r>
        <w:rPr>
          <w:snapToGrid/>
          <w:spacing w:val="6"/>
        </w:rPr>
        <w:t>)</w:t>
      </w:r>
      <w:r>
        <w:rPr>
          <w:snapToGrid/>
          <w:spacing w:val="6"/>
        </w:rPr>
        <w:t>实现的增长幅度最高。</w:t>
      </w:r>
    </w:p>
    <w:p w:rsidR="00000000" w:rsidRDefault="009C1C61">
      <w:pPr>
        <w:spacing w:after="120"/>
        <w:rPr>
          <w:snapToGrid/>
        </w:rPr>
      </w:pPr>
      <w:r>
        <w:rPr>
          <w:rFonts w:hint="eastAsia"/>
          <w:snapToGrid/>
        </w:rPr>
        <w:tab/>
      </w:r>
      <w:r>
        <w:rPr>
          <w:snapToGrid/>
        </w:rPr>
        <w:t>159.</w:t>
      </w:r>
      <w:r>
        <w:rPr>
          <w:rFonts w:hint="eastAsia"/>
          <w:snapToGrid/>
        </w:rPr>
        <w:t xml:space="preserve">  </w:t>
      </w:r>
      <w:r>
        <w:rPr>
          <w:snapToGrid/>
        </w:rPr>
        <w:t>1989</w:t>
      </w:r>
      <w:r>
        <w:rPr>
          <w:snapToGrid/>
        </w:rPr>
        <w:t>至</w:t>
      </w:r>
      <w:r>
        <w:rPr>
          <w:snapToGrid/>
        </w:rPr>
        <w:t>2000</w:t>
      </w:r>
      <w:r>
        <w:rPr>
          <w:snapToGrid/>
        </w:rPr>
        <w:t>年期间，人均劳动生</w:t>
      </w:r>
      <w:r>
        <w:rPr>
          <w:snapToGrid/>
        </w:rPr>
        <w:t>产率增长了</w:t>
      </w:r>
      <w:r>
        <w:rPr>
          <w:snapToGrid/>
        </w:rPr>
        <w:t>61.5%</w:t>
      </w:r>
      <w:r>
        <w:rPr>
          <w:snapToGrid/>
        </w:rPr>
        <w:t>。这</w:t>
      </w:r>
      <w:r>
        <w:rPr>
          <w:rFonts w:hint="eastAsia"/>
          <w:snapToGrid/>
        </w:rPr>
        <w:t>有</w:t>
      </w:r>
      <w:r>
        <w:rPr>
          <w:snapToGrid/>
        </w:rPr>
        <w:t>两</w:t>
      </w:r>
      <w:r>
        <w:rPr>
          <w:rFonts w:hint="eastAsia"/>
          <w:snapToGrid/>
        </w:rPr>
        <w:t>重含义</w:t>
      </w:r>
      <w:r>
        <w:rPr>
          <w:snapToGrid/>
        </w:rPr>
        <w:t>：第一，</w:t>
      </w:r>
      <w:r>
        <w:rPr>
          <w:rFonts w:hint="eastAsia"/>
          <w:snapToGrid/>
        </w:rPr>
        <w:t>为了</w:t>
      </w:r>
      <w:r>
        <w:rPr>
          <w:snapToGrid/>
        </w:rPr>
        <w:t>实现</w:t>
      </w:r>
      <w:r>
        <w:rPr>
          <w:rFonts w:hint="eastAsia"/>
          <w:snapToGrid/>
        </w:rPr>
        <w:t>与</w:t>
      </w:r>
      <w:r>
        <w:rPr>
          <w:snapToGrid/>
        </w:rPr>
        <w:t>劳动力的增长</w:t>
      </w:r>
      <w:r>
        <w:rPr>
          <w:rFonts w:hint="eastAsia"/>
          <w:snapToGrid/>
        </w:rPr>
        <w:t>相适应的就业岗位</w:t>
      </w:r>
      <w:r>
        <w:rPr>
          <w:snapToGrid/>
        </w:rPr>
        <w:t>创造率，</w:t>
      </w:r>
      <w:r>
        <w:rPr>
          <w:rFonts w:hint="eastAsia"/>
          <w:snapToGrid/>
        </w:rPr>
        <w:t>而且也为</w:t>
      </w:r>
      <w:r>
        <w:rPr>
          <w:snapToGrid/>
        </w:rPr>
        <w:t>了将失业率保持在可接受的水平</w:t>
      </w:r>
      <w:r>
        <w:rPr>
          <w:rFonts w:hint="eastAsia"/>
          <w:snapToGrid/>
        </w:rPr>
        <w:t>，生产增长率必须提高</w:t>
      </w:r>
      <w:r>
        <w:rPr>
          <w:snapToGrid/>
        </w:rPr>
        <w:t>；第二，生产率增长，</w:t>
      </w:r>
      <w:r>
        <w:rPr>
          <w:rFonts w:hint="eastAsia"/>
          <w:snapToGrid/>
        </w:rPr>
        <w:t>就</w:t>
      </w:r>
      <w:r>
        <w:rPr>
          <w:snapToGrid/>
        </w:rPr>
        <w:t>可实现实际工资的上调，而不会产生通货膨胀的压力</w:t>
      </w:r>
      <w:r>
        <w:rPr>
          <w:snapToGrid/>
        </w:rPr>
        <w:t>(</w:t>
      </w:r>
      <w:r>
        <w:rPr>
          <w:snapToGrid/>
        </w:rPr>
        <w:t>表</w:t>
      </w:r>
      <w:r>
        <w:rPr>
          <w:snapToGrid/>
        </w:rPr>
        <w:t>8)</w:t>
      </w:r>
      <w:r>
        <w:rPr>
          <w:snapToGrid/>
        </w:rPr>
        <w:t>。</w:t>
      </w:r>
    </w:p>
    <w:p w:rsidR="00000000" w:rsidRDefault="009C1C61">
      <w:pPr>
        <w:pStyle w:val="Heading3"/>
        <w:spacing w:after="120"/>
        <w:rPr>
          <w:rFonts w:ascii="Time New Roman" w:hAnsi="Time New Roman"/>
        </w:rPr>
      </w:pPr>
      <w:r>
        <w:rPr>
          <w:rFonts w:ascii="Time New Roman" w:hAnsi="Time New Roman" w:hint="eastAsia"/>
        </w:rPr>
        <w:t>表</w:t>
      </w:r>
      <w:r>
        <w:rPr>
          <w:rFonts w:ascii="Time New Roman" w:hAnsi="Time New Roman" w:hint="eastAsia"/>
        </w:rPr>
        <w:t xml:space="preserve">  </w:t>
      </w:r>
      <w:r>
        <w:rPr>
          <w:rFonts w:ascii="Time New Roman" w:hAnsi="Time New Roman"/>
          <w:b/>
        </w:rPr>
        <w:t>8</w:t>
      </w:r>
      <w:r>
        <w:rPr>
          <w:rFonts w:ascii="Time New Roman" w:hAnsi="Time New Roman"/>
          <w:b/>
        </w:rPr>
        <w:br/>
        <w:t>1989</w:t>
      </w:r>
      <w:r>
        <w:rPr>
          <w:rFonts w:ascii="Time New Roman" w:hAnsi="Time New Roman"/>
        </w:rPr>
        <w:t>年至</w:t>
      </w:r>
      <w:r>
        <w:rPr>
          <w:rFonts w:ascii="Time New Roman" w:hAnsi="Time New Roman"/>
          <w:b/>
        </w:rPr>
        <w:t>2000</w:t>
      </w:r>
      <w:r>
        <w:rPr>
          <w:rFonts w:ascii="Time New Roman" w:hAnsi="Time New Roman"/>
        </w:rPr>
        <w:t>年在职雇员人均生产率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9"/>
        <w:gridCol w:w="3681"/>
        <w:gridCol w:w="4050"/>
      </w:tblGrid>
      <w:tr w:rsidR="00000000">
        <w:tc>
          <w:tcPr>
            <w:tcW w:w="961" w:type="pct"/>
            <w:tcBorders>
              <w:bottom w:val="single" w:sz="4" w:space="0" w:color="auto"/>
            </w:tcBorders>
          </w:tcPr>
          <w:p w:rsidR="00000000" w:rsidRDefault="009C1C61">
            <w:pPr>
              <w:pStyle w:val="a2"/>
              <w:spacing w:before="120"/>
              <w:jc w:val="center"/>
              <w:rPr>
                <w:rFonts w:hint="eastAsia"/>
                <w:snapToGrid/>
              </w:rPr>
            </w:pPr>
            <w:r>
              <w:rPr>
                <w:rFonts w:hint="eastAsia"/>
                <w:snapToGrid/>
              </w:rPr>
              <w:t>年份</w:t>
            </w:r>
          </w:p>
        </w:tc>
        <w:tc>
          <w:tcPr>
            <w:tcW w:w="1923" w:type="pct"/>
            <w:tcBorders>
              <w:bottom w:val="single" w:sz="4" w:space="0" w:color="auto"/>
            </w:tcBorders>
          </w:tcPr>
          <w:p w:rsidR="00000000" w:rsidRDefault="009C1C61">
            <w:pPr>
              <w:pStyle w:val="a2"/>
              <w:spacing w:before="120"/>
              <w:jc w:val="center"/>
              <w:rPr>
                <w:snapToGrid/>
              </w:rPr>
            </w:pPr>
            <w:r>
              <w:rPr>
                <w:rFonts w:hint="eastAsia"/>
                <w:snapToGrid/>
              </w:rPr>
              <w:t>生产率</w:t>
            </w:r>
            <w:r>
              <w:rPr>
                <w:snapToGrid/>
              </w:rPr>
              <w:br/>
              <w:t>(</w:t>
            </w:r>
            <w:r>
              <w:rPr>
                <w:b/>
                <w:snapToGrid/>
              </w:rPr>
              <w:t>1989</w:t>
            </w:r>
            <w:r>
              <w:rPr>
                <w:rFonts w:hint="eastAsia"/>
                <w:snapToGrid/>
              </w:rPr>
              <w:t>年</w:t>
            </w:r>
            <w:r>
              <w:rPr>
                <w:snapToGrid/>
              </w:rPr>
              <w:t xml:space="preserve"> = </w:t>
            </w:r>
            <w:r>
              <w:rPr>
                <w:b/>
                <w:snapToGrid/>
              </w:rPr>
              <w:t>100</w:t>
            </w:r>
            <w:r>
              <w:rPr>
                <w:snapToGrid/>
              </w:rPr>
              <w:t>)</w:t>
            </w:r>
          </w:p>
        </w:tc>
        <w:tc>
          <w:tcPr>
            <w:tcW w:w="2116" w:type="pct"/>
            <w:tcBorders>
              <w:bottom w:val="single" w:sz="4" w:space="0" w:color="auto"/>
            </w:tcBorders>
          </w:tcPr>
          <w:p w:rsidR="00000000" w:rsidRDefault="009C1C61">
            <w:pPr>
              <w:pStyle w:val="a2"/>
              <w:spacing w:before="120"/>
              <w:jc w:val="center"/>
              <w:rPr>
                <w:rFonts w:ascii="Time New Roman" w:eastAsia="SimHei" w:hAnsi="Time New Roman"/>
                <w:snapToGrid/>
              </w:rPr>
            </w:pPr>
            <w:r>
              <w:rPr>
                <w:rFonts w:ascii="Time New Roman" w:eastAsia="SimHei" w:hAnsi="Time New Roman" w:hint="eastAsia"/>
                <w:snapToGrid/>
              </w:rPr>
              <w:t>年变动率</w:t>
            </w:r>
            <w:r>
              <w:rPr>
                <w:rFonts w:ascii="Time New Roman" w:eastAsia="SimHei" w:hAnsi="Time New Roman"/>
                <w:snapToGrid/>
              </w:rPr>
              <w:t xml:space="preserve"> (%)</w:t>
            </w:r>
          </w:p>
        </w:tc>
      </w:tr>
      <w:tr w:rsidR="00000000">
        <w:tc>
          <w:tcPr>
            <w:tcW w:w="961" w:type="pct"/>
            <w:tcBorders>
              <w:bottom w:val="nil"/>
            </w:tcBorders>
          </w:tcPr>
          <w:p w:rsidR="00000000" w:rsidRDefault="009C1C61">
            <w:pPr>
              <w:pStyle w:val="a2"/>
              <w:jc w:val="center"/>
              <w:rPr>
                <w:snapToGrid/>
              </w:rPr>
            </w:pPr>
            <w:r>
              <w:rPr>
                <w:snapToGrid/>
              </w:rPr>
              <w:t>1989</w:t>
            </w:r>
          </w:p>
        </w:tc>
        <w:tc>
          <w:tcPr>
            <w:tcW w:w="1923" w:type="pct"/>
            <w:tcBorders>
              <w:bottom w:val="nil"/>
            </w:tcBorders>
          </w:tcPr>
          <w:p w:rsidR="00000000" w:rsidRDefault="009C1C61">
            <w:pPr>
              <w:pStyle w:val="a2"/>
              <w:jc w:val="center"/>
              <w:rPr>
                <w:snapToGrid/>
              </w:rPr>
            </w:pPr>
            <w:r>
              <w:rPr>
                <w:snapToGrid/>
              </w:rPr>
              <w:t>100,0</w:t>
            </w:r>
          </w:p>
        </w:tc>
        <w:tc>
          <w:tcPr>
            <w:tcW w:w="2116" w:type="pct"/>
            <w:tcBorders>
              <w:bottom w:val="nil"/>
            </w:tcBorders>
          </w:tcPr>
          <w:p w:rsidR="00000000" w:rsidRDefault="009C1C61">
            <w:pPr>
              <w:pStyle w:val="a2"/>
              <w:jc w:val="center"/>
              <w:rPr>
                <w:snapToGrid/>
              </w:rPr>
            </w:pPr>
            <w:r>
              <w:rPr>
                <w:snapToGrid/>
              </w:rPr>
              <w:t>4,6</w:t>
            </w:r>
          </w:p>
        </w:tc>
      </w:tr>
      <w:tr w:rsidR="00000000">
        <w:tc>
          <w:tcPr>
            <w:tcW w:w="961" w:type="pct"/>
            <w:tcBorders>
              <w:top w:val="nil"/>
              <w:bottom w:val="nil"/>
            </w:tcBorders>
          </w:tcPr>
          <w:p w:rsidR="00000000" w:rsidRDefault="009C1C61">
            <w:pPr>
              <w:pStyle w:val="a2"/>
              <w:jc w:val="center"/>
              <w:rPr>
                <w:snapToGrid/>
              </w:rPr>
            </w:pPr>
            <w:r>
              <w:rPr>
                <w:snapToGrid/>
              </w:rPr>
              <w:t>1990</w:t>
            </w:r>
          </w:p>
        </w:tc>
        <w:tc>
          <w:tcPr>
            <w:tcW w:w="1923" w:type="pct"/>
            <w:tcBorders>
              <w:top w:val="nil"/>
              <w:bottom w:val="nil"/>
            </w:tcBorders>
          </w:tcPr>
          <w:p w:rsidR="00000000" w:rsidRDefault="009C1C61">
            <w:pPr>
              <w:pStyle w:val="a2"/>
              <w:jc w:val="center"/>
              <w:rPr>
                <w:snapToGrid/>
              </w:rPr>
            </w:pPr>
            <w:r>
              <w:rPr>
                <w:snapToGrid/>
              </w:rPr>
              <w:t>101,2</w:t>
            </w:r>
          </w:p>
        </w:tc>
        <w:tc>
          <w:tcPr>
            <w:tcW w:w="2116" w:type="pct"/>
            <w:tcBorders>
              <w:top w:val="nil"/>
              <w:bottom w:val="nil"/>
            </w:tcBorders>
          </w:tcPr>
          <w:p w:rsidR="00000000" w:rsidRDefault="009C1C61">
            <w:pPr>
              <w:pStyle w:val="a2"/>
              <w:jc w:val="center"/>
              <w:rPr>
                <w:snapToGrid/>
              </w:rPr>
            </w:pPr>
            <w:r>
              <w:rPr>
                <w:snapToGrid/>
              </w:rPr>
              <w:t>1,2</w:t>
            </w:r>
          </w:p>
        </w:tc>
      </w:tr>
      <w:tr w:rsidR="00000000">
        <w:tc>
          <w:tcPr>
            <w:tcW w:w="961" w:type="pct"/>
            <w:tcBorders>
              <w:top w:val="nil"/>
              <w:bottom w:val="nil"/>
            </w:tcBorders>
          </w:tcPr>
          <w:p w:rsidR="00000000" w:rsidRDefault="009C1C61">
            <w:pPr>
              <w:pStyle w:val="a2"/>
              <w:jc w:val="center"/>
              <w:rPr>
                <w:snapToGrid/>
              </w:rPr>
            </w:pPr>
            <w:r>
              <w:rPr>
                <w:snapToGrid/>
              </w:rPr>
              <w:t>1991</w:t>
            </w:r>
          </w:p>
        </w:tc>
        <w:tc>
          <w:tcPr>
            <w:tcW w:w="1923" w:type="pct"/>
            <w:tcBorders>
              <w:top w:val="nil"/>
              <w:bottom w:val="nil"/>
            </w:tcBorders>
          </w:tcPr>
          <w:p w:rsidR="00000000" w:rsidRDefault="009C1C61">
            <w:pPr>
              <w:pStyle w:val="a2"/>
              <w:jc w:val="center"/>
              <w:rPr>
                <w:snapToGrid/>
              </w:rPr>
            </w:pPr>
            <w:r>
              <w:rPr>
                <w:snapToGrid/>
              </w:rPr>
              <w:t>107,8</w:t>
            </w:r>
          </w:p>
        </w:tc>
        <w:tc>
          <w:tcPr>
            <w:tcW w:w="2116" w:type="pct"/>
            <w:tcBorders>
              <w:top w:val="nil"/>
              <w:bottom w:val="nil"/>
            </w:tcBorders>
          </w:tcPr>
          <w:p w:rsidR="00000000" w:rsidRDefault="009C1C61">
            <w:pPr>
              <w:pStyle w:val="a2"/>
              <w:jc w:val="center"/>
              <w:rPr>
                <w:snapToGrid/>
              </w:rPr>
            </w:pPr>
            <w:r>
              <w:rPr>
                <w:snapToGrid/>
              </w:rPr>
              <w:t>6,5</w:t>
            </w:r>
          </w:p>
        </w:tc>
      </w:tr>
      <w:tr w:rsidR="00000000">
        <w:tc>
          <w:tcPr>
            <w:tcW w:w="961" w:type="pct"/>
            <w:tcBorders>
              <w:top w:val="nil"/>
              <w:bottom w:val="nil"/>
            </w:tcBorders>
          </w:tcPr>
          <w:p w:rsidR="00000000" w:rsidRDefault="009C1C61">
            <w:pPr>
              <w:pStyle w:val="a2"/>
              <w:jc w:val="center"/>
              <w:rPr>
                <w:snapToGrid/>
              </w:rPr>
            </w:pPr>
            <w:r>
              <w:rPr>
                <w:snapToGrid/>
              </w:rPr>
              <w:t>1992</w:t>
            </w:r>
          </w:p>
        </w:tc>
        <w:tc>
          <w:tcPr>
            <w:tcW w:w="1923" w:type="pct"/>
            <w:tcBorders>
              <w:top w:val="nil"/>
              <w:bottom w:val="nil"/>
            </w:tcBorders>
          </w:tcPr>
          <w:p w:rsidR="00000000" w:rsidRDefault="009C1C61">
            <w:pPr>
              <w:pStyle w:val="a2"/>
              <w:jc w:val="center"/>
              <w:rPr>
                <w:snapToGrid/>
              </w:rPr>
            </w:pPr>
            <w:r>
              <w:rPr>
                <w:snapToGrid/>
              </w:rPr>
              <w:t>115,9</w:t>
            </w:r>
          </w:p>
        </w:tc>
        <w:tc>
          <w:tcPr>
            <w:tcW w:w="2116" w:type="pct"/>
            <w:tcBorders>
              <w:top w:val="nil"/>
              <w:bottom w:val="nil"/>
            </w:tcBorders>
          </w:tcPr>
          <w:p w:rsidR="00000000" w:rsidRDefault="009C1C61">
            <w:pPr>
              <w:pStyle w:val="a2"/>
              <w:jc w:val="center"/>
              <w:rPr>
                <w:snapToGrid/>
              </w:rPr>
            </w:pPr>
            <w:r>
              <w:rPr>
                <w:snapToGrid/>
              </w:rPr>
              <w:t>7,6</w:t>
            </w:r>
          </w:p>
        </w:tc>
      </w:tr>
      <w:tr w:rsidR="00000000">
        <w:tc>
          <w:tcPr>
            <w:tcW w:w="961" w:type="pct"/>
            <w:tcBorders>
              <w:top w:val="nil"/>
              <w:bottom w:val="nil"/>
            </w:tcBorders>
          </w:tcPr>
          <w:p w:rsidR="00000000" w:rsidRDefault="009C1C61">
            <w:pPr>
              <w:pStyle w:val="a2"/>
              <w:jc w:val="center"/>
              <w:rPr>
                <w:snapToGrid/>
              </w:rPr>
            </w:pPr>
            <w:r>
              <w:rPr>
                <w:snapToGrid/>
              </w:rPr>
              <w:t>1993</w:t>
            </w:r>
          </w:p>
        </w:tc>
        <w:tc>
          <w:tcPr>
            <w:tcW w:w="1923" w:type="pct"/>
            <w:tcBorders>
              <w:top w:val="nil"/>
              <w:bottom w:val="nil"/>
            </w:tcBorders>
          </w:tcPr>
          <w:p w:rsidR="00000000" w:rsidRDefault="009C1C61">
            <w:pPr>
              <w:pStyle w:val="a2"/>
              <w:jc w:val="center"/>
              <w:rPr>
                <w:snapToGrid/>
              </w:rPr>
            </w:pPr>
            <w:r>
              <w:rPr>
                <w:snapToGrid/>
              </w:rPr>
              <w:t>117,2</w:t>
            </w:r>
          </w:p>
        </w:tc>
        <w:tc>
          <w:tcPr>
            <w:tcW w:w="2116" w:type="pct"/>
            <w:tcBorders>
              <w:top w:val="nil"/>
              <w:bottom w:val="nil"/>
            </w:tcBorders>
          </w:tcPr>
          <w:p w:rsidR="00000000" w:rsidRDefault="009C1C61">
            <w:pPr>
              <w:pStyle w:val="a2"/>
              <w:jc w:val="center"/>
              <w:rPr>
                <w:snapToGrid/>
              </w:rPr>
            </w:pPr>
            <w:r>
              <w:rPr>
                <w:snapToGrid/>
              </w:rPr>
              <w:t>1,1</w:t>
            </w:r>
          </w:p>
        </w:tc>
      </w:tr>
      <w:tr w:rsidR="00000000">
        <w:tc>
          <w:tcPr>
            <w:tcW w:w="961" w:type="pct"/>
            <w:tcBorders>
              <w:top w:val="nil"/>
              <w:bottom w:val="nil"/>
            </w:tcBorders>
          </w:tcPr>
          <w:p w:rsidR="00000000" w:rsidRDefault="009C1C61">
            <w:pPr>
              <w:pStyle w:val="a2"/>
              <w:jc w:val="center"/>
              <w:rPr>
                <w:snapToGrid/>
              </w:rPr>
            </w:pPr>
            <w:r>
              <w:rPr>
                <w:snapToGrid/>
              </w:rPr>
              <w:t>1994</w:t>
            </w:r>
          </w:p>
        </w:tc>
        <w:tc>
          <w:tcPr>
            <w:tcW w:w="1923" w:type="pct"/>
            <w:tcBorders>
              <w:top w:val="nil"/>
              <w:bottom w:val="nil"/>
            </w:tcBorders>
          </w:tcPr>
          <w:p w:rsidR="00000000" w:rsidRDefault="009C1C61">
            <w:pPr>
              <w:pStyle w:val="a2"/>
              <w:jc w:val="center"/>
              <w:rPr>
                <w:snapToGrid/>
              </w:rPr>
            </w:pPr>
            <w:r>
              <w:rPr>
                <w:snapToGrid/>
              </w:rPr>
              <w:t>12</w:t>
            </w:r>
            <w:r>
              <w:rPr>
                <w:snapToGrid/>
              </w:rPr>
              <w:t>2,5</w:t>
            </w:r>
          </w:p>
        </w:tc>
        <w:tc>
          <w:tcPr>
            <w:tcW w:w="2116" w:type="pct"/>
            <w:tcBorders>
              <w:top w:val="nil"/>
              <w:bottom w:val="nil"/>
            </w:tcBorders>
          </w:tcPr>
          <w:p w:rsidR="00000000" w:rsidRDefault="009C1C61">
            <w:pPr>
              <w:pStyle w:val="a2"/>
              <w:jc w:val="center"/>
              <w:rPr>
                <w:snapToGrid/>
              </w:rPr>
            </w:pPr>
            <w:r>
              <w:rPr>
                <w:snapToGrid/>
              </w:rPr>
              <w:t>4,5</w:t>
            </w:r>
          </w:p>
        </w:tc>
      </w:tr>
      <w:tr w:rsidR="00000000">
        <w:tc>
          <w:tcPr>
            <w:tcW w:w="961" w:type="pct"/>
            <w:tcBorders>
              <w:top w:val="nil"/>
              <w:bottom w:val="nil"/>
            </w:tcBorders>
          </w:tcPr>
          <w:p w:rsidR="00000000" w:rsidRDefault="009C1C61">
            <w:pPr>
              <w:pStyle w:val="a2"/>
              <w:jc w:val="center"/>
              <w:rPr>
                <w:snapToGrid/>
              </w:rPr>
            </w:pPr>
            <w:r>
              <w:rPr>
                <w:snapToGrid/>
              </w:rPr>
              <w:t>1995</w:t>
            </w:r>
          </w:p>
        </w:tc>
        <w:tc>
          <w:tcPr>
            <w:tcW w:w="1923" w:type="pct"/>
            <w:tcBorders>
              <w:top w:val="nil"/>
              <w:bottom w:val="nil"/>
            </w:tcBorders>
          </w:tcPr>
          <w:p w:rsidR="00000000" w:rsidRDefault="009C1C61">
            <w:pPr>
              <w:pStyle w:val="a2"/>
              <w:jc w:val="center"/>
              <w:rPr>
                <w:snapToGrid/>
              </w:rPr>
            </w:pPr>
            <w:r>
              <w:rPr>
                <w:snapToGrid/>
              </w:rPr>
              <w:t>134,0</w:t>
            </w:r>
          </w:p>
        </w:tc>
        <w:tc>
          <w:tcPr>
            <w:tcW w:w="2116" w:type="pct"/>
            <w:tcBorders>
              <w:top w:val="nil"/>
              <w:bottom w:val="nil"/>
            </w:tcBorders>
          </w:tcPr>
          <w:p w:rsidR="00000000" w:rsidRDefault="009C1C61">
            <w:pPr>
              <w:pStyle w:val="a2"/>
              <w:jc w:val="center"/>
              <w:rPr>
                <w:snapToGrid/>
              </w:rPr>
            </w:pPr>
            <w:r>
              <w:rPr>
                <w:snapToGrid/>
              </w:rPr>
              <w:t>9,4</w:t>
            </w:r>
          </w:p>
        </w:tc>
      </w:tr>
      <w:tr w:rsidR="00000000">
        <w:tc>
          <w:tcPr>
            <w:tcW w:w="961" w:type="pct"/>
            <w:tcBorders>
              <w:top w:val="nil"/>
              <w:bottom w:val="nil"/>
            </w:tcBorders>
          </w:tcPr>
          <w:p w:rsidR="00000000" w:rsidRDefault="009C1C61">
            <w:pPr>
              <w:pStyle w:val="a2"/>
              <w:jc w:val="center"/>
              <w:rPr>
                <w:snapToGrid/>
              </w:rPr>
            </w:pPr>
            <w:r>
              <w:rPr>
                <w:snapToGrid/>
              </w:rPr>
              <w:t>1996</w:t>
            </w:r>
          </w:p>
        </w:tc>
        <w:tc>
          <w:tcPr>
            <w:tcW w:w="1923" w:type="pct"/>
            <w:tcBorders>
              <w:top w:val="nil"/>
              <w:bottom w:val="nil"/>
            </w:tcBorders>
          </w:tcPr>
          <w:p w:rsidR="00000000" w:rsidRDefault="009C1C61">
            <w:pPr>
              <w:pStyle w:val="a2"/>
              <w:jc w:val="center"/>
              <w:rPr>
                <w:snapToGrid/>
              </w:rPr>
            </w:pPr>
            <w:r>
              <w:rPr>
                <w:snapToGrid/>
              </w:rPr>
              <w:t>141,9</w:t>
            </w:r>
          </w:p>
        </w:tc>
        <w:tc>
          <w:tcPr>
            <w:tcW w:w="2116" w:type="pct"/>
            <w:tcBorders>
              <w:top w:val="nil"/>
              <w:bottom w:val="nil"/>
            </w:tcBorders>
          </w:tcPr>
          <w:p w:rsidR="00000000" w:rsidRDefault="009C1C61">
            <w:pPr>
              <w:pStyle w:val="a2"/>
              <w:jc w:val="center"/>
              <w:rPr>
                <w:snapToGrid/>
              </w:rPr>
            </w:pPr>
            <w:r>
              <w:rPr>
                <w:snapToGrid/>
              </w:rPr>
              <w:t>5,9</w:t>
            </w:r>
          </w:p>
        </w:tc>
      </w:tr>
      <w:tr w:rsidR="00000000">
        <w:tc>
          <w:tcPr>
            <w:tcW w:w="961" w:type="pct"/>
            <w:tcBorders>
              <w:top w:val="nil"/>
              <w:bottom w:val="nil"/>
            </w:tcBorders>
          </w:tcPr>
          <w:p w:rsidR="00000000" w:rsidRDefault="009C1C61">
            <w:pPr>
              <w:pStyle w:val="a2"/>
              <w:jc w:val="center"/>
              <w:rPr>
                <w:snapToGrid/>
              </w:rPr>
            </w:pPr>
            <w:r>
              <w:rPr>
                <w:snapToGrid/>
              </w:rPr>
              <w:t>1997</w:t>
            </w:r>
          </w:p>
        </w:tc>
        <w:tc>
          <w:tcPr>
            <w:tcW w:w="1923" w:type="pct"/>
            <w:tcBorders>
              <w:top w:val="nil"/>
              <w:bottom w:val="nil"/>
            </w:tcBorders>
          </w:tcPr>
          <w:p w:rsidR="00000000" w:rsidRDefault="009C1C61">
            <w:pPr>
              <w:pStyle w:val="a2"/>
              <w:jc w:val="center"/>
              <w:rPr>
                <w:snapToGrid/>
              </w:rPr>
            </w:pPr>
            <w:r>
              <w:rPr>
                <w:snapToGrid/>
              </w:rPr>
              <w:t>149,2</w:t>
            </w:r>
          </w:p>
        </w:tc>
        <w:tc>
          <w:tcPr>
            <w:tcW w:w="2116" w:type="pct"/>
            <w:tcBorders>
              <w:top w:val="nil"/>
              <w:bottom w:val="nil"/>
            </w:tcBorders>
          </w:tcPr>
          <w:p w:rsidR="00000000" w:rsidRDefault="009C1C61">
            <w:pPr>
              <w:pStyle w:val="a2"/>
              <w:jc w:val="center"/>
              <w:rPr>
                <w:snapToGrid/>
              </w:rPr>
            </w:pPr>
            <w:r>
              <w:rPr>
                <w:snapToGrid/>
              </w:rPr>
              <w:t>5,1</w:t>
            </w:r>
          </w:p>
        </w:tc>
      </w:tr>
      <w:tr w:rsidR="00000000">
        <w:tc>
          <w:tcPr>
            <w:tcW w:w="961" w:type="pct"/>
            <w:tcBorders>
              <w:top w:val="nil"/>
              <w:bottom w:val="nil"/>
            </w:tcBorders>
          </w:tcPr>
          <w:p w:rsidR="00000000" w:rsidRDefault="009C1C61">
            <w:pPr>
              <w:pStyle w:val="a2"/>
              <w:jc w:val="center"/>
              <w:rPr>
                <w:snapToGrid/>
              </w:rPr>
            </w:pPr>
            <w:r>
              <w:rPr>
                <w:snapToGrid/>
              </w:rPr>
              <w:t>1998</w:t>
            </w:r>
          </w:p>
        </w:tc>
        <w:tc>
          <w:tcPr>
            <w:tcW w:w="1923" w:type="pct"/>
            <w:tcBorders>
              <w:top w:val="nil"/>
              <w:bottom w:val="nil"/>
            </w:tcBorders>
          </w:tcPr>
          <w:p w:rsidR="00000000" w:rsidRDefault="009C1C61">
            <w:pPr>
              <w:pStyle w:val="a2"/>
              <w:jc w:val="center"/>
              <w:rPr>
                <w:snapToGrid/>
              </w:rPr>
            </w:pPr>
            <w:r>
              <w:rPr>
                <w:snapToGrid/>
              </w:rPr>
              <w:t>152,3</w:t>
            </w:r>
          </w:p>
        </w:tc>
        <w:tc>
          <w:tcPr>
            <w:tcW w:w="2116" w:type="pct"/>
            <w:tcBorders>
              <w:top w:val="nil"/>
              <w:bottom w:val="nil"/>
            </w:tcBorders>
          </w:tcPr>
          <w:p w:rsidR="00000000" w:rsidRDefault="009C1C61">
            <w:pPr>
              <w:pStyle w:val="a2"/>
              <w:jc w:val="center"/>
              <w:rPr>
                <w:snapToGrid/>
              </w:rPr>
            </w:pPr>
            <w:r>
              <w:rPr>
                <w:snapToGrid/>
              </w:rPr>
              <w:t>2,1</w:t>
            </w:r>
          </w:p>
        </w:tc>
      </w:tr>
      <w:tr w:rsidR="00000000">
        <w:tc>
          <w:tcPr>
            <w:tcW w:w="961" w:type="pct"/>
            <w:tcBorders>
              <w:top w:val="nil"/>
              <w:bottom w:val="nil"/>
            </w:tcBorders>
          </w:tcPr>
          <w:p w:rsidR="00000000" w:rsidRDefault="009C1C61">
            <w:pPr>
              <w:pStyle w:val="a2"/>
              <w:jc w:val="center"/>
              <w:rPr>
                <w:snapToGrid/>
              </w:rPr>
            </w:pPr>
            <w:r>
              <w:rPr>
                <w:snapToGrid/>
              </w:rPr>
              <w:t>1999</w:t>
            </w:r>
          </w:p>
        </w:tc>
        <w:tc>
          <w:tcPr>
            <w:tcW w:w="1923" w:type="pct"/>
            <w:tcBorders>
              <w:top w:val="nil"/>
              <w:bottom w:val="nil"/>
            </w:tcBorders>
          </w:tcPr>
          <w:p w:rsidR="00000000" w:rsidRDefault="009C1C61">
            <w:pPr>
              <w:pStyle w:val="a2"/>
              <w:jc w:val="center"/>
              <w:rPr>
                <w:snapToGrid/>
              </w:rPr>
            </w:pPr>
            <w:r>
              <w:rPr>
                <w:snapToGrid/>
              </w:rPr>
              <w:t>153,8</w:t>
            </w:r>
          </w:p>
        </w:tc>
        <w:tc>
          <w:tcPr>
            <w:tcW w:w="2116" w:type="pct"/>
            <w:tcBorders>
              <w:top w:val="nil"/>
              <w:bottom w:val="nil"/>
            </w:tcBorders>
          </w:tcPr>
          <w:p w:rsidR="00000000" w:rsidRDefault="009C1C61">
            <w:pPr>
              <w:pStyle w:val="a2"/>
              <w:jc w:val="center"/>
              <w:rPr>
                <w:snapToGrid/>
              </w:rPr>
            </w:pPr>
            <w:r>
              <w:rPr>
                <w:snapToGrid/>
              </w:rPr>
              <w:t>1,0</w:t>
            </w:r>
          </w:p>
        </w:tc>
      </w:tr>
      <w:tr w:rsidR="00000000">
        <w:tc>
          <w:tcPr>
            <w:tcW w:w="961" w:type="pct"/>
            <w:tcBorders>
              <w:top w:val="nil"/>
            </w:tcBorders>
          </w:tcPr>
          <w:p w:rsidR="00000000" w:rsidRDefault="009C1C61">
            <w:pPr>
              <w:pStyle w:val="a2"/>
              <w:jc w:val="center"/>
              <w:rPr>
                <w:snapToGrid/>
              </w:rPr>
            </w:pPr>
            <w:r>
              <w:rPr>
                <w:snapToGrid/>
              </w:rPr>
              <w:t>2000</w:t>
            </w:r>
          </w:p>
        </w:tc>
        <w:tc>
          <w:tcPr>
            <w:tcW w:w="1923" w:type="pct"/>
            <w:tcBorders>
              <w:top w:val="nil"/>
            </w:tcBorders>
          </w:tcPr>
          <w:p w:rsidR="00000000" w:rsidRDefault="009C1C61">
            <w:pPr>
              <w:pStyle w:val="a2"/>
              <w:jc w:val="center"/>
              <w:rPr>
                <w:snapToGrid/>
              </w:rPr>
            </w:pPr>
            <w:r>
              <w:rPr>
                <w:snapToGrid/>
              </w:rPr>
              <w:t>161,5</w:t>
            </w:r>
          </w:p>
        </w:tc>
        <w:tc>
          <w:tcPr>
            <w:tcW w:w="2116" w:type="pct"/>
            <w:tcBorders>
              <w:top w:val="nil"/>
            </w:tcBorders>
          </w:tcPr>
          <w:p w:rsidR="00000000" w:rsidRDefault="009C1C61">
            <w:pPr>
              <w:pStyle w:val="a2"/>
              <w:jc w:val="center"/>
              <w:rPr>
                <w:snapToGrid/>
              </w:rPr>
            </w:pPr>
            <w:r>
              <w:rPr>
                <w:snapToGrid/>
              </w:rPr>
              <w:t>5,0</w:t>
            </w:r>
          </w:p>
        </w:tc>
      </w:tr>
    </w:tbl>
    <w:p w:rsidR="00000000" w:rsidRDefault="009C1C61">
      <w:pPr>
        <w:spacing w:before="120"/>
        <w:ind w:left="420"/>
        <w:rPr>
          <w:snapToGrid/>
          <w:sz w:val="20"/>
        </w:rPr>
      </w:pPr>
      <w:r>
        <w:rPr>
          <w:rFonts w:eastAsia="KaiTi_GB2312" w:hint="eastAsia"/>
          <w:snapToGrid/>
          <w:spacing w:val="0"/>
          <w:sz w:val="20"/>
          <w:u w:val="single"/>
        </w:rPr>
        <w:t>资</w:t>
      </w:r>
      <w:r>
        <w:rPr>
          <w:rFonts w:eastAsia="KaiTi_GB2312" w:hint="eastAsia"/>
          <w:snapToGrid/>
          <w:spacing w:val="0"/>
          <w:u w:val="single"/>
        </w:rPr>
        <w:t>料来源</w:t>
      </w:r>
      <w:r>
        <w:rPr>
          <w:rFonts w:eastAsia="KaiTi_GB2312" w:hint="eastAsia"/>
          <w:snapToGrid/>
          <w:spacing w:val="0"/>
        </w:rPr>
        <w:t>：智利中央银行、国家统计局，“</w:t>
      </w:r>
      <w:r>
        <w:rPr>
          <w:rFonts w:eastAsia="KaiTi_GB2312"/>
          <w:snapToGrid/>
          <w:spacing w:val="0"/>
        </w:rPr>
        <w:t>1990</w:t>
      </w:r>
      <w:r>
        <w:rPr>
          <w:rFonts w:eastAsia="KaiTi_GB2312"/>
          <w:snapToGrid/>
          <w:spacing w:val="0"/>
        </w:rPr>
        <w:t>至</w:t>
      </w:r>
      <w:r>
        <w:rPr>
          <w:rFonts w:eastAsia="KaiTi_GB2312"/>
          <w:snapToGrid/>
          <w:spacing w:val="0"/>
        </w:rPr>
        <w:t>2000</w:t>
      </w:r>
      <w:r>
        <w:rPr>
          <w:rFonts w:eastAsia="KaiTi_GB2312"/>
          <w:snapToGrid/>
          <w:spacing w:val="0"/>
        </w:rPr>
        <w:t>年经济社会指</w:t>
      </w:r>
      <w:r>
        <w:rPr>
          <w:rFonts w:eastAsia="KaiTi_GB2312" w:hint="eastAsia"/>
          <w:snapToGrid/>
          <w:spacing w:val="0"/>
        </w:rPr>
        <w:t>标”</w:t>
      </w:r>
      <w:r>
        <w:rPr>
          <w:rFonts w:eastAsia="KaiTi_GB2312"/>
          <w:snapToGrid/>
          <w:spacing w:val="0"/>
        </w:rPr>
        <w:t>，</w:t>
      </w:r>
      <w:r>
        <w:rPr>
          <w:rFonts w:eastAsia="KaiTi_GB2312" w:hint="eastAsia"/>
          <w:snapToGrid/>
          <w:spacing w:val="0"/>
        </w:rPr>
        <w:t>规合部</w:t>
      </w:r>
      <w:r>
        <w:rPr>
          <w:rFonts w:eastAsia="KaiTi_GB2312"/>
          <w:snapToGrid/>
          <w:spacing w:val="0"/>
        </w:rPr>
        <w:t>。</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旨在保障自由选择就业的措施</w:t>
      </w:r>
    </w:p>
    <w:p w:rsidR="00000000" w:rsidRDefault="009C1C61">
      <w:pPr>
        <w:rPr>
          <w:snapToGrid/>
        </w:rPr>
      </w:pPr>
      <w:r>
        <w:rPr>
          <w:rFonts w:hint="eastAsia"/>
          <w:snapToGrid/>
        </w:rPr>
        <w:tab/>
      </w:r>
      <w:r>
        <w:rPr>
          <w:snapToGrid/>
        </w:rPr>
        <w:t>160.</w:t>
      </w:r>
      <w:r>
        <w:rPr>
          <w:rFonts w:hint="eastAsia"/>
          <w:snapToGrid/>
        </w:rPr>
        <w:t xml:space="preserve">  </w:t>
      </w:r>
      <w:r>
        <w:rPr>
          <w:snapToGrid/>
        </w:rPr>
        <w:t>智利共和国的</w:t>
      </w:r>
      <w:r>
        <w:rPr>
          <w:rFonts w:hint="eastAsia"/>
          <w:snapToGrid/>
        </w:rPr>
        <w:t>《</w:t>
      </w:r>
      <w:r>
        <w:rPr>
          <w:snapToGrid/>
        </w:rPr>
        <w:t>政治宪法</w:t>
      </w:r>
      <w:r>
        <w:rPr>
          <w:rFonts w:hint="eastAsia"/>
          <w:snapToGrid/>
        </w:rPr>
        <w:t>》</w:t>
      </w:r>
      <w:r>
        <w:rPr>
          <w:snapToGrid/>
        </w:rPr>
        <w:t>以及该国现行的劳工法充分保障个人就业的自由，同时</w:t>
      </w:r>
      <w:r>
        <w:rPr>
          <w:rFonts w:hint="eastAsia"/>
          <w:snapToGrid/>
        </w:rPr>
        <w:t>保障个人</w:t>
      </w:r>
      <w:r>
        <w:rPr>
          <w:snapToGrid/>
        </w:rPr>
        <w:t>基本政治和经济权利的自由。</w:t>
      </w:r>
    </w:p>
    <w:p w:rsidR="00000000" w:rsidRDefault="009C1C61">
      <w:pPr>
        <w:rPr>
          <w:snapToGrid/>
        </w:rPr>
      </w:pPr>
      <w:r>
        <w:rPr>
          <w:rFonts w:hint="eastAsia"/>
          <w:snapToGrid/>
        </w:rPr>
        <w:tab/>
      </w:r>
      <w:r>
        <w:rPr>
          <w:snapToGrid/>
        </w:rPr>
        <w:t>161.</w:t>
      </w:r>
      <w:r>
        <w:rPr>
          <w:rFonts w:hint="eastAsia"/>
          <w:snapToGrid/>
        </w:rPr>
        <w:t xml:space="preserve">  </w:t>
      </w:r>
      <w:r>
        <w:rPr>
          <w:snapToGrid/>
        </w:rPr>
        <w:t>智利</w:t>
      </w:r>
      <w:r>
        <w:rPr>
          <w:rFonts w:hint="eastAsia"/>
          <w:snapToGrid/>
        </w:rPr>
        <w:t>共和国的《政治宪法》第</w:t>
      </w:r>
      <w:r>
        <w:rPr>
          <w:snapToGrid/>
        </w:rPr>
        <w:t>19</w:t>
      </w:r>
      <w:r>
        <w:rPr>
          <w:snapToGrid/>
        </w:rPr>
        <w:t>条第</w:t>
      </w:r>
      <w:r>
        <w:rPr>
          <w:snapToGrid/>
        </w:rPr>
        <w:t>16</w:t>
      </w:r>
      <w:r>
        <w:rPr>
          <w:rFonts w:hint="eastAsia"/>
          <w:snapToGrid/>
        </w:rPr>
        <w:t>节保障全体公民的</w:t>
      </w:r>
      <w:r>
        <w:rPr>
          <w:rFonts w:hint="eastAsia"/>
          <w:snapToGrid/>
        </w:rPr>
        <w:t>“工作自由并予以保护；</w:t>
      </w:r>
      <w:r>
        <w:rPr>
          <w:rFonts w:hint="eastAsia"/>
          <w:snapToGrid/>
        </w:rPr>
        <w:t>(a</w:t>
      </w:r>
      <w:r>
        <w:rPr>
          <w:snapToGrid/>
        </w:rPr>
        <w:t>)</w:t>
      </w:r>
      <w:r>
        <w:rPr>
          <w:rFonts w:hint="eastAsia"/>
          <w:snapToGrid/>
        </w:rPr>
        <w:t xml:space="preserve"> </w:t>
      </w:r>
      <w:r>
        <w:rPr>
          <w:snapToGrid/>
        </w:rPr>
        <w:t>人人有权在</w:t>
      </w:r>
      <w:r>
        <w:rPr>
          <w:rFonts w:hint="eastAsia"/>
          <w:snapToGrid/>
        </w:rPr>
        <w:t>报酬公正</w:t>
      </w:r>
      <w:r>
        <w:rPr>
          <w:snapToGrid/>
        </w:rPr>
        <w:t>的情况下自由就业</w:t>
      </w:r>
      <w:r>
        <w:rPr>
          <w:rFonts w:hint="eastAsia"/>
          <w:snapToGrid/>
        </w:rPr>
        <w:t>，</w:t>
      </w:r>
      <w:r>
        <w:rPr>
          <w:snapToGrid/>
        </w:rPr>
        <w:t>自由择</w:t>
      </w:r>
      <w:r>
        <w:rPr>
          <w:rFonts w:hint="eastAsia"/>
          <w:snapToGrid/>
        </w:rPr>
        <w:t>业</w:t>
      </w:r>
      <w:r>
        <w:rPr>
          <w:snapToGrid/>
        </w:rPr>
        <w:t>；</w:t>
      </w:r>
      <w:r>
        <w:rPr>
          <w:snapToGrid/>
        </w:rPr>
        <w:t>(</w:t>
      </w:r>
      <w:r>
        <w:rPr>
          <w:rFonts w:hint="eastAsia"/>
          <w:snapToGrid/>
        </w:rPr>
        <w:t>b</w:t>
      </w:r>
      <w:r>
        <w:rPr>
          <w:snapToGrid/>
        </w:rPr>
        <w:t>)</w:t>
      </w:r>
      <w:r>
        <w:rPr>
          <w:rFonts w:hint="eastAsia"/>
          <w:snapToGrid/>
        </w:rPr>
        <w:t xml:space="preserve"> </w:t>
      </w:r>
      <w:r>
        <w:rPr>
          <w:snapToGrid/>
        </w:rPr>
        <w:t>禁止除了个人</w:t>
      </w:r>
      <w:r>
        <w:rPr>
          <w:rFonts w:hint="eastAsia"/>
          <w:snapToGrid/>
          <w:lang w:val="fr-CH"/>
        </w:rPr>
        <w:t>技</w:t>
      </w:r>
      <w:r>
        <w:rPr>
          <w:snapToGrid/>
        </w:rPr>
        <w:t>能或能力之外的任何差别待遇，然而，法律可</w:t>
      </w:r>
      <w:r>
        <w:rPr>
          <w:rFonts w:hint="eastAsia"/>
          <w:snapToGrid/>
        </w:rPr>
        <w:t>规定在</w:t>
      </w:r>
      <w:r>
        <w:rPr>
          <w:snapToGrid/>
        </w:rPr>
        <w:t>某些情况</w:t>
      </w:r>
      <w:r>
        <w:rPr>
          <w:rFonts w:hint="eastAsia"/>
          <w:snapToGrid/>
        </w:rPr>
        <w:t>下，</w:t>
      </w:r>
      <w:r>
        <w:rPr>
          <w:snapToGrid/>
        </w:rPr>
        <w:t>必须具备智利公民身份或</w:t>
      </w:r>
      <w:r>
        <w:rPr>
          <w:rFonts w:hint="eastAsia"/>
          <w:snapToGrid/>
        </w:rPr>
        <w:t>加以</w:t>
      </w:r>
      <w:r>
        <w:rPr>
          <w:snapToGrid/>
        </w:rPr>
        <w:t>年龄限制</w:t>
      </w:r>
      <w:r>
        <w:rPr>
          <w:rFonts w:hint="eastAsia"/>
          <w:snapToGrid/>
        </w:rPr>
        <w:t>”</w:t>
      </w:r>
      <w:r>
        <w:rPr>
          <w:snapToGrid/>
        </w:rPr>
        <w:t>。</w:t>
      </w:r>
    </w:p>
    <w:p w:rsidR="00000000" w:rsidRDefault="009C1C61">
      <w:pPr>
        <w:rPr>
          <w:snapToGrid/>
        </w:rPr>
      </w:pPr>
      <w:r>
        <w:rPr>
          <w:rFonts w:hint="eastAsia"/>
          <w:snapToGrid/>
        </w:rPr>
        <w:tab/>
      </w:r>
      <w:r>
        <w:rPr>
          <w:snapToGrid/>
        </w:rPr>
        <w:t>162.</w:t>
      </w:r>
      <w:r>
        <w:rPr>
          <w:rFonts w:hint="eastAsia"/>
          <w:snapToGrid/>
        </w:rPr>
        <w:t xml:space="preserve">  </w:t>
      </w:r>
      <w:r>
        <w:rPr>
          <w:rFonts w:hint="eastAsia"/>
          <w:snapToGrid/>
        </w:rPr>
        <w:t>《</w:t>
      </w:r>
      <w:r>
        <w:rPr>
          <w:snapToGrid/>
        </w:rPr>
        <w:t>劳工法</w:t>
      </w:r>
      <w:r>
        <w:rPr>
          <w:rFonts w:hint="eastAsia"/>
          <w:snapToGrid/>
        </w:rPr>
        <w:t>》</w:t>
      </w:r>
      <w:r>
        <w:rPr>
          <w:snapToGrid/>
        </w:rPr>
        <w:t>第</w:t>
      </w:r>
      <w:r>
        <w:rPr>
          <w:snapToGrid/>
        </w:rPr>
        <w:t>2</w:t>
      </w:r>
      <w:r>
        <w:rPr>
          <w:snapToGrid/>
        </w:rPr>
        <w:t>条如下：</w:t>
      </w:r>
    </w:p>
    <w:p w:rsidR="00000000" w:rsidRDefault="009C1C61">
      <w:pPr>
        <w:pStyle w:val="ae"/>
        <w:spacing w:line="288" w:lineRule="auto"/>
        <w:rPr>
          <w:rFonts w:eastAsia="KaiTi_GB2312"/>
          <w:snapToGrid/>
        </w:rPr>
      </w:pPr>
      <w:r>
        <w:rPr>
          <w:rFonts w:eastAsia="KaiTi_GB2312" w:hint="eastAsia"/>
          <w:snapToGrid/>
        </w:rPr>
        <w:t>“劳工发挥的社会职能以及个人签订合同并致力于从事自己选择的正当工作的自由。</w:t>
      </w:r>
    </w:p>
    <w:p w:rsidR="00000000" w:rsidRDefault="009C1C61">
      <w:pPr>
        <w:pStyle w:val="ae"/>
        <w:widowControl w:val="0"/>
        <w:spacing w:line="288" w:lineRule="auto"/>
        <w:rPr>
          <w:rFonts w:eastAsia="KaiTi_GB2312"/>
          <w:snapToGrid/>
        </w:rPr>
      </w:pPr>
      <w:r>
        <w:rPr>
          <w:rFonts w:eastAsia="KaiTi_GB2312" w:hint="eastAsia"/>
          <w:snapToGrid/>
        </w:rPr>
        <w:t>“一切基于种族、肤色、性别、所属工会、宗教、政治见解、国籍或社会门第等种种考虑而实行的歧视、排斥和偏好，都有悖于劳工立法的原则。因此，雇主不得以上述任何情况为条件雇用任何工人。”</w:t>
      </w:r>
    </w:p>
    <w:p w:rsidR="00000000" w:rsidRDefault="009C1C61">
      <w:pPr>
        <w:pStyle w:val="ae"/>
        <w:widowControl w:val="0"/>
        <w:spacing w:line="288" w:lineRule="auto"/>
        <w:rPr>
          <w:rFonts w:eastAsia="KaiTi_GB2312" w:hint="eastAsia"/>
          <w:snapToGrid/>
        </w:rPr>
      </w:pPr>
      <w:r>
        <w:rPr>
          <w:rFonts w:eastAsia="KaiTi_GB2312" w:hint="eastAsia"/>
          <w:snapToGrid/>
        </w:rPr>
        <w:t>“国家有责任保护工作人</w:t>
      </w:r>
      <w:r>
        <w:rPr>
          <w:rFonts w:eastAsia="KaiTi_GB2312" w:hint="eastAsia"/>
          <w:snapToGrid/>
        </w:rPr>
        <w:t>员自由选择工作的权利，并确保关于提供各类服务的条例得到遵守。”。</w:t>
      </w:r>
    </w:p>
    <w:p w:rsidR="00000000" w:rsidRDefault="009C1C61">
      <w:pPr>
        <w:spacing w:after="240"/>
        <w:rPr>
          <w:snapToGrid/>
        </w:rPr>
      </w:pPr>
      <w:r>
        <w:rPr>
          <w:rFonts w:hint="eastAsia"/>
          <w:snapToGrid/>
        </w:rPr>
        <w:t>然而，根据某一具体工作规定的资格条件有所区别、排除或偏好，不应视为歧视。有鉴于此，以及在无损于《劳工法》其他条款的情况下，雇主直接或通过第三方或任何中介，提出的招聘规定，若以上述第</w:t>
      </w:r>
      <w:r>
        <w:rPr>
          <w:snapToGrid/>
        </w:rPr>
        <w:t>2</w:t>
      </w:r>
      <w:r>
        <w:rPr>
          <w:snapToGrid/>
        </w:rPr>
        <w:t>段所述的任何一种情况为先决条件，则可视为歧视性行为。规定的第二和第三</w:t>
      </w:r>
      <w:r>
        <w:rPr>
          <w:rFonts w:hint="eastAsia"/>
          <w:snapToGrid/>
        </w:rPr>
        <w:t>段以及根据这些条款对雇主形成的义务，都应视为所签订就业合同的部份内容。</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智利的失业保险</w:t>
      </w:r>
    </w:p>
    <w:p w:rsidR="00000000" w:rsidRDefault="009C1C61">
      <w:pPr>
        <w:spacing w:after="240"/>
        <w:rPr>
          <w:snapToGrid/>
        </w:rPr>
      </w:pPr>
      <w:r>
        <w:rPr>
          <w:rFonts w:hint="eastAsia"/>
          <w:snapToGrid/>
        </w:rPr>
        <w:tab/>
      </w:r>
      <w:r>
        <w:rPr>
          <w:snapToGrid/>
        </w:rPr>
        <w:t>163.</w:t>
      </w:r>
      <w:r>
        <w:rPr>
          <w:rFonts w:hint="eastAsia"/>
          <w:snapToGrid/>
        </w:rPr>
        <w:t xml:space="preserve">  </w:t>
      </w:r>
      <w:r>
        <w:rPr>
          <w:snapToGrid/>
        </w:rPr>
        <w:t>2000</w:t>
      </w:r>
      <w:r>
        <w:rPr>
          <w:snapToGrid/>
        </w:rPr>
        <w:t>年</w:t>
      </w:r>
      <w:r>
        <w:rPr>
          <w:snapToGrid/>
        </w:rPr>
        <w:t>3</w:t>
      </w:r>
      <w:r>
        <w:rPr>
          <w:snapToGrid/>
        </w:rPr>
        <w:t>月，</w:t>
      </w:r>
      <w:r>
        <w:rPr>
          <w:rFonts w:hint="eastAsia"/>
          <w:snapToGrid/>
        </w:rPr>
        <w:t>里卡多·拉戈斯总统担任国家领导上任伊始，即着手制定有关现行失业保险计划的法律。</w:t>
      </w:r>
      <w:r>
        <w:rPr>
          <w:rFonts w:hint="eastAsia"/>
          <w:snapToGrid/>
        </w:rPr>
        <w:t>这是提交国会的第一份提案草案。规定强制性失业保险的第</w:t>
      </w:r>
      <w:r>
        <w:rPr>
          <w:rFonts w:hint="eastAsia"/>
          <w:snapToGrid/>
        </w:rPr>
        <w:t>19,</w:t>
      </w:r>
      <w:r>
        <w:rPr>
          <w:snapToGrid/>
        </w:rPr>
        <w:t>728</w:t>
      </w:r>
      <w:r>
        <w:rPr>
          <w:snapToGrid/>
        </w:rPr>
        <w:t>号法</w:t>
      </w:r>
      <w:r>
        <w:rPr>
          <w:rFonts w:hint="eastAsia"/>
          <w:snapToGrid/>
        </w:rPr>
        <w:t>案于</w:t>
      </w:r>
      <w:r>
        <w:rPr>
          <w:rFonts w:hint="eastAsia"/>
          <w:snapToGrid/>
        </w:rPr>
        <w:t>2001</w:t>
      </w:r>
      <w:r>
        <w:rPr>
          <w:rFonts w:hint="eastAsia"/>
          <w:snapToGrid/>
        </w:rPr>
        <w:t>年</w:t>
      </w:r>
      <w:r>
        <w:rPr>
          <w:rFonts w:hint="eastAsia"/>
          <w:snapToGrid/>
        </w:rPr>
        <w:t>5</w:t>
      </w:r>
      <w:r>
        <w:rPr>
          <w:rFonts w:hint="eastAsia"/>
          <w:snapToGrid/>
        </w:rPr>
        <w:t>月获得批准。换言之，这项法案仅花了</w:t>
      </w:r>
      <w:r>
        <w:rPr>
          <w:rFonts w:hint="eastAsia"/>
          <w:snapToGrid/>
        </w:rPr>
        <w:t>14</w:t>
      </w:r>
      <w:r>
        <w:rPr>
          <w:rFonts w:hint="eastAsia"/>
          <w:snapToGrid/>
        </w:rPr>
        <w:t>个月的时间即获国会通过。之所以得到迅速批准的主要原因在于，议员们意识到，必须就这一问题制定出立法，而且对这一提案存在协商一致的意见。这项法案生效并在《官方公报》上发表后，即</w:t>
      </w:r>
      <w:r>
        <w:rPr>
          <w:rFonts w:hint="eastAsia"/>
          <w:snapToGrid/>
        </w:rPr>
        <w:t xml:space="preserve"> </w:t>
      </w:r>
      <w:r>
        <w:rPr>
          <w:snapToGrid/>
        </w:rPr>
        <w:t>(</w:t>
      </w:r>
      <w:r>
        <w:rPr>
          <w:snapToGrid/>
        </w:rPr>
        <w:t>按照</w:t>
      </w:r>
      <w:r>
        <w:rPr>
          <w:rFonts w:hint="eastAsia"/>
          <w:snapToGrid/>
        </w:rPr>
        <w:t>该</w:t>
      </w:r>
      <w:r>
        <w:rPr>
          <w:snapToGrid/>
        </w:rPr>
        <w:t>法规定</w:t>
      </w:r>
      <w:r>
        <w:rPr>
          <w:rFonts w:hint="eastAsia"/>
          <w:snapToGrid/>
        </w:rPr>
        <w:t>)</w:t>
      </w:r>
      <w:r>
        <w:rPr>
          <w:rFonts w:hint="eastAsia"/>
          <w:snapToGrid/>
        </w:rPr>
        <w:t>着手确定一个运作机构，将失业保险计划的资金交由该机构，由其管理整个失业保险计划。</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技术和职业培训方案</w:t>
      </w:r>
    </w:p>
    <w:p w:rsidR="00000000" w:rsidRDefault="009C1C61">
      <w:pPr>
        <w:spacing w:line="312" w:lineRule="auto"/>
        <w:rPr>
          <w:rFonts w:hint="eastAsia"/>
          <w:snapToGrid/>
          <w:lang w:val="fr-CH"/>
        </w:rPr>
      </w:pPr>
      <w:r>
        <w:rPr>
          <w:rFonts w:hint="eastAsia"/>
          <w:snapToGrid/>
        </w:rPr>
        <w:tab/>
      </w:r>
      <w:r>
        <w:rPr>
          <w:snapToGrid/>
        </w:rPr>
        <w:t>164.</w:t>
      </w:r>
      <w:r>
        <w:rPr>
          <w:rFonts w:hint="eastAsia"/>
          <w:snapToGrid/>
        </w:rPr>
        <w:t xml:space="preserve">  </w:t>
      </w:r>
      <w:r>
        <w:rPr>
          <w:snapToGrid/>
        </w:rPr>
        <w:t>1997</w:t>
      </w:r>
      <w:r>
        <w:rPr>
          <w:snapToGrid/>
        </w:rPr>
        <w:t>年颁布了一项新的《培训和就业规</w:t>
      </w:r>
      <w:r>
        <w:rPr>
          <w:rFonts w:hint="eastAsia"/>
          <w:snapToGrid/>
        </w:rPr>
        <w:t>章</w:t>
      </w:r>
      <w:r>
        <w:rPr>
          <w:snapToGrid/>
        </w:rPr>
        <w:t>》</w:t>
      </w:r>
      <w:r>
        <w:rPr>
          <w:rStyle w:val="FootnoteReference"/>
          <w:snapToGrid/>
        </w:rPr>
        <w:footnoteReference w:id="41"/>
      </w:r>
      <w:r>
        <w:rPr>
          <w:snapToGrid/>
        </w:rPr>
        <w:t>。这项法案</w:t>
      </w:r>
      <w:r>
        <w:rPr>
          <w:rFonts w:hint="eastAsia"/>
          <w:snapToGrid/>
        </w:rPr>
        <w:t>提出</w:t>
      </w:r>
      <w:r>
        <w:rPr>
          <w:snapToGrid/>
        </w:rPr>
        <w:t>了若干</w:t>
      </w:r>
      <w:r>
        <w:rPr>
          <w:rFonts w:hint="eastAsia"/>
          <w:snapToGrid/>
        </w:rPr>
        <w:t>修订案，</w:t>
      </w:r>
      <w:r>
        <w:rPr>
          <w:snapToGrid/>
        </w:rPr>
        <w:t>为智利职业培</w:t>
      </w:r>
      <w:r>
        <w:rPr>
          <w:snapToGrid/>
        </w:rPr>
        <w:t>训体制现代化</w:t>
      </w:r>
      <w:r>
        <w:rPr>
          <w:rFonts w:hint="eastAsia"/>
          <w:snapToGrid/>
        </w:rPr>
        <w:t>而且</w:t>
      </w:r>
      <w:r>
        <w:rPr>
          <w:snapToGrid/>
        </w:rPr>
        <w:t>着眼于未来</w:t>
      </w:r>
      <w:r>
        <w:rPr>
          <w:rFonts w:hint="eastAsia"/>
          <w:snapToGrid/>
        </w:rPr>
        <w:t>设计启用</w:t>
      </w:r>
      <w:r>
        <w:rPr>
          <w:snapToGrid/>
        </w:rPr>
        <w:t>一些新措施。</w:t>
      </w:r>
      <w:r>
        <w:rPr>
          <w:rFonts w:hint="eastAsia"/>
          <w:snapToGrid/>
        </w:rPr>
        <w:t>通过这些</w:t>
      </w:r>
      <w:r>
        <w:rPr>
          <w:snapToGrid/>
        </w:rPr>
        <w:t>法律变革</w:t>
      </w:r>
      <w:r>
        <w:rPr>
          <w:rFonts w:hint="eastAsia"/>
          <w:snapToGrid/>
        </w:rPr>
        <w:t>建立了一个</w:t>
      </w:r>
      <w:r>
        <w:rPr>
          <w:snapToGrid/>
        </w:rPr>
        <w:t>全国培训</w:t>
      </w:r>
      <w:r>
        <w:rPr>
          <w:rFonts w:hint="eastAsia"/>
          <w:snapToGrid/>
        </w:rPr>
        <w:t>理事</w:t>
      </w:r>
      <w:r>
        <w:rPr>
          <w:snapToGrid/>
        </w:rPr>
        <w:t>会和</w:t>
      </w:r>
      <w:r>
        <w:rPr>
          <w:rFonts w:hint="eastAsia"/>
          <w:snapToGrid/>
        </w:rPr>
        <w:t>若干双</w:t>
      </w:r>
      <w:r>
        <w:rPr>
          <w:snapToGrid/>
        </w:rPr>
        <w:t>方培训委员会</w:t>
      </w:r>
      <w:r>
        <w:rPr>
          <w:rFonts w:hint="eastAsia"/>
          <w:snapToGrid/>
        </w:rPr>
        <w:t>，激</w:t>
      </w:r>
      <w:r>
        <w:rPr>
          <w:snapToGrid/>
        </w:rPr>
        <w:t>励工人和企业家参加</w:t>
      </w:r>
      <w:r>
        <w:rPr>
          <w:rFonts w:hint="eastAsia"/>
          <w:snapToGrid/>
        </w:rPr>
        <w:t>培训</w:t>
      </w:r>
      <w:r>
        <w:rPr>
          <w:snapToGrid/>
        </w:rPr>
        <w:t>，</w:t>
      </w:r>
      <w:r>
        <w:rPr>
          <w:rFonts w:hint="eastAsia"/>
          <w:snapToGrid/>
        </w:rPr>
        <w:t>同时实行放权，由各区</w:t>
      </w:r>
      <w:r>
        <w:rPr>
          <w:snapToGrid/>
        </w:rPr>
        <w:t>理事会</w:t>
      </w:r>
      <w:r>
        <w:rPr>
          <w:rFonts w:hint="eastAsia"/>
          <w:snapToGrid/>
        </w:rPr>
        <w:t>落实培训工作</w:t>
      </w:r>
      <w:r>
        <w:rPr>
          <w:snapToGrid/>
        </w:rPr>
        <w:t>。这些措施的目的是：</w:t>
      </w:r>
      <w:r>
        <w:rPr>
          <w:snapToGrid/>
        </w:rPr>
        <w:t>(</w:t>
      </w:r>
      <w:r>
        <w:rPr>
          <w:rFonts w:hint="eastAsia"/>
          <w:snapToGrid/>
        </w:rPr>
        <w:t>a</w:t>
      </w:r>
      <w:r>
        <w:rPr>
          <w:snapToGrid/>
        </w:rPr>
        <w:t>)</w:t>
      </w:r>
      <w:r>
        <w:rPr>
          <w:rFonts w:hint="eastAsia"/>
          <w:snapToGrid/>
        </w:rPr>
        <w:t xml:space="preserve"> </w:t>
      </w:r>
      <w:r>
        <w:rPr>
          <w:rFonts w:hint="eastAsia"/>
          <w:snapToGrid/>
        </w:rPr>
        <w:t>允许</w:t>
      </w:r>
      <w:r>
        <w:rPr>
          <w:snapToGrid/>
        </w:rPr>
        <w:t>展开广泛的讨论，探讨</w:t>
      </w:r>
      <w:r>
        <w:rPr>
          <w:rFonts w:hint="eastAsia"/>
          <w:snapToGrid/>
        </w:rPr>
        <w:t>以</w:t>
      </w:r>
      <w:r>
        <w:rPr>
          <w:snapToGrid/>
        </w:rPr>
        <w:t>何</w:t>
      </w:r>
      <w:r>
        <w:rPr>
          <w:rFonts w:hint="eastAsia"/>
          <w:snapToGrid/>
        </w:rPr>
        <w:t>种方式方法，通过</w:t>
      </w:r>
      <w:r>
        <w:rPr>
          <w:snapToGrid/>
        </w:rPr>
        <w:t>采取旨在增强社会</w:t>
      </w:r>
      <w:r>
        <w:rPr>
          <w:rFonts w:hint="eastAsia"/>
          <w:snapToGrid/>
        </w:rPr>
        <w:t>包容的</w:t>
      </w:r>
      <w:r>
        <w:rPr>
          <w:snapToGrid/>
        </w:rPr>
        <w:t>政策，扩大培训措施</w:t>
      </w:r>
      <w:r>
        <w:rPr>
          <w:rFonts w:hint="eastAsia"/>
          <w:snapToGrid/>
        </w:rPr>
        <w:t>覆盖</w:t>
      </w:r>
      <w:r>
        <w:rPr>
          <w:snapToGrid/>
        </w:rPr>
        <w:t>范围，</w:t>
      </w:r>
      <w:r>
        <w:rPr>
          <w:rFonts w:hint="eastAsia"/>
          <w:snapToGrid/>
          <w:lang w:val="fr-CH"/>
        </w:rPr>
        <w:t>惠及更广泛的社会阶层；</w:t>
      </w:r>
      <w:r>
        <w:rPr>
          <w:snapToGrid/>
          <w:lang w:val="fr-CH"/>
        </w:rPr>
        <w:t>(</w:t>
      </w:r>
      <w:r>
        <w:rPr>
          <w:rFonts w:hint="eastAsia"/>
          <w:snapToGrid/>
          <w:lang w:val="fr-CH"/>
        </w:rPr>
        <w:t>b</w:t>
      </w:r>
      <w:r>
        <w:rPr>
          <w:snapToGrid/>
          <w:lang w:val="fr-CH"/>
        </w:rPr>
        <w:t>)</w:t>
      </w:r>
      <w:r>
        <w:rPr>
          <w:rFonts w:hint="eastAsia"/>
          <w:snapToGrid/>
          <w:lang w:val="fr-CH"/>
        </w:rPr>
        <w:t xml:space="preserve"> </w:t>
      </w:r>
      <w:r>
        <w:rPr>
          <w:snapToGrid/>
          <w:lang w:val="fr-CH"/>
        </w:rPr>
        <w:t>扩大全国培训体制</w:t>
      </w:r>
      <w:r>
        <w:rPr>
          <w:rFonts w:hint="eastAsia"/>
          <w:snapToGrid/>
          <w:lang w:val="fr-CH"/>
        </w:rPr>
        <w:t>的覆盖面</w:t>
      </w:r>
      <w:r>
        <w:rPr>
          <w:snapToGrid/>
          <w:lang w:val="fr-CH"/>
        </w:rPr>
        <w:t>，针对微型和小型企业，实行税务减免体制，作为鼓励手段，与此同时建立起全国培训</w:t>
      </w:r>
      <w:r>
        <w:rPr>
          <w:rFonts w:hint="eastAsia"/>
          <w:snapToGrid/>
          <w:lang w:val="fr-CH"/>
        </w:rPr>
        <w:t>基金</w:t>
      </w:r>
      <w:r>
        <w:rPr>
          <w:snapToGrid/>
          <w:lang w:val="fr-CH"/>
        </w:rPr>
        <w:t>。上述税务减免措施包括免税</w:t>
      </w:r>
      <w:r>
        <w:rPr>
          <w:rFonts w:hint="eastAsia"/>
          <w:snapToGrid/>
          <w:lang w:val="fr-CH"/>
        </w:rPr>
        <w:t>并</w:t>
      </w:r>
      <w:r>
        <w:rPr>
          <w:snapToGrid/>
          <w:lang w:val="fr-CH"/>
        </w:rPr>
        <w:t>由国家出资</w:t>
      </w:r>
      <w:r>
        <w:rPr>
          <w:rFonts w:hint="eastAsia"/>
          <w:snapToGrid/>
          <w:lang w:val="fr-CH"/>
        </w:rPr>
        <w:t>，支</w:t>
      </w:r>
      <w:r>
        <w:rPr>
          <w:snapToGrid/>
          <w:lang w:val="fr-CH"/>
        </w:rPr>
        <w:t>助培训工人和</w:t>
      </w:r>
      <w:r>
        <w:rPr>
          <w:rFonts w:hint="eastAsia"/>
          <w:snapToGrid/>
          <w:lang w:val="fr-CH"/>
        </w:rPr>
        <w:t>失</w:t>
      </w:r>
      <w:r>
        <w:rPr>
          <w:snapToGrid/>
          <w:lang w:val="fr-CH"/>
        </w:rPr>
        <w:t>业人员。</w:t>
      </w:r>
    </w:p>
    <w:p w:rsidR="00000000" w:rsidRDefault="009C1C61">
      <w:pPr>
        <w:spacing w:line="312" w:lineRule="auto"/>
        <w:rPr>
          <w:snapToGrid/>
          <w:lang w:val="fr-CH"/>
        </w:rPr>
      </w:pPr>
      <w:r>
        <w:rPr>
          <w:rFonts w:hint="eastAsia"/>
          <w:snapToGrid/>
          <w:lang w:val="fr-CH"/>
        </w:rPr>
        <w:tab/>
      </w:r>
      <w:r>
        <w:rPr>
          <w:snapToGrid/>
          <w:lang w:val="fr-CH"/>
        </w:rPr>
        <w:t>165.</w:t>
      </w:r>
      <w:r>
        <w:rPr>
          <w:rFonts w:hint="eastAsia"/>
          <w:snapToGrid/>
          <w:lang w:val="fr-CH"/>
        </w:rPr>
        <w:t xml:space="preserve">  </w:t>
      </w:r>
      <w:r>
        <w:rPr>
          <w:snapToGrid/>
          <w:lang w:val="fr-CH"/>
        </w:rPr>
        <w:t>智利</w:t>
      </w:r>
      <w:r>
        <w:rPr>
          <w:snapToGrid/>
          <w:lang w:val="fr-CH"/>
        </w:rPr>
        <w:t>政府正在通过全国培训和就业基金</w:t>
      </w:r>
      <w:r>
        <w:rPr>
          <w:rFonts w:hint="eastAsia"/>
          <w:snapToGrid/>
          <w:lang w:val="fr-CH"/>
        </w:rPr>
        <w:t>(</w:t>
      </w:r>
      <w:r>
        <w:rPr>
          <w:snapToGrid/>
          <w:lang w:val="fr-CH"/>
        </w:rPr>
        <w:t>培训就业基金</w:t>
      </w:r>
      <w:r>
        <w:rPr>
          <w:rFonts w:hint="eastAsia"/>
          <w:snapToGrid/>
          <w:lang w:val="fr-CH"/>
        </w:rPr>
        <w:t>)</w:t>
      </w:r>
      <w:r>
        <w:rPr>
          <w:rFonts w:hint="eastAsia"/>
          <w:snapToGrid/>
          <w:lang w:val="fr-CH"/>
        </w:rPr>
        <w:t>促进</w:t>
      </w:r>
      <w:r>
        <w:rPr>
          <w:snapToGrid/>
          <w:lang w:val="fr-CH"/>
        </w:rPr>
        <w:t>工人职业技能</w:t>
      </w:r>
      <w:r>
        <w:rPr>
          <w:rFonts w:hint="eastAsia"/>
          <w:snapToGrid/>
          <w:lang w:val="fr-CH"/>
        </w:rPr>
        <w:t>的培养工作</w:t>
      </w:r>
      <w:r>
        <w:rPr>
          <w:snapToGrid/>
          <w:lang w:val="fr-CH"/>
        </w:rPr>
        <w:t>，以实现</w:t>
      </w:r>
      <w:r>
        <w:rPr>
          <w:rFonts w:hint="eastAsia"/>
          <w:snapToGrid/>
          <w:lang w:val="fr-CH"/>
        </w:rPr>
        <w:t>令人</w:t>
      </w:r>
      <w:r>
        <w:rPr>
          <w:snapToGrid/>
          <w:lang w:val="fr-CH"/>
        </w:rPr>
        <w:t>满意</w:t>
      </w:r>
      <w:r>
        <w:rPr>
          <w:rFonts w:hint="eastAsia"/>
          <w:snapToGrid/>
          <w:lang w:val="fr-CH"/>
        </w:rPr>
        <w:t>的</w:t>
      </w:r>
      <w:r>
        <w:rPr>
          <w:snapToGrid/>
          <w:lang w:val="fr-CH"/>
        </w:rPr>
        <w:t>就业水平，提高工人和企业的生产率，改善工</w:t>
      </w:r>
      <w:r>
        <w:rPr>
          <w:rFonts w:hint="eastAsia"/>
          <w:snapToGrid/>
          <w:lang w:val="fr-CH"/>
        </w:rPr>
        <w:t>艺</w:t>
      </w:r>
      <w:r>
        <w:rPr>
          <w:snapToGrid/>
          <w:lang w:val="fr-CH"/>
        </w:rPr>
        <w:t>和产品质量。</w:t>
      </w:r>
    </w:p>
    <w:p w:rsidR="00000000" w:rsidRDefault="009C1C61">
      <w:pPr>
        <w:rPr>
          <w:snapToGrid/>
          <w:lang w:val="fr-CH"/>
        </w:rPr>
      </w:pPr>
      <w:r>
        <w:rPr>
          <w:rFonts w:hint="eastAsia"/>
          <w:snapToGrid/>
          <w:lang w:val="fr-CH"/>
        </w:rPr>
        <w:tab/>
      </w:r>
      <w:r>
        <w:rPr>
          <w:snapToGrid/>
          <w:lang w:val="fr-CH"/>
        </w:rPr>
        <w:t xml:space="preserve">166. </w:t>
      </w:r>
      <w:r>
        <w:rPr>
          <w:rFonts w:hint="eastAsia"/>
          <w:snapToGrid/>
          <w:lang w:val="fr-CH"/>
        </w:rPr>
        <w:t xml:space="preserve"> </w:t>
      </w:r>
      <w:r>
        <w:rPr>
          <w:snapToGrid/>
          <w:lang w:val="fr-CH"/>
        </w:rPr>
        <w:t>全国培训和就业基金实现</w:t>
      </w:r>
      <w:r>
        <w:rPr>
          <w:rFonts w:hint="eastAsia"/>
          <w:snapToGrid/>
          <w:lang w:val="fr-CH"/>
        </w:rPr>
        <w:t>其</w:t>
      </w:r>
      <w:r>
        <w:rPr>
          <w:snapToGrid/>
          <w:lang w:val="fr-CH"/>
        </w:rPr>
        <w:t>目标</w:t>
      </w:r>
      <w:r>
        <w:rPr>
          <w:rFonts w:hint="eastAsia"/>
          <w:snapToGrid/>
          <w:lang w:val="fr-CH"/>
        </w:rPr>
        <w:t>的手段</w:t>
      </w:r>
      <w:r>
        <w:rPr>
          <w:snapToGrid/>
          <w:lang w:val="fr-CH"/>
        </w:rPr>
        <w:t>是</w:t>
      </w:r>
      <w:r>
        <w:rPr>
          <w:rFonts w:hint="eastAsia"/>
          <w:snapToGrid/>
          <w:lang w:val="fr-CH"/>
        </w:rPr>
        <w:t>：通过</w:t>
      </w:r>
      <w:r>
        <w:rPr>
          <w:snapToGrid/>
          <w:lang w:val="fr-CH"/>
        </w:rPr>
        <w:t>免税</w:t>
      </w:r>
      <w:r>
        <w:rPr>
          <w:rFonts w:hint="eastAsia"/>
          <w:snapToGrid/>
          <w:lang w:val="fr-CH"/>
        </w:rPr>
        <w:t>进行奖励，激发企业的培训需求</w:t>
      </w:r>
      <w:r>
        <w:rPr>
          <w:snapToGrid/>
          <w:lang w:val="fr-CH"/>
        </w:rPr>
        <w:t>，</w:t>
      </w:r>
      <w:r>
        <w:rPr>
          <w:rFonts w:hint="eastAsia"/>
          <w:snapToGrid/>
          <w:lang w:val="fr-CH"/>
        </w:rPr>
        <w:t>协调各种培训奖励方案，</w:t>
      </w:r>
      <w:r>
        <w:rPr>
          <w:snapToGrid/>
          <w:lang w:val="fr-CH"/>
        </w:rPr>
        <w:t>为社会</w:t>
      </w:r>
      <w:r>
        <w:rPr>
          <w:rFonts w:hint="eastAsia"/>
          <w:snapToGrid/>
          <w:lang w:val="fr-CH"/>
        </w:rPr>
        <w:t>上</w:t>
      </w:r>
      <w:r>
        <w:rPr>
          <w:snapToGrid/>
          <w:lang w:val="fr-CH"/>
        </w:rPr>
        <w:t>机会相对较少的目标群体</w:t>
      </w:r>
      <w:r>
        <w:rPr>
          <w:snapToGrid/>
          <w:lang w:val="fr-CH"/>
        </w:rPr>
        <w:t>(</w:t>
      </w:r>
      <w:r>
        <w:rPr>
          <w:snapToGrid/>
          <w:lang w:val="fr-CH"/>
        </w:rPr>
        <w:t>诸如青年人、就业</w:t>
      </w:r>
      <w:r>
        <w:rPr>
          <w:rFonts w:hint="eastAsia"/>
          <w:snapToGrid/>
          <w:lang w:val="fr-CH"/>
        </w:rPr>
        <w:t>养</w:t>
      </w:r>
      <w:r>
        <w:rPr>
          <w:snapToGrid/>
          <w:lang w:val="fr-CH"/>
        </w:rPr>
        <w:t>家</w:t>
      </w:r>
      <w:r>
        <w:rPr>
          <w:rFonts w:hint="eastAsia"/>
          <w:snapToGrid/>
          <w:lang w:val="fr-CH"/>
        </w:rPr>
        <w:t>的</w:t>
      </w:r>
      <w:r>
        <w:rPr>
          <w:snapToGrid/>
          <w:lang w:val="fr-CH"/>
        </w:rPr>
        <w:t>女性、残疾人、失业人员、领取最低工资的人员以及小型和</w:t>
      </w:r>
      <w:r>
        <w:rPr>
          <w:rFonts w:hint="eastAsia"/>
          <w:snapToGrid/>
          <w:lang w:val="fr-CH"/>
        </w:rPr>
        <w:t>微</w:t>
      </w:r>
      <w:r>
        <w:rPr>
          <w:snapToGrid/>
          <w:lang w:val="fr-CH"/>
        </w:rPr>
        <w:t>型企业的工人</w:t>
      </w:r>
      <w:r>
        <w:rPr>
          <w:rFonts w:hint="eastAsia"/>
          <w:snapToGrid/>
          <w:lang w:val="fr-CH"/>
        </w:rPr>
        <w:t>)</w:t>
      </w:r>
      <w:r>
        <w:rPr>
          <w:snapToGrid/>
          <w:lang w:val="fr-CH"/>
        </w:rPr>
        <w:t>以及一些</w:t>
      </w:r>
      <w:r>
        <w:rPr>
          <w:rFonts w:hint="eastAsia"/>
          <w:snapToGrid/>
          <w:lang w:val="fr-CH"/>
        </w:rPr>
        <w:t>没落生产部门的富</w:t>
      </w:r>
      <w:r>
        <w:rPr>
          <w:snapToGrid/>
          <w:lang w:val="fr-CH"/>
        </w:rPr>
        <w:t>余工人</w:t>
      </w:r>
      <w:r>
        <w:rPr>
          <w:rFonts w:hint="eastAsia"/>
          <w:snapToGrid/>
          <w:lang w:val="fr-CH"/>
        </w:rPr>
        <w:t>的</w:t>
      </w:r>
      <w:r>
        <w:rPr>
          <w:snapToGrid/>
          <w:lang w:val="fr-CH"/>
        </w:rPr>
        <w:t>培训</w:t>
      </w:r>
      <w:r>
        <w:rPr>
          <w:rFonts w:hint="eastAsia"/>
          <w:snapToGrid/>
          <w:lang w:val="fr-CH"/>
        </w:rPr>
        <w:t>创造条件</w:t>
      </w:r>
      <w:r>
        <w:rPr>
          <w:snapToGrid/>
          <w:lang w:val="fr-CH"/>
        </w:rPr>
        <w:t>。这些方案</w:t>
      </w:r>
      <w:r>
        <w:rPr>
          <w:rFonts w:hint="eastAsia"/>
          <w:snapToGrid/>
          <w:lang w:val="fr-CH"/>
        </w:rPr>
        <w:t>通</w:t>
      </w:r>
      <w:r>
        <w:rPr>
          <w:snapToGrid/>
          <w:lang w:val="fr-CH"/>
        </w:rPr>
        <w:t>过培训机构、大学、专业机构和技术培训中心实施。</w:t>
      </w:r>
    </w:p>
    <w:p w:rsidR="00000000" w:rsidRDefault="009C1C61">
      <w:pPr>
        <w:rPr>
          <w:rFonts w:hint="eastAsia"/>
          <w:snapToGrid/>
          <w:lang w:val="fr-CH"/>
        </w:rPr>
      </w:pPr>
      <w:r>
        <w:rPr>
          <w:rFonts w:hint="eastAsia"/>
          <w:snapToGrid/>
          <w:lang w:val="fr-CH"/>
        </w:rPr>
        <w:tab/>
      </w:r>
      <w:r>
        <w:rPr>
          <w:snapToGrid/>
          <w:lang w:val="fr-CH"/>
        </w:rPr>
        <w:t>167.</w:t>
      </w:r>
      <w:r>
        <w:rPr>
          <w:rFonts w:hint="eastAsia"/>
          <w:snapToGrid/>
          <w:lang w:val="fr-CH"/>
        </w:rPr>
        <w:t xml:space="preserve">  </w:t>
      </w:r>
      <w:r>
        <w:rPr>
          <w:snapToGrid/>
          <w:lang w:val="fr-CH"/>
        </w:rPr>
        <w:t>此外，培训就业</w:t>
      </w:r>
      <w:r>
        <w:rPr>
          <w:snapToGrid/>
          <w:lang w:val="fr-CH"/>
        </w:rPr>
        <w:t>基金还与市政当局</w:t>
      </w:r>
      <w:r>
        <w:rPr>
          <w:rFonts w:hint="eastAsia"/>
          <w:snapToGrid/>
          <w:lang w:val="fr-CH"/>
        </w:rPr>
        <w:t>携手</w:t>
      </w:r>
      <w:r>
        <w:rPr>
          <w:snapToGrid/>
          <w:lang w:val="fr-CH"/>
        </w:rPr>
        <w:t>发展劳工领域一些中介机构活动，旨在通过信息、指导、培训和就业安排活动，促使劳务市场更好地运作。目标在于协调和</w:t>
      </w:r>
      <w:r>
        <w:rPr>
          <w:rFonts w:hint="eastAsia"/>
          <w:snapToGrid/>
          <w:lang w:val="fr-CH"/>
        </w:rPr>
        <w:t>管理</w:t>
      </w:r>
      <w:r>
        <w:rPr>
          <w:snapToGrid/>
          <w:lang w:val="fr-CH"/>
        </w:rPr>
        <w:t>若干提供劳务中介服务的机构，以</w:t>
      </w:r>
      <w:r>
        <w:rPr>
          <w:rFonts w:hint="eastAsia"/>
          <w:snapToGrid/>
          <w:lang w:val="fr-CH"/>
        </w:rPr>
        <w:t>尽可能使工人的</w:t>
      </w:r>
      <w:r>
        <w:rPr>
          <w:snapToGrid/>
          <w:lang w:val="fr-CH"/>
        </w:rPr>
        <w:t>劳</w:t>
      </w:r>
      <w:r>
        <w:rPr>
          <w:rFonts w:hint="eastAsia"/>
          <w:snapToGrid/>
          <w:lang w:val="fr-CH"/>
        </w:rPr>
        <w:t>动</w:t>
      </w:r>
      <w:r>
        <w:rPr>
          <w:snapToGrid/>
          <w:lang w:val="fr-CH"/>
        </w:rPr>
        <w:t>技能</w:t>
      </w:r>
      <w:r>
        <w:rPr>
          <w:rFonts w:hint="eastAsia"/>
          <w:snapToGrid/>
          <w:lang w:val="fr-CH"/>
        </w:rPr>
        <w:t>与</w:t>
      </w:r>
      <w:r>
        <w:rPr>
          <w:snapToGrid/>
          <w:lang w:val="fr-CH"/>
        </w:rPr>
        <w:t>雇主</w:t>
      </w:r>
      <w:r>
        <w:rPr>
          <w:rFonts w:hint="eastAsia"/>
          <w:snapToGrid/>
          <w:lang w:val="fr-CH"/>
        </w:rPr>
        <w:t>寻求的那类</w:t>
      </w:r>
      <w:r>
        <w:rPr>
          <w:snapToGrid/>
          <w:lang w:val="fr-CH"/>
        </w:rPr>
        <w:t>人力资源</w:t>
      </w:r>
      <w:r>
        <w:rPr>
          <w:rFonts w:hint="eastAsia"/>
          <w:snapToGrid/>
          <w:lang w:val="fr-CH"/>
        </w:rPr>
        <w:t>实现最佳的搭配</w:t>
      </w:r>
      <w:r>
        <w:rPr>
          <w:snapToGrid/>
          <w:lang w:val="fr-CH"/>
        </w:rPr>
        <w:t>，</w:t>
      </w:r>
      <w:r>
        <w:rPr>
          <w:rFonts w:hint="eastAsia"/>
          <w:snapToGrid/>
          <w:lang w:val="fr-CH"/>
        </w:rPr>
        <w:t>发展</w:t>
      </w:r>
      <w:r>
        <w:rPr>
          <w:snapToGrid/>
          <w:lang w:val="fr-CH"/>
        </w:rPr>
        <w:t>工人培训机</w:t>
      </w:r>
      <w:r>
        <w:rPr>
          <w:rFonts w:hint="eastAsia"/>
          <w:snapToGrid/>
          <w:lang w:val="fr-CH"/>
        </w:rPr>
        <w:t>构，增加</w:t>
      </w:r>
      <w:r>
        <w:rPr>
          <w:snapToGrid/>
          <w:lang w:val="fr-CH"/>
        </w:rPr>
        <w:t>相对</w:t>
      </w:r>
      <w:r>
        <w:rPr>
          <w:rFonts w:hint="eastAsia"/>
          <w:snapToGrid/>
          <w:lang w:val="fr-CH"/>
        </w:rPr>
        <w:t>缺乏</w:t>
      </w:r>
      <w:r>
        <w:rPr>
          <w:snapToGrid/>
          <w:lang w:val="fr-CH"/>
        </w:rPr>
        <w:t>技能</w:t>
      </w:r>
      <w:r>
        <w:rPr>
          <w:rFonts w:hint="eastAsia"/>
          <w:snapToGrid/>
          <w:lang w:val="fr-CH"/>
        </w:rPr>
        <w:t>的</w:t>
      </w:r>
      <w:r>
        <w:rPr>
          <w:snapToGrid/>
          <w:lang w:val="fr-CH"/>
        </w:rPr>
        <w:t>工人的就业机会，</w:t>
      </w:r>
      <w:r>
        <w:rPr>
          <w:rFonts w:hint="eastAsia"/>
          <w:snapToGrid/>
          <w:lang w:val="fr-CH"/>
        </w:rPr>
        <w:t>处理</w:t>
      </w:r>
      <w:r>
        <w:rPr>
          <w:snapToGrid/>
          <w:lang w:val="fr-CH"/>
        </w:rPr>
        <w:t>处于危</w:t>
      </w:r>
      <w:r>
        <w:rPr>
          <w:rFonts w:hint="eastAsia"/>
          <w:snapToGrid/>
          <w:lang w:val="fr-CH"/>
        </w:rPr>
        <w:t>机</w:t>
      </w:r>
      <w:r>
        <w:rPr>
          <w:snapToGrid/>
          <w:lang w:val="fr-CH"/>
        </w:rPr>
        <w:t>状态的经济部门</w:t>
      </w:r>
      <w:r>
        <w:rPr>
          <w:rFonts w:hint="eastAsia"/>
          <w:snapToGrid/>
          <w:lang w:val="fr-CH"/>
        </w:rPr>
        <w:t>的</w:t>
      </w:r>
      <w:r>
        <w:rPr>
          <w:snapToGrid/>
          <w:lang w:val="fr-CH"/>
        </w:rPr>
        <w:t>工人提出的再培训</w:t>
      </w:r>
      <w:r>
        <w:rPr>
          <w:rFonts w:hint="eastAsia"/>
          <w:snapToGrid/>
          <w:lang w:val="fr-CH"/>
        </w:rPr>
        <w:t>申请</w:t>
      </w:r>
      <w:r>
        <w:rPr>
          <w:snapToGrid/>
          <w:lang w:val="fr-CH"/>
        </w:rPr>
        <w:t>。</w:t>
      </w:r>
    </w:p>
    <w:p w:rsidR="00000000" w:rsidRDefault="009C1C61">
      <w:pPr>
        <w:rPr>
          <w:snapToGrid/>
        </w:rPr>
      </w:pPr>
      <w:r>
        <w:rPr>
          <w:rFonts w:hint="eastAsia"/>
          <w:snapToGrid/>
        </w:rPr>
        <w:tab/>
      </w:r>
      <w:r>
        <w:rPr>
          <w:snapToGrid/>
        </w:rPr>
        <w:t>168.</w:t>
      </w:r>
      <w:r>
        <w:rPr>
          <w:rFonts w:hint="eastAsia"/>
          <w:snapToGrid/>
        </w:rPr>
        <w:t xml:space="preserve">  </w:t>
      </w:r>
      <w:r>
        <w:rPr>
          <w:rFonts w:hint="eastAsia"/>
          <w:snapToGrid/>
        </w:rPr>
        <w:t>根据培训就业基金提供的数字，</w:t>
      </w:r>
      <w:r>
        <w:rPr>
          <w:rFonts w:hint="eastAsia"/>
          <w:snapToGrid/>
        </w:rPr>
        <w:t>1990</w:t>
      </w:r>
      <w:r>
        <w:rPr>
          <w:rFonts w:hint="eastAsia"/>
          <w:snapToGrid/>
        </w:rPr>
        <w:t>至</w:t>
      </w:r>
      <w:r>
        <w:rPr>
          <w:rFonts w:hint="eastAsia"/>
          <w:snapToGrid/>
        </w:rPr>
        <w:t>1998</w:t>
      </w:r>
      <w:r>
        <w:rPr>
          <w:rFonts w:hint="eastAsia"/>
          <w:snapToGrid/>
        </w:rPr>
        <w:t>年期间</w:t>
      </w:r>
      <w:r>
        <w:rPr>
          <w:rFonts w:hint="eastAsia"/>
          <w:snapToGrid/>
        </w:rPr>
        <w:t>350</w:t>
      </w:r>
      <w:r>
        <w:rPr>
          <w:rFonts w:hint="eastAsia"/>
          <w:snapToGrid/>
        </w:rPr>
        <w:t>多万工人参加了国家资助和推广的培训活动，与此同时，从业人员总数中经过培训的工作人员百分比从</w:t>
      </w:r>
      <w:r>
        <w:rPr>
          <w:rFonts w:hint="eastAsia"/>
          <w:snapToGrid/>
        </w:rPr>
        <w:t>1990</w:t>
      </w:r>
      <w:r>
        <w:rPr>
          <w:rFonts w:hint="eastAsia"/>
          <w:snapToGrid/>
        </w:rPr>
        <w:t>年的</w:t>
      </w:r>
      <w:r>
        <w:rPr>
          <w:rFonts w:hint="eastAsia"/>
          <w:snapToGrid/>
        </w:rPr>
        <w:t>4.6%</w:t>
      </w:r>
      <w:r>
        <w:rPr>
          <w:rFonts w:hint="eastAsia"/>
          <w:snapToGrid/>
        </w:rPr>
        <w:t>上</w:t>
      </w:r>
      <w:r>
        <w:rPr>
          <w:rFonts w:hint="eastAsia"/>
          <w:snapToGrid/>
        </w:rPr>
        <w:t>升至</w:t>
      </w:r>
      <w:r>
        <w:rPr>
          <w:rFonts w:hint="eastAsia"/>
          <w:snapToGrid/>
        </w:rPr>
        <w:t>1998</w:t>
      </w:r>
      <w:r>
        <w:rPr>
          <w:rFonts w:hint="eastAsia"/>
          <w:snapToGrid/>
        </w:rPr>
        <w:t>年的</w:t>
      </w:r>
      <w:r>
        <w:rPr>
          <w:rFonts w:hint="eastAsia"/>
          <w:snapToGrid/>
        </w:rPr>
        <w:t>9.6%</w:t>
      </w:r>
      <w:r>
        <w:rPr>
          <w:rFonts w:hint="eastAsia"/>
          <w:snapToGrid/>
        </w:rPr>
        <w:t>。</w:t>
      </w:r>
    </w:p>
    <w:p w:rsidR="00000000" w:rsidRDefault="009C1C61">
      <w:pPr>
        <w:rPr>
          <w:snapToGrid/>
        </w:rPr>
      </w:pPr>
      <w:r>
        <w:rPr>
          <w:rFonts w:hint="eastAsia"/>
          <w:snapToGrid/>
        </w:rPr>
        <w:tab/>
      </w:r>
      <w:r>
        <w:rPr>
          <w:snapToGrid/>
        </w:rPr>
        <w:t>169.</w:t>
      </w:r>
      <w:r>
        <w:rPr>
          <w:rFonts w:hint="eastAsia"/>
          <w:snapToGrid/>
        </w:rPr>
        <w:t xml:space="preserve">  </w:t>
      </w:r>
      <w:r>
        <w:rPr>
          <w:rFonts w:hint="eastAsia"/>
          <w:snapToGrid/>
        </w:rPr>
        <w:t>智利全国每一个行政区都设有相当数量诸如大学、专业机构和技术培训中心等机构，提供技术和</w:t>
      </w:r>
      <w:r>
        <w:rPr>
          <w:snapToGrid/>
        </w:rPr>
        <w:t>/</w:t>
      </w:r>
      <w:r>
        <w:rPr>
          <w:rFonts w:hint="eastAsia"/>
          <w:snapToGrid/>
        </w:rPr>
        <w:t>或专业培训；这些机构每年为</w:t>
      </w:r>
      <w:r>
        <w:rPr>
          <w:rFonts w:hint="eastAsia"/>
          <w:snapToGrid/>
        </w:rPr>
        <w:t>380,</w:t>
      </w:r>
      <w:r>
        <w:rPr>
          <w:snapToGrid/>
        </w:rPr>
        <w:t>000</w:t>
      </w:r>
      <w:r>
        <w:rPr>
          <w:rFonts w:hint="eastAsia"/>
          <w:snapToGrid/>
        </w:rPr>
        <w:t>多人打开了通往高等教育的道路。</w:t>
      </w:r>
    </w:p>
    <w:p w:rsidR="00000000" w:rsidRDefault="009C1C61">
      <w:pPr>
        <w:spacing w:after="240"/>
        <w:rPr>
          <w:snapToGrid/>
        </w:rPr>
      </w:pPr>
      <w:r>
        <w:rPr>
          <w:rFonts w:hint="eastAsia"/>
          <w:snapToGrid/>
        </w:rPr>
        <w:tab/>
      </w:r>
      <w:r>
        <w:rPr>
          <w:snapToGrid/>
        </w:rPr>
        <w:t>170.</w:t>
      </w:r>
      <w:r>
        <w:rPr>
          <w:rFonts w:hint="eastAsia"/>
          <w:snapToGrid/>
        </w:rPr>
        <w:t xml:space="preserve">  </w:t>
      </w:r>
      <w:r>
        <w:rPr>
          <w:rFonts w:hint="eastAsia"/>
          <w:snapToGrid/>
        </w:rPr>
        <w:t>此外，在技术培训领域，目前有</w:t>
      </w:r>
      <w:r>
        <w:rPr>
          <w:rFonts w:hint="eastAsia"/>
          <w:snapToGrid/>
        </w:rPr>
        <w:t>3,000</w:t>
      </w:r>
      <w:r>
        <w:rPr>
          <w:rFonts w:hint="eastAsia"/>
          <w:snapToGrid/>
        </w:rPr>
        <w:t>家注册的技术执行机构在开展技术培训，它们在很大的程度上可以利用各企业年度报税表中可予减免的税款。</w:t>
      </w:r>
      <w:r>
        <w:rPr>
          <w:rFonts w:hint="eastAsia"/>
          <w:snapToGrid/>
        </w:rPr>
        <w:t>1999</w:t>
      </w:r>
      <w:r>
        <w:rPr>
          <w:rFonts w:hint="eastAsia"/>
          <w:snapToGrid/>
        </w:rPr>
        <w:t>年，这些机构为</w:t>
      </w:r>
      <w:r>
        <w:rPr>
          <w:snapToGrid/>
        </w:rPr>
        <w:t>500,0</w:t>
      </w:r>
      <w:r>
        <w:rPr>
          <w:rFonts w:hint="eastAsia"/>
          <w:snapToGrid/>
        </w:rPr>
        <w:t>00</w:t>
      </w:r>
      <w:r>
        <w:rPr>
          <w:rFonts w:hint="eastAsia"/>
          <w:snapToGrid/>
        </w:rPr>
        <w:t>多名工人提供了培训。</w:t>
      </w:r>
    </w:p>
    <w:p w:rsidR="00000000" w:rsidRDefault="009C1C61">
      <w:pPr>
        <w:pStyle w:val="Heading4"/>
        <w:rPr>
          <w:rFonts w:ascii="Time New Roman" w:eastAsia="SimHei" w:hAnsi="Time New Roman"/>
          <w:u w:val="none"/>
        </w:rPr>
      </w:pPr>
      <w:r>
        <w:rPr>
          <w:rFonts w:ascii="Time New Roman" w:eastAsia="SimHei" w:hAnsi="Time New Roman" w:hint="eastAsia"/>
          <w:u w:val="none"/>
        </w:rPr>
        <w:t>在实现充分、有成果和自由选择就业道路上的困难</w:t>
      </w:r>
    </w:p>
    <w:p w:rsidR="00000000" w:rsidRDefault="009C1C61">
      <w:pPr>
        <w:rPr>
          <w:snapToGrid/>
        </w:rPr>
      </w:pPr>
      <w:r>
        <w:rPr>
          <w:rFonts w:hint="eastAsia"/>
          <w:snapToGrid/>
        </w:rPr>
        <w:tab/>
      </w:r>
      <w:r>
        <w:rPr>
          <w:snapToGrid/>
        </w:rPr>
        <w:t>171.</w:t>
      </w:r>
      <w:r>
        <w:rPr>
          <w:rFonts w:hint="eastAsia"/>
          <w:snapToGrid/>
        </w:rPr>
        <w:t xml:space="preserve">  </w:t>
      </w:r>
      <w:r>
        <w:rPr>
          <w:rFonts w:hint="eastAsia"/>
          <w:snapToGrid/>
        </w:rPr>
        <w:t>从生产率和劳务市场的工人情况来看，现有就业岗位</w:t>
      </w:r>
      <w:r>
        <w:rPr>
          <w:rFonts w:hint="eastAsia"/>
          <w:snapToGrid/>
        </w:rPr>
        <w:t>的质量和稳定性是极其重要的。相当一部分新就业岗位不稳定、保护性差，且报酬低。其结果是，始终有一部分工人处于岌岌可危的就业状况。因此，劳务政策关注的基本问题是提高就业岗位的质量。</w:t>
      </w:r>
    </w:p>
    <w:p w:rsidR="00000000" w:rsidRDefault="009C1C61">
      <w:pPr>
        <w:rPr>
          <w:snapToGrid/>
        </w:rPr>
      </w:pPr>
      <w:r>
        <w:rPr>
          <w:rFonts w:hint="eastAsia"/>
          <w:snapToGrid/>
        </w:rPr>
        <w:tab/>
      </w:r>
      <w:r>
        <w:rPr>
          <w:snapToGrid/>
        </w:rPr>
        <w:t>172.</w:t>
      </w:r>
      <w:r>
        <w:rPr>
          <w:rFonts w:hint="eastAsia"/>
          <w:snapToGrid/>
        </w:rPr>
        <w:t xml:space="preserve">  </w:t>
      </w:r>
      <w:r>
        <w:rPr>
          <w:rFonts w:hint="eastAsia"/>
          <w:snapToGrid/>
        </w:rPr>
        <w:t>就业岗位质量的概念包括工作条件、就业稳定性、社会保护和报酬等有关因素。这就可以将其确定为必须具备的一组最低条件，一个就业岗位必须达到这些条件才可视为一个可接受的工作。这些必备条件包括社会保护、就业保护</w:t>
      </w:r>
      <w:r>
        <w:rPr>
          <w:rFonts w:hint="eastAsia"/>
          <w:snapToGrid/>
        </w:rPr>
        <w:t>(</w:t>
      </w:r>
      <w:r>
        <w:rPr>
          <w:rFonts w:hint="eastAsia"/>
          <w:snapToGrid/>
        </w:rPr>
        <w:t>就业合同</w:t>
      </w:r>
      <w:r>
        <w:rPr>
          <w:rFonts w:hint="eastAsia"/>
          <w:snapToGrid/>
        </w:rPr>
        <w:t>))</w:t>
      </w:r>
      <w:r>
        <w:rPr>
          <w:rFonts w:hint="eastAsia"/>
          <w:snapToGrid/>
        </w:rPr>
        <w:t>、稳定性、工作时间、收入、工作环境等等。</w:t>
      </w:r>
    </w:p>
    <w:p w:rsidR="00000000" w:rsidRDefault="009C1C61">
      <w:pPr>
        <w:rPr>
          <w:snapToGrid/>
        </w:rPr>
      </w:pPr>
      <w:r>
        <w:rPr>
          <w:rFonts w:hint="eastAsia"/>
          <w:snapToGrid/>
        </w:rPr>
        <w:tab/>
      </w:r>
      <w:r>
        <w:rPr>
          <w:snapToGrid/>
        </w:rPr>
        <w:t>173.</w:t>
      </w:r>
      <w:r>
        <w:rPr>
          <w:rFonts w:hint="eastAsia"/>
          <w:snapToGrid/>
        </w:rPr>
        <w:t xml:space="preserve">  </w:t>
      </w:r>
      <w:r>
        <w:rPr>
          <w:rFonts w:hint="eastAsia"/>
          <w:snapToGrid/>
        </w:rPr>
        <w:t>在劳工领域可以观察到各类不同的趋势；有些质量指标显</w:t>
      </w:r>
      <w:r>
        <w:rPr>
          <w:rFonts w:hint="eastAsia"/>
          <w:snapToGrid/>
        </w:rPr>
        <w:t>示了一些改善，而另一些指标则标示出相反的情况。这就造成了对总趋势的理解困难。然而，凭借某些具体的指标，人们可形成一定的结论，运用于就业和职业政策。</w:t>
      </w:r>
    </w:p>
    <w:p w:rsidR="00000000" w:rsidRDefault="009C1C61">
      <w:pPr>
        <w:rPr>
          <w:snapToGrid/>
          <w:spacing w:val="4"/>
        </w:rPr>
      </w:pPr>
      <w:r>
        <w:rPr>
          <w:rFonts w:hint="eastAsia"/>
          <w:snapToGrid/>
          <w:spacing w:val="4"/>
        </w:rPr>
        <w:tab/>
      </w:r>
      <w:r>
        <w:rPr>
          <w:snapToGrid/>
          <w:spacing w:val="4"/>
        </w:rPr>
        <w:t>174.</w:t>
      </w:r>
      <w:r>
        <w:rPr>
          <w:rFonts w:hint="eastAsia"/>
          <w:snapToGrid/>
          <w:spacing w:val="4"/>
        </w:rPr>
        <w:t xml:space="preserve">  </w:t>
      </w:r>
      <w:r>
        <w:rPr>
          <w:rFonts w:hint="eastAsia"/>
          <w:snapToGrid/>
          <w:spacing w:val="4"/>
        </w:rPr>
        <w:t>影响工作质量的两个核心因素是，没有就业合同和社会保险的保护。根据现有资料，</w:t>
      </w:r>
      <w:r>
        <w:rPr>
          <w:rFonts w:hint="eastAsia"/>
          <w:snapToGrid/>
          <w:spacing w:val="4"/>
        </w:rPr>
        <w:t>1990</w:t>
      </w:r>
      <w:r>
        <w:rPr>
          <w:rFonts w:hint="eastAsia"/>
          <w:snapToGrid/>
          <w:spacing w:val="4"/>
        </w:rPr>
        <w:t>至</w:t>
      </w:r>
      <w:r>
        <w:rPr>
          <w:rFonts w:hint="eastAsia"/>
          <w:snapToGrid/>
          <w:spacing w:val="4"/>
        </w:rPr>
        <w:t>1998</w:t>
      </w:r>
      <w:r>
        <w:rPr>
          <w:rFonts w:hint="eastAsia"/>
          <w:snapToGrid/>
          <w:spacing w:val="4"/>
        </w:rPr>
        <w:t>年期间，无合同受雇领薪人员的比例增长。最贫困雇员</w:t>
      </w:r>
      <w:r>
        <w:rPr>
          <w:snapToGrid/>
          <w:spacing w:val="4"/>
        </w:rPr>
        <w:t>(</w:t>
      </w:r>
      <w:r>
        <w:rPr>
          <w:rFonts w:hint="eastAsia"/>
          <w:snapToGrid/>
          <w:spacing w:val="4"/>
        </w:rPr>
        <w:t>收入居五等分层</w:t>
      </w:r>
      <w:r>
        <w:rPr>
          <w:rFonts w:hint="eastAsia"/>
          <w:snapToGrid/>
          <w:spacing w:val="4"/>
        </w:rPr>
        <w:t xml:space="preserve"> </w:t>
      </w:r>
      <w:r>
        <w:rPr>
          <w:rStyle w:val="FootnoteReference"/>
          <w:snapToGrid/>
          <w:spacing w:val="4"/>
        </w:rPr>
        <w:footnoteReference w:id="42"/>
      </w:r>
      <w:r>
        <w:rPr>
          <w:rFonts w:hint="eastAsia"/>
          <w:snapToGrid/>
          <w:spacing w:val="4"/>
        </w:rPr>
        <w:t xml:space="preserve"> </w:t>
      </w:r>
      <w:r>
        <w:rPr>
          <w:rFonts w:hint="eastAsia"/>
          <w:snapToGrid/>
          <w:spacing w:val="4"/>
        </w:rPr>
        <w:t>中的第</w:t>
      </w:r>
      <w:r>
        <w:rPr>
          <w:rFonts w:hint="eastAsia"/>
          <w:snapToGrid/>
          <w:spacing w:val="4"/>
        </w:rPr>
        <w:t>1</w:t>
      </w:r>
      <w:r>
        <w:rPr>
          <w:rFonts w:hint="eastAsia"/>
          <w:snapToGrid/>
          <w:spacing w:val="4"/>
        </w:rPr>
        <w:t>和第</w:t>
      </w:r>
      <w:r>
        <w:rPr>
          <w:rFonts w:hint="eastAsia"/>
          <w:snapToGrid/>
          <w:spacing w:val="4"/>
        </w:rPr>
        <w:t>2</w:t>
      </w:r>
      <w:r>
        <w:rPr>
          <w:rFonts w:hint="eastAsia"/>
          <w:snapToGrid/>
          <w:spacing w:val="4"/>
        </w:rPr>
        <w:t>层</w:t>
      </w:r>
      <w:r>
        <w:rPr>
          <w:rFonts w:hint="eastAsia"/>
          <w:snapToGrid/>
          <w:spacing w:val="4"/>
        </w:rPr>
        <w:t>)</w:t>
      </w:r>
      <w:r>
        <w:rPr>
          <w:rFonts w:hint="eastAsia"/>
          <w:snapToGrid/>
          <w:spacing w:val="4"/>
        </w:rPr>
        <w:t>和妇女往往处于此种状况。</w:t>
      </w:r>
      <w:r>
        <w:rPr>
          <w:rFonts w:hint="eastAsia"/>
          <w:snapToGrid/>
          <w:spacing w:val="4"/>
        </w:rPr>
        <w:t>1998</w:t>
      </w:r>
      <w:r>
        <w:rPr>
          <w:rFonts w:hint="eastAsia"/>
          <w:snapToGrid/>
          <w:spacing w:val="4"/>
        </w:rPr>
        <w:t>年，</w:t>
      </w:r>
      <w:r>
        <w:rPr>
          <w:snapToGrid/>
          <w:spacing w:val="4"/>
        </w:rPr>
        <w:t>24.7%</w:t>
      </w:r>
      <w:r>
        <w:rPr>
          <w:rFonts w:hint="eastAsia"/>
          <w:snapToGrid/>
          <w:spacing w:val="4"/>
        </w:rPr>
        <w:t>的领薪雇员</w:t>
      </w:r>
      <w:r>
        <w:rPr>
          <w:rFonts w:hint="eastAsia"/>
          <w:snapToGrid/>
          <w:spacing w:val="4"/>
        </w:rPr>
        <w:t>(958,000</w:t>
      </w:r>
      <w:r>
        <w:rPr>
          <w:rFonts w:hint="eastAsia"/>
          <w:snapToGrid/>
          <w:spacing w:val="4"/>
        </w:rPr>
        <w:t>人</w:t>
      </w:r>
      <w:r>
        <w:rPr>
          <w:rFonts w:hint="eastAsia"/>
          <w:snapToGrid/>
          <w:spacing w:val="4"/>
        </w:rPr>
        <w:t>)</w:t>
      </w:r>
      <w:r>
        <w:rPr>
          <w:rFonts w:hint="eastAsia"/>
          <w:snapToGrid/>
          <w:spacing w:val="4"/>
        </w:rPr>
        <w:t>没有就业合同。</w:t>
      </w:r>
      <w:r>
        <w:rPr>
          <w:rFonts w:hint="eastAsia"/>
          <w:snapToGrid/>
          <w:spacing w:val="4"/>
        </w:rPr>
        <w:t>1999</w:t>
      </w:r>
      <w:r>
        <w:rPr>
          <w:rFonts w:hint="eastAsia"/>
          <w:snapToGrid/>
          <w:spacing w:val="4"/>
        </w:rPr>
        <w:t>年向社会保险制度缴款的受雇人员总比例约为</w:t>
      </w:r>
      <w:r>
        <w:rPr>
          <w:rFonts w:hint="eastAsia"/>
          <w:snapToGrid/>
          <w:spacing w:val="4"/>
        </w:rPr>
        <w:t>63%</w:t>
      </w:r>
      <w:r>
        <w:rPr>
          <w:rFonts w:hint="eastAsia"/>
          <w:snapToGrid/>
          <w:spacing w:val="4"/>
        </w:rPr>
        <w:t>。</w:t>
      </w:r>
    </w:p>
    <w:p w:rsidR="00000000" w:rsidRDefault="009C1C61">
      <w:pPr>
        <w:rPr>
          <w:snapToGrid/>
        </w:rPr>
      </w:pPr>
      <w:r>
        <w:rPr>
          <w:rFonts w:hint="eastAsia"/>
          <w:snapToGrid/>
        </w:rPr>
        <w:tab/>
      </w:r>
      <w:r>
        <w:rPr>
          <w:snapToGrid/>
        </w:rPr>
        <w:t>175.</w:t>
      </w:r>
      <w:r>
        <w:rPr>
          <w:rFonts w:hint="eastAsia"/>
          <w:snapToGrid/>
        </w:rPr>
        <w:t xml:space="preserve">  </w:t>
      </w:r>
      <w:r>
        <w:rPr>
          <w:rFonts w:hint="eastAsia"/>
          <w:snapToGrid/>
        </w:rPr>
        <w:t>与工作岗</w:t>
      </w:r>
      <w:r>
        <w:rPr>
          <w:rFonts w:hint="eastAsia"/>
          <w:snapToGrid/>
        </w:rPr>
        <w:t>位质量相关的第三个因素是报酬的水平、趋势和差距。</w:t>
      </w:r>
      <w:r>
        <w:rPr>
          <w:rFonts w:hint="eastAsia"/>
          <w:snapToGrid/>
        </w:rPr>
        <w:t>1990</w:t>
      </w:r>
      <w:r>
        <w:rPr>
          <w:rFonts w:hint="eastAsia"/>
          <w:snapToGrid/>
        </w:rPr>
        <w:t>至</w:t>
      </w:r>
      <w:r>
        <w:rPr>
          <w:rFonts w:hint="eastAsia"/>
          <w:snapToGrid/>
        </w:rPr>
        <w:t>2000</w:t>
      </w:r>
      <w:r>
        <w:rPr>
          <w:rFonts w:hint="eastAsia"/>
          <w:snapToGrid/>
        </w:rPr>
        <w:t>年期间，平均工作收入出现上浮，按实际价值计算，每年增长约</w:t>
      </w:r>
      <w:r>
        <w:rPr>
          <w:rFonts w:hint="eastAsia"/>
          <w:snapToGrid/>
        </w:rPr>
        <w:t>4.3%</w:t>
      </w:r>
      <w:r>
        <w:rPr>
          <w:rFonts w:hint="eastAsia"/>
          <w:snapToGrid/>
        </w:rPr>
        <w:t>。然而，增长率的差别仍然可见。在收入五等分层的最低层次中，增长率较低。这种状况促使不同社会经济层次之间的差距拉大，因为五等分层中第</w:t>
      </w:r>
      <w:r>
        <w:rPr>
          <w:rFonts w:hint="eastAsia"/>
          <w:snapToGrid/>
        </w:rPr>
        <w:t>1</w:t>
      </w:r>
      <w:r>
        <w:rPr>
          <w:rFonts w:hint="eastAsia"/>
          <w:snapToGrid/>
        </w:rPr>
        <w:t>、</w:t>
      </w:r>
      <w:r>
        <w:rPr>
          <w:rFonts w:hint="eastAsia"/>
          <w:snapToGrid/>
        </w:rPr>
        <w:t>2</w:t>
      </w:r>
      <w:r>
        <w:rPr>
          <w:rFonts w:hint="eastAsia"/>
          <w:snapToGrid/>
        </w:rPr>
        <w:t>和</w:t>
      </w:r>
      <w:r>
        <w:rPr>
          <w:rFonts w:hint="eastAsia"/>
          <w:snapToGrid/>
        </w:rPr>
        <w:t>3</w:t>
      </w:r>
      <w:r>
        <w:rPr>
          <w:rFonts w:hint="eastAsia"/>
          <w:snapToGrid/>
        </w:rPr>
        <w:t>层的工人不仅收入相对较低，甚至还低于全国平均收入。</w:t>
      </w:r>
    </w:p>
    <w:p w:rsidR="00000000" w:rsidRDefault="009C1C61">
      <w:pPr>
        <w:rPr>
          <w:snapToGrid/>
          <w:lang w:val="fr-CH"/>
        </w:rPr>
      </w:pPr>
      <w:r>
        <w:rPr>
          <w:rFonts w:hint="eastAsia"/>
          <w:snapToGrid/>
          <w:lang w:val="fr-CH"/>
        </w:rPr>
        <w:tab/>
      </w:r>
      <w:r>
        <w:rPr>
          <w:snapToGrid/>
          <w:lang w:val="fr-CH"/>
        </w:rPr>
        <w:t>176.</w:t>
      </w:r>
      <w:r>
        <w:rPr>
          <w:rFonts w:hint="eastAsia"/>
          <w:snapToGrid/>
          <w:lang w:val="fr-CH"/>
        </w:rPr>
        <w:t xml:space="preserve">  </w:t>
      </w:r>
      <w:r>
        <w:rPr>
          <w:rFonts w:hint="eastAsia"/>
          <w:snapToGrid/>
          <w:lang w:val="fr-CH"/>
        </w:rPr>
        <w:t>对进行这些</w:t>
      </w:r>
      <w:r>
        <w:rPr>
          <w:snapToGrid/>
          <w:lang w:val="fr-CH"/>
        </w:rPr>
        <w:t>研究具</w:t>
      </w:r>
      <w:r>
        <w:rPr>
          <w:rFonts w:hint="eastAsia"/>
          <w:snapToGrid/>
          <w:lang w:val="fr-CH"/>
        </w:rPr>
        <w:t>有特别</w:t>
      </w:r>
      <w:r>
        <w:rPr>
          <w:snapToGrid/>
          <w:lang w:val="fr-CH"/>
        </w:rPr>
        <w:t>重要意义</w:t>
      </w:r>
      <w:r>
        <w:rPr>
          <w:rFonts w:hint="eastAsia"/>
          <w:snapToGrid/>
          <w:lang w:val="fr-CH"/>
        </w:rPr>
        <w:t>的是首</w:t>
      </w:r>
      <w:r>
        <w:rPr>
          <w:snapToGrid/>
          <w:lang w:val="fr-CH"/>
        </w:rPr>
        <w:t>创了</w:t>
      </w:r>
      <w:r>
        <w:rPr>
          <w:rFonts w:hint="eastAsia"/>
          <w:snapToGrid/>
          <w:lang w:val="fr-CH"/>
        </w:rPr>
        <w:t>国家</w:t>
      </w:r>
      <w:r>
        <w:rPr>
          <w:snapToGrid/>
          <w:lang w:val="fr-CH"/>
        </w:rPr>
        <w:t>社会经济</w:t>
      </w:r>
      <w:r>
        <w:rPr>
          <w:rFonts w:hint="eastAsia"/>
          <w:snapToGrid/>
          <w:lang w:val="fr-CH"/>
        </w:rPr>
        <w:t>特征</w:t>
      </w:r>
      <w:r>
        <w:rPr>
          <w:snapToGrid/>
          <w:lang w:val="fr-CH"/>
        </w:rPr>
        <w:t>调</w:t>
      </w:r>
      <w:r>
        <w:rPr>
          <w:rFonts w:hint="eastAsia"/>
          <w:snapToGrid/>
          <w:lang w:val="fr-CH"/>
        </w:rPr>
        <w:t>查</w:t>
      </w:r>
      <w:r>
        <w:rPr>
          <w:rFonts w:hint="eastAsia"/>
          <w:snapToGrid/>
          <w:lang w:val="fr-CH"/>
        </w:rPr>
        <w:t>(</w:t>
      </w:r>
      <w:r>
        <w:rPr>
          <w:rFonts w:hint="eastAsia"/>
          <w:snapToGrid/>
          <w:lang w:val="fr-CH"/>
        </w:rPr>
        <w:t>社经特征调查</w:t>
      </w:r>
      <w:r>
        <w:rPr>
          <w:rFonts w:hint="eastAsia"/>
          <w:snapToGrid/>
          <w:lang w:val="fr-CH"/>
        </w:rPr>
        <w:t>)</w:t>
      </w:r>
      <w:r>
        <w:rPr>
          <w:snapToGrid/>
          <w:lang w:val="fr-CH"/>
        </w:rPr>
        <w:t>。</w:t>
      </w:r>
      <w:r>
        <w:rPr>
          <w:rFonts w:hint="eastAsia"/>
          <w:snapToGrid/>
          <w:lang w:val="fr-CH"/>
        </w:rPr>
        <w:t>社经特征调查</w:t>
      </w:r>
      <w:r>
        <w:rPr>
          <w:snapToGrid/>
          <w:lang w:val="fr-CH"/>
        </w:rPr>
        <w:t>旨在定期确</w:t>
      </w:r>
      <w:r>
        <w:rPr>
          <w:rFonts w:hint="eastAsia"/>
          <w:snapToGrid/>
          <w:lang w:val="fr-CH"/>
        </w:rPr>
        <w:t>定</w:t>
      </w:r>
      <w:r>
        <w:rPr>
          <w:snapToGrid/>
          <w:lang w:val="fr-CH"/>
        </w:rPr>
        <w:t>各</w:t>
      </w:r>
      <w:r>
        <w:rPr>
          <w:rFonts w:hint="eastAsia"/>
          <w:snapToGrid/>
          <w:lang w:val="fr-CH"/>
        </w:rPr>
        <w:t>居民</w:t>
      </w:r>
      <w:r>
        <w:rPr>
          <w:snapToGrid/>
          <w:lang w:val="fr-CH"/>
        </w:rPr>
        <w:t>户及</w:t>
      </w:r>
      <w:r>
        <w:rPr>
          <w:rFonts w:hint="eastAsia"/>
          <w:snapToGrid/>
          <w:lang w:val="fr-CH"/>
        </w:rPr>
        <w:t>全体居民</w:t>
      </w:r>
      <w:r>
        <w:rPr>
          <w:snapToGrid/>
          <w:lang w:val="fr-CH"/>
        </w:rPr>
        <w:t>的社会经济情况，并且评估社会方案的</w:t>
      </w:r>
      <w:r>
        <w:rPr>
          <w:rFonts w:hint="eastAsia"/>
          <w:snapToGrid/>
        </w:rPr>
        <w:t>针对性和再分配效力</w:t>
      </w:r>
      <w:r>
        <w:rPr>
          <w:snapToGrid/>
          <w:lang w:val="fr-CH"/>
        </w:rPr>
        <w:t>，</w:t>
      </w:r>
      <w:r>
        <w:rPr>
          <w:rFonts w:hint="eastAsia"/>
          <w:snapToGrid/>
          <w:lang w:val="fr-CH"/>
        </w:rPr>
        <w:t>从</w:t>
      </w:r>
      <w:r>
        <w:rPr>
          <w:rFonts w:hint="eastAsia"/>
          <w:snapToGrid/>
          <w:lang w:val="fr-CH"/>
        </w:rPr>
        <w:t>而有助于</w:t>
      </w:r>
      <w:r>
        <w:rPr>
          <w:snapToGrid/>
          <w:lang w:val="fr-CH"/>
        </w:rPr>
        <w:t>社会政策</w:t>
      </w:r>
      <w:r>
        <w:rPr>
          <w:rFonts w:hint="eastAsia"/>
          <w:snapToGrid/>
          <w:lang w:val="fr-CH"/>
        </w:rPr>
        <w:t>的</w:t>
      </w:r>
      <w:r>
        <w:rPr>
          <w:snapToGrid/>
          <w:lang w:val="fr-CH"/>
        </w:rPr>
        <w:t>制订和评</w:t>
      </w:r>
      <w:r>
        <w:rPr>
          <w:rFonts w:hint="eastAsia"/>
          <w:snapToGrid/>
          <w:lang w:val="fr-CH"/>
        </w:rPr>
        <w:t>价工作</w:t>
      </w:r>
      <w:r>
        <w:rPr>
          <w:snapToGrid/>
          <w:lang w:val="fr-CH"/>
        </w:rPr>
        <w:t>。</w:t>
      </w:r>
      <w:r>
        <w:rPr>
          <w:rFonts w:hint="eastAsia"/>
          <w:snapToGrid/>
          <w:lang w:val="fr-CH"/>
        </w:rPr>
        <w:t>社经特征调查从</w:t>
      </w:r>
      <w:r>
        <w:rPr>
          <w:snapToGrid/>
          <w:lang w:val="fr-CH"/>
        </w:rPr>
        <w:t>国家和</w:t>
      </w:r>
      <w:r>
        <w:rPr>
          <w:rFonts w:hint="eastAsia"/>
          <w:snapToGrid/>
          <w:lang w:val="fr-CH"/>
        </w:rPr>
        <w:t>地区两</w:t>
      </w:r>
      <w:r>
        <w:rPr>
          <w:snapToGrid/>
          <w:lang w:val="fr-CH"/>
        </w:rPr>
        <w:t>级，</w:t>
      </w:r>
      <w:r>
        <w:rPr>
          <w:rFonts w:hint="eastAsia"/>
          <w:snapToGrid/>
          <w:lang w:val="fr-CH"/>
        </w:rPr>
        <w:t>按</w:t>
      </w:r>
      <w:r>
        <w:rPr>
          <w:snapToGrid/>
          <w:lang w:val="fr-CH"/>
        </w:rPr>
        <w:t>城市和乡镇地区</w:t>
      </w:r>
      <w:r>
        <w:rPr>
          <w:rFonts w:hint="eastAsia"/>
          <w:snapToGrid/>
          <w:lang w:val="fr-CH"/>
        </w:rPr>
        <w:t>有代表性地反映全国各</w:t>
      </w:r>
      <w:r>
        <w:rPr>
          <w:snapToGrid/>
          <w:lang w:val="fr-CH"/>
        </w:rPr>
        <w:t>家</w:t>
      </w:r>
      <w:r>
        <w:rPr>
          <w:rFonts w:hint="eastAsia"/>
          <w:snapToGrid/>
          <w:lang w:val="fr-CH"/>
        </w:rPr>
        <w:t>各</w:t>
      </w:r>
      <w:r>
        <w:rPr>
          <w:snapToGrid/>
          <w:lang w:val="fr-CH"/>
        </w:rPr>
        <w:t>户的</w:t>
      </w:r>
      <w:r>
        <w:rPr>
          <w:rFonts w:hint="eastAsia"/>
          <w:snapToGrid/>
          <w:lang w:val="fr-CH"/>
        </w:rPr>
        <w:t>情况</w:t>
      </w:r>
      <w:r>
        <w:rPr>
          <w:snapToGrid/>
          <w:lang w:val="fr-CH"/>
        </w:rPr>
        <w:t>。除了</w:t>
      </w:r>
      <w:r>
        <w:rPr>
          <w:snapToGrid/>
          <w:lang w:val="fr-CH"/>
        </w:rPr>
        <w:t>1989</w:t>
      </w:r>
      <w:r>
        <w:rPr>
          <w:snapToGrid/>
          <w:lang w:val="fr-CH"/>
        </w:rPr>
        <w:t>年的调查不得不推至</w:t>
      </w:r>
      <w:r>
        <w:rPr>
          <w:rFonts w:hint="eastAsia"/>
          <w:snapToGrid/>
          <w:lang w:val="fr-CH"/>
        </w:rPr>
        <w:t>1</w:t>
      </w:r>
      <w:r>
        <w:rPr>
          <w:snapToGrid/>
          <w:lang w:val="fr-CH"/>
        </w:rPr>
        <w:t>990</w:t>
      </w:r>
      <w:r>
        <w:rPr>
          <w:snapToGrid/>
          <w:lang w:val="fr-CH"/>
        </w:rPr>
        <w:t>年</w:t>
      </w:r>
      <w:r>
        <w:rPr>
          <w:rFonts w:hint="eastAsia"/>
          <w:snapToGrid/>
          <w:lang w:val="fr-CH"/>
        </w:rPr>
        <w:t>进行</w:t>
      </w:r>
      <w:r>
        <w:rPr>
          <w:snapToGrid/>
          <w:lang w:val="fr-CH"/>
        </w:rPr>
        <w:t>之外，</w:t>
      </w:r>
      <w:r>
        <w:rPr>
          <w:rFonts w:hint="eastAsia"/>
          <w:snapToGrid/>
          <w:lang w:val="fr-CH"/>
        </w:rPr>
        <w:t>从</w:t>
      </w:r>
      <w:r>
        <w:rPr>
          <w:snapToGrid/>
          <w:lang w:val="fr-CH"/>
        </w:rPr>
        <w:t>1985</w:t>
      </w:r>
      <w:r>
        <w:rPr>
          <w:snapToGrid/>
          <w:lang w:val="fr-CH"/>
        </w:rPr>
        <w:t>年</w:t>
      </w:r>
      <w:r>
        <w:rPr>
          <w:rFonts w:hint="eastAsia"/>
          <w:snapToGrid/>
          <w:lang w:val="fr-CH"/>
        </w:rPr>
        <w:t>起</w:t>
      </w:r>
      <w:r>
        <w:rPr>
          <w:snapToGrid/>
          <w:lang w:val="fr-CH"/>
        </w:rPr>
        <w:t>，每年</w:t>
      </w:r>
      <w:r>
        <w:rPr>
          <w:rFonts w:hint="eastAsia"/>
          <w:snapToGrid/>
          <w:lang w:val="fr-CH"/>
        </w:rPr>
        <w:t>展开</w:t>
      </w:r>
      <w:r>
        <w:rPr>
          <w:snapToGrid/>
          <w:lang w:val="fr-CH"/>
        </w:rPr>
        <w:t>一次调</w:t>
      </w:r>
      <w:r>
        <w:rPr>
          <w:rFonts w:hint="eastAsia"/>
          <w:snapToGrid/>
          <w:lang w:val="fr-CH"/>
        </w:rPr>
        <w:t>查</w:t>
      </w:r>
      <w:r>
        <w:rPr>
          <w:snapToGrid/>
          <w:lang w:val="fr-CH"/>
        </w:rPr>
        <w:t>。</w:t>
      </w:r>
    </w:p>
    <w:p w:rsidR="00000000" w:rsidRDefault="009C1C61">
      <w:pPr>
        <w:rPr>
          <w:snapToGrid/>
          <w:lang w:val="fr-CH"/>
        </w:rPr>
      </w:pPr>
      <w:r>
        <w:rPr>
          <w:rFonts w:hint="eastAsia"/>
          <w:snapToGrid/>
          <w:lang w:val="fr-CH"/>
        </w:rPr>
        <w:tab/>
      </w:r>
      <w:r>
        <w:rPr>
          <w:snapToGrid/>
          <w:lang w:val="fr-CH"/>
        </w:rPr>
        <w:t>177.</w:t>
      </w:r>
      <w:r>
        <w:rPr>
          <w:rFonts w:hint="eastAsia"/>
          <w:snapToGrid/>
          <w:lang w:val="fr-CH"/>
        </w:rPr>
        <w:t xml:space="preserve">  </w:t>
      </w:r>
      <w:r>
        <w:rPr>
          <w:snapToGrid/>
          <w:lang w:val="fr-CH"/>
        </w:rPr>
        <w:t>如果按人均贫穷线</w:t>
      </w:r>
      <w:r>
        <w:rPr>
          <w:snapToGrid/>
          <w:lang w:val="fr-CH"/>
        </w:rPr>
        <w:t>(</w:t>
      </w:r>
      <w:r>
        <w:rPr>
          <w:snapToGrid/>
          <w:lang w:val="fr-CH"/>
        </w:rPr>
        <w:t>均</w:t>
      </w:r>
      <w:r>
        <w:rPr>
          <w:rFonts w:hint="eastAsia"/>
          <w:snapToGrid/>
          <w:lang w:val="fr-CH"/>
        </w:rPr>
        <w:t>困</w:t>
      </w:r>
      <w:r>
        <w:rPr>
          <w:snapToGrid/>
          <w:lang w:val="fr-CH"/>
        </w:rPr>
        <w:t>)</w:t>
      </w:r>
      <w:r>
        <w:rPr>
          <w:rFonts w:hint="eastAsia"/>
          <w:snapToGrid/>
          <w:lang w:val="fr-CH"/>
        </w:rPr>
        <w:t xml:space="preserve"> </w:t>
      </w:r>
      <w:r>
        <w:rPr>
          <w:rStyle w:val="FootnoteReference"/>
          <w:snapToGrid/>
          <w:lang w:val="fr-CH"/>
        </w:rPr>
        <w:footnoteReference w:id="43"/>
      </w:r>
      <w:r>
        <w:rPr>
          <w:rFonts w:hint="eastAsia"/>
          <w:snapToGrid/>
          <w:lang w:val="fr-CH"/>
        </w:rPr>
        <w:t xml:space="preserve"> </w:t>
      </w:r>
      <w:r>
        <w:rPr>
          <w:rFonts w:hint="eastAsia"/>
          <w:snapToGrid/>
          <w:lang w:val="fr-CH"/>
        </w:rPr>
        <w:t>表</w:t>
      </w:r>
      <w:r>
        <w:rPr>
          <w:snapToGrid/>
          <w:lang w:val="fr-CH"/>
        </w:rPr>
        <w:t>示</w:t>
      </w:r>
      <w:r>
        <w:rPr>
          <w:rFonts w:hint="eastAsia"/>
          <w:snapToGrid/>
          <w:lang w:val="fr-CH"/>
        </w:rPr>
        <w:t>平均</w:t>
      </w:r>
      <w:r>
        <w:rPr>
          <w:snapToGrid/>
          <w:lang w:val="fr-CH"/>
        </w:rPr>
        <w:t>收入，</w:t>
      </w:r>
      <w:r>
        <w:rPr>
          <w:snapToGrid/>
          <w:lang w:val="fr-CH"/>
        </w:rPr>
        <w:t>1990</w:t>
      </w:r>
      <w:r>
        <w:rPr>
          <w:snapToGrid/>
          <w:lang w:val="fr-CH"/>
        </w:rPr>
        <w:t>年</w:t>
      </w:r>
      <w:r>
        <w:rPr>
          <w:rFonts w:hint="eastAsia"/>
          <w:snapToGrid/>
          <w:lang w:val="fr-CH"/>
        </w:rPr>
        <w:t>五等分层中</w:t>
      </w:r>
      <w:r>
        <w:rPr>
          <w:snapToGrid/>
          <w:lang w:val="fr-CH"/>
        </w:rPr>
        <w:t>第</w:t>
      </w:r>
      <w:r>
        <w:rPr>
          <w:rFonts w:hint="eastAsia"/>
          <w:snapToGrid/>
          <w:lang w:val="fr-CH"/>
        </w:rPr>
        <w:t>1</w:t>
      </w:r>
      <w:r>
        <w:rPr>
          <w:snapToGrid/>
          <w:lang w:val="fr-CH"/>
        </w:rPr>
        <w:t>和第</w:t>
      </w:r>
      <w:r>
        <w:rPr>
          <w:rFonts w:hint="eastAsia"/>
          <w:snapToGrid/>
          <w:lang w:val="fr-CH"/>
        </w:rPr>
        <w:t>2</w:t>
      </w:r>
      <w:r>
        <w:rPr>
          <w:rFonts w:hint="eastAsia"/>
          <w:snapToGrid/>
          <w:lang w:val="fr-CH"/>
        </w:rPr>
        <w:t>层的比值分别为</w:t>
      </w:r>
      <w:r>
        <w:rPr>
          <w:snapToGrid/>
          <w:lang w:val="fr-CH"/>
        </w:rPr>
        <w:t>1.5</w:t>
      </w:r>
      <w:r>
        <w:rPr>
          <w:snapToGrid/>
          <w:lang w:val="fr-CH"/>
        </w:rPr>
        <w:t>和</w:t>
      </w:r>
      <w:r>
        <w:rPr>
          <w:snapToGrid/>
          <w:lang w:val="fr-CH"/>
        </w:rPr>
        <w:t>2.1,</w:t>
      </w:r>
      <w:r>
        <w:rPr>
          <w:snapToGrid/>
          <w:lang w:val="fr-CH"/>
        </w:rPr>
        <w:t>而</w:t>
      </w:r>
      <w:r>
        <w:rPr>
          <w:snapToGrid/>
          <w:lang w:val="fr-CH"/>
        </w:rPr>
        <w:t>1998</w:t>
      </w:r>
      <w:r>
        <w:rPr>
          <w:snapToGrid/>
          <w:lang w:val="fr-CH"/>
        </w:rPr>
        <w:t>年则分别为</w:t>
      </w:r>
      <w:r>
        <w:rPr>
          <w:snapToGrid/>
          <w:lang w:val="fr-CH"/>
        </w:rPr>
        <w:t>2.1</w:t>
      </w:r>
      <w:r>
        <w:rPr>
          <w:snapToGrid/>
          <w:lang w:val="fr-CH"/>
        </w:rPr>
        <w:t>和</w:t>
      </w:r>
      <w:r>
        <w:rPr>
          <w:snapToGrid/>
          <w:lang w:val="fr-CH"/>
        </w:rPr>
        <w:t>3.0,</w:t>
      </w:r>
      <w:r>
        <w:rPr>
          <w:rFonts w:hint="eastAsia"/>
          <w:snapToGrid/>
          <w:lang w:val="fr-CH"/>
        </w:rPr>
        <w:t>因而跨越了</w:t>
      </w:r>
      <w:r>
        <w:rPr>
          <w:rFonts w:hint="eastAsia"/>
          <w:snapToGrid/>
          <w:lang w:val="fr-CH"/>
        </w:rPr>
        <w:t>2</w:t>
      </w:r>
      <w:r>
        <w:rPr>
          <w:rFonts w:hint="eastAsia"/>
          <w:snapToGrid/>
          <w:lang w:val="fr-CH"/>
        </w:rPr>
        <w:t>倍人均</w:t>
      </w:r>
      <w:r>
        <w:rPr>
          <w:snapToGrid/>
          <w:lang w:val="fr-CH"/>
        </w:rPr>
        <w:t>贫困</w:t>
      </w:r>
      <w:r>
        <w:rPr>
          <w:rFonts w:hint="eastAsia"/>
          <w:snapToGrid/>
          <w:lang w:val="fr-CH"/>
        </w:rPr>
        <w:t>线，而</w:t>
      </w:r>
      <w:r>
        <w:rPr>
          <w:rFonts w:hint="eastAsia"/>
          <w:snapToGrid/>
          <w:lang w:val="fr-CH"/>
        </w:rPr>
        <w:t>2</w:t>
      </w:r>
      <w:r>
        <w:rPr>
          <w:rFonts w:hint="eastAsia"/>
          <w:snapToGrid/>
          <w:lang w:val="fr-CH"/>
        </w:rPr>
        <w:t>倍人均贫困线是一项工作按照劳动收入计算不划归为贫穷性质的工作的最低收入水平。</w:t>
      </w:r>
      <w:r>
        <w:rPr>
          <w:rStyle w:val="FootnoteReference"/>
          <w:snapToGrid/>
          <w:lang w:val="fr-CH"/>
        </w:rPr>
        <w:footnoteReference w:id="44"/>
      </w:r>
    </w:p>
    <w:p w:rsidR="00000000" w:rsidRDefault="009C1C61">
      <w:pPr>
        <w:rPr>
          <w:rFonts w:hint="eastAsia"/>
          <w:snapToGrid/>
          <w:lang w:val="fr-CH"/>
        </w:rPr>
      </w:pPr>
      <w:r>
        <w:rPr>
          <w:rFonts w:hint="eastAsia"/>
          <w:snapToGrid/>
          <w:lang w:val="fr-CH"/>
        </w:rPr>
        <w:tab/>
      </w:r>
      <w:r>
        <w:rPr>
          <w:snapToGrid/>
          <w:lang w:val="fr-CH"/>
        </w:rPr>
        <w:t>178.</w:t>
      </w:r>
      <w:r>
        <w:rPr>
          <w:rFonts w:hint="eastAsia"/>
          <w:snapToGrid/>
          <w:lang w:val="fr-CH"/>
        </w:rPr>
        <w:t xml:space="preserve">  </w:t>
      </w:r>
      <w:r>
        <w:rPr>
          <w:rFonts w:hint="eastAsia"/>
          <w:snapToGrid/>
          <w:lang w:val="fr-CH"/>
        </w:rPr>
        <w:t>从业</w:t>
      </w:r>
      <w:r>
        <w:rPr>
          <w:snapToGrid/>
          <w:lang w:val="fr-CH"/>
        </w:rPr>
        <w:t>人员</w:t>
      </w:r>
      <w:r>
        <w:rPr>
          <w:rFonts w:hint="eastAsia"/>
          <w:snapToGrid/>
          <w:lang w:val="fr-CH"/>
        </w:rPr>
        <w:t>月</w:t>
      </w:r>
      <w:r>
        <w:rPr>
          <w:snapToGrid/>
          <w:lang w:val="fr-CH"/>
        </w:rPr>
        <w:t>收入</w:t>
      </w:r>
      <w:r>
        <w:rPr>
          <w:rFonts w:hint="eastAsia"/>
          <w:snapToGrid/>
          <w:lang w:val="fr-CH"/>
        </w:rPr>
        <w:t>分布情况有助于作出结</w:t>
      </w:r>
      <w:r>
        <w:rPr>
          <w:rFonts w:hint="eastAsia"/>
          <w:snapToGrid/>
          <w:lang w:val="fr-CH"/>
        </w:rPr>
        <w:t>论，说明</w:t>
      </w:r>
      <w:r>
        <w:rPr>
          <w:snapToGrid/>
          <w:lang w:val="fr-CH"/>
        </w:rPr>
        <w:t>各</w:t>
      </w:r>
      <w:r>
        <w:rPr>
          <w:rFonts w:hint="eastAsia"/>
          <w:snapToGrid/>
          <w:lang w:val="fr-CH"/>
        </w:rPr>
        <w:t>种</w:t>
      </w:r>
      <w:r>
        <w:rPr>
          <w:snapToGrid/>
          <w:lang w:val="fr-CH"/>
        </w:rPr>
        <w:t>收入水平的</w:t>
      </w:r>
      <w:r>
        <w:rPr>
          <w:rFonts w:hint="eastAsia"/>
          <w:snapToGrid/>
          <w:lang w:val="fr-CH"/>
        </w:rPr>
        <w:t>比重</w:t>
      </w:r>
      <w:r>
        <w:rPr>
          <w:snapToGrid/>
          <w:lang w:val="fr-CH"/>
        </w:rPr>
        <w:t>，尤其就最低收入群体情况。</w:t>
      </w:r>
      <w:r>
        <w:rPr>
          <w:snapToGrid/>
          <w:lang w:val="fr-CH"/>
        </w:rPr>
        <w:t>1990</w:t>
      </w:r>
      <w:r>
        <w:rPr>
          <w:snapToGrid/>
          <w:lang w:val="fr-CH"/>
        </w:rPr>
        <w:t>年，</w:t>
      </w:r>
      <w:r>
        <w:rPr>
          <w:snapToGrid/>
          <w:lang w:val="fr-CH"/>
        </w:rPr>
        <w:t>71.3%</w:t>
      </w:r>
      <w:r>
        <w:rPr>
          <w:snapToGrid/>
          <w:lang w:val="fr-CH"/>
        </w:rPr>
        <w:t>从业人员劳</w:t>
      </w:r>
      <w:r>
        <w:rPr>
          <w:rFonts w:hint="eastAsia"/>
          <w:snapToGrid/>
          <w:lang w:val="fr-CH"/>
        </w:rPr>
        <w:t>务</w:t>
      </w:r>
      <w:r>
        <w:rPr>
          <w:snapToGrid/>
          <w:lang w:val="fr-CH"/>
        </w:rPr>
        <w:t>收入相当于或低于</w:t>
      </w:r>
      <w:r>
        <w:rPr>
          <w:rFonts w:hint="eastAsia"/>
          <w:snapToGrid/>
          <w:lang w:val="fr-CH"/>
        </w:rPr>
        <w:t>4</w:t>
      </w:r>
      <w:r>
        <w:rPr>
          <w:rFonts w:hint="eastAsia"/>
          <w:snapToGrid/>
          <w:lang w:val="fr-CH"/>
        </w:rPr>
        <w:t>倍均困</w:t>
      </w:r>
      <w:r>
        <w:rPr>
          <w:snapToGrid/>
          <w:lang w:val="fr-CH"/>
        </w:rPr>
        <w:t>线，</w:t>
      </w:r>
      <w:r>
        <w:rPr>
          <w:rFonts w:hint="eastAsia"/>
          <w:snapToGrid/>
          <w:lang w:val="fr-CH"/>
        </w:rPr>
        <w:t>17.</w:t>
      </w:r>
      <w:r>
        <w:rPr>
          <w:snapToGrid/>
          <w:lang w:val="fr-CH"/>
        </w:rPr>
        <w:t>6%</w:t>
      </w:r>
      <w:r>
        <w:rPr>
          <w:snapToGrid/>
          <w:lang w:val="fr-CH"/>
        </w:rPr>
        <w:t>的收入在</w:t>
      </w:r>
      <w:r>
        <w:rPr>
          <w:rFonts w:hint="eastAsia"/>
          <w:snapToGrid/>
          <w:lang w:val="fr-CH"/>
        </w:rPr>
        <w:t>4</w:t>
      </w:r>
      <w:r>
        <w:rPr>
          <w:rFonts w:hint="eastAsia"/>
          <w:snapToGrid/>
          <w:lang w:val="fr-CH"/>
        </w:rPr>
        <w:t>至</w:t>
      </w:r>
      <w:r>
        <w:rPr>
          <w:rFonts w:hint="eastAsia"/>
          <w:snapToGrid/>
          <w:lang w:val="fr-CH"/>
        </w:rPr>
        <w:t>8</w:t>
      </w:r>
      <w:r>
        <w:rPr>
          <w:rFonts w:hint="eastAsia"/>
          <w:snapToGrid/>
          <w:lang w:val="fr-CH"/>
        </w:rPr>
        <w:t>倍均困线之间，</w:t>
      </w:r>
      <w:r>
        <w:rPr>
          <w:snapToGrid/>
          <w:lang w:val="fr-CH"/>
        </w:rPr>
        <w:t>2000</w:t>
      </w:r>
      <w:r>
        <w:rPr>
          <w:snapToGrid/>
          <w:lang w:val="fr-CH"/>
        </w:rPr>
        <w:t>年这</w:t>
      </w:r>
      <w:r>
        <w:rPr>
          <w:rFonts w:hint="eastAsia"/>
          <w:snapToGrid/>
          <w:lang w:val="fr-CH"/>
        </w:rPr>
        <w:t>两</w:t>
      </w:r>
      <w:r>
        <w:rPr>
          <w:snapToGrid/>
          <w:lang w:val="fr-CH"/>
        </w:rPr>
        <w:t>项比</w:t>
      </w:r>
      <w:r>
        <w:rPr>
          <w:rFonts w:hint="eastAsia"/>
          <w:snapToGrid/>
          <w:lang w:val="fr-CH"/>
        </w:rPr>
        <w:t>重</w:t>
      </w:r>
      <w:r>
        <w:rPr>
          <w:snapToGrid/>
          <w:lang w:val="fr-CH"/>
        </w:rPr>
        <w:t>分别演</w:t>
      </w:r>
      <w:r>
        <w:rPr>
          <w:rFonts w:hint="eastAsia"/>
          <w:snapToGrid/>
          <w:lang w:val="fr-CH"/>
        </w:rPr>
        <w:t>变</w:t>
      </w:r>
      <w:r>
        <w:rPr>
          <w:snapToGrid/>
          <w:lang w:val="fr-CH"/>
        </w:rPr>
        <w:t>为</w:t>
      </w:r>
      <w:r>
        <w:rPr>
          <w:snapToGrid/>
          <w:lang w:val="fr-CH"/>
        </w:rPr>
        <w:t>49.</w:t>
      </w:r>
      <w:r>
        <w:rPr>
          <w:rFonts w:hint="eastAsia"/>
          <w:snapToGrid/>
          <w:lang w:val="fr-CH"/>
        </w:rPr>
        <w:t>3</w:t>
      </w:r>
      <w:r>
        <w:rPr>
          <w:snapToGrid/>
          <w:lang w:val="fr-CH"/>
        </w:rPr>
        <w:t>%</w:t>
      </w:r>
      <w:r>
        <w:rPr>
          <w:snapToGrid/>
          <w:lang w:val="fr-CH"/>
        </w:rPr>
        <w:t>和</w:t>
      </w:r>
      <w:r>
        <w:rPr>
          <w:snapToGrid/>
          <w:lang w:val="fr-CH"/>
        </w:rPr>
        <w:t>26.</w:t>
      </w:r>
      <w:r>
        <w:rPr>
          <w:rFonts w:hint="eastAsia"/>
          <w:snapToGrid/>
          <w:lang w:val="fr-CH"/>
        </w:rPr>
        <w:t>2</w:t>
      </w:r>
      <w:r>
        <w:rPr>
          <w:snapToGrid/>
          <w:lang w:val="fr-CH"/>
        </w:rPr>
        <w:t>%</w:t>
      </w:r>
      <w:r>
        <w:rPr>
          <w:snapToGrid/>
          <w:lang w:val="fr-CH"/>
        </w:rPr>
        <w:t>；出现了重大的转</w:t>
      </w:r>
      <w:r>
        <w:rPr>
          <w:rFonts w:hint="eastAsia"/>
          <w:snapToGrid/>
          <w:lang w:val="fr-CH"/>
        </w:rPr>
        <w:t>变</w:t>
      </w:r>
      <w:r>
        <w:rPr>
          <w:snapToGrid/>
          <w:lang w:val="fr-CH"/>
        </w:rPr>
        <w:t>。在这同</w:t>
      </w:r>
      <w:r>
        <w:rPr>
          <w:rFonts w:hint="eastAsia"/>
          <w:snapToGrid/>
          <w:lang w:val="fr-CH"/>
        </w:rPr>
        <w:t>一</w:t>
      </w:r>
      <w:r>
        <w:rPr>
          <w:snapToGrid/>
          <w:lang w:val="fr-CH"/>
        </w:rPr>
        <w:t>趋势</w:t>
      </w:r>
      <w:r>
        <w:rPr>
          <w:rFonts w:hint="eastAsia"/>
          <w:snapToGrid/>
          <w:lang w:val="fr-CH"/>
        </w:rPr>
        <w:t>内</w:t>
      </w:r>
      <w:r>
        <w:rPr>
          <w:snapToGrid/>
          <w:lang w:val="fr-CH"/>
        </w:rPr>
        <w:t>，</w:t>
      </w:r>
      <w:r>
        <w:rPr>
          <w:snapToGrid/>
          <w:lang w:val="fr-CH"/>
        </w:rPr>
        <w:t>1990</w:t>
      </w:r>
      <w:r>
        <w:rPr>
          <w:snapToGrid/>
          <w:lang w:val="fr-CH"/>
        </w:rPr>
        <w:t>至</w:t>
      </w:r>
      <w:r>
        <w:rPr>
          <w:snapToGrid/>
          <w:lang w:val="fr-CH"/>
        </w:rPr>
        <w:t>200</w:t>
      </w:r>
      <w:r>
        <w:rPr>
          <w:rFonts w:hint="eastAsia"/>
          <w:snapToGrid/>
          <w:lang w:val="fr-CH"/>
        </w:rPr>
        <w:t>0</w:t>
      </w:r>
      <w:r>
        <w:rPr>
          <w:snapToGrid/>
          <w:lang w:val="fr-CH"/>
        </w:rPr>
        <w:t>年期间，工作收入相当于或低于</w:t>
      </w:r>
      <w:r>
        <w:rPr>
          <w:rFonts w:hint="eastAsia"/>
          <w:snapToGrid/>
          <w:lang w:val="fr-CH"/>
        </w:rPr>
        <w:t>2</w:t>
      </w:r>
      <w:r>
        <w:rPr>
          <w:rFonts w:hint="eastAsia"/>
          <w:snapToGrid/>
          <w:lang w:val="fr-CH"/>
        </w:rPr>
        <w:t>倍</w:t>
      </w:r>
      <w:r>
        <w:rPr>
          <w:snapToGrid/>
          <w:lang w:val="fr-CH"/>
        </w:rPr>
        <w:t>均困线人数的比例大幅度下跌，</w:t>
      </w:r>
      <w:r>
        <w:rPr>
          <w:rFonts w:hint="eastAsia"/>
          <w:snapToGrid/>
          <w:lang w:val="fr-CH"/>
        </w:rPr>
        <w:t>由</w:t>
      </w:r>
      <w:r>
        <w:rPr>
          <w:snapToGrid/>
          <w:lang w:val="fr-CH"/>
        </w:rPr>
        <w:t>1990</w:t>
      </w:r>
      <w:r>
        <w:rPr>
          <w:snapToGrid/>
          <w:lang w:val="fr-CH"/>
        </w:rPr>
        <w:t>年</w:t>
      </w:r>
      <w:r>
        <w:rPr>
          <w:snapToGrid/>
          <w:lang w:val="fr-CH"/>
        </w:rPr>
        <w:t>38.05%</w:t>
      </w:r>
      <w:r>
        <w:rPr>
          <w:snapToGrid/>
          <w:lang w:val="fr-CH"/>
        </w:rPr>
        <w:t>下跌至</w:t>
      </w:r>
      <w:r>
        <w:rPr>
          <w:snapToGrid/>
          <w:lang w:val="fr-CH"/>
        </w:rPr>
        <w:t>200</w:t>
      </w:r>
      <w:r>
        <w:rPr>
          <w:rFonts w:hint="eastAsia"/>
          <w:snapToGrid/>
          <w:lang w:val="fr-CH"/>
        </w:rPr>
        <w:t>0</w:t>
      </w:r>
      <w:r>
        <w:rPr>
          <w:snapToGrid/>
          <w:lang w:val="fr-CH"/>
        </w:rPr>
        <w:t>年</w:t>
      </w:r>
      <w:r>
        <w:rPr>
          <w:rFonts w:hint="eastAsia"/>
          <w:snapToGrid/>
          <w:lang w:val="fr-CH"/>
        </w:rPr>
        <w:t>1</w:t>
      </w:r>
      <w:r>
        <w:rPr>
          <w:snapToGrid/>
          <w:lang w:val="fr-CH"/>
        </w:rPr>
        <w:t>4.7%</w:t>
      </w:r>
      <w:r>
        <w:rPr>
          <w:snapToGrid/>
          <w:lang w:val="fr-CH"/>
        </w:rPr>
        <w:t>。</w:t>
      </w:r>
      <w:r>
        <w:rPr>
          <w:rStyle w:val="FootnoteReference"/>
          <w:snapToGrid/>
          <w:lang w:val="fr-CH"/>
        </w:rPr>
        <w:footnoteReference w:id="45"/>
      </w:r>
    </w:p>
    <w:p w:rsidR="00000000" w:rsidRDefault="009C1C61">
      <w:pPr>
        <w:rPr>
          <w:snapToGrid/>
          <w:lang w:val="fr-CH"/>
        </w:rPr>
      </w:pPr>
      <w:r>
        <w:rPr>
          <w:rFonts w:hint="eastAsia"/>
          <w:snapToGrid/>
          <w:lang w:val="fr-CH"/>
        </w:rPr>
        <w:tab/>
      </w:r>
      <w:r>
        <w:rPr>
          <w:snapToGrid/>
          <w:lang w:val="fr-CH"/>
        </w:rPr>
        <w:t>179.</w:t>
      </w:r>
      <w:r>
        <w:rPr>
          <w:rFonts w:hint="eastAsia"/>
          <w:snapToGrid/>
          <w:lang w:val="fr-CH"/>
        </w:rPr>
        <w:t xml:space="preserve">  </w:t>
      </w:r>
      <w:r>
        <w:rPr>
          <w:snapToGrid/>
          <w:lang w:val="fr-CH"/>
        </w:rPr>
        <w:t>虽然劳</w:t>
      </w:r>
      <w:r>
        <w:rPr>
          <w:rFonts w:hint="eastAsia"/>
          <w:snapToGrid/>
          <w:lang w:val="fr-CH"/>
        </w:rPr>
        <w:t>动</w:t>
      </w:r>
      <w:r>
        <w:rPr>
          <w:snapToGrid/>
          <w:lang w:val="fr-CH"/>
        </w:rPr>
        <w:t>收入分</w:t>
      </w:r>
      <w:r>
        <w:rPr>
          <w:rFonts w:hint="eastAsia"/>
          <w:snapToGrid/>
          <w:lang w:val="fr-CH"/>
        </w:rPr>
        <w:t>布的</w:t>
      </w:r>
      <w:r>
        <w:rPr>
          <w:snapToGrid/>
          <w:lang w:val="fr-CH"/>
        </w:rPr>
        <w:t>指</w:t>
      </w:r>
      <w:r>
        <w:rPr>
          <w:rFonts w:hint="eastAsia"/>
          <w:snapToGrid/>
          <w:lang w:val="fr-CH"/>
        </w:rPr>
        <w:t>标</w:t>
      </w:r>
      <w:r>
        <w:rPr>
          <w:snapToGrid/>
          <w:lang w:val="fr-CH"/>
        </w:rPr>
        <w:t>数</w:t>
      </w:r>
      <w:r>
        <w:rPr>
          <w:snapToGrid/>
          <w:lang w:val="fr-CH"/>
        </w:rPr>
        <w:t>(</w:t>
      </w:r>
      <w:r>
        <w:rPr>
          <w:snapToGrid/>
          <w:lang w:val="fr-CH"/>
        </w:rPr>
        <w:t>低于某一特定水平收入的</w:t>
      </w:r>
      <w:r>
        <w:rPr>
          <w:rFonts w:hint="eastAsia"/>
          <w:snapToGrid/>
          <w:lang w:val="fr-CH"/>
        </w:rPr>
        <w:t>比重</w:t>
      </w:r>
      <w:r>
        <w:rPr>
          <w:snapToGrid/>
          <w:lang w:val="fr-CH"/>
        </w:rPr>
        <w:t>和比例</w:t>
      </w:r>
      <w:r>
        <w:rPr>
          <w:snapToGrid/>
          <w:lang w:val="fr-CH"/>
        </w:rPr>
        <w:t>)</w:t>
      </w:r>
      <w:r>
        <w:rPr>
          <w:snapToGrid/>
          <w:lang w:val="fr-CH"/>
        </w:rPr>
        <w:t>表明出现了大幅度改善，但这些指</w:t>
      </w:r>
      <w:r>
        <w:rPr>
          <w:rFonts w:hint="eastAsia"/>
          <w:snapToGrid/>
          <w:lang w:val="fr-CH"/>
        </w:rPr>
        <w:t>标</w:t>
      </w:r>
      <w:r>
        <w:rPr>
          <w:snapToGrid/>
          <w:lang w:val="fr-CH"/>
        </w:rPr>
        <w:t>数也</w:t>
      </w:r>
      <w:r>
        <w:rPr>
          <w:rFonts w:hint="eastAsia"/>
          <w:snapToGrid/>
          <w:lang w:val="fr-CH"/>
        </w:rPr>
        <w:t>着</w:t>
      </w:r>
      <w:r>
        <w:rPr>
          <w:snapToGrid/>
          <w:lang w:val="fr-CH"/>
        </w:rPr>
        <w:t>重表明，仍存在着一大批</w:t>
      </w:r>
      <w:r>
        <w:rPr>
          <w:rFonts w:hint="eastAsia"/>
          <w:snapToGrid/>
          <w:lang w:val="fr-CH"/>
        </w:rPr>
        <w:t>落在</w:t>
      </w:r>
      <w:r>
        <w:rPr>
          <w:rFonts w:hint="eastAsia"/>
          <w:snapToGrid/>
          <w:lang w:val="fr-CH"/>
        </w:rPr>
        <w:t>后面</w:t>
      </w:r>
      <w:r>
        <w:rPr>
          <w:snapToGrid/>
          <w:lang w:val="fr-CH"/>
        </w:rPr>
        <w:t>的群体</w:t>
      </w:r>
      <w:r>
        <w:rPr>
          <w:snapToGrid/>
          <w:lang w:val="fr-CH"/>
        </w:rPr>
        <w:t>(14.</w:t>
      </w:r>
      <w:r>
        <w:rPr>
          <w:rFonts w:hint="eastAsia"/>
          <w:snapToGrid/>
          <w:lang w:val="fr-CH"/>
        </w:rPr>
        <w:t>1</w:t>
      </w:r>
      <w:r>
        <w:rPr>
          <w:snapToGrid/>
          <w:lang w:val="fr-CH"/>
        </w:rPr>
        <w:t>%</w:t>
      </w:r>
      <w:r>
        <w:rPr>
          <w:snapToGrid/>
          <w:lang w:val="fr-CH"/>
        </w:rPr>
        <w:t>所得收入水平低于</w:t>
      </w:r>
      <w:r>
        <w:rPr>
          <w:snapToGrid/>
          <w:lang w:val="fr-CH"/>
        </w:rPr>
        <w:t>2</w:t>
      </w:r>
      <w:r>
        <w:rPr>
          <w:rFonts w:hint="eastAsia"/>
          <w:snapToGrid/>
          <w:lang w:val="fr-CH"/>
        </w:rPr>
        <w:t>倍</w:t>
      </w:r>
      <w:r>
        <w:rPr>
          <w:snapToGrid/>
          <w:lang w:val="fr-CH"/>
        </w:rPr>
        <w:t>均困线</w:t>
      </w:r>
      <w:r>
        <w:rPr>
          <w:rFonts w:hint="eastAsia"/>
          <w:snapToGrid/>
          <w:lang w:val="fr-CH"/>
        </w:rPr>
        <w:t>)</w:t>
      </w:r>
      <w:r>
        <w:rPr>
          <w:snapToGrid/>
          <w:lang w:val="fr-CH"/>
        </w:rPr>
        <w:t>。换言之，就业并不能保障足够的收入。</w:t>
      </w:r>
    </w:p>
    <w:p w:rsidR="00000000" w:rsidRDefault="009C1C61">
      <w:pPr>
        <w:rPr>
          <w:snapToGrid/>
        </w:rPr>
      </w:pPr>
      <w:r>
        <w:rPr>
          <w:rFonts w:hint="eastAsia"/>
          <w:snapToGrid/>
          <w:lang w:val="fr-CH"/>
        </w:rPr>
        <w:tab/>
      </w:r>
      <w:r>
        <w:rPr>
          <w:snapToGrid/>
          <w:lang w:val="fr-CH"/>
        </w:rPr>
        <w:t>180.</w:t>
      </w:r>
      <w:r>
        <w:rPr>
          <w:rFonts w:hint="eastAsia"/>
          <w:snapToGrid/>
          <w:lang w:val="fr-CH"/>
        </w:rPr>
        <w:t xml:space="preserve">  </w:t>
      </w:r>
      <w:r>
        <w:rPr>
          <w:rFonts w:hint="eastAsia"/>
          <w:snapToGrid/>
          <w:lang w:val="fr-CH"/>
        </w:rPr>
        <w:t>就业岗位质量</w:t>
      </w:r>
      <w:r>
        <w:rPr>
          <w:snapToGrid/>
          <w:lang w:val="fr-CH"/>
        </w:rPr>
        <w:t>指标的趋势</w:t>
      </w:r>
      <w:r>
        <w:rPr>
          <w:rFonts w:hint="eastAsia"/>
          <w:snapToGrid/>
          <w:lang w:val="fr-CH"/>
        </w:rPr>
        <w:t>表明</w:t>
      </w:r>
      <w:r>
        <w:rPr>
          <w:snapToGrid/>
          <w:lang w:val="fr-CH"/>
        </w:rPr>
        <w:t>情况各</w:t>
      </w:r>
      <w:r>
        <w:rPr>
          <w:rFonts w:hint="eastAsia"/>
          <w:snapToGrid/>
          <w:lang w:val="fr-CH"/>
        </w:rPr>
        <w:t>有差异</w:t>
      </w:r>
      <w:r>
        <w:rPr>
          <w:snapToGrid/>
          <w:lang w:val="fr-CH"/>
        </w:rPr>
        <w:t>。有些</w:t>
      </w:r>
      <w:r>
        <w:rPr>
          <w:rFonts w:hint="eastAsia"/>
          <w:snapToGrid/>
          <w:lang w:val="fr-CH"/>
        </w:rPr>
        <w:t>指标显示</w:t>
      </w:r>
      <w:r>
        <w:rPr>
          <w:snapToGrid/>
          <w:lang w:val="fr-CH"/>
        </w:rPr>
        <w:t>进展</w:t>
      </w:r>
      <w:r>
        <w:rPr>
          <w:rFonts w:hint="eastAsia"/>
          <w:snapToGrid/>
          <w:lang w:val="fr-CH"/>
        </w:rPr>
        <w:t>很大</w:t>
      </w:r>
      <w:r>
        <w:rPr>
          <w:snapToGrid/>
          <w:lang w:val="fr-CH"/>
        </w:rPr>
        <w:t>；</w:t>
      </w:r>
      <w:r>
        <w:rPr>
          <w:rFonts w:hint="eastAsia"/>
          <w:snapToGrid/>
          <w:lang w:val="fr-CH"/>
        </w:rPr>
        <w:t>劳动收入指标的情况是如此，尽管</w:t>
      </w:r>
      <w:r>
        <w:rPr>
          <w:snapToGrid/>
          <w:lang w:val="fr-CH"/>
        </w:rPr>
        <w:t>有些雇员群体</w:t>
      </w:r>
      <w:r>
        <w:rPr>
          <w:snapToGrid/>
          <w:lang w:val="fr-CH"/>
        </w:rPr>
        <w:t>(</w:t>
      </w:r>
      <w:r>
        <w:rPr>
          <w:snapToGrid/>
          <w:lang w:val="fr-CH"/>
        </w:rPr>
        <w:t>尤其是最贫困的群体</w:t>
      </w:r>
      <w:r>
        <w:rPr>
          <w:rFonts w:hint="eastAsia"/>
          <w:snapToGrid/>
          <w:lang w:val="fr-CH"/>
        </w:rPr>
        <w:t>)</w:t>
      </w:r>
      <w:r>
        <w:rPr>
          <w:snapToGrid/>
          <w:lang w:val="fr-CH"/>
        </w:rPr>
        <w:t>落在后面，而且收入差别</w:t>
      </w:r>
      <w:r>
        <w:rPr>
          <w:rFonts w:hint="eastAsia"/>
          <w:snapToGrid/>
          <w:lang w:val="fr-CH"/>
        </w:rPr>
        <w:t>甚大。另一方面，对工资挣取者的法律保护</w:t>
      </w:r>
      <w:r>
        <w:rPr>
          <w:snapToGrid/>
          <w:lang w:val="fr-CH"/>
        </w:rPr>
        <w:t>(</w:t>
      </w:r>
      <w:r>
        <w:rPr>
          <w:snapToGrid/>
          <w:lang w:val="fr-CH"/>
        </w:rPr>
        <w:t>就业合同</w:t>
      </w:r>
      <w:r>
        <w:rPr>
          <w:rFonts w:hint="eastAsia"/>
          <w:snapToGrid/>
          <w:lang w:val="fr-CH"/>
        </w:rPr>
        <w:t>)</w:t>
      </w:r>
      <w:r>
        <w:rPr>
          <w:snapToGrid/>
          <w:lang w:val="fr-CH"/>
        </w:rPr>
        <w:t>仍在恶化。这些</w:t>
      </w:r>
      <w:r>
        <w:rPr>
          <w:rFonts w:hint="eastAsia"/>
          <w:snapToGrid/>
          <w:lang w:val="fr-CH"/>
        </w:rPr>
        <w:t>走</w:t>
      </w:r>
      <w:r>
        <w:rPr>
          <w:snapToGrid/>
          <w:lang w:val="fr-CH"/>
        </w:rPr>
        <w:t>向</w:t>
      </w:r>
      <w:r>
        <w:rPr>
          <w:rFonts w:hint="eastAsia"/>
          <w:snapToGrid/>
          <w:lang w:val="fr-CH"/>
        </w:rPr>
        <w:t>纷杂的</w:t>
      </w:r>
      <w:r>
        <w:rPr>
          <w:snapToGrid/>
          <w:lang w:val="fr-CH"/>
        </w:rPr>
        <w:t>发展趋势对今后的劳工和就业政策形成了重大挑战。</w:t>
      </w:r>
    </w:p>
    <w:p w:rsidR="00000000" w:rsidRDefault="009C1C61">
      <w:pPr>
        <w:rPr>
          <w:snapToGrid/>
          <w:lang w:val="fr-CH"/>
        </w:rPr>
      </w:pPr>
      <w:r>
        <w:rPr>
          <w:rFonts w:hint="eastAsia"/>
          <w:snapToGrid/>
          <w:lang w:val="fr-CH"/>
        </w:rPr>
        <w:tab/>
      </w:r>
      <w:r>
        <w:rPr>
          <w:snapToGrid/>
          <w:lang w:val="fr-CH"/>
        </w:rPr>
        <w:t>181.</w:t>
      </w:r>
      <w:r>
        <w:rPr>
          <w:rFonts w:hint="eastAsia"/>
          <w:snapToGrid/>
          <w:lang w:val="fr-CH"/>
        </w:rPr>
        <w:t xml:space="preserve">  </w:t>
      </w:r>
      <w:r>
        <w:rPr>
          <w:rFonts w:hint="eastAsia"/>
          <w:snapToGrid/>
          <w:lang w:val="fr-CH"/>
        </w:rPr>
        <w:t>另一</w:t>
      </w:r>
      <w:r>
        <w:rPr>
          <w:snapToGrid/>
          <w:lang w:val="fr-CH"/>
        </w:rPr>
        <w:t>个相关因素是，</w:t>
      </w:r>
      <w:r>
        <w:rPr>
          <w:rFonts w:hint="eastAsia"/>
          <w:snapToGrid/>
          <w:lang w:val="fr-CH"/>
        </w:rPr>
        <w:t>由于</w:t>
      </w:r>
      <w:r>
        <w:rPr>
          <w:snapToGrid/>
          <w:lang w:val="fr-CH"/>
        </w:rPr>
        <w:t>气</w:t>
      </w:r>
      <w:r>
        <w:rPr>
          <w:rFonts w:hint="eastAsia"/>
          <w:snapToGrid/>
          <w:lang w:val="fr-CH"/>
        </w:rPr>
        <w:t>候严酷</w:t>
      </w:r>
      <w:r>
        <w:rPr>
          <w:snapToGrid/>
          <w:lang w:val="fr-CH"/>
        </w:rPr>
        <w:t>产生的种种困难，</w:t>
      </w:r>
      <w:r>
        <w:rPr>
          <w:rFonts w:hint="eastAsia"/>
          <w:snapToGrid/>
          <w:lang w:val="fr-CH"/>
        </w:rPr>
        <w:t>对各</w:t>
      </w:r>
      <w:r>
        <w:rPr>
          <w:snapToGrid/>
          <w:lang w:val="fr-CH"/>
        </w:rPr>
        <w:t>大区域的生产力</w:t>
      </w:r>
      <w:r>
        <w:rPr>
          <w:rFonts w:hint="eastAsia"/>
          <w:snapToGrid/>
          <w:lang w:val="fr-CH"/>
        </w:rPr>
        <w:t>造成</w:t>
      </w:r>
      <w:r>
        <w:rPr>
          <w:snapToGrid/>
          <w:lang w:val="fr-CH"/>
        </w:rPr>
        <w:t>不</w:t>
      </w:r>
      <w:r>
        <w:rPr>
          <w:rFonts w:hint="eastAsia"/>
          <w:snapToGrid/>
          <w:lang w:val="fr-CH"/>
        </w:rPr>
        <w:t>良</w:t>
      </w:r>
      <w:r>
        <w:rPr>
          <w:snapToGrid/>
          <w:lang w:val="fr-CH"/>
        </w:rPr>
        <w:t>影响；北方出现长期干旱，而南方的降雨和</w:t>
      </w:r>
      <w:r>
        <w:rPr>
          <w:rFonts w:hint="eastAsia"/>
          <w:snapToGrid/>
          <w:lang w:val="fr-CH"/>
        </w:rPr>
        <w:t>气温</w:t>
      </w:r>
      <w:r>
        <w:rPr>
          <w:snapToGrid/>
          <w:lang w:val="fr-CH"/>
        </w:rPr>
        <w:t>毁</w:t>
      </w:r>
      <w:r>
        <w:rPr>
          <w:rFonts w:hint="eastAsia"/>
          <w:snapToGrid/>
          <w:lang w:val="fr-CH"/>
        </w:rPr>
        <w:t>坏</w:t>
      </w:r>
      <w:r>
        <w:rPr>
          <w:snapToGrid/>
          <w:lang w:val="fr-CH"/>
        </w:rPr>
        <w:t>作物，阻</w:t>
      </w:r>
      <w:r>
        <w:rPr>
          <w:snapToGrid/>
          <w:lang w:val="fr-CH"/>
        </w:rPr>
        <w:t>碍</w:t>
      </w:r>
      <w:r>
        <w:rPr>
          <w:rFonts w:hint="eastAsia"/>
          <w:snapToGrid/>
          <w:lang w:val="fr-CH"/>
        </w:rPr>
        <w:t>牲畜</w:t>
      </w:r>
      <w:r>
        <w:rPr>
          <w:snapToGrid/>
          <w:lang w:val="fr-CH"/>
        </w:rPr>
        <w:t>饲养业的发展。在这种情况下，工人</w:t>
      </w:r>
      <w:r>
        <w:rPr>
          <w:rFonts w:hint="eastAsia"/>
          <w:snapToGrid/>
          <w:lang w:val="fr-CH"/>
        </w:rPr>
        <w:t>由于缺乏培训，失</w:t>
      </w:r>
      <w:r>
        <w:rPr>
          <w:snapToGrid/>
          <w:lang w:val="fr-CH"/>
        </w:rPr>
        <w:t>业之后就很难</w:t>
      </w:r>
      <w:r>
        <w:rPr>
          <w:rFonts w:hint="eastAsia"/>
          <w:snapToGrid/>
          <w:lang w:val="fr-CH"/>
        </w:rPr>
        <w:t>再</w:t>
      </w:r>
      <w:r>
        <w:rPr>
          <w:snapToGrid/>
          <w:lang w:val="fr-CH"/>
        </w:rPr>
        <w:t>找到工作。这个问题随着失业率的上升</w:t>
      </w:r>
      <w:r>
        <w:rPr>
          <w:rFonts w:hint="eastAsia"/>
          <w:snapToGrid/>
          <w:lang w:val="fr-CH"/>
        </w:rPr>
        <w:t>日益突出</w:t>
      </w:r>
      <w:r>
        <w:rPr>
          <w:snapToGrid/>
          <w:lang w:val="fr-CH"/>
        </w:rPr>
        <w:t>。</w:t>
      </w:r>
    </w:p>
    <w:p w:rsidR="00000000" w:rsidRDefault="009C1C61">
      <w:pPr>
        <w:spacing w:after="240"/>
        <w:rPr>
          <w:snapToGrid/>
          <w:lang w:val="fr-CH"/>
        </w:rPr>
      </w:pPr>
      <w:r>
        <w:rPr>
          <w:rFonts w:hint="eastAsia"/>
          <w:snapToGrid/>
          <w:lang w:val="fr-CH"/>
        </w:rPr>
        <w:tab/>
      </w:r>
      <w:r>
        <w:rPr>
          <w:snapToGrid/>
          <w:lang w:val="fr-CH"/>
        </w:rPr>
        <w:t>182.</w:t>
      </w:r>
      <w:r>
        <w:rPr>
          <w:rFonts w:hint="eastAsia"/>
          <w:snapToGrid/>
          <w:lang w:val="fr-CH"/>
        </w:rPr>
        <w:t xml:space="preserve">  </w:t>
      </w:r>
      <w:r>
        <w:rPr>
          <w:snapToGrid/>
          <w:lang w:val="fr-CH"/>
        </w:rPr>
        <w:t>为减轻</w:t>
      </w:r>
      <w:r>
        <w:rPr>
          <w:rFonts w:hint="eastAsia"/>
          <w:snapToGrid/>
          <w:lang w:val="fr-CH"/>
        </w:rPr>
        <w:t>失</w:t>
      </w:r>
      <w:r>
        <w:rPr>
          <w:snapToGrid/>
          <w:lang w:val="fr-CH"/>
        </w:rPr>
        <w:t>业的影响，</w:t>
      </w:r>
      <w:r>
        <w:rPr>
          <w:rFonts w:hint="eastAsia"/>
          <w:snapToGrid/>
          <w:lang w:val="fr-CH"/>
        </w:rPr>
        <w:t>目前</w:t>
      </w:r>
      <w:r>
        <w:rPr>
          <w:snapToGrid/>
          <w:lang w:val="fr-CH"/>
        </w:rPr>
        <w:t>正在推行市政就业方案、</w:t>
      </w:r>
      <w:r>
        <w:rPr>
          <w:rFonts w:hint="eastAsia"/>
          <w:snapToGrid/>
          <w:lang w:val="fr-CH"/>
        </w:rPr>
        <w:t>引入</w:t>
      </w:r>
      <w:r>
        <w:rPr>
          <w:snapToGrid/>
          <w:lang w:val="fr-CH"/>
        </w:rPr>
        <w:t>投资，采取暂时吸收人力的</w:t>
      </w:r>
      <w:r>
        <w:rPr>
          <w:rFonts w:hint="eastAsia"/>
          <w:snapToGrid/>
          <w:lang w:val="fr-CH"/>
        </w:rPr>
        <w:t>新措施，</w:t>
      </w:r>
      <w:r>
        <w:rPr>
          <w:snapToGrid/>
          <w:lang w:val="fr-CH"/>
        </w:rPr>
        <w:t>与此同时，建立起各种机制将工人们安置在</w:t>
      </w:r>
      <w:r>
        <w:rPr>
          <w:rFonts w:hint="eastAsia"/>
          <w:snapToGrid/>
          <w:lang w:val="fr-CH"/>
        </w:rPr>
        <w:t>对</w:t>
      </w:r>
      <w:r>
        <w:rPr>
          <w:snapToGrid/>
          <w:lang w:val="fr-CH"/>
        </w:rPr>
        <w:t>劳力</w:t>
      </w:r>
      <w:r>
        <w:rPr>
          <w:rFonts w:hint="eastAsia"/>
          <w:snapToGrid/>
          <w:lang w:val="fr-CH"/>
        </w:rPr>
        <w:t>仍有需求</w:t>
      </w:r>
      <w:r>
        <w:rPr>
          <w:snapToGrid/>
          <w:lang w:val="fr-CH"/>
        </w:rPr>
        <w:t>的私营部门</w:t>
      </w:r>
      <w:r>
        <w:rPr>
          <w:rFonts w:hint="eastAsia"/>
          <w:snapToGrid/>
          <w:lang w:val="fr-CH"/>
        </w:rPr>
        <w:t>的</w:t>
      </w:r>
      <w:r>
        <w:rPr>
          <w:snapToGrid/>
          <w:lang w:val="fr-CH"/>
        </w:rPr>
        <w:t>工作</w:t>
      </w:r>
      <w:r>
        <w:rPr>
          <w:rFonts w:hint="eastAsia"/>
          <w:snapToGrid/>
          <w:lang w:val="fr-CH"/>
        </w:rPr>
        <w:t>领域里。</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立法、行政惯例或人与人之间或人群之间具体关系方面取消或阻碍就业或职业方面机会或待遇平等的区别对待、排斥、限制或偏向做法。</w:t>
      </w:r>
    </w:p>
    <w:p w:rsidR="00000000" w:rsidRDefault="009C1C61">
      <w:pPr>
        <w:rPr>
          <w:snapToGrid/>
          <w:lang w:val="fr-CH"/>
        </w:rPr>
      </w:pPr>
      <w:r>
        <w:rPr>
          <w:rFonts w:hint="eastAsia"/>
          <w:snapToGrid/>
          <w:lang w:val="fr-CH"/>
        </w:rPr>
        <w:tab/>
      </w:r>
      <w:r>
        <w:rPr>
          <w:snapToGrid/>
          <w:lang w:val="fr-CH"/>
        </w:rPr>
        <w:t>183.</w:t>
      </w:r>
      <w:r>
        <w:rPr>
          <w:rFonts w:hint="eastAsia"/>
          <w:snapToGrid/>
          <w:lang w:val="fr-CH"/>
        </w:rPr>
        <w:t xml:space="preserve">  </w:t>
      </w:r>
      <w:r>
        <w:rPr>
          <w:rFonts w:hint="eastAsia"/>
          <w:snapToGrid/>
          <w:lang w:val="fr-CH"/>
        </w:rPr>
        <w:t>《</w:t>
      </w:r>
      <w:r>
        <w:rPr>
          <w:snapToGrid/>
          <w:lang w:val="fr-CH"/>
        </w:rPr>
        <w:t>政治宪法</w:t>
      </w:r>
      <w:r>
        <w:rPr>
          <w:rFonts w:hint="eastAsia"/>
          <w:snapToGrid/>
          <w:lang w:val="fr-CH"/>
        </w:rPr>
        <w:t>》</w:t>
      </w:r>
      <w:r>
        <w:rPr>
          <w:snapToGrid/>
          <w:lang w:val="fr-CH"/>
        </w:rPr>
        <w:t>第一条</w:t>
      </w:r>
      <w:r>
        <w:rPr>
          <w:rFonts w:hint="eastAsia"/>
          <w:snapToGrid/>
          <w:lang w:val="fr-CH"/>
        </w:rPr>
        <w:t>全面</w:t>
      </w:r>
      <w:r>
        <w:rPr>
          <w:snapToGrid/>
          <w:lang w:val="fr-CH"/>
        </w:rPr>
        <w:t>保障尊严和权利</w:t>
      </w:r>
      <w:r>
        <w:rPr>
          <w:rFonts w:hint="eastAsia"/>
          <w:snapToGrid/>
          <w:lang w:val="fr-CH"/>
        </w:rPr>
        <w:t>的</w:t>
      </w:r>
      <w:r>
        <w:rPr>
          <w:snapToGrid/>
          <w:lang w:val="fr-CH"/>
        </w:rPr>
        <w:t>平等</w:t>
      </w:r>
      <w:r>
        <w:rPr>
          <w:rFonts w:hint="eastAsia"/>
          <w:snapToGrid/>
          <w:lang w:val="fr-CH"/>
        </w:rPr>
        <w:t>，其措辞如下</w:t>
      </w:r>
      <w:r>
        <w:rPr>
          <w:snapToGrid/>
          <w:lang w:val="fr-CH"/>
        </w:rPr>
        <w:t>：</w:t>
      </w:r>
      <w:r>
        <w:rPr>
          <w:rFonts w:hint="eastAsia"/>
          <w:snapToGrid/>
          <w:lang w:val="fr-CH"/>
        </w:rPr>
        <w:t>“</w:t>
      </w:r>
      <w:r>
        <w:rPr>
          <w:rFonts w:eastAsia="KaiTi_GB2312"/>
          <w:snapToGrid/>
          <w:lang w:val="fr-CH"/>
        </w:rPr>
        <w:t>男</w:t>
      </w:r>
      <w:r>
        <w:rPr>
          <w:rFonts w:eastAsia="KaiTi_GB2312" w:hint="eastAsia"/>
          <w:snapToGrid/>
          <w:lang w:val="fr-CH"/>
        </w:rPr>
        <w:t>人和</w:t>
      </w:r>
      <w:r>
        <w:rPr>
          <w:rFonts w:eastAsia="KaiTi_GB2312"/>
          <w:snapToGrid/>
          <w:lang w:val="fr-CH"/>
        </w:rPr>
        <w:t>女</w:t>
      </w:r>
      <w:r>
        <w:rPr>
          <w:rFonts w:eastAsia="KaiTi_GB2312" w:hint="eastAsia"/>
          <w:snapToGrid/>
          <w:lang w:val="fr-CH"/>
        </w:rPr>
        <w:t>人的</w:t>
      </w:r>
      <w:r>
        <w:rPr>
          <w:rFonts w:eastAsia="KaiTi_GB2312"/>
          <w:snapToGrid/>
          <w:lang w:val="fr-CH"/>
        </w:rPr>
        <w:t>尊严和权利生来平等</w:t>
      </w:r>
      <w:r>
        <w:rPr>
          <w:rFonts w:hint="eastAsia"/>
          <w:snapToGrid/>
          <w:lang w:val="fr-CH"/>
        </w:rPr>
        <w:t>”</w:t>
      </w:r>
      <w:r>
        <w:rPr>
          <w:snapToGrid/>
          <w:lang w:val="fr-CH"/>
        </w:rPr>
        <w:t>和</w:t>
      </w:r>
      <w:r>
        <w:rPr>
          <w:rFonts w:hint="eastAsia"/>
          <w:snapToGrid/>
          <w:lang w:val="fr-CH"/>
        </w:rPr>
        <w:t>“</w:t>
      </w:r>
      <w:r>
        <w:rPr>
          <w:rFonts w:eastAsia="KaiTi_GB2312"/>
          <w:snapToGrid/>
          <w:lang w:val="fr-CH"/>
        </w:rPr>
        <w:t>国家有</w:t>
      </w:r>
      <w:r>
        <w:rPr>
          <w:rFonts w:eastAsia="KaiTi_GB2312" w:hint="eastAsia"/>
          <w:snapToGrid/>
          <w:lang w:val="fr-CH"/>
        </w:rPr>
        <w:t>责任……</w:t>
      </w:r>
      <w:r>
        <w:rPr>
          <w:rFonts w:eastAsia="KaiTi_GB2312"/>
          <w:snapToGrid/>
          <w:lang w:val="fr-CH"/>
        </w:rPr>
        <w:t>确保人</w:t>
      </w:r>
      <w:r>
        <w:rPr>
          <w:rFonts w:eastAsia="KaiTi_GB2312" w:hint="eastAsia"/>
          <w:snapToGrid/>
          <w:lang w:val="fr-CH"/>
        </w:rPr>
        <w:t>人都</w:t>
      </w:r>
      <w:r>
        <w:rPr>
          <w:rFonts w:eastAsia="KaiTi_GB2312"/>
          <w:snapToGrid/>
          <w:lang w:val="fr-CH"/>
        </w:rPr>
        <w:t>有权机会平等</w:t>
      </w:r>
      <w:r>
        <w:rPr>
          <w:rFonts w:eastAsia="KaiTi_GB2312" w:hint="eastAsia"/>
          <w:snapToGrid/>
          <w:lang w:val="fr-CH"/>
        </w:rPr>
        <w:t>地</w:t>
      </w:r>
      <w:r>
        <w:rPr>
          <w:rFonts w:eastAsia="KaiTi_GB2312"/>
          <w:snapToGrid/>
          <w:lang w:val="fr-CH"/>
        </w:rPr>
        <w:t>参与国民生活</w:t>
      </w:r>
      <w:r>
        <w:rPr>
          <w:rFonts w:hint="eastAsia"/>
          <w:snapToGrid/>
          <w:lang w:val="fr-CH"/>
        </w:rPr>
        <w:t>”</w:t>
      </w:r>
      <w:r>
        <w:rPr>
          <w:snapToGrid/>
          <w:lang w:val="fr-CH"/>
        </w:rPr>
        <w:t>。第</w:t>
      </w:r>
      <w:r>
        <w:rPr>
          <w:snapToGrid/>
          <w:lang w:val="fr-CH"/>
        </w:rPr>
        <w:t>19</w:t>
      </w:r>
      <w:r>
        <w:rPr>
          <w:snapToGrid/>
          <w:lang w:val="fr-CH"/>
        </w:rPr>
        <w:t>条第</w:t>
      </w:r>
      <w:r>
        <w:rPr>
          <w:rFonts w:hint="eastAsia"/>
          <w:snapToGrid/>
          <w:lang w:val="fr-CH"/>
        </w:rPr>
        <w:t>2</w:t>
      </w:r>
      <w:r>
        <w:rPr>
          <w:snapToGrid/>
          <w:lang w:val="fr-CH"/>
        </w:rPr>
        <w:t>节还</w:t>
      </w:r>
      <w:r>
        <w:rPr>
          <w:rFonts w:hint="eastAsia"/>
          <w:snapToGrid/>
          <w:lang w:val="fr-CH"/>
        </w:rPr>
        <w:t>为</w:t>
      </w:r>
      <w:r>
        <w:rPr>
          <w:snapToGrid/>
          <w:lang w:val="fr-CH"/>
        </w:rPr>
        <w:t>这些原则</w:t>
      </w:r>
      <w:r>
        <w:rPr>
          <w:rFonts w:hint="eastAsia"/>
          <w:snapToGrid/>
          <w:lang w:val="fr-CH"/>
        </w:rPr>
        <w:t>规定</w:t>
      </w:r>
      <w:r>
        <w:rPr>
          <w:snapToGrid/>
          <w:lang w:val="fr-CH"/>
        </w:rPr>
        <w:t>了进一步的保障</w:t>
      </w:r>
      <w:r>
        <w:rPr>
          <w:rFonts w:hint="eastAsia"/>
          <w:snapToGrid/>
          <w:lang w:val="fr-CH"/>
        </w:rPr>
        <w:t>。该</w:t>
      </w:r>
      <w:r>
        <w:rPr>
          <w:snapToGrid/>
          <w:lang w:val="fr-CH"/>
        </w:rPr>
        <w:t>条确保</w:t>
      </w:r>
      <w:r>
        <w:rPr>
          <w:rFonts w:hint="eastAsia"/>
          <w:snapToGrid/>
          <w:lang w:val="fr-CH"/>
        </w:rPr>
        <w:t>“</w:t>
      </w:r>
      <w:r>
        <w:rPr>
          <w:rFonts w:eastAsia="KaiTi_GB2312"/>
          <w:snapToGrid/>
          <w:lang w:val="fr-CH"/>
        </w:rPr>
        <w:t>法律面前平等</w:t>
      </w:r>
      <w:r>
        <w:rPr>
          <w:rFonts w:hint="eastAsia"/>
          <w:snapToGrid/>
          <w:lang w:val="fr-CH"/>
        </w:rPr>
        <w:t>”</w:t>
      </w:r>
      <w:r>
        <w:rPr>
          <w:snapToGrid/>
          <w:lang w:val="fr-CH"/>
        </w:rPr>
        <w:t>并在第</w:t>
      </w:r>
      <w:r>
        <w:rPr>
          <w:snapToGrid/>
          <w:lang w:val="fr-CH"/>
        </w:rPr>
        <w:t>16</w:t>
      </w:r>
      <w:r>
        <w:rPr>
          <w:rFonts w:hint="eastAsia"/>
          <w:snapToGrid/>
          <w:lang w:val="fr-CH"/>
        </w:rPr>
        <w:t>节</w:t>
      </w:r>
      <w:r>
        <w:rPr>
          <w:snapToGrid/>
          <w:lang w:val="fr-CH"/>
        </w:rPr>
        <w:t>中规定禁止</w:t>
      </w:r>
      <w:r>
        <w:rPr>
          <w:rFonts w:hint="eastAsia"/>
          <w:snapToGrid/>
          <w:lang w:val="fr-CH"/>
        </w:rPr>
        <w:t>“</w:t>
      </w:r>
      <w:r>
        <w:rPr>
          <w:rFonts w:eastAsia="KaiTi_GB2312"/>
          <w:snapToGrid/>
          <w:lang w:val="fr-CH"/>
        </w:rPr>
        <w:t>任何不基于个人技能或能力的区别</w:t>
      </w:r>
      <w:r>
        <w:rPr>
          <w:rFonts w:eastAsia="KaiTi_GB2312" w:hint="eastAsia"/>
          <w:snapToGrid/>
          <w:lang w:val="fr-CH"/>
        </w:rPr>
        <w:t>对待</w:t>
      </w:r>
      <w:r>
        <w:rPr>
          <w:rFonts w:hint="eastAsia"/>
          <w:snapToGrid/>
          <w:lang w:val="fr-CH"/>
        </w:rPr>
        <w:t>”</w:t>
      </w:r>
      <w:r>
        <w:rPr>
          <w:snapToGrid/>
          <w:lang w:val="fr-CH"/>
        </w:rPr>
        <w:t>。</w:t>
      </w:r>
    </w:p>
    <w:p w:rsidR="00000000" w:rsidRDefault="009C1C61">
      <w:pPr>
        <w:spacing w:after="240"/>
        <w:rPr>
          <w:snapToGrid/>
          <w:lang w:val="fr-CH"/>
        </w:rPr>
      </w:pPr>
      <w:r>
        <w:rPr>
          <w:rFonts w:hint="eastAsia"/>
          <w:snapToGrid/>
          <w:lang w:val="fr-CH"/>
        </w:rPr>
        <w:tab/>
      </w:r>
      <w:r>
        <w:rPr>
          <w:snapToGrid/>
          <w:lang w:val="fr-CH"/>
        </w:rPr>
        <w:t>184.</w:t>
      </w:r>
      <w:r>
        <w:rPr>
          <w:rFonts w:hint="eastAsia"/>
          <w:snapToGrid/>
          <w:lang w:val="fr-CH"/>
        </w:rPr>
        <w:t xml:space="preserve">  </w:t>
      </w:r>
      <w:r>
        <w:rPr>
          <w:snapToGrid/>
          <w:lang w:val="fr-CH"/>
        </w:rPr>
        <w:t>除了</w:t>
      </w:r>
      <w:r>
        <w:rPr>
          <w:rFonts w:hint="eastAsia"/>
          <w:snapToGrid/>
          <w:lang w:val="fr-CH"/>
        </w:rPr>
        <w:t>《</w:t>
      </w:r>
      <w:r>
        <w:rPr>
          <w:snapToGrid/>
          <w:lang w:val="fr-CH"/>
        </w:rPr>
        <w:t>政治宪法</w:t>
      </w:r>
      <w:r>
        <w:rPr>
          <w:rFonts w:hint="eastAsia"/>
          <w:snapToGrid/>
          <w:lang w:val="fr-CH"/>
        </w:rPr>
        <w:t>》</w:t>
      </w:r>
      <w:r>
        <w:rPr>
          <w:snapToGrid/>
          <w:lang w:val="fr-CH"/>
        </w:rPr>
        <w:t>规定普遍禁止尊严和权利方面的一切不平等形式之外，目前</w:t>
      </w:r>
      <w:r>
        <w:rPr>
          <w:rFonts w:hint="eastAsia"/>
          <w:snapToGrid/>
          <w:lang w:val="fr-CH"/>
        </w:rPr>
        <w:t>《关于</w:t>
      </w:r>
      <w:r>
        <w:rPr>
          <w:snapToGrid/>
          <w:lang w:val="fr-CH"/>
        </w:rPr>
        <w:t>国民培训和就业服</w:t>
      </w:r>
      <w:r>
        <w:rPr>
          <w:rFonts w:hint="eastAsia"/>
          <w:snapToGrid/>
          <w:lang w:val="fr-CH"/>
        </w:rPr>
        <w:t>务</w:t>
      </w:r>
      <w:r>
        <w:rPr>
          <w:snapToGrid/>
          <w:lang w:val="fr-CH"/>
        </w:rPr>
        <w:t>基本法</w:t>
      </w:r>
      <w:r>
        <w:rPr>
          <w:rFonts w:hint="eastAsia"/>
          <w:snapToGrid/>
          <w:lang w:val="fr-CH"/>
        </w:rPr>
        <w:t>》</w:t>
      </w:r>
      <w:r>
        <w:rPr>
          <w:rFonts w:hint="eastAsia"/>
          <w:snapToGrid/>
          <w:lang w:val="fr-CH"/>
        </w:rPr>
        <w:t>(</w:t>
      </w:r>
      <w:r>
        <w:rPr>
          <w:rFonts w:hint="eastAsia"/>
          <w:snapToGrid/>
          <w:lang w:val="fr-CH"/>
        </w:rPr>
        <w:t>培训就业基金</w:t>
      </w:r>
      <w:r>
        <w:rPr>
          <w:rFonts w:hint="eastAsia"/>
          <w:snapToGrid/>
          <w:lang w:val="fr-CH"/>
        </w:rPr>
        <w:t xml:space="preserve">) </w:t>
      </w:r>
      <w:r>
        <w:rPr>
          <w:rStyle w:val="FootnoteReference"/>
          <w:snapToGrid/>
          <w:lang w:val="fr-CH"/>
        </w:rPr>
        <w:footnoteReference w:id="46"/>
      </w:r>
      <w:r>
        <w:rPr>
          <w:rFonts w:hint="eastAsia"/>
          <w:snapToGrid/>
          <w:lang w:val="fr-CH"/>
        </w:rPr>
        <w:t xml:space="preserve"> </w:t>
      </w:r>
      <w:r>
        <w:rPr>
          <w:snapToGrid/>
          <w:lang w:val="fr-CH"/>
        </w:rPr>
        <w:t>第</w:t>
      </w:r>
      <w:r>
        <w:rPr>
          <w:snapToGrid/>
          <w:lang w:val="fr-CH"/>
        </w:rPr>
        <w:t>29</w:t>
      </w:r>
      <w:r>
        <w:rPr>
          <w:snapToGrid/>
          <w:lang w:val="fr-CH"/>
        </w:rPr>
        <w:t>条更具体地规定禁止</w:t>
      </w:r>
      <w:r>
        <w:rPr>
          <w:rFonts w:hint="eastAsia"/>
          <w:snapToGrid/>
          <w:lang w:val="fr-CH"/>
        </w:rPr>
        <w:t>“</w:t>
      </w:r>
      <w:r>
        <w:rPr>
          <w:rFonts w:eastAsia="KaiTi_GB2312"/>
          <w:snapToGrid/>
          <w:lang w:val="fr-CH"/>
        </w:rPr>
        <w:t>基于性别、年龄、种族、社会条件、宗教、思想意识或所</w:t>
      </w:r>
      <w:r>
        <w:rPr>
          <w:rFonts w:eastAsia="KaiTi_GB2312" w:hint="eastAsia"/>
          <w:snapToGrid/>
          <w:lang w:val="fr-CH"/>
        </w:rPr>
        <w:t>属</w:t>
      </w:r>
      <w:r>
        <w:rPr>
          <w:rFonts w:eastAsia="KaiTi_GB2312"/>
          <w:snapToGrid/>
          <w:lang w:val="fr-CH"/>
        </w:rPr>
        <w:t>工会的任意歧视，而且绝不允许采取任何行动</w:t>
      </w:r>
      <w:r>
        <w:rPr>
          <w:rFonts w:eastAsia="KaiTi_GB2312" w:hint="eastAsia"/>
          <w:snapToGrid/>
          <w:lang w:val="fr-CH"/>
        </w:rPr>
        <w:t>提倡</w:t>
      </w:r>
      <w:r>
        <w:rPr>
          <w:rFonts w:eastAsia="KaiTi_GB2312"/>
          <w:snapToGrid/>
          <w:lang w:val="fr-CH"/>
        </w:rPr>
        <w:t>或诱导这种歧视。</w:t>
      </w:r>
      <w:r>
        <w:rPr>
          <w:rFonts w:hint="eastAsia"/>
          <w:snapToGrid/>
          <w:lang w:val="fr-CH"/>
        </w:rPr>
        <w:t>”</w:t>
      </w:r>
      <w:r>
        <w:rPr>
          <w:snapToGrid/>
          <w:lang w:val="fr-CH"/>
        </w:rPr>
        <w:t>违反这条规定的行为可受到各种制裁，直至吊销</w:t>
      </w:r>
      <w:r>
        <w:rPr>
          <w:rFonts w:hint="eastAsia"/>
          <w:snapToGrid/>
          <w:lang w:val="fr-CH"/>
        </w:rPr>
        <w:t>已</w:t>
      </w:r>
      <w:r>
        <w:rPr>
          <w:snapToGrid/>
          <w:lang w:val="fr-CH"/>
        </w:rPr>
        <w:t>授予所涉培训机构的开办权。</w:t>
      </w:r>
      <w:r>
        <w:rPr>
          <w:rStyle w:val="FootnoteReference"/>
          <w:snapToGrid/>
          <w:lang w:val="fr-CH"/>
        </w:rPr>
        <w:footnoteReference w:id="47"/>
      </w:r>
    </w:p>
    <w:p w:rsidR="00000000" w:rsidRDefault="009C1C61">
      <w:pPr>
        <w:pStyle w:val="Heading4"/>
        <w:rPr>
          <w:rFonts w:ascii="Time New Roman" w:eastAsia="SimHei" w:hAnsi="Time New Roman"/>
          <w:u w:val="none"/>
        </w:rPr>
      </w:pPr>
      <w:r>
        <w:rPr>
          <w:rFonts w:ascii="Time New Roman" w:eastAsia="SimHei" w:hAnsi="Time New Roman" w:hint="eastAsia"/>
          <w:u w:val="none"/>
          <w:lang w:val="fr-CH"/>
        </w:rPr>
        <w:t>妇女的处境和机会平等</w:t>
      </w:r>
    </w:p>
    <w:p w:rsidR="00000000" w:rsidRDefault="009C1C61">
      <w:pPr>
        <w:rPr>
          <w:snapToGrid/>
          <w:lang w:val="fr-CH"/>
        </w:rPr>
      </w:pPr>
      <w:r>
        <w:rPr>
          <w:rFonts w:hint="eastAsia"/>
          <w:snapToGrid/>
          <w:lang w:val="fr-CH"/>
        </w:rPr>
        <w:tab/>
      </w:r>
      <w:r>
        <w:rPr>
          <w:snapToGrid/>
          <w:lang w:val="fr-CH"/>
        </w:rPr>
        <w:t>185.</w:t>
      </w:r>
      <w:r>
        <w:rPr>
          <w:rFonts w:hint="eastAsia"/>
          <w:snapToGrid/>
          <w:lang w:val="fr-CH"/>
        </w:rPr>
        <w:t xml:space="preserve">  </w:t>
      </w:r>
      <w:r>
        <w:rPr>
          <w:rFonts w:hint="eastAsia"/>
          <w:snapToGrid/>
          <w:lang w:val="fr-CH"/>
        </w:rPr>
        <w:t>就业</w:t>
      </w:r>
      <w:r>
        <w:rPr>
          <w:snapToGrid/>
          <w:lang w:val="fr-CH"/>
        </w:rPr>
        <w:t>实践中</w:t>
      </w:r>
      <w:r>
        <w:rPr>
          <w:rFonts w:hint="eastAsia"/>
          <w:snapToGrid/>
          <w:lang w:val="fr-CH"/>
        </w:rPr>
        <w:t>存在各种因素</w:t>
      </w:r>
      <w:r>
        <w:rPr>
          <w:snapToGrid/>
          <w:lang w:val="fr-CH"/>
        </w:rPr>
        <w:t>妨碍智利妇女享有机会平</w:t>
      </w:r>
      <w:r>
        <w:rPr>
          <w:rFonts w:hint="eastAsia"/>
          <w:snapToGrid/>
          <w:lang w:val="fr-CH"/>
        </w:rPr>
        <w:t>等</w:t>
      </w:r>
      <w:r>
        <w:rPr>
          <w:snapToGrid/>
          <w:lang w:val="fr-CH"/>
        </w:rPr>
        <w:t>。其中一</w:t>
      </w:r>
      <w:r>
        <w:rPr>
          <w:rFonts w:hint="eastAsia"/>
          <w:snapToGrid/>
          <w:lang w:val="fr-CH"/>
        </w:rPr>
        <w:t>种</w:t>
      </w:r>
      <w:r>
        <w:rPr>
          <w:snapToGrid/>
          <w:lang w:val="fr-CH"/>
        </w:rPr>
        <w:t>因素是妇女所获得的工作</w:t>
      </w:r>
      <w:r>
        <w:rPr>
          <w:rFonts w:hint="eastAsia"/>
          <w:snapToGrid/>
          <w:lang w:val="fr-CH"/>
        </w:rPr>
        <w:t>种</w:t>
      </w:r>
      <w:r>
        <w:rPr>
          <w:snapToGrid/>
          <w:lang w:val="fr-CH"/>
        </w:rPr>
        <w:t>类；虽然妇女参</w:t>
      </w:r>
      <w:r>
        <w:rPr>
          <w:rFonts w:hint="eastAsia"/>
          <w:snapToGrid/>
          <w:lang w:val="fr-CH"/>
        </w:rPr>
        <w:t>加</w:t>
      </w:r>
      <w:r>
        <w:rPr>
          <w:snapToGrid/>
          <w:lang w:val="fr-CH"/>
        </w:rPr>
        <w:t>工作的比率从</w:t>
      </w:r>
      <w:r>
        <w:rPr>
          <w:snapToGrid/>
          <w:lang w:val="fr-CH"/>
        </w:rPr>
        <w:t>1990</w:t>
      </w:r>
      <w:r>
        <w:rPr>
          <w:snapToGrid/>
          <w:lang w:val="fr-CH"/>
        </w:rPr>
        <w:t>年的</w:t>
      </w:r>
      <w:r>
        <w:rPr>
          <w:snapToGrid/>
          <w:lang w:val="fr-CH"/>
        </w:rPr>
        <w:t>31.1%</w:t>
      </w:r>
      <w:r>
        <w:rPr>
          <w:snapToGrid/>
          <w:lang w:val="fr-CH"/>
        </w:rPr>
        <w:t>上升至</w:t>
      </w:r>
      <w:r>
        <w:rPr>
          <w:snapToGrid/>
          <w:lang w:val="fr-CH"/>
        </w:rPr>
        <w:t>2000</w:t>
      </w:r>
      <w:r>
        <w:rPr>
          <w:snapToGrid/>
          <w:lang w:val="fr-CH"/>
        </w:rPr>
        <w:t>年的</w:t>
      </w:r>
      <w:r>
        <w:rPr>
          <w:snapToGrid/>
          <w:lang w:val="fr-CH"/>
        </w:rPr>
        <w:t>34.7%</w:t>
      </w:r>
      <w:r>
        <w:rPr>
          <w:snapToGrid/>
          <w:lang w:val="fr-CH"/>
        </w:rPr>
        <w:t>，</w:t>
      </w:r>
      <w:r>
        <w:rPr>
          <w:rStyle w:val="FootnoteReference"/>
          <w:snapToGrid/>
          <w:lang w:val="fr-CH"/>
        </w:rPr>
        <w:footnoteReference w:id="48"/>
      </w:r>
      <w:r>
        <w:rPr>
          <w:rFonts w:hint="eastAsia"/>
          <w:snapToGrid/>
          <w:lang w:val="fr-CH"/>
        </w:rPr>
        <w:t xml:space="preserve"> </w:t>
      </w:r>
      <w:r>
        <w:rPr>
          <w:snapToGrid/>
          <w:lang w:val="fr-CH"/>
        </w:rPr>
        <w:t>妇女的就业仍</w:t>
      </w:r>
      <w:r>
        <w:rPr>
          <w:rFonts w:hint="eastAsia"/>
          <w:snapToGrid/>
          <w:lang w:val="fr-CH"/>
        </w:rPr>
        <w:t>与男性</w:t>
      </w:r>
      <w:r>
        <w:rPr>
          <w:snapToGrid/>
          <w:lang w:val="fr-CH"/>
        </w:rPr>
        <w:t>高度</w:t>
      </w:r>
      <w:r>
        <w:rPr>
          <w:rFonts w:hint="eastAsia"/>
          <w:snapToGrid/>
          <w:lang w:val="fr-CH"/>
        </w:rPr>
        <w:t>分隔。妇女集中在某些领域，尤其是商业以及市政、社会和个人服务业；妇女在制造、采矿</w:t>
      </w:r>
      <w:r>
        <w:rPr>
          <w:snapToGrid/>
          <w:lang w:val="fr-CH"/>
        </w:rPr>
        <w:t>和水电供应行业方面生产活动的参与比例较低，在建筑和运输部门的</w:t>
      </w:r>
      <w:r>
        <w:rPr>
          <w:rFonts w:hint="eastAsia"/>
          <w:snapToGrid/>
          <w:lang w:val="fr-CH"/>
        </w:rPr>
        <w:t>参与</w:t>
      </w:r>
      <w:r>
        <w:rPr>
          <w:snapToGrid/>
          <w:lang w:val="fr-CH"/>
        </w:rPr>
        <w:t>比率则更</w:t>
      </w:r>
      <w:r>
        <w:rPr>
          <w:rFonts w:hint="eastAsia"/>
          <w:snapToGrid/>
          <w:lang w:val="fr-CH"/>
        </w:rPr>
        <w:t>低。</w:t>
      </w:r>
    </w:p>
    <w:p w:rsidR="00000000" w:rsidRDefault="009C1C61">
      <w:pPr>
        <w:rPr>
          <w:snapToGrid/>
          <w:lang w:val="fr-CH"/>
        </w:rPr>
      </w:pPr>
      <w:r>
        <w:rPr>
          <w:rFonts w:hint="eastAsia"/>
          <w:snapToGrid/>
          <w:lang w:val="fr-CH"/>
        </w:rPr>
        <w:tab/>
      </w:r>
      <w:r>
        <w:rPr>
          <w:snapToGrid/>
          <w:lang w:val="fr-CH"/>
        </w:rPr>
        <w:t>186.</w:t>
      </w:r>
      <w:r>
        <w:rPr>
          <w:rFonts w:hint="eastAsia"/>
          <w:snapToGrid/>
          <w:lang w:val="fr-CH"/>
        </w:rPr>
        <w:t xml:space="preserve">  </w:t>
      </w:r>
      <w:r>
        <w:rPr>
          <w:snapToGrid/>
          <w:lang w:val="fr-CH"/>
        </w:rPr>
        <w:t>此外，若审</w:t>
      </w:r>
      <w:r>
        <w:rPr>
          <w:rFonts w:hint="eastAsia"/>
          <w:snapToGrid/>
          <w:lang w:val="fr-CH"/>
        </w:rPr>
        <w:t>视</w:t>
      </w:r>
      <w:r>
        <w:rPr>
          <w:snapToGrid/>
          <w:lang w:val="fr-CH"/>
        </w:rPr>
        <w:t>工作的</w:t>
      </w:r>
      <w:r>
        <w:rPr>
          <w:rFonts w:hint="eastAsia"/>
          <w:snapToGrid/>
          <w:lang w:val="fr-CH"/>
        </w:rPr>
        <w:t>易丧失性</w:t>
      </w:r>
      <w:r>
        <w:rPr>
          <w:snapToGrid/>
          <w:lang w:val="fr-CH"/>
        </w:rPr>
        <w:t>和质</w:t>
      </w:r>
      <w:r>
        <w:rPr>
          <w:rFonts w:hint="eastAsia"/>
          <w:snapToGrid/>
          <w:lang w:val="fr-CH"/>
        </w:rPr>
        <w:t>量</w:t>
      </w:r>
      <w:r>
        <w:rPr>
          <w:snapToGrid/>
          <w:lang w:val="fr-CH"/>
        </w:rPr>
        <w:t>，妇女显然比男性更容易在一些非结构性的部门中寻找到工作。</w:t>
      </w:r>
      <w:r>
        <w:rPr>
          <w:snapToGrid/>
          <w:lang w:val="fr-CH"/>
        </w:rPr>
        <w:t>非结构性部门的保护和平均收入</w:t>
      </w:r>
      <w:r>
        <w:rPr>
          <w:rFonts w:hint="eastAsia"/>
          <w:snapToGrid/>
          <w:lang w:val="fr-CH"/>
        </w:rPr>
        <w:t>少</w:t>
      </w:r>
      <w:r>
        <w:rPr>
          <w:snapToGrid/>
          <w:lang w:val="fr-CH"/>
        </w:rPr>
        <w:t>于结构性部门。</w:t>
      </w:r>
      <w:r>
        <w:rPr>
          <w:snapToGrid/>
          <w:lang w:val="fr-CH"/>
        </w:rPr>
        <w:t>1998</w:t>
      </w:r>
      <w:r>
        <w:rPr>
          <w:snapToGrid/>
          <w:lang w:val="fr-CH"/>
        </w:rPr>
        <w:t>年的数字是：女性</w:t>
      </w:r>
      <w:r>
        <w:rPr>
          <w:snapToGrid/>
          <w:lang w:val="fr-CH"/>
        </w:rPr>
        <w:t>42.7%</w:t>
      </w:r>
      <w:r>
        <w:rPr>
          <w:snapToGrid/>
          <w:lang w:val="fr-CH"/>
        </w:rPr>
        <w:t>；男性</w:t>
      </w:r>
      <w:r>
        <w:rPr>
          <w:snapToGrid/>
          <w:lang w:val="fr-CH"/>
        </w:rPr>
        <w:t>34%</w:t>
      </w:r>
      <w:r>
        <w:rPr>
          <w:snapToGrid/>
          <w:lang w:val="fr-CH"/>
        </w:rPr>
        <w:t>；</w:t>
      </w:r>
      <w:r>
        <w:rPr>
          <w:rFonts w:hint="eastAsia"/>
          <w:snapToGrid/>
          <w:lang w:val="fr-CH"/>
        </w:rPr>
        <w:t>而</w:t>
      </w:r>
      <w:r>
        <w:rPr>
          <w:snapToGrid/>
          <w:lang w:val="fr-CH"/>
        </w:rPr>
        <w:t>2000</w:t>
      </w:r>
      <w:r>
        <w:rPr>
          <w:snapToGrid/>
          <w:lang w:val="fr-CH"/>
        </w:rPr>
        <w:t>年的数字是：女性</w:t>
      </w:r>
      <w:r>
        <w:rPr>
          <w:snapToGrid/>
          <w:lang w:val="fr-CH"/>
        </w:rPr>
        <w:t>57.4%</w:t>
      </w:r>
      <w:r>
        <w:rPr>
          <w:snapToGrid/>
          <w:lang w:val="fr-CH"/>
        </w:rPr>
        <w:t>；男性</w:t>
      </w:r>
      <w:r>
        <w:rPr>
          <w:snapToGrid/>
          <w:lang w:val="fr-CH"/>
        </w:rPr>
        <w:t>49.4%</w:t>
      </w:r>
      <w:r>
        <w:rPr>
          <w:snapToGrid/>
          <w:lang w:val="fr-CH"/>
        </w:rPr>
        <w:t>。</w:t>
      </w:r>
      <w:r>
        <w:rPr>
          <w:rStyle w:val="FootnoteReference"/>
          <w:snapToGrid/>
          <w:lang w:val="fr-CH"/>
        </w:rPr>
        <w:footnoteReference w:id="49"/>
      </w:r>
    </w:p>
    <w:p w:rsidR="00000000" w:rsidRDefault="009C1C61">
      <w:pPr>
        <w:rPr>
          <w:snapToGrid/>
          <w:lang w:val="fr-CH"/>
        </w:rPr>
      </w:pPr>
      <w:r>
        <w:rPr>
          <w:rFonts w:hint="eastAsia"/>
          <w:snapToGrid/>
          <w:lang w:val="fr-CH"/>
        </w:rPr>
        <w:tab/>
      </w:r>
      <w:r>
        <w:rPr>
          <w:snapToGrid/>
          <w:lang w:val="fr-CH"/>
        </w:rPr>
        <w:t>187.</w:t>
      </w:r>
      <w:r>
        <w:rPr>
          <w:rFonts w:hint="eastAsia"/>
          <w:snapToGrid/>
          <w:lang w:val="fr-CH"/>
        </w:rPr>
        <w:t xml:space="preserve">  </w:t>
      </w:r>
      <w:r>
        <w:rPr>
          <w:snapToGrid/>
          <w:lang w:val="fr-CH"/>
        </w:rPr>
        <w:t>这种现象</w:t>
      </w:r>
      <w:r>
        <w:rPr>
          <w:rFonts w:hint="eastAsia"/>
          <w:snapToGrid/>
          <w:lang w:val="fr-CH"/>
        </w:rPr>
        <w:t>在</w:t>
      </w:r>
      <w:r>
        <w:rPr>
          <w:snapToGrid/>
          <w:lang w:val="fr-CH"/>
        </w:rPr>
        <w:t>相当</w:t>
      </w:r>
      <w:r>
        <w:rPr>
          <w:rFonts w:hint="eastAsia"/>
          <w:snapToGrid/>
          <w:lang w:val="fr-CH"/>
        </w:rPr>
        <w:t>大</w:t>
      </w:r>
      <w:r>
        <w:rPr>
          <w:snapToGrid/>
          <w:lang w:val="fr-CH"/>
        </w:rPr>
        <w:t>程度</w:t>
      </w:r>
      <w:r>
        <w:rPr>
          <w:rFonts w:hint="eastAsia"/>
          <w:snapToGrid/>
          <w:lang w:val="fr-CH"/>
        </w:rPr>
        <w:t>上反映了性别上的定势思维</w:t>
      </w:r>
      <w:r>
        <w:rPr>
          <w:snapToGrid/>
          <w:lang w:val="fr-CH"/>
        </w:rPr>
        <w:t>，</w:t>
      </w:r>
      <w:r>
        <w:rPr>
          <w:rFonts w:hint="eastAsia"/>
          <w:snapToGrid/>
          <w:lang w:val="fr-CH"/>
        </w:rPr>
        <w:t>根据这种思维</w:t>
      </w:r>
      <w:r>
        <w:rPr>
          <w:snapToGrid/>
          <w:lang w:val="fr-CH"/>
        </w:rPr>
        <w:t>，分配妇女从事的活动可以视为妇女在家</w:t>
      </w:r>
      <w:r>
        <w:rPr>
          <w:rFonts w:hint="eastAsia"/>
          <w:snapToGrid/>
          <w:lang w:val="fr-CH"/>
        </w:rPr>
        <w:t>扮演的</w:t>
      </w:r>
      <w:r>
        <w:rPr>
          <w:snapToGrid/>
          <w:lang w:val="fr-CH"/>
        </w:rPr>
        <w:t>传统角色的延伸，</w:t>
      </w:r>
      <w:r>
        <w:rPr>
          <w:rFonts w:hint="eastAsia"/>
          <w:snapToGrid/>
          <w:lang w:val="fr-CH"/>
        </w:rPr>
        <w:t>即</w:t>
      </w:r>
      <w:r>
        <w:rPr>
          <w:snapToGrid/>
          <w:lang w:val="fr-CH"/>
        </w:rPr>
        <w:t>负责照</w:t>
      </w:r>
      <w:r>
        <w:rPr>
          <w:rFonts w:hint="eastAsia"/>
          <w:snapToGrid/>
          <w:lang w:val="fr-CH"/>
        </w:rPr>
        <w:t>顾</w:t>
      </w:r>
      <w:r>
        <w:rPr>
          <w:snapToGrid/>
          <w:lang w:val="fr-CH"/>
        </w:rPr>
        <w:t>他人</w:t>
      </w:r>
      <w:r>
        <w:rPr>
          <w:rFonts w:hint="eastAsia"/>
          <w:snapToGrid/>
          <w:lang w:val="fr-CH"/>
        </w:rPr>
        <w:t>，就象</w:t>
      </w:r>
      <w:r>
        <w:rPr>
          <w:snapToGrid/>
          <w:lang w:val="fr-CH"/>
        </w:rPr>
        <w:t>诸</w:t>
      </w:r>
      <w:r>
        <w:rPr>
          <w:rFonts w:hint="eastAsia"/>
          <w:snapToGrid/>
          <w:lang w:val="fr-CH"/>
        </w:rPr>
        <w:t>在</w:t>
      </w:r>
      <w:r>
        <w:rPr>
          <w:snapToGrid/>
          <w:lang w:val="fr-CH"/>
        </w:rPr>
        <w:t>服务业、卫生和教育</w:t>
      </w:r>
      <w:r>
        <w:rPr>
          <w:rFonts w:hint="eastAsia"/>
          <w:snapToGrid/>
          <w:lang w:val="fr-CH"/>
        </w:rPr>
        <w:t>界一样照顾他人</w:t>
      </w:r>
      <w:r>
        <w:rPr>
          <w:snapToGrid/>
          <w:lang w:val="fr-CH"/>
        </w:rPr>
        <w:t>。</w:t>
      </w:r>
    </w:p>
    <w:p w:rsidR="00000000" w:rsidRDefault="009C1C61">
      <w:pPr>
        <w:rPr>
          <w:snapToGrid/>
          <w:lang w:val="fr-CH"/>
        </w:rPr>
      </w:pPr>
      <w:r>
        <w:rPr>
          <w:rFonts w:hint="eastAsia"/>
          <w:snapToGrid/>
          <w:lang w:val="fr-CH"/>
        </w:rPr>
        <w:tab/>
      </w:r>
      <w:r>
        <w:rPr>
          <w:snapToGrid/>
          <w:lang w:val="fr-CH"/>
        </w:rPr>
        <w:t>188.</w:t>
      </w:r>
      <w:r>
        <w:rPr>
          <w:rFonts w:hint="eastAsia"/>
          <w:snapToGrid/>
          <w:lang w:val="fr-CH"/>
        </w:rPr>
        <w:t xml:space="preserve">  </w:t>
      </w:r>
      <w:r>
        <w:rPr>
          <w:snapToGrid/>
          <w:lang w:val="fr-CH"/>
        </w:rPr>
        <w:t>虽然智利立法认为，每个工</w:t>
      </w:r>
      <w:r>
        <w:rPr>
          <w:rFonts w:hint="eastAsia"/>
          <w:snapToGrid/>
          <w:lang w:val="fr-CH"/>
        </w:rPr>
        <w:t>作</w:t>
      </w:r>
      <w:r>
        <w:rPr>
          <w:snapToGrid/>
          <w:lang w:val="fr-CH"/>
        </w:rPr>
        <w:t>人</w:t>
      </w:r>
      <w:r>
        <w:rPr>
          <w:rFonts w:hint="eastAsia"/>
          <w:snapToGrid/>
          <w:lang w:val="fr-CH"/>
        </w:rPr>
        <w:t>员</w:t>
      </w:r>
      <w:r>
        <w:rPr>
          <w:snapToGrid/>
          <w:lang w:val="fr-CH"/>
        </w:rPr>
        <w:t>都应</w:t>
      </w:r>
      <w:r>
        <w:rPr>
          <w:rFonts w:hint="eastAsia"/>
          <w:snapToGrid/>
          <w:lang w:val="fr-CH"/>
        </w:rPr>
        <w:t>有</w:t>
      </w:r>
      <w:r>
        <w:rPr>
          <w:snapToGrid/>
          <w:lang w:val="fr-CH"/>
        </w:rPr>
        <w:t>就业合同</w:t>
      </w:r>
      <w:r>
        <w:rPr>
          <w:rFonts w:hint="eastAsia"/>
          <w:snapToGrid/>
          <w:lang w:val="fr-CH"/>
        </w:rPr>
        <w:t>，而不论规定是否明确与否</w:t>
      </w:r>
      <w:r>
        <w:rPr>
          <w:snapToGrid/>
          <w:lang w:val="fr-CH"/>
        </w:rPr>
        <w:t>，然而</w:t>
      </w:r>
      <w:r>
        <w:rPr>
          <w:rFonts w:hint="eastAsia"/>
          <w:snapToGrid/>
          <w:lang w:val="fr-CH"/>
        </w:rPr>
        <w:t>还是</w:t>
      </w:r>
      <w:r>
        <w:rPr>
          <w:snapToGrid/>
          <w:lang w:val="fr-CH"/>
        </w:rPr>
        <w:t>存在</w:t>
      </w:r>
      <w:r>
        <w:rPr>
          <w:rFonts w:hint="eastAsia"/>
          <w:snapToGrid/>
          <w:lang w:val="fr-CH"/>
        </w:rPr>
        <w:t>着</w:t>
      </w:r>
      <w:r>
        <w:rPr>
          <w:snapToGrid/>
          <w:lang w:val="fr-CH"/>
        </w:rPr>
        <w:t>各</w:t>
      </w:r>
      <w:r>
        <w:rPr>
          <w:rFonts w:hint="eastAsia"/>
          <w:snapToGrid/>
          <w:lang w:val="fr-CH"/>
        </w:rPr>
        <w:t>种不稳定</w:t>
      </w:r>
      <w:r>
        <w:rPr>
          <w:snapToGrid/>
          <w:lang w:val="fr-CH"/>
        </w:rPr>
        <w:t>的领薪就业形</w:t>
      </w:r>
      <w:r>
        <w:rPr>
          <w:rFonts w:hint="eastAsia"/>
          <w:snapToGrid/>
          <w:lang w:val="fr-CH"/>
        </w:rPr>
        <w:t>式以及对妇女不利的差别，女性就业者中只有</w:t>
      </w:r>
      <w:r>
        <w:rPr>
          <w:snapToGrid/>
          <w:lang w:val="fr-CH"/>
        </w:rPr>
        <w:t>72.3%</w:t>
      </w:r>
      <w:r>
        <w:rPr>
          <w:snapToGrid/>
          <w:lang w:val="fr-CH"/>
        </w:rPr>
        <w:t>妇</w:t>
      </w:r>
      <w:r>
        <w:rPr>
          <w:snapToGrid/>
          <w:lang w:val="fr-CH"/>
        </w:rPr>
        <w:t>女拥有就业合同，而男性的比例为</w:t>
      </w:r>
      <w:r>
        <w:rPr>
          <w:snapToGrid/>
          <w:lang w:val="fr-CH"/>
        </w:rPr>
        <w:t>77.2%</w:t>
      </w:r>
      <w:r>
        <w:rPr>
          <w:snapToGrid/>
          <w:lang w:val="fr-CH"/>
        </w:rPr>
        <w:t>。</w:t>
      </w:r>
      <w:r>
        <w:rPr>
          <w:rStyle w:val="FootnoteReference"/>
          <w:snapToGrid/>
          <w:lang w:val="fr-CH"/>
        </w:rPr>
        <w:footnoteReference w:id="50"/>
      </w:r>
    </w:p>
    <w:p w:rsidR="00000000" w:rsidRDefault="009C1C61">
      <w:pPr>
        <w:rPr>
          <w:snapToGrid/>
          <w:lang w:val="fr-CH"/>
        </w:rPr>
      </w:pPr>
      <w:r>
        <w:rPr>
          <w:rFonts w:hint="eastAsia"/>
          <w:snapToGrid/>
          <w:lang w:val="fr-CH"/>
        </w:rPr>
        <w:tab/>
      </w:r>
      <w:r>
        <w:rPr>
          <w:snapToGrid/>
          <w:lang w:val="fr-CH"/>
        </w:rPr>
        <w:t>189.</w:t>
      </w:r>
      <w:r>
        <w:rPr>
          <w:rFonts w:hint="eastAsia"/>
          <w:snapToGrid/>
          <w:lang w:val="fr-CH"/>
        </w:rPr>
        <w:t xml:space="preserve">  </w:t>
      </w:r>
      <w:r>
        <w:rPr>
          <w:snapToGrid/>
          <w:lang w:val="fr-CH"/>
        </w:rPr>
        <w:t>除了妇女</w:t>
      </w:r>
      <w:r>
        <w:rPr>
          <w:rFonts w:hint="eastAsia"/>
          <w:snapToGrid/>
          <w:lang w:val="fr-CH"/>
        </w:rPr>
        <w:t>的工种</w:t>
      </w:r>
      <w:r>
        <w:rPr>
          <w:snapToGrid/>
          <w:lang w:val="fr-CH"/>
        </w:rPr>
        <w:t>之外，</w:t>
      </w:r>
      <w:r>
        <w:rPr>
          <w:rFonts w:hint="eastAsia"/>
          <w:snapToGrid/>
          <w:lang w:val="fr-CH"/>
        </w:rPr>
        <w:t>对</w:t>
      </w:r>
      <w:r>
        <w:rPr>
          <w:snapToGrid/>
          <w:lang w:val="fr-CH"/>
        </w:rPr>
        <w:t>女工</w:t>
      </w:r>
      <w:r>
        <w:rPr>
          <w:rFonts w:hint="eastAsia"/>
          <w:snapToGrid/>
          <w:lang w:val="fr-CH"/>
        </w:rPr>
        <w:t>的</w:t>
      </w:r>
      <w:r>
        <w:rPr>
          <w:snapToGrid/>
          <w:lang w:val="fr-CH"/>
        </w:rPr>
        <w:t>另一</w:t>
      </w:r>
      <w:r>
        <w:rPr>
          <w:rFonts w:hint="eastAsia"/>
          <w:snapToGrid/>
          <w:lang w:val="fr-CH"/>
        </w:rPr>
        <w:t>种</w:t>
      </w:r>
      <w:r>
        <w:rPr>
          <w:snapToGrid/>
          <w:lang w:val="fr-CH"/>
        </w:rPr>
        <w:t>主要</w:t>
      </w:r>
      <w:r>
        <w:rPr>
          <w:rFonts w:hint="eastAsia"/>
          <w:snapToGrid/>
          <w:lang w:val="fr-CH"/>
        </w:rPr>
        <w:t>形式的</w:t>
      </w:r>
      <w:r>
        <w:rPr>
          <w:snapToGrid/>
          <w:lang w:val="fr-CH"/>
        </w:rPr>
        <w:t>歧视</w:t>
      </w:r>
      <w:r>
        <w:rPr>
          <w:rFonts w:hint="eastAsia"/>
          <w:snapToGrid/>
          <w:lang w:val="fr-CH"/>
        </w:rPr>
        <w:t>就是</w:t>
      </w:r>
      <w:r>
        <w:rPr>
          <w:snapToGrid/>
          <w:lang w:val="fr-CH"/>
        </w:rPr>
        <w:t>家</w:t>
      </w:r>
      <w:r>
        <w:rPr>
          <w:rFonts w:hint="eastAsia"/>
          <w:snapToGrid/>
          <w:lang w:val="fr-CH"/>
        </w:rPr>
        <w:t>务</w:t>
      </w:r>
      <w:r>
        <w:rPr>
          <w:snapToGrid/>
          <w:lang w:val="fr-CH"/>
        </w:rPr>
        <w:t>负担</w:t>
      </w:r>
      <w:r>
        <w:rPr>
          <w:rFonts w:hint="eastAsia"/>
          <w:snapToGrid/>
          <w:lang w:val="fr-CH"/>
        </w:rPr>
        <w:t>重，</w:t>
      </w:r>
      <w:r>
        <w:rPr>
          <w:snapToGrid/>
          <w:lang w:val="fr-CH"/>
        </w:rPr>
        <w:t>尤其是</w:t>
      </w:r>
      <w:r>
        <w:rPr>
          <w:rFonts w:hint="eastAsia"/>
          <w:snapToGrid/>
          <w:lang w:val="fr-CH"/>
        </w:rPr>
        <w:t>在她们</w:t>
      </w:r>
      <w:r>
        <w:rPr>
          <w:snapToGrid/>
          <w:lang w:val="fr-CH"/>
        </w:rPr>
        <w:t>有孩子或怀孕</w:t>
      </w:r>
      <w:r>
        <w:rPr>
          <w:rFonts w:hint="eastAsia"/>
          <w:snapToGrid/>
          <w:lang w:val="fr-CH"/>
        </w:rPr>
        <w:t>的时候</w:t>
      </w:r>
      <w:r>
        <w:rPr>
          <w:snapToGrid/>
          <w:lang w:val="fr-CH"/>
        </w:rPr>
        <w:t>。这些因素都被用于作为支付较少报酬和拒绝</w:t>
      </w:r>
      <w:r>
        <w:rPr>
          <w:rFonts w:hint="eastAsia"/>
          <w:snapToGrid/>
          <w:lang w:val="fr-CH"/>
        </w:rPr>
        <w:t>给予晋升或</w:t>
      </w:r>
      <w:r>
        <w:rPr>
          <w:snapToGrid/>
          <w:lang w:val="fr-CH"/>
        </w:rPr>
        <w:t>培训机会的理由；这些理由有时甚至被视为劝告妇女不要选择某项工作的因素。</w:t>
      </w:r>
    </w:p>
    <w:p w:rsidR="00000000" w:rsidRDefault="009C1C61">
      <w:pPr>
        <w:rPr>
          <w:snapToGrid/>
          <w:lang w:val="fr-CH"/>
        </w:rPr>
      </w:pPr>
      <w:r>
        <w:rPr>
          <w:rFonts w:hint="eastAsia"/>
          <w:snapToGrid/>
          <w:lang w:val="fr-CH"/>
        </w:rPr>
        <w:tab/>
      </w:r>
      <w:r>
        <w:rPr>
          <w:snapToGrid/>
          <w:lang w:val="fr-CH"/>
        </w:rPr>
        <w:t>190.</w:t>
      </w:r>
      <w:r>
        <w:rPr>
          <w:rFonts w:hint="eastAsia"/>
          <w:snapToGrid/>
          <w:lang w:val="fr-CH"/>
        </w:rPr>
        <w:t xml:space="preserve">  </w:t>
      </w:r>
      <w:r>
        <w:rPr>
          <w:snapToGrid/>
          <w:lang w:val="fr-CH"/>
        </w:rPr>
        <w:t>鉴于这种情况，对《劳工法》</w:t>
      </w:r>
      <w:r>
        <w:rPr>
          <w:rFonts w:hint="eastAsia"/>
          <w:snapToGrid/>
          <w:lang w:val="fr-CH"/>
        </w:rPr>
        <w:t>进行</w:t>
      </w:r>
      <w:r>
        <w:rPr>
          <w:snapToGrid/>
          <w:lang w:val="fr-CH"/>
        </w:rPr>
        <w:t>了修订</w:t>
      </w:r>
      <w:r>
        <w:rPr>
          <w:rStyle w:val="FootnoteReference"/>
          <w:snapToGrid/>
          <w:lang w:val="fr-CH"/>
        </w:rPr>
        <w:footnoteReference w:id="51"/>
      </w:r>
      <w:r>
        <w:rPr>
          <w:snapToGrid/>
          <w:lang w:val="fr-CH"/>
        </w:rPr>
        <w:t>，禁止以</w:t>
      </w:r>
      <w:r>
        <w:rPr>
          <w:rFonts w:hint="eastAsia"/>
          <w:snapToGrid/>
          <w:lang w:val="fr-CH"/>
        </w:rPr>
        <w:t>妇女</w:t>
      </w:r>
      <w:r>
        <w:rPr>
          <w:snapToGrid/>
          <w:lang w:val="fr-CH"/>
        </w:rPr>
        <w:t>不得怀孕作为为妇女提供就业、调动、</w:t>
      </w:r>
      <w:r>
        <w:rPr>
          <w:rFonts w:hint="eastAsia"/>
          <w:snapToGrid/>
          <w:lang w:val="fr-CH"/>
        </w:rPr>
        <w:t>晋升</w:t>
      </w:r>
      <w:r>
        <w:rPr>
          <w:snapToGrid/>
          <w:lang w:val="fr-CH"/>
        </w:rPr>
        <w:t>或者培训的条件。这项法律结束了女工必须事先进行怀孕检查，然后才可订</w:t>
      </w:r>
      <w:r>
        <w:rPr>
          <w:rFonts w:hint="eastAsia"/>
          <w:snapToGrid/>
          <w:lang w:val="fr-CH"/>
        </w:rPr>
        <w:t>立</w:t>
      </w:r>
      <w:r>
        <w:rPr>
          <w:snapToGrid/>
          <w:lang w:val="fr-CH"/>
        </w:rPr>
        <w:t>就业关系的做法。</w:t>
      </w:r>
    </w:p>
    <w:p w:rsidR="00000000" w:rsidRDefault="009C1C61">
      <w:pPr>
        <w:spacing w:after="240"/>
        <w:rPr>
          <w:rFonts w:hint="eastAsia"/>
          <w:snapToGrid/>
          <w:lang w:val="fr-CH"/>
        </w:rPr>
      </w:pPr>
      <w:r>
        <w:rPr>
          <w:rFonts w:hint="eastAsia"/>
          <w:snapToGrid/>
          <w:lang w:val="fr-CH"/>
        </w:rPr>
        <w:tab/>
      </w:r>
      <w:r>
        <w:rPr>
          <w:snapToGrid/>
          <w:lang w:val="fr-CH"/>
        </w:rPr>
        <w:t>191.</w:t>
      </w:r>
      <w:r>
        <w:rPr>
          <w:rFonts w:hint="eastAsia"/>
          <w:snapToGrid/>
          <w:lang w:val="fr-CH"/>
        </w:rPr>
        <w:t xml:space="preserve">  </w:t>
      </w:r>
      <w:r>
        <w:rPr>
          <w:snapToGrid/>
          <w:lang w:val="fr-CH"/>
        </w:rPr>
        <w:t>另一种歧视形式是性骚扰，除了严重地</w:t>
      </w:r>
      <w:r>
        <w:rPr>
          <w:rFonts w:hint="eastAsia"/>
          <w:snapToGrid/>
          <w:lang w:val="fr-CH"/>
        </w:rPr>
        <w:t>影响</w:t>
      </w:r>
      <w:r>
        <w:rPr>
          <w:snapToGrid/>
          <w:lang w:val="fr-CH"/>
        </w:rPr>
        <w:t>女工的尊严和工作环境之外，往往</w:t>
      </w:r>
      <w:r>
        <w:rPr>
          <w:rFonts w:hint="eastAsia"/>
          <w:snapToGrid/>
          <w:lang w:val="fr-CH"/>
        </w:rPr>
        <w:t>还</w:t>
      </w:r>
      <w:r>
        <w:rPr>
          <w:snapToGrid/>
          <w:lang w:val="fr-CH"/>
        </w:rPr>
        <w:t>使</w:t>
      </w:r>
      <w:r>
        <w:rPr>
          <w:rFonts w:hint="eastAsia"/>
          <w:snapToGrid/>
          <w:lang w:val="fr-CH"/>
        </w:rPr>
        <w:t>她</w:t>
      </w:r>
      <w:r>
        <w:rPr>
          <w:snapToGrid/>
          <w:lang w:val="fr-CH"/>
        </w:rPr>
        <w:t>们失业或</w:t>
      </w:r>
      <w:r>
        <w:rPr>
          <w:rFonts w:hint="eastAsia"/>
          <w:snapToGrid/>
          <w:lang w:val="fr-CH"/>
        </w:rPr>
        <w:t>辞职。</w:t>
      </w:r>
      <w:r>
        <w:rPr>
          <w:rStyle w:val="FootnoteReference"/>
          <w:snapToGrid/>
          <w:lang w:val="fr-CH"/>
        </w:rPr>
        <w:footnoteReference w:id="52"/>
      </w:r>
      <w:r>
        <w:rPr>
          <w:rFonts w:hint="eastAsia"/>
          <w:snapToGrid/>
          <w:lang w:val="fr-CH"/>
        </w:rPr>
        <w:t xml:space="preserve"> </w:t>
      </w:r>
      <w:r>
        <w:rPr>
          <w:rFonts w:hint="eastAsia"/>
          <w:snapToGrid/>
          <w:lang w:val="fr-CH"/>
        </w:rPr>
        <w:t>然而，有关的立法并没有明确地列明这类情况或者规定可进行惩治。规定可对性骚扰进行惩罚的草案出自</w:t>
      </w:r>
      <w:r>
        <w:rPr>
          <w:snapToGrid/>
          <w:lang w:val="fr-CH"/>
        </w:rPr>
        <w:t>1994</w:t>
      </w:r>
      <w:r>
        <w:rPr>
          <w:snapToGrid/>
          <w:lang w:val="fr-CH"/>
        </w:rPr>
        <w:t>年提出的一项议会</w:t>
      </w:r>
      <w:r>
        <w:rPr>
          <w:rFonts w:hint="eastAsia"/>
          <w:snapToGrid/>
          <w:lang w:val="fr-CH"/>
        </w:rPr>
        <w:t>动议。执政政府提出一些建议，后来列入了特别立法会议</w:t>
      </w:r>
      <w:r>
        <w:rPr>
          <w:snapToGrid/>
          <w:lang w:val="fr-CH"/>
        </w:rPr>
        <w:t>(1998</w:t>
      </w:r>
      <w:r>
        <w:rPr>
          <w:snapToGrid/>
          <w:lang w:val="fr-CH"/>
        </w:rPr>
        <w:t>年</w:t>
      </w:r>
      <w:r>
        <w:rPr>
          <w:snapToGrid/>
          <w:lang w:val="fr-CH"/>
        </w:rPr>
        <w:t>9</w:t>
      </w:r>
      <w:r>
        <w:rPr>
          <w:snapToGrid/>
          <w:lang w:val="fr-CH"/>
        </w:rPr>
        <w:t>月至</w:t>
      </w:r>
      <w:r>
        <w:rPr>
          <w:snapToGrid/>
          <w:lang w:val="fr-CH"/>
        </w:rPr>
        <w:t>1999</w:t>
      </w:r>
      <w:r>
        <w:rPr>
          <w:snapToGrid/>
          <w:lang w:val="fr-CH"/>
        </w:rPr>
        <w:t>年</w:t>
      </w:r>
      <w:r>
        <w:rPr>
          <w:snapToGrid/>
          <w:lang w:val="fr-CH"/>
        </w:rPr>
        <w:t>5</w:t>
      </w:r>
      <w:r>
        <w:rPr>
          <w:snapToGrid/>
          <w:lang w:val="fr-CH"/>
        </w:rPr>
        <w:t>月</w:t>
      </w:r>
      <w:r>
        <w:rPr>
          <w:rFonts w:hint="eastAsia"/>
          <w:snapToGrid/>
          <w:lang w:val="fr-CH"/>
        </w:rPr>
        <w:t>)</w:t>
      </w:r>
      <w:r>
        <w:rPr>
          <w:snapToGrid/>
          <w:lang w:val="fr-CH"/>
        </w:rPr>
        <w:t>；但是，立法程序仍然</w:t>
      </w:r>
      <w:r>
        <w:rPr>
          <w:rFonts w:hint="eastAsia"/>
          <w:snapToGrid/>
          <w:lang w:val="fr-CH"/>
        </w:rPr>
        <w:t>还</w:t>
      </w:r>
      <w:r>
        <w:rPr>
          <w:snapToGrid/>
          <w:lang w:val="fr-CH"/>
        </w:rPr>
        <w:t>未完成。</w:t>
      </w:r>
      <w:r>
        <w:rPr>
          <w:rFonts w:hint="eastAsia"/>
          <w:snapToGrid/>
          <w:lang w:val="fr-CH"/>
        </w:rPr>
        <w:t>作为针</w:t>
      </w:r>
      <w:r>
        <w:rPr>
          <w:snapToGrid/>
          <w:lang w:val="fr-CH"/>
        </w:rPr>
        <w:t>对这一问题的</w:t>
      </w:r>
      <w:r>
        <w:rPr>
          <w:rFonts w:hint="eastAsia"/>
          <w:snapToGrid/>
          <w:lang w:val="fr-CH"/>
        </w:rPr>
        <w:t>一种回应</w:t>
      </w:r>
      <w:r>
        <w:rPr>
          <w:snapToGrid/>
          <w:lang w:val="fr-CH"/>
        </w:rPr>
        <w:t>，</w:t>
      </w:r>
      <w:r>
        <w:rPr>
          <w:snapToGrid/>
          <w:lang w:val="fr-CH"/>
        </w:rPr>
        <w:t>1997</w:t>
      </w:r>
      <w:r>
        <w:rPr>
          <w:snapToGrid/>
          <w:lang w:val="fr-CH"/>
        </w:rPr>
        <w:t>年劳工局规定了性骚扰申诉提出之后转</w:t>
      </w:r>
      <w:r>
        <w:rPr>
          <w:rFonts w:hint="eastAsia"/>
          <w:snapToGrid/>
          <w:lang w:val="fr-CH"/>
        </w:rPr>
        <w:t>呈</w:t>
      </w:r>
      <w:r>
        <w:rPr>
          <w:snapToGrid/>
          <w:lang w:val="fr-CH"/>
        </w:rPr>
        <w:t>法</w:t>
      </w:r>
      <w:r>
        <w:rPr>
          <w:rFonts w:hint="eastAsia"/>
          <w:snapToGrid/>
          <w:lang w:val="fr-CH"/>
        </w:rPr>
        <w:t>院</w:t>
      </w:r>
      <w:r>
        <w:rPr>
          <w:snapToGrid/>
          <w:lang w:val="fr-CH"/>
        </w:rPr>
        <w:t>的程序和标准，并</w:t>
      </w:r>
      <w:r>
        <w:rPr>
          <w:rFonts w:hint="eastAsia"/>
          <w:snapToGrid/>
          <w:lang w:val="fr-CH"/>
        </w:rPr>
        <w:t>指定</w:t>
      </w:r>
      <w:r>
        <w:rPr>
          <w:snapToGrid/>
          <w:lang w:val="fr-CH"/>
        </w:rPr>
        <w:t>了主管这项事务的官员。</w:t>
      </w:r>
    </w:p>
    <w:p w:rsidR="00000000" w:rsidRDefault="009C1C61">
      <w:pPr>
        <w:pStyle w:val="Heading4"/>
        <w:rPr>
          <w:rFonts w:ascii="Time New Roman" w:eastAsia="SimHei" w:hAnsi="Time New Roman" w:hint="eastAsia"/>
          <w:u w:val="none"/>
          <w:lang w:val="fr-CH"/>
        </w:rPr>
      </w:pPr>
      <w:r>
        <w:rPr>
          <w:rFonts w:ascii="Time New Roman" w:eastAsia="SimHei" w:hAnsi="Time New Roman" w:hint="eastAsia"/>
          <w:u w:val="none"/>
          <w:lang w:val="fr-CH"/>
        </w:rPr>
        <w:t>按种族、肤色、性别、宗教和民族血统分别介绍职业指导和</w:t>
      </w:r>
      <w:r>
        <w:rPr>
          <w:rFonts w:ascii="Time New Roman" w:eastAsia="SimHei" w:hAnsi="Time New Roman"/>
          <w:u w:val="none"/>
          <w:lang w:val="fr-CH"/>
        </w:rPr>
        <w:br/>
      </w:r>
      <w:r>
        <w:rPr>
          <w:rFonts w:ascii="Time New Roman" w:eastAsia="SimHei" w:hAnsi="Time New Roman" w:hint="eastAsia"/>
          <w:u w:val="none"/>
          <w:lang w:val="fr-CH"/>
        </w:rPr>
        <w:t>培训以及就业和职业的目前情况</w:t>
      </w:r>
    </w:p>
    <w:p w:rsidR="00000000" w:rsidRDefault="009C1C61">
      <w:pPr>
        <w:rPr>
          <w:snapToGrid/>
          <w:lang w:val="fr-CH"/>
        </w:rPr>
      </w:pPr>
      <w:r>
        <w:rPr>
          <w:rFonts w:hint="eastAsia"/>
          <w:snapToGrid/>
          <w:lang w:val="fr-CH"/>
        </w:rPr>
        <w:tab/>
      </w:r>
      <w:r>
        <w:rPr>
          <w:snapToGrid/>
          <w:lang w:val="fr-CH"/>
        </w:rPr>
        <w:t>192.</w:t>
      </w:r>
      <w:r>
        <w:rPr>
          <w:rFonts w:hint="eastAsia"/>
          <w:snapToGrid/>
          <w:lang w:val="fr-CH"/>
        </w:rPr>
        <w:t xml:space="preserve">  </w:t>
      </w:r>
      <w:r>
        <w:rPr>
          <w:snapToGrid/>
          <w:lang w:val="fr-CH"/>
        </w:rPr>
        <w:t>专业水</w:t>
      </w:r>
      <w:r>
        <w:rPr>
          <w:snapToGrid/>
          <w:lang w:val="fr-CH"/>
        </w:rPr>
        <w:t>平的职业指导和培训体现</w:t>
      </w:r>
      <w:r>
        <w:rPr>
          <w:rFonts w:hint="eastAsia"/>
          <w:snapToGrid/>
          <w:lang w:val="fr-CH"/>
        </w:rPr>
        <w:t>出</w:t>
      </w:r>
      <w:r>
        <w:rPr>
          <w:snapToGrid/>
          <w:lang w:val="fr-CH"/>
        </w:rPr>
        <w:t>了劳务市场某些具体部门男女</w:t>
      </w:r>
      <w:r>
        <w:rPr>
          <w:rFonts w:hint="eastAsia"/>
          <w:snapToGrid/>
          <w:lang w:val="fr-CH"/>
        </w:rPr>
        <w:t>集中</w:t>
      </w:r>
      <w:r>
        <w:rPr>
          <w:snapToGrid/>
          <w:lang w:val="fr-CH"/>
        </w:rPr>
        <w:t>的趋势。男性</w:t>
      </w:r>
      <w:r>
        <w:rPr>
          <w:rFonts w:hint="eastAsia"/>
          <w:snapToGrid/>
          <w:lang w:val="fr-CH"/>
        </w:rPr>
        <w:t>趋于从事诸如农艺</w:t>
      </w:r>
      <w:r>
        <w:rPr>
          <w:rFonts w:hint="eastAsia"/>
          <w:snapToGrid/>
          <w:lang w:val="fr-CH"/>
        </w:rPr>
        <w:t>(</w:t>
      </w:r>
      <w:r>
        <w:rPr>
          <w:snapToGrid/>
          <w:lang w:val="fr-CH"/>
        </w:rPr>
        <w:t>60.0%)</w:t>
      </w:r>
      <w:r>
        <w:rPr>
          <w:snapToGrid/>
          <w:lang w:val="fr-CH"/>
        </w:rPr>
        <w:t>、法律</w:t>
      </w:r>
      <w:r>
        <w:rPr>
          <w:snapToGrid/>
          <w:lang w:val="fr-CH"/>
        </w:rPr>
        <w:t>(65.0%)</w:t>
      </w:r>
      <w:r>
        <w:rPr>
          <w:snapToGrid/>
          <w:lang w:val="fr-CH"/>
        </w:rPr>
        <w:t>和技术</w:t>
      </w:r>
      <w:r>
        <w:rPr>
          <w:snapToGrid/>
          <w:lang w:val="fr-CH"/>
        </w:rPr>
        <w:t>(78.4%)</w:t>
      </w:r>
      <w:r>
        <w:rPr>
          <w:snapToGrid/>
          <w:lang w:val="fr-CH"/>
        </w:rPr>
        <w:t>之类需要</w:t>
      </w:r>
      <w:r>
        <w:rPr>
          <w:rFonts w:hint="eastAsia"/>
          <w:snapToGrid/>
          <w:lang w:val="fr-CH"/>
        </w:rPr>
        <w:t>知识的</w:t>
      </w:r>
      <w:r>
        <w:rPr>
          <w:snapToGrid/>
          <w:lang w:val="fr-CH"/>
        </w:rPr>
        <w:t>工作，而女性学</w:t>
      </w:r>
      <w:r>
        <w:rPr>
          <w:rFonts w:hint="eastAsia"/>
          <w:snapToGrid/>
          <w:lang w:val="fr-CH"/>
        </w:rPr>
        <w:t>员</w:t>
      </w:r>
      <w:r>
        <w:rPr>
          <w:snapToGrid/>
          <w:lang w:val="fr-CH"/>
        </w:rPr>
        <w:t>则集中于诸如卫生</w:t>
      </w:r>
      <w:r>
        <w:rPr>
          <w:snapToGrid/>
          <w:lang w:val="fr-CH"/>
        </w:rPr>
        <w:t>(60.2%)</w:t>
      </w:r>
      <w:r>
        <w:rPr>
          <w:snapToGrid/>
          <w:lang w:val="fr-CH"/>
        </w:rPr>
        <w:t>、教育</w:t>
      </w:r>
      <w:r>
        <w:rPr>
          <w:snapToGrid/>
          <w:lang w:val="fr-CH"/>
        </w:rPr>
        <w:t>(55.0%)</w:t>
      </w:r>
      <w:r>
        <w:rPr>
          <w:snapToGrid/>
          <w:lang w:val="fr-CH"/>
        </w:rPr>
        <w:t>和社会科学</w:t>
      </w:r>
      <w:r>
        <w:rPr>
          <w:snapToGrid/>
          <w:lang w:val="fr-CH"/>
        </w:rPr>
        <w:t>(5</w:t>
      </w:r>
      <w:r>
        <w:rPr>
          <w:rFonts w:hint="eastAsia"/>
          <w:snapToGrid/>
          <w:lang w:val="fr-CH"/>
        </w:rPr>
        <w:t>4</w:t>
      </w:r>
      <w:r>
        <w:rPr>
          <w:snapToGrid/>
          <w:lang w:val="fr-CH"/>
        </w:rPr>
        <w:t>.</w:t>
      </w:r>
      <w:r>
        <w:rPr>
          <w:rFonts w:hint="eastAsia"/>
          <w:snapToGrid/>
          <w:lang w:val="fr-CH"/>
        </w:rPr>
        <w:t>9</w:t>
      </w:r>
      <w:r>
        <w:rPr>
          <w:snapToGrid/>
          <w:lang w:val="fr-CH"/>
        </w:rPr>
        <w:t>%)</w:t>
      </w:r>
      <w:r>
        <w:rPr>
          <w:rFonts w:hint="eastAsia"/>
          <w:snapToGrid/>
          <w:lang w:val="fr-CH"/>
        </w:rPr>
        <w:t>等领域</w:t>
      </w:r>
      <w:r>
        <w:rPr>
          <w:snapToGrid/>
          <w:lang w:val="fr-CH"/>
        </w:rPr>
        <w:t>。</w:t>
      </w:r>
      <w:r>
        <w:rPr>
          <w:rStyle w:val="FootnoteReference"/>
          <w:snapToGrid/>
          <w:lang w:val="fr-CH"/>
        </w:rPr>
        <w:footnoteReference w:id="53"/>
      </w:r>
    </w:p>
    <w:p w:rsidR="00000000" w:rsidRDefault="009C1C61">
      <w:pPr>
        <w:rPr>
          <w:snapToGrid/>
          <w:lang w:val="fr-CH"/>
        </w:rPr>
      </w:pPr>
      <w:r>
        <w:rPr>
          <w:rFonts w:hint="eastAsia"/>
          <w:snapToGrid/>
          <w:lang w:val="fr-CH"/>
        </w:rPr>
        <w:tab/>
      </w:r>
      <w:r>
        <w:rPr>
          <w:snapToGrid/>
          <w:lang w:val="fr-CH"/>
        </w:rPr>
        <w:t xml:space="preserve">193. </w:t>
      </w:r>
      <w:r>
        <w:rPr>
          <w:rFonts w:hint="eastAsia"/>
          <w:snapToGrid/>
          <w:lang w:val="fr-CH"/>
        </w:rPr>
        <w:t xml:space="preserve"> </w:t>
      </w:r>
      <w:r>
        <w:rPr>
          <w:rFonts w:hint="eastAsia"/>
          <w:snapToGrid/>
          <w:lang w:val="fr-CH"/>
        </w:rPr>
        <w:t>有一个</w:t>
      </w:r>
      <w:r>
        <w:rPr>
          <w:snapToGrid/>
          <w:lang w:val="fr-CH"/>
        </w:rPr>
        <w:t>(</w:t>
      </w:r>
      <w:r>
        <w:rPr>
          <w:rFonts w:hint="eastAsia"/>
          <w:snapToGrid/>
          <w:lang w:val="fr-CH"/>
        </w:rPr>
        <w:t>偏重于</w:t>
      </w:r>
      <w:r>
        <w:rPr>
          <w:snapToGrid/>
          <w:lang w:val="fr-CH"/>
        </w:rPr>
        <w:t>培训女性户主</w:t>
      </w:r>
      <w:r>
        <w:rPr>
          <w:rFonts w:hint="eastAsia"/>
          <w:snapToGrid/>
          <w:lang w:val="fr-CH"/>
        </w:rPr>
        <w:t>的</w:t>
      </w:r>
      <w:r>
        <w:rPr>
          <w:rFonts w:hint="eastAsia"/>
          <w:snapToGrid/>
          <w:lang w:val="fr-CH"/>
        </w:rPr>
        <w:t>)</w:t>
      </w:r>
      <w:r>
        <w:rPr>
          <w:snapToGrid/>
          <w:lang w:val="fr-CH"/>
        </w:rPr>
        <w:t>低收入妇女就业培训方案在全国培训和就业</w:t>
      </w:r>
      <w:r>
        <w:rPr>
          <w:rFonts w:hint="eastAsia"/>
          <w:snapToGrid/>
          <w:lang w:val="fr-CH"/>
        </w:rPr>
        <w:t>方案</w:t>
      </w:r>
      <w:r>
        <w:rPr>
          <w:snapToGrid/>
          <w:lang w:val="fr-CH"/>
        </w:rPr>
        <w:t>(</w:t>
      </w:r>
      <w:r>
        <w:rPr>
          <w:rFonts w:hint="eastAsia"/>
          <w:snapToGrid/>
          <w:lang w:val="fr-CH"/>
        </w:rPr>
        <w:t>培训就业</w:t>
      </w:r>
      <w:r>
        <w:rPr>
          <w:snapToGrid/>
          <w:lang w:val="fr-CH"/>
        </w:rPr>
        <w:t>基金</w:t>
      </w:r>
      <w:r>
        <w:rPr>
          <w:snapToGrid/>
          <w:lang w:val="fr-CH"/>
        </w:rPr>
        <w:t>)</w:t>
      </w:r>
      <w:r>
        <w:rPr>
          <w:snapToGrid/>
          <w:lang w:val="fr-CH"/>
        </w:rPr>
        <w:t>的范</w:t>
      </w:r>
      <w:r>
        <w:rPr>
          <w:rFonts w:hint="eastAsia"/>
          <w:snapToGrid/>
          <w:lang w:val="fr-CH"/>
        </w:rPr>
        <w:t>围</w:t>
      </w:r>
      <w:r>
        <w:rPr>
          <w:snapToGrid/>
          <w:lang w:val="fr-CH"/>
        </w:rPr>
        <w:t>内</w:t>
      </w:r>
      <w:r>
        <w:rPr>
          <w:rFonts w:hint="eastAsia"/>
          <w:snapToGrid/>
          <w:lang w:val="fr-CH"/>
        </w:rPr>
        <w:t>发挥作用。这个方案预设了一个学徒期，包括从事某一专业工作或体力工作的培训，然后，是一段时间在职实习</w:t>
      </w:r>
      <w:r>
        <w:rPr>
          <w:snapToGrid/>
          <w:lang w:val="fr-CH"/>
        </w:rPr>
        <w:t>期。方案按每个</w:t>
      </w:r>
      <w:r>
        <w:rPr>
          <w:rFonts w:hint="eastAsia"/>
          <w:snapToGrid/>
          <w:lang w:val="fr-CH"/>
        </w:rPr>
        <w:t>行政区</w:t>
      </w:r>
      <w:r>
        <w:rPr>
          <w:snapToGrid/>
          <w:lang w:val="fr-CH"/>
        </w:rPr>
        <w:t>劳务市场的现实情况调整，包括</w:t>
      </w:r>
      <w:r>
        <w:rPr>
          <w:rFonts w:hint="eastAsia"/>
          <w:snapToGrid/>
          <w:lang w:val="fr-CH"/>
        </w:rPr>
        <w:t>尝试</w:t>
      </w:r>
      <w:r>
        <w:rPr>
          <w:rFonts w:hint="eastAsia"/>
          <w:snapToGrid/>
          <w:lang w:val="fr-CH"/>
        </w:rPr>
        <w:t>培训</w:t>
      </w:r>
      <w:r>
        <w:rPr>
          <w:snapToGrid/>
          <w:lang w:val="fr-CH"/>
        </w:rPr>
        <w:t>从事诸如传统</w:t>
      </w:r>
      <w:r>
        <w:rPr>
          <w:rFonts w:hint="eastAsia"/>
          <w:snapToGrid/>
          <w:lang w:val="fr-CH"/>
        </w:rPr>
        <w:t>上</w:t>
      </w:r>
      <w:r>
        <w:rPr>
          <w:snapToGrid/>
          <w:lang w:val="fr-CH"/>
        </w:rPr>
        <w:t>由男性</w:t>
      </w:r>
      <w:r>
        <w:rPr>
          <w:rFonts w:hint="eastAsia"/>
          <w:snapToGrid/>
          <w:lang w:val="fr-CH"/>
        </w:rPr>
        <w:t>承担</w:t>
      </w:r>
      <w:r>
        <w:rPr>
          <w:snapToGrid/>
          <w:lang w:val="fr-CH"/>
        </w:rPr>
        <w:t>(</w:t>
      </w:r>
      <w:r>
        <w:rPr>
          <w:snapToGrid/>
          <w:lang w:val="fr-CH"/>
        </w:rPr>
        <w:t>而且报酬较高</w:t>
      </w:r>
      <w:r>
        <w:rPr>
          <w:rFonts w:hint="eastAsia"/>
          <w:snapToGrid/>
          <w:lang w:val="fr-CH"/>
        </w:rPr>
        <w:t>)</w:t>
      </w:r>
      <w:r>
        <w:rPr>
          <w:snapToGrid/>
          <w:lang w:val="fr-CH"/>
        </w:rPr>
        <w:t>的职业并</w:t>
      </w:r>
      <w:r>
        <w:rPr>
          <w:rFonts w:hint="eastAsia"/>
          <w:snapToGrid/>
          <w:lang w:val="fr-CH"/>
        </w:rPr>
        <w:t>提倡制订</w:t>
      </w:r>
      <w:r>
        <w:rPr>
          <w:snapToGrid/>
          <w:lang w:val="fr-CH"/>
        </w:rPr>
        <w:t>生产</w:t>
      </w:r>
      <w:r>
        <w:rPr>
          <w:rFonts w:hint="eastAsia"/>
          <w:snapToGrid/>
          <w:lang w:val="fr-CH"/>
        </w:rPr>
        <w:t>倡议</w:t>
      </w:r>
      <w:r>
        <w:rPr>
          <w:snapToGrid/>
          <w:lang w:val="fr-CH"/>
        </w:rPr>
        <w:t>。</w:t>
      </w:r>
    </w:p>
    <w:p w:rsidR="00000000" w:rsidRDefault="009C1C61">
      <w:pPr>
        <w:spacing w:after="240"/>
        <w:rPr>
          <w:snapToGrid/>
          <w:lang w:val="fr-CH"/>
        </w:rPr>
      </w:pPr>
      <w:r>
        <w:rPr>
          <w:rFonts w:hint="eastAsia"/>
          <w:snapToGrid/>
          <w:lang w:val="fr-CH"/>
        </w:rPr>
        <w:tab/>
      </w:r>
      <w:r>
        <w:rPr>
          <w:snapToGrid/>
          <w:lang w:val="fr-CH"/>
        </w:rPr>
        <w:t>194.</w:t>
      </w:r>
      <w:r>
        <w:rPr>
          <w:rFonts w:hint="eastAsia"/>
          <w:snapToGrid/>
          <w:lang w:val="fr-CH"/>
        </w:rPr>
        <w:t xml:space="preserve">  </w:t>
      </w:r>
      <w:r>
        <w:rPr>
          <w:rFonts w:hint="eastAsia"/>
          <w:snapToGrid/>
          <w:lang w:val="fr-CH"/>
        </w:rPr>
        <w:t>培训就业</w:t>
      </w:r>
      <w:r>
        <w:rPr>
          <w:snapToGrid/>
          <w:lang w:val="fr-CH"/>
        </w:rPr>
        <w:t>基金青年培训方案旨在培训失业或未从事工作和离开教育系统的最低收入群体成员；这方案更</w:t>
      </w:r>
      <w:r>
        <w:rPr>
          <w:rFonts w:hint="eastAsia"/>
          <w:snapToGrid/>
          <w:lang w:val="fr-CH"/>
        </w:rPr>
        <w:t>主要是</w:t>
      </w:r>
      <w:r>
        <w:rPr>
          <w:snapToGrid/>
          <w:lang w:val="fr-CH"/>
        </w:rPr>
        <w:t>针对男性，而不是女性。换言之，在法律或条例上不存</w:t>
      </w:r>
      <w:r>
        <w:rPr>
          <w:rFonts w:hint="eastAsia"/>
          <w:snapToGrid/>
          <w:lang w:val="fr-CH"/>
        </w:rPr>
        <w:t>在</w:t>
      </w:r>
      <w:r>
        <w:rPr>
          <w:snapToGrid/>
          <w:lang w:val="fr-CH"/>
        </w:rPr>
        <w:t>阻止</w:t>
      </w:r>
      <w:r>
        <w:rPr>
          <w:rFonts w:hint="eastAsia"/>
          <w:snapToGrid/>
          <w:lang w:val="fr-CH"/>
        </w:rPr>
        <w:t>招收</w:t>
      </w:r>
      <w:r>
        <w:rPr>
          <w:snapToGrid/>
          <w:lang w:val="fr-CH"/>
        </w:rPr>
        <w:t>男性或女性接受这些方案培训的障碍；但是根据</w:t>
      </w:r>
      <w:r>
        <w:rPr>
          <w:rFonts w:hint="eastAsia"/>
          <w:snapToGrid/>
          <w:lang w:val="fr-CH"/>
        </w:rPr>
        <w:t>我</w:t>
      </w:r>
      <w:r>
        <w:rPr>
          <w:snapToGrid/>
          <w:lang w:val="fr-CH"/>
        </w:rPr>
        <w:t>国历史社会渊源形成的行为</w:t>
      </w:r>
      <w:r>
        <w:rPr>
          <w:rFonts w:hint="eastAsia"/>
          <w:snapToGrid/>
          <w:lang w:val="fr-CH"/>
        </w:rPr>
        <w:t>形态</w:t>
      </w:r>
      <w:r>
        <w:rPr>
          <w:snapToGrid/>
          <w:lang w:val="fr-CH"/>
        </w:rPr>
        <w:t>，确实存在着</w:t>
      </w:r>
      <w:r>
        <w:rPr>
          <w:rFonts w:hint="eastAsia"/>
          <w:snapToGrid/>
          <w:lang w:val="fr-CH"/>
        </w:rPr>
        <w:t>就业分</w:t>
      </w:r>
      <w:r>
        <w:rPr>
          <w:snapToGrid/>
          <w:lang w:val="fr-CH"/>
        </w:rPr>
        <w:t>隔</w:t>
      </w:r>
      <w:r>
        <w:rPr>
          <w:rFonts w:hint="eastAsia"/>
          <w:snapToGrid/>
          <w:lang w:val="fr-CH"/>
        </w:rPr>
        <w:t>的</w:t>
      </w:r>
      <w:r>
        <w:rPr>
          <w:snapToGrid/>
          <w:lang w:val="fr-CH"/>
        </w:rPr>
        <w:t>情况。</w:t>
      </w:r>
    </w:p>
    <w:p w:rsidR="00000000" w:rsidRDefault="009C1C61">
      <w:pPr>
        <w:pStyle w:val="Heading4"/>
        <w:rPr>
          <w:rFonts w:ascii="Time New Roman" w:eastAsia="SimHei" w:hAnsi="Time New Roman" w:hint="eastAsia"/>
          <w:u w:val="none"/>
          <w:lang w:val="fr-CH"/>
        </w:rPr>
      </w:pPr>
      <w:r>
        <w:rPr>
          <w:rFonts w:ascii="Time New Roman" w:eastAsia="SimHei" w:hAnsi="Time New Roman" w:hint="eastAsia"/>
          <w:u w:val="none"/>
          <w:lang w:val="fr-CH"/>
        </w:rPr>
        <w:t>因所涉工作的特殊要求而不视为基于性别的歧视、排斥和偏向做法</w:t>
      </w:r>
    </w:p>
    <w:p w:rsidR="00000000" w:rsidRDefault="009C1C61">
      <w:pPr>
        <w:rPr>
          <w:snapToGrid/>
          <w:lang w:val="fr-CH"/>
        </w:rPr>
      </w:pPr>
      <w:r>
        <w:rPr>
          <w:rFonts w:hint="eastAsia"/>
          <w:snapToGrid/>
          <w:lang w:val="fr-CH"/>
        </w:rPr>
        <w:tab/>
      </w:r>
      <w:r>
        <w:rPr>
          <w:snapToGrid/>
          <w:lang w:val="fr-CH"/>
        </w:rPr>
        <w:t xml:space="preserve">195. </w:t>
      </w:r>
      <w:r>
        <w:rPr>
          <w:rFonts w:hint="eastAsia"/>
          <w:snapToGrid/>
          <w:lang w:val="fr-CH"/>
        </w:rPr>
        <w:t xml:space="preserve"> </w:t>
      </w:r>
      <w:r>
        <w:rPr>
          <w:rFonts w:hint="eastAsia"/>
          <w:snapToGrid/>
          <w:lang w:val="fr-CH"/>
        </w:rPr>
        <w:t>将</w:t>
      </w:r>
      <w:r>
        <w:rPr>
          <w:snapToGrid/>
          <w:lang w:val="fr-CH"/>
        </w:rPr>
        <w:t>社经特征调查</w:t>
      </w:r>
      <w:r>
        <w:rPr>
          <w:snapToGrid/>
          <w:lang w:val="fr-CH"/>
        </w:rPr>
        <w:t>1992</w:t>
      </w:r>
      <w:r>
        <w:rPr>
          <w:rFonts w:hint="eastAsia"/>
          <w:snapToGrid/>
          <w:lang w:val="fr-CH"/>
        </w:rPr>
        <w:t>、</w:t>
      </w:r>
      <w:r>
        <w:rPr>
          <w:snapToGrid/>
          <w:lang w:val="fr-CH"/>
        </w:rPr>
        <w:t>1996</w:t>
      </w:r>
      <w:r>
        <w:rPr>
          <w:snapToGrid/>
          <w:lang w:val="fr-CH"/>
        </w:rPr>
        <w:t>和</w:t>
      </w:r>
      <w:r>
        <w:rPr>
          <w:snapToGrid/>
          <w:lang w:val="fr-CH"/>
        </w:rPr>
        <w:t>2000</w:t>
      </w:r>
      <w:r>
        <w:rPr>
          <w:snapToGrid/>
          <w:lang w:val="fr-CH"/>
        </w:rPr>
        <w:t>年按性别详细分类的就业</w:t>
      </w:r>
      <w:r>
        <w:rPr>
          <w:rFonts w:hint="eastAsia"/>
          <w:snapToGrid/>
          <w:lang w:val="fr-CH"/>
        </w:rPr>
        <w:t>数字进行比较，就可看到就业妇女较</w:t>
      </w:r>
      <w:r>
        <w:rPr>
          <w:rFonts w:hint="eastAsia"/>
          <w:snapToGrid/>
          <w:lang w:val="fr-CH"/>
        </w:rPr>
        <w:t>多地集中于下列各部门：商业和餐馆业</w:t>
      </w:r>
      <w:r>
        <w:rPr>
          <w:rFonts w:hint="eastAsia"/>
          <w:snapToGrid/>
          <w:lang w:val="fr-CH"/>
        </w:rPr>
        <w:t>(</w:t>
      </w:r>
      <w:r>
        <w:rPr>
          <w:snapToGrid/>
          <w:lang w:val="fr-CH"/>
        </w:rPr>
        <w:t>1992</w:t>
      </w:r>
      <w:r>
        <w:rPr>
          <w:snapToGrid/>
          <w:lang w:val="fr-CH"/>
        </w:rPr>
        <w:t>年</w:t>
      </w:r>
      <w:r>
        <w:rPr>
          <w:snapToGrid/>
          <w:lang w:val="fr-CH"/>
        </w:rPr>
        <w:t>23.2%</w:t>
      </w:r>
      <w:r>
        <w:rPr>
          <w:snapToGrid/>
          <w:lang w:val="fr-CH"/>
        </w:rPr>
        <w:t>；</w:t>
      </w:r>
      <w:r>
        <w:rPr>
          <w:snapToGrid/>
          <w:lang w:val="fr-CH"/>
        </w:rPr>
        <w:t>1996</w:t>
      </w:r>
      <w:r>
        <w:rPr>
          <w:snapToGrid/>
          <w:lang w:val="fr-CH"/>
        </w:rPr>
        <w:t>年</w:t>
      </w:r>
      <w:r>
        <w:rPr>
          <w:snapToGrid/>
          <w:lang w:val="fr-CH"/>
        </w:rPr>
        <w:t>24.</w:t>
      </w:r>
      <w:r>
        <w:rPr>
          <w:rFonts w:hint="eastAsia"/>
          <w:snapToGrid/>
          <w:lang w:val="fr-CH"/>
        </w:rPr>
        <w:t>5</w:t>
      </w:r>
      <w:r>
        <w:rPr>
          <w:snapToGrid/>
          <w:lang w:val="fr-CH"/>
        </w:rPr>
        <w:t>%</w:t>
      </w:r>
      <w:r>
        <w:rPr>
          <w:snapToGrid/>
          <w:lang w:val="fr-CH"/>
        </w:rPr>
        <w:t>；</w:t>
      </w:r>
      <w:r>
        <w:rPr>
          <w:snapToGrid/>
          <w:lang w:val="fr-CH"/>
        </w:rPr>
        <w:t>2000</w:t>
      </w:r>
      <w:r>
        <w:rPr>
          <w:snapToGrid/>
          <w:lang w:val="fr-CH"/>
        </w:rPr>
        <w:t>年</w:t>
      </w:r>
      <w:r>
        <w:rPr>
          <w:snapToGrid/>
          <w:lang w:val="fr-CH"/>
        </w:rPr>
        <w:t>37.2%)</w:t>
      </w:r>
      <w:r>
        <w:rPr>
          <w:snapToGrid/>
          <w:lang w:val="fr-CH"/>
        </w:rPr>
        <w:t>和</w:t>
      </w:r>
      <w:r>
        <w:rPr>
          <w:rFonts w:hint="eastAsia"/>
          <w:snapToGrid/>
          <w:lang w:val="fr-CH"/>
        </w:rPr>
        <w:t>市政</w:t>
      </w:r>
      <w:r>
        <w:rPr>
          <w:snapToGrid/>
          <w:lang w:val="fr-CH"/>
        </w:rPr>
        <w:t>、社会和个人服务业</w:t>
      </w:r>
      <w:r>
        <w:rPr>
          <w:snapToGrid/>
          <w:lang w:val="fr-CH"/>
        </w:rPr>
        <w:t>(</w:t>
      </w:r>
      <w:r>
        <w:rPr>
          <w:snapToGrid/>
          <w:lang w:val="fr-CH"/>
        </w:rPr>
        <w:t>同年为</w:t>
      </w:r>
      <w:r>
        <w:rPr>
          <w:snapToGrid/>
          <w:lang w:val="fr-CH"/>
        </w:rPr>
        <w:t>45.5%</w:t>
      </w:r>
      <w:r>
        <w:rPr>
          <w:snapToGrid/>
          <w:lang w:val="fr-CH"/>
        </w:rPr>
        <w:t>；</w:t>
      </w:r>
      <w:r>
        <w:rPr>
          <w:snapToGrid/>
          <w:lang w:val="fr-CH"/>
        </w:rPr>
        <w:t>44.9%</w:t>
      </w:r>
      <w:r>
        <w:rPr>
          <w:snapToGrid/>
          <w:lang w:val="fr-CH"/>
        </w:rPr>
        <w:t>和</w:t>
      </w:r>
      <w:r>
        <w:rPr>
          <w:snapToGrid/>
          <w:lang w:val="fr-CH"/>
        </w:rPr>
        <w:t>32.1%)</w:t>
      </w:r>
      <w:r>
        <w:rPr>
          <w:snapToGrid/>
          <w:lang w:val="fr-CH"/>
        </w:rPr>
        <w:t>。</w:t>
      </w:r>
      <w:r>
        <w:rPr>
          <w:rStyle w:val="FootnoteReference"/>
          <w:snapToGrid/>
          <w:lang w:val="fr-CH"/>
        </w:rPr>
        <w:footnoteReference w:id="54"/>
      </w:r>
    </w:p>
    <w:p w:rsidR="00000000" w:rsidRDefault="009C1C61">
      <w:pPr>
        <w:spacing w:after="240"/>
        <w:rPr>
          <w:rFonts w:hint="eastAsia"/>
          <w:snapToGrid/>
          <w:lang w:val="fr-CH"/>
        </w:rPr>
      </w:pPr>
      <w:r>
        <w:rPr>
          <w:rFonts w:hint="eastAsia"/>
          <w:snapToGrid/>
          <w:lang w:val="fr-CH"/>
        </w:rPr>
        <w:tab/>
      </w:r>
      <w:r>
        <w:rPr>
          <w:snapToGrid/>
          <w:lang w:val="fr-CH"/>
        </w:rPr>
        <w:t>196.</w:t>
      </w:r>
      <w:r>
        <w:rPr>
          <w:rFonts w:hint="eastAsia"/>
          <w:snapToGrid/>
          <w:lang w:val="fr-CH"/>
        </w:rPr>
        <w:t xml:space="preserve">  </w:t>
      </w:r>
      <w:r>
        <w:rPr>
          <w:rFonts w:hint="eastAsia"/>
          <w:snapToGrid/>
          <w:lang w:val="fr-CH"/>
        </w:rPr>
        <w:t>这些基于</w:t>
      </w:r>
      <w:r>
        <w:rPr>
          <w:snapToGrid/>
          <w:lang w:val="fr-CH"/>
        </w:rPr>
        <w:t>性别</w:t>
      </w:r>
      <w:r>
        <w:rPr>
          <w:rFonts w:hint="eastAsia"/>
          <w:snapToGrid/>
          <w:lang w:val="fr-CH"/>
        </w:rPr>
        <w:t>实行的</w:t>
      </w:r>
      <w:r>
        <w:rPr>
          <w:snapToGrid/>
          <w:lang w:val="fr-CH"/>
        </w:rPr>
        <w:t>区别通常不认为是劳务领域的歧视性做法，因为，妇女所集中从事的这类工作</w:t>
      </w:r>
      <w:r>
        <w:rPr>
          <w:rFonts w:hint="eastAsia"/>
          <w:snapToGrid/>
          <w:lang w:val="fr-CH"/>
        </w:rPr>
        <w:t>，</w:t>
      </w:r>
      <w:r>
        <w:rPr>
          <w:snapToGrid/>
          <w:lang w:val="fr-CH"/>
        </w:rPr>
        <w:t>尤其是那些几乎需要专</w:t>
      </w:r>
      <w:r>
        <w:rPr>
          <w:rFonts w:hint="eastAsia"/>
          <w:snapToGrid/>
          <w:lang w:val="fr-CH"/>
        </w:rPr>
        <w:t>由妇女</w:t>
      </w:r>
      <w:r>
        <w:rPr>
          <w:snapToGrid/>
          <w:lang w:val="fr-CH"/>
        </w:rPr>
        <w:t>参与的工作</w:t>
      </w:r>
      <w:r>
        <w:rPr>
          <w:snapToGrid/>
          <w:lang w:val="fr-CH"/>
        </w:rPr>
        <w:t>(</w:t>
      </w:r>
      <w:r>
        <w:rPr>
          <w:snapToGrid/>
          <w:lang w:val="fr-CH"/>
        </w:rPr>
        <w:t>诸如</w:t>
      </w:r>
      <w:r>
        <w:rPr>
          <w:rFonts w:hint="eastAsia"/>
          <w:snapToGrid/>
          <w:lang w:val="fr-CH"/>
        </w:rPr>
        <w:t>学</w:t>
      </w:r>
      <w:r>
        <w:rPr>
          <w:snapToGrid/>
          <w:lang w:val="fr-CH"/>
        </w:rPr>
        <w:t>前教育</w:t>
      </w:r>
      <w:r>
        <w:rPr>
          <w:rFonts w:hint="eastAsia"/>
          <w:snapToGrid/>
          <w:lang w:val="fr-CH"/>
        </w:rPr>
        <w:t>)</w:t>
      </w:r>
      <w:r>
        <w:rPr>
          <w:snapToGrid/>
          <w:lang w:val="fr-CH"/>
        </w:rPr>
        <w:t>都被视为母亲</w:t>
      </w:r>
      <w:r>
        <w:rPr>
          <w:rFonts w:hint="eastAsia"/>
          <w:snapToGrid/>
          <w:lang w:val="fr-CH"/>
        </w:rPr>
        <w:t>/</w:t>
      </w:r>
      <w:r>
        <w:rPr>
          <w:rFonts w:hint="eastAsia"/>
          <w:snapToGrid/>
          <w:lang w:val="fr-CH"/>
        </w:rPr>
        <w:t>女性角色的延伸；因此，人们认为这类工作最好由女性承担。这种分隔状况很难打破，因为这涉及到改变传统文化性质的过程。</w:t>
      </w:r>
    </w:p>
    <w:p w:rsidR="00000000" w:rsidRDefault="009C1C61">
      <w:pPr>
        <w:pStyle w:val="Heading3"/>
      </w:pPr>
      <w:r>
        <w:rPr>
          <w:rFonts w:hint="eastAsia"/>
        </w:rPr>
        <w:t>第</w:t>
      </w:r>
      <w:r>
        <w:rPr>
          <w:rFonts w:hint="eastAsia"/>
        </w:rPr>
        <w:t xml:space="preserve"> </w:t>
      </w:r>
      <w:r>
        <w:rPr>
          <w:rFonts w:hint="eastAsia"/>
        </w:rPr>
        <w:t>七</w:t>
      </w:r>
      <w:r>
        <w:rPr>
          <w:rFonts w:hint="eastAsia"/>
        </w:rPr>
        <w:t xml:space="preserve"> </w:t>
      </w:r>
      <w:r>
        <w:rPr>
          <w:rFonts w:hint="eastAsia"/>
        </w:rPr>
        <w:t>条</w:t>
      </w:r>
    </w:p>
    <w:p w:rsidR="00000000" w:rsidRDefault="009C1C61">
      <w:pPr>
        <w:pStyle w:val="Heading3"/>
      </w:pPr>
      <w:r>
        <w:rPr>
          <w:rFonts w:hint="eastAsia"/>
        </w:rPr>
        <w:t>合理和良好工作条件的权利</w:t>
      </w:r>
    </w:p>
    <w:p w:rsidR="00000000" w:rsidRDefault="009C1C61">
      <w:pPr>
        <w:pStyle w:val="Heading4"/>
        <w:rPr>
          <w:rFonts w:ascii="Time New Roman" w:eastAsia="SimHei" w:hAnsi="Time New Roman"/>
          <w:u w:val="none"/>
        </w:rPr>
      </w:pPr>
      <w:r>
        <w:rPr>
          <w:rFonts w:ascii="Time New Roman" w:eastAsia="SimHei" w:hAnsi="Time New Roman" w:hint="eastAsia"/>
          <w:u w:val="none"/>
        </w:rPr>
        <w:t>最低工资制</w:t>
      </w:r>
    </w:p>
    <w:p w:rsidR="00000000" w:rsidRDefault="009C1C61">
      <w:pPr>
        <w:pStyle w:val="Heading4"/>
        <w:rPr>
          <w:rFonts w:ascii="Time New Roman" w:eastAsia="SimHei" w:hAnsi="Time New Roman"/>
          <w:u w:val="none"/>
        </w:rPr>
      </w:pPr>
      <w:r>
        <w:rPr>
          <w:rFonts w:ascii="Time New Roman" w:eastAsia="SimHei" w:hAnsi="Time New Roman" w:hint="eastAsia"/>
          <w:u w:val="none"/>
        </w:rPr>
        <w:t>保证</w:t>
      </w:r>
      <w:r>
        <w:rPr>
          <w:rFonts w:ascii="Time New Roman" w:eastAsia="SimHei" w:hAnsi="Time New Roman" w:hint="eastAsia"/>
          <w:u w:val="none"/>
        </w:rPr>
        <w:t>最低工资不贬值的办法</w:t>
      </w:r>
    </w:p>
    <w:p w:rsidR="00000000" w:rsidRDefault="009C1C61">
      <w:pPr>
        <w:rPr>
          <w:snapToGrid/>
        </w:rPr>
      </w:pPr>
      <w:r>
        <w:rPr>
          <w:rFonts w:hint="eastAsia"/>
          <w:snapToGrid/>
        </w:rPr>
        <w:tab/>
      </w:r>
      <w:r>
        <w:rPr>
          <w:snapToGrid/>
        </w:rPr>
        <w:t>197.</w:t>
      </w:r>
      <w:r>
        <w:rPr>
          <w:rFonts w:hint="eastAsia"/>
          <w:snapToGrid/>
        </w:rPr>
        <w:t xml:space="preserve">  </w:t>
      </w:r>
      <w:r>
        <w:rPr>
          <w:rFonts w:hint="eastAsia"/>
          <w:snapToGrid/>
        </w:rPr>
        <w:t>《智利劳工法》第</w:t>
      </w:r>
      <w:r>
        <w:rPr>
          <w:rFonts w:hint="eastAsia"/>
          <w:snapToGrid/>
        </w:rPr>
        <w:t>44</w:t>
      </w:r>
      <w:r>
        <w:rPr>
          <w:rFonts w:hint="eastAsia"/>
          <w:snapToGrid/>
        </w:rPr>
        <w:t>条保障每月实际报酬不低于每年依法确定的最低月工资。</w:t>
      </w:r>
    </w:p>
    <w:p w:rsidR="00000000" w:rsidRDefault="009C1C61">
      <w:pPr>
        <w:rPr>
          <w:snapToGrid/>
        </w:rPr>
      </w:pPr>
      <w:r>
        <w:rPr>
          <w:rFonts w:hint="eastAsia"/>
          <w:snapToGrid/>
        </w:rPr>
        <w:tab/>
      </w:r>
      <w:r>
        <w:rPr>
          <w:snapToGrid/>
        </w:rPr>
        <w:t>198.</w:t>
      </w:r>
      <w:r>
        <w:rPr>
          <w:rFonts w:hint="eastAsia"/>
          <w:snapToGrid/>
        </w:rPr>
        <w:t xml:space="preserve">  </w:t>
      </w:r>
      <w:r>
        <w:rPr>
          <w:rFonts w:hint="eastAsia"/>
          <w:snapToGrid/>
        </w:rPr>
        <w:t>自</w:t>
      </w:r>
      <w:r>
        <w:rPr>
          <w:rFonts w:hint="eastAsia"/>
          <w:snapToGrid/>
        </w:rPr>
        <w:t>1990</w:t>
      </w:r>
      <w:r>
        <w:rPr>
          <w:rFonts w:hint="eastAsia"/>
          <w:snapToGrid/>
        </w:rPr>
        <w:t>年以来，每年对智利的最低工资额进行调整，目的在于补足</w:t>
      </w:r>
      <w:r>
        <w:rPr>
          <w:snapToGrid/>
        </w:rPr>
        <w:t>1980</w:t>
      </w:r>
      <w:r>
        <w:rPr>
          <w:rFonts w:hint="eastAsia"/>
          <w:snapToGrid/>
        </w:rPr>
        <w:t>年代期间工资变量按实际价值计算出现的严重贬损。</w:t>
      </w:r>
      <w:r>
        <w:rPr>
          <w:rFonts w:hint="eastAsia"/>
          <w:snapToGrid/>
        </w:rPr>
        <w:t>1990</w:t>
      </w:r>
      <w:r>
        <w:rPr>
          <w:rFonts w:hint="eastAsia"/>
          <w:snapToGrid/>
        </w:rPr>
        <w:t>年代期间，在工人、雇员和政府三方社会对话框架内的最初几年期间，以及在这十年的后半期，并且自从在该国的主要工人组织内就此展开的谈判以来，多党促进民主联盟的历届政府通过并延长了这项调资决定。</w:t>
      </w:r>
    </w:p>
    <w:p w:rsidR="00000000" w:rsidRDefault="009C1C61">
      <w:pPr>
        <w:spacing w:after="240"/>
        <w:rPr>
          <w:snapToGrid/>
        </w:rPr>
      </w:pPr>
      <w:r>
        <w:rPr>
          <w:rFonts w:hint="eastAsia"/>
          <w:snapToGrid/>
        </w:rPr>
        <w:tab/>
      </w:r>
      <w:r>
        <w:rPr>
          <w:snapToGrid/>
        </w:rPr>
        <w:t>199.</w:t>
      </w:r>
      <w:r>
        <w:rPr>
          <w:rFonts w:hint="eastAsia"/>
          <w:snapToGrid/>
        </w:rPr>
        <w:t xml:space="preserve">  </w:t>
      </w:r>
      <w:r>
        <w:rPr>
          <w:rFonts w:hint="eastAsia"/>
          <w:snapToGrid/>
        </w:rPr>
        <w:t>据估计，最低工资在所有情况下均发挥了保护工人，尤其是最弱势工人的</w:t>
      </w:r>
      <w:r>
        <w:rPr>
          <w:rFonts w:hint="eastAsia"/>
          <w:snapToGrid/>
        </w:rPr>
        <w:t>根本作用，因为这些工人的熟练程度低、因为这些工人与雇主直接进行最低工资水准谈判的能力有限，或者因为其中大部分人来自于低收入的家庭。</w:t>
      </w:r>
    </w:p>
    <w:p w:rsidR="00000000" w:rsidRDefault="009C1C61">
      <w:pPr>
        <w:pStyle w:val="Heading4"/>
        <w:rPr>
          <w:rFonts w:ascii="Time New Roman" w:eastAsia="SimHei" w:hAnsi="Time New Roman"/>
          <w:u w:val="none"/>
        </w:rPr>
      </w:pPr>
      <w:r>
        <w:rPr>
          <w:rFonts w:ascii="Time New Roman" w:eastAsia="SimHei" w:hAnsi="Time New Roman" w:hint="eastAsia"/>
          <w:u w:val="none"/>
        </w:rPr>
        <w:t>确定、监测和调整最低工资的机制</w:t>
      </w:r>
    </w:p>
    <w:p w:rsidR="00000000" w:rsidRDefault="009C1C61">
      <w:pPr>
        <w:rPr>
          <w:snapToGrid/>
        </w:rPr>
      </w:pPr>
      <w:r>
        <w:rPr>
          <w:rFonts w:hint="eastAsia"/>
          <w:snapToGrid/>
        </w:rPr>
        <w:tab/>
        <w:t xml:space="preserve">200.  </w:t>
      </w:r>
      <w:r>
        <w:rPr>
          <w:rFonts w:hint="eastAsia"/>
          <w:snapToGrid/>
        </w:rPr>
        <w:t>智利确定最低工资的机制随时考虑到三个基本要素：今后的通货膨胀率、生产率和公平性。这三个因素符合社会政策的一般原则，即在不引起间接不平衡现象的情况下，实际收入应该持续提高。</w:t>
      </w:r>
    </w:p>
    <w:p w:rsidR="00000000" w:rsidRDefault="009C1C61">
      <w:pPr>
        <w:rPr>
          <w:snapToGrid/>
        </w:rPr>
      </w:pPr>
      <w:r>
        <w:rPr>
          <w:rFonts w:hint="eastAsia"/>
          <w:snapToGrid/>
        </w:rPr>
        <w:tab/>
      </w:r>
      <w:r>
        <w:rPr>
          <w:snapToGrid/>
        </w:rPr>
        <w:t>201.</w:t>
      </w:r>
      <w:r>
        <w:rPr>
          <w:rFonts w:hint="eastAsia"/>
          <w:snapToGrid/>
        </w:rPr>
        <w:t xml:space="preserve">  </w:t>
      </w:r>
      <w:r>
        <w:rPr>
          <w:rFonts w:hint="eastAsia"/>
          <w:snapToGrid/>
        </w:rPr>
        <w:t>考虑到今后的通货膨胀，需要寻求维持工资的购买力，与此同时要固定工资的增长率，以求在每一次调整的有效期内降低通货膨胀率。这项机制是</w:t>
      </w:r>
      <w:r>
        <w:rPr>
          <w:rFonts w:hint="eastAsia"/>
          <w:snapToGrid/>
        </w:rPr>
        <w:t>1990</w:t>
      </w:r>
      <w:r>
        <w:rPr>
          <w:rFonts w:hint="eastAsia"/>
          <w:snapToGrid/>
        </w:rPr>
        <w:t>年投入运作的</w:t>
      </w:r>
      <w:r>
        <w:rPr>
          <w:rFonts w:hint="eastAsia"/>
          <w:snapToGrid/>
        </w:rPr>
        <w:t>。</w:t>
      </w:r>
      <w:r>
        <w:rPr>
          <w:rFonts w:hint="eastAsia"/>
          <w:snapToGrid/>
        </w:rPr>
        <w:t>1990</w:t>
      </w:r>
      <w:r>
        <w:rPr>
          <w:rFonts w:hint="eastAsia"/>
          <w:snapToGrid/>
        </w:rPr>
        <w:t>年开始逐步恢复军事政权期间长期遭到削弱的最低工资购买力。这是通过</w:t>
      </w:r>
      <w:r>
        <w:rPr>
          <w:rFonts w:hint="eastAsia"/>
          <w:snapToGrid/>
        </w:rPr>
        <w:t>1990</w:t>
      </w:r>
      <w:r>
        <w:rPr>
          <w:rFonts w:hint="eastAsia"/>
          <w:snapToGrid/>
        </w:rPr>
        <w:t>至</w:t>
      </w:r>
      <w:r>
        <w:rPr>
          <w:rFonts w:hint="eastAsia"/>
          <w:snapToGrid/>
        </w:rPr>
        <w:t>1994</w:t>
      </w:r>
      <w:r>
        <w:rPr>
          <w:rFonts w:hint="eastAsia"/>
          <w:snapToGrid/>
        </w:rPr>
        <w:t>年期间展开的社会对话进程，最终工人、雇员和政府三方就此问题达成协议，建立起了这个制度。</w:t>
      </w:r>
    </w:p>
    <w:p w:rsidR="00000000" w:rsidRDefault="009C1C61">
      <w:pPr>
        <w:rPr>
          <w:snapToGrid/>
        </w:rPr>
      </w:pPr>
      <w:r>
        <w:rPr>
          <w:rFonts w:hint="eastAsia"/>
          <w:snapToGrid/>
        </w:rPr>
        <w:tab/>
      </w:r>
      <w:r>
        <w:rPr>
          <w:snapToGrid/>
        </w:rPr>
        <w:t>202.</w:t>
      </w:r>
      <w:r>
        <w:rPr>
          <w:rFonts w:hint="eastAsia"/>
          <w:snapToGrid/>
        </w:rPr>
        <w:t xml:space="preserve">  </w:t>
      </w:r>
      <w:r>
        <w:rPr>
          <w:rFonts w:hint="eastAsia"/>
          <w:snapToGrid/>
        </w:rPr>
        <w:t>对</w:t>
      </w:r>
      <w:r>
        <w:rPr>
          <w:snapToGrid/>
        </w:rPr>
        <w:t>生产率</w:t>
      </w:r>
      <w:r>
        <w:rPr>
          <w:rFonts w:hint="eastAsia"/>
          <w:snapToGrid/>
        </w:rPr>
        <w:t>的考虑</w:t>
      </w:r>
      <w:r>
        <w:rPr>
          <w:snapToGrid/>
        </w:rPr>
        <w:t>目的</w:t>
      </w:r>
      <w:r>
        <w:rPr>
          <w:rFonts w:hint="eastAsia"/>
          <w:snapToGrid/>
        </w:rPr>
        <w:t>是要将</w:t>
      </w:r>
      <w:r>
        <w:rPr>
          <w:snapToGrid/>
        </w:rPr>
        <w:t>实际收入的增长与经济平均生产率</w:t>
      </w:r>
      <w:r>
        <w:rPr>
          <w:rFonts w:hint="eastAsia"/>
          <w:snapToGrid/>
        </w:rPr>
        <w:t>的</w:t>
      </w:r>
      <w:r>
        <w:rPr>
          <w:snapToGrid/>
        </w:rPr>
        <w:t>增长挂钩，</w:t>
      </w:r>
      <w:r>
        <w:rPr>
          <w:rFonts w:hint="eastAsia"/>
          <w:snapToGrid/>
        </w:rPr>
        <w:t>从而</w:t>
      </w:r>
      <w:r>
        <w:rPr>
          <w:snapToGrid/>
        </w:rPr>
        <w:t>避免</w:t>
      </w:r>
      <w:r>
        <w:rPr>
          <w:rFonts w:hint="eastAsia"/>
          <w:snapToGrid/>
        </w:rPr>
        <w:t>在</w:t>
      </w:r>
      <w:r>
        <w:rPr>
          <w:snapToGrid/>
        </w:rPr>
        <w:t>劳动力市场</w:t>
      </w:r>
      <w:r>
        <w:rPr>
          <w:rFonts w:hint="eastAsia"/>
          <w:snapToGrid/>
        </w:rPr>
        <w:t>上出现不是</w:t>
      </w:r>
      <w:r>
        <w:rPr>
          <w:snapToGrid/>
        </w:rPr>
        <w:t>失业率</w:t>
      </w:r>
      <w:r>
        <w:rPr>
          <w:rFonts w:hint="eastAsia"/>
          <w:snapToGrid/>
        </w:rPr>
        <w:t>上升就是</w:t>
      </w:r>
      <w:r>
        <w:rPr>
          <w:snapToGrid/>
        </w:rPr>
        <w:t>非正</w:t>
      </w:r>
      <w:r>
        <w:rPr>
          <w:rFonts w:hint="eastAsia"/>
          <w:snapToGrid/>
        </w:rPr>
        <w:t>规行业</w:t>
      </w:r>
      <w:r>
        <w:rPr>
          <w:snapToGrid/>
        </w:rPr>
        <w:t>扩</w:t>
      </w:r>
      <w:r>
        <w:rPr>
          <w:rFonts w:hint="eastAsia"/>
          <w:snapToGrid/>
        </w:rPr>
        <w:t>大这</w:t>
      </w:r>
      <w:r>
        <w:rPr>
          <w:snapToGrid/>
        </w:rPr>
        <w:t>两种形式</w:t>
      </w:r>
      <w:r>
        <w:rPr>
          <w:rFonts w:hint="eastAsia"/>
          <w:snapToGrid/>
        </w:rPr>
        <w:t>的不理想</w:t>
      </w:r>
      <w:r>
        <w:rPr>
          <w:snapToGrid/>
        </w:rPr>
        <w:t>后果。</w:t>
      </w:r>
    </w:p>
    <w:p w:rsidR="00000000" w:rsidRDefault="009C1C61">
      <w:pPr>
        <w:rPr>
          <w:snapToGrid/>
        </w:rPr>
      </w:pPr>
      <w:r>
        <w:rPr>
          <w:rFonts w:hint="eastAsia"/>
          <w:snapToGrid/>
        </w:rPr>
        <w:tab/>
      </w:r>
      <w:r>
        <w:rPr>
          <w:snapToGrid/>
        </w:rPr>
        <w:t>203.</w:t>
      </w:r>
      <w:r>
        <w:rPr>
          <w:rFonts w:hint="eastAsia"/>
          <w:snapToGrid/>
        </w:rPr>
        <w:t xml:space="preserve">  </w:t>
      </w:r>
      <w:r>
        <w:rPr>
          <w:rFonts w:hint="eastAsia"/>
          <w:snapToGrid/>
        </w:rPr>
        <w:t>运用</w:t>
      </w:r>
      <w:r>
        <w:rPr>
          <w:snapToGrid/>
        </w:rPr>
        <w:t>公平原则是为了</w:t>
      </w:r>
      <w:r>
        <w:rPr>
          <w:rFonts w:hint="eastAsia"/>
          <w:snapToGrid/>
        </w:rPr>
        <w:t>有利于</w:t>
      </w:r>
      <w:r>
        <w:rPr>
          <w:snapToGrid/>
        </w:rPr>
        <w:t>那些工资比</w:t>
      </w:r>
      <w:r>
        <w:rPr>
          <w:rFonts w:hint="eastAsia"/>
          <w:snapToGrid/>
        </w:rPr>
        <w:t>其</w:t>
      </w:r>
      <w:r>
        <w:rPr>
          <w:snapToGrid/>
        </w:rPr>
        <w:t>他人低</w:t>
      </w:r>
      <w:r>
        <w:rPr>
          <w:rFonts w:hint="eastAsia"/>
          <w:snapToGrid/>
        </w:rPr>
        <w:t>很</w:t>
      </w:r>
      <w:r>
        <w:rPr>
          <w:snapToGrid/>
        </w:rPr>
        <w:t>多的工</w:t>
      </w:r>
      <w:r>
        <w:rPr>
          <w:rFonts w:hint="eastAsia"/>
          <w:snapToGrid/>
        </w:rPr>
        <w:t>作</w:t>
      </w:r>
      <w:r>
        <w:rPr>
          <w:snapToGrid/>
        </w:rPr>
        <w:t>人</w:t>
      </w:r>
      <w:r>
        <w:rPr>
          <w:rFonts w:hint="eastAsia"/>
          <w:snapToGrid/>
        </w:rPr>
        <w:t>员</w:t>
      </w:r>
      <w:r>
        <w:rPr>
          <w:snapToGrid/>
        </w:rPr>
        <w:t>，改善他们</w:t>
      </w:r>
      <w:r>
        <w:rPr>
          <w:rFonts w:hint="eastAsia"/>
          <w:snapToGrid/>
        </w:rPr>
        <w:t>在</w:t>
      </w:r>
      <w:r>
        <w:rPr>
          <w:snapToGrid/>
        </w:rPr>
        <w:t>劳务市场</w:t>
      </w:r>
      <w:r>
        <w:rPr>
          <w:rFonts w:hint="eastAsia"/>
          <w:snapToGrid/>
        </w:rPr>
        <w:t>中的相对地</w:t>
      </w:r>
      <w:r>
        <w:rPr>
          <w:snapToGrid/>
        </w:rPr>
        <w:t>位，同时促</w:t>
      </w:r>
      <w:r>
        <w:rPr>
          <w:rFonts w:hint="eastAsia"/>
          <w:snapToGrid/>
        </w:rPr>
        <w:t>使</w:t>
      </w:r>
      <w:r>
        <w:rPr>
          <w:snapToGrid/>
        </w:rPr>
        <w:t>最贫困家庭的福祉</w:t>
      </w:r>
      <w:r>
        <w:rPr>
          <w:rFonts w:hint="eastAsia"/>
          <w:snapToGrid/>
        </w:rPr>
        <w:t>得到改善</w:t>
      </w:r>
      <w:r>
        <w:rPr>
          <w:snapToGrid/>
        </w:rPr>
        <w:t>。</w:t>
      </w:r>
    </w:p>
    <w:p w:rsidR="00000000" w:rsidRDefault="009C1C61">
      <w:pPr>
        <w:spacing w:after="240"/>
        <w:rPr>
          <w:snapToGrid/>
        </w:rPr>
      </w:pPr>
      <w:r>
        <w:rPr>
          <w:rFonts w:hint="eastAsia"/>
          <w:snapToGrid/>
        </w:rPr>
        <w:tab/>
      </w:r>
      <w:r>
        <w:rPr>
          <w:snapToGrid/>
        </w:rPr>
        <w:t>204.</w:t>
      </w:r>
      <w:r>
        <w:rPr>
          <w:rFonts w:hint="eastAsia"/>
          <w:snapToGrid/>
        </w:rPr>
        <w:t xml:space="preserve">  </w:t>
      </w:r>
      <w:r>
        <w:rPr>
          <w:snapToGrid/>
        </w:rPr>
        <w:t>在此应当提及，</w:t>
      </w:r>
      <w:r>
        <w:rPr>
          <w:snapToGrid/>
        </w:rPr>
        <w:t>1998</w:t>
      </w:r>
      <w:r>
        <w:rPr>
          <w:snapToGrid/>
        </w:rPr>
        <w:t>年政府与工人组织</w:t>
      </w:r>
      <w:r>
        <w:rPr>
          <w:rFonts w:hint="eastAsia"/>
          <w:snapToGrid/>
        </w:rPr>
        <w:t>通过</w:t>
      </w:r>
      <w:r>
        <w:rPr>
          <w:snapToGrid/>
        </w:rPr>
        <w:t>谈判</w:t>
      </w:r>
      <w:r>
        <w:rPr>
          <w:rFonts w:hint="eastAsia"/>
          <w:snapToGrid/>
        </w:rPr>
        <w:t>首次</w:t>
      </w:r>
      <w:r>
        <w:rPr>
          <w:snapToGrid/>
        </w:rPr>
        <w:t>确定最低工资</w:t>
      </w:r>
      <w:r>
        <w:rPr>
          <w:rFonts w:hint="eastAsia"/>
          <w:snapToGrid/>
        </w:rPr>
        <w:t>三年之内不再</w:t>
      </w:r>
      <w:r>
        <w:rPr>
          <w:snapToGrid/>
        </w:rPr>
        <w:t>调整。</w:t>
      </w:r>
    </w:p>
    <w:p w:rsidR="00000000" w:rsidRDefault="009C1C61">
      <w:pPr>
        <w:pStyle w:val="Heading4"/>
        <w:rPr>
          <w:rFonts w:ascii="Time New Roman" w:eastAsia="SimHei" w:hAnsi="Time New Roman"/>
          <w:u w:val="none"/>
        </w:rPr>
      </w:pPr>
      <w:r>
        <w:rPr>
          <w:rFonts w:ascii="Time New Roman" w:eastAsia="SimHei" w:hAnsi="Time New Roman" w:hint="eastAsia"/>
          <w:u w:val="none"/>
        </w:rPr>
        <w:t>最低工资走势</w:t>
      </w:r>
    </w:p>
    <w:p w:rsidR="00000000" w:rsidRDefault="009C1C61">
      <w:pPr>
        <w:rPr>
          <w:snapToGrid/>
        </w:rPr>
      </w:pPr>
      <w:r>
        <w:rPr>
          <w:rFonts w:hint="eastAsia"/>
          <w:snapToGrid/>
        </w:rPr>
        <w:tab/>
      </w:r>
      <w:r>
        <w:rPr>
          <w:snapToGrid/>
        </w:rPr>
        <w:t>205.</w:t>
      </w:r>
      <w:r>
        <w:rPr>
          <w:rFonts w:hint="eastAsia"/>
          <w:snapToGrid/>
        </w:rPr>
        <w:t xml:space="preserve">  </w:t>
      </w:r>
      <w:r>
        <w:rPr>
          <w:rFonts w:hint="eastAsia"/>
          <w:snapToGrid/>
        </w:rPr>
        <w:t>在推行</w:t>
      </w:r>
      <w:r>
        <w:rPr>
          <w:snapToGrid/>
        </w:rPr>
        <w:t>一项最低工资的提</w:t>
      </w:r>
      <w:r>
        <w:rPr>
          <w:rFonts w:hint="eastAsia"/>
          <w:snapToGrid/>
        </w:rPr>
        <w:t>升率</w:t>
      </w:r>
      <w:r>
        <w:rPr>
          <w:snapToGrid/>
        </w:rPr>
        <w:t>高于消费者</w:t>
      </w:r>
      <w:r>
        <w:rPr>
          <w:rFonts w:hint="eastAsia"/>
          <w:snapToGrid/>
        </w:rPr>
        <w:t>物价</w:t>
      </w:r>
      <w:r>
        <w:rPr>
          <w:snapToGrid/>
        </w:rPr>
        <w:t>指数上升率</w:t>
      </w:r>
      <w:r>
        <w:rPr>
          <w:rFonts w:hint="eastAsia"/>
          <w:snapToGrid/>
        </w:rPr>
        <w:t xml:space="preserve"> </w:t>
      </w:r>
      <w:r>
        <w:rPr>
          <w:rStyle w:val="FootnoteReference"/>
          <w:snapToGrid/>
        </w:rPr>
        <w:footnoteReference w:id="55"/>
      </w:r>
      <w:r>
        <w:rPr>
          <w:rFonts w:hint="eastAsia"/>
          <w:snapToGrid/>
        </w:rPr>
        <w:t xml:space="preserve"> </w:t>
      </w:r>
      <w:r>
        <w:rPr>
          <w:snapToGrid/>
        </w:rPr>
        <w:t>和平均收入的明确政策时，</w:t>
      </w:r>
      <w:r>
        <w:rPr>
          <w:snapToGrid/>
        </w:rPr>
        <w:t xml:space="preserve"> 1990</w:t>
      </w:r>
      <w:r>
        <w:rPr>
          <w:snapToGrid/>
        </w:rPr>
        <w:t>年</w:t>
      </w:r>
      <w:r>
        <w:rPr>
          <w:snapToGrid/>
        </w:rPr>
        <w:t>1</w:t>
      </w:r>
      <w:r>
        <w:rPr>
          <w:snapToGrid/>
        </w:rPr>
        <w:t>月至</w:t>
      </w:r>
      <w:r>
        <w:rPr>
          <w:snapToGrid/>
        </w:rPr>
        <w:t>1999</w:t>
      </w:r>
      <w:r>
        <w:rPr>
          <w:snapToGrid/>
        </w:rPr>
        <w:t>年</w:t>
      </w:r>
      <w:r>
        <w:rPr>
          <w:rFonts w:hint="eastAsia"/>
          <w:snapToGrid/>
        </w:rPr>
        <w:t>1</w:t>
      </w:r>
      <w:r>
        <w:rPr>
          <w:snapToGrid/>
        </w:rPr>
        <w:t>月期间，最低工资的实际增长率为</w:t>
      </w:r>
      <w:r>
        <w:rPr>
          <w:snapToGrid/>
        </w:rPr>
        <w:t>72.5%</w:t>
      </w:r>
      <w:r>
        <w:rPr>
          <w:snapToGrid/>
        </w:rPr>
        <w:t>。</w:t>
      </w:r>
      <w:r>
        <w:rPr>
          <w:snapToGrid/>
        </w:rPr>
        <w:t>1989</w:t>
      </w:r>
      <w:r>
        <w:rPr>
          <w:snapToGrid/>
        </w:rPr>
        <w:t>至</w:t>
      </w:r>
      <w:r>
        <w:rPr>
          <w:snapToGrid/>
        </w:rPr>
        <w:t>2000</w:t>
      </w:r>
      <w:r>
        <w:rPr>
          <w:snapToGrid/>
        </w:rPr>
        <w:t>年期间，年均实际收入增长率为</w:t>
      </w:r>
      <w:r>
        <w:rPr>
          <w:snapToGrid/>
        </w:rPr>
        <w:t>3.6%</w:t>
      </w:r>
      <w:r>
        <w:rPr>
          <w:snapToGrid/>
        </w:rPr>
        <w:t>，而最低工资年</w:t>
      </w:r>
      <w:r>
        <w:rPr>
          <w:rFonts w:hint="eastAsia"/>
          <w:snapToGrid/>
        </w:rPr>
        <w:t>均</w:t>
      </w:r>
      <w:r>
        <w:rPr>
          <w:snapToGrid/>
        </w:rPr>
        <w:t>增长率</w:t>
      </w:r>
      <w:r>
        <w:rPr>
          <w:rFonts w:hint="eastAsia"/>
          <w:snapToGrid/>
        </w:rPr>
        <w:t>是</w:t>
      </w:r>
      <w:r>
        <w:rPr>
          <w:snapToGrid/>
        </w:rPr>
        <w:t>5.8%(</w:t>
      </w:r>
      <w:r>
        <w:rPr>
          <w:snapToGrid/>
        </w:rPr>
        <w:t>见表</w:t>
      </w:r>
      <w:r>
        <w:rPr>
          <w:rFonts w:hint="eastAsia"/>
          <w:snapToGrid/>
        </w:rPr>
        <w:t>9)</w:t>
      </w:r>
      <w:r>
        <w:rPr>
          <w:snapToGrid/>
        </w:rPr>
        <w:t>。</w:t>
      </w:r>
    </w:p>
    <w:p w:rsidR="00000000" w:rsidRDefault="009C1C61">
      <w:pPr>
        <w:spacing w:after="240"/>
        <w:rPr>
          <w:snapToGrid/>
        </w:rPr>
      </w:pPr>
      <w:r>
        <w:rPr>
          <w:rFonts w:hint="eastAsia"/>
          <w:snapToGrid/>
        </w:rPr>
        <w:tab/>
      </w:r>
      <w:r>
        <w:rPr>
          <w:snapToGrid/>
        </w:rPr>
        <w:t>206.</w:t>
      </w:r>
      <w:r>
        <w:rPr>
          <w:rFonts w:hint="eastAsia"/>
          <w:snapToGrid/>
        </w:rPr>
        <w:t xml:space="preserve">  </w:t>
      </w:r>
      <w:r>
        <w:rPr>
          <w:snapToGrid/>
        </w:rPr>
        <w:t>虽然最低工资调整政策</w:t>
      </w:r>
      <w:r>
        <w:rPr>
          <w:rFonts w:hint="eastAsia"/>
          <w:snapToGrid/>
        </w:rPr>
        <w:t>与</w:t>
      </w:r>
      <w:r>
        <w:rPr>
          <w:snapToGrid/>
        </w:rPr>
        <w:t>消费</w:t>
      </w:r>
      <w:r>
        <w:rPr>
          <w:rFonts w:hint="eastAsia"/>
          <w:snapToGrid/>
        </w:rPr>
        <w:t>者物</w:t>
      </w:r>
      <w:r>
        <w:rPr>
          <w:snapToGrid/>
        </w:rPr>
        <w:t>价指数</w:t>
      </w:r>
      <w:r>
        <w:rPr>
          <w:rFonts w:hint="eastAsia"/>
          <w:snapToGrid/>
        </w:rPr>
        <w:t>的</w:t>
      </w:r>
      <w:r>
        <w:rPr>
          <w:snapToGrid/>
        </w:rPr>
        <w:t>上升与生产率</w:t>
      </w:r>
      <w:r>
        <w:rPr>
          <w:rFonts w:hint="eastAsia"/>
          <w:snapToGrid/>
        </w:rPr>
        <w:t>的</w:t>
      </w:r>
      <w:r>
        <w:rPr>
          <w:snapToGrid/>
        </w:rPr>
        <w:t>增长挂钩，然而</w:t>
      </w:r>
      <w:r>
        <w:rPr>
          <w:rFonts w:hint="eastAsia"/>
          <w:snapToGrid/>
        </w:rPr>
        <w:t>，</w:t>
      </w:r>
      <w:r>
        <w:rPr>
          <w:snapToGrid/>
        </w:rPr>
        <w:t>参照一家四口月均基本食品</w:t>
      </w:r>
      <w:r>
        <w:rPr>
          <w:rFonts w:hint="eastAsia"/>
          <w:snapToGrid/>
        </w:rPr>
        <w:t>综合消费额即</w:t>
      </w:r>
      <w:r>
        <w:rPr>
          <w:snapToGrid/>
        </w:rPr>
        <w:t>可确定最低工资的购买力。</w:t>
      </w:r>
      <w:r>
        <w:rPr>
          <w:snapToGrid/>
        </w:rPr>
        <w:t>1990</w:t>
      </w:r>
      <w:r>
        <w:rPr>
          <w:snapToGrid/>
        </w:rPr>
        <w:t>年，</w:t>
      </w:r>
      <w:r>
        <w:rPr>
          <w:rFonts w:hint="eastAsia"/>
          <w:snapToGrid/>
        </w:rPr>
        <w:t>具有</w:t>
      </w:r>
      <w:r>
        <w:rPr>
          <w:snapToGrid/>
        </w:rPr>
        <w:t>上述特</w:t>
      </w:r>
      <w:r>
        <w:rPr>
          <w:snapToGrid/>
        </w:rPr>
        <w:t>点</w:t>
      </w:r>
      <w:r>
        <w:rPr>
          <w:rFonts w:hint="eastAsia"/>
          <w:snapToGrid/>
        </w:rPr>
        <w:t>的</w:t>
      </w:r>
      <w:r>
        <w:rPr>
          <w:snapToGrid/>
        </w:rPr>
        <w:t>家庭</w:t>
      </w:r>
      <w:r>
        <w:rPr>
          <w:rFonts w:hint="eastAsia"/>
          <w:snapToGrid/>
        </w:rPr>
        <w:t>每</w:t>
      </w:r>
      <w:r>
        <w:rPr>
          <w:snapToGrid/>
        </w:rPr>
        <w:t>月购买</w:t>
      </w:r>
      <w:r>
        <w:rPr>
          <w:rFonts w:hint="eastAsia"/>
          <w:snapToGrid/>
        </w:rPr>
        <w:t>综合</w:t>
      </w:r>
      <w:r>
        <w:rPr>
          <w:snapToGrid/>
        </w:rPr>
        <w:t>基本食品需</w:t>
      </w:r>
      <w:r>
        <w:rPr>
          <w:rFonts w:hint="eastAsia"/>
          <w:snapToGrid/>
        </w:rPr>
        <w:t>支付</w:t>
      </w:r>
      <w:r>
        <w:rPr>
          <w:snapToGrid/>
        </w:rPr>
        <w:t>1.</w:t>
      </w:r>
      <w:r>
        <w:rPr>
          <w:rFonts w:hint="eastAsia"/>
          <w:snapToGrid/>
        </w:rPr>
        <w:t>7</w:t>
      </w:r>
      <w:r>
        <w:rPr>
          <w:snapToGrid/>
        </w:rPr>
        <w:t>倍的最低工资，</w:t>
      </w:r>
      <w:r>
        <w:rPr>
          <w:rFonts w:hint="eastAsia"/>
          <w:snapToGrid/>
        </w:rPr>
        <w:t>然</w:t>
      </w:r>
      <w:r>
        <w:rPr>
          <w:snapToGrid/>
        </w:rPr>
        <w:t>而</w:t>
      </w:r>
      <w:r>
        <w:rPr>
          <w:snapToGrid/>
        </w:rPr>
        <w:t>199</w:t>
      </w:r>
      <w:r>
        <w:rPr>
          <w:rFonts w:hint="eastAsia"/>
          <w:snapToGrid/>
        </w:rPr>
        <w:t>9</w:t>
      </w:r>
      <w:r>
        <w:rPr>
          <w:snapToGrid/>
        </w:rPr>
        <w:t>年初</w:t>
      </w:r>
      <w:r>
        <w:rPr>
          <w:rFonts w:hint="eastAsia"/>
          <w:snapToGrid/>
        </w:rPr>
        <w:t>，</w:t>
      </w:r>
      <w:r>
        <w:rPr>
          <w:snapToGrid/>
        </w:rPr>
        <w:t>这</w:t>
      </w:r>
      <w:r>
        <w:rPr>
          <w:rFonts w:hint="eastAsia"/>
          <w:snapToGrid/>
        </w:rPr>
        <w:t>项</w:t>
      </w:r>
      <w:r>
        <w:rPr>
          <w:snapToGrid/>
        </w:rPr>
        <w:t>比率下跌至</w:t>
      </w:r>
      <w:r>
        <w:rPr>
          <w:snapToGrid/>
        </w:rPr>
        <w:t>0.9</w:t>
      </w:r>
      <w:r>
        <w:rPr>
          <w:snapToGrid/>
        </w:rPr>
        <w:t>。从社会角度来看，这表明最低工资实际</w:t>
      </w:r>
      <w:r>
        <w:rPr>
          <w:rFonts w:hint="eastAsia"/>
          <w:snapToGrid/>
        </w:rPr>
        <w:t>有所</w:t>
      </w:r>
      <w:r>
        <w:rPr>
          <w:snapToGrid/>
        </w:rPr>
        <w:t>提高。</w:t>
      </w:r>
    </w:p>
    <w:p w:rsidR="00000000" w:rsidRDefault="009C1C61">
      <w:pPr>
        <w:pStyle w:val="Heading4"/>
        <w:rPr>
          <w:rFonts w:ascii="Time New Roman" w:eastAsia="SimHei" w:hAnsi="Time New Roman"/>
          <w:u w:val="none"/>
        </w:rPr>
      </w:pPr>
      <w:r>
        <w:rPr>
          <w:rFonts w:ascii="Time New Roman" w:eastAsia="SimHei" w:hAnsi="Time New Roman" w:hint="eastAsia"/>
          <w:u w:val="none"/>
        </w:rPr>
        <w:t>监测最低工资制</w:t>
      </w:r>
    </w:p>
    <w:p w:rsidR="00000000" w:rsidRDefault="009C1C61">
      <w:pPr>
        <w:spacing w:after="320"/>
        <w:rPr>
          <w:rFonts w:hint="eastAsia"/>
          <w:snapToGrid/>
        </w:rPr>
      </w:pPr>
      <w:r>
        <w:rPr>
          <w:rFonts w:hint="eastAsia"/>
          <w:snapToGrid/>
        </w:rPr>
        <w:tab/>
      </w:r>
      <w:r>
        <w:rPr>
          <w:snapToGrid/>
        </w:rPr>
        <w:t>207.</w:t>
      </w:r>
      <w:r>
        <w:rPr>
          <w:rFonts w:hint="eastAsia"/>
          <w:snapToGrid/>
        </w:rPr>
        <w:t xml:space="preserve">  </w:t>
      </w:r>
      <w:r>
        <w:rPr>
          <w:snapToGrid/>
        </w:rPr>
        <w:t>监测最低工资制是劳工局</w:t>
      </w:r>
      <w:r>
        <w:rPr>
          <w:rFonts w:hint="eastAsia"/>
          <w:snapToGrid/>
        </w:rPr>
        <w:t>调控</w:t>
      </w:r>
      <w:r>
        <w:rPr>
          <w:snapToGrid/>
        </w:rPr>
        <w:t>工作的一个核心要素；劳工局为此</w:t>
      </w:r>
      <w:r>
        <w:rPr>
          <w:rFonts w:hint="eastAsia"/>
          <w:snapToGrid/>
        </w:rPr>
        <w:t>目的</w:t>
      </w:r>
      <w:r>
        <w:rPr>
          <w:snapToGrid/>
        </w:rPr>
        <w:t>增</w:t>
      </w:r>
      <w:r>
        <w:rPr>
          <w:rFonts w:hint="eastAsia"/>
          <w:snapToGrid/>
        </w:rPr>
        <w:t>配</w:t>
      </w:r>
      <w:r>
        <w:rPr>
          <w:snapToGrid/>
        </w:rPr>
        <w:t>了监测人员。</w:t>
      </w:r>
    </w:p>
    <w:p w:rsidR="00000000" w:rsidRDefault="009C1C61">
      <w:pPr>
        <w:pStyle w:val="Heading3"/>
        <w:spacing w:after="240"/>
        <w:rPr>
          <w:spacing w:val="0"/>
          <w:kern w:val="0"/>
        </w:rPr>
      </w:pPr>
      <w:r>
        <w:rPr>
          <w:rFonts w:ascii="Time New Roman" w:hAnsi="Time New Roman" w:hint="eastAsia"/>
        </w:rPr>
        <w:t>表</w:t>
      </w:r>
      <w:r>
        <w:rPr>
          <w:rFonts w:ascii="Time New Roman" w:hAnsi="Time New Roman" w:hint="eastAsia"/>
        </w:rPr>
        <w:t xml:space="preserve">  </w:t>
      </w:r>
      <w:r>
        <w:rPr>
          <w:rFonts w:ascii="Time New Roman" w:hAnsi="Time New Roman" w:hint="eastAsia"/>
          <w:b/>
        </w:rPr>
        <w:t>9</w:t>
      </w:r>
      <w:r>
        <w:rPr>
          <w:rFonts w:ascii="Time New Roman" w:hAnsi="Time New Roman"/>
          <w:b/>
        </w:rPr>
        <w:br/>
        <w:t>1989</w:t>
      </w:r>
      <w:r>
        <w:rPr>
          <w:rFonts w:ascii="Time New Roman" w:hAnsi="Time New Roman"/>
        </w:rPr>
        <w:t>至</w:t>
      </w:r>
      <w:r>
        <w:rPr>
          <w:rFonts w:ascii="Time New Roman" w:hAnsi="Time New Roman"/>
          <w:b/>
        </w:rPr>
        <w:t>2000</w:t>
      </w:r>
      <w:r>
        <w:rPr>
          <w:rFonts w:ascii="Time New Roman" w:hAnsi="Time New Roman"/>
        </w:rPr>
        <w:t>年</w:t>
      </w:r>
      <w:r>
        <w:rPr>
          <w:rFonts w:ascii="Time New Roman" w:hAnsi="Time New Roman" w:hint="eastAsia"/>
        </w:rPr>
        <w:t>按实际价值计算的</w:t>
      </w:r>
      <w:r>
        <w:rPr>
          <w:rFonts w:ascii="Time New Roman" w:hAnsi="Time New Roman"/>
        </w:rPr>
        <w:t>收入和最低工资指数</w:t>
      </w:r>
      <w:r>
        <w:rPr>
          <w:rFonts w:ascii="Time New Roman" w:hAnsi="Time New Roman"/>
        </w:rPr>
        <w:br/>
      </w:r>
      <w:r>
        <w:rPr>
          <w:rFonts w:eastAsia="KaiTi_GB2312" w:hint="eastAsia"/>
          <w:spacing w:val="0"/>
          <w:kern w:val="0"/>
        </w:rPr>
        <w:t>(</w:t>
      </w:r>
      <w:r>
        <w:rPr>
          <w:rFonts w:hint="eastAsia"/>
          <w:kern w:val="0"/>
          <w:sz w:val="22"/>
        </w:rPr>
        <w:t>以</w:t>
      </w:r>
      <w:r>
        <w:rPr>
          <w:kern w:val="0"/>
          <w:sz w:val="22"/>
        </w:rPr>
        <w:t>1999</w:t>
      </w:r>
      <w:r>
        <w:rPr>
          <w:kern w:val="0"/>
          <w:sz w:val="22"/>
        </w:rPr>
        <w:t>年</w:t>
      </w:r>
      <w:r>
        <w:rPr>
          <w:rFonts w:hint="eastAsia"/>
          <w:kern w:val="0"/>
          <w:sz w:val="22"/>
        </w:rPr>
        <w:t>＝</w:t>
      </w:r>
      <w:r>
        <w:rPr>
          <w:rFonts w:hint="eastAsia"/>
          <w:kern w:val="0"/>
          <w:sz w:val="22"/>
        </w:rPr>
        <w:t>100</w:t>
      </w:r>
      <w:r>
        <w:rPr>
          <w:rFonts w:hint="eastAsia"/>
          <w:kern w:val="0"/>
          <w:sz w:val="22"/>
        </w:rPr>
        <w:t>为基准</w:t>
      </w:r>
      <w:r>
        <w:rPr>
          <w:rFonts w:eastAsia="KaiTi_GB2312" w:hint="eastAsia"/>
          <w:spacing w:val="0"/>
          <w:kern w:val="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35"/>
        <w:gridCol w:w="1941"/>
        <w:gridCol w:w="2084"/>
        <w:gridCol w:w="2081"/>
      </w:tblGrid>
      <w:tr w:rsidR="00000000">
        <w:tc>
          <w:tcPr>
            <w:tcW w:w="590" w:type="pct"/>
          </w:tcPr>
          <w:p w:rsidR="00000000" w:rsidRDefault="009C1C61">
            <w:pPr>
              <w:pStyle w:val="a2"/>
              <w:spacing w:before="120" w:after="60"/>
              <w:jc w:val="center"/>
              <w:rPr>
                <w:rFonts w:ascii="Time New Roman" w:eastAsia="SimHei" w:hAnsi="Time New Roman"/>
                <w:snapToGrid/>
              </w:rPr>
            </w:pPr>
            <w:r>
              <w:rPr>
                <w:rFonts w:ascii="Time New Roman" w:eastAsia="SimHei" w:hAnsi="Time New Roman" w:hint="eastAsia"/>
                <w:snapToGrid/>
              </w:rPr>
              <w:t>年</w:t>
            </w:r>
          </w:p>
        </w:tc>
        <w:tc>
          <w:tcPr>
            <w:tcW w:w="1220" w:type="pct"/>
          </w:tcPr>
          <w:p w:rsidR="00000000" w:rsidRDefault="009C1C61">
            <w:pPr>
              <w:pStyle w:val="a2"/>
              <w:tabs>
                <w:tab w:val="decimal" w:pos="1076"/>
              </w:tabs>
              <w:spacing w:before="120" w:after="60"/>
              <w:jc w:val="center"/>
              <w:rPr>
                <w:rFonts w:ascii="Time New Roman" w:eastAsia="SimHei" w:hAnsi="Time New Roman"/>
                <w:snapToGrid/>
              </w:rPr>
            </w:pPr>
            <w:r>
              <w:rPr>
                <w:rFonts w:ascii="Time New Roman" w:eastAsia="SimHei" w:hAnsi="Time New Roman" w:hint="eastAsia"/>
                <w:snapToGrid/>
              </w:rPr>
              <w:t>最低工资指数</w:t>
            </w:r>
            <w:r>
              <w:rPr>
                <w:rFonts w:ascii="Time New Roman" w:eastAsia="SimHei" w:hAnsi="Time New Roman"/>
                <w:snapToGrid/>
              </w:rPr>
              <w:t>(</w:t>
            </w:r>
            <w:r>
              <w:rPr>
                <w:rFonts w:ascii="Time New Roman" w:eastAsia="SimHei" w:hAnsi="Time New Roman" w:hint="eastAsia"/>
                <w:snapToGrid/>
              </w:rPr>
              <w:t>实际</w:t>
            </w:r>
            <w:r>
              <w:rPr>
                <w:rFonts w:ascii="Time New Roman" w:eastAsia="SimHei" w:hAnsi="Time New Roman"/>
                <w:snapToGrid/>
              </w:rPr>
              <w:t>)</w:t>
            </w:r>
          </w:p>
        </w:tc>
        <w:tc>
          <w:tcPr>
            <w:tcW w:w="1014" w:type="pct"/>
          </w:tcPr>
          <w:p w:rsidR="00000000" w:rsidRDefault="009C1C61">
            <w:pPr>
              <w:pStyle w:val="a2"/>
              <w:tabs>
                <w:tab w:val="decimal" w:pos="1076"/>
              </w:tabs>
              <w:spacing w:before="120" w:after="60"/>
              <w:jc w:val="center"/>
              <w:rPr>
                <w:rFonts w:ascii="Time New Roman" w:eastAsia="SimHei" w:hAnsi="Time New Roman"/>
                <w:snapToGrid/>
              </w:rPr>
            </w:pPr>
            <w:r>
              <w:rPr>
                <w:rFonts w:ascii="Time New Roman" w:eastAsia="SimHei" w:hAnsi="Time New Roman" w:hint="eastAsia"/>
                <w:snapToGrid/>
              </w:rPr>
              <w:t>年变动率</w:t>
            </w:r>
            <w:r>
              <w:rPr>
                <w:rFonts w:ascii="Time New Roman" w:eastAsia="SimHei" w:hAnsi="Time New Roman"/>
                <w:snapToGrid/>
              </w:rPr>
              <w:t>(%)</w:t>
            </w:r>
          </w:p>
        </w:tc>
        <w:tc>
          <w:tcPr>
            <w:tcW w:w="1089" w:type="pct"/>
          </w:tcPr>
          <w:p w:rsidR="00000000" w:rsidRDefault="009C1C61">
            <w:pPr>
              <w:pStyle w:val="a2"/>
              <w:tabs>
                <w:tab w:val="decimal" w:pos="1076"/>
              </w:tabs>
              <w:spacing w:before="120" w:after="60"/>
              <w:jc w:val="center"/>
              <w:rPr>
                <w:rFonts w:ascii="Time New Roman" w:eastAsia="SimHei" w:hAnsi="Time New Roman"/>
                <w:snapToGrid/>
              </w:rPr>
            </w:pPr>
            <w:r>
              <w:rPr>
                <w:rFonts w:ascii="Time New Roman" w:eastAsia="SimHei" w:hAnsi="Time New Roman" w:hint="eastAsia"/>
                <w:snapToGrid/>
              </w:rPr>
              <w:t>收入指数</w:t>
            </w:r>
            <w:r>
              <w:rPr>
                <w:rFonts w:ascii="Time New Roman" w:eastAsia="SimHei" w:hAnsi="Time New Roman"/>
                <w:snapToGrid/>
              </w:rPr>
              <w:t>(</w:t>
            </w:r>
            <w:r>
              <w:rPr>
                <w:rFonts w:ascii="Time New Roman" w:eastAsia="SimHei" w:hAnsi="Time New Roman" w:hint="eastAsia"/>
                <w:snapToGrid/>
              </w:rPr>
              <w:t>实际</w:t>
            </w:r>
            <w:r>
              <w:rPr>
                <w:rFonts w:ascii="Time New Roman" w:eastAsia="SimHei" w:hAnsi="Time New Roman"/>
                <w:snapToGrid/>
              </w:rPr>
              <w:t>)</w:t>
            </w:r>
          </w:p>
        </w:tc>
        <w:tc>
          <w:tcPr>
            <w:tcW w:w="1087" w:type="pct"/>
          </w:tcPr>
          <w:p w:rsidR="00000000" w:rsidRDefault="009C1C61">
            <w:pPr>
              <w:pStyle w:val="a2"/>
              <w:tabs>
                <w:tab w:val="decimal" w:pos="1076"/>
              </w:tabs>
              <w:spacing w:before="120" w:after="60"/>
              <w:jc w:val="center"/>
              <w:rPr>
                <w:rFonts w:ascii="Time New Roman" w:eastAsia="SimHei" w:hAnsi="Time New Roman"/>
                <w:snapToGrid/>
              </w:rPr>
            </w:pPr>
            <w:r>
              <w:rPr>
                <w:rFonts w:ascii="Time New Roman" w:eastAsia="SimHei" w:hAnsi="Time New Roman" w:hint="eastAsia"/>
                <w:snapToGrid/>
              </w:rPr>
              <w:t>年变动率</w:t>
            </w:r>
            <w:r>
              <w:rPr>
                <w:rFonts w:ascii="Time New Roman" w:eastAsia="SimHei" w:hAnsi="Time New Roman"/>
                <w:snapToGrid/>
              </w:rPr>
              <w:t>(%)</w:t>
            </w:r>
          </w:p>
        </w:tc>
      </w:tr>
      <w:tr w:rsidR="00000000">
        <w:tc>
          <w:tcPr>
            <w:tcW w:w="590" w:type="pct"/>
          </w:tcPr>
          <w:p w:rsidR="00000000" w:rsidRDefault="009C1C61">
            <w:pPr>
              <w:pStyle w:val="a2"/>
              <w:jc w:val="center"/>
              <w:rPr>
                <w:snapToGrid/>
              </w:rPr>
            </w:pPr>
            <w:r>
              <w:rPr>
                <w:snapToGrid/>
              </w:rPr>
              <w:t>1989</w:t>
            </w:r>
          </w:p>
        </w:tc>
        <w:tc>
          <w:tcPr>
            <w:tcW w:w="1220" w:type="pct"/>
          </w:tcPr>
          <w:p w:rsidR="00000000" w:rsidRDefault="009C1C61">
            <w:pPr>
              <w:pStyle w:val="a2"/>
              <w:tabs>
                <w:tab w:val="decimal" w:pos="1076"/>
              </w:tabs>
              <w:rPr>
                <w:snapToGrid/>
              </w:rPr>
            </w:pPr>
            <w:r>
              <w:rPr>
                <w:snapToGrid/>
              </w:rPr>
              <w:t>100,0</w:t>
            </w:r>
          </w:p>
        </w:tc>
        <w:tc>
          <w:tcPr>
            <w:tcW w:w="1014" w:type="pct"/>
          </w:tcPr>
          <w:p w:rsidR="00000000" w:rsidRDefault="009C1C61">
            <w:pPr>
              <w:pStyle w:val="a2"/>
              <w:tabs>
                <w:tab w:val="decimal" w:pos="1076"/>
              </w:tabs>
              <w:rPr>
                <w:snapToGrid/>
              </w:rPr>
            </w:pPr>
            <w:r>
              <w:rPr>
                <w:snapToGrid/>
              </w:rPr>
              <w:t>11,2</w:t>
            </w:r>
          </w:p>
        </w:tc>
        <w:tc>
          <w:tcPr>
            <w:tcW w:w="1089" w:type="pct"/>
          </w:tcPr>
          <w:p w:rsidR="00000000" w:rsidRDefault="009C1C61">
            <w:pPr>
              <w:pStyle w:val="a2"/>
              <w:tabs>
                <w:tab w:val="decimal" w:pos="1076"/>
              </w:tabs>
              <w:rPr>
                <w:snapToGrid/>
              </w:rPr>
            </w:pPr>
            <w:r>
              <w:rPr>
                <w:snapToGrid/>
              </w:rPr>
              <w:t>100,0</w:t>
            </w:r>
          </w:p>
        </w:tc>
        <w:tc>
          <w:tcPr>
            <w:tcW w:w="1087" w:type="pct"/>
          </w:tcPr>
          <w:p w:rsidR="00000000" w:rsidRDefault="009C1C61">
            <w:pPr>
              <w:pStyle w:val="a2"/>
              <w:tabs>
                <w:tab w:val="decimal" w:pos="1076"/>
              </w:tabs>
              <w:rPr>
                <w:snapToGrid/>
              </w:rPr>
            </w:pPr>
            <w:r>
              <w:rPr>
                <w:snapToGrid/>
              </w:rPr>
              <w:t>2,0</w:t>
            </w:r>
          </w:p>
        </w:tc>
      </w:tr>
      <w:tr w:rsidR="00000000">
        <w:tc>
          <w:tcPr>
            <w:tcW w:w="590" w:type="pct"/>
          </w:tcPr>
          <w:p w:rsidR="00000000" w:rsidRDefault="009C1C61">
            <w:pPr>
              <w:pStyle w:val="a2"/>
              <w:jc w:val="center"/>
              <w:rPr>
                <w:snapToGrid/>
              </w:rPr>
            </w:pPr>
            <w:r>
              <w:rPr>
                <w:snapToGrid/>
              </w:rPr>
              <w:t>1990</w:t>
            </w:r>
          </w:p>
        </w:tc>
        <w:tc>
          <w:tcPr>
            <w:tcW w:w="1220" w:type="pct"/>
          </w:tcPr>
          <w:p w:rsidR="00000000" w:rsidRDefault="009C1C61">
            <w:pPr>
              <w:pStyle w:val="a2"/>
              <w:tabs>
                <w:tab w:val="decimal" w:pos="1076"/>
              </w:tabs>
              <w:rPr>
                <w:snapToGrid/>
              </w:rPr>
            </w:pPr>
            <w:r>
              <w:rPr>
                <w:snapToGrid/>
              </w:rPr>
              <w:t>106,8</w:t>
            </w:r>
          </w:p>
        </w:tc>
        <w:tc>
          <w:tcPr>
            <w:tcW w:w="1014" w:type="pct"/>
          </w:tcPr>
          <w:p w:rsidR="00000000" w:rsidRDefault="009C1C61">
            <w:pPr>
              <w:pStyle w:val="a2"/>
              <w:tabs>
                <w:tab w:val="decimal" w:pos="1076"/>
              </w:tabs>
              <w:rPr>
                <w:snapToGrid/>
              </w:rPr>
            </w:pPr>
            <w:r>
              <w:rPr>
                <w:snapToGrid/>
              </w:rPr>
              <w:t>6,8</w:t>
            </w:r>
          </w:p>
        </w:tc>
        <w:tc>
          <w:tcPr>
            <w:tcW w:w="1089" w:type="pct"/>
          </w:tcPr>
          <w:p w:rsidR="00000000" w:rsidRDefault="009C1C61">
            <w:pPr>
              <w:pStyle w:val="a2"/>
              <w:tabs>
                <w:tab w:val="decimal" w:pos="1076"/>
              </w:tabs>
              <w:rPr>
                <w:snapToGrid/>
              </w:rPr>
            </w:pPr>
            <w:r>
              <w:rPr>
                <w:snapToGrid/>
              </w:rPr>
              <w:t>10</w:t>
            </w:r>
            <w:r>
              <w:rPr>
                <w:snapToGrid/>
              </w:rPr>
              <w:t>1,9</w:t>
            </w:r>
          </w:p>
        </w:tc>
        <w:tc>
          <w:tcPr>
            <w:tcW w:w="1087" w:type="pct"/>
          </w:tcPr>
          <w:p w:rsidR="00000000" w:rsidRDefault="009C1C61">
            <w:pPr>
              <w:pStyle w:val="a2"/>
              <w:tabs>
                <w:tab w:val="decimal" w:pos="1076"/>
              </w:tabs>
              <w:rPr>
                <w:snapToGrid/>
              </w:rPr>
            </w:pPr>
            <w:r>
              <w:rPr>
                <w:snapToGrid/>
              </w:rPr>
              <w:t>1,9</w:t>
            </w:r>
          </w:p>
        </w:tc>
      </w:tr>
      <w:tr w:rsidR="00000000">
        <w:tc>
          <w:tcPr>
            <w:tcW w:w="590" w:type="pct"/>
          </w:tcPr>
          <w:p w:rsidR="00000000" w:rsidRDefault="009C1C61">
            <w:pPr>
              <w:pStyle w:val="a2"/>
              <w:jc w:val="center"/>
              <w:rPr>
                <w:snapToGrid/>
              </w:rPr>
            </w:pPr>
            <w:r>
              <w:rPr>
                <w:snapToGrid/>
              </w:rPr>
              <w:t>1991</w:t>
            </w:r>
          </w:p>
        </w:tc>
        <w:tc>
          <w:tcPr>
            <w:tcW w:w="1220" w:type="pct"/>
          </w:tcPr>
          <w:p w:rsidR="00000000" w:rsidRDefault="009C1C61">
            <w:pPr>
              <w:pStyle w:val="a2"/>
              <w:tabs>
                <w:tab w:val="decimal" w:pos="1076"/>
              </w:tabs>
              <w:rPr>
                <w:snapToGrid/>
              </w:rPr>
            </w:pPr>
            <w:r>
              <w:rPr>
                <w:snapToGrid/>
              </w:rPr>
              <w:t>116,4</w:t>
            </w:r>
          </w:p>
        </w:tc>
        <w:tc>
          <w:tcPr>
            <w:tcW w:w="1014" w:type="pct"/>
          </w:tcPr>
          <w:p w:rsidR="00000000" w:rsidRDefault="009C1C61">
            <w:pPr>
              <w:pStyle w:val="a2"/>
              <w:tabs>
                <w:tab w:val="decimal" w:pos="1076"/>
              </w:tabs>
              <w:rPr>
                <w:snapToGrid/>
              </w:rPr>
            </w:pPr>
            <w:r>
              <w:rPr>
                <w:snapToGrid/>
              </w:rPr>
              <w:t>9,0</w:t>
            </w:r>
          </w:p>
        </w:tc>
        <w:tc>
          <w:tcPr>
            <w:tcW w:w="1089" w:type="pct"/>
          </w:tcPr>
          <w:p w:rsidR="00000000" w:rsidRDefault="009C1C61">
            <w:pPr>
              <w:pStyle w:val="a2"/>
              <w:tabs>
                <w:tab w:val="decimal" w:pos="1076"/>
              </w:tabs>
              <w:rPr>
                <w:snapToGrid/>
              </w:rPr>
            </w:pPr>
            <w:r>
              <w:rPr>
                <w:snapToGrid/>
              </w:rPr>
              <w:t>106,8</w:t>
            </w:r>
          </w:p>
        </w:tc>
        <w:tc>
          <w:tcPr>
            <w:tcW w:w="1087" w:type="pct"/>
          </w:tcPr>
          <w:p w:rsidR="00000000" w:rsidRDefault="009C1C61">
            <w:pPr>
              <w:pStyle w:val="a2"/>
              <w:tabs>
                <w:tab w:val="decimal" w:pos="1076"/>
              </w:tabs>
              <w:rPr>
                <w:snapToGrid/>
              </w:rPr>
            </w:pPr>
            <w:r>
              <w:rPr>
                <w:snapToGrid/>
              </w:rPr>
              <w:t>4,9</w:t>
            </w:r>
          </w:p>
        </w:tc>
      </w:tr>
      <w:tr w:rsidR="00000000">
        <w:tc>
          <w:tcPr>
            <w:tcW w:w="590" w:type="pct"/>
          </w:tcPr>
          <w:p w:rsidR="00000000" w:rsidRDefault="009C1C61">
            <w:pPr>
              <w:pStyle w:val="a2"/>
              <w:jc w:val="center"/>
              <w:rPr>
                <w:snapToGrid/>
              </w:rPr>
            </w:pPr>
            <w:r>
              <w:rPr>
                <w:snapToGrid/>
              </w:rPr>
              <w:t>1992</w:t>
            </w:r>
          </w:p>
        </w:tc>
        <w:tc>
          <w:tcPr>
            <w:tcW w:w="1220" w:type="pct"/>
          </w:tcPr>
          <w:p w:rsidR="00000000" w:rsidRDefault="009C1C61">
            <w:pPr>
              <w:pStyle w:val="a2"/>
              <w:tabs>
                <w:tab w:val="decimal" w:pos="1076"/>
              </w:tabs>
              <w:rPr>
                <w:snapToGrid/>
              </w:rPr>
            </w:pPr>
            <w:r>
              <w:rPr>
                <w:snapToGrid/>
              </w:rPr>
              <w:t>121,6</w:t>
            </w:r>
          </w:p>
        </w:tc>
        <w:tc>
          <w:tcPr>
            <w:tcW w:w="1014" w:type="pct"/>
          </w:tcPr>
          <w:p w:rsidR="00000000" w:rsidRDefault="009C1C61">
            <w:pPr>
              <w:pStyle w:val="a2"/>
              <w:tabs>
                <w:tab w:val="decimal" w:pos="1076"/>
              </w:tabs>
              <w:rPr>
                <w:snapToGrid/>
              </w:rPr>
            </w:pPr>
            <w:r>
              <w:rPr>
                <w:snapToGrid/>
              </w:rPr>
              <w:t>4,4</w:t>
            </w:r>
          </w:p>
        </w:tc>
        <w:tc>
          <w:tcPr>
            <w:tcW w:w="1089" w:type="pct"/>
          </w:tcPr>
          <w:p w:rsidR="00000000" w:rsidRDefault="009C1C61">
            <w:pPr>
              <w:pStyle w:val="a2"/>
              <w:tabs>
                <w:tab w:val="decimal" w:pos="1076"/>
              </w:tabs>
              <w:rPr>
                <w:snapToGrid/>
              </w:rPr>
            </w:pPr>
            <w:r>
              <w:rPr>
                <w:snapToGrid/>
              </w:rPr>
              <w:t>111,6</w:t>
            </w:r>
          </w:p>
        </w:tc>
        <w:tc>
          <w:tcPr>
            <w:tcW w:w="1087" w:type="pct"/>
          </w:tcPr>
          <w:p w:rsidR="00000000" w:rsidRDefault="009C1C61">
            <w:pPr>
              <w:pStyle w:val="a2"/>
              <w:tabs>
                <w:tab w:val="decimal" w:pos="1076"/>
              </w:tabs>
              <w:rPr>
                <w:snapToGrid/>
              </w:rPr>
            </w:pPr>
            <w:r>
              <w:rPr>
                <w:snapToGrid/>
              </w:rPr>
              <w:t>4,5</w:t>
            </w:r>
          </w:p>
        </w:tc>
      </w:tr>
      <w:tr w:rsidR="00000000">
        <w:tc>
          <w:tcPr>
            <w:tcW w:w="590" w:type="pct"/>
          </w:tcPr>
          <w:p w:rsidR="00000000" w:rsidRDefault="009C1C61">
            <w:pPr>
              <w:pStyle w:val="a2"/>
              <w:jc w:val="center"/>
              <w:rPr>
                <w:snapToGrid/>
              </w:rPr>
            </w:pPr>
            <w:r>
              <w:rPr>
                <w:snapToGrid/>
              </w:rPr>
              <w:t>1993</w:t>
            </w:r>
          </w:p>
        </w:tc>
        <w:tc>
          <w:tcPr>
            <w:tcW w:w="1220" w:type="pct"/>
          </w:tcPr>
          <w:p w:rsidR="00000000" w:rsidRDefault="009C1C61">
            <w:pPr>
              <w:pStyle w:val="a2"/>
              <w:tabs>
                <w:tab w:val="decimal" w:pos="1076"/>
              </w:tabs>
              <w:rPr>
                <w:snapToGrid/>
              </w:rPr>
            </w:pPr>
            <w:r>
              <w:rPr>
                <w:snapToGrid/>
              </w:rPr>
              <w:t>127,6</w:t>
            </w:r>
          </w:p>
        </w:tc>
        <w:tc>
          <w:tcPr>
            <w:tcW w:w="1014" w:type="pct"/>
          </w:tcPr>
          <w:p w:rsidR="00000000" w:rsidRDefault="009C1C61">
            <w:pPr>
              <w:pStyle w:val="a2"/>
              <w:tabs>
                <w:tab w:val="decimal" w:pos="1076"/>
              </w:tabs>
              <w:rPr>
                <w:snapToGrid/>
              </w:rPr>
            </w:pPr>
            <w:r>
              <w:rPr>
                <w:snapToGrid/>
              </w:rPr>
              <w:t>5,0</w:t>
            </w:r>
          </w:p>
        </w:tc>
        <w:tc>
          <w:tcPr>
            <w:tcW w:w="1089" w:type="pct"/>
          </w:tcPr>
          <w:p w:rsidR="00000000" w:rsidRDefault="009C1C61">
            <w:pPr>
              <w:pStyle w:val="a2"/>
              <w:tabs>
                <w:tab w:val="decimal" w:pos="1076"/>
              </w:tabs>
              <w:rPr>
                <w:snapToGrid/>
              </w:rPr>
            </w:pPr>
            <w:r>
              <w:rPr>
                <w:snapToGrid/>
              </w:rPr>
              <w:t>116,4</w:t>
            </w:r>
          </w:p>
        </w:tc>
        <w:tc>
          <w:tcPr>
            <w:tcW w:w="1087" w:type="pct"/>
          </w:tcPr>
          <w:p w:rsidR="00000000" w:rsidRDefault="009C1C61">
            <w:pPr>
              <w:pStyle w:val="a2"/>
              <w:tabs>
                <w:tab w:val="decimal" w:pos="1076"/>
              </w:tabs>
              <w:rPr>
                <w:snapToGrid/>
              </w:rPr>
            </w:pPr>
            <w:r>
              <w:rPr>
                <w:snapToGrid/>
              </w:rPr>
              <w:t>4,3</w:t>
            </w:r>
          </w:p>
        </w:tc>
      </w:tr>
      <w:tr w:rsidR="00000000">
        <w:tc>
          <w:tcPr>
            <w:tcW w:w="590" w:type="pct"/>
          </w:tcPr>
          <w:p w:rsidR="00000000" w:rsidRDefault="009C1C61">
            <w:pPr>
              <w:pStyle w:val="a2"/>
              <w:jc w:val="center"/>
              <w:rPr>
                <w:snapToGrid/>
              </w:rPr>
            </w:pPr>
            <w:r>
              <w:rPr>
                <w:snapToGrid/>
              </w:rPr>
              <w:t>1994</w:t>
            </w:r>
          </w:p>
        </w:tc>
        <w:tc>
          <w:tcPr>
            <w:tcW w:w="1220" w:type="pct"/>
          </w:tcPr>
          <w:p w:rsidR="00000000" w:rsidRDefault="009C1C61">
            <w:pPr>
              <w:pStyle w:val="a2"/>
              <w:tabs>
                <w:tab w:val="decimal" w:pos="1076"/>
              </w:tabs>
              <w:rPr>
                <w:snapToGrid/>
              </w:rPr>
            </w:pPr>
            <w:r>
              <w:rPr>
                <w:snapToGrid/>
              </w:rPr>
              <w:t>132,3</w:t>
            </w:r>
          </w:p>
        </w:tc>
        <w:tc>
          <w:tcPr>
            <w:tcW w:w="1014" w:type="pct"/>
          </w:tcPr>
          <w:p w:rsidR="00000000" w:rsidRDefault="009C1C61">
            <w:pPr>
              <w:pStyle w:val="a2"/>
              <w:tabs>
                <w:tab w:val="decimal" w:pos="1076"/>
              </w:tabs>
              <w:rPr>
                <w:snapToGrid/>
              </w:rPr>
            </w:pPr>
            <w:r>
              <w:rPr>
                <w:snapToGrid/>
              </w:rPr>
              <w:t>3,7</w:t>
            </w:r>
          </w:p>
        </w:tc>
        <w:tc>
          <w:tcPr>
            <w:tcW w:w="1089" w:type="pct"/>
          </w:tcPr>
          <w:p w:rsidR="00000000" w:rsidRDefault="009C1C61">
            <w:pPr>
              <w:pStyle w:val="a2"/>
              <w:tabs>
                <w:tab w:val="decimal" w:pos="1076"/>
              </w:tabs>
              <w:rPr>
                <w:snapToGrid/>
              </w:rPr>
            </w:pPr>
            <w:r>
              <w:rPr>
                <w:snapToGrid/>
              </w:rPr>
              <w:t>123,9</w:t>
            </w:r>
          </w:p>
        </w:tc>
        <w:tc>
          <w:tcPr>
            <w:tcW w:w="1087" w:type="pct"/>
          </w:tcPr>
          <w:p w:rsidR="00000000" w:rsidRDefault="009C1C61">
            <w:pPr>
              <w:pStyle w:val="a2"/>
              <w:tabs>
                <w:tab w:val="decimal" w:pos="1076"/>
              </w:tabs>
              <w:rPr>
                <w:snapToGrid/>
              </w:rPr>
            </w:pPr>
            <w:r>
              <w:rPr>
                <w:snapToGrid/>
              </w:rPr>
              <w:t>6,5</w:t>
            </w:r>
          </w:p>
        </w:tc>
      </w:tr>
      <w:tr w:rsidR="00000000">
        <w:tc>
          <w:tcPr>
            <w:tcW w:w="590" w:type="pct"/>
          </w:tcPr>
          <w:p w:rsidR="00000000" w:rsidRDefault="009C1C61">
            <w:pPr>
              <w:pStyle w:val="a2"/>
              <w:jc w:val="center"/>
              <w:rPr>
                <w:snapToGrid/>
              </w:rPr>
            </w:pPr>
            <w:r>
              <w:rPr>
                <w:snapToGrid/>
              </w:rPr>
              <w:t>1995</w:t>
            </w:r>
          </w:p>
        </w:tc>
        <w:tc>
          <w:tcPr>
            <w:tcW w:w="1220" w:type="pct"/>
          </w:tcPr>
          <w:p w:rsidR="00000000" w:rsidRDefault="009C1C61">
            <w:pPr>
              <w:pStyle w:val="a2"/>
              <w:tabs>
                <w:tab w:val="decimal" w:pos="1076"/>
              </w:tabs>
              <w:rPr>
                <w:snapToGrid/>
              </w:rPr>
            </w:pPr>
            <w:r>
              <w:rPr>
                <w:snapToGrid/>
              </w:rPr>
              <w:t>138,3</w:t>
            </w:r>
          </w:p>
        </w:tc>
        <w:tc>
          <w:tcPr>
            <w:tcW w:w="1014" w:type="pct"/>
          </w:tcPr>
          <w:p w:rsidR="00000000" w:rsidRDefault="009C1C61">
            <w:pPr>
              <w:pStyle w:val="a2"/>
              <w:tabs>
                <w:tab w:val="decimal" w:pos="1076"/>
              </w:tabs>
              <w:rPr>
                <w:snapToGrid/>
              </w:rPr>
            </w:pPr>
            <w:r>
              <w:rPr>
                <w:snapToGrid/>
              </w:rPr>
              <w:t>4,5</w:t>
            </w:r>
          </w:p>
        </w:tc>
        <w:tc>
          <w:tcPr>
            <w:tcW w:w="1089" w:type="pct"/>
          </w:tcPr>
          <w:p w:rsidR="00000000" w:rsidRDefault="009C1C61">
            <w:pPr>
              <w:pStyle w:val="a2"/>
              <w:tabs>
                <w:tab w:val="decimal" w:pos="1076"/>
              </w:tabs>
              <w:rPr>
                <w:snapToGrid/>
              </w:rPr>
            </w:pPr>
            <w:r>
              <w:rPr>
                <w:snapToGrid/>
              </w:rPr>
              <w:t>129,8</w:t>
            </w:r>
          </w:p>
        </w:tc>
        <w:tc>
          <w:tcPr>
            <w:tcW w:w="1087" w:type="pct"/>
          </w:tcPr>
          <w:p w:rsidR="00000000" w:rsidRDefault="009C1C61">
            <w:pPr>
              <w:pStyle w:val="a2"/>
              <w:tabs>
                <w:tab w:val="decimal" w:pos="1076"/>
              </w:tabs>
              <w:rPr>
                <w:snapToGrid/>
              </w:rPr>
            </w:pPr>
            <w:r>
              <w:rPr>
                <w:snapToGrid/>
              </w:rPr>
              <w:t>4,8</w:t>
            </w:r>
          </w:p>
        </w:tc>
      </w:tr>
      <w:tr w:rsidR="00000000">
        <w:tc>
          <w:tcPr>
            <w:tcW w:w="590" w:type="pct"/>
          </w:tcPr>
          <w:p w:rsidR="00000000" w:rsidRDefault="009C1C61">
            <w:pPr>
              <w:pStyle w:val="a2"/>
              <w:jc w:val="center"/>
              <w:rPr>
                <w:snapToGrid/>
              </w:rPr>
            </w:pPr>
            <w:r>
              <w:rPr>
                <w:snapToGrid/>
              </w:rPr>
              <w:t>1995</w:t>
            </w:r>
          </w:p>
        </w:tc>
        <w:tc>
          <w:tcPr>
            <w:tcW w:w="1220" w:type="pct"/>
          </w:tcPr>
          <w:p w:rsidR="00000000" w:rsidRDefault="009C1C61">
            <w:pPr>
              <w:pStyle w:val="a2"/>
              <w:tabs>
                <w:tab w:val="decimal" w:pos="1076"/>
              </w:tabs>
              <w:rPr>
                <w:snapToGrid/>
              </w:rPr>
            </w:pPr>
            <w:r>
              <w:rPr>
                <w:snapToGrid/>
              </w:rPr>
              <w:t>144,1</w:t>
            </w:r>
          </w:p>
        </w:tc>
        <w:tc>
          <w:tcPr>
            <w:tcW w:w="1014" w:type="pct"/>
          </w:tcPr>
          <w:p w:rsidR="00000000" w:rsidRDefault="009C1C61">
            <w:pPr>
              <w:pStyle w:val="a2"/>
              <w:tabs>
                <w:tab w:val="decimal" w:pos="1076"/>
              </w:tabs>
              <w:rPr>
                <w:snapToGrid/>
              </w:rPr>
            </w:pPr>
            <w:r>
              <w:rPr>
                <w:snapToGrid/>
              </w:rPr>
              <w:t>4,2</w:t>
            </w:r>
          </w:p>
        </w:tc>
        <w:tc>
          <w:tcPr>
            <w:tcW w:w="1089" w:type="pct"/>
          </w:tcPr>
          <w:p w:rsidR="00000000" w:rsidRDefault="009C1C61">
            <w:pPr>
              <w:pStyle w:val="a2"/>
              <w:tabs>
                <w:tab w:val="decimal" w:pos="1076"/>
              </w:tabs>
              <w:rPr>
                <w:snapToGrid/>
              </w:rPr>
            </w:pPr>
            <w:r>
              <w:rPr>
                <w:snapToGrid/>
              </w:rPr>
              <w:t>135,3</w:t>
            </w:r>
          </w:p>
        </w:tc>
        <w:tc>
          <w:tcPr>
            <w:tcW w:w="1087" w:type="pct"/>
          </w:tcPr>
          <w:p w:rsidR="00000000" w:rsidRDefault="009C1C61">
            <w:pPr>
              <w:pStyle w:val="a2"/>
              <w:tabs>
                <w:tab w:val="decimal" w:pos="1076"/>
              </w:tabs>
              <w:rPr>
                <w:snapToGrid/>
              </w:rPr>
            </w:pPr>
            <w:r>
              <w:rPr>
                <w:snapToGrid/>
              </w:rPr>
              <w:t>4,2</w:t>
            </w:r>
          </w:p>
        </w:tc>
      </w:tr>
      <w:tr w:rsidR="00000000">
        <w:tc>
          <w:tcPr>
            <w:tcW w:w="590" w:type="pct"/>
          </w:tcPr>
          <w:p w:rsidR="00000000" w:rsidRDefault="009C1C61">
            <w:pPr>
              <w:pStyle w:val="a2"/>
              <w:jc w:val="center"/>
              <w:rPr>
                <w:snapToGrid/>
              </w:rPr>
            </w:pPr>
            <w:r>
              <w:rPr>
                <w:snapToGrid/>
              </w:rPr>
              <w:t>1997</w:t>
            </w:r>
          </w:p>
        </w:tc>
        <w:tc>
          <w:tcPr>
            <w:tcW w:w="1220" w:type="pct"/>
          </w:tcPr>
          <w:p w:rsidR="00000000" w:rsidRDefault="009C1C61">
            <w:pPr>
              <w:pStyle w:val="a2"/>
              <w:tabs>
                <w:tab w:val="decimal" w:pos="1076"/>
              </w:tabs>
              <w:rPr>
                <w:snapToGrid/>
              </w:rPr>
            </w:pPr>
            <w:r>
              <w:rPr>
                <w:snapToGrid/>
              </w:rPr>
              <w:t>149,2</w:t>
            </w:r>
          </w:p>
        </w:tc>
        <w:tc>
          <w:tcPr>
            <w:tcW w:w="1014" w:type="pct"/>
          </w:tcPr>
          <w:p w:rsidR="00000000" w:rsidRDefault="009C1C61">
            <w:pPr>
              <w:pStyle w:val="a2"/>
              <w:tabs>
                <w:tab w:val="decimal" w:pos="1076"/>
              </w:tabs>
              <w:rPr>
                <w:snapToGrid/>
              </w:rPr>
            </w:pPr>
            <w:r>
              <w:rPr>
                <w:snapToGrid/>
              </w:rPr>
              <w:t>3,5</w:t>
            </w:r>
          </w:p>
        </w:tc>
        <w:tc>
          <w:tcPr>
            <w:tcW w:w="1089" w:type="pct"/>
          </w:tcPr>
          <w:p w:rsidR="00000000" w:rsidRDefault="009C1C61">
            <w:pPr>
              <w:pStyle w:val="a2"/>
              <w:tabs>
                <w:tab w:val="decimal" w:pos="1076"/>
              </w:tabs>
              <w:rPr>
                <w:snapToGrid/>
              </w:rPr>
            </w:pPr>
            <w:r>
              <w:rPr>
                <w:snapToGrid/>
              </w:rPr>
              <w:t>138,9</w:t>
            </w:r>
          </w:p>
        </w:tc>
        <w:tc>
          <w:tcPr>
            <w:tcW w:w="1087" w:type="pct"/>
          </w:tcPr>
          <w:p w:rsidR="00000000" w:rsidRDefault="009C1C61">
            <w:pPr>
              <w:pStyle w:val="a2"/>
              <w:tabs>
                <w:tab w:val="decimal" w:pos="1076"/>
              </w:tabs>
              <w:rPr>
                <w:snapToGrid/>
              </w:rPr>
            </w:pPr>
            <w:r>
              <w:rPr>
                <w:snapToGrid/>
              </w:rPr>
              <w:t>2,7</w:t>
            </w:r>
          </w:p>
        </w:tc>
      </w:tr>
      <w:tr w:rsidR="00000000">
        <w:tc>
          <w:tcPr>
            <w:tcW w:w="590" w:type="pct"/>
          </w:tcPr>
          <w:p w:rsidR="00000000" w:rsidRDefault="009C1C61">
            <w:pPr>
              <w:pStyle w:val="a2"/>
              <w:jc w:val="center"/>
              <w:rPr>
                <w:snapToGrid/>
              </w:rPr>
            </w:pPr>
            <w:r>
              <w:rPr>
                <w:snapToGrid/>
              </w:rPr>
              <w:t>1998</w:t>
            </w:r>
          </w:p>
        </w:tc>
        <w:tc>
          <w:tcPr>
            <w:tcW w:w="1220" w:type="pct"/>
          </w:tcPr>
          <w:p w:rsidR="00000000" w:rsidRDefault="009C1C61">
            <w:pPr>
              <w:pStyle w:val="a2"/>
              <w:tabs>
                <w:tab w:val="decimal" w:pos="1076"/>
              </w:tabs>
              <w:rPr>
                <w:snapToGrid/>
              </w:rPr>
            </w:pPr>
            <w:r>
              <w:rPr>
                <w:snapToGrid/>
              </w:rPr>
              <w:t>157,92</w:t>
            </w:r>
          </w:p>
        </w:tc>
        <w:tc>
          <w:tcPr>
            <w:tcW w:w="1014" w:type="pct"/>
          </w:tcPr>
          <w:p w:rsidR="00000000" w:rsidRDefault="009C1C61">
            <w:pPr>
              <w:pStyle w:val="a2"/>
              <w:tabs>
                <w:tab w:val="decimal" w:pos="1076"/>
              </w:tabs>
              <w:rPr>
                <w:snapToGrid/>
              </w:rPr>
            </w:pPr>
            <w:r>
              <w:rPr>
                <w:snapToGrid/>
              </w:rPr>
              <w:t>5,86</w:t>
            </w:r>
          </w:p>
        </w:tc>
        <w:tc>
          <w:tcPr>
            <w:tcW w:w="1089" w:type="pct"/>
          </w:tcPr>
          <w:p w:rsidR="00000000" w:rsidRDefault="009C1C61">
            <w:pPr>
              <w:pStyle w:val="a2"/>
              <w:tabs>
                <w:tab w:val="decimal" w:pos="1076"/>
              </w:tabs>
              <w:rPr>
                <w:snapToGrid/>
              </w:rPr>
            </w:pPr>
            <w:r>
              <w:rPr>
                <w:snapToGrid/>
              </w:rPr>
              <w:t>142,2</w:t>
            </w:r>
          </w:p>
        </w:tc>
        <w:tc>
          <w:tcPr>
            <w:tcW w:w="1087" w:type="pct"/>
          </w:tcPr>
          <w:p w:rsidR="00000000" w:rsidRDefault="009C1C61">
            <w:pPr>
              <w:pStyle w:val="a2"/>
              <w:tabs>
                <w:tab w:val="decimal" w:pos="1076"/>
              </w:tabs>
              <w:rPr>
                <w:snapToGrid/>
              </w:rPr>
            </w:pPr>
            <w:r>
              <w:rPr>
                <w:snapToGrid/>
              </w:rPr>
              <w:t>2,4</w:t>
            </w:r>
          </w:p>
        </w:tc>
      </w:tr>
      <w:tr w:rsidR="00000000">
        <w:tc>
          <w:tcPr>
            <w:tcW w:w="590" w:type="pct"/>
          </w:tcPr>
          <w:p w:rsidR="00000000" w:rsidRDefault="009C1C61">
            <w:pPr>
              <w:pStyle w:val="a2"/>
              <w:jc w:val="center"/>
              <w:rPr>
                <w:snapToGrid/>
              </w:rPr>
            </w:pPr>
            <w:r>
              <w:rPr>
                <w:snapToGrid/>
              </w:rPr>
              <w:t>1999</w:t>
            </w:r>
          </w:p>
        </w:tc>
        <w:tc>
          <w:tcPr>
            <w:tcW w:w="1220" w:type="pct"/>
          </w:tcPr>
          <w:p w:rsidR="00000000" w:rsidRDefault="009C1C61">
            <w:pPr>
              <w:pStyle w:val="a2"/>
              <w:tabs>
                <w:tab w:val="decimal" w:pos="1076"/>
              </w:tabs>
              <w:rPr>
                <w:snapToGrid/>
              </w:rPr>
            </w:pPr>
            <w:r>
              <w:rPr>
                <w:snapToGrid/>
              </w:rPr>
              <w:t>171,99</w:t>
            </w:r>
          </w:p>
        </w:tc>
        <w:tc>
          <w:tcPr>
            <w:tcW w:w="1014" w:type="pct"/>
          </w:tcPr>
          <w:p w:rsidR="00000000" w:rsidRDefault="009C1C61">
            <w:pPr>
              <w:pStyle w:val="a2"/>
              <w:tabs>
                <w:tab w:val="decimal" w:pos="1076"/>
              </w:tabs>
              <w:rPr>
                <w:snapToGrid/>
              </w:rPr>
            </w:pPr>
            <w:r>
              <w:rPr>
                <w:snapToGrid/>
              </w:rPr>
              <w:t>8,91</w:t>
            </w:r>
          </w:p>
        </w:tc>
        <w:tc>
          <w:tcPr>
            <w:tcW w:w="1089" w:type="pct"/>
          </w:tcPr>
          <w:p w:rsidR="00000000" w:rsidRDefault="009C1C61">
            <w:pPr>
              <w:pStyle w:val="a2"/>
              <w:tabs>
                <w:tab w:val="decimal" w:pos="1076"/>
              </w:tabs>
              <w:rPr>
                <w:snapToGrid/>
              </w:rPr>
            </w:pPr>
            <w:r>
              <w:rPr>
                <w:snapToGrid/>
              </w:rPr>
              <w:t>145,6</w:t>
            </w:r>
          </w:p>
        </w:tc>
        <w:tc>
          <w:tcPr>
            <w:tcW w:w="1087" w:type="pct"/>
          </w:tcPr>
          <w:p w:rsidR="00000000" w:rsidRDefault="009C1C61">
            <w:pPr>
              <w:pStyle w:val="a2"/>
              <w:tabs>
                <w:tab w:val="decimal" w:pos="1076"/>
              </w:tabs>
              <w:rPr>
                <w:snapToGrid/>
              </w:rPr>
            </w:pPr>
            <w:r>
              <w:rPr>
                <w:snapToGrid/>
              </w:rPr>
              <w:t>2,4</w:t>
            </w:r>
          </w:p>
        </w:tc>
      </w:tr>
      <w:tr w:rsidR="00000000">
        <w:tc>
          <w:tcPr>
            <w:tcW w:w="590" w:type="pct"/>
          </w:tcPr>
          <w:p w:rsidR="00000000" w:rsidRDefault="009C1C61">
            <w:pPr>
              <w:pStyle w:val="a2"/>
              <w:jc w:val="center"/>
              <w:rPr>
                <w:snapToGrid/>
              </w:rPr>
            </w:pPr>
            <w:r>
              <w:rPr>
                <w:snapToGrid/>
              </w:rPr>
              <w:t>2000</w:t>
            </w:r>
          </w:p>
        </w:tc>
        <w:tc>
          <w:tcPr>
            <w:tcW w:w="1220" w:type="pct"/>
          </w:tcPr>
          <w:p w:rsidR="00000000" w:rsidRDefault="009C1C61">
            <w:pPr>
              <w:pStyle w:val="a2"/>
              <w:tabs>
                <w:tab w:val="decimal" w:pos="1076"/>
              </w:tabs>
              <w:rPr>
                <w:snapToGrid/>
              </w:rPr>
            </w:pPr>
            <w:r>
              <w:rPr>
                <w:snapToGrid/>
              </w:rPr>
              <w:t>184,</w:t>
            </w:r>
            <w:r>
              <w:rPr>
                <w:snapToGrid/>
              </w:rPr>
              <w:t>25</w:t>
            </w:r>
          </w:p>
        </w:tc>
        <w:tc>
          <w:tcPr>
            <w:tcW w:w="1014" w:type="pct"/>
          </w:tcPr>
          <w:p w:rsidR="00000000" w:rsidRDefault="009C1C61">
            <w:pPr>
              <w:pStyle w:val="a2"/>
              <w:tabs>
                <w:tab w:val="decimal" w:pos="1076"/>
              </w:tabs>
              <w:rPr>
                <w:snapToGrid/>
              </w:rPr>
            </w:pPr>
            <w:r>
              <w:rPr>
                <w:snapToGrid/>
              </w:rPr>
              <w:t>7,13</w:t>
            </w:r>
          </w:p>
        </w:tc>
        <w:tc>
          <w:tcPr>
            <w:tcW w:w="1089" w:type="pct"/>
          </w:tcPr>
          <w:p w:rsidR="00000000" w:rsidRDefault="009C1C61">
            <w:pPr>
              <w:pStyle w:val="a2"/>
              <w:tabs>
                <w:tab w:val="decimal" w:pos="1076"/>
              </w:tabs>
              <w:rPr>
                <w:snapToGrid/>
              </w:rPr>
            </w:pPr>
            <w:r>
              <w:rPr>
                <w:snapToGrid/>
              </w:rPr>
              <w:t>147,7</w:t>
            </w:r>
          </w:p>
        </w:tc>
        <w:tc>
          <w:tcPr>
            <w:tcW w:w="1087" w:type="pct"/>
          </w:tcPr>
          <w:p w:rsidR="00000000" w:rsidRDefault="009C1C61">
            <w:pPr>
              <w:pStyle w:val="a2"/>
              <w:tabs>
                <w:tab w:val="decimal" w:pos="1076"/>
              </w:tabs>
              <w:rPr>
                <w:snapToGrid/>
              </w:rPr>
            </w:pPr>
            <w:r>
              <w:rPr>
                <w:snapToGrid/>
              </w:rPr>
              <w:t>1,4</w:t>
            </w:r>
          </w:p>
        </w:tc>
      </w:tr>
    </w:tbl>
    <w:p w:rsidR="00000000" w:rsidRDefault="009C1C61">
      <w:pPr>
        <w:spacing w:before="120" w:after="120"/>
        <w:rPr>
          <w:rFonts w:hint="eastAsia"/>
          <w:snapToGrid/>
          <w:sz w:val="22"/>
        </w:rPr>
      </w:pPr>
      <w:r>
        <w:rPr>
          <w:rFonts w:eastAsia="KaiTi_GB2312" w:hint="eastAsia"/>
          <w:snapToGrid/>
          <w:spacing w:val="0"/>
          <w:sz w:val="22"/>
        </w:rPr>
        <w:tab/>
      </w:r>
      <w:r>
        <w:rPr>
          <w:rFonts w:eastAsia="KaiTi_GB2312" w:hint="eastAsia"/>
          <w:snapToGrid/>
          <w:spacing w:val="0"/>
          <w:u w:val="single"/>
        </w:rPr>
        <w:t>资料来源</w:t>
      </w:r>
      <w:r>
        <w:rPr>
          <w:rFonts w:eastAsia="KaiTi_GB2312" w:hint="eastAsia"/>
          <w:snapToGrid/>
          <w:spacing w:val="0"/>
        </w:rPr>
        <w:t>：中央银行、国家统计局“</w:t>
      </w:r>
      <w:r>
        <w:rPr>
          <w:rFonts w:eastAsia="KaiTi_GB2312"/>
          <w:snapToGrid/>
          <w:spacing w:val="0"/>
        </w:rPr>
        <w:t>1990</w:t>
      </w:r>
      <w:r>
        <w:rPr>
          <w:rFonts w:eastAsia="KaiTi_GB2312"/>
          <w:snapToGrid/>
          <w:spacing w:val="0"/>
        </w:rPr>
        <w:t>至</w:t>
      </w:r>
      <w:r>
        <w:rPr>
          <w:rFonts w:eastAsia="KaiTi_GB2312"/>
          <w:snapToGrid/>
          <w:spacing w:val="0"/>
        </w:rPr>
        <w:t>2000</w:t>
      </w:r>
      <w:r>
        <w:rPr>
          <w:rFonts w:eastAsia="KaiTi_GB2312"/>
          <w:snapToGrid/>
          <w:spacing w:val="0"/>
        </w:rPr>
        <w:t>年经济与社会指</w:t>
      </w:r>
      <w:r>
        <w:rPr>
          <w:rFonts w:eastAsia="KaiTi_GB2312" w:hint="eastAsia"/>
          <w:snapToGrid/>
          <w:spacing w:val="0"/>
        </w:rPr>
        <w:t>标”</w:t>
      </w:r>
      <w:r>
        <w:rPr>
          <w:rFonts w:eastAsia="KaiTi_GB2312"/>
          <w:snapToGrid/>
          <w:spacing w:val="0"/>
        </w:rPr>
        <w:t>(</w:t>
      </w:r>
      <w:r>
        <w:rPr>
          <w:rFonts w:eastAsia="KaiTi_GB2312" w:hint="eastAsia"/>
          <w:snapToGrid/>
          <w:spacing w:val="0"/>
        </w:rPr>
        <w:t>规合部</w:t>
      </w:r>
      <w:r>
        <w:rPr>
          <w:rFonts w:eastAsia="KaiTi_GB2312" w:hint="eastAsia"/>
          <w:snapToGrid/>
          <w:spacing w:val="0"/>
        </w:rPr>
        <w:t>)</w:t>
      </w:r>
      <w:r>
        <w:rPr>
          <w:snapToGrid/>
          <w:sz w:val="22"/>
        </w:rPr>
        <w:t>。</w:t>
      </w:r>
    </w:p>
    <w:p w:rsidR="00000000" w:rsidRDefault="009C1C61">
      <w:pPr>
        <w:spacing w:after="240"/>
        <w:rPr>
          <w:rFonts w:hint="eastAsia"/>
          <w:snapToGrid/>
        </w:rPr>
      </w:pPr>
      <w:r>
        <w:rPr>
          <w:rFonts w:hint="eastAsia"/>
          <w:snapToGrid/>
        </w:rPr>
        <w:tab/>
      </w:r>
      <w:r>
        <w:rPr>
          <w:snapToGrid/>
        </w:rPr>
        <w:t>1993</w:t>
      </w:r>
      <w:r>
        <w:rPr>
          <w:snapToGrid/>
        </w:rPr>
        <w:t>年</w:t>
      </w:r>
      <w:r>
        <w:rPr>
          <w:rFonts w:hint="eastAsia"/>
          <w:snapToGrid/>
        </w:rPr>
        <w:t>4</w:t>
      </w:r>
      <w:r>
        <w:rPr>
          <w:snapToGrid/>
        </w:rPr>
        <w:t>月，当时</w:t>
      </w:r>
      <w:r>
        <w:rPr>
          <w:rFonts w:hint="eastAsia"/>
          <w:snapToGrid/>
        </w:rPr>
        <w:t>运用</w:t>
      </w:r>
      <w:r>
        <w:rPr>
          <w:snapToGrid/>
        </w:rPr>
        <w:t>的收入指数根据新的收入统计</w:t>
      </w:r>
      <w:r>
        <w:rPr>
          <w:rFonts w:hint="eastAsia"/>
          <w:snapToGrid/>
        </w:rPr>
        <w:t>法换成</w:t>
      </w:r>
      <w:r>
        <w:rPr>
          <w:snapToGrid/>
        </w:rPr>
        <w:t>另一</w:t>
      </w:r>
      <w:r>
        <w:rPr>
          <w:rFonts w:hint="eastAsia"/>
          <w:snapToGrid/>
        </w:rPr>
        <w:t>个</w:t>
      </w:r>
      <w:r>
        <w:rPr>
          <w:snapToGrid/>
        </w:rPr>
        <w:t>指数；因此后期的数字</w:t>
      </w:r>
      <w:r>
        <w:rPr>
          <w:rFonts w:hint="eastAsia"/>
          <w:snapToGrid/>
        </w:rPr>
        <w:t>严格地说与</w:t>
      </w:r>
      <w:r>
        <w:rPr>
          <w:snapToGrid/>
        </w:rPr>
        <w:t>前期的数字</w:t>
      </w:r>
      <w:r>
        <w:rPr>
          <w:rFonts w:hint="eastAsia"/>
          <w:snapToGrid/>
        </w:rPr>
        <w:t>缺乏可比性</w:t>
      </w:r>
      <w:r>
        <w:rPr>
          <w:snapToGrid/>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同工不同酬，尤其是妇女的工作条件不如男人</w:t>
      </w:r>
    </w:p>
    <w:p w:rsidR="00000000" w:rsidRDefault="009C1C61">
      <w:r>
        <w:rPr>
          <w:rFonts w:hint="eastAsia"/>
        </w:rPr>
        <w:tab/>
      </w:r>
      <w:r>
        <w:t>208.</w:t>
      </w:r>
      <w:r>
        <w:rPr>
          <w:rFonts w:hint="eastAsia"/>
        </w:rPr>
        <w:t xml:space="preserve">  </w:t>
      </w:r>
      <w:r>
        <w:t>关于</w:t>
      </w:r>
      <w:r>
        <w:rPr>
          <w:rFonts w:hint="eastAsia"/>
        </w:rPr>
        <w:t>提交</w:t>
      </w:r>
      <w:r>
        <w:t>劳工组织</w:t>
      </w:r>
      <w:r>
        <w:rPr>
          <w:rFonts w:hint="eastAsia"/>
        </w:rPr>
        <w:t>的介绍同</w:t>
      </w:r>
      <w:r>
        <w:t>等报酬</w:t>
      </w:r>
      <w:r>
        <w:rPr>
          <w:rFonts w:hint="eastAsia"/>
        </w:rPr>
        <w:t>情况的资料</w:t>
      </w:r>
      <w:r>
        <w:t>，</w:t>
      </w:r>
      <w:r>
        <w:rPr>
          <w:rFonts w:hint="eastAsia"/>
        </w:rPr>
        <w:t>可</w:t>
      </w:r>
      <w:r>
        <w:t>参阅智利政府就</w:t>
      </w:r>
      <w:r>
        <w:t>1951</w:t>
      </w:r>
      <w:r>
        <w:t>年《</w:t>
      </w:r>
      <w:r>
        <w:rPr>
          <w:rFonts w:hint="eastAsia"/>
        </w:rPr>
        <w:t>同</w:t>
      </w:r>
      <w:r>
        <w:t>酬公约》</w:t>
      </w:r>
      <w:r>
        <w:t>(</w:t>
      </w:r>
      <w:r>
        <w:t>第</w:t>
      </w:r>
      <w:r>
        <w:t>100</w:t>
      </w:r>
      <w:r>
        <w:t>号</w:t>
      </w:r>
      <w:r>
        <w:t>)</w:t>
      </w:r>
      <w:r>
        <w:t>提交的各</w:t>
      </w:r>
      <w:r>
        <w:rPr>
          <w:rFonts w:hint="eastAsia"/>
        </w:rPr>
        <w:t>份</w:t>
      </w:r>
      <w:r>
        <w:t>报告。这些报告</w:t>
      </w:r>
      <w:r>
        <w:rPr>
          <w:rFonts w:hint="eastAsia"/>
        </w:rPr>
        <w:t>汇报了</w:t>
      </w:r>
      <w:r>
        <w:t>：</w:t>
      </w:r>
      <w:r>
        <w:t>1989</w:t>
      </w:r>
      <w:r>
        <w:t>年</w:t>
      </w:r>
      <w:r>
        <w:rPr>
          <w:rFonts w:hint="eastAsia"/>
        </w:rPr>
        <w:t>7</w:t>
      </w:r>
      <w:r>
        <w:t>月</w:t>
      </w:r>
      <w:r>
        <w:t>1</w:t>
      </w:r>
      <w:r>
        <w:t>日至</w:t>
      </w:r>
      <w:r>
        <w:t>1991</w:t>
      </w:r>
      <w:r>
        <w:t>年</w:t>
      </w:r>
      <w:r>
        <w:t>6</w:t>
      </w:r>
      <w:r>
        <w:t>月</w:t>
      </w:r>
      <w:r>
        <w:t>30</w:t>
      </w:r>
      <w:r>
        <w:t>日；</w:t>
      </w:r>
      <w:r>
        <w:t>1991</w:t>
      </w:r>
      <w:r>
        <w:t>年</w:t>
      </w:r>
      <w:r>
        <w:t>7</w:t>
      </w:r>
      <w:r>
        <w:t>月</w:t>
      </w:r>
      <w:r>
        <w:t>1</w:t>
      </w:r>
      <w:r>
        <w:t>日至</w:t>
      </w:r>
      <w:r>
        <w:t>1993</w:t>
      </w:r>
      <w:r>
        <w:t>年</w:t>
      </w:r>
      <w:r>
        <w:t>6</w:t>
      </w:r>
      <w:r>
        <w:t>月</w:t>
      </w:r>
      <w:r>
        <w:t>30</w:t>
      </w:r>
      <w:r>
        <w:t>日；</w:t>
      </w:r>
      <w:r>
        <w:t>1993</w:t>
      </w:r>
      <w:r>
        <w:t>年</w:t>
      </w:r>
      <w:r>
        <w:t>7</w:t>
      </w:r>
      <w:r>
        <w:t>月</w:t>
      </w:r>
      <w:r>
        <w:t>1</w:t>
      </w:r>
      <w:r>
        <w:t>日至</w:t>
      </w:r>
      <w:r>
        <w:t>1996</w:t>
      </w:r>
      <w:r>
        <w:t>年</w:t>
      </w:r>
      <w:r>
        <w:t>6</w:t>
      </w:r>
      <w:r>
        <w:t>月</w:t>
      </w:r>
      <w:r>
        <w:t>30</w:t>
      </w:r>
      <w:r>
        <w:t>日；和</w:t>
      </w:r>
      <w:r>
        <w:t>1</w:t>
      </w:r>
      <w:r>
        <w:t>996</w:t>
      </w:r>
      <w:r>
        <w:t>年</w:t>
      </w:r>
      <w:r>
        <w:t>7</w:t>
      </w:r>
      <w:r>
        <w:t>月</w:t>
      </w:r>
      <w:r>
        <w:t>1</w:t>
      </w:r>
      <w:r>
        <w:t>日至</w:t>
      </w:r>
      <w:r>
        <w:t>1998</w:t>
      </w:r>
      <w:r>
        <w:t>年</w:t>
      </w:r>
      <w:r>
        <w:t>6</w:t>
      </w:r>
      <w:r>
        <w:t>月</w:t>
      </w:r>
      <w:r>
        <w:t>30</w:t>
      </w:r>
      <w:r>
        <w:t>日</w:t>
      </w:r>
      <w:r>
        <w:rPr>
          <w:rFonts w:hint="eastAsia"/>
        </w:rPr>
        <w:t>的情况</w:t>
      </w:r>
      <w:r>
        <w:t>。</w:t>
      </w:r>
    </w:p>
    <w:p w:rsidR="00000000" w:rsidRDefault="009C1C61">
      <w:r>
        <w:rPr>
          <w:rFonts w:hint="eastAsia"/>
        </w:rPr>
        <w:tab/>
      </w:r>
      <w:r>
        <w:t>209.</w:t>
      </w:r>
      <w:r>
        <w:rPr>
          <w:rFonts w:hint="eastAsia"/>
        </w:rPr>
        <w:t xml:space="preserve">  </w:t>
      </w:r>
      <w:r>
        <w:t>虽然男女报酬之间肯定存在着不平等状况，女性平均收入与男性平均收入的</w:t>
      </w:r>
      <w:r>
        <w:rPr>
          <w:rFonts w:hint="eastAsia"/>
        </w:rPr>
        <w:t>的百分比之比，于</w:t>
      </w:r>
      <w:r>
        <w:t>以往十年间从</w:t>
      </w:r>
      <w:r>
        <w:t>1990</w:t>
      </w:r>
      <w:r>
        <w:t>年的</w:t>
      </w:r>
      <w:r>
        <w:t>64.5%</w:t>
      </w:r>
      <w:r>
        <w:t>提高到</w:t>
      </w:r>
      <w:r>
        <w:t>1998</w:t>
      </w:r>
      <w:r>
        <w:t>年</w:t>
      </w:r>
      <w:r>
        <w:rPr>
          <w:rFonts w:hint="eastAsia"/>
        </w:rPr>
        <w:t>的</w:t>
      </w:r>
      <w:r>
        <w:t>70.9%</w:t>
      </w:r>
      <w:r>
        <w:t>。</w:t>
      </w:r>
      <w:r>
        <w:rPr>
          <w:rFonts w:hint="eastAsia"/>
        </w:rPr>
        <w:t>这个</w:t>
      </w:r>
      <w:r>
        <w:t>百分比</w:t>
      </w:r>
      <w:r>
        <w:rPr>
          <w:rFonts w:hint="eastAsia"/>
        </w:rPr>
        <w:t>随教育水平的高低而有所不同。若将没有接受过任何正式教育的男女两组进行比较，其间的差距最小</w:t>
      </w:r>
      <w:r>
        <w:rPr>
          <w:rFonts w:hint="eastAsia"/>
        </w:rPr>
        <w:t>(</w:t>
      </w:r>
      <w:r>
        <w:t>1990</w:t>
      </w:r>
      <w:r>
        <w:t>年</w:t>
      </w:r>
      <w:r>
        <w:t>84.0%</w:t>
      </w:r>
      <w:r>
        <w:rPr>
          <w:rFonts w:hint="eastAsia"/>
        </w:rPr>
        <w:t>；</w:t>
      </w:r>
      <w:r>
        <w:t>1998</w:t>
      </w:r>
      <w:r>
        <w:t>年</w:t>
      </w:r>
      <w:r>
        <w:t>72.3%)</w:t>
      </w:r>
      <w:r>
        <w:t>。</w:t>
      </w:r>
      <w:r>
        <w:rPr>
          <w:rFonts w:hint="eastAsia"/>
        </w:rPr>
        <w:t>收入差距</w:t>
      </w:r>
      <w:r>
        <w:t>随着教育程度的提高</w:t>
      </w:r>
      <w:r>
        <w:rPr>
          <w:rFonts w:hint="eastAsia"/>
        </w:rPr>
        <w:t>增大</w:t>
      </w:r>
      <w:r>
        <w:t>。若将拥有技校、高等学院或大学教育的男女之间报酬进行比较，</w:t>
      </w:r>
      <w:r>
        <w:rPr>
          <w:rFonts w:hint="eastAsia"/>
        </w:rPr>
        <w:t>显现出</w:t>
      </w:r>
      <w:r>
        <w:t>的差别最大</w:t>
      </w:r>
      <w:r>
        <w:t>(1990</w:t>
      </w:r>
      <w:r>
        <w:t>年</w:t>
      </w:r>
      <w:r>
        <w:t>41.7%</w:t>
      </w:r>
      <w:r>
        <w:rPr>
          <w:rFonts w:hint="eastAsia"/>
        </w:rPr>
        <w:t>；</w:t>
      </w:r>
      <w:r>
        <w:t>1998</w:t>
      </w:r>
      <w:r>
        <w:t>年</w:t>
      </w:r>
      <w:r>
        <w:t>65.1%)</w:t>
      </w:r>
      <w:r>
        <w:t>。</w:t>
      </w:r>
    </w:p>
    <w:p w:rsidR="00000000" w:rsidRDefault="009C1C61">
      <w:pPr>
        <w:pStyle w:val="cdL1"/>
        <w:widowControl/>
        <w:tabs>
          <w:tab w:val="clear" w:pos="510"/>
        </w:tabs>
        <w:spacing w:after="240"/>
        <w:rPr>
          <w:spacing w:val="10"/>
        </w:rPr>
      </w:pPr>
      <w:r>
        <w:rPr>
          <w:rFonts w:hint="eastAsia"/>
          <w:spacing w:val="10"/>
        </w:rPr>
        <w:tab/>
      </w:r>
      <w:r>
        <w:rPr>
          <w:spacing w:val="10"/>
        </w:rPr>
        <w:t>2</w:t>
      </w:r>
      <w:r>
        <w:rPr>
          <w:spacing w:val="10"/>
        </w:rPr>
        <w:t>10.</w:t>
      </w:r>
      <w:r>
        <w:rPr>
          <w:rFonts w:hint="eastAsia"/>
          <w:spacing w:val="10"/>
        </w:rPr>
        <w:t xml:space="preserve">  </w:t>
      </w:r>
      <w:r>
        <w:rPr>
          <w:spacing w:val="10"/>
        </w:rPr>
        <w:t>没有关于同工同酬的统计数字</w:t>
      </w:r>
    </w:p>
    <w:p w:rsidR="00000000" w:rsidRDefault="009C1C61">
      <w:pPr>
        <w:pStyle w:val="Heading4"/>
        <w:rPr>
          <w:rFonts w:ascii="Time New Roman" w:eastAsia="SimHei" w:hAnsi="Time New Roman"/>
          <w:u w:val="none"/>
        </w:rPr>
      </w:pPr>
      <w:r>
        <w:rPr>
          <w:rFonts w:ascii="Time New Roman" w:eastAsia="SimHei" w:hAnsi="Time New Roman" w:hint="eastAsia"/>
          <w:u w:val="none"/>
        </w:rPr>
        <w:t>经核准促进对各工种根据所做工作进行客观评估的办法</w:t>
      </w:r>
    </w:p>
    <w:p w:rsidR="00000000" w:rsidRDefault="009C1C61">
      <w:pPr>
        <w:pStyle w:val="cdL1"/>
        <w:widowControl/>
        <w:tabs>
          <w:tab w:val="clear" w:pos="510"/>
        </w:tabs>
        <w:rPr>
          <w:spacing w:val="10"/>
        </w:rPr>
      </w:pPr>
      <w:r>
        <w:rPr>
          <w:rFonts w:hint="eastAsia"/>
          <w:spacing w:val="10"/>
        </w:rPr>
        <w:tab/>
      </w:r>
      <w:r>
        <w:rPr>
          <w:spacing w:val="10"/>
        </w:rPr>
        <w:t>211.</w:t>
      </w:r>
      <w:r>
        <w:rPr>
          <w:rFonts w:hint="eastAsia"/>
          <w:spacing w:val="10"/>
        </w:rPr>
        <w:t xml:space="preserve">  </w:t>
      </w:r>
      <w:r>
        <w:rPr>
          <w:rFonts w:hint="eastAsia"/>
          <w:spacing w:val="10"/>
        </w:rPr>
        <w:t>实际存在的一种看法</w:t>
      </w:r>
      <w:r>
        <w:rPr>
          <w:spacing w:val="10"/>
        </w:rPr>
        <w:t>认为女工</w:t>
      </w:r>
      <w:r>
        <w:rPr>
          <w:rFonts w:hint="eastAsia"/>
          <w:spacing w:val="10"/>
        </w:rPr>
        <w:t>，尤其在计入女工产期开支后，女工的</w:t>
      </w:r>
      <w:r>
        <w:rPr>
          <w:spacing w:val="10"/>
        </w:rPr>
        <w:t>成本</w:t>
      </w:r>
      <w:r>
        <w:rPr>
          <w:rFonts w:hint="eastAsia"/>
          <w:spacing w:val="10"/>
        </w:rPr>
        <w:t>比</w:t>
      </w:r>
      <w:r>
        <w:rPr>
          <w:spacing w:val="10"/>
        </w:rPr>
        <w:t>男</w:t>
      </w:r>
      <w:r>
        <w:rPr>
          <w:rFonts w:hint="eastAsia"/>
          <w:spacing w:val="10"/>
        </w:rPr>
        <w:t>工成本高。然而，在产前和产后期间，向女工支付的产期津贴是国家支付的，并非由雇主承担。</w:t>
      </w:r>
    </w:p>
    <w:p w:rsidR="00000000" w:rsidRDefault="009C1C61">
      <w:pPr>
        <w:pStyle w:val="cdL1"/>
        <w:widowControl/>
        <w:tabs>
          <w:tab w:val="clear" w:pos="510"/>
        </w:tabs>
        <w:spacing w:after="240"/>
        <w:rPr>
          <w:rFonts w:hint="eastAsia"/>
          <w:spacing w:val="10"/>
        </w:rPr>
      </w:pPr>
      <w:r>
        <w:rPr>
          <w:rFonts w:hint="eastAsia"/>
          <w:spacing w:val="10"/>
        </w:rPr>
        <w:tab/>
      </w:r>
      <w:r>
        <w:rPr>
          <w:spacing w:val="10"/>
        </w:rPr>
        <w:t>212.</w:t>
      </w:r>
      <w:r>
        <w:rPr>
          <w:rFonts w:hint="eastAsia"/>
          <w:spacing w:val="10"/>
        </w:rPr>
        <w:t xml:space="preserve">  </w:t>
      </w:r>
      <w:r>
        <w:rPr>
          <w:spacing w:val="10"/>
        </w:rPr>
        <w:t>评估这种状况的办法之一是，在国家统计局关于就业情况的全国调查中采用按性别详细分类的</w:t>
      </w:r>
      <w:r>
        <w:rPr>
          <w:rFonts w:hint="eastAsia"/>
          <w:spacing w:val="10"/>
        </w:rPr>
        <w:t>人</w:t>
      </w:r>
      <w:r>
        <w:rPr>
          <w:spacing w:val="10"/>
        </w:rPr>
        <w:t>工成本</w:t>
      </w:r>
      <w:r>
        <w:rPr>
          <w:rFonts w:hint="eastAsia"/>
          <w:spacing w:val="10"/>
        </w:rPr>
        <w:t>模式</w:t>
      </w:r>
      <w:r>
        <w:rPr>
          <w:spacing w:val="10"/>
        </w:rPr>
        <w:t>。因此，可以看出</w:t>
      </w:r>
      <w:r>
        <w:rPr>
          <w:rFonts w:hint="eastAsia"/>
          <w:spacing w:val="10"/>
        </w:rPr>
        <w:t>在国家为全体女工承付的分类开支中，</w:t>
      </w:r>
      <w:r>
        <w:rPr>
          <w:spacing w:val="10"/>
        </w:rPr>
        <w:t>产</w:t>
      </w:r>
      <w:r>
        <w:rPr>
          <w:rFonts w:hint="eastAsia"/>
          <w:spacing w:val="10"/>
        </w:rPr>
        <w:t>期费用占</w:t>
      </w:r>
      <w:r>
        <w:rPr>
          <w:rFonts w:hint="eastAsia"/>
          <w:spacing w:val="10"/>
        </w:rPr>
        <w:t>1.7%</w:t>
      </w:r>
      <w:r>
        <w:rPr>
          <w:rFonts w:hint="eastAsia"/>
          <w:spacing w:val="10"/>
        </w:rPr>
        <w:t>。同时，所有女工的产期费用还不到因她们是女性而少支付的报酬部分的四分之一。</w:t>
      </w:r>
      <w:r>
        <w:rPr>
          <w:rStyle w:val="FootnoteReference"/>
          <w:spacing w:val="10"/>
        </w:rPr>
        <w:footnoteReference w:id="56"/>
      </w:r>
    </w:p>
    <w:p w:rsidR="00000000" w:rsidRDefault="009C1C61">
      <w:pPr>
        <w:pStyle w:val="Heading4"/>
        <w:rPr>
          <w:rFonts w:ascii="Time New Roman" w:eastAsia="SimHei" w:hAnsi="Time New Roman"/>
          <w:u w:val="none"/>
        </w:rPr>
      </w:pPr>
      <w:r>
        <w:rPr>
          <w:rFonts w:ascii="Time New Roman" w:eastAsia="SimHei" w:hAnsi="Time New Roman" w:hint="eastAsia"/>
          <w:u w:val="none"/>
        </w:rPr>
        <w:t>公</w:t>
      </w:r>
      <w:r>
        <w:rPr>
          <w:rFonts w:ascii="Time New Roman" w:eastAsia="SimHei" w:hAnsi="Time New Roman" w:hint="eastAsia"/>
          <w:u w:val="none"/>
        </w:rPr>
        <w:t>共部门的收入分配情况</w:t>
      </w:r>
    </w:p>
    <w:p w:rsidR="00000000" w:rsidRDefault="009C1C61">
      <w:pPr>
        <w:pStyle w:val="cdL1"/>
        <w:widowControl/>
        <w:tabs>
          <w:tab w:val="clear" w:pos="510"/>
        </w:tabs>
        <w:spacing w:after="240"/>
        <w:rPr>
          <w:spacing w:val="10"/>
        </w:rPr>
      </w:pPr>
      <w:r>
        <w:rPr>
          <w:rFonts w:hint="eastAsia"/>
          <w:spacing w:val="10"/>
        </w:rPr>
        <w:tab/>
      </w:r>
      <w:r>
        <w:rPr>
          <w:spacing w:val="10"/>
        </w:rPr>
        <w:t>213.</w:t>
      </w:r>
      <w:r>
        <w:rPr>
          <w:rFonts w:hint="eastAsia"/>
          <w:spacing w:val="10"/>
        </w:rPr>
        <w:t xml:space="preserve">  </w:t>
      </w:r>
      <w:r>
        <w:rPr>
          <w:spacing w:val="10"/>
        </w:rPr>
        <w:t>本</w:t>
      </w:r>
      <w:r>
        <w:rPr>
          <w:rFonts w:hint="eastAsia"/>
          <w:spacing w:val="10"/>
        </w:rPr>
        <w:t>节述及按同一薪级表取酬的公共部门雇员的情况。这个薪级表规定全国所有公共部门</w:t>
      </w:r>
      <w:r>
        <w:rPr>
          <w:spacing w:val="10"/>
        </w:rPr>
        <w:t>雇员和</w:t>
      </w:r>
      <w:r>
        <w:rPr>
          <w:spacing w:val="10"/>
        </w:rPr>
        <w:t>125,000</w:t>
      </w:r>
      <w:r>
        <w:rPr>
          <w:rFonts w:hint="eastAsia"/>
          <w:spacing w:val="10"/>
        </w:rPr>
        <w:t>名</w:t>
      </w:r>
      <w:r>
        <w:rPr>
          <w:spacing w:val="10"/>
        </w:rPr>
        <w:t>全体工作人员</w:t>
      </w:r>
      <w:r>
        <w:rPr>
          <w:rFonts w:hint="eastAsia"/>
          <w:spacing w:val="10"/>
        </w:rPr>
        <w:t>中</w:t>
      </w:r>
      <w:r>
        <w:rPr>
          <w:spacing w:val="10"/>
        </w:rPr>
        <w:t>88.5%</w:t>
      </w:r>
      <w:r>
        <w:rPr>
          <w:spacing w:val="10"/>
        </w:rPr>
        <w:t>的报酬</w:t>
      </w:r>
      <w:r>
        <w:rPr>
          <w:rFonts w:hint="eastAsia"/>
          <w:spacing w:val="10"/>
        </w:rPr>
        <w:t>。根据财政部预算局提供的资料，</w:t>
      </w:r>
      <w:r>
        <w:rPr>
          <w:spacing w:val="10"/>
        </w:rPr>
        <w:t>1999</w:t>
      </w:r>
      <w:r>
        <w:rPr>
          <w:spacing w:val="10"/>
        </w:rPr>
        <w:t>年</w:t>
      </w:r>
      <w:r>
        <w:rPr>
          <w:rFonts w:hint="eastAsia"/>
          <w:spacing w:val="10"/>
        </w:rPr>
        <w:t>得到的结果如下：</w:t>
      </w:r>
      <w:r>
        <w:rPr>
          <w:spacing w:val="10"/>
        </w:rPr>
        <w:t>公共部门平均毛收入是</w:t>
      </w:r>
      <w:r>
        <w:rPr>
          <w:spacing w:val="10"/>
        </w:rPr>
        <w:t>405,200</w:t>
      </w:r>
      <w:r>
        <w:rPr>
          <w:spacing w:val="10"/>
        </w:rPr>
        <w:t>比索</w:t>
      </w:r>
      <w:r>
        <w:rPr>
          <w:spacing w:val="10"/>
        </w:rPr>
        <w:t>(</w:t>
      </w:r>
      <w:r>
        <w:rPr>
          <w:spacing w:val="10"/>
        </w:rPr>
        <w:t>按</w:t>
      </w:r>
      <w:r>
        <w:rPr>
          <w:spacing w:val="10"/>
        </w:rPr>
        <w:t>1999</w:t>
      </w:r>
      <w:r>
        <w:rPr>
          <w:spacing w:val="10"/>
        </w:rPr>
        <w:t>年</w:t>
      </w:r>
      <w:r>
        <w:rPr>
          <w:rFonts w:hint="eastAsia"/>
          <w:spacing w:val="10"/>
        </w:rPr>
        <w:t>的</w:t>
      </w:r>
      <w:r>
        <w:rPr>
          <w:spacing w:val="10"/>
        </w:rPr>
        <w:t>汇率，大约为</w:t>
      </w:r>
      <w:r>
        <w:rPr>
          <w:spacing w:val="10"/>
        </w:rPr>
        <w:t>800</w:t>
      </w:r>
      <w:r>
        <w:rPr>
          <w:spacing w:val="10"/>
        </w:rPr>
        <w:t>美元</w:t>
      </w:r>
      <w:r>
        <w:rPr>
          <w:spacing w:val="10"/>
        </w:rPr>
        <w:t>)</w:t>
      </w:r>
      <w:r>
        <w:rPr>
          <w:spacing w:val="10"/>
        </w:rPr>
        <w:t>。</w:t>
      </w:r>
      <w:r>
        <w:rPr>
          <w:spacing w:val="10"/>
        </w:rPr>
        <w:t>64.1%</w:t>
      </w:r>
      <w:r>
        <w:rPr>
          <w:spacing w:val="10"/>
        </w:rPr>
        <w:t>的公共雇员收入低于</w:t>
      </w:r>
      <w:r>
        <w:rPr>
          <w:rFonts w:hint="eastAsia"/>
          <w:spacing w:val="10"/>
        </w:rPr>
        <w:t>这个</w:t>
      </w:r>
      <w:r>
        <w:rPr>
          <w:spacing w:val="10"/>
        </w:rPr>
        <w:t>平均率。按照</w:t>
      </w:r>
      <w:r>
        <w:rPr>
          <w:rFonts w:hint="eastAsia"/>
          <w:spacing w:val="10"/>
        </w:rPr>
        <w:t>再</w:t>
      </w:r>
      <w:r>
        <w:rPr>
          <w:spacing w:val="10"/>
        </w:rPr>
        <w:t>分配情况，支付给</w:t>
      </w:r>
      <w:r>
        <w:rPr>
          <w:rFonts w:hint="eastAsia"/>
          <w:spacing w:val="10"/>
        </w:rPr>
        <w:t>10</w:t>
      </w:r>
      <w:r>
        <w:rPr>
          <w:spacing w:val="10"/>
        </w:rPr>
        <w:t>%</w:t>
      </w:r>
      <w:r>
        <w:rPr>
          <w:spacing w:val="10"/>
        </w:rPr>
        <w:t>公共雇员的最高工资占报酬总开支的</w:t>
      </w:r>
      <w:r>
        <w:rPr>
          <w:spacing w:val="10"/>
        </w:rPr>
        <w:t>25%</w:t>
      </w:r>
      <w:r>
        <w:rPr>
          <w:spacing w:val="10"/>
        </w:rPr>
        <w:t>，而</w:t>
      </w:r>
      <w:r>
        <w:rPr>
          <w:spacing w:val="10"/>
        </w:rPr>
        <w:t>40%</w:t>
      </w:r>
      <w:r>
        <w:rPr>
          <w:spacing w:val="10"/>
        </w:rPr>
        <w:t>收入最低的雇员占总开支的约</w:t>
      </w:r>
      <w:r>
        <w:rPr>
          <w:spacing w:val="10"/>
        </w:rPr>
        <w:t>20%</w:t>
      </w:r>
      <w:r>
        <w:rPr>
          <w:spacing w:val="10"/>
        </w:rPr>
        <w:t>。</w:t>
      </w:r>
    </w:p>
    <w:p w:rsidR="00000000" w:rsidRDefault="009C1C61">
      <w:pPr>
        <w:pStyle w:val="Heading4"/>
        <w:rPr>
          <w:b/>
          <w:bCs/>
          <w:u w:val="none"/>
        </w:rPr>
      </w:pPr>
      <w:r>
        <w:rPr>
          <w:rFonts w:hint="eastAsia"/>
          <w:b/>
          <w:bCs/>
          <w:u w:val="none"/>
        </w:rPr>
        <w:t>工作安全和健康条件</w:t>
      </w:r>
    </w:p>
    <w:p w:rsidR="00000000" w:rsidRDefault="009C1C61">
      <w:pPr>
        <w:pStyle w:val="cdL1"/>
        <w:widowControl/>
        <w:tabs>
          <w:tab w:val="clear" w:pos="510"/>
        </w:tabs>
        <w:rPr>
          <w:spacing w:val="10"/>
        </w:rPr>
      </w:pPr>
      <w:r>
        <w:rPr>
          <w:rFonts w:hint="eastAsia"/>
          <w:spacing w:val="10"/>
        </w:rPr>
        <w:tab/>
      </w:r>
      <w:r>
        <w:rPr>
          <w:spacing w:val="10"/>
        </w:rPr>
        <w:t>214.</w:t>
      </w:r>
      <w:r>
        <w:rPr>
          <w:rFonts w:hint="eastAsia"/>
          <w:spacing w:val="10"/>
        </w:rPr>
        <w:t xml:space="preserve">  </w:t>
      </w:r>
      <w:r>
        <w:rPr>
          <w:rFonts w:hint="eastAsia"/>
          <w:spacing w:val="10"/>
        </w:rPr>
        <w:t>各</w:t>
      </w:r>
      <w:r>
        <w:rPr>
          <w:spacing w:val="10"/>
        </w:rPr>
        <w:t>工作地点必须根据第</w:t>
      </w:r>
      <w:r>
        <w:rPr>
          <w:spacing w:val="10"/>
        </w:rPr>
        <w:t>65</w:t>
      </w:r>
      <w:r>
        <w:rPr>
          <w:rFonts w:hint="eastAsia"/>
          <w:spacing w:val="10"/>
        </w:rPr>
        <w:t>f</w:t>
      </w:r>
      <w:r>
        <w:rPr>
          <w:rFonts w:hint="eastAsia"/>
          <w:spacing w:val="10"/>
        </w:rPr>
        <w:t>f</w:t>
      </w:r>
      <w:r>
        <w:rPr>
          <w:rFonts w:hint="eastAsia"/>
          <w:spacing w:val="10"/>
        </w:rPr>
        <w:t>条，标题七</w:t>
      </w:r>
      <w:r>
        <w:rPr>
          <w:spacing w:val="10"/>
        </w:rPr>
        <w:t>(</w:t>
      </w:r>
      <w:r>
        <w:rPr>
          <w:spacing w:val="10"/>
        </w:rPr>
        <w:t>防治职业风险</w:t>
      </w:r>
      <w:r>
        <w:rPr>
          <w:rFonts w:hint="eastAsia"/>
          <w:spacing w:val="10"/>
        </w:rPr>
        <w:t>)</w:t>
      </w:r>
      <w:r>
        <w:rPr>
          <w:spacing w:val="10"/>
        </w:rPr>
        <w:t>遵循</w:t>
      </w:r>
      <w:r>
        <w:rPr>
          <w:spacing w:val="10"/>
        </w:rPr>
        <w:t>19</w:t>
      </w:r>
      <w:r>
        <w:rPr>
          <w:rFonts w:hint="eastAsia"/>
          <w:spacing w:val="10"/>
        </w:rPr>
        <w:t>6</w:t>
      </w:r>
      <w:r>
        <w:rPr>
          <w:spacing w:val="10"/>
        </w:rPr>
        <w:t>8</w:t>
      </w:r>
      <w:r>
        <w:rPr>
          <w:spacing w:val="10"/>
        </w:rPr>
        <w:t>年</w:t>
      </w:r>
      <w:r>
        <w:rPr>
          <w:spacing w:val="10"/>
        </w:rPr>
        <w:t>2</w:t>
      </w:r>
      <w:r>
        <w:rPr>
          <w:spacing w:val="10"/>
        </w:rPr>
        <w:t>月</w:t>
      </w:r>
      <w:r>
        <w:rPr>
          <w:spacing w:val="10"/>
        </w:rPr>
        <w:t>1</w:t>
      </w:r>
      <w:r>
        <w:rPr>
          <w:spacing w:val="10"/>
        </w:rPr>
        <w:t>日第</w:t>
      </w:r>
      <w:r>
        <w:rPr>
          <w:spacing w:val="10"/>
        </w:rPr>
        <w:t>16,714</w:t>
      </w:r>
      <w:r>
        <w:rPr>
          <w:spacing w:val="10"/>
        </w:rPr>
        <w:t>号法律</w:t>
      </w:r>
      <w:r>
        <w:rPr>
          <w:rFonts w:hint="eastAsia"/>
          <w:spacing w:val="10"/>
        </w:rPr>
        <w:t>，这是规定</w:t>
      </w:r>
      <w:r>
        <w:rPr>
          <w:spacing w:val="10"/>
        </w:rPr>
        <w:t>安全与卫生条件</w:t>
      </w:r>
      <w:r>
        <w:rPr>
          <w:rFonts w:hint="eastAsia"/>
          <w:spacing w:val="10"/>
        </w:rPr>
        <w:t>的</w:t>
      </w:r>
      <w:r>
        <w:rPr>
          <w:spacing w:val="10"/>
        </w:rPr>
        <w:t>基本文书。</w:t>
      </w:r>
    </w:p>
    <w:p w:rsidR="00000000" w:rsidRDefault="009C1C61">
      <w:pPr>
        <w:pStyle w:val="cdL1"/>
        <w:widowControl/>
        <w:tabs>
          <w:tab w:val="clear" w:pos="510"/>
        </w:tabs>
        <w:rPr>
          <w:spacing w:val="10"/>
        </w:rPr>
      </w:pPr>
      <w:r>
        <w:rPr>
          <w:rFonts w:hint="eastAsia"/>
          <w:spacing w:val="10"/>
        </w:rPr>
        <w:tab/>
      </w:r>
      <w:r>
        <w:rPr>
          <w:spacing w:val="10"/>
        </w:rPr>
        <w:t>215.</w:t>
      </w:r>
      <w:r>
        <w:rPr>
          <w:rFonts w:hint="eastAsia"/>
          <w:spacing w:val="10"/>
        </w:rPr>
        <w:t xml:space="preserve">  </w:t>
      </w:r>
      <w:r>
        <w:rPr>
          <w:spacing w:val="10"/>
        </w:rPr>
        <w:t>劳工和社会保险部还颁布了规</w:t>
      </w:r>
      <w:r>
        <w:rPr>
          <w:rFonts w:hint="eastAsia"/>
          <w:spacing w:val="10"/>
        </w:rPr>
        <w:t>定</w:t>
      </w:r>
      <w:r>
        <w:rPr>
          <w:spacing w:val="10"/>
        </w:rPr>
        <w:t>工作地点安全和健康的条例。</w:t>
      </w:r>
      <w:r>
        <w:rPr>
          <w:rStyle w:val="FootnoteReference"/>
          <w:spacing w:val="10"/>
        </w:rPr>
        <w:footnoteReference w:id="57"/>
      </w:r>
      <w:r>
        <w:rPr>
          <w:rFonts w:hint="eastAsia"/>
          <w:spacing w:val="10"/>
        </w:rPr>
        <w:t xml:space="preserve"> </w:t>
      </w:r>
      <w:r>
        <w:rPr>
          <w:spacing w:val="10"/>
        </w:rPr>
        <w:t>此外，卫生部颁布了《工作地点基本卫生和环境条件条例》。</w:t>
      </w:r>
      <w:r>
        <w:rPr>
          <w:rStyle w:val="FootnoteReference"/>
          <w:spacing w:val="10"/>
        </w:rPr>
        <w:footnoteReference w:id="58"/>
      </w:r>
    </w:p>
    <w:p w:rsidR="00000000" w:rsidRDefault="009C1C61">
      <w:pPr>
        <w:pStyle w:val="cdL1"/>
        <w:widowControl/>
        <w:tabs>
          <w:tab w:val="clear" w:pos="510"/>
        </w:tabs>
        <w:rPr>
          <w:spacing w:val="10"/>
        </w:rPr>
      </w:pPr>
      <w:r>
        <w:rPr>
          <w:rFonts w:hint="eastAsia"/>
          <w:spacing w:val="10"/>
        </w:rPr>
        <w:tab/>
      </w:r>
      <w:r>
        <w:rPr>
          <w:spacing w:val="10"/>
        </w:rPr>
        <w:t>216.</w:t>
      </w:r>
      <w:r>
        <w:rPr>
          <w:rFonts w:hint="eastAsia"/>
          <w:spacing w:val="10"/>
        </w:rPr>
        <w:t xml:space="preserve">  </w:t>
      </w:r>
      <w:r>
        <w:rPr>
          <w:spacing w:val="10"/>
        </w:rPr>
        <w:t>卫生部和劳工及社会保险部</w:t>
      </w:r>
      <w:r>
        <w:rPr>
          <w:rFonts w:hint="eastAsia"/>
          <w:spacing w:val="10"/>
        </w:rPr>
        <w:t>受</w:t>
      </w:r>
      <w:r>
        <w:rPr>
          <w:spacing w:val="10"/>
        </w:rPr>
        <w:t>权通过其主管技术</w:t>
      </w:r>
      <w:r>
        <w:rPr>
          <w:rFonts w:hint="eastAsia"/>
          <w:spacing w:val="10"/>
        </w:rPr>
        <w:t>机构</w:t>
      </w:r>
      <w:r>
        <w:rPr>
          <w:spacing w:val="10"/>
        </w:rPr>
        <w:t>实施上述条例。为了改善上述</w:t>
      </w:r>
      <w:r>
        <w:rPr>
          <w:rFonts w:hint="eastAsia"/>
          <w:spacing w:val="10"/>
        </w:rPr>
        <w:t>监</w:t>
      </w:r>
      <w:r>
        <w:rPr>
          <w:spacing w:val="10"/>
        </w:rPr>
        <w:t>察质量和覆盖面，上述两个政府部门</w:t>
      </w:r>
      <w:r>
        <w:rPr>
          <w:rFonts w:hint="eastAsia"/>
          <w:spacing w:val="10"/>
        </w:rPr>
        <w:t>于</w:t>
      </w:r>
      <w:r>
        <w:rPr>
          <w:spacing w:val="10"/>
        </w:rPr>
        <w:t>1999</w:t>
      </w:r>
      <w:r>
        <w:rPr>
          <w:spacing w:val="10"/>
        </w:rPr>
        <w:t>年达成了一项协议，建立起一个全国联合</w:t>
      </w:r>
      <w:r>
        <w:rPr>
          <w:rFonts w:hint="eastAsia"/>
          <w:spacing w:val="10"/>
        </w:rPr>
        <w:t>监</w:t>
      </w:r>
      <w:r>
        <w:rPr>
          <w:spacing w:val="10"/>
        </w:rPr>
        <w:t>察</w:t>
      </w:r>
      <w:r>
        <w:rPr>
          <w:rFonts w:hint="eastAsia"/>
          <w:spacing w:val="10"/>
        </w:rPr>
        <w:t>署</w:t>
      </w:r>
      <w:r>
        <w:rPr>
          <w:spacing w:val="10"/>
        </w:rPr>
        <w:t>，</w:t>
      </w:r>
      <w:r>
        <w:rPr>
          <w:rFonts w:hint="eastAsia"/>
          <w:spacing w:val="10"/>
        </w:rPr>
        <w:t>并使监</w:t>
      </w:r>
      <w:r>
        <w:rPr>
          <w:spacing w:val="10"/>
        </w:rPr>
        <w:t>察</w:t>
      </w:r>
      <w:r>
        <w:rPr>
          <w:rFonts w:hint="eastAsia"/>
          <w:spacing w:val="10"/>
        </w:rPr>
        <w:t>手段</w:t>
      </w:r>
      <w:r>
        <w:rPr>
          <w:spacing w:val="10"/>
        </w:rPr>
        <w:t>和条例执行官员的培训实标准化。这项协议仍然有效。</w:t>
      </w:r>
    </w:p>
    <w:p w:rsidR="00000000" w:rsidRDefault="009C1C61">
      <w:pPr>
        <w:pStyle w:val="cdL1"/>
        <w:widowControl/>
        <w:tabs>
          <w:tab w:val="clear" w:pos="510"/>
        </w:tabs>
        <w:rPr>
          <w:spacing w:val="10"/>
        </w:rPr>
      </w:pPr>
      <w:r>
        <w:rPr>
          <w:rFonts w:hint="eastAsia"/>
          <w:spacing w:val="10"/>
        </w:rPr>
        <w:tab/>
      </w:r>
      <w:r>
        <w:rPr>
          <w:spacing w:val="10"/>
        </w:rPr>
        <w:t>217.</w:t>
      </w:r>
      <w:r>
        <w:rPr>
          <w:rFonts w:hint="eastAsia"/>
          <w:spacing w:val="10"/>
        </w:rPr>
        <w:t xml:space="preserve">  </w:t>
      </w:r>
      <w:r>
        <w:rPr>
          <w:spacing w:val="10"/>
        </w:rPr>
        <w:t>每一位工人有权</w:t>
      </w:r>
      <w:r>
        <w:rPr>
          <w:rFonts w:hint="eastAsia"/>
          <w:spacing w:val="-40"/>
        </w:rPr>
        <w:t>——</w:t>
      </w:r>
      <w:r>
        <w:rPr>
          <w:spacing w:val="10"/>
        </w:rPr>
        <w:t>在就业</w:t>
      </w:r>
      <w:r>
        <w:rPr>
          <w:spacing w:val="10"/>
        </w:rPr>
        <w:t>合同中</w:t>
      </w:r>
      <w:r>
        <w:rPr>
          <w:rFonts w:hint="eastAsia"/>
          <w:spacing w:val="10"/>
        </w:rPr>
        <w:t>表明</w:t>
      </w:r>
      <w:r>
        <w:rPr>
          <w:rFonts w:hint="eastAsia"/>
          <w:spacing w:val="-40"/>
        </w:rPr>
        <w:t>——</w:t>
      </w:r>
      <w:r>
        <w:rPr>
          <w:spacing w:val="10"/>
        </w:rPr>
        <w:t>在无职业风险的环境下提供劳务。为此，工人及其雇主必须</w:t>
      </w:r>
      <w:r>
        <w:rPr>
          <w:rFonts w:hint="eastAsia"/>
          <w:spacing w:val="10"/>
        </w:rPr>
        <w:t>恪守</w:t>
      </w:r>
      <w:r>
        <w:rPr>
          <w:spacing w:val="10"/>
        </w:rPr>
        <w:t>义务，采取一切必要措施实现上述目标。</w:t>
      </w:r>
    </w:p>
    <w:p w:rsidR="00000000" w:rsidRDefault="009C1C61">
      <w:pPr>
        <w:pStyle w:val="cdL1"/>
        <w:widowControl/>
        <w:tabs>
          <w:tab w:val="clear" w:pos="510"/>
        </w:tabs>
        <w:rPr>
          <w:spacing w:val="10"/>
        </w:rPr>
      </w:pPr>
      <w:r>
        <w:rPr>
          <w:rFonts w:hint="eastAsia"/>
          <w:spacing w:val="10"/>
        </w:rPr>
        <w:tab/>
      </w:r>
      <w:r>
        <w:rPr>
          <w:spacing w:val="10"/>
        </w:rPr>
        <w:t>218.</w:t>
      </w:r>
      <w:r>
        <w:rPr>
          <w:rFonts w:hint="eastAsia"/>
          <w:spacing w:val="10"/>
        </w:rPr>
        <w:t xml:space="preserve">  </w:t>
      </w:r>
      <w:r>
        <w:rPr>
          <w:rFonts w:hint="eastAsia"/>
          <w:spacing w:val="10"/>
        </w:rPr>
        <w:t>工人</w:t>
      </w:r>
      <w:r>
        <w:rPr>
          <w:spacing w:val="10"/>
        </w:rPr>
        <w:t>既</w:t>
      </w:r>
      <w:r>
        <w:rPr>
          <w:rFonts w:hint="eastAsia"/>
          <w:spacing w:val="10"/>
        </w:rPr>
        <w:t>是职业风险预防的受惠者又是预防的主体，因而应当是此事的关键推动者和掌控者。立法者在接受这个观点之际，授权工人积极地参与这方面的事务。一方面，工人们必须遵从公司内部健康和卫生条例的规定；</w:t>
      </w:r>
      <w:r>
        <w:rPr>
          <w:rStyle w:val="FootnoteReference"/>
          <w:spacing w:val="10"/>
        </w:rPr>
        <w:footnoteReference w:id="59"/>
      </w:r>
      <w:r>
        <w:rPr>
          <w:rFonts w:hint="eastAsia"/>
          <w:spacing w:val="10"/>
        </w:rPr>
        <w:t xml:space="preserve"> </w:t>
      </w:r>
      <w:r>
        <w:rPr>
          <w:rFonts w:hint="eastAsia"/>
          <w:spacing w:val="10"/>
        </w:rPr>
        <w:t>另一方面，他们能够就这些条例的优劣提出任何批评意见。</w:t>
      </w:r>
    </w:p>
    <w:p w:rsidR="00000000" w:rsidRDefault="009C1C61">
      <w:pPr>
        <w:pStyle w:val="cdL1"/>
        <w:widowControl/>
        <w:tabs>
          <w:tab w:val="clear" w:pos="510"/>
        </w:tabs>
        <w:rPr>
          <w:spacing w:val="10"/>
        </w:rPr>
      </w:pPr>
      <w:r>
        <w:rPr>
          <w:rFonts w:hint="eastAsia"/>
          <w:spacing w:val="10"/>
        </w:rPr>
        <w:tab/>
      </w:r>
      <w:r>
        <w:rPr>
          <w:spacing w:val="10"/>
        </w:rPr>
        <w:t>219.</w:t>
      </w:r>
      <w:r>
        <w:rPr>
          <w:rFonts w:hint="eastAsia"/>
          <w:spacing w:val="10"/>
        </w:rPr>
        <w:t xml:space="preserve">  </w:t>
      </w:r>
      <w:r>
        <w:rPr>
          <w:spacing w:val="10"/>
        </w:rPr>
        <w:t>此外，法律认为，在工人们所从事工作的企业内必须建立起可让工人们参与的联合委员会。鉴于这类机构高度的技术性质及其组成</w:t>
      </w:r>
      <w:r>
        <w:rPr>
          <w:rFonts w:hint="eastAsia"/>
          <w:spacing w:val="10"/>
        </w:rPr>
        <w:t>情况</w:t>
      </w:r>
      <w:r>
        <w:rPr>
          <w:spacing w:val="10"/>
        </w:rPr>
        <w:t>(</w:t>
      </w:r>
      <w:r>
        <w:rPr>
          <w:spacing w:val="10"/>
        </w:rPr>
        <w:t>雇</w:t>
      </w:r>
      <w:r>
        <w:rPr>
          <w:rFonts w:hint="eastAsia"/>
          <w:spacing w:val="10"/>
        </w:rPr>
        <w:t>主</w:t>
      </w:r>
      <w:r>
        <w:rPr>
          <w:spacing w:val="10"/>
        </w:rPr>
        <w:t>和工</w:t>
      </w:r>
      <w:r>
        <w:rPr>
          <w:spacing w:val="10"/>
        </w:rPr>
        <w:t>人</w:t>
      </w:r>
      <w:r>
        <w:rPr>
          <w:rFonts w:hint="eastAsia"/>
          <w:spacing w:val="10"/>
        </w:rPr>
        <w:t>各占一半</w:t>
      </w:r>
      <w:r>
        <w:rPr>
          <w:spacing w:val="10"/>
        </w:rPr>
        <w:t>)</w:t>
      </w:r>
      <w:r>
        <w:rPr>
          <w:spacing w:val="10"/>
        </w:rPr>
        <w:t>，工人们能够就他们工作条件的安全</w:t>
      </w:r>
      <w:r>
        <w:rPr>
          <w:rFonts w:hint="eastAsia"/>
          <w:spacing w:val="10"/>
        </w:rPr>
        <w:t>性表示</w:t>
      </w:r>
      <w:r>
        <w:rPr>
          <w:spacing w:val="10"/>
        </w:rPr>
        <w:t>关注，提出措施，并</w:t>
      </w:r>
      <w:r>
        <w:rPr>
          <w:rFonts w:hint="eastAsia"/>
          <w:spacing w:val="10"/>
        </w:rPr>
        <w:t>在适</w:t>
      </w:r>
      <w:r>
        <w:rPr>
          <w:spacing w:val="10"/>
        </w:rPr>
        <w:t>当时</w:t>
      </w:r>
      <w:r>
        <w:rPr>
          <w:rFonts w:hint="eastAsia"/>
          <w:spacing w:val="10"/>
        </w:rPr>
        <w:t>可强制</w:t>
      </w:r>
      <w:r>
        <w:rPr>
          <w:spacing w:val="10"/>
        </w:rPr>
        <w:t>企业</w:t>
      </w:r>
      <w:r>
        <w:rPr>
          <w:rFonts w:hint="eastAsia"/>
          <w:spacing w:val="10"/>
        </w:rPr>
        <w:t>采取</w:t>
      </w:r>
      <w:r>
        <w:rPr>
          <w:spacing w:val="10"/>
        </w:rPr>
        <w:t>这些措施。</w:t>
      </w:r>
    </w:p>
    <w:p w:rsidR="00000000" w:rsidRDefault="009C1C61">
      <w:pPr>
        <w:pStyle w:val="cdL1"/>
        <w:tabs>
          <w:tab w:val="clear" w:pos="510"/>
        </w:tabs>
        <w:rPr>
          <w:spacing w:val="10"/>
        </w:rPr>
      </w:pPr>
      <w:r>
        <w:rPr>
          <w:rFonts w:hint="eastAsia"/>
          <w:spacing w:val="10"/>
        </w:rPr>
        <w:tab/>
      </w:r>
      <w:r>
        <w:rPr>
          <w:spacing w:val="10"/>
        </w:rPr>
        <w:t>220.</w:t>
      </w:r>
      <w:r>
        <w:rPr>
          <w:rFonts w:hint="eastAsia"/>
          <w:spacing w:val="10"/>
        </w:rPr>
        <w:t xml:space="preserve">  </w:t>
      </w:r>
      <w:r>
        <w:rPr>
          <w:spacing w:val="10"/>
        </w:rPr>
        <w:t>企业是一个</w:t>
      </w:r>
      <w:r>
        <w:rPr>
          <w:rFonts w:hint="eastAsia"/>
          <w:spacing w:val="10"/>
        </w:rPr>
        <w:t>按</w:t>
      </w:r>
      <w:r>
        <w:rPr>
          <w:spacing w:val="10"/>
        </w:rPr>
        <w:t>法律规定必须采取一切必要措施有效保护工人生命和健康的实体；</w:t>
      </w:r>
      <w:r>
        <w:rPr>
          <w:rFonts w:hint="eastAsia"/>
          <w:spacing w:val="10"/>
        </w:rPr>
        <w:t>企业</w:t>
      </w:r>
      <w:r>
        <w:rPr>
          <w:spacing w:val="10"/>
        </w:rPr>
        <w:t>必须制定和</w:t>
      </w:r>
      <w:r>
        <w:rPr>
          <w:rFonts w:hint="eastAsia"/>
          <w:spacing w:val="10"/>
        </w:rPr>
        <w:t>增强</w:t>
      </w:r>
      <w:r>
        <w:rPr>
          <w:spacing w:val="10"/>
        </w:rPr>
        <w:t>健康和安全规则、监测</w:t>
      </w:r>
      <w:r>
        <w:rPr>
          <w:rFonts w:hint="eastAsia"/>
          <w:spacing w:val="10"/>
        </w:rPr>
        <w:t>各</w:t>
      </w:r>
      <w:r>
        <w:rPr>
          <w:spacing w:val="10"/>
        </w:rPr>
        <w:t>工作地点的</w:t>
      </w:r>
      <w:r>
        <w:rPr>
          <w:rFonts w:hint="eastAsia"/>
          <w:spacing w:val="10"/>
        </w:rPr>
        <w:t>遵</w:t>
      </w:r>
      <w:r>
        <w:rPr>
          <w:spacing w:val="10"/>
        </w:rPr>
        <w:t>行情况并落实下列</w:t>
      </w:r>
      <w:r>
        <w:rPr>
          <w:rFonts w:hint="eastAsia"/>
          <w:spacing w:val="10"/>
        </w:rPr>
        <w:t>预防</w:t>
      </w:r>
      <w:r>
        <w:rPr>
          <w:spacing w:val="10"/>
        </w:rPr>
        <w:t>风险的具体措施：</w:t>
      </w:r>
    </w:p>
    <w:p w:rsidR="00000000" w:rsidRDefault="009C1C61">
      <w:pPr>
        <w:numPr>
          <w:ilvl w:val="0"/>
          <w:numId w:val="244"/>
        </w:numPr>
      </w:pPr>
      <w:r>
        <w:t>在雇员超过</w:t>
      </w:r>
      <w:r>
        <w:t>25</w:t>
      </w:r>
      <w:r>
        <w:t>名的企业内必须设立健康</w:t>
      </w:r>
      <w:r>
        <w:rPr>
          <w:rFonts w:hint="eastAsia"/>
        </w:rPr>
        <w:t>与</w:t>
      </w:r>
      <w:r>
        <w:t>安全问题联合委员会；</w:t>
      </w:r>
    </w:p>
    <w:p w:rsidR="00000000" w:rsidRDefault="009C1C61">
      <w:pPr>
        <w:numPr>
          <w:ilvl w:val="0"/>
          <w:numId w:val="244"/>
        </w:numPr>
      </w:pPr>
      <w:r>
        <w:t>制定内部职业安全</w:t>
      </w:r>
      <w:r>
        <w:rPr>
          <w:rFonts w:hint="eastAsia"/>
        </w:rPr>
        <w:t>与</w:t>
      </w:r>
      <w:r>
        <w:t>健康条例，并不断更新补充这些条例；</w:t>
      </w:r>
    </w:p>
    <w:p w:rsidR="00000000" w:rsidRDefault="009C1C61">
      <w:pPr>
        <w:numPr>
          <w:ilvl w:val="0"/>
          <w:numId w:val="244"/>
        </w:numPr>
      </w:pPr>
      <w:r>
        <w:t>包括</w:t>
      </w:r>
      <w:r>
        <w:rPr>
          <w:rFonts w:hint="eastAsia"/>
        </w:rPr>
        <w:t>由</w:t>
      </w:r>
      <w:r>
        <w:t>一名</w:t>
      </w:r>
      <w:r>
        <w:rPr>
          <w:rFonts w:hint="eastAsia"/>
        </w:rPr>
        <w:t>预防</w:t>
      </w:r>
      <w:r>
        <w:t>专家主持的预防风险部门。</w:t>
      </w:r>
      <w:r>
        <w:rPr>
          <w:rFonts w:hint="eastAsia"/>
        </w:rPr>
        <w:t>这个</w:t>
      </w:r>
      <w:r>
        <w:t>部门是</w:t>
      </w:r>
      <w:r>
        <w:rPr>
          <w:rFonts w:hint="eastAsia"/>
        </w:rPr>
        <w:t>向</w:t>
      </w:r>
      <w:r>
        <w:t>企业提供</w:t>
      </w:r>
      <w:r>
        <w:rPr>
          <w:rFonts w:hint="eastAsia"/>
        </w:rPr>
        <w:t>如何</w:t>
      </w:r>
      <w:r>
        <w:t>遵循保护工人</w:t>
      </w:r>
      <w:r>
        <w:rPr>
          <w:rFonts w:hint="eastAsia"/>
        </w:rPr>
        <w:t>义务的咨询</w:t>
      </w:r>
      <w:r>
        <w:t>意见的</w:t>
      </w:r>
      <w:r>
        <w:rPr>
          <w:rFonts w:hint="eastAsia"/>
        </w:rPr>
        <w:t>主要机构</w:t>
      </w:r>
      <w:r>
        <w:t>，并且是雇员超过</w:t>
      </w:r>
      <w:r>
        <w:t>100</w:t>
      </w:r>
      <w:r>
        <w:t>名</w:t>
      </w:r>
      <w:r>
        <w:t>工人的采矿、工业和商业企业必须建立的</w:t>
      </w:r>
      <w:r>
        <w:rPr>
          <w:rFonts w:hint="eastAsia"/>
        </w:rPr>
        <w:t>机构</w:t>
      </w:r>
      <w:r>
        <w:t>；</w:t>
      </w:r>
    </w:p>
    <w:p w:rsidR="00000000" w:rsidRDefault="009C1C61">
      <w:pPr>
        <w:numPr>
          <w:ilvl w:val="0"/>
          <w:numId w:val="244"/>
        </w:numPr>
      </w:pPr>
      <w:r>
        <w:t>落实卫生服务部门，主管行政实体、风险</w:t>
      </w:r>
      <w:r>
        <w:rPr>
          <w:rFonts w:hint="eastAsia"/>
        </w:rPr>
        <w:t>预防</w:t>
      </w:r>
      <w:r>
        <w:t>部门和联合委员会直接规定的安全措施；</w:t>
      </w:r>
    </w:p>
    <w:p w:rsidR="00000000" w:rsidRDefault="009C1C61">
      <w:pPr>
        <w:numPr>
          <w:ilvl w:val="0"/>
          <w:numId w:val="244"/>
        </w:numPr>
      </w:pPr>
      <w:r>
        <w:t>为工人免费提供</w:t>
      </w:r>
      <w:r>
        <w:rPr>
          <w:rFonts w:hint="eastAsia"/>
        </w:rPr>
        <w:t>预防</w:t>
      </w:r>
      <w:r>
        <w:t>职业风险的必要设备和工具；</w:t>
      </w:r>
    </w:p>
    <w:p w:rsidR="00000000" w:rsidRDefault="009C1C61">
      <w:pPr>
        <w:numPr>
          <w:ilvl w:val="0"/>
          <w:numId w:val="244"/>
        </w:numPr>
      </w:pPr>
      <w:r>
        <w:rPr>
          <w:rFonts w:hint="eastAsia"/>
        </w:rPr>
        <w:t>以及时和适当方式向工人们提供工作内在风险的情况；</w:t>
      </w:r>
    </w:p>
    <w:p w:rsidR="00000000" w:rsidRDefault="009C1C61">
      <w:pPr>
        <w:numPr>
          <w:ilvl w:val="0"/>
          <w:numId w:val="244"/>
        </w:numPr>
      </w:pPr>
      <w:r>
        <w:t>任何雇员不得要求或者允许工人从事被认为非工人力所能及或有可能损害其健康或安全的工作。</w:t>
      </w:r>
    </w:p>
    <w:p w:rsidR="00000000" w:rsidRDefault="009C1C61">
      <w:pPr>
        <w:pStyle w:val="cdL1"/>
        <w:rPr>
          <w:spacing w:val="10"/>
        </w:rPr>
      </w:pPr>
      <w:r>
        <w:rPr>
          <w:rFonts w:hint="eastAsia"/>
          <w:spacing w:val="10"/>
        </w:rPr>
        <w:tab/>
      </w:r>
      <w:r>
        <w:rPr>
          <w:spacing w:val="10"/>
        </w:rPr>
        <w:t>221.</w:t>
      </w:r>
      <w:r>
        <w:rPr>
          <w:rFonts w:hint="eastAsia"/>
          <w:spacing w:val="10"/>
        </w:rPr>
        <w:t xml:space="preserve">  </w:t>
      </w:r>
      <w:r>
        <w:rPr>
          <w:rFonts w:hint="eastAsia"/>
          <w:spacing w:val="10"/>
        </w:rPr>
        <w:t>先前提到的</w:t>
      </w:r>
      <w:r>
        <w:rPr>
          <w:spacing w:val="10"/>
        </w:rPr>
        <w:t>第</w:t>
      </w:r>
      <w:r>
        <w:rPr>
          <w:spacing w:val="10"/>
        </w:rPr>
        <w:t>16,744</w:t>
      </w:r>
      <w:r>
        <w:rPr>
          <w:spacing w:val="10"/>
        </w:rPr>
        <w:t>号法要求雇主互助协会</w:t>
      </w:r>
      <w:r>
        <w:rPr>
          <w:spacing w:val="10"/>
        </w:rPr>
        <w:t>—</w:t>
      </w:r>
      <w:r>
        <w:rPr>
          <w:spacing w:val="10"/>
        </w:rPr>
        <w:t>目的</w:t>
      </w:r>
      <w:r>
        <w:rPr>
          <w:rFonts w:hint="eastAsia"/>
          <w:spacing w:val="10"/>
        </w:rPr>
        <w:t>是批准发放</w:t>
      </w:r>
      <w:r>
        <w:rPr>
          <w:spacing w:val="10"/>
        </w:rPr>
        <w:t>某些福利和补贴的协会</w:t>
      </w:r>
      <w:r>
        <w:rPr>
          <w:spacing w:val="10"/>
        </w:rPr>
        <w:t>--</w:t>
      </w:r>
      <w:r>
        <w:rPr>
          <w:spacing w:val="10"/>
        </w:rPr>
        <w:t>继续开展风险预防活动，将此</w:t>
      </w:r>
      <w:r>
        <w:rPr>
          <w:rFonts w:hint="eastAsia"/>
          <w:spacing w:val="10"/>
        </w:rPr>
        <w:t>种</w:t>
      </w:r>
      <w:r>
        <w:rPr>
          <w:spacing w:val="10"/>
        </w:rPr>
        <w:t>活动转化为</w:t>
      </w:r>
      <w:r>
        <w:rPr>
          <w:rFonts w:hint="eastAsia"/>
          <w:spacing w:val="10"/>
        </w:rPr>
        <w:t>适用</w:t>
      </w:r>
      <w:r>
        <w:rPr>
          <w:spacing w:val="10"/>
        </w:rPr>
        <w:t>各</w:t>
      </w:r>
      <w:r>
        <w:rPr>
          <w:rFonts w:hint="eastAsia"/>
          <w:spacing w:val="10"/>
        </w:rPr>
        <w:t>自</w:t>
      </w:r>
      <w:r>
        <w:rPr>
          <w:spacing w:val="10"/>
        </w:rPr>
        <w:t>企业内每一</w:t>
      </w:r>
      <w:r>
        <w:rPr>
          <w:rFonts w:hint="eastAsia"/>
          <w:spacing w:val="10"/>
        </w:rPr>
        <w:t>个</w:t>
      </w:r>
      <w:r>
        <w:rPr>
          <w:spacing w:val="10"/>
        </w:rPr>
        <w:t>工人</w:t>
      </w:r>
      <w:r>
        <w:rPr>
          <w:rFonts w:hint="eastAsia"/>
          <w:spacing w:val="10"/>
        </w:rPr>
        <w:t>的</w:t>
      </w:r>
      <w:r>
        <w:rPr>
          <w:spacing w:val="10"/>
        </w:rPr>
        <w:t>系统</w:t>
      </w:r>
      <w:r>
        <w:rPr>
          <w:rFonts w:hint="eastAsia"/>
          <w:spacing w:val="10"/>
        </w:rPr>
        <w:t>化</w:t>
      </w:r>
      <w:r>
        <w:rPr>
          <w:spacing w:val="10"/>
        </w:rPr>
        <w:t>的措施。为此，每一个雇</w:t>
      </w:r>
      <w:r>
        <w:rPr>
          <w:rFonts w:hint="eastAsia"/>
          <w:spacing w:val="10"/>
        </w:rPr>
        <w:t>主</w:t>
      </w:r>
      <w:r>
        <w:rPr>
          <w:spacing w:val="10"/>
        </w:rPr>
        <w:t>互助协会</w:t>
      </w:r>
      <w:r>
        <w:rPr>
          <w:rFonts w:hint="eastAsia"/>
          <w:spacing w:val="10"/>
        </w:rPr>
        <w:t>都</w:t>
      </w:r>
      <w:r>
        <w:rPr>
          <w:spacing w:val="10"/>
        </w:rPr>
        <w:t>必须设</w:t>
      </w:r>
      <w:r>
        <w:rPr>
          <w:spacing w:val="10"/>
        </w:rPr>
        <w:t>立一个工作人员配备适当</w:t>
      </w:r>
      <w:r>
        <w:rPr>
          <w:rFonts w:hint="eastAsia"/>
          <w:spacing w:val="10"/>
        </w:rPr>
        <w:t>而充足</w:t>
      </w:r>
      <w:r>
        <w:rPr>
          <w:spacing w:val="10"/>
        </w:rPr>
        <w:t>的单位，专门从事风险</w:t>
      </w:r>
      <w:r>
        <w:rPr>
          <w:rFonts w:hint="eastAsia"/>
          <w:spacing w:val="10"/>
        </w:rPr>
        <w:t>预防</w:t>
      </w:r>
      <w:r>
        <w:rPr>
          <w:spacing w:val="10"/>
        </w:rPr>
        <w:t>方面的工作。这些互助协会必须确保遵循有关工作健康和安全方面的一切现行规则和条例；为此，这些协会可能对违反规定的成员</w:t>
      </w:r>
      <w:r>
        <w:rPr>
          <w:rFonts w:hint="eastAsia"/>
          <w:spacing w:val="10"/>
        </w:rPr>
        <w:t>处于</w:t>
      </w:r>
      <w:r>
        <w:rPr>
          <w:spacing w:val="10"/>
        </w:rPr>
        <w:t>罚款或者</w:t>
      </w:r>
      <w:r>
        <w:rPr>
          <w:rFonts w:hint="eastAsia"/>
          <w:spacing w:val="10"/>
        </w:rPr>
        <w:t>提</w:t>
      </w:r>
      <w:r>
        <w:rPr>
          <w:spacing w:val="10"/>
        </w:rPr>
        <w:t>高他们的会员费。</w:t>
      </w:r>
    </w:p>
    <w:p w:rsidR="00000000" w:rsidRDefault="009C1C61">
      <w:pPr>
        <w:pStyle w:val="cdL1"/>
        <w:rPr>
          <w:spacing w:val="10"/>
        </w:rPr>
      </w:pPr>
      <w:r>
        <w:rPr>
          <w:rFonts w:hint="eastAsia"/>
          <w:spacing w:val="10"/>
        </w:rPr>
        <w:tab/>
      </w:r>
      <w:r>
        <w:rPr>
          <w:spacing w:val="10"/>
        </w:rPr>
        <w:t>222.</w:t>
      </w:r>
      <w:r>
        <w:rPr>
          <w:rFonts w:hint="eastAsia"/>
          <w:spacing w:val="10"/>
        </w:rPr>
        <w:t xml:space="preserve">  </w:t>
      </w:r>
      <w:r>
        <w:rPr>
          <w:spacing w:val="10"/>
        </w:rPr>
        <w:t>劳工局负责监督劳务条例的执行情况；劳工局的职能包括有关预防风险的事</w:t>
      </w:r>
      <w:r>
        <w:rPr>
          <w:rFonts w:hint="eastAsia"/>
          <w:spacing w:val="10"/>
        </w:rPr>
        <w:t>务</w:t>
      </w:r>
      <w:r>
        <w:rPr>
          <w:spacing w:val="10"/>
        </w:rPr>
        <w:t>。这具体包括劳工局监察人员有权力对各工作地点进行察访，并下令立即停止他们认为会对工人健康造成即刻风险的任何工作。</w:t>
      </w:r>
    </w:p>
    <w:p w:rsidR="00000000" w:rsidRDefault="009C1C61">
      <w:pPr>
        <w:pStyle w:val="cdL1"/>
        <w:rPr>
          <w:spacing w:val="10"/>
        </w:rPr>
      </w:pPr>
      <w:r>
        <w:rPr>
          <w:rFonts w:hint="eastAsia"/>
          <w:spacing w:val="10"/>
        </w:rPr>
        <w:tab/>
      </w:r>
      <w:r>
        <w:rPr>
          <w:spacing w:val="10"/>
        </w:rPr>
        <w:t>223.</w:t>
      </w:r>
      <w:r>
        <w:rPr>
          <w:rFonts w:hint="eastAsia"/>
          <w:spacing w:val="10"/>
        </w:rPr>
        <w:t xml:space="preserve">  </w:t>
      </w:r>
      <w:r>
        <w:rPr>
          <w:spacing w:val="10"/>
        </w:rPr>
        <w:t>劳工局还承担下列方面的职责：</w:t>
      </w:r>
    </w:p>
    <w:p w:rsidR="00000000" w:rsidRDefault="009C1C61">
      <w:pPr>
        <w:numPr>
          <w:ilvl w:val="0"/>
          <w:numId w:val="247"/>
        </w:numPr>
      </w:pPr>
      <w:r>
        <w:t>监测必须在各企业内</w:t>
      </w:r>
      <w:r>
        <w:rPr>
          <w:rFonts w:hint="eastAsia"/>
        </w:rPr>
        <w:t>运作</w:t>
      </w:r>
      <w:r>
        <w:t>的健康</w:t>
      </w:r>
      <w:r>
        <w:rPr>
          <w:rFonts w:hint="eastAsia"/>
        </w:rPr>
        <w:t>与</w:t>
      </w:r>
      <w:r>
        <w:t>安全</w:t>
      </w:r>
      <w:r>
        <w:rPr>
          <w:rFonts w:hint="eastAsia"/>
        </w:rPr>
        <w:t>问题</w:t>
      </w:r>
      <w:r>
        <w:t>联合委员会的建立和运作情况，但是，</w:t>
      </w:r>
      <w:r>
        <w:rPr>
          <w:rFonts w:hint="eastAsia"/>
        </w:rPr>
        <w:t>在</w:t>
      </w:r>
      <w:r>
        <w:t>国营企业、国家机构和组织内运作</w:t>
      </w:r>
      <w:r>
        <w:rPr>
          <w:rFonts w:hint="eastAsia"/>
        </w:rPr>
        <w:t>的、归社会安全监察署监督</w:t>
      </w:r>
      <w:r>
        <w:t>的</w:t>
      </w:r>
      <w:r>
        <w:rPr>
          <w:rFonts w:hint="eastAsia"/>
        </w:rPr>
        <w:t>联合</w:t>
      </w:r>
      <w:r>
        <w:t>委员会除外。</w:t>
      </w:r>
    </w:p>
    <w:p w:rsidR="00000000" w:rsidRDefault="009C1C61">
      <w:pPr>
        <w:numPr>
          <w:ilvl w:val="0"/>
          <w:numId w:val="247"/>
        </w:numPr>
      </w:pPr>
      <w:r>
        <w:rPr>
          <w:rFonts w:hint="eastAsia"/>
        </w:rPr>
        <w:t>监督</w:t>
      </w:r>
      <w:r>
        <w:t>和监测所有各工作地点的风险预防和工业卫生，以及有关内部安全条例问题准则的执行情况、联合委员会和风险预防部门的运作情况，并对违规企业进行制裁；</w:t>
      </w:r>
    </w:p>
    <w:p w:rsidR="00000000" w:rsidRDefault="009C1C61">
      <w:pPr>
        <w:numPr>
          <w:ilvl w:val="0"/>
          <w:numId w:val="247"/>
        </w:numPr>
      </w:pPr>
      <w:r>
        <w:t>有权力下令个体企业采取健康</w:t>
      </w:r>
      <w:r>
        <w:rPr>
          <w:rFonts w:hint="eastAsia"/>
        </w:rPr>
        <w:t>与</w:t>
      </w:r>
      <w:r>
        <w:t>安全措施；</w:t>
      </w:r>
    </w:p>
    <w:p w:rsidR="00000000" w:rsidRDefault="009C1C61">
      <w:pPr>
        <w:numPr>
          <w:ilvl w:val="0"/>
          <w:numId w:val="247"/>
        </w:numPr>
      </w:pPr>
      <w:r>
        <w:t>有权力监督</w:t>
      </w:r>
      <w:r>
        <w:rPr>
          <w:rFonts w:hint="eastAsia"/>
        </w:rPr>
        <w:t>在</w:t>
      </w:r>
      <w:r>
        <w:t>互助协会和企业指定行政部门</w:t>
      </w:r>
      <w:r>
        <w:rPr>
          <w:rFonts w:hint="eastAsia"/>
        </w:rPr>
        <w:t>中</w:t>
      </w:r>
      <w:r>
        <w:t>展开的风险预防活动；</w:t>
      </w:r>
    </w:p>
    <w:p w:rsidR="00000000" w:rsidRDefault="009C1C61">
      <w:pPr>
        <w:numPr>
          <w:ilvl w:val="0"/>
          <w:numId w:val="247"/>
        </w:numPr>
      </w:pPr>
      <w:r>
        <w:t>有权力宣布从事风险预防专门工作的人员</w:t>
      </w:r>
      <w:r>
        <w:t xml:space="preserve"> (</w:t>
      </w:r>
      <w:r>
        <w:t>作为专业或开业人员</w:t>
      </w:r>
      <w:r>
        <w:t xml:space="preserve">) </w:t>
      </w:r>
      <w:r>
        <w:t>是否称职；</w:t>
      </w:r>
    </w:p>
    <w:p w:rsidR="00000000" w:rsidRDefault="009C1C61">
      <w:pPr>
        <w:numPr>
          <w:ilvl w:val="0"/>
          <w:numId w:val="247"/>
        </w:numPr>
      </w:pPr>
      <w:r>
        <w:t>有权力核实内部健康</w:t>
      </w:r>
      <w:r>
        <w:rPr>
          <w:rFonts w:hint="eastAsia"/>
        </w:rPr>
        <w:t>与</w:t>
      </w:r>
      <w:r>
        <w:t>安全条例是否合法或适当，并就此提出修订；</w:t>
      </w:r>
    </w:p>
    <w:p w:rsidR="00000000" w:rsidRDefault="009C1C61">
      <w:pPr>
        <w:numPr>
          <w:ilvl w:val="0"/>
          <w:numId w:val="247"/>
        </w:numPr>
      </w:pPr>
      <w:r>
        <w:rPr>
          <w:rFonts w:hint="eastAsia"/>
        </w:rPr>
        <w:t>向</w:t>
      </w:r>
      <w:r>
        <w:t>企业的联合委员会提供预防风险的</w:t>
      </w:r>
      <w:r>
        <w:rPr>
          <w:rFonts w:hint="eastAsia"/>
        </w:rPr>
        <w:t>咨询</w:t>
      </w:r>
      <w:r>
        <w:t>意见。</w:t>
      </w:r>
    </w:p>
    <w:p w:rsidR="00000000" w:rsidRDefault="009C1C61">
      <w:pPr>
        <w:rPr>
          <w:rFonts w:hint="eastAsia"/>
          <w:snapToGrid/>
        </w:rPr>
      </w:pPr>
      <w:r>
        <w:rPr>
          <w:rFonts w:hint="eastAsia"/>
        </w:rPr>
        <w:tab/>
      </w:r>
      <w:r>
        <w:t>224.</w:t>
      </w:r>
      <w:r>
        <w:rPr>
          <w:rFonts w:hint="eastAsia"/>
        </w:rPr>
        <w:t xml:space="preserve">  </w:t>
      </w:r>
      <w:r>
        <w:t>公</w:t>
      </w:r>
      <w:r>
        <w:rPr>
          <w:snapToGrid/>
        </w:rPr>
        <w:t>共</w:t>
      </w:r>
      <w:r>
        <w:rPr>
          <w:rFonts w:hint="eastAsia"/>
          <w:snapToGrid/>
        </w:rPr>
        <w:t>卫生</w:t>
      </w:r>
      <w:r>
        <w:rPr>
          <w:snapToGrid/>
        </w:rPr>
        <w:t>研究所</w:t>
      </w:r>
      <w:r>
        <w:rPr>
          <w:rFonts w:hint="eastAsia"/>
          <w:snapToGrid/>
        </w:rPr>
        <w:t>(</w:t>
      </w:r>
      <w:r>
        <w:rPr>
          <w:rFonts w:hint="eastAsia"/>
          <w:snapToGrid/>
        </w:rPr>
        <w:t>公卫所</w:t>
      </w:r>
      <w:r>
        <w:rPr>
          <w:rFonts w:hint="eastAsia"/>
          <w:snapToGrid/>
        </w:rPr>
        <w:t>)</w:t>
      </w:r>
      <w:r>
        <w:rPr>
          <w:snapToGrid/>
        </w:rPr>
        <w:t>的职能包括</w:t>
      </w:r>
      <w:r>
        <w:rPr>
          <w:rFonts w:hint="eastAsia"/>
          <w:snapToGrid/>
        </w:rPr>
        <w:t>充当</w:t>
      </w:r>
      <w:r>
        <w:rPr>
          <w:snapToGrid/>
        </w:rPr>
        <w:t>职业健康</w:t>
      </w:r>
      <w:r>
        <w:rPr>
          <w:rFonts w:hint="eastAsia"/>
          <w:snapToGrid/>
        </w:rPr>
        <w:t>方面的</w:t>
      </w:r>
      <w:r>
        <w:rPr>
          <w:snapToGrid/>
        </w:rPr>
        <w:t>全国和参</w:t>
      </w:r>
      <w:r>
        <w:rPr>
          <w:rFonts w:hint="eastAsia"/>
          <w:snapToGrid/>
        </w:rPr>
        <w:t>照</w:t>
      </w:r>
      <w:r>
        <w:rPr>
          <w:snapToGrid/>
        </w:rPr>
        <w:t>实验室；提供技术咨询服务；旨在开展对工作事故和职业病风险的辨别和评估活动，并且提出预防措施。</w:t>
      </w:r>
    </w:p>
    <w:p w:rsidR="00000000" w:rsidRDefault="009C1C61">
      <w:pPr>
        <w:rPr>
          <w:snapToGrid/>
        </w:rPr>
      </w:pPr>
      <w:r>
        <w:rPr>
          <w:rFonts w:hint="eastAsia"/>
          <w:snapToGrid/>
        </w:rPr>
        <w:tab/>
      </w:r>
      <w:r>
        <w:rPr>
          <w:snapToGrid/>
        </w:rPr>
        <w:t>225.</w:t>
      </w:r>
      <w:r>
        <w:rPr>
          <w:rFonts w:hint="eastAsia"/>
          <w:snapToGrid/>
        </w:rPr>
        <w:t xml:space="preserve">  </w:t>
      </w:r>
      <w:r>
        <w:rPr>
          <w:snapToGrid/>
        </w:rPr>
        <w:t>海洋领域和商</w:t>
      </w:r>
      <w:r>
        <w:rPr>
          <w:rFonts w:hint="eastAsia"/>
          <w:snapToGrid/>
        </w:rPr>
        <w:t>务</w:t>
      </w:r>
      <w:r>
        <w:rPr>
          <w:snapToGrid/>
        </w:rPr>
        <w:t>海运总局本身具有海上</w:t>
      </w:r>
      <w:r>
        <w:rPr>
          <w:rFonts w:hint="eastAsia"/>
          <w:snapToGrid/>
        </w:rPr>
        <w:t>治安主管机构</w:t>
      </w:r>
      <w:r>
        <w:rPr>
          <w:snapToGrid/>
        </w:rPr>
        <w:t>的身份，负责确保智利港口以及在海上和河流及</w:t>
      </w:r>
      <w:r>
        <w:rPr>
          <w:rFonts w:hint="eastAsia"/>
          <w:snapToGrid/>
        </w:rPr>
        <w:t>湖</w:t>
      </w:r>
      <w:r>
        <w:rPr>
          <w:snapToGrid/>
        </w:rPr>
        <w:t>面作业船只安全的措施。</w:t>
      </w:r>
    </w:p>
    <w:p w:rsidR="00000000" w:rsidRDefault="009C1C61">
      <w:pPr>
        <w:spacing w:after="240"/>
        <w:rPr>
          <w:snapToGrid/>
        </w:rPr>
      </w:pPr>
      <w:r>
        <w:rPr>
          <w:rFonts w:hint="eastAsia"/>
          <w:snapToGrid/>
        </w:rPr>
        <w:tab/>
      </w:r>
      <w:r>
        <w:rPr>
          <w:snapToGrid/>
        </w:rPr>
        <w:t>226.</w:t>
      </w:r>
      <w:r>
        <w:rPr>
          <w:rFonts w:hint="eastAsia"/>
          <w:snapToGrid/>
        </w:rPr>
        <w:t xml:space="preserve">  </w:t>
      </w:r>
      <w:r>
        <w:rPr>
          <w:snapToGrid/>
        </w:rPr>
        <w:t>社会保险监察署是主观监测方案行政机构的技术当局。</w:t>
      </w:r>
      <w:r>
        <w:rPr>
          <w:rFonts w:hint="eastAsia"/>
          <w:snapToGrid/>
        </w:rPr>
        <w:t>社会保险监察署管</w:t>
      </w:r>
      <w:r>
        <w:rPr>
          <w:snapToGrid/>
        </w:rPr>
        <w:t>制医</w:t>
      </w:r>
      <w:r>
        <w:rPr>
          <w:rFonts w:hint="eastAsia"/>
          <w:snapToGrid/>
        </w:rPr>
        <w:t>务</w:t>
      </w:r>
      <w:r>
        <w:rPr>
          <w:snapToGrid/>
        </w:rPr>
        <w:t>社会、财务、</w:t>
      </w:r>
      <w:r>
        <w:rPr>
          <w:rFonts w:hint="eastAsia"/>
          <w:snapToGrid/>
        </w:rPr>
        <w:t>保险精算、法律和行政等方面事务，并还有权力就这些主管领域颁布强制性</w:t>
      </w:r>
      <w:r>
        <w:rPr>
          <w:rFonts w:hint="eastAsia"/>
          <w:snapToGrid/>
        </w:rPr>
        <w:t xml:space="preserve"> </w:t>
      </w:r>
      <w:r>
        <w:rPr>
          <w:rFonts w:hint="eastAsia"/>
          <w:snapToGrid/>
        </w:rPr>
        <w:t>准则。该机构有权力下达指令，改善索赔人福利费支付法以及落实预</w:t>
      </w:r>
      <w:r>
        <w:rPr>
          <w:rFonts w:hint="eastAsia"/>
          <w:snapToGrid/>
        </w:rPr>
        <w:t>防风险计划；就有关社会保险法律和规则的解释进行裁决；并要求行政机构遵从这些裁决。</w:t>
      </w:r>
    </w:p>
    <w:p w:rsidR="00000000" w:rsidRDefault="009C1C61">
      <w:pPr>
        <w:pStyle w:val="Heading4"/>
        <w:rPr>
          <w:rFonts w:ascii="Time New Roman" w:eastAsia="SimHei" w:hAnsi="Time New Roman"/>
          <w:u w:val="none"/>
        </w:rPr>
      </w:pPr>
      <w:r>
        <w:rPr>
          <w:rFonts w:ascii="Time New Roman" w:eastAsia="SimHei" w:hAnsi="Time New Roman"/>
          <w:u w:val="none"/>
        </w:rPr>
        <w:t>职业安全和健康规则适用</w:t>
      </w:r>
      <w:r>
        <w:rPr>
          <w:rFonts w:ascii="Time New Roman" w:eastAsia="SimHei" w:hAnsi="Time New Roman" w:hint="eastAsia"/>
          <w:u w:val="none"/>
        </w:rPr>
        <w:t>的</w:t>
      </w:r>
      <w:r>
        <w:rPr>
          <w:rFonts w:ascii="Time New Roman" w:eastAsia="SimHei" w:hAnsi="Time New Roman"/>
          <w:u w:val="none"/>
        </w:rPr>
        <w:t>工作人员</w:t>
      </w:r>
    </w:p>
    <w:p w:rsidR="00000000" w:rsidRDefault="009C1C61">
      <w:pPr>
        <w:rPr>
          <w:snapToGrid/>
        </w:rPr>
      </w:pPr>
      <w:r>
        <w:rPr>
          <w:rFonts w:hint="eastAsia"/>
        </w:rPr>
        <w:tab/>
      </w:r>
      <w:r>
        <w:t>227.</w:t>
      </w:r>
      <w:r>
        <w:rPr>
          <w:rFonts w:hint="eastAsia"/>
        </w:rPr>
        <w:t xml:space="preserve">  </w:t>
      </w:r>
      <w:r>
        <w:rPr>
          <w:rFonts w:hint="eastAsia"/>
          <w:snapToGrid/>
        </w:rPr>
        <w:t>从业人员</w:t>
      </w:r>
      <w:r>
        <w:rPr>
          <w:snapToGrid/>
        </w:rPr>
        <w:t>，即在</w:t>
      </w:r>
      <w:r>
        <w:rPr>
          <w:rFonts w:hint="eastAsia"/>
          <w:snapToGrid/>
        </w:rPr>
        <w:t>一种</w:t>
      </w:r>
      <w:r>
        <w:rPr>
          <w:snapToGrid/>
        </w:rPr>
        <w:t>从属和依附</w:t>
      </w:r>
      <w:r>
        <w:rPr>
          <w:rFonts w:hint="eastAsia"/>
          <w:snapToGrid/>
        </w:rPr>
        <w:t>关系</w:t>
      </w:r>
      <w:r>
        <w:rPr>
          <w:snapToGrid/>
        </w:rPr>
        <w:t>下</w:t>
      </w:r>
      <w:r>
        <w:rPr>
          <w:rFonts w:hint="eastAsia"/>
          <w:snapToGrid/>
        </w:rPr>
        <w:t>，</w:t>
      </w:r>
      <w:r>
        <w:rPr>
          <w:snapToGrid/>
        </w:rPr>
        <w:t>不论为之工作的企业、服务</w:t>
      </w:r>
      <w:r>
        <w:rPr>
          <w:rFonts w:hint="eastAsia"/>
          <w:snapToGrid/>
        </w:rPr>
        <w:t>单位</w:t>
      </w:r>
      <w:r>
        <w:rPr>
          <w:snapToGrid/>
        </w:rPr>
        <w:t>或个人</w:t>
      </w:r>
      <w:r>
        <w:rPr>
          <w:rFonts w:hint="eastAsia"/>
          <w:snapToGrid/>
        </w:rPr>
        <w:t>属何</w:t>
      </w:r>
      <w:r>
        <w:rPr>
          <w:snapToGrid/>
        </w:rPr>
        <w:t>性质</w:t>
      </w:r>
      <w:r>
        <w:rPr>
          <w:rFonts w:hint="eastAsia"/>
          <w:snapToGrid/>
        </w:rPr>
        <w:t>，</w:t>
      </w:r>
      <w:r>
        <w:rPr>
          <w:snapToGrid/>
        </w:rPr>
        <w:t>提供</w:t>
      </w:r>
      <w:r>
        <w:rPr>
          <w:rFonts w:hint="eastAsia"/>
          <w:snapToGrid/>
        </w:rPr>
        <w:t>特定</w:t>
      </w:r>
      <w:r>
        <w:rPr>
          <w:snapToGrid/>
        </w:rPr>
        <w:t>服务的人员，包括家庭雇工和学徒。</w:t>
      </w:r>
    </w:p>
    <w:p w:rsidR="00000000" w:rsidRDefault="009C1C61">
      <w:pPr>
        <w:rPr>
          <w:snapToGrid/>
        </w:rPr>
      </w:pPr>
      <w:r>
        <w:rPr>
          <w:rFonts w:hint="eastAsia"/>
          <w:snapToGrid/>
        </w:rPr>
        <w:tab/>
      </w:r>
      <w:r>
        <w:rPr>
          <w:snapToGrid/>
        </w:rPr>
        <w:t>228.</w:t>
      </w:r>
      <w:r>
        <w:rPr>
          <w:rFonts w:hint="eastAsia"/>
          <w:snapToGrid/>
        </w:rPr>
        <w:t xml:space="preserve">  </w:t>
      </w:r>
      <w:r>
        <w:rPr>
          <w:snapToGrid/>
        </w:rPr>
        <w:t>第</w:t>
      </w:r>
      <w:r>
        <w:rPr>
          <w:snapToGrid/>
        </w:rPr>
        <w:t>16,744</w:t>
      </w:r>
      <w:r>
        <w:rPr>
          <w:snapToGrid/>
        </w:rPr>
        <w:t>号法律第</w:t>
      </w:r>
      <w:r>
        <w:rPr>
          <w:snapToGrid/>
        </w:rPr>
        <w:t>21</w:t>
      </w:r>
      <w:r>
        <w:rPr>
          <w:snapToGrid/>
        </w:rPr>
        <w:t>条规定，</w:t>
      </w:r>
      <w:r>
        <w:rPr>
          <w:rFonts w:hint="eastAsia"/>
          <w:snapToGrid/>
        </w:rPr>
        <w:t>将公共</w:t>
      </w:r>
      <w:r>
        <w:rPr>
          <w:snapToGrid/>
        </w:rPr>
        <w:t>工作人员</w:t>
      </w:r>
      <w:r>
        <w:rPr>
          <w:rFonts w:hint="eastAsia"/>
          <w:snapToGrid/>
        </w:rPr>
        <w:t>归入</w:t>
      </w:r>
      <w:r>
        <w:rPr>
          <w:snapToGrid/>
        </w:rPr>
        <w:t>该方案的受惠者之列、但是，直至</w:t>
      </w:r>
      <w:r>
        <w:rPr>
          <w:snapToGrid/>
        </w:rPr>
        <w:t>1995</w:t>
      </w:r>
      <w:r>
        <w:rPr>
          <w:snapToGrid/>
        </w:rPr>
        <w:t>年</w:t>
      </w:r>
      <w:r>
        <w:rPr>
          <w:rFonts w:hint="eastAsia"/>
          <w:snapToGrid/>
        </w:rPr>
        <w:t>3</w:t>
      </w:r>
      <w:r>
        <w:rPr>
          <w:snapToGrid/>
        </w:rPr>
        <w:t>月才根据第</w:t>
      </w:r>
      <w:r>
        <w:rPr>
          <w:snapToGrid/>
        </w:rPr>
        <w:t>19,345</w:t>
      </w:r>
      <w:r>
        <w:rPr>
          <w:snapToGrid/>
        </w:rPr>
        <w:t>号法律实际将</w:t>
      </w:r>
      <w:r>
        <w:rPr>
          <w:rFonts w:hint="eastAsia"/>
          <w:snapToGrid/>
        </w:rPr>
        <w:t>公共</w:t>
      </w:r>
      <w:r>
        <w:rPr>
          <w:snapToGrid/>
        </w:rPr>
        <w:t>工作人员纳入</w:t>
      </w:r>
      <w:r>
        <w:rPr>
          <w:rFonts w:hint="eastAsia"/>
          <w:snapToGrid/>
        </w:rPr>
        <w:t>此</w:t>
      </w:r>
      <w:r>
        <w:rPr>
          <w:snapToGrid/>
        </w:rPr>
        <w:t>列。</w:t>
      </w:r>
    </w:p>
    <w:p w:rsidR="00000000" w:rsidRDefault="009C1C61">
      <w:r>
        <w:rPr>
          <w:rFonts w:hint="eastAsia"/>
        </w:rPr>
        <w:tab/>
      </w:r>
      <w:r>
        <w:t>229.</w:t>
      </w:r>
      <w:r>
        <w:rPr>
          <w:rFonts w:hint="eastAsia"/>
        </w:rPr>
        <w:t xml:space="preserve">  </w:t>
      </w:r>
      <w:r>
        <w:t>工会工作人员由于或在从事工会</w:t>
      </w:r>
      <w:r>
        <w:rPr>
          <w:rFonts w:hint="eastAsia"/>
        </w:rPr>
        <w:t>工作</w:t>
      </w:r>
      <w:r>
        <w:t>时</w:t>
      </w:r>
      <w:r>
        <w:rPr>
          <w:rFonts w:hint="eastAsia"/>
        </w:rPr>
        <w:t>遇到</w:t>
      </w:r>
      <w:r>
        <w:t>的事故</w:t>
      </w:r>
      <w:r>
        <w:rPr>
          <w:rFonts w:hint="eastAsia"/>
        </w:rPr>
        <w:t>，亦</w:t>
      </w:r>
      <w:r>
        <w:t>属于受保之列。</w:t>
      </w:r>
    </w:p>
    <w:p w:rsidR="00000000" w:rsidRDefault="009C1C61">
      <w:r>
        <w:rPr>
          <w:rFonts w:hint="eastAsia"/>
        </w:rPr>
        <w:tab/>
      </w:r>
      <w:r>
        <w:t>230.</w:t>
      </w:r>
      <w:r>
        <w:rPr>
          <w:rFonts w:hint="eastAsia"/>
        </w:rPr>
        <w:t xml:space="preserve">  </w:t>
      </w:r>
      <w:r>
        <w:rPr>
          <w:rFonts w:hint="eastAsia"/>
        </w:rPr>
        <w:t>个</w:t>
      </w:r>
      <w:r>
        <w:rPr>
          <w:rFonts w:hint="eastAsia"/>
        </w:rPr>
        <w:t>体从</w:t>
      </w:r>
      <w:r>
        <w:t>业人</w:t>
      </w:r>
      <w:r>
        <w:rPr>
          <w:rFonts w:hint="eastAsia"/>
        </w:rPr>
        <w:t>员</w:t>
      </w:r>
      <w:r>
        <w:t>。第</w:t>
      </w:r>
      <w:r>
        <w:t>16,744</w:t>
      </w:r>
      <w:r>
        <w:t>号法最后一段授权共和国总统决定是否将这类工人列入方案的这一类别。迄今为止，已经列入了下列群体：</w:t>
      </w:r>
      <w:r>
        <w:rPr>
          <w:rFonts w:hint="eastAsia"/>
        </w:rPr>
        <w:t>继承土地的农民自耕农；报刊小贩；自备</w:t>
      </w:r>
      <w:r>
        <w:rPr>
          <w:rFonts w:hint="eastAsia"/>
          <w:snapToGrid/>
        </w:rPr>
        <w:t>出租车驾驶员；照管马匹的专业人员；废料残金回收者；小型煤矿业主和银匠；归第</w:t>
      </w:r>
      <w:r>
        <w:rPr>
          <w:rFonts w:hint="eastAsia"/>
          <w:snapToGrid/>
        </w:rPr>
        <w:t>3,</w:t>
      </w:r>
      <w:r>
        <w:rPr>
          <w:snapToGrid/>
        </w:rPr>
        <w:t>500</w:t>
      </w:r>
      <w:r>
        <w:rPr>
          <w:snapToGrid/>
        </w:rPr>
        <w:t>号</w:t>
      </w:r>
      <w:r>
        <w:rPr>
          <w:rFonts w:hint="eastAsia"/>
          <w:snapToGrid/>
        </w:rPr>
        <w:t>立</w:t>
      </w:r>
      <w:r>
        <w:rPr>
          <w:snapToGrid/>
        </w:rPr>
        <w:t>法令管辖的</w:t>
      </w:r>
      <w:r>
        <w:rPr>
          <w:rFonts w:hint="eastAsia"/>
          <w:snapToGrid/>
        </w:rPr>
        <w:t>公共交通、校车和货车自备机动车驾驶员；在公共大道或海滩持照经营的</w:t>
      </w:r>
      <w:r>
        <w:rPr>
          <w:rFonts w:hint="eastAsia"/>
        </w:rPr>
        <w:t>交易商；小规模的单干渔民、和普通海关工作人员。</w:t>
      </w:r>
    </w:p>
    <w:p w:rsidR="00000000" w:rsidRDefault="009C1C61">
      <w:pPr>
        <w:spacing w:after="240"/>
      </w:pPr>
      <w:r>
        <w:rPr>
          <w:rFonts w:hint="eastAsia"/>
        </w:rPr>
        <w:tab/>
      </w:r>
      <w:r>
        <w:t>231.</w:t>
      </w:r>
      <w:r>
        <w:rPr>
          <w:rFonts w:hint="eastAsia"/>
        </w:rPr>
        <w:t xml:space="preserve">  </w:t>
      </w:r>
      <w:r>
        <w:t>最后，保险还</w:t>
      </w:r>
      <w:r>
        <w:rPr>
          <w:rFonts w:hint="eastAsia"/>
        </w:rPr>
        <w:t>承保</w:t>
      </w:r>
      <w:r>
        <w:t>下列学生：</w:t>
      </w:r>
      <w:r>
        <w:rPr>
          <w:rFonts w:hint="eastAsia"/>
        </w:rPr>
        <w:t>他</w:t>
      </w:r>
      <w:r>
        <w:t>们</w:t>
      </w:r>
      <w:r>
        <w:t>(a)</w:t>
      </w:r>
      <w:r>
        <w:rPr>
          <w:rFonts w:hint="eastAsia"/>
        </w:rPr>
        <w:t xml:space="preserve"> </w:t>
      </w:r>
      <w:r>
        <w:t>为其各经营部门从事工作，</w:t>
      </w:r>
      <w:r>
        <w:rPr>
          <w:rFonts w:hint="eastAsia"/>
        </w:rPr>
        <w:t>赢利</w:t>
      </w:r>
      <w:r>
        <w:t>所得为学生所在</w:t>
      </w:r>
      <w:r>
        <w:rPr>
          <w:rFonts w:hint="eastAsia"/>
        </w:rPr>
        <w:t>系的收入来源；和</w:t>
      </w:r>
      <w:r>
        <w:t>(b</w:t>
      </w:r>
      <w:r>
        <w:rPr>
          <w:rFonts w:hint="eastAsia"/>
        </w:rPr>
        <w:t xml:space="preserve">) </w:t>
      </w:r>
      <w:r>
        <w:t>属于</w:t>
      </w:r>
      <w:r>
        <w:rPr>
          <w:rFonts w:hint="eastAsia"/>
        </w:rPr>
        <w:t>市政或私营机构，并因为或</w:t>
      </w:r>
      <w:r>
        <w:rPr>
          <w:rFonts w:hint="eastAsia"/>
        </w:rPr>
        <w:t>者在学生学习或专业培训期间遭受的事故。这些学生得到</w:t>
      </w:r>
      <w:r>
        <w:t>1972</w:t>
      </w:r>
      <w:r>
        <w:t>年第</w:t>
      </w:r>
      <w:r>
        <w:t>313</w:t>
      </w:r>
      <w:r>
        <w:t>号最高</w:t>
      </w:r>
      <w:r>
        <w:rPr>
          <w:rFonts w:hint="eastAsia"/>
        </w:rPr>
        <w:t>政令</w:t>
      </w:r>
      <w:r>
        <w:t>和劳工和社会保险部的保护，并享受社会服务部门的医疗福利</w:t>
      </w:r>
      <w:r>
        <w:rPr>
          <w:rFonts w:hint="eastAsia"/>
        </w:rPr>
        <w:t>和</w:t>
      </w:r>
      <w:r>
        <w:t>领取社会保险标准化</w:t>
      </w:r>
      <w:r>
        <w:rPr>
          <w:rFonts w:hint="eastAsia"/>
        </w:rPr>
        <w:t>协会</w:t>
      </w:r>
      <w:r>
        <w:t>的</w:t>
      </w:r>
      <w:r>
        <w:rPr>
          <w:rFonts w:hint="eastAsia"/>
        </w:rPr>
        <w:t>财政补</w:t>
      </w:r>
      <w:r>
        <w:t>贴。</w:t>
      </w:r>
    </w:p>
    <w:p w:rsidR="00000000" w:rsidRDefault="009C1C61">
      <w:pPr>
        <w:pStyle w:val="Heading4"/>
        <w:rPr>
          <w:rFonts w:ascii="Time New Roman" w:eastAsia="SimHei" w:hAnsi="Time New Roman"/>
          <w:u w:val="none"/>
        </w:rPr>
      </w:pPr>
      <w:r>
        <w:rPr>
          <w:rFonts w:ascii="Time New Roman" w:eastAsia="SimHei" w:hAnsi="Time New Roman" w:hint="eastAsia"/>
          <w:u w:val="none"/>
        </w:rPr>
        <w:t>职业安全和健康条例未承保的工作人员</w:t>
      </w:r>
    </w:p>
    <w:p w:rsidR="00000000" w:rsidRDefault="009C1C61">
      <w:r>
        <w:rPr>
          <w:rFonts w:hint="eastAsia"/>
        </w:rPr>
        <w:tab/>
      </w:r>
      <w:r>
        <w:t>232.</w:t>
      </w:r>
      <w:r>
        <w:rPr>
          <w:rFonts w:hint="eastAsia"/>
        </w:rPr>
        <w:t xml:space="preserve">  </w:t>
      </w:r>
      <w:r>
        <w:t>保险方案仍</w:t>
      </w:r>
      <w:r>
        <w:rPr>
          <w:rFonts w:hint="eastAsia"/>
        </w:rPr>
        <w:t>不</w:t>
      </w:r>
      <w:r>
        <w:t>承保的唯一群体是，</w:t>
      </w:r>
      <w:r>
        <w:rPr>
          <w:rFonts w:hint="eastAsia"/>
        </w:rPr>
        <w:t>个体从</w:t>
      </w:r>
      <w:r>
        <w:t>业或</w:t>
      </w:r>
      <w:r>
        <w:rPr>
          <w:rFonts w:hint="eastAsia"/>
        </w:rPr>
        <w:t>单干从业</w:t>
      </w:r>
      <w:r>
        <w:t>人</w:t>
      </w:r>
      <w:r>
        <w:rPr>
          <w:rFonts w:hint="eastAsia"/>
        </w:rPr>
        <w:t>员</w:t>
      </w:r>
      <w:r>
        <w:t>，因此他们没有被列入第</w:t>
      </w:r>
      <w:r>
        <w:t>16,7</w:t>
      </w:r>
      <w:r>
        <w:rPr>
          <w:rFonts w:hint="eastAsia"/>
        </w:rPr>
        <w:t>4</w:t>
      </w:r>
      <w:r>
        <w:t>4</w:t>
      </w:r>
      <w:r>
        <w:t>号法的规定范围。目前大约有</w:t>
      </w:r>
      <w:r>
        <w:t>1,732,961</w:t>
      </w:r>
      <w:r>
        <w:t>名方案不承保的工作人员</w:t>
      </w:r>
      <w:r>
        <w:t>(</w:t>
      </w:r>
      <w:r>
        <w:rPr>
          <w:rFonts w:hint="eastAsia"/>
        </w:rPr>
        <w:t>即占</w:t>
      </w:r>
      <w:r>
        <w:t>全国从事工作</w:t>
      </w:r>
      <w:r>
        <w:rPr>
          <w:rFonts w:hint="eastAsia"/>
        </w:rPr>
        <w:t>劳工</w:t>
      </w:r>
      <w:r>
        <w:t>队伍的</w:t>
      </w:r>
      <w:r>
        <w:t>31.7%</w:t>
      </w:r>
      <w:r>
        <w:t>。他们</w:t>
      </w:r>
      <w:r>
        <w:rPr>
          <w:rFonts w:hint="eastAsia"/>
        </w:rPr>
        <w:t>主要是一些独立从业</w:t>
      </w:r>
      <w:r>
        <w:t>人</w:t>
      </w:r>
      <w:r>
        <w:rPr>
          <w:rFonts w:hint="eastAsia"/>
        </w:rPr>
        <w:t>员，</w:t>
      </w:r>
      <w:r>
        <w:t>往往从事</w:t>
      </w:r>
      <w:r>
        <w:rPr>
          <w:rFonts w:hint="eastAsia"/>
        </w:rPr>
        <w:t>不稳定且</w:t>
      </w:r>
      <w:r>
        <w:t>风险</w:t>
      </w:r>
      <w:r>
        <w:rPr>
          <w:rFonts w:hint="eastAsia"/>
        </w:rPr>
        <w:t>程度很高的工作</w:t>
      </w:r>
      <w:r>
        <w:t>)</w:t>
      </w:r>
      <w:r>
        <w:t>。</w:t>
      </w:r>
    </w:p>
    <w:p w:rsidR="00000000" w:rsidRDefault="009C1C61">
      <w:pPr>
        <w:spacing w:after="240"/>
      </w:pPr>
      <w:r>
        <w:rPr>
          <w:rFonts w:hint="eastAsia"/>
        </w:rPr>
        <w:tab/>
      </w:r>
      <w:r>
        <w:t>233.</w:t>
      </w:r>
      <w:r>
        <w:rPr>
          <w:rFonts w:hint="eastAsia"/>
        </w:rPr>
        <w:t xml:space="preserve">  </w:t>
      </w:r>
      <w:r>
        <w:t>在此应当提及，作为</w:t>
      </w:r>
      <w:r>
        <w:t>一项普遍的规则，单干工人不允许向这</w:t>
      </w:r>
      <w:r>
        <w:rPr>
          <w:rFonts w:hint="eastAsia"/>
        </w:rPr>
        <w:t>类</w:t>
      </w:r>
      <w:r>
        <w:t>保险分支部门缴</w:t>
      </w:r>
      <w:r>
        <w:rPr>
          <w:rFonts w:hint="eastAsia"/>
        </w:rPr>
        <w:t>纳保险费</w:t>
      </w:r>
      <w:r>
        <w:t>，因为第</w:t>
      </w:r>
      <w:r>
        <w:t>16,744</w:t>
      </w:r>
      <w:r>
        <w:t>号法律规定，</w:t>
      </w:r>
      <w:r>
        <w:rPr>
          <w:rFonts w:hint="eastAsia"/>
        </w:rPr>
        <w:t>拟</w:t>
      </w:r>
      <w:r>
        <w:t>由总统</w:t>
      </w:r>
      <w:r>
        <w:rPr>
          <w:rFonts w:hint="eastAsia"/>
        </w:rPr>
        <w:t>确定在何财政或其它条件下，让独立从业</w:t>
      </w:r>
      <w:r>
        <w:t>人</w:t>
      </w:r>
      <w:r>
        <w:rPr>
          <w:rFonts w:hint="eastAsia"/>
        </w:rPr>
        <w:t>员</w:t>
      </w:r>
      <w:r>
        <w:t>及家庭</w:t>
      </w:r>
      <w:r>
        <w:rPr>
          <w:rFonts w:hint="eastAsia"/>
        </w:rPr>
        <w:t>佣</w:t>
      </w:r>
      <w:r>
        <w:t>工</w:t>
      </w:r>
      <w:r>
        <w:rPr>
          <w:rFonts w:hint="eastAsia"/>
        </w:rPr>
        <w:t>获得法律规定的保险。如前所述，要诉诸这项权力即导致创立起了若干可使独特的独立从业人员群体列入保险方案的实体。</w:t>
      </w:r>
    </w:p>
    <w:p w:rsidR="00000000" w:rsidRDefault="009C1C61">
      <w:pPr>
        <w:pStyle w:val="Heading4"/>
        <w:rPr>
          <w:rFonts w:ascii="Time New Roman" w:eastAsia="SimHei" w:hAnsi="Time New Roman"/>
          <w:u w:val="none"/>
        </w:rPr>
      </w:pPr>
      <w:r>
        <w:rPr>
          <w:rFonts w:ascii="Time New Roman" w:eastAsia="SimHei" w:hAnsi="Time New Roman" w:hint="eastAsia"/>
          <w:u w:val="none"/>
        </w:rPr>
        <w:t>关于工作事故和职业病数量、性质和发病率的统计</w:t>
      </w:r>
    </w:p>
    <w:p w:rsidR="00000000" w:rsidRDefault="009C1C61">
      <w:pPr>
        <w:pStyle w:val="Heading4"/>
        <w:rPr>
          <w:rFonts w:ascii="Time New Roman" w:eastAsia="SimHei" w:hAnsi="Time New Roman"/>
          <w:u w:val="none"/>
        </w:rPr>
      </w:pPr>
      <w:r>
        <w:rPr>
          <w:rFonts w:ascii="Time New Roman" w:eastAsia="SimHei" w:hAnsi="Time New Roman" w:hint="eastAsia"/>
          <w:u w:val="none"/>
        </w:rPr>
        <w:t>工作事故</w:t>
      </w:r>
    </w:p>
    <w:p w:rsidR="00000000" w:rsidRDefault="009C1C61">
      <w:r>
        <w:rPr>
          <w:rFonts w:hint="eastAsia"/>
        </w:rPr>
        <w:tab/>
      </w:r>
      <w:r>
        <w:t>234.</w:t>
      </w:r>
      <w:r>
        <w:rPr>
          <w:rFonts w:hint="eastAsia"/>
        </w:rPr>
        <w:t xml:space="preserve">  </w:t>
      </w:r>
      <w:r>
        <w:rPr>
          <w:rFonts w:hint="eastAsia"/>
        </w:rPr>
        <w:t>智利的</w:t>
      </w:r>
      <w:r>
        <w:t>立法</w:t>
      </w:r>
      <w:r>
        <w:rPr>
          <w:rFonts w:hint="eastAsia"/>
        </w:rPr>
        <w:t>将</w:t>
      </w:r>
      <w:r>
        <w:t>工作事故界定</w:t>
      </w:r>
      <w:r>
        <w:rPr>
          <w:rFonts w:hint="eastAsia"/>
        </w:rPr>
        <w:t>为“</w:t>
      </w:r>
      <w:r>
        <w:t>任何人由于</w:t>
      </w:r>
      <w:r>
        <w:rPr>
          <w:rFonts w:hint="eastAsia"/>
        </w:rPr>
        <w:t>工作关系</w:t>
      </w:r>
      <w:r>
        <w:t>或在工作</w:t>
      </w:r>
      <w:r>
        <w:rPr>
          <w:rFonts w:hint="eastAsia"/>
        </w:rPr>
        <w:t>中</w:t>
      </w:r>
      <w:r>
        <w:t>受伤，和从家庭直接前往工作地点的</w:t>
      </w:r>
      <w:r>
        <w:rPr>
          <w:rFonts w:hint="eastAsia"/>
        </w:rPr>
        <w:t>途中</w:t>
      </w:r>
      <w:r>
        <w:t>或者返回时，遭受</w:t>
      </w:r>
      <w:r>
        <w:rPr>
          <w:rFonts w:hint="eastAsia"/>
        </w:rPr>
        <w:t>了</w:t>
      </w:r>
      <w:r>
        <w:t>造成能力丧失或者死亡的伤害，以及工会领导人因为或者在其履行工会义务期间遭受</w:t>
      </w:r>
      <w:r>
        <w:t>的伤害</w:t>
      </w:r>
      <w:r>
        <w:rPr>
          <w:rFonts w:hint="eastAsia"/>
          <w:lang w:val="fr-CH"/>
        </w:rPr>
        <w:t>”</w:t>
      </w:r>
      <w:r>
        <w:t>。</w:t>
      </w:r>
    </w:p>
    <w:p w:rsidR="00000000" w:rsidRDefault="009C1C61">
      <w:r>
        <w:rPr>
          <w:rFonts w:hint="eastAsia"/>
        </w:rPr>
        <w:tab/>
      </w:r>
      <w:r>
        <w:t>235.</w:t>
      </w:r>
      <w:r>
        <w:rPr>
          <w:rFonts w:hint="eastAsia"/>
        </w:rPr>
        <w:t xml:space="preserve">  </w:t>
      </w:r>
      <w:r>
        <w:t>1990</w:t>
      </w:r>
      <w:r>
        <w:t>至</w:t>
      </w:r>
      <w:r>
        <w:t>1997</w:t>
      </w:r>
      <w:r>
        <w:t>年期间，</w:t>
      </w:r>
      <w:r>
        <w:rPr>
          <w:rFonts w:hint="eastAsia"/>
        </w:rPr>
        <w:t>附属</w:t>
      </w:r>
      <w:r>
        <w:t>互助协会</w:t>
      </w:r>
      <w:r>
        <w:rPr>
          <w:rFonts w:hint="eastAsia"/>
        </w:rPr>
        <w:t>的</w:t>
      </w:r>
      <w:r>
        <w:t>各企业工伤事故率</w:t>
      </w:r>
      <w:r>
        <w:t>(</w:t>
      </w:r>
      <w:r>
        <w:t>不包括上下班期间遭受的事故</w:t>
      </w:r>
      <w:r>
        <w:t>)</w:t>
      </w:r>
      <w:r>
        <w:t>在</w:t>
      </w:r>
      <w:r>
        <w:t>12.6%(268,751</w:t>
      </w:r>
      <w:r>
        <w:rPr>
          <w:rFonts w:hint="eastAsia"/>
        </w:rPr>
        <w:t>起</w:t>
      </w:r>
      <w:r>
        <w:t>事故</w:t>
      </w:r>
      <w:r>
        <w:t>)</w:t>
      </w:r>
      <w:r>
        <w:t>和</w:t>
      </w:r>
      <w:r>
        <w:t>11.</w:t>
      </w:r>
      <w:r>
        <w:rPr>
          <w:rFonts w:hint="eastAsia"/>
        </w:rPr>
        <w:t>1</w:t>
      </w:r>
      <w:r>
        <w:t>%(265,306</w:t>
      </w:r>
      <w:r>
        <w:rPr>
          <w:rFonts w:hint="eastAsia"/>
        </w:rPr>
        <w:t>起</w:t>
      </w:r>
      <w:r>
        <w:t>事故</w:t>
      </w:r>
      <w:r>
        <w:t>)</w:t>
      </w:r>
      <w:r>
        <w:rPr>
          <w:rFonts w:hint="eastAsia"/>
        </w:rPr>
        <w:t>之间</w:t>
      </w:r>
      <w:r>
        <w:t>，</w:t>
      </w:r>
      <w:r>
        <w:rPr>
          <w:rFonts w:hint="eastAsia"/>
        </w:rPr>
        <w:t>而</w:t>
      </w:r>
      <w:r>
        <w:t>1997</w:t>
      </w:r>
      <w:r>
        <w:t>至</w:t>
      </w:r>
      <w:r>
        <w:t>2001</w:t>
      </w:r>
      <w:r>
        <w:t>年期间，事故率在</w:t>
      </w:r>
      <w:r>
        <w:t>10.8%(312,683</w:t>
      </w:r>
      <w:r>
        <w:t>起事故</w:t>
      </w:r>
      <w:r>
        <w:t>)</w:t>
      </w:r>
      <w:r>
        <w:t>和</w:t>
      </w:r>
      <w:r>
        <w:t>7.93%(205,094</w:t>
      </w:r>
      <w:r>
        <w:t>起事故</w:t>
      </w:r>
      <w:r>
        <w:t>)</w:t>
      </w:r>
      <w:r>
        <w:rPr>
          <w:rFonts w:hint="eastAsia"/>
        </w:rPr>
        <w:t>之间</w:t>
      </w:r>
      <w:r>
        <w:t>。这些数字反映出事故率的下降，因此，表明了工伤事故率的减少。</w:t>
      </w:r>
    </w:p>
    <w:p w:rsidR="00000000" w:rsidRDefault="009C1C61">
      <w:r>
        <w:rPr>
          <w:rFonts w:hint="eastAsia"/>
        </w:rPr>
        <w:tab/>
      </w:r>
      <w:r>
        <w:t>236.</w:t>
      </w:r>
      <w:r>
        <w:rPr>
          <w:rFonts w:hint="eastAsia"/>
        </w:rPr>
        <w:t xml:space="preserve">  </w:t>
      </w:r>
      <w:r>
        <w:t>值得指出的是，</w:t>
      </w:r>
      <w:r>
        <w:t>2000</w:t>
      </w:r>
      <w:r>
        <w:t>年的</w:t>
      </w:r>
      <w:r>
        <w:rPr>
          <w:rFonts w:hint="eastAsia"/>
        </w:rPr>
        <w:t>工伤</w:t>
      </w:r>
      <w:r>
        <w:t>事故率是</w:t>
      </w:r>
      <w:r>
        <w:t>7.98%(203,342</w:t>
      </w:r>
      <w:r>
        <w:t>起事故</w:t>
      </w:r>
      <w:r>
        <w:t>)</w:t>
      </w:r>
      <w:r>
        <w:t>而</w:t>
      </w:r>
      <w:r>
        <w:t>2001</w:t>
      </w:r>
      <w:r>
        <w:t>年则为</w:t>
      </w:r>
      <w:r>
        <w:rPr>
          <w:rFonts w:hint="eastAsia"/>
        </w:rPr>
        <w:t>7.</w:t>
      </w:r>
      <w:r>
        <w:t>93%(205,094</w:t>
      </w:r>
      <w:r>
        <w:t>起事故</w:t>
      </w:r>
      <w:r>
        <w:t>)</w:t>
      </w:r>
      <w:r>
        <w:t>。</w:t>
      </w:r>
      <w:r>
        <w:rPr>
          <w:rFonts w:hint="eastAsia"/>
        </w:rPr>
        <w:t>为理解</w:t>
      </w:r>
      <w:r>
        <w:t>这些数</w:t>
      </w:r>
      <w:r>
        <w:t>字</w:t>
      </w:r>
      <w:r>
        <w:rPr>
          <w:rFonts w:hint="eastAsia"/>
        </w:rPr>
        <w:t>还</w:t>
      </w:r>
      <w:r>
        <w:t>需要</w:t>
      </w:r>
      <w:r>
        <w:rPr>
          <w:rFonts w:hint="eastAsia"/>
        </w:rPr>
        <w:t>加以深入的</w:t>
      </w:r>
      <w:r>
        <w:t>分析，因为这些事故率数字</w:t>
      </w:r>
      <w:r>
        <w:rPr>
          <w:rFonts w:hint="eastAsia"/>
        </w:rPr>
        <w:t>，</w:t>
      </w:r>
      <w:r>
        <w:t>恰巧发生在经济收缩和失业率上升</w:t>
      </w:r>
      <w:r>
        <w:rPr>
          <w:rFonts w:hint="eastAsia"/>
        </w:rPr>
        <w:t>时</w:t>
      </w:r>
      <w:r>
        <w:t>期。</w:t>
      </w:r>
      <w:r>
        <w:rPr>
          <w:rFonts w:hint="eastAsia"/>
        </w:rPr>
        <w:t>这里</w:t>
      </w:r>
      <w:r>
        <w:t>提供</w:t>
      </w:r>
      <w:r>
        <w:rPr>
          <w:rFonts w:hint="eastAsia"/>
        </w:rPr>
        <w:t>的</w:t>
      </w:r>
      <w:r>
        <w:t>数字</w:t>
      </w:r>
      <w:r>
        <w:rPr>
          <w:rFonts w:hint="eastAsia"/>
        </w:rPr>
        <w:t>是发表在</w:t>
      </w:r>
      <w:r>
        <w:t>社会保险</w:t>
      </w:r>
      <w:r>
        <w:rPr>
          <w:rFonts w:hint="eastAsia"/>
        </w:rPr>
        <w:t>总</w:t>
      </w:r>
      <w:r>
        <w:t>监署统计公报上</w:t>
      </w:r>
      <w:r>
        <w:rPr>
          <w:rFonts w:hint="eastAsia"/>
        </w:rPr>
        <w:t>的数字</w:t>
      </w:r>
      <w:r>
        <w:t>，</w:t>
      </w:r>
      <w:r>
        <w:rPr>
          <w:rFonts w:hint="eastAsia"/>
        </w:rPr>
        <w:t>相当于</w:t>
      </w:r>
      <w:r>
        <w:t>工</w:t>
      </w:r>
      <w:r>
        <w:rPr>
          <w:rFonts w:hint="eastAsia"/>
        </w:rPr>
        <w:t>作</w:t>
      </w:r>
      <w:r>
        <w:t>人</w:t>
      </w:r>
      <w:r>
        <w:rPr>
          <w:rFonts w:hint="eastAsia"/>
        </w:rPr>
        <w:t>员总数的一部分，因为</w:t>
      </w:r>
      <w:r>
        <w:t>没有列入</w:t>
      </w:r>
      <w:r>
        <w:rPr>
          <w:rFonts w:hint="eastAsia"/>
        </w:rPr>
        <w:t>与卫生</w:t>
      </w:r>
      <w:r>
        <w:t>服务</w:t>
      </w:r>
      <w:r>
        <w:rPr>
          <w:rFonts w:hint="eastAsia"/>
        </w:rPr>
        <w:t>相关的数字</w:t>
      </w:r>
      <w:r>
        <w:t>。</w:t>
      </w:r>
    </w:p>
    <w:p w:rsidR="00000000" w:rsidRDefault="009C1C61">
      <w:r>
        <w:rPr>
          <w:rFonts w:hint="eastAsia"/>
        </w:rPr>
        <w:tab/>
      </w:r>
      <w:r>
        <w:t>237.</w:t>
      </w:r>
      <w:r>
        <w:rPr>
          <w:rFonts w:hint="eastAsia"/>
        </w:rPr>
        <w:t xml:space="preserve">  </w:t>
      </w:r>
      <w:r>
        <w:t>在</w:t>
      </w:r>
      <w:r>
        <w:t>1992</w:t>
      </w:r>
      <w:r>
        <w:t>至</w:t>
      </w:r>
      <w:r>
        <w:t>1996</w:t>
      </w:r>
      <w:r>
        <w:t>年期间，</w:t>
      </w:r>
      <w:r>
        <w:rPr>
          <w:rFonts w:hint="eastAsia"/>
        </w:rPr>
        <w:t>由</w:t>
      </w:r>
      <w:r>
        <w:t>85%</w:t>
      </w:r>
      <w:r>
        <w:t>的工伤事故</w:t>
      </w:r>
      <w:r>
        <w:rPr>
          <w:rFonts w:hint="eastAsia"/>
        </w:rPr>
        <w:t>造成的那一组</w:t>
      </w:r>
      <w:r>
        <w:t>工伤</w:t>
      </w:r>
      <w:r>
        <w:rPr>
          <w:rFonts w:hint="eastAsia"/>
        </w:rPr>
        <w:t>种</w:t>
      </w:r>
      <w:r>
        <w:t>类</w:t>
      </w:r>
      <w:r>
        <w:rPr>
          <w:rFonts w:hint="eastAsia"/>
        </w:rPr>
        <w:t>保持未变。其中，“其他创伤”居首位，其次是“上肢创伤”。居第三位的是“骨骼肌肉机能失调”</w:t>
      </w:r>
      <w:r>
        <w:t>和</w:t>
      </w:r>
      <w:r>
        <w:rPr>
          <w:rFonts w:hint="eastAsia"/>
        </w:rPr>
        <w:t>“</w:t>
      </w:r>
      <w:r>
        <w:t>下</w:t>
      </w:r>
      <w:r>
        <w:rPr>
          <w:rFonts w:hint="eastAsia"/>
        </w:rPr>
        <w:t>肢扭伤”，这两种工伤在上述几年期间数量倍增。占第四位的是“异物进入眼睛”</w:t>
      </w:r>
      <w:r>
        <w:t>。</w:t>
      </w:r>
    </w:p>
    <w:p w:rsidR="00000000" w:rsidRDefault="009C1C61">
      <w:r>
        <w:rPr>
          <w:rFonts w:hint="eastAsia"/>
        </w:rPr>
        <w:tab/>
      </w:r>
      <w:r>
        <w:t xml:space="preserve">238. </w:t>
      </w:r>
      <w:r>
        <w:rPr>
          <w:rFonts w:hint="eastAsia"/>
        </w:rPr>
        <w:t xml:space="preserve"> </w:t>
      </w:r>
      <w:r>
        <w:t>1990</w:t>
      </w:r>
      <w:r>
        <w:t>至</w:t>
      </w:r>
      <w:r>
        <w:t>2001</w:t>
      </w:r>
      <w:r>
        <w:t>年期间</w:t>
      </w:r>
      <w:r>
        <w:rPr>
          <w:rFonts w:hint="eastAsia"/>
        </w:rPr>
        <w:t>的年</w:t>
      </w:r>
      <w:r>
        <w:t>事故率始终超过平均率</w:t>
      </w:r>
      <w:r>
        <w:rPr>
          <w:rFonts w:hint="eastAsia"/>
        </w:rPr>
        <w:t>的</w:t>
      </w:r>
      <w:r>
        <w:t>经济活动</w:t>
      </w:r>
      <w:r>
        <w:rPr>
          <w:rFonts w:hint="eastAsia"/>
        </w:rPr>
        <w:t>，</w:t>
      </w:r>
      <w:r>
        <w:t>首先是建筑业，接下来是工业、农业和运输业。</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职</w:t>
      </w:r>
      <w:r>
        <w:rPr>
          <w:rFonts w:ascii="Time New Roman" w:eastAsia="SimHei" w:hAnsi="Time New Roman" w:hint="eastAsia"/>
          <w:u w:val="none"/>
        </w:rPr>
        <w:t xml:space="preserve"> </w:t>
      </w:r>
      <w:r>
        <w:rPr>
          <w:rFonts w:ascii="Time New Roman" w:eastAsia="SimHei" w:hAnsi="Time New Roman" w:hint="eastAsia"/>
          <w:u w:val="none"/>
        </w:rPr>
        <w:t>业</w:t>
      </w:r>
      <w:r>
        <w:rPr>
          <w:rFonts w:ascii="Time New Roman" w:eastAsia="SimHei" w:hAnsi="Time New Roman" w:hint="eastAsia"/>
          <w:u w:val="none"/>
        </w:rPr>
        <w:t xml:space="preserve"> </w:t>
      </w:r>
      <w:r>
        <w:rPr>
          <w:rFonts w:ascii="Time New Roman" w:eastAsia="SimHei" w:hAnsi="Time New Roman" w:hint="eastAsia"/>
          <w:u w:val="none"/>
        </w:rPr>
        <w:t>病</w:t>
      </w:r>
    </w:p>
    <w:p w:rsidR="00000000" w:rsidRDefault="009C1C61">
      <w:r>
        <w:rPr>
          <w:rFonts w:hint="eastAsia"/>
        </w:rPr>
        <w:tab/>
      </w:r>
      <w:r>
        <w:t>239.</w:t>
      </w:r>
      <w:r>
        <w:rPr>
          <w:rFonts w:hint="eastAsia"/>
        </w:rPr>
        <w:t xml:space="preserve">  </w:t>
      </w:r>
      <w:r>
        <w:rPr>
          <w:snapToGrid/>
        </w:rPr>
        <w:t>智利立法将职业病界定为</w:t>
      </w:r>
      <w:r>
        <w:rPr>
          <w:rFonts w:hint="eastAsia"/>
          <w:snapToGrid/>
        </w:rPr>
        <w:t>“</w:t>
      </w:r>
      <w:r>
        <w:rPr>
          <w:snapToGrid/>
        </w:rPr>
        <w:t>由于从事专业或工作</w:t>
      </w:r>
      <w:r>
        <w:rPr>
          <w:rFonts w:hint="eastAsia"/>
          <w:snapToGrid/>
        </w:rPr>
        <w:t>而</w:t>
      </w:r>
      <w:r>
        <w:rPr>
          <w:snapToGrid/>
        </w:rPr>
        <w:t>直接引起的</w:t>
      </w:r>
      <w:r>
        <w:rPr>
          <w:rFonts w:hint="eastAsia"/>
          <w:snapToGrid/>
        </w:rPr>
        <w:t>并</w:t>
      </w:r>
      <w:r>
        <w:rPr>
          <w:snapToGrid/>
        </w:rPr>
        <w:t>造成能力丧失或死亡的疾病</w:t>
      </w:r>
      <w:r>
        <w:rPr>
          <w:rFonts w:hint="eastAsia"/>
          <w:snapToGrid/>
        </w:rPr>
        <w:t>”</w:t>
      </w:r>
      <w:r>
        <w:rPr>
          <w:snapToGrid/>
        </w:rPr>
        <w:t>。法律</w:t>
      </w:r>
      <w:r>
        <w:rPr>
          <w:snapToGrid/>
        </w:rPr>
        <w:t xml:space="preserve"> </w:t>
      </w:r>
      <w:r>
        <w:rPr>
          <w:rStyle w:val="FootnoteReference"/>
          <w:snapToGrid/>
        </w:rPr>
        <w:footnoteReference w:id="60"/>
      </w:r>
      <w:r>
        <w:rPr>
          <w:rFonts w:hint="eastAsia"/>
          <w:snapToGrid/>
        </w:rPr>
        <w:t xml:space="preserve"> </w:t>
      </w:r>
      <w:r>
        <w:rPr>
          <w:rFonts w:hint="eastAsia"/>
          <w:snapToGrid/>
        </w:rPr>
        <w:t>对</w:t>
      </w:r>
      <w:r>
        <w:rPr>
          <w:snapToGrid/>
        </w:rPr>
        <w:t>工作事故和职业病</w:t>
      </w:r>
      <w:r>
        <w:rPr>
          <w:rFonts w:hint="eastAsia"/>
          <w:snapToGrid/>
        </w:rPr>
        <w:t>都有</w:t>
      </w:r>
      <w:r>
        <w:rPr>
          <w:snapToGrid/>
        </w:rPr>
        <w:t>定性和评估</w:t>
      </w:r>
      <w:r>
        <w:rPr>
          <w:rFonts w:hint="eastAsia"/>
          <w:snapToGrid/>
        </w:rPr>
        <w:t>的规定</w:t>
      </w:r>
      <w:r>
        <w:rPr>
          <w:snapToGrid/>
        </w:rPr>
        <w:t>，并</w:t>
      </w:r>
      <w:r>
        <w:rPr>
          <w:rFonts w:hint="eastAsia"/>
          <w:snapToGrid/>
        </w:rPr>
        <w:t>制定</w:t>
      </w:r>
      <w:r>
        <w:rPr>
          <w:snapToGrid/>
        </w:rPr>
        <w:t>了职业病清单。</w:t>
      </w:r>
      <w:r>
        <w:rPr>
          <w:rFonts w:hint="eastAsia"/>
          <w:snapToGrid/>
        </w:rPr>
        <w:t>上述</w:t>
      </w:r>
      <w:r>
        <w:rPr>
          <w:snapToGrid/>
        </w:rPr>
        <w:t>定义限制</w:t>
      </w:r>
      <w:r>
        <w:rPr>
          <w:rFonts w:hint="eastAsia"/>
          <w:snapToGrid/>
        </w:rPr>
        <w:t>清单收</w:t>
      </w:r>
      <w:r>
        <w:rPr>
          <w:snapToGrid/>
        </w:rPr>
        <w:t>入新的疾</w:t>
      </w:r>
      <w:r>
        <w:t>病；因此，我们</w:t>
      </w:r>
      <w:r>
        <w:rPr>
          <w:rFonts w:hint="eastAsia"/>
        </w:rPr>
        <w:t>仅</w:t>
      </w:r>
      <w:r>
        <w:t>部分了解工作</w:t>
      </w:r>
      <w:r>
        <w:rPr>
          <w:rFonts w:hint="eastAsia"/>
        </w:rPr>
        <w:t>对</w:t>
      </w:r>
      <w:r>
        <w:t>雇员健康的影响。</w:t>
      </w:r>
    </w:p>
    <w:p w:rsidR="00000000" w:rsidRDefault="009C1C61">
      <w:r>
        <w:rPr>
          <w:rFonts w:hint="eastAsia"/>
        </w:rPr>
        <w:tab/>
      </w:r>
      <w:r>
        <w:t>240.</w:t>
      </w:r>
      <w:r>
        <w:rPr>
          <w:rFonts w:hint="eastAsia"/>
        </w:rPr>
        <w:t xml:space="preserve">  </w:t>
      </w:r>
      <w:r>
        <w:t>关于职业疾病的现有资料揭露了，第</w:t>
      </w:r>
      <w:r>
        <w:t>16,744</w:t>
      </w:r>
      <w:r>
        <w:t>号法律先前所述</w:t>
      </w:r>
      <w:r>
        <w:rPr>
          <w:rFonts w:hint="eastAsia"/>
        </w:rPr>
        <w:t>的</w:t>
      </w:r>
      <w:r>
        <w:t>公共和私营部门中</w:t>
      </w:r>
      <w:r>
        <w:rPr>
          <w:rFonts w:hint="eastAsia"/>
        </w:rPr>
        <w:t>诊断</w:t>
      </w:r>
      <w:r>
        <w:t>不足和报告不足的严重程度。与工伤事故不同，若要检测这些病情状况，就必须</w:t>
      </w:r>
      <w:r>
        <w:rPr>
          <w:rFonts w:hint="eastAsia"/>
        </w:rPr>
        <w:t>采取</w:t>
      </w:r>
      <w:r>
        <w:t>与</w:t>
      </w:r>
      <w:r>
        <w:rPr>
          <w:rFonts w:hint="eastAsia"/>
        </w:rPr>
        <w:t>工作人员</w:t>
      </w:r>
      <w:r>
        <w:t>工作所面临风险相应的健康监</w:t>
      </w:r>
      <w:r>
        <w:t>测体制，对他或她进行评估。目前，这个体制</w:t>
      </w:r>
      <w:r>
        <w:rPr>
          <w:rFonts w:hint="eastAsia"/>
        </w:rPr>
        <w:t>监测下的</w:t>
      </w:r>
      <w:r>
        <w:t>工作人口</w:t>
      </w:r>
      <w:r>
        <w:rPr>
          <w:rFonts w:hint="eastAsia"/>
        </w:rPr>
        <w:t>覆盖面和</w:t>
      </w:r>
      <w:r>
        <w:t>立法</w:t>
      </w:r>
      <w:r>
        <w:rPr>
          <w:rFonts w:hint="eastAsia"/>
        </w:rPr>
        <w:t>所述</w:t>
      </w:r>
      <w:r>
        <w:t>风险职业病</w:t>
      </w:r>
      <w:r>
        <w:rPr>
          <w:rFonts w:hint="eastAsia"/>
        </w:rPr>
        <w:t>的数量均有限</w:t>
      </w:r>
      <w:r>
        <w:t>。</w:t>
      </w:r>
    </w:p>
    <w:p w:rsidR="00000000" w:rsidRDefault="009C1C61">
      <w:r>
        <w:rPr>
          <w:rFonts w:hint="eastAsia"/>
        </w:rPr>
        <w:tab/>
      </w:r>
      <w:r>
        <w:t>241.</w:t>
      </w:r>
      <w:r>
        <w:rPr>
          <w:rFonts w:hint="eastAsia"/>
        </w:rPr>
        <w:t xml:space="preserve">  </w:t>
      </w:r>
      <w:r>
        <w:t>1995</w:t>
      </w:r>
      <w:r>
        <w:t>年，总的职业病率</w:t>
      </w:r>
      <w:r>
        <w:t xml:space="preserve"> </w:t>
      </w:r>
      <w:r>
        <w:rPr>
          <w:rStyle w:val="FootnoteReference"/>
        </w:rPr>
        <w:footnoteReference w:id="61"/>
      </w:r>
      <w:r>
        <w:rPr>
          <w:rFonts w:hint="eastAsia"/>
        </w:rPr>
        <w:t xml:space="preserve"> </w:t>
      </w:r>
      <w:r>
        <w:rPr>
          <w:rFonts w:hint="eastAsia"/>
        </w:rPr>
        <w:t>是，</w:t>
      </w:r>
      <w:r>
        <w:t>2.9</w:t>
      </w:r>
      <w:r>
        <w:rPr>
          <w:rFonts w:hint="eastAsia"/>
        </w:rPr>
        <w:t>/</w:t>
      </w:r>
      <w:r>
        <w:t>1000</w:t>
      </w:r>
      <w:r>
        <w:t>工人</w:t>
      </w:r>
      <w:r>
        <w:t>(9,730</w:t>
      </w:r>
      <w:r>
        <w:rPr>
          <w:rFonts w:hint="eastAsia"/>
        </w:rPr>
        <w:t>病例</w:t>
      </w:r>
      <w:r>
        <w:t>)</w:t>
      </w:r>
      <w:r>
        <w:t>和</w:t>
      </w:r>
      <w:r>
        <w:t>1996</w:t>
      </w:r>
      <w:r>
        <w:t>年</w:t>
      </w:r>
      <w:r>
        <w:t>2.3</w:t>
      </w:r>
      <w:r>
        <w:rPr>
          <w:rFonts w:hint="eastAsia"/>
        </w:rPr>
        <w:t>/</w:t>
      </w:r>
      <w:r>
        <w:t>1000</w:t>
      </w:r>
      <w:r>
        <w:t>工人</w:t>
      </w:r>
      <w:r>
        <w:t>(8,</w:t>
      </w:r>
      <w:r>
        <w:rPr>
          <w:rFonts w:hint="eastAsia"/>
        </w:rPr>
        <w:t>82</w:t>
      </w:r>
      <w:r>
        <w:t>8</w:t>
      </w:r>
      <w:r>
        <w:t>病例</w:t>
      </w:r>
      <w:r>
        <w:t>)</w:t>
      </w:r>
      <w:r>
        <w:t>。</w:t>
      </w:r>
      <w:r>
        <w:t>1995</w:t>
      </w:r>
      <w:r>
        <w:t>至</w:t>
      </w:r>
      <w:r>
        <w:t>1999</w:t>
      </w:r>
      <w:r>
        <w:t>年期间，互助协会的总职业病率上下波动相当大，从</w:t>
      </w:r>
      <w:r>
        <w:t>4</w:t>
      </w:r>
      <w:r>
        <w:rPr>
          <w:rFonts w:hint="eastAsia"/>
        </w:rPr>
        <w:t>/</w:t>
      </w:r>
      <w:r>
        <w:t>1000</w:t>
      </w:r>
      <w:r>
        <w:t>工人</w:t>
      </w:r>
      <w:r>
        <w:t>(9,4</w:t>
      </w:r>
      <w:r>
        <w:rPr>
          <w:rFonts w:hint="eastAsia"/>
        </w:rPr>
        <w:t>1</w:t>
      </w:r>
      <w:r>
        <w:t>1</w:t>
      </w:r>
      <w:r>
        <w:t>病例</w:t>
      </w:r>
      <w:r>
        <w:t>)</w:t>
      </w:r>
      <w:r>
        <w:t>至</w:t>
      </w:r>
      <w:r>
        <w:t>2.2</w:t>
      </w:r>
      <w:r>
        <w:rPr>
          <w:rFonts w:hint="eastAsia"/>
        </w:rPr>
        <w:t>/</w:t>
      </w:r>
      <w:r>
        <w:t>1000</w:t>
      </w:r>
      <w:r>
        <w:t>工人</w:t>
      </w:r>
      <w:r>
        <w:t>(5,829</w:t>
      </w:r>
      <w:r>
        <w:t>病例</w:t>
      </w:r>
      <w:r>
        <w:t>)</w:t>
      </w:r>
      <w:r>
        <w:t>。这种状况表明，总比率</w:t>
      </w:r>
      <w:r>
        <w:rPr>
          <w:rFonts w:hint="eastAsia"/>
        </w:rPr>
        <w:t>没有多大变</w:t>
      </w:r>
      <w:r>
        <w:t>动</w:t>
      </w:r>
      <w:r>
        <w:rPr>
          <w:rFonts w:hint="eastAsia"/>
        </w:rPr>
        <w:t>；互助协会某些年份期间诊断的病情率有所增加。在解释这些数字时，人们还应铭记，这是按全体从业人员，而不是按</w:t>
      </w:r>
      <w:r>
        <w:rPr>
          <w:rFonts w:hint="eastAsia"/>
        </w:rPr>
        <w:t>面临特殊致病风险的总人数计算的比率；因此，这个比率表明风险的程度比实际情况低。</w:t>
      </w:r>
    </w:p>
    <w:p w:rsidR="00000000" w:rsidRDefault="009C1C61">
      <w:r>
        <w:rPr>
          <w:rFonts w:hint="eastAsia"/>
        </w:rPr>
        <w:tab/>
      </w:r>
      <w:r>
        <w:t>242.</w:t>
      </w:r>
      <w:r>
        <w:rPr>
          <w:rFonts w:hint="eastAsia"/>
        </w:rPr>
        <w:t xml:space="preserve">  </w:t>
      </w:r>
      <w:r>
        <w:t>1995</w:t>
      </w:r>
      <w:r>
        <w:t>至</w:t>
      </w:r>
      <w:r>
        <w:t>1996</w:t>
      </w:r>
      <w:r>
        <w:t>年期间，诊断发现的</w:t>
      </w:r>
      <w:r>
        <w:t>80%</w:t>
      </w:r>
      <w:r>
        <w:rPr>
          <w:rFonts w:hint="eastAsia"/>
        </w:rPr>
        <w:t>病例</w:t>
      </w:r>
      <w:r>
        <w:t>基本</w:t>
      </w:r>
      <w:r>
        <w:rPr>
          <w:rFonts w:hint="eastAsia"/>
        </w:rPr>
        <w:t>无变化</w:t>
      </w:r>
      <w:r>
        <w:t>。首先是</w:t>
      </w:r>
      <w:r>
        <w:rPr>
          <w:rFonts w:hint="eastAsia"/>
        </w:rPr>
        <w:t>“筋骨疾病”</w:t>
      </w:r>
      <w:r>
        <w:t>占患病率的</w:t>
      </w:r>
      <w:r>
        <w:t>26%</w:t>
      </w:r>
      <w:r>
        <w:t>，</w:t>
      </w:r>
      <w:r>
        <w:rPr>
          <w:rFonts w:hint="eastAsia"/>
        </w:rPr>
        <w:t>其次</w:t>
      </w:r>
      <w:r>
        <w:t>是</w:t>
      </w:r>
      <w:r>
        <w:rPr>
          <w:rFonts w:hint="eastAsia"/>
        </w:rPr>
        <w:t>“</w:t>
      </w:r>
      <w:r>
        <w:t>皮肤</w:t>
      </w:r>
      <w:r>
        <w:rPr>
          <w:rFonts w:hint="eastAsia"/>
        </w:rPr>
        <w:t>病</w:t>
      </w:r>
      <w:r>
        <w:t>和</w:t>
      </w:r>
      <w:r>
        <w:rPr>
          <w:rFonts w:hint="eastAsia"/>
        </w:rPr>
        <w:t>结缔</w:t>
      </w:r>
      <w:r>
        <w:t>组织病</w:t>
      </w:r>
      <w:r>
        <w:rPr>
          <w:rFonts w:hint="eastAsia"/>
        </w:rPr>
        <w:t>”</w:t>
      </w:r>
      <w:r>
        <w:t>，占</w:t>
      </w:r>
      <w:r>
        <w:t>23%</w:t>
      </w:r>
      <w:r>
        <w:t>。第三位疾病</w:t>
      </w:r>
      <w:r>
        <w:rPr>
          <w:rFonts w:hint="eastAsia"/>
        </w:rPr>
        <w:t>视</w:t>
      </w:r>
      <w:r>
        <w:t>年</w:t>
      </w:r>
      <w:r>
        <w:rPr>
          <w:rFonts w:hint="eastAsia"/>
        </w:rPr>
        <w:t>份而定，是</w:t>
      </w:r>
      <w:r>
        <w:t>占</w:t>
      </w:r>
      <w:r>
        <w:t xml:space="preserve">15% </w:t>
      </w:r>
      <w:r>
        <w:rPr>
          <w:rFonts w:hint="eastAsia"/>
        </w:rPr>
        <w:t>的“</w:t>
      </w:r>
      <w:r>
        <w:t>中毒</w:t>
      </w:r>
      <w:r>
        <w:rPr>
          <w:rFonts w:hint="eastAsia"/>
        </w:rPr>
        <w:t>症”和</w:t>
      </w:r>
      <w:r>
        <w:t>占</w:t>
      </w:r>
      <w:r>
        <w:t xml:space="preserve">12% </w:t>
      </w:r>
      <w:r>
        <w:rPr>
          <w:rFonts w:hint="eastAsia"/>
        </w:rPr>
        <w:t>的“</w:t>
      </w:r>
      <w:r>
        <w:t>呼吸道疾病</w:t>
      </w:r>
      <w:r>
        <w:rPr>
          <w:rFonts w:hint="eastAsia"/>
        </w:rPr>
        <w:t>”</w:t>
      </w:r>
      <w:r>
        <w:t>。</w:t>
      </w:r>
    </w:p>
    <w:p w:rsidR="00000000" w:rsidRDefault="009C1C61">
      <w:r>
        <w:rPr>
          <w:rFonts w:hint="eastAsia"/>
        </w:rPr>
        <w:tab/>
      </w:r>
      <w:r>
        <w:t>243.</w:t>
      </w:r>
      <w:r>
        <w:rPr>
          <w:rFonts w:hint="eastAsia"/>
        </w:rPr>
        <w:t xml:space="preserve">  </w:t>
      </w:r>
      <w:r>
        <w:t>1995</w:t>
      </w:r>
      <w:r>
        <w:t>至</w:t>
      </w:r>
      <w:r>
        <w:t>1996</w:t>
      </w:r>
      <w:r>
        <w:t>年期间</w:t>
      </w:r>
      <w:r>
        <w:rPr>
          <w:rFonts w:hint="eastAsia"/>
        </w:rPr>
        <w:t>发生</w:t>
      </w:r>
      <w:r>
        <w:t>80%</w:t>
      </w:r>
      <w:r>
        <w:t>以上职业病</w:t>
      </w:r>
      <w:r>
        <w:rPr>
          <w:rFonts w:hint="eastAsia"/>
        </w:rPr>
        <w:t>的</w:t>
      </w:r>
      <w:r>
        <w:t>经济活动部门是金融服务</w:t>
      </w:r>
      <w:r>
        <w:rPr>
          <w:rFonts w:hint="eastAsia"/>
        </w:rPr>
        <w:t>业</w:t>
      </w:r>
      <w:r>
        <w:t>、工业、农业和商业。</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工作事故造成的死亡</w:t>
      </w:r>
    </w:p>
    <w:p w:rsidR="00000000" w:rsidRDefault="009C1C61">
      <w:pPr>
        <w:spacing w:after="240"/>
        <w:rPr>
          <w:rFonts w:hint="eastAsia"/>
        </w:rPr>
      </w:pPr>
      <w:r>
        <w:rPr>
          <w:rFonts w:hint="eastAsia"/>
        </w:rPr>
        <w:tab/>
      </w:r>
      <w:r>
        <w:t>244.</w:t>
      </w:r>
      <w:r>
        <w:rPr>
          <w:rFonts w:hint="eastAsia"/>
        </w:rPr>
        <w:t xml:space="preserve">  </w:t>
      </w:r>
      <w:r>
        <w:t>1995</w:t>
      </w:r>
      <w:r>
        <w:t>至</w:t>
      </w:r>
      <w:r>
        <w:t>1998</w:t>
      </w:r>
      <w:r>
        <w:t>年期间，</w:t>
      </w:r>
      <w:r>
        <w:rPr>
          <w:rFonts w:hint="eastAsia"/>
        </w:rPr>
        <w:t>附</w:t>
      </w:r>
      <w:r>
        <w:t>属互助协会的工人死亡率基本稳定，</w:t>
      </w:r>
      <w:r>
        <w:t xml:space="preserve"> </w:t>
      </w:r>
      <w:r>
        <w:rPr>
          <w:rFonts w:hint="eastAsia"/>
        </w:rPr>
        <w:t>在</w:t>
      </w:r>
      <w:r>
        <w:t>1</w:t>
      </w:r>
      <w:r>
        <w:t>2/1</w:t>
      </w:r>
      <w:r>
        <w:rPr>
          <w:rFonts w:hint="eastAsia"/>
        </w:rPr>
        <w:t>0</w:t>
      </w:r>
      <w:r>
        <w:t>00</w:t>
      </w:r>
      <w:r>
        <w:t>工人</w:t>
      </w:r>
      <w:r>
        <w:t>(294</w:t>
      </w:r>
      <w:r>
        <w:t>人死亡</w:t>
      </w:r>
      <w:r>
        <w:t>)</w:t>
      </w:r>
      <w:r>
        <w:t>和</w:t>
      </w:r>
      <w:r>
        <w:t>13/1000</w:t>
      </w:r>
      <w:r>
        <w:t>工人</w:t>
      </w:r>
      <w:r>
        <w:t>(326</w:t>
      </w:r>
      <w:r>
        <w:t>人死亡</w:t>
      </w:r>
      <w:r>
        <w:t>)</w:t>
      </w:r>
      <w:r>
        <w:rPr>
          <w:rFonts w:hint="eastAsia"/>
        </w:rPr>
        <w:t>之间</w:t>
      </w:r>
      <w:r>
        <w:t>，而</w:t>
      </w:r>
      <w:r>
        <w:t>1999</w:t>
      </w:r>
      <w:r>
        <w:t>和</w:t>
      </w:r>
      <w:r>
        <w:t>2001</w:t>
      </w:r>
      <w:r>
        <w:t>年期间的死亡人数在</w:t>
      </w:r>
      <w:r>
        <w:t>12.43/100,00</w:t>
      </w:r>
      <w:r>
        <w:rPr>
          <w:rFonts w:hint="eastAsia"/>
        </w:rPr>
        <w:t>0</w:t>
      </w:r>
      <w:r>
        <w:rPr>
          <w:rFonts w:hint="eastAsia"/>
        </w:rPr>
        <w:t>工人</w:t>
      </w:r>
      <w:r>
        <w:t>(261</w:t>
      </w:r>
      <w:r>
        <w:t>人死亡</w:t>
      </w:r>
      <w:r>
        <w:t>)</w:t>
      </w:r>
      <w:r>
        <w:t>和</w:t>
      </w:r>
      <w:r>
        <w:rPr>
          <w:rFonts w:hint="eastAsia"/>
        </w:rPr>
        <w:t>1</w:t>
      </w:r>
      <w:r>
        <w:t>1.68</w:t>
      </w:r>
      <w:r>
        <w:rPr>
          <w:rFonts w:hint="eastAsia"/>
        </w:rPr>
        <w:t>/</w:t>
      </w:r>
      <w:r>
        <w:t>100,000</w:t>
      </w:r>
      <w:r>
        <w:t>工人</w:t>
      </w:r>
      <w:r>
        <w:t>(30</w:t>
      </w:r>
      <w:r>
        <w:rPr>
          <w:rFonts w:hint="eastAsia"/>
        </w:rPr>
        <w:t>2</w:t>
      </w:r>
      <w:r>
        <w:t>人死亡</w:t>
      </w:r>
      <w:r>
        <w:t>)</w:t>
      </w:r>
      <w:r>
        <w:rPr>
          <w:rFonts w:hint="eastAsia"/>
        </w:rPr>
        <w:t>之间</w:t>
      </w:r>
      <w:r>
        <w:t>。</w:t>
      </w:r>
    </w:p>
    <w:p w:rsidR="00000000" w:rsidRDefault="009C1C61">
      <w:pPr>
        <w:pStyle w:val="Heading4"/>
        <w:spacing w:after="120"/>
        <w:rPr>
          <w:rFonts w:ascii="Time New Roman" w:eastAsia="SimHei" w:hAnsi="Time New Roman"/>
          <w:u w:val="none"/>
        </w:rPr>
      </w:pPr>
      <w:r>
        <w:rPr>
          <w:rFonts w:ascii="Time New Roman" w:eastAsia="SimHei" w:hAnsi="Time New Roman" w:hint="eastAsia"/>
          <w:u w:val="none"/>
        </w:rPr>
        <w:t>休息、娱乐、工作时间、带薪假日</w:t>
      </w:r>
    </w:p>
    <w:p w:rsidR="00000000" w:rsidRDefault="009C1C61">
      <w:r>
        <w:rPr>
          <w:rFonts w:hint="eastAsia"/>
        </w:rPr>
        <w:tab/>
      </w:r>
      <w:r>
        <w:t>245.</w:t>
      </w:r>
      <w:r>
        <w:rPr>
          <w:rFonts w:hint="eastAsia"/>
        </w:rPr>
        <w:t xml:space="preserve">  </w:t>
      </w:r>
      <w:r>
        <w:t>智利的劳工立法规定，一般工作</w:t>
      </w:r>
      <w:r>
        <w:rPr>
          <w:rFonts w:hint="eastAsia"/>
        </w:rPr>
        <w:t>周不得超过</w:t>
      </w:r>
      <w:r>
        <w:t>48</w:t>
      </w:r>
      <w:r>
        <w:t>小时。</w:t>
      </w:r>
      <w:r>
        <w:rPr>
          <w:rFonts w:hint="eastAsia"/>
        </w:rPr>
        <w:t>凡</w:t>
      </w:r>
      <w:r>
        <w:t>超过</w:t>
      </w:r>
      <w:r>
        <w:rPr>
          <w:rFonts w:hint="eastAsia"/>
        </w:rPr>
        <w:t>48</w:t>
      </w:r>
      <w:r>
        <w:rPr>
          <w:rFonts w:hint="eastAsia"/>
        </w:rPr>
        <w:t>小时的</w:t>
      </w:r>
      <w:r>
        <w:t>工作时间将</w:t>
      </w:r>
      <w:r>
        <w:rPr>
          <w:rFonts w:hint="eastAsia"/>
        </w:rPr>
        <w:t>定</w:t>
      </w:r>
      <w:r>
        <w:t>为加班时间，应当在就业合同或者在随后的文件中书面</w:t>
      </w:r>
      <w:r>
        <w:rPr>
          <w:rFonts w:hint="eastAsia"/>
        </w:rPr>
        <w:t>议</w:t>
      </w:r>
      <w:r>
        <w:t>定，并支付比正常日工资高</w:t>
      </w:r>
      <w:r>
        <w:t>5</w:t>
      </w:r>
      <w:r>
        <w:rPr>
          <w:rFonts w:hint="eastAsia"/>
        </w:rPr>
        <w:t>0</w:t>
      </w:r>
      <w:r>
        <w:t>%</w:t>
      </w:r>
      <w:r>
        <w:t>的报酬。</w:t>
      </w:r>
      <w:r>
        <w:rPr>
          <w:rStyle w:val="FootnoteReference"/>
        </w:rPr>
        <w:footnoteReference w:id="62"/>
      </w:r>
      <w:r>
        <w:rPr>
          <w:rFonts w:hint="eastAsia"/>
        </w:rPr>
        <w:t xml:space="preserve"> </w:t>
      </w:r>
    </w:p>
    <w:p w:rsidR="00000000" w:rsidRDefault="009C1C61">
      <w:r>
        <w:rPr>
          <w:rFonts w:hint="eastAsia"/>
        </w:rPr>
        <w:tab/>
      </w:r>
      <w:r>
        <w:t>246.</w:t>
      </w:r>
      <w:r>
        <w:rPr>
          <w:rFonts w:hint="eastAsia"/>
        </w:rPr>
        <w:t xml:space="preserve">  </w:t>
      </w:r>
      <w:r>
        <w:t>法律还规定，星期日和法定公共节假日应当是休息日</w:t>
      </w:r>
      <w:r>
        <w:t xml:space="preserve"> </w:t>
      </w:r>
      <w:r>
        <w:rPr>
          <w:rStyle w:val="FootnoteReference"/>
        </w:rPr>
        <w:footnoteReference w:id="63"/>
      </w:r>
      <w:r>
        <w:t>，而工作一年以上的</w:t>
      </w:r>
      <w:r>
        <w:t>工人每年应有资格享</w:t>
      </w:r>
      <w:r>
        <w:rPr>
          <w:rFonts w:hint="eastAsia"/>
        </w:rPr>
        <w:t>受</w:t>
      </w:r>
      <w:r>
        <w:t>15</w:t>
      </w:r>
      <w:r>
        <w:t>天带薪年假。</w:t>
      </w:r>
      <w:r>
        <w:rPr>
          <w:rStyle w:val="FootnoteReference"/>
        </w:rPr>
        <w:footnoteReference w:id="64"/>
      </w:r>
      <w:r>
        <w:t xml:space="preserve"> </w:t>
      </w:r>
      <w:r>
        <w:t>《劳工法》还规定，工人不论是否持续性</w:t>
      </w:r>
      <w:r>
        <w:rPr>
          <w:rFonts w:hint="eastAsia"/>
          <w:lang w:val="fr-CH"/>
        </w:rPr>
        <w:t>地为一位</w:t>
      </w:r>
      <w:r>
        <w:t>或多位雇主工作</w:t>
      </w:r>
      <w:r>
        <w:rPr>
          <w:rFonts w:hint="eastAsia"/>
        </w:rPr>
        <w:t>，在工龄满</w:t>
      </w:r>
      <w:r>
        <w:t>十年之后，每增加三年的工龄，就有资格</w:t>
      </w:r>
      <w:r>
        <w:rPr>
          <w:rFonts w:hint="eastAsia"/>
        </w:rPr>
        <w:t>再</w:t>
      </w:r>
      <w:r>
        <w:t>增加一天的年假。</w:t>
      </w:r>
    </w:p>
    <w:p w:rsidR="00000000" w:rsidRDefault="009C1C61">
      <w:r>
        <w:rPr>
          <w:rFonts w:hint="eastAsia"/>
        </w:rPr>
        <w:tab/>
      </w:r>
      <w:r>
        <w:t>247.</w:t>
      </w:r>
      <w:r>
        <w:rPr>
          <w:rFonts w:hint="eastAsia"/>
        </w:rPr>
        <w:t xml:space="preserve">  </w:t>
      </w:r>
      <w:r>
        <w:t>智利</w:t>
      </w:r>
      <w:r>
        <w:rPr>
          <w:rFonts w:hint="eastAsia"/>
        </w:rPr>
        <w:t>女工</w:t>
      </w:r>
      <w:r>
        <w:t>集中</w:t>
      </w:r>
      <w:r>
        <w:rPr>
          <w:rFonts w:hint="eastAsia"/>
        </w:rPr>
        <w:t>在</w:t>
      </w:r>
      <w:r>
        <w:t>工作时间较长的服务业和</w:t>
      </w:r>
      <w:r>
        <w:rPr>
          <w:rFonts w:hint="eastAsia"/>
        </w:rPr>
        <w:t>餐饮</w:t>
      </w:r>
      <w:r>
        <w:t>部门工作；这一事实，加上从家庭到</w:t>
      </w:r>
      <w:r>
        <w:rPr>
          <w:rFonts w:hint="eastAsia"/>
        </w:rPr>
        <w:t>上班</w:t>
      </w:r>
      <w:r>
        <w:t>地点的路途以及家务负担，意味着妇女实际上没有空闲时间。立法者</w:t>
      </w:r>
      <w:r>
        <w:rPr>
          <w:rFonts w:hint="eastAsia"/>
        </w:rPr>
        <w:t>增加</w:t>
      </w:r>
      <w:r>
        <w:t>了若干规定工人每个月至少有一</w:t>
      </w:r>
      <w:r>
        <w:rPr>
          <w:rFonts w:hint="eastAsia"/>
        </w:rPr>
        <w:t>个休息</w:t>
      </w:r>
      <w:r>
        <w:t>的星期日</w:t>
      </w:r>
      <w:r>
        <w:rPr>
          <w:rFonts w:hint="eastAsia"/>
        </w:rPr>
        <w:t>的</w:t>
      </w:r>
      <w:r>
        <w:t>工</w:t>
      </w:r>
      <w:r>
        <w:rPr>
          <w:rFonts w:hint="eastAsia"/>
        </w:rPr>
        <w:t>种</w:t>
      </w:r>
      <w:r>
        <w:t>，以作为确保工人享有最起码</w:t>
      </w:r>
      <w:r>
        <w:rPr>
          <w:rFonts w:hint="eastAsia"/>
        </w:rPr>
        <w:t>的</w:t>
      </w:r>
      <w:r>
        <w:t>休息时间</w:t>
      </w:r>
      <w:r>
        <w:rPr>
          <w:rFonts w:hint="eastAsia"/>
        </w:rPr>
        <w:t>并能</w:t>
      </w:r>
      <w:r>
        <w:t>与家人</w:t>
      </w:r>
      <w:r>
        <w:rPr>
          <w:rFonts w:hint="eastAsia"/>
        </w:rPr>
        <w:t>共度假日</w:t>
      </w:r>
      <w:r>
        <w:t>的最</w:t>
      </w:r>
      <w:r>
        <w:rPr>
          <w:rFonts w:hint="eastAsia"/>
        </w:rPr>
        <w:t>初步措施</w:t>
      </w:r>
      <w:r>
        <w:t>。</w:t>
      </w:r>
      <w:r>
        <w:rPr>
          <w:rStyle w:val="FootnoteReference"/>
        </w:rPr>
        <w:footnoteReference w:id="65"/>
      </w:r>
      <w:r>
        <w:rPr>
          <w:rFonts w:hint="eastAsia"/>
        </w:rPr>
        <w:t xml:space="preserve"> </w:t>
      </w:r>
      <w:r>
        <w:rPr>
          <w:rFonts w:hint="eastAsia"/>
        </w:rPr>
        <w:t>规定日工作时间</w:t>
      </w:r>
      <w:r>
        <w:t>超过法定</w:t>
      </w:r>
      <w:r>
        <w:t>8</w:t>
      </w:r>
      <w:r>
        <w:t>小时时间</w:t>
      </w:r>
      <w:r>
        <w:rPr>
          <w:rFonts w:hint="eastAsia"/>
        </w:rPr>
        <w:t>的购物</w:t>
      </w:r>
      <w:r>
        <w:t>中心和其他一些部门</w:t>
      </w:r>
      <w:r>
        <w:rPr>
          <w:rFonts w:hint="eastAsia"/>
        </w:rPr>
        <w:t>的</w:t>
      </w:r>
      <w:r>
        <w:t>持续营</w:t>
      </w:r>
      <w:r>
        <w:rPr>
          <w:rFonts w:hint="eastAsia"/>
        </w:rPr>
        <w:t>业</w:t>
      </w:r>
      <w:r>
        <w:t>时间，</w:t>
      </w:r>
      <w:r>
        <w:rPr>
          <w:rFonts w:hint="eastAsia"/>
        </w:rPr>
        <w:t>正</w:t>
      </w:r>
      <w:r>
        <w:rPr>
          <w:rFonts w:hint="eastAsia"/>
        </w:rPr>
        <w:t>在影响员工</w:t>
      </w:r>
      <w:r>
        <w:t>充分享</w:t>
      </w:r>
      <w:r>
        <w:rPr>
          <w:rFonts w:hint="eastAsia"/>
        </w:rPr>
        <w:t>受</w:t>
      </w:r>
      <w:r>
        <w:t>星期日的休息并对工作条件造成日趋</w:t>
      </w:r>
      <w:r>
        <w:rPr>
          <w:rFonts w:hint="eastAsia"/>
        </w:rPr>
        <w:t>有害</w:t>
      </w:r>
      <w:r>
        <w:t>的影响。</w:t>
      </w:r>
    </w:p>
    <w:p w:rsidR="00000000" w:rsidRDefault="009C1C61">
      <w:r>
        <w:rPr>
          <w:rFonts w:hint="eastAsia"/>
        </w:rPr>
        <w:tab/>
      </w:r>
      <w:r>
        <w:t>248.</w:t>
      </w:r>
      <w:r>
        <w:rPr>
          <w:rFonts w:hint="eastAsia"/>
        </w:rPr>
        <w:t xml:space="preserve">  </w:t>
      </w:r>
      <w:r>
        <w:t>在确立</w:t>
      </w:r>
      <w:r>
        <w:rPr>
          <w:rFonts w:hint="eastAsia"/>
        </w:rPr>
        <w:t>起私人家庭女性佣工的法定工作时间和最低报酬之前，女性家庭佣工未列为工作人员应得的一般法律保护之对象。</w:t>
      </w:r>
      <w:r>
        <w:rPr>
          <w:rStyle w:val="FootnoteReference"/>
        </w:rPr>
        <w:footnoteReference w:id="66"/>
      </w:r>
    </w:p>
    <w:p w:rsidR="00000000" w:rsidRDefault="009C1C61">
      <w:pPr>
        <w:spacing w:after="240"/>
      </w:pPr>
      <w:r>
        <w:rPr>
          <w:rFonts w:hint="eastAsia"/>
        </w:rPr>
        <w:tab/>
      </w:r>
      <w:r>
        <w:t>249.</w:t>
      </w:r>
      <w:r>
        <w:rPr>
          <w:rFonts w:hint="eastAsia"/>
        </w:rPr>
        <w:t xml:space="preserve">  </w:t>
      </w:r>
      <w:r>
        <w:rPr>
          <w:rFonts w:hint="eastAsia"/>
        </w:rPr>
        <w:t>家务之外增添了有薪工作</w:t>
      </w:r>
      <w:r>
        <w:t>，</w:t>
      </w:r>
      <w:r>
        <w:rPr>
          <w:rFonts w:hint="eastAsia"/>
        </w:rPr>
        <w:t>加重了</w:t>
      </w:r>
      <w:r>
        <w:t>妇女</w:t>
      </w:r>
      <w:r>
        <w:rPr>
          <w:rFonts w:hint="eastAsia"/>
        </w:rPr>
        <w:t>肩上的责任，既要</w:t>
      </w:r>
      <w:r>
        <w:t>在家</w:t>
      </w:r>
      <w:r>
        <w:rPr>
          <w:rFonts w:hint="eastAsia"/>
        </w:rPr>
        <w:t>务</w:t>
      </w:r>
      <w:r>
        <w:t>和</w:t>
      </w:r>
      <w:r>
        <w:rPr>
          <w:rFonts w:hint="eastAsia"/>
        </w:rPr>
        <w:t>有</w:t>
      </w:r>
      <w:r>
        <w:t>薪工作之间分配好时间</w:t>
      </w:r>
      <w:r>
        <w:rPr>
          <w:rFonts w:hint="eastAsia"/>
        </w:rPr>
        <w:t>又要考虑</w:t>
      </w:r>
      <w:r>
        <w:t>如何</w:t>
      </w:r>
      <w:r>
        <w:rPr>
          <w:rFonts w:hint="eastAsia"/>
        </w:rPr>
        <w:t>调整</w:t>
      </w:r>
      <w:r>
        <w:t>工作</w:t>
      </w:r>
      <w:r>
        <w:rPr>
          <w:rFonts w:hint="eastAsia"/>
        </w:rPr>
        <w:t>负担</w:t>
      </w:r>
      <w:r>
        <w:t>，</w:t>
      </w:r>
      <w:r>
        <w:rPr>
          <w:rFonts w:hint="eastAsia"/>
        </w:rPr>
        <w:t>同时挑起两付担子</w:t>
      </w:r>
      <w:r>
        <w:t>。总的来说，男性从事</w:t>
      </w:r>
      <w:r>
        <w:rPr>
          <w:rFonts w:hint="eastAsia"/>
        </w:rPr>
        <w:t>有</w:t>
      </w:r>
      <w:r>
        <w:t>薪工作和休息的时间均比妇女多。妇女</w:t>
      </w:r>
      <w:r>
        <w:rPr>
          <w:rFonts w:hint="eastAsia"/>
        </w:rPr>
        <w:t>花费</w:t>
      </w:r>
      <w:r>
        <w:t>更多的时间操持家务，休息和娱乐的时间较少。尽管周末男女双方均花费较多时间操持家务，妇女做家务的时间</w:t>
      </w:r>
      <w:r>
        <w:rPr>
          <w:rFonts w:hint="eastAsia"/>
        </w:rPr>
        <w:t>还</w:t>
      </w:r>
      <w:r>
        <w:t>是</w:t>
      </w:r>
      <w:r>
        <w:rPr>
          <w:rFonts w:hint="eastAsia"/>
        </w:rPr>
        <w:t>比</w:t>
      </w:r>
      <w:r>
        <w:t>男性</w:t>
      </w:r>
      <w:r>
        <w:rPr>
          <w:rFonts w:hint="eastAsia"/>
        </w:rPr>
        <w:t>多一</w:t>
      </w:r>
      <w:r>
        <w:t>倍。</w:t>
      </w:r>
      <w:r>
        <w:rPr>
          <w:rStyle w:val="FootnoteReference"/>
        </w:rPr>
        <w:footnoteReference w:id="67"/>
      </w:r>
    </w:p>
    <w:p w:rsidR="00000000" w:rsidRDefault="009C1C61">
      <w:pPr>
        <w:pStyle w:val="Heading3"/>
        <w:spacing w:after="120"/>
        <w:rPr>
          <w:rFonts w:hint="eastAsia"/>
        </w:rPr>
      </w:pPr>
      <w:r>
        <w:rPr>
          <w:rFonts w:hint="eastAsia"/>
        </w:rPr>
        <w:t>第</w:t>
      </w:r>
      <w:r>
        <w:rPr>
          <w:rFonts w:hint="eastAsia"/>
        </w:rPr>
        <w:t xml:space="preserve"> </w:t>
      </w:r>
      <w:r>
        <w:rPr>
          <w:rFonts w:hint="eastAsia"/>
        </w:rPr>
        <w:t>八</w:t>
      </w:r>
      <w:r>
        <w:rPr>
          <w:rFonts w:hint="eastAsia"/>
        </w:rPr>
        <w:t xml:space="preserve"> </w:t>
      </w:r>
      <w:r>
        <w:t>条</w:t>
      </w:r>
    </w:p>
    <w:p w:rsidR="00000000" w:rsidRDefault="009C1C61">
      <w:pPr>
        <w:pStyle w:val="Heading3"/>
        <w:spacing w:after="240"/>
      </w:pPr>
      <w:r>
        <w:rPr>
          <w:rFonts w:hint="eastAsia"/>
        </w:rPr>
        <w:t>工</w:t>
      </w:r>
      <w:r>
        <w:rPr>
          <w:rFonts w:hint="eastAsia"/>
        </w:rPr>
        <w:t xml:space="preserve"> </w:t>
      </w:r>
      <w:r>
        <w:rPr>
          <w:rFonts w:hint="eastAsia"/>
        </w:rPr>
        <w:t>会</w:t>
      </w:r>
      <w:r>
        <w:rPr>
          <w:rFonts w:hint="eastAsia"/>
        </w:rPr>
        <w:t xml:space="preserve"> </w:t>
      </w:r>
      <w:r>
        <w:rPr>
          <w:rFonts w:hint="eastAsia"/>
        </w:rPr>
        <w:t>权</w:t>
      </w:r>
      <w:r>
        <w:rPr>
          <w:rFonts w:hint="eastAsia"/>
        </w:rPr>
        <w:t xml:space="preserve"> </w:t>
      </w:r>
      <w:r>
        <w:rPr>
          <w:rFonts w:hint="eastAsia"/>
        </w:rPr>
        <w:t>利</w:t>
      </w:r>
    </w:p>
    <w:p w:rsidR="00000000" w:rsidRDefault="009C1C61">
      <w:pPr>
        <w:pStyle w:val="Heading4"/>
        <w:spacing w:after="120"/>
        <w:rPr>
          <w:rFonts w:ascii="Time New Roman" w:eastAsia="SimHei" w:hAnsi="Time New Roman"/>
          <w:u w:val="none"/>
        </w:rPr>
      </w:pPr>
      <w:r>
        <w:rPr>
          <w:rFonts w:ascii="Time New Roman" w:eastAsia="SimHei" w:hAnsi="Time New Roman" w:hint="eastAsia"/>
          <w:u w:val="none"/>
        </w:rPr>
        <w:t>组建和参加工会的条件</w:t>
      </w:r>
    </w:p>
    <w:p w:rsidR="00000000" w:rsidRDefault="009C1C61">
      <w:pPr>
        <w:pStyle w:val="cdL1"/>
        <w:rPr>
          <w:spacing w:val="10"/>
        </w:rPr>
      </w:pPr>
      <w:r>
        <w:rPr>
          <w:rFonts w:hint="eastAsia"/>
          <w:spacing w:val="10"/>
        </w:rPr>
        <w:tab/>
      </w:r>
      <w:r>
        <w:rPr>
          <w:spacing w:val="10"/>
        </w:rPr>
        <w:t>250.</w:t>
      </w:r>
      <w:r>
        <w:rPr>
          <w:rFonts w:hint="eastAsia"/>
          <w:spacing w:val="10"/>
        </w:rPr>
        <w:t xml:space="preserve">  </w:t>
      </w:r>
      <w:r>
        <w:rPr>
          <w:spacing w:val="10"/>
        </w:rPr>
        <w:t>组建工会必须符合下列规定：</w:t>
      </w:r>
    </w:p>
    <w:p w:rsidR="00000000" w:rsidRDefault="009C1C61">
      <w:pPr>
        <w:numPr>
          <w:ilvl w:val="0"/>
          <w:numId w:val="249"/>
        </w:numPr>
      </w:pPr>
      <w:r>
        <w:t>必须</w:t>
      </w:r>
      <w:r>
        <w:rPr>
          <w:rFonts w:hint="eastAsia"/>
        </w:rPr>
        <w:t>召开</w:t>
      </w:r>
      <w:r>
        <w:t>工人</w:t>
      </w:r>
      <w:r>
        <w:rPr>
          <w:rFonts w:hint="eastAsia"/>
        </w:rPr>
        <w:t>大</w:t>
      </w:r>
      <w:r>
        <w:t>会</w:t>
      </w:r>
      <w:r>
        <w:rPr>
          <w:rFonts w:hint="eastAsia"/>
        </w:rPr>
        <w:t>，但须达到</w:t>
      </w:r>
      <w:r>
        <w:t>法定</w:t>
      </w:r>
      <w:r>
        <w:rPr>
          <w:rFonts w:hint="eastAsia"/>
        </w:rPr>
        <w:t>最低</w:t>
      </w:r>
      <w:r>
        <w:t>人数，。法定人数</w:t>
      </w:r>
      <w:r>
        <w:rPr>
          <w:rFonts w:hint="eastAsia"/>
        </w:rPr>
        <w:t>，</w:t>
      </w:r>
      <w:r>
        <w:t>多少不一</w:t>
      </w:r>
      <w:r>
        <w:rPr>
          <w:rFonts w:hint="eastAsia"/>
        </w:rPr>
        <w:t>，得取决于所</w:t>
      </w:r>
      <w:r>
        <w:t>建立的工会类型以及企业的规模。</w:t>
      </w:r>
    </w:p>
    <w:p w:rsidR="00000000" w:rsidRDefault="009C1C61">
      <w:pPr>
        <w:numPr>
          <w:ilvl w:val="0"/>
          <w:numId w:val="249"/>
        </w:numPr>
      </w:pPr>
      <w:r>
        <w:rPr>
          <w:rFonts w:hint="eastAsia"/>
        </w:rPr>
        <w:t>这次工人大会必须批准工会章程，并且选出管理委员会。所有这些情况都必须形成会议记录。</w:t>
      </w:r>
    </w:p>
    <w:p w:rsidR="00000000" w:rsidRDefault="009C1C61">
      <w:pPr>
        <w:numPr>
          <w:ilvl w:val="0"/>
          <w:numId w:val="249"/>
        </w:numPr>
      </w:pPr>
      <w:r>
        <w:t>为</w:t>
      </w:r>
      <w:r>
        <w:rPr>
          <w:rFonts w:hint="eastAsia"/>
        </w:rPr>
        <w:t>使</w:t>
      </w:r>
      <w:r>
        <w:t>组建工会的行为有效，必须有一名公共官员出席。这位公共官员可以是工</w:t>
      </w:r>
      <w:r>
        <w:rPr>
          <w:rFonts w:hint="eastAsia"/>
        </w:rPr>
        <w:t>厂监</w:t>
      </w:r>
      <w:r>
        <w:t>察员、公证人、</w:t>
      </w:r>
      <w:r>
        <w:rPr>
          <w:rFonts w:hint="eastAsia"/>
        </w:rPr>
        <w:t>民事</w:t>
      </w:r>
      <w:r>
        <w:t>注册局官员或者</w:t>
      </w:r>
      <w:r>
        <w:rPr>
          <w:rFonts w:hint="eastAsia"/>
        </w:rPr>
        <w:t>由</w:t>
      </w:r>
      <w:r>
        <w:t>劳工局指定的国家行政部门官员，或者工会章程指定的任何人。</w:t>
      </w:r>
    </w:p>
    <w:p w:rsidR="00000000" w:rsidRDefault="009C1C61">
      <w:pPr>
        <w:numPr>
          <w:ilvl w:val="0"/>
          <w:numId w:val="249"/>
        </w:numPr>
        <w:rPr>
          <w:rFonts w:hint="eastAsia"/>
        </w:rPr>
      </w:pPr>
      <w:r>
        <w:t>所有的选票必须</w:t>
      </w:r>
      <w:r>
        <w:rPr>
          <w:rFonts w:hint="eastAsia"/>
        </w:rPr>
        <w:t>由个人</w:t>
      </w:r>
      <w:r>
        <w:t>无记名</w:t>
      </w:r>
      <w:r>
        <w:rPr>
          <w:rFonts w:hint="eastAsia"/>
        </w:rPr>
        <w:t>的填写</w:t>
      </w:r>
      <w:r>
        <w:t>。</w:t>
      </w:r>
    </w:p>
    <w:p w:rsidR="00000000" w:rsidRDefault="009C1C61">
      <w:pPr>
        <w:numPr>
          <w:ilvl w:val="0"/>
          <w:numId w:val="249"/>
        </w:numPr>
      </w:pPr>
      <w:r>
        <w:rPr>
          <w:rFonts w:hint="eastAsia"/>
        </w:rPr>
        <w:t>组建工会的原始纪录，须连同经过受委派公共</w:t>
      </w:r>
      <w:r>
        <w:rPr>
          <w:rFonts w:hint="eastAsia"/>
        </w:rPr>
        <w:t>官员核证的工会章程的副本一式两份一并交存工会所属的劳工监察处。</w:t>
      </w:r>
    </w:p>
    <w:p w:rsidR="00000000" w:rsidRDefault="009C1C61">
      <w:pPr>
        <w:numPr>
          <w:ilvl w:val="0"/>
          <w:numId w:val="249"/>
        </w:numPr>
        <w:rPr>
          <w:rFonts w:hint="eastAsia"/>
          <w:snapToGrid/>
        </w:rPr>
      </w:pPr>
      <w:r>
        <w:rPr>
          <w:rFonts w:hint="eastAsia"/>
          <w:snapToGrid/>
        </w:rPr>
        <w:t>这些文件必须从组建大会召开之日起不间断的</w:t>
      </w:r>
      <w:r>
        <w:rPr>
          <w:snapToGrid/>
        </w:rPr>
        <w:t>15</w:t>
      </w:r>
      <w:r>
        <w:rPr>
          <w:rFonts w:hint="eastAsia"/>
          <w:snapToGrid/>
        </w:rPr>
        <w:t>天内交存。</w:t>
      </w:r>
    </w:p>
    <w:p w:rsidR="00000000" w:rsidRDefault="009C1C61">
      <w:pPr>
        <w:numPr>
          <w:ilvl w:val="0"/>
          <w:numId w:val="249"/>
        </w:numPr>
        <w:rPr>
          <w:snapToGrid/>
        </w:rPr>
      </w:pPr>
      <w:r>
        <w:rPr>
          <w:rFonts w:hint="eastAsia"/>
          <w:snapToGrid/>
        </w:rPr>
        <w:t>一俟上述</w:t>
      </w:r>
      <w:r>
        <w:rPr>
          <w:snapToGrid/>
        </w:rPr>
        <w:t>(e</w:t>
      </w:r>
      <w:r>
        <w:rPr>
          <w:rFonts w:hint="eastAsia"/>
          <w:snapToGrid/>
        </w:rPr>
        <w:t>)</w:t>
      </w:r>
      <w:r>
        <w:rPr>
          <w:rFonts w:hint="eastAsia"/>
          <w:snapToGrid/>
        </w:rPr>
        <w:t>段所述的文件交存之后，工会即获得了法人地位。</w:t>
      </w:r>
    </w:p>
    <w:p w:rsidR="00000000" w:rsidRDefault="009C1C61">
      <w:pPr>
        <w:numPr>
          <w:ilvl w:val="0"/>
          <w:numId w:val="249"/>
        </w:numPr>
        <w:rPr>
          <w:snapToGrid/>
        </w:rPr>
      </w:pPr>
      <w:r>
        <w:rPr>
          <w:rFonts w:hint="eastAsia"/>
          <w:snapToGrid/>
        </w:rPr>
        <w:t>若这些文件未按法定时限交存，必须举行新的组建大会。</w:t>
      </w:r>
    </w:p>
    <w:p w:rsidR="00000000" w:rsidRDefault="009C1C61">
      <w:pPr>
        <w:numPr>
          <w:ilvl w:val="0"/>
          <w:numId w:val="249"/>
        </w:numPr>
        <w:rPr>
          <w:snapToGrid/>
        </w:rPr>
      </w:pPr>
      <w:r>
        <w:rPr>
          <w:rFonts w:hint="eastAsia"/>
          <w:snapToGrid/>
        </w:rPr>
        <w:t>一旦交存了会议记录之后，劳工局可在不间断的</w:t>
      </w:r>
      <w:r>
        <w:rPr>
          <w:rFonts w:hint="eastAsia"/>
          <w:snapToGrid/>
        </w:rPr>
        <w:t>9</w:t>
      </w:r>
      <w:r>
        <w:rPr>
          <w:snapToGrid/>
        </w:rPr>
        <w:t>0</w:t>
      </w:r>
      <w:r>
        <w:rPr>
          <w:rFonts w:hint="eastAsia"/>
          <w:snapToGrid/>
        </w:rPr>
        <w:t>天期限内，基于工会的建立不符合应有的规定，或者因工会章程不符合法律规定为理由，提出反对意见。</w:t>
      </w:r>
    </w:p>
    <w:p w:rsidR="00000000" w:rsidRDefault="009C1C61">
      <w:pPr>
        <w:numPr>
          <w:ilvl w:val="0"/>
          <w:numId w:val="249"/>
        </w:numPr>
        <w:rPr>
          <w:snapToGrid/>
        </w:rPr>
      </w:pPr>
      <w:r>
        <w:rPr>
          <w:rFonts w:hint="eastAsia"/>
          <w:snapToGrid/>
        </w:rPr>
        <w:t>一旦有关工会建立和</w:t>
      </w:r>
      <w:r>
        <w:rPr>
          <w:rFonts w:hint="eastAsia"/>
          <w:snapToGrid/>
        </w:rPr>
        <w:t>/</w:t>
      </w:r>
      <w:r>
        <w:rPr>
          <w:rFonts w:hint="eastAsia"/>
          <w:snapToGrid/>
        </w:rPr>
        <w:t>或章程的意见提出之后，工会必须在接到通知书后的</w:t>
      </w:r>
      <w:r>
        <w:rPr>
          <w:rFonts w:hint="eastAsia"/>
          <w:snapToGrid/>
        </w:rPr>
        <w:t>60</w:t>
      </w:r>
      <w:r>
        <w:rPr>
          <w:rFonts w:hint="eastAsia"/>
          <w:snapToGrid/>
        </w:rPr>
        <w:t>天内，根据所发表的意见修正工会程序中的缺陷或修改工会章程，或者在</w:t>
      </w:r>
      <w:r>
        <w:rPr>
          <w:rFonts w:hint="eastAsia"/>
          <w:snapToGrid/>
        </w:rPr>
        <w:t>60</w:t>
      </w:r>
      <w:r>
        <w:rPr>
          <w:rFonts w:hint="eastAsia"/>
          <w:snapToGrid/>
        </w:rPr>
        <w:t>天</w:t>
      </w:r>
      <w:r>
        <w:rPr>
          <w:rFonts w:hint="eastAsia"/>
          <w:snapToGrid/>
        </w:rPr>
        <w:t>内向主管劳工法庭提出上诉。若不采取这些行动，工会的法人地位将自动注销。</w:t>
      </w:r>
    </w:p>
    <w:p w:rsidR="00000000" w:rsidRDefault="009C1C61">
      <w:pPr>
        <w:numPr>
          <w:ilvl w:val="0"/>
          <w:numId w:val="249"/>
        </w:numPr>
        <w:rPr>
          <w:snapToGrid/>
        </w:rPr>
      </w:pPr>
      <w:r>
        <w:rPr>
          <w:rFonts w:hint="eastAsia"/>
          <w:snapToGrid/>
        </w:rPr>
        <w:t>从成立大会举行之日起，工会管理层即享有</w:t>
      </w:r>
      <w:r>
        <w:rPr>
          <w:rFonts w:hint="eastAsia"/>
          <w:snapToGrid/>
        </w:rPr>
        <w:t>(</w:t>
      </w:r>
      <w:r>
        <w:rPr>
          <w:rFonts w:hint="eastAsia"/>
          <w:snapToGrid/>
        </w:rPr>
        <w:t>从未经法庭的事先批准不得解散的意义上来讲的</w:t>
      </w:r>
      <w:r>
        <w:rPr>
          <w:rFonts w:hint="eastAsia"/>
          <w:snapToGrid/>
        </w:rPr>
        <w:t>)</w:t>
      </w:r>
      <w:r>
        <w:rPr>
          <w:rFonts w:hint="eastAsia"/>
          <w:snapToGrid/>
        </w:rPr>
        <w:t>豁免权。若会议记录未在上述</w:t>
      </w:r>
      <w:r>
        <w:rPr>
          <w:snapToGrid/>
        </w:rPr>
        <w:t>(f</w:t>
      </w:r>
      <w:r>
        <w:rPr>
          <w:rFonts w:hint="eastAsia"/>
          <w:snapToGrid/>
        </w:rPr>
        <w:t>)</w:t>
      </w:r>
      <w:r>
        <w:rPr>
          <w:rFonts w:hint="eastAsia"/>
          <w:snapToGrid/>
        </w:rPr>
        <w:t>段所述的时限内交存，这项豁免权将终止。</w:t>
      </w:r>
    </w:p>
    <w:p w:rsidR="00000000" w:rsidRDefault="009C1C61">
      <w:pPr>
        <w:numPr>
          <w:ilvl w:val="0"/>
          <w:numId w:val="249"/>
        </w:numPr>
        <w:rPr>
          <w:snapToGrid/>
        </w:rPr>
      </w:pPr>
      <w:r>
        <w:rPr>
          <w:rFonts w:hint="eastAsia"/>
          <w:snapToGrid/>
        </w:rPr>
        <w:t>工会委员会必须在下列工会已备案的行动和文件生效之日向企业的管理部门，如果是多企业联合工会则必须向各有关企业的管理部门提供这些有关资料：</w:t>
      </w:r>
    </w:p>
    <w:p w:rsidR="00000000" w:rsidRDefault="009C1C61">
      <w:pPr>
        <w:numPr>
          <w:ilvl w:val="1"/>
          <w:numId w:val="249"/>
        </w:numPr>
        <w:tabs>
          <w:tab w:val="clear" w:pos="650"/>
          <w:tab w:val="num" w:pos="1170"/>
        </w:tabs>
        <w:ind w:left="2170"/>
        <w:rPr>
          <w:snapToGrid/>
        </w:rPr>
      </w:pPr>
      <w:r>
        <w:rPr>
          <w:rFonts w:hint="eastAsia"/>
          <w:snapToGrid/>
        </w:rPr>
        <w:t>工会成立大会的召开和管理委员会的任命情况；</w:t>
      </w:r>
    </w:p>
    <w:p w:rsidR="00000000" w:rsidRDefault="009C1C61">
      <w:pPr>
        <w:numPr>
          <w:ilvl w:val="1"/>
          <w:numId w:val="249"/>
        </w:numPr>
        <w:tabs>
          <w:tab w:val="clear" w:pos="650"/>
          <w:tab w:val="num" w:pos="1170"/>
        </w:tabs>
        <w:ind w:left="2170"/>
        <w:rPr>
          <w:snapToGrid/>
        </w:rPr>
      </w:pPr>
      <w:r>
        <w:rPr>
          <w:rFonts w:hint="eastAsia"/>
          <w:snapToGrid/>
        </w:rPr>
        <w:t>委员会换届时的提名情况；</w:t>
      </w:r>
    </w:p>
    <w:p w:rsidR="00000000" w:rsidRDefault="009C1C61">
      <w:pPr>
        <w:numPr>
          <w:ilvl w:val="1"/>
          <w:numId w:val="249"/>
        </w:numPr>
        <w:tabs>
          <w:tab w:val="clear" w:pos="650"/>
          <w:tab w:val="num" w:pos="1170"/>
        </w:tabs>
        <w:spacing w:after="120"/>
        <w:ind w:left="2170"/>
        <w:rPr>
          <w:snapToGrid/>
        </w:rPr>
      </w:pPr>
      <w:r>
        <w:rPr>
          <w:rFonts w:hint="eastAsia"/>
          <w:snapToGrid/>
        </w:rPr>
        <w:t>工会代表的提名情况。</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工会代表</w:t>
      </w:r>
    </w:p>
    <w:p w:rsidR="00000000" w:rsidRDefault="009C1C61">
      <w:pPr>
        <w:spacing w:after="240"/>
        <w:rPr>
          <w:snapToGrid/>
        </w:rPr>
      </w:pPr>
      <w:r>
        <w:rPr>
          <w:rFonts w:hint="eastAsia"/>
          <w:snapToGrid/>
        </w:rPr>
        <w:tab/>
        <w:t xml:space="preserve">251.  </w:t>
      </w:r>
      <w:r>
        <w:rPr>
          <w:rFonts w:hint="eastAsia"/>
          <w:snapToGrid/>
        </w:rPr>
        <w:t>工会代表应由属于某个企业的工人和</w:t>
      </w:r>
      <w:r>
        <w:rPr>
          <w:rFonts w:hint="eastAsia"/>
          <w:snapToGrid/>
        </w:rPr>
        <w:t>多企业临时工会会员以及至少有八名工会会员组成但尚未选举出工会主席的会员们选举产生。</w:t>
      </w:r>
    </w:p>
    <w:p w:rsidR="00000000" w:rsidRDefault="009C1C61">
      <w:pPr>
        <w:pStyle w:val="Heading3"/>
        <w:spacing w:after="240"/>
        <w:rPr>
          <w:rFonts w:hint="eastAsia"/>
        </w:rPr>
      </w:pPr>
      <w:r>
        <w:rPr>
          <w:rFonts w:hint="eastAsia"/>
        </w:rPr>
        <w:t>按工会类型规定的组建工会的法定人数</w:t>
      </w:r>
    </w:p>
    <w:p w:rsidR="00000000" w:rsidRDefault="009C1C61">
      <w:pPr>
        <w:rPr>
          <w:snapToGrid/>
        </w:rPr>
      </w:pPr>
      <w:r>
        <w:rPr>
          <w:rFonts w:hint="eastAsia"/>
          <w:snapToGrid/>
        </w:rPr>
        <w:tab/>
      </w:r>
      <w:r>
        <w:rPr>
          <w:snapToGrid/>
        </w:rPr>
        <w:t>252.</w:t>
      </w:r>
      <w:r>
        <w:rPr>
          <w:rFonts w:hint="eastAsia"/>
          <w:snapToGrid/>
        </w:rPr>
        <w:t xml:space="preserve">  </w:t>
      </w:r>
      <w:r>
        <w:rPr>
          <w:rFonts w:hint="eastAsia"/>
          <w:snapToGrid/>
        </w:rPr>
        <w:t>对于单个企业工会：</w:t>
      </w:r>
    </w:p>
    <w:p w:rsidR="00000000" w:rsidRDefault="009C1C61">
      <w:pPr>
        <w:numPr>
          <w:ilvl w:val="0"/>
          <w:numId w:val="250"/>
        </w:numPr>
        <w:rPr>
          <w:snapToGrid/>
        </w:rPr>
      </w:pPr>
      <w:r>
        <w:rPr>
          <w:rFonts w:hint="eastAsia"/>
          <w:snapToGrid/>
        </w:rPr>
        <w:t>对于拥有</w:t>
      </w:r>
      <w:r>
        <w:rPr>
          <w:rFonts w:hint="eastAsia"/>
          <w:snapToGrid/>
        </w:rPr>
        <w:t>50</w:t>
      </w:r>
      <w:r>
        <w:rPr>
          <w:rFonts w:hint="eastAsia"/>
          <w:snapToGrid/>
        </w:rPr>
        <w:t>名或不到</w:t>
      </w:r>
      <w:r>
        <w:rPr>
          <w:rFonts w:hint="eastAsia"/>
          <w:snapToGrid/>
        </w:rPr>
        <w:t>50</w:t>
      </w:r>
      <w:r>
        <w:rPr>
          <w:rFonts w:hint="eastAsia"/>
          <w:snapToGrid/>
        </w:rPr>
        <w:t>名工人的企业，最低法定人数是</w:t>
      </w:r>
      <w:r>
        <w:rPr>
          <w:rFonts w:hint="eastAsia"/>
          <w:snapToGrid/>
        </w:rPr>
        <w:t>8</w:t>
      </w:r>
      <w:r>
        <w:rPr>
          <w:rFonts w:hint="eastAsia"/>
          <w:snapToGrid/>
        </w:rPr>
        <w:t>人，但</w:t>
      </w:r>
      <w:r>
        <w:rPr>
          <w:rFonts w:hint="eastAsia"/>
          <w:snapToGrid/>
        </w:rPr>
        <w:t>8</w:t>
      </w:r>
      <w:r>
        <w:rPr>
          <w:rFonts w:hint="eastAsia"/>
          <w:snapToGrid/>
        </w:rPr>
        <w:t>人必须占企业全体工人的</w:t>
      </w:r>
      <w:r>
        <w:rPr>
          <w:snapToGrid/>
        </w:rPr>
        <w:t>50%</w:t>
      </w:r>
      <w:r>
        <w:rPr>
          <w:rFonts w:hint="eastAsia"/>
          <w:snapToGrid/>
        </w:rPr>
        <w:t>以上；</w:t>
      </w:r>
    </w:p>
    <w:p w:rsidR="00000000" w:rsidRDefault="009C1C61">
      <w:pPr>
        <w:numPr>
          <w:ilvl w:val="0"/>
          <w:numId w:val="250"/>
        </w:numPr>
        <w:rPr>
          <w:snapToGrid/>
        </w:rPr>
      </w:pPr>
      <w:r>
        <w:rPr>
          <w:rFonts w:hint="eastAsia"/>
          <w:snapToGrid/>
        </w:rPr>
        <w:t>对于拥有</w:t>
      </w:r>
      <w:r>
        <w:rPr>
          <w:rFonts w:hint="eastAsia"/>
          <w:snapToGrid/>
        </w:rPr>
        <w:t>50</w:t>
      </w:r>
      <w:r>
        <w:rPr>
          <w:rFonts w:hint="eastAsia"/>
          <w:snapToGrid/>
        </w:rPr>
        <w:t>名以上工人的企业，若要组建工会，最低法定人数是至少占企业全体工人的</w:t>
      </w:r>
      <w:r>
        <w:rPr>
          <w:rFonts w:hint="eastAsia"/>
          <w:snapToGrid/>
        </w:rPr>
        <w:t>10%</w:t>
      </w:r>
      <w:r>
        <w:rPr>
          <w:rFonts w:hint="eastAsia"/>
          <w:snapToGrid/>
        </w:rPr>
        <w:t>的</w:t>
      </w:r>
      <w:r>
        <w:rPr>
          <w:rFonts w:hint="eastAsia"/>
          <w:snapToGrid/>
        </w:rPr>
        <w:t>25</w:t>
      </w:r>
      <w:r>
        <w:rPr>
          <w:rFonts w:hint="eastAsia"/>
          <w:snapToGrid/>
        </w:rPr>
        <w:t>人；</w:t>
      </w:r>
    </w:p>
    <w:p w:rsidR="00000000" w:rsidRDefault="009C1C61">
      <w:pPr>
        <w:numPr>
          <w:ilvl w:val="0"/>
          <w:numId w:val="250"/>
        </w:numPr>
        <w:rPr>
          <w:snapToGrid/>
        </w:rPr>
      </w:pPr>
      <w:r>
        <w:rPr>
          <w:rFonts w:hint="eastAsia"/>
          <w:snapToGrid/>
        </w:rPr>
        <w:t>对于拥有</w:t>
      </w:r>
      <w:r>
        <w:rPr>
          <w:rFonts w:hint="eastAsia"/>
          <w:snapToGrid/>
        </w:rPr>
        <w:t>250</w:t>
      </w:r>
      <w:r>
        <w:rPr>
          <w:rFonts w:hint="eastAsia"/>
          <w:snapToGrid/>
        </w:rPr>
        <w:t>名或者更多工人的企业，若要组建工会，可不计会员所占比例；</w:t>
      </w:r>
    </w:p>
    <w:p w:rsidR="00000000" w:rsidRDefault="009C1C61">
      <w:pPr>
        <w:numPr>
          <w:ilvl w:val="0"/>
          <w:numId w:val="250"/>
        </w:numPr>
        <w:rPr>
          <w:snapToGrid/>
        </w:rPr>
      </w:pPr>
      <w:r>
        <w:rPr>
          <w:rFonts w:hint="eastAsia"/>
          <w:snapToGrid/>
        </w:rPr>
        <w:t>在拥有一个分部以上的企业中，</w:t>
      </w:r>
      <w:r>
        <w:rPr>
          <w:rFonts w:hint="eastAsia"/>
          <w:snapToGrid/>
        </w:rPr>
        <w:t xml:space="preserve"> </w:t>
      </w:r>
      <w:r>
        <w:rPr>
          <w:rFonts w:hint="eastAsia"/>
          <w:snapToGrid/>
        </w:rPr>
        <w:t>则至少占该分部工人</w:t>
      </w:r>
      <w:r>
        <w:rPr>
          <w:rFonts w:hint="eastAsia"/>
          <w:snapToGrid/>
        </w:rPr>
        <w:t>40%</w:t>
      </w:r>
      <w:r>
        <w:rPr>
          <w:rFonts w:hint="eastAsia"/>
          <w:snapToGrid/>
        </w:rPr>
        <w:t>的</w:t>
      </w:r>
      <w:r>
        <w:rPr>
          <w:rFonts w:hint="eastAsia"/>
          <w:snapToGrid/>
        </w:rPr>
        <w:t>25</w:t>
      </w:r>
      <w:r>
        <w:rPr>
          <w:rFonts w:hint="eastAsia"/>
          <w:snapToGrid/>
        </w:rPr>
        <w:t>名工人即可以组建工会。</w:t>
      </w:r>
    </w:p>
    <w:p w:rsidR="00000000" w:rsidRDefault="009C1C61">
      <w:pPr>
        <w:rPr>
          <w:snapToGrid/>
        </w:rPr>
      </w:pPr>
      <w:r>
        <w:rPr>
          <w:rFonts w:hint="eastAsia"/>
          <w:snapToGrid/>
        </w:rPr>
        <w:tab/>
      </w:r>
      <w:r>
        <w:rPr>
          <w:snapToGrid/>
        </w:rPr>
        <w:t>253</w:t>
      </w:r>
      <w:r>
        <w:rPr>
          <w:snapToGrid/>
        </w:rPr>
        <w:t>.</w:t>
      </w:r>
      <w:r>
        <w:rPr>
          <w:rFonts w:hint="eastAsia"/>
          <w:snapToGrid/>
        </w:rPr>
        <w:t xml:space="preserve">  </w:t>
      </w:r>
      <w:r>
        <w:rPr>
          <w:rFonts w:hint="eastAsia"/>
          <w:snapToGrid/>
        </w:rPr>
        <w:t>对于拥有零工或临时工的多企业联合工会，至少须有</w:t>
      </w:r>
      <w:r>
        <w:rPr>
          <w:rFonts w:hint="eastAsia"/>
          <w:snapToGrid/>
        </w:rPr>
        <w:t>25</w:t>
      </w:r>
      <w:r>
        <w:rPr>
          <w:rFonts w:hint="eastAsia"/>
          <w:snapToGrid/>
        </w:rPr>
        <w:t>名工人参与组建工作。法律只允许无限期合同工人参加工会。一旦工会成立之后，定期合同或包工合同的工人才可加入。属于此种工会的工人，即便他们没有提供服务，仍能保留工会会员资格。</w:t>
      </w:r>
    </w:p>
    <w:p w:rsidR="00000000" w:rsidRDefault="009C1C61">
      <w:pPr>
        <w:spacing w:after="240"/>
        <w:rPr>
          <w:snapToGrid/>
        </w:rPr>
      </w:pPr>
      <w:r>
        <w:rPr>
          <w:rFonts w:hint="eastAsia"/>
          <w:snapToGrid/>
        </w:rPr>
        <w:tab/>
      </w:r>
      <w:r>
        <w:rPr>
          <w:snapToGrid/>
        </w:rPr>
        <w:t>254.</w:t>
      </w:r>
      <w:r>
        <w:rPr>
          <w:rFonts w:hint="eastAsia"/>
          <w:snapToGrid/>
        </w:rPr>
        <w:t xml:space="preserve">  </w:t>
      </w:r>
      <w:r>
        <w:rPr>
          <w:rFonts w:hint="eastAsia"/>
          <w:snapToGrid/>
        </w:rPr>
        <w:t>至于独立从业人员的工会，根据法律，至少须有</w:t>
      </w:r>
      <w:r>
        <w:rPr>
          <w:rFonts w:hint="eastAsia"/>
          <w:snapToGrid/>
        </w:rPr>
        <w:t>25</w:t>
      </w:r>
      <w:r>
        <w:rPr>
          <w:rFonts w:hint="eastAsia"/>
          <w:snapToGrid/>
        </w:rPr>
        <w:t>名工人参加，才可组成工会。</w:t>
      </w:r>
    </w:p>
    <w:p w:rsidR="00000000" w:rsidRDefault="009C1C61">
      <w:pPr>
        <w:pStyle w:val="Heading4"/>
        <w:rPr>
          <w:rFonts w:ascii="Time New Roman" w:eastAsia="SimHei" w:hAnsi="Time New Roman"/>
          <w:u w:val="none"/>
        </w:rPr>
      </w:pPr>
      <w:r>
        <w:rPr>
          <w:rFonts w:ascii="Time New Roman" w:eastAsia="SimHei" w:hAnsi="Time New Roman" w:hint="eastAsia"/>
          <w:u w:val="none"/>
        </w:rPr>
        <w:t>关于特殊类别工会的特别法律条款</w:t>
      </w:r>
    </w:p>
    <w:p w:rsidR="00000000" w:rsidRDefault="009C1C61">
      <w:pPr>
        <w:rPr>
          <w:snapToGrid/>
        </w:rPr>
      </w:pPr>
      <w:r>
        <w:rPr>
          <w:rFonts w:hint="eastAsia"/>
          <w:snapToGrid/>
        </w:rPr>
        <w:tab/>
        <w:t xml:space="preserve">255.  </w:t>
      </w:r>
      <w:r>
        <w:rPr>
          <w:rFonts w:hint="eastAsia"/>
          <w:snapToGrid/>
        </w:rPr>
        <w:t>《劳工法》第</w:t>
      </w:r>
      <w:r>
        <w:rPr>
          <w:rFonts w:hint="eastAsia"/>
          <w:snapToGrid/>
        </w:rPr>
        <w:t>216</w:t>
      </w:r>
      <w:r>
        <w:rPr>
          <w:rFonts w:hint="eastAsia"/>
          <w:snapToGrid/>
        </w:rPr>
        <w:t>条确认，根据工人提供服务的企业或若干企业，建立各不同类型的工会：或由单个企业工人组成的企业工会；或由同时为两个或更多个雇主工作的工人</w:t>
      </w:r>
      <w:r>
        <w:rPr>
          <w:rFonts w:hint="eastAsia"/>
          <w:snapToGrid/>
        </w:rPr>
        <w:t>组成的多企业工会。</w:t>
      </w:r>
    </w:p>
    <w:p w:rsidR="00000000" w:rsidRDefault="009C1C61">
      <w:pPr>
        <w:spacing w:after="240"/>
        <w:rPr>
          <w:snapToGrid/>
        </w:rPr>
      </w:pPr>
      <w:r>
        <w:rPr>
          <w:rFonts w:hint="eastAsia"/>
          <w:snapToGrid/>
        </w:rPr>
        <w:tab/>
      </w:r>
      <w:r>
        <w:rPr>
          <w:snapToGrid/>
        </w:rPr>
        <w:t>256.</w:t>
      </w:r>
      <w:r>
        <w:rPr>
          <w:rFonts w:hint="eastAsia"/>
          <w:snapToGrid/>
        </w:rPr>
        <w:t xml:space="preserve">  </w:t>
      </w:r>
      <w:r>
        <w:rPr>
          <w:rFonts w:hint="eastAsia"/>
          <w:snapToGrid/>
        </w:rPr>
        <w:t>第</w:t>
      </w:r>
      <w:r>
        <w:rPr>
          <w:rFonts w:hint="eastAsia"/>
          <w:snapToGrid/>
        </w:rPr>
        <w:t>216</w:t>
      </w:r>
      <w:r>
        <w:rPr>
          <w:rFonts w:hint="eastAsia"/>
          <w:snapToGrid/>
        </w:rPr>
        <w:t>条还首次提出根据所提供的服务性质组建工会的概念。因此，该条承认，不是专门为任何一个雇主工作的工人组成的独立从业人员工会；以及在依附或从属关系基础上提供周期性或者间歇性服务的工人组成的临时工工会。</w:t>
      </w:r>
    </w:p>
    <w:p w:rsidR="00000000" w:rsidRDefault="009C1C61">
      <w:pPr>
        <w:pStyle w:val="Heading4"/>
        <w:rPr>
          <w:rFonts w:ascii="Time New Roman" w:eastAsia="SimHei" w:hAnsi="Time New Roman"/>
          <w:u w:val="none"/>
        </w:rPr>
      </w:pPr>
      <w:r>
        <w:rPr>
          <w:rFonts w:ascii="Time New Roman" w:eastAsia="SimHei" w:hAnsi="Time New Roman" w:hint="eastAsia"/>
          <w:u w:val="none"/>
        </w:rPr>
        <w:t>对组建或参加工会权的法律限制</w:t>
      </w:r>
    </w:p>
    <w:p w:rsidR="00000000" w:rsidRDefault="009C1C61">
      <w:pPr>
        <w:rPr>
          <w:snapToGrid/>
        </w:rPr>
      </w:pPr>
      <w:r>
        <w:rPr>
          <w:rFonts w:hint="eastAsia"/>
          <w:snapToGrid/>
        </w:rPr>
        <w:tab/>
      </w:r>
      <w:r>
        <w:rPr>
          <w:snapToGrid/>
        </w:rPr>
        <w:t>257.</w:t>
      </w:r>
      <w:r>
        <w:rPr>
          <w:rFonts w:hint="eastAsia"/>
          <w:snapToGrid/>
        </w:rPr>
        <w:t xml:space="preserve">  </w:t>
      </w:r>
      <w:r>
        <w:rPr>
          <w:rFonts w:hint="eastAsia"/>
          <w:snapToGrid/>
        </w:rPr>
        <w:t>对创建、加入或退出工会没有任何法律限制。《政治宪法》承认按法律规定的情况和方式组建工会的权利。</w:t>
      </w:r>
      <w:r>
        <w:rPr>
          <w:rStyle w:val="FootnoteReference"/>
          <w:snapToGrid/>
        </w:rPr>
        <w:footnoteReference w:id="68"/>
      </w:r>
      <w:r>
        <w:rPr>
          <w:rFonts w:hint="eastAsia"/>
          <w:snapToGrid/>
        </w:rPr>
        <w:t xml:space="preserve"> </w:t>
      </w:r>
      <w:r>
        <w:rPr>
          <w:rFonts w:hint="eastAsia"/>
          <w:snapToGrid/>
        </w:rPr>
        <w:t>《劳工法》确认这项宪制权利，私营部门和国营企业工人有权组建任何他们认为合适的工会，而不必事先得到批准，。</w:t>
      </w:r>
      <w:r>
        <w:rPr>
          <w:rStyle w:val="FootnoteReference"/>
          <w:snapToGrid/>
        </w:rPr>
        <w:footnoteReference w:id="69"/>
      </w:r>
    </w:p>
    <w:p w:rsidR="00000000" w:rsidRDefault="009C1C61">
      <w:pPr>
        <w:rPr>
          <w:snapToGrid/>
        </w:rPr>
      </w:pPr>
      <w:r>
        <w:rPr>
          <w:rFonts w:hint="eastAsia"/>
          <w:snapToGrid/>
        </w:rPr>
        <w:tab/>
      </w:r>
      <w:r>
        <w:rPr>
          <w:snapToGrid/>
        </w:rPr>
        <w:t>258.</w:t>
      </w:r>
      <w:r>
        <w:rPr>
          <w:rFonts w:hint="eastAsia"/>
          <w:snapToGrid/>
        </w:rPr>
        <w:t xml:space="preserve">  </w:t>
      </w:r>
      <w:r>
        <w:rPr>
          <w:rFonts w:hint="eastAsia"/>
          <w:snapToGrid/>
        </w:rPr>
        <w:t>这项规则补</w:t>
      </w:r>
      <w:r>
        <w:rPr>
          <w:rFonts w:hint="eastAsia"/>
          <w:snapToGrid/>
        </w:rPr>
        <w:t>充了组织权原则，</w:t>
      </w:r>
      <w:r>
        <w:rPr>
          <w:rFonts w:hint="eastAsia"/>
          <w:snapToGrid/>
        </w:rPr>
        <w:t xml:space="preserve"> </w:t>
      </w:r>
      <w:r>
        <w:rPr>
          <w:rFonts w:hint="eastAsia"/>
          <w:snapToGrid/>
        </w:rPr>
        <w:t>规定工人们可按照自己的意愿，自由地退出或参加工会。</w:t>
      </w:r>
      <w:r>
        <w:rPr>
          <w:rStyle w:val="FootnoteReference"/>
          <w:snapToGrid/>
        </w:rPr>
        <w:footnoteReference w:id="70"/>
      </w:r>
      <w:r>
        <w:rPr>
          <w:rFonts w:hint="eastAsia"/>
          <w:snapToGrid/>
        </w:rPr>
        <w:t xml:space="preserve"> </w:t>
      </w:r>
      <w:r>
        <w:rPr>
          <w:rFonts w:hint="eastAsia"/>
          <w:snapToGrid/>
        </w:rPr>
        <w:t>然而，在此必须指出，根据《劳工法》第</w:t>
      </w:r>
      <w:r>
        <w:rPr>
          <w:rFonts w:hint="eastAsia"/>
          <w:snapToGrid/>
        </w:rPr>
        <w:t>217</w:t>
      </w:r>
      <w:r>
        <w:rPr>
          <w:rFonts w:hint="eastAsia"/>
          <w:snapToGrid/>
        </w:rPr>
        <w:t>条：“</w:t>
      </w:r>
      <w:r>
        <w:rPr>
          <w:rFonts w:eastAsia="KaiTi_GB2312" w:hint="eastAsia"/>
          <w:snapToGrid/>
          <w:spacing w:val="0"/>
        </w:rPr>
        <w:t>本节以及下一节不适用于国防部属下的或者通过国防部与政府相关的国营企业的官员</w:t>
      </w:r>
      <w:r>
        <w:rPr>
          <w:rFonts w:hint="eastAsia"/>
          <w:snapToGrid/>
        </w:rPr>
        <w:t>”。</w:t>
      </w:r>
    </w:p>
    <w:p w:rsidR="00000000" w:rsidRDefault="009C1C61">
      <w:pPr>
        <w:spacing w:after="240"/>
        <w:rPr>
          <w:snapToGrid/>
        </w:rPr>
      </w:pPr>
      <w:r>
        <w:rPr>
          <w:rFonts w:hint="eastAsia"/>
          <w:snapToGrid/>
        </w:rPr>
        <w:tab/>
      </w:r>
      <w:r>
        <w:rPr>
          <w:snapToGrid/>
        </w:rPr>
        <w:t>259.</w:t>
      </w:r>
      <w:r>
        <w:rPr>
          <w:rFonts w:hint="eastAsia"/>
          <w:snapToGrid/>
        </w:rPr>
        <w:t xml:space="preserve">  </w:t>
      </w:r>
      <w:r>
        <w:rPr>
          <w:rFonts w:hint="eastAsia"/>
          <w:snapToGrid/>
        </w:rPr>
        <w:t>工人加入或退出某个工会时必须遵守工会章程所载的规则，但须指出，对会员入会和退会的要求，是工会章程必须列明的最起码规则。</w:t>
      </w:r>
    </w:p>
    <w:p w:rsidR="00000000" w:rsidRDefault="009C1C61">
      <w:pPr>
        <w:pStyle w:val="Heading4"/>
        <w:spacing w:after="120"/>
        <w:rPr>
          <w:rFonts w:ascii="Time New Roman" w:eastAsia="SimHei" w:hAnsi="Time New Roman" w:hint="eastAsia"/>
          <w:u w:val="none"/>
        </w:rPr>
      </w:pPr>
      <w:r>
        <w:rPr>
          <w:rFonts w:ascii="Time New Roman" w:eastAsia="SimHei" w:hAnsi="Time New Roman" w:hint="eastAsia"/>
          <w:u w:val="none"/>
        </w:rPr>
        <w:t>保障加入工会联合会或国际工会权的措施</w:t>
      </w:r>
    </w:p>
    <w:p w:rsidR="00000000" w:rsidRDefault="009C1C61">
      <w:pPr>
        <w:rPr>
          <w:snapToGrid/>
        </w:rPr>
      </w:pPr>
      <w:r>
        <w:rPr>
          <w:rFonts w:hint="eastAsia"/>
          <w:snapToGrid/>
        </w:rPr>
        <w:tab/>
      </w:r>
      <w:r>
        <w:rPr>
          <w:snapToGrid/>
        </w:rPr>
        <w:t>260.</w:t>
      </w:r>
      <w:r>
        <w:rPr>
          <w:rFonts w:hint="eastAsia"/>
          <w:snapToGrid/>
        </w:rPr>
        <w:t xml:space="preserve">  </w:t>
      </w:r>
      <w:r>
        <w:rPr>
          <w:rFonts w:hint="eastAsia"/>
          <w:snapToGrid/>
        </w:rPr>
        <w:t>根据</w:t>
      </w:r>
      <w:r>
        <w:rPr>
          <w:snapToGrid/>
        </w:rPr>
        <w:t>《劳工法》第</w:t>
      </w:r>
      <w:r>
        <w:rPr>
          <w:snapToGrid/>
        </w:rPr>
        <w:t>213</w:t>
      </w:r>
      <w:r>
        <w:rPr>
          <w:snapToGrid/>
        </w:rPr>
        <w:t>条：</w:t>
      </w:r>
      <w:r>
        <w:rPr>
          <w:rFonts w:hint="eastAsia"/>
          <w:snapToGrid/>
        </w:rPr>
        <w:t>“</w:t>
      </w:r>
      <w:r>
        <w:rPr>
          <w:rFonts w:eastAsia="KaiTi_GB2312"/>
          <w:snapToGrid/>
          <w:spacing w:val="0"/>
        </w:rPr>
        <w:t>工会有权建立</w:t>
      </w:r>
      <w:r>
        <w:rPr>
          <w:rFonts w:eastAsia="KaiTi_GB2312" w:hint="eastAsia"/>
          <w:snapToGrid/>
          <w:spacing w:val="0"/>
        </w:rPr>
        <w:t>工会联合会</w:t>
      </w:r>
      <w:r>
        <w:rPr>
          <w:rFonts w:eastAsia="KaiTi_GB2312"/>
          <w:snapToGrid/>
          <w:spacing w:val="0"/>
        </w:rPr>
        <w:t>或</w:t>
      </w:r>
      <w:r>
        <w:rPr>
          <w:rFonts w:eastAsia="KaiTi_GB2312" w:hint="eastAsia"/>
          <w:snapToGrid/>
          <w:spacing w:val="0"/>
        </w:rPr>
        <w:t>工会</w:t>
      </w:r>
      <w:r>
        <w:rPr>
          <w:rFonts w:eastAsia="KaiTi_GB2312"/>
          <w:snapToGrid/>
          <w:spacing w:val="0"/>
        </w:rPr>
        <w:t>联</w:t>
      </w:r>
      <w:r>
        <w:rPr>
          <w:rFonts w:eastAsia="KaiTi_GB2312" w:hint="eastAsia"/>
          <w:snapToGrid/>
          <w:spacing w:val="0"/>
        </w:rPr>
        <w:t>盟</w:t>
      </w:r>
      <w:r>
        <w:rPr>
          <w:rFonts w:eastAsia="KaiTi_GB2312"/>
          <w:snapToGrid/>
          <w:spacing w:val="0"/>
        </w:rPr>
        <w:t>以及参加或退出此类联合会</w:t>
      </w:r>
      <w:r>
        <w:rPr>
          <w:rFonts w:eastAsia="KaiTi_GB2312" w:hint="eastAsia"/>
          <w:snapToGrid/>
          <w:spacing w:val="0"/>
        </w:rPr>
        <w:t>”</w:t>
      </w:r>
      <w:r>
        <w:rPr>
          <w:rFonts w:eastAsia="KaiTi_GB2312"/>
          <w:snapToGrid/>
          <w:spacing w:val="0"/>
        </w:rPr>
        <w:t>。</w:t>
      </w:r>
      <w:r>
        <w:rPr>
          <w:snapToGrid/>
        </w:rPr>
        <w:t>所有此类工会组织还</w:t>
      </w:r>
      <w:r>
        <w:rPr>
          <w:rFonts w:eastAsia="KaiTi_GB2312" w:hint="eastAsia"/>
          <w:snapToGrid/>
          <w:spacing w:val="0"/>
        </w:rPr>
        <w:t>“</w:t>
      </w:r>
      <w:r>
        <w:rPr>
          <w:rFonts w:eastAsia="KaiTi_GB2312"/>
          <w:snapToGrid/>
          <w:spacing w:val="0"/>
        </w:rPr>
        <w:t>(</w:t>
      </w:r>
      <w:r>
        <w:rPr>
          <w:rFonts w:eastAsia="KaiTi_GB2312" w:hint="eastAsia"/>
          <w:snapToGrid/>
          <w:spacing w:val="0"/>
        </w:rPr>
        <w:t>……</w:t>
      </w:r>
      <w:r>
        <w:rPr>
          <w:rFonts w:eastAsia="KaiTi_GB2312"/>
          <w:snapToGrid/>
          <w:spacing w:val="0"/>
        </w:rPr>
        <w:t>)</w:t>
      </w:r>
      <w:r>
        <w:rPr>
          <w:rFonts w:eastAsia="KaiTi_GB2312"/>
          <w:snapToGrid/>
          <w:spacing w:val="0"/>
        </w:rPr>
        <w:t>有权建立国</w:t>
      </w:r>
      <w:r>
        <w:rPr>
          <w:rFonts w:eastAsia="KaiTi_GB2312"/>
          <w:snapToGrid/>
          <w:spacing w:val="0"/>
        </w:rPr>
        <w:t>际工会组织</w:t>
      </w:r>
      <w:r>
        <w:rPr>
          <w:rFonts w:eastAsia="KaiTi_GB2312" w:hint="eastAsia"/>
          <w:snapToGrid/>
          <w:spacing w:val="0"/>
        </w:rPr>
        <w:t>，</w:t>
      </w:r>
      <w:r>
        <w:rPr>
          <w:rFonts w:eastAsia="KaiTi_GB2312"/>
          <w:snapToGrid/>
          <w:spacing w:val="0"/>
        </w:rPr>
        <w:t>按照有关章程规定和国际法</w:t>
      </w:r>
      <w:r>
        <w:rPr>
          <w:rFonts w:eastAsia="KaiTi_GB2312" w:hint="eastAsia"/>
          <w:snapToGrid/>
          <w:spacing w:val="0"/>
        </w:rPr>
        <w:t>的</w:t>
      </w:r>
      <w:r>
        <w:rPr>
          <w:rFonts w:eastAsia="KaiTi_GB2312"/>
          <w:snapToGrid/>
          <w:spacing w:val="0"/>
        </w:rPr>
        <w:t>规则、</w:t>
      </w:r>
      <w:r>
        <w:rPr>
          <w:rFonts w:eastAsia="KaiTi_GB2312" w:hint="eastAsia"/>
          <w:snapToGrid/>
          <w:spacing w:val="0"/>
        </w:rPr>
        <w:t>应</w:t>
      </w:r>
      <w:r>
        <w:rPr>
          <w:rFonts w:eastAsia="KaiTi_GB2312"/>
          <w:snapToGrid/>
          <w:spacing w:val="0"/>
        </w:rPr>
        <w:t>用</w:t>
      </w:r>
      <w:r>
        <w:rPr>
          <w:rFonts w:eastAsia="KaiTi_GB2312" w:hint="eastAsia"/>
          <w:snapToGrid/>
          <w:spacing w:val="0"/>
        </w:rPr>
        <w:t>法</w:t>
      </w:r>
      <w:r>
        <w:rPr>
          <w:rFonts w:eastAsia="KaiTi_GB2312"/>
          <w:snapToGrid/>
          <w:spacing w:val="0"/>
        </w:rPr>
        <w:t>和</w:t>
      </w:r>
      <w:r>
        <w:rPr>
          <w:rFonts w:eastAsia="KaiTi_GB2312" w:hint="eastAsia"/>
          <w:snapToGrid/>
          <w:spacing w:val="0"/>
        </w:rPr>
        <w:t>惯例</w:t>
      </w:r>
      <w:r>
        <w:rPr>
          <w:rFonts w:eastAsia="KaiTi_GB2312"/>
          <w:snapToGrid/>
          <w:spacing w:val="0"/>
        </w:rPr>
        <w:t>，加入或退出国际工会组织</w:t>
      </w:r>
      <w:r>
        <w:rPr>
          <w:rFonts w:eastAsia="KaiTi_GB2312" w:hint="eastAsia"/>
          <w:snapToGrid/>
          <w:spacing w:val="0"/>
        </w:rPr>
        <w:t>”</w:t>
      </w:r>
      <w:r>
        <w:rPr>
          <w:snapToGrid/>
        </w:rPr>
        <w:t>。</w:t>
      </w:r>
    </w:p>
    <w:p w:rsidR="00000000" w:rsidRDefault="009C1C61">
      <w:pPr>
        <w:spacing w:after="240"/>
        <w:rPr>
          <w:snapToGrid/>
        </w:rPr>
      </w:pPr>
      <w:r>
        <w:rPr>
          <w:rFonts w:hint="eastAsia"/>
          <w:snapToGrid/>
        </w:rPr>
        <w:tab/>
      </w:r>
      <w:r>
        <w:rPr>
          <w:snapToGrid/>
        </w:rPr>
        <w:t>261.</w:t>
      </w:r>
      <w:r>
        <w:rPr>
          <w:rFonts w:hint="eastAsia"/>
          <w:snapToGrid/>
        </w:rPr>
        <w:t xml:space="preserve">  </w:t>
      </w:r>
      <w:r>
        <w:rPr>
          <w:rFonts w:hint="eastAsia"/>
          <w:snapToGrid/>
        </w:rPr>
        <w:t>正如个人方面事务一样，私营部门和国家企业的工人可自由地建立任何他们认为适当的工会；这些工会应享有参加或建立工会联合会或工会联盟的同等权利。反过来，工会联盟也可建立或加入国际工会。</w:t>
      </w:r>
    </w:p>
    <w:p w:rsidR="00000000" w:rsidRDefault="009C1C61">
      <w:pPr>
        <w:pStyle w:val="Heading4"/>
        <w:spacing w:after="120"/>
        <w:rPr>
          <w:rFonts w:ascii="Time New Roman" w:eastAsia="SimHei" w:hAnsi="Time New Roman"/>
          <w:u w:val="none"/>
        </w:rPr>
      </w:pPr>
      <w:r>
        <w:rPr>
          <w:rFonts w:ascii="Time New Roman" w:eastAsia="SimHei" w:hAnsi="Time New Roman" w:hint="eastAsia"/>
          <w:u w:val="none"/>
        </w:rPr>
        <w:t>组织自由和集体谈判</w:t>
      </w:r>
    </w:p>
    <w:p w:rsidR="00000000" w:rsidRDefault="009C1C61">
      <w:pPr>
        <w:rPr>
          <w:snapToGrid/>
        </w:rPr>
      </w:pPr>
      <w:r>
        <w:rPr>
          <w:rFonts w:hint="eastAsia"/>
          <w:snapToGrid/>
        </w:rPr>
        <w:tab/>
      </w:r>
      <w:r>
        <w:rPr>
          <w:snapToGrid/>
        </w:rPr>
        <w:t>262.</w:t>
      </w:r>
      <w:r>
        <w:rPr>
          <w:rFonts w:hint="eastAsia"/>
          <w:snapToGrid/>
        </w:rPr>
        <w:t xml:space="preserve">  </w:t>
      </w:r>
      <w:r>
        <w:rPr>
          <w:rFonts w:hint="eastAsia"/>
          <w:snapToGrid/>
        </w:rPr>
        <w:t>关于组建工会的劳工立法相当完善和先进，因为这项法律是根据组织自由的原则制定的。这体现在：所有涉及工会的组建、入会和退会的规则、工会的多元化、建立工会联合会和工会联盟的权利，和法人地位的权利、只有法院</w:t>
      </w:r>
      <w:r>
        <w:rPr>
          <w:rFonts w:hint="eastAsia"/>
          <w:snapToGrid/>
        </w:rPr>
        <w:t>裁决才可解散工会，工会为通过工会本身的章程和管理工会本身的财产可以保持广泛的自主权。</w:t>
      </w:r>
    </w:p>
    <w:p w:rsidR="00000000" w:rsidRDefault="009C1C61">
      <w:pPr>
        <w:rPr>
          <w:snapToGrid/>
        </w:rPr>
      </w:pPr>
      <w:r>
        <w:rPr>
          <w:rFonts w:hint="eastAsia"/>
          <w:snapToGrid/>
        </w:rPr>
        <w:tab/>
      </w:r>
      <w:r>
        <w:rPr>
          <w:snapToGrid/>
        </w:rPr>
        <w:t>263.</w:t>
      </w:r>
      <w:r>
        <w:rPr>
          <w:rFonts w:hint="eastAsia"/>
          <w:snapToGrid/>
        </w:rPr>
        <w:t xml:space="preserve">  2001</w:t>
      </w:r>
      <w:r>
        <w:rPr>
          <w:rFonts w:hint="eastAsia"/>
          <w:snapToGrid/>
        </w:rPr>
        <w:t>年第</w:t>
      </w:r>
      <w:r>
        <w:rPr>
          <w:snapToGrid/>
        </w:rPr>
        <w:t>1975</w:t>
      </w:r>
      <w:r>
        <w:rPr>
          <w:rFonts w:hint="eastAsia"/>
          <w:snapToGrid/>
        </w:rPr>
        <w:t>9</w:t>
      </w:r>
      <w:r>
        <w:rPr>
          <w:rFonts w:hint="eastAsia"/>
          <w:snapToGrid/>
        </w:rPr>
        <w:t>号法确立了一系列保护性措施，以保障组建工会权和行使集体谈判权的自由，同时在组建工会或进行集体谈判时，保护工人免遭解雇或可能发生的其他任意迫害行为。在工会建立之后或谈判程序完成之后的</w:t>
      </w:r>
      <w:r>
        <w:rPr>
          <w:rFonts w:hint="eastAsia"/>
          <w:snapToGrid/>
        </w:rPr>
        <w:t>30</w:t>
      </w:r>
      <w:r>
        <w:rPr>
          <w:rFonts w:hint="eastAsia"/>
          <w:snapToGrid/>
        </w:rPr>
        <w:t>天内，实际上不可解雇工人。与此同时，这方面的许多管制性程序已经简化，尤其是组建工会的程序及工会按义务向劳工当局登记的义务。</w:t>
      </w:r>
    </w:p>
    <w:p w:rsidR="00000000" w:rsidRDefault="009C1C61">
      <w:pPr>
        <w:rPr>
          <w:snapToGrid/>
        </w:rPr>
      </w:pPr>
      <w:r>
        <w:rPr>
          <w:rFonts w:hint="eastAsia"/>
          <w:snapToGrid/>
        </w:rPr>
        <w:tab/>
        <w:t>2</w:t>
      </w:r>
      <w:r>
        <w:rPr>
          <w:snapToGrid/>
        </w:rPr>
        <w:t>64.</w:t>
      </w:r>
      <w:r>
        <w:rPr>
          <w:rFonts w:hint="eastAsia"/>
          <w:snapToGrid/>
        </w:rPr>
        <w:t xml:space="preserve">  </w:t>
      </w:r>
      <w:r>
        <w:rPr>
          <w:rFonts w:hint="eastAsia"/>
          <w:snapToGrid/>
        </w:rPr>
        <w:t>在这方面应当指出，按照以上所述规则，智利法律符合劳工组织关于组织权和</w:t>
      </w:r>
      <w:r>
        <w:rPr>
          <w:rFonts w:hint="eastAsia"/>
          <w:snapToGrid/>
        </w:rPr>
        <w:t>集体罢工权的第</w:t>
      </w:r>
      <w:r>
        <w:rPr>
          <w:rFonts w:hint="eastAsia"/>
          <w:snapToGrid/>
        </w:rPr>
        <w:t>87</w:t>
      </w:r>
      <w:r>
        <w:rPr>
          <w:rFonts w:hint="eastAsia"/>
          <w:snapToGrid/>
        </w:rPr>
        <w:t>和</w:t>
      </w:r>
      <w:r>
        <w:rPr>
          <w:rFonts w:hint="eastAsia"/>
          <w:snapToGrid/>
        </w:rPr>
        <w:t>98</w:t>
      </w:r>
      <w:r>
        <w:rPr>
          <w:rFonts w:hint="eastAsia"/>
          <w:snapToGrid/>
        </w:rPr>
        <w:t>号公约所载的国际文书。这两项劳工组织公约于</w:t>
      </w:r>
      <w:r>
        <w:rPr>
          <w:rFonts w:hint="eastAsia"/>
          <w:snapToGrid/>
        </w:rPr>
        <w:t>1999</w:t>
      </w:r>
      <w:r>
        <w:rPr>
          <w:rFonts w:hint="eastAsia"/>
          <w:snapToGrid/>
        </w:rPr>
        <w:t>年</w:t>
      </w:r>
      <w:r>
        <w:rPr>
          <w:rFonts w:hint="eastAsia"/>
          <w:snapToGrid/>
        </w:rPr>
        <w:t>2</w:t>
      </w:r>
      <w:r>
        <w:rPr>
          <w:rFonts w:hint="eastAsia"/>
          <w:snapToGrid/>
        </w:rPr>
        <w:t>月</w:t>
      </w:r>
      <w:r>
        <w:rPr>
          <w:rFonts w:hint="eastAsia"/>
          <w:snapToGrid/>
        </w:rPr>
        <w:t>1</w:t>
      </w:r>
      <w:r>
        <w:rPr>
          <w:rFonts w:hint="eastAsia"/>
          <w:snapToGrid/>
        </w:rPr>
        <w:t>日得到批准，并于</w:t>
      </w:r>
      <w:r>
        <w:rPr>
          <w:rFonts w:hint="eastAsia"/>
          <w:snapToGrid/>
        </w:rPr>
        <w:t>2000</w:t>
      </w:r>
      <w:r>
        <w:rPr>
          <w:rFonts w:hint="eastAsia"/>
          <w:snapToGrid/>
        </w:rPr>
        <w:t>年</w:t>
      </w:r>
      <w:r>
        <w:rPr>
          <w:rFonts w:hint="eastAsia"/>
          <w:snapToGrid/>
        </w:rPr>
        <w:t>2</w:t>
      </w:r>
      <w:r>
        <w:rPr>
          <w:rFonts w:hint="eastAsia"/>
          <w:snapToGrid/>
        </w:rPr>
        <w:t>月</w:t>
      </w:r>
      <w:r>
        <w:rPr>
          <w:rFonts w:hint="eastAsia"/>
          <w:snapToGrid/>
        </w:rPr>
        <w:t>1</w:t>
      </w:r>
      <w:r>
        <w:rPr>
          <w:rFonts w:hint="eastAsia"/>
          <w:snapToGrid/>
        </w:rPr>
        <w:t>日在国际上生效。</w:t>
      </w:r>
    </w:p>
    <w:p w:rsidR="00000000" w:rsidRDefault="009C1C61">
      <w:pPr>
        <w:spacing w:after="240"/>
        <w:rPr>
          <w:snapToGrid/>
        </w:rPr>
      </w:pPr>
      <w:r>
        <w:rPr>
          <w:rFonts w:hint="eastAsia"/>
          <w:snapToGrid/>
        </w:rPr>
        <w:tab/>
        <w:t>2</w:t>
      </w:r>
      <w:r>
        <w:rPr>
          <w:snapToGrid/>
        </w:rPr>
        <w:t>65.</w:t>
      </w:r>
      <w:r>
        <w:rPr>
          <w:rFonts w:hint="eastAsia"/>
          <w:snapToGrid/>
        </w:rPr>
        <w:t xml:space="preserve">  </w:t>
      </w:r>
      <w:r>
        <w:rPr>
          <w:rFonts w:hint="eastAsia"/>
          <w:snapToGrid/>
        </w:rPr>
        <w:t>另一方面，若雇主的某些行为在任何方面限制了工人的组织权，构成反工会的行为，则这种行为将依据新立法予以严厉的惩处。然而，由于对这类行为的确定和裁决权掌握在法庭手中，这就趋于延滞案件的审理和解决。为此，工人们往往产生其权利未得到正当维护的印象，并且由于劳资法庭的拖延产生了不确定和易受害的感觉。</w:t>
      </w:r>
    </w:p>
    <w:p w:rsidR="00000000" w:rsidRDefault="009C1C61">
      <w:pPr>
        <w:pStyle w:val="Heading4"/>
        <w:spacing w:after="120"/>
        <w:rPr>
          <w:rFonts w:ascii="Time New Roman" w:eastAsia="SimHei" w:hAnsi="Time New Roman"/>
          <w:u w:val="none"/>
        </w:rPr>
      </w:pPr>
      <w:r>
        <w:rPr>
          <w:rFonts w:ascii="Time New Roman" w:eastAsia="SimHei" w:hAnsi="Time New Roman" w:hint="eastAsia"/>
          <w:u w:val="none"/>
        </w:rPr>
        <w:t>工会的数量、组成和结构</w:t>
      </w:r>
    </w:p>
    <w:p w:rsidR="00000000" w:rsidRDefault="009C1C61">
      <w:pPr>
        <w:spacing w:after="120"/>
        <w:rPr>
          <w:rFonts w:hint="eastAsia"/>
          <w:snapToGrid/>
        </w:rPr>
      </w:pPr>
      <w:r>
        <w:rPr>
          <w:rFonts w:hint="eastAsia"/>
          <w:snapToGrid/>
        </w:rPr>
        <w:tab/>
      </w:r>
      <w:r>
        <w:rPr>
          <w:snapToGrid/>
        </w:rPr>
        <w:t>266.</w:t>
      </w:r>
      <w:r>
        <w:rPr>
          <w:rFonts w:hint="eastAsia"/>
          <w:snapToGrid/>
        </w:rPr>
        <w:t xml:space="preserve">  </w:t>
      </w:r>
      <w:r>
        <w:rPr>
          <w:rFonts w:hint="eastAsia"/>
          <w:snapToGrid/>
        </w:rPr>
        <w:t>劳工法承认单企业的工会、多企业工会、</w:t>
      </w:r>
      <w:r>
        <w:rPr>
          <w:rFonts w:hint="eastAsia"/>
          <w:snapToGrid/>
        </w:rPr>
        <w:t>独立从业人员工会和临时工工会。表</w:t>
      </w:r>
      <w:r>
        <w:rPr>
          <w:rFonts w:hint="eastAsia"/>
          <w:snapToGrid/>
        </w:rPr>
        <w:t>10</w:t>
      </w:r>
      <w:r>
        <w:rPr>
          <w:rFonts w:hint="eastAsia"/>
          <w:snapToGrid/>
        </w:rPr>
        <w:t>展示了</w:t>
      </w:r>
      <w:r>
        <w:rPr>
          <w:rFonts w:hint="eastAsia"/>
          <w:snapToGrid/>
        </w:rPr>
        <w:t>1990</w:t>
      </w:r>
      <w:r>
        <w:rPr>
          <w:rFonts w:hint="eastAsia"/>
          <w:snapToGrid/>
        </w:rPr>
        <w:t>至</w:t>
      </w:r>
      <w:r>
        <w:rPr>
          <w:rFonts w:hint="eastAsia"/>
          <w:snapToGrid/>
        </w:rPr>
        <w:t>1999</w:t>
      </w:r>
      <w:r>
        <w:rPr>
          <w:rFonts w:hint="eastAsia"/>
          <w:snapToGrid/>
        </w:rPr>
        <w:t>年期间有关此类工会组织的统计数据。</w:t>
      </w:r>
    </w:p>
    <w:p w:rsidR="00000000" w:rsidRDefault="009C1C61">
      <w:pPr>
        <w:pStyle w:val="Heading3"/>
        <w:spacing w:after="120"/>
        <w:rPr>
          <w:rFonts w:ascii="Time New Roman" w:hAnsi="Time New Roman" w:hint="eastAsia"/>
        </w:rPr>
      </w:pPr>
      <w:r>
        <w:rPr>
          <w:rFonts w:ascii="Time New Roman" w:hAnsi="Time New Roman" w:hint="eastAsia"/>
        </w:rPr>
        <w:t>表</w:t>
      </w:r>
      <w:r>
        <w:rPr>
          <w:rFonts w:ascii="Time New Roman" w:hAnsi="Time New Roman" w:hint="eastAsia"/>
        </w:rPr>
        <w:t xml:space="preserve">  </w:t>
      </w:r>
      <w:r>
        <w:rPr>
          <w:rFonts w:ascii="Time New Roman" w:hAnsi="Time New Roman" w:hint="eastAsia"/>
          <w:b/>
        </w:rPr>
        <w:t>10</w:t>
      </w:r>
      <w:r>
        <w:rPr>
          <w:rFonts w:ascii="Time New Roman" w:hAnsi="Time New Roman"/>
          <w:b/>
        </w:rPr>
        <w:br/>
        <w:t>1990</w:t>
      </w:r>
      <w:r>
        <w:rPr>
          <w:rFonts w:ascii="Time New Roman" w:hAnsi="Time New Roman"/>
        </w:rPr>
        <w:t>至</w:t>
      </w:r>
      <w:r>
        <w:rPr>
          <w:rFonts w:ascii="Time New Roman" w:hAnsi="Time New Roman"/>
          <w:b/>
        </w:rPr>
        <w:t>1999</w:t>
      </w:r>
      <w:r>
        <w:rPr>
          <w:rFonts w:ascii="Time New Roman" w:hAnsi="Time New Roman"/>
        </w:rPr>
        <w:t>年期间</w:t>
      </w:r>
      <w:r>
        <w:rPr>
          <w:rFonts w:ascii="Time New Roman" w:hAnsi="Time New Roman" w:hint="eastAsia"/>
        </w:rPr>
        <w:t>按</w:t>
      </w:r>
      <w:r>
        <w:rPr>
          <w:rFonts w:ascii="Time New Roman" w:hAnsi="Time New Roman"/>
        </w:rPr>
        <w:t>工会类型分列的工会数量变化情况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1624"/>
        <w:gridCol w:w="1624"/>
        <w:gridCol w:w="1625"/>
        <w:gridCol w:w="1624"/>
        <w:gridCol w:w="1625"/>
      </w:tblGrid>
      <w:tr w:rsidR="00000000">
        <w:tblPrEx>
          <w:tblCellMar>
            <w:top w:w="0" w:type="dxa"/>
            <w:bottom w:w="0" w:type="dxa"/>
          </w:tblCellMar>
        </w:tblPrEx>
        <w:tc>
          <w:tcPr>
            <w:tcW w:w="1288" w:type="dxa"/>
            <w:tcBorders>
              <w:bottom w:val="single" w:sz="4" w:space="0" w:color="auto"/>
            </w:tcBorders>
          </w:tcPr>
          <w:p w:rsidR="00000000" w:rsidRDefault="009C1C61">
            <w:pPr>
              <w:pStyle w:val="a2"/>
              <w:spacing w:before="120" w:after="60" w:line="264" w:lineRule="auto"/>
              <w:jc w:val="center"/>
              <w:rPr>
                <w:rFonts w:ascii="Time New Roman" w:eastAsia="SimHei" w:hAnsi="Time New Roman" w:hint="eastAsia"/>
                <w:noProof/>
                <w:snapToGrid/>
              </w:rPr>
            </w:pPr>
            <w:r>
              <w:rPr>
                <w:rFonts w:ascii="Time New Roman" w:eastAsia="SimHei" w:hAnsi="Time New Roman" w:hint="eastAsia"/>
                <w:noProof/>
                <w:snapToGrid/>
              </w:rPr>
              <w:t>年</w:t>
            </w:r>
            <w:r>
              <w:rPr>
                <w:rFonts w:ascii="Time New Roman" w:eastAsia="SimHei" w:hAnsi="Time New Roman" w:hint="eastAsia"/>
                <w:noProof/>
                <w:snapToGrid/>
              </w:rPr>
              <w:t xml:space="preserve">  </w:t>
            </w:r>
            <w:r>
              <w:rPr>
                <w:rFonts w:ascii="Time New Roman" w:eastAsia="SimHei" w:hAnsi="Time New Roman" w:hint="eastAsia"/>
                <w:noProof/>
                <w:snapToGrid/>
              </w:rPr>
              <w:t>份</w:t>
            </w:r>
          </w:p>
        </w:tc>
        <w:tc>
          <w:tcPr>
            <w:tcW w:w="1624" w:type="dxa"/>
            <w:tcBorders>
              <w:bottom w:val="single" w:sz="4" w:space="0" w:color="auto"/>
            </w:tcBorders>
          </w:tcPr>
          <w:p w:rsidR="00000000" w:rsidRDefault="009C1C61">
            <w:pPr>
              <w:pStyle w:val="a2"/>
              <w:spacing w:before="120" w:after="60" w:line="264" w:lineRule="auto"/>
              <w:jc w:val="center"/>
              <w:rPr>
                <w:rFonts w:ascii="Time New Roman" w:eastAsia="SimHei" w:hAnsi="Time New Roman" w:hint="eastAsia"/>
                <w:noProof/>
                <w:snapToGrid/>
              </w:rPr>
            </w:pPr>
            <w:r>
              <w:rPr>
                <w:rFonts w:ascii="Time New Roman" w:eastAsia="SimHei" w:hAnsi="Time New Roman" w:hint="eastAsia"/>
                <w:noProof/>
                <w:snapToGrid/>
              </w:rPr>
              <w:t>单企业工会</w:t>
            </w:r>
          </w:p>
        </w:tc>
        <w:tc>
          <w:tcPr>
            <w:tcW w:w="1624" w:type="dxa"/>
            <w:tcBorders>
              <w:bottom w:val="single" w:sz="4" w:space="0" w:color="auto"/>
            </w:tcBorders>
          </w:tcPr>
          <w:p w:rsidR="00000000" w:rsidRDefault="009C1C61">
            <w:pPr>
              <w:pStyle w:val="a2"/>
              <w:spacing w:before="120" w:after="60" w:line="264" w:lineRule="auto"/>
              <w:jc w:val="center"/>
              <w:rPr>
                <w:rFonts w:ascii="Time New Roman" w:eastAsia="SimHei" w:hAnsi="Time New Roman" w:hint="eastAsia"/>
                <w:noProof/>
                <w:snapToGrid/>
              </w:rPr>
            </w:pPr>
            <w:r>
              <w:rPr>
                <w:rFonts w:ascii="Time New Roman" w:eastAsia="SimHei" w:hAnsi="Time New Roman" w:hint="eastAsia"/>
                <w:noProof/>
                <w:snapToGrid/>
              </w:rPr>
              <w:t>多企业工会</w:t>
            </w:r>
          </w:p>
        </w:tc>
        <w:tc>
          <w:tcPr>
            <w:tcW w:w="1625" w:type="dxa"/>
            <w:tcBorders>
              <w:bottom w:val="single" w:sz="4" w:space="0" w:color="auto"/>
            </w:tcBorders>
          </w:tcPr>
          <w:p w:rsidR="00000000" w:rsidRDefault="009C1C61">
            <w:pPr>
              <w:pStyle w:val="a2"/>
              <w:spacing w:before="120" w:after="60" w:line="264" w:lineRule="auto"/>
              <w:jc w:val="center"/>
              <w:rPr>
                <w:rFonts w:ascii="Time New Roman" w:eastAsia="SimHei" w:hAnsi="Time New Roman" w:hint="eastAsia"/>
                <w:noProof/>
                <w:snapToGrid/>
                <w:spacing w:val="0"/>
              </w:rPr>
            </w:pPr>
            <w:r>
              <w:rPr>
                <w:rFonts w:ascii="Time New Roman" w:eastAsia="SimHei" w:hAnsi="Time New Roman" w:hint="eastAsia"/>
                <w:noProof/>
                <w:snapToGrid/>
                <w:spacing w:val="0"/>
              </w:rPr>
              <w:t>独立</w:t>
            </w:r>
            <w:r>
              <w:rPr>
                <w:rFonts w:ascii="Time New Roman" w:eastAsia="SimHei" w:hAnsi="Time New Roman" w:hint="eastAsia"/>
                <w:snapToGrid/>
                <w:spacing w:val="0"/>
              </w:rPr>
              <w:t>从业人员</w:t>
            </w:r>
            <w:r>
              <w:rPr>
                <w:rFonts w:ascii="Time New Roman" w:eastAsia="SimHei" w:hAnsi="Time New Roman" w:hint="eastAsia"/>
                <w:noProof/>
                <w:snapToGrid/>
                <w:spacing w:val="0"/>
              </w:rPr>
              <w:t>会</w:t>
            </w:r>
          </w:p>
        </w:tc>
        <w:tc>
          <w:tcPr>
            <w:tcW w:w="1624" w:type="dxa"/>
            <w:tcBorders>
              <w:bottom w:val="single" w:sz="4" w:space="0" w:color="auto"/>
            </w:tcBorders>
          </w:tcPr>
          <w:p w:rsidR="00000000" w:rsidRDefault="009C1C61">
            <w:pPr>
              <w:pStyle w:val="a2"/>
              <w:spacing w:before="120" w:after="60" w:line="264" w:lineRule="auto"/>
              <w:jc w:val="center"/>
              <w:rPr>
                <w:rFonts w:ascii="Time New Roman" w:eastAsia="SimHei" w:hAnsi="Time New Roman" w:hint="eastAsia"/>
                <w:noProof/>
                <w:snapToGrid/>
              </w:rPr>
            </w:pPr>
            <w:r>
              <w:rPr>
                <w:rFonts w:ascii="Time New Roman" w:eastAsia="SimHei" w:hAnsi="Time New Roman" w:hint="eastAsia"/>
                <w:noProof/>
                <w:snapToGrid/>
              </w:rPr>
              <w:t>临时工工会</w:t>
            </w:r>
          </w:p>
        </w:tc>
        <w:tc>
          <w:tcPr>
            <w:tcW w:w="1625" w:type="dxa"/>
            <w:tcBorders>
              <w:bottom w:val="single" w:sz="4" w:space="0" w:color="auto"/>
            </w:tcBorders>
          </w:tcPr>
          <w:p w:rsidR="00000000" w:rsidRDefault="009C1C61">
            <w:pPr>
              <w:pStyle w:val="a2"/>
              <w:spacing w:before="120" w:after="60" w:line="264" w:lineRule="auto"/>
              <w:jc w:val="center"/>
              <w:rPr>
                <w:rFonts w:ascii="Time New Roman" w:eastAsia="SimHei" w:hAnsi="Time New Roman" w:hint="eastAsia"/>
                <w:noProof/>
                <w:snapToGrid/>
              </w:rPr>
            </w:pPr>
            <w:r>
              <w:rPr>
                <w:rFonts w:ascii="Time New Roman" w:eastAsia="SimHei" w:hAnsi="Time New Roman" w:hint="eastAsia"/>
                <w:noProof/>
                <w:snapToGrid/>
              </w:rPr>
              <w:t>总</w:t>
            </w:r>
            <w:r>
              <w:rPr>
                <w:rFonts w:ascii="Time New Roman" w:eastAsia="SimHei" w:hAnsi="Time New Roman" w:hint="eastAsia"/>
                <w:noProof/>
                <w:snapToGrid/>
              </w:rPr>
              <w:t xml:space="preserve">  </w:t>
            </w:r>
            <w:r>
              <w:rPr>
                <w:rFonts w:ascii="Time New Roman" w:eastAsia="SimHei" w:hAnsi="Time New Roman" w:hint="eastAsia"/>
                <w:noProof/>
                <w:snapToGrid/>
              </w:rPr>
              <w:t>计</w:t>
            </w:r>
          </w:p>
        </w:tc>
      </w:tr>
      <w:tr w:rsidR="00000000">
        <w:tblPrEx>
          <w:tblCellMar>
            <w:top w:w="0" w:type="dxa"/>
            <w:bottom w:w="0" w:type="dxa"/>
          </w:tblCellMar>
        </w:tblPrEx>
        <w:tc>
          <w:tcPr>
            <w:tcW w:w="1288" w:type="dxa"/>
            <w:tcBorders>
              <w:bottom w:val="nil"/>
            </w:tcBorders>
          </w:tcPr>
          <w:p w:rsidR="00000000" w:rsidRDefault="009C1C61">
            <w:pPr>
              <w:pStyle w:val="a2"/>
              <w:spacing w:line="264" w:lineRule="auto"/>
              <w:jc w:val="center"/>
              <w:rPr>
                <w:noProof/>
                <w:snapToGrid/>
              </w:rPr>
            </w:pPr>
            <w:r>
              <w:rPr>
                <w:noProof/>
                <w:snapToGrid/>
              </w:rPr>
              <w:t>1990</w:t>
            </w:r>
          </w:p>
        </w:tc>
        <w:tc>
          <w:tcPr>
            <w:tcW w:w="1624" w:type="dxa"/>
            <w:tcBorders>
              <w:bottom w:val="nil"/>
            </w:tcBorders>
          </w:tcPr>
          <w:p w:rsidR="00000000" w:rsidRDefault="009C1C61">
            <w:pPr>
              <w:pStyle w:val="a2"/>
              <w:tabs>
                <w:tab w:val="decimal" w:pos="1127"/>
              </w:tabs>
              <w:spacing w:line="264" w:lineRule="auto"/>
              <w:rPr>
                <w:noProof/>
                <w:snapToGrid/>
              </w:rPr>
            </w:pPr>
            <w:r>
              <w:rPr>
                <w:noProof/>
                <w:snapToGrid/>
              </w:rPr>
              <w:t>5,822</w:t>
            </w:r>
          </w:p>
        </w:tc>
        <w:tc>
          <w:tcPr>
            <w:tcW w:w="1624" w:type="dxa"/>
            <w:tcBorders>
              <w:bottom w:val="nil"/>
            </w:tcBorders>
          </w:tcPr>
          <w:p w:rsidR="00000000" w:rsidRDefault="009C1C61">
            <w:pPr>
              <w:pStyle w:val="a2"/>
              <w:tabs>
                <w:tab w:val="decimal" w:pos="1127"/>
              </w:tabs>
              <w:spacing w:line="264" w:lineRule="auto"/>
              <w:rPr>
                <w:noProof/>
                <w:snapToGrid/>
              </w:rPr>
            </w:pPr>
            <w:r>
              <w:rPr>
                <w:noProof/>
                <w:snapToGrid/>
              </w:rPr>
              <w:t>676</w:t>
            </w:r>
          </w:p>
        </w:tc>
        <w:tc>
          <w:tcPr>
            <w:tcW w:w="1625" w:type="dxa"/>
            <w:tcBorders>
              <w:bottom w:val="nil"/>
            </w:tcBorders>
          </w:tcPr>
          <w:p w:rsidR="00000000" w:rsidRDefault="009C1C61">
            <w:pPr>
              <w:pStyle w:val="a2"/>
              <w:tabs>
                <w:tab w:val="decimal" w:pos="1127"/>
              </w:tabs>
              <w:spacing w:line="264" w:lineRule="auto"/>
              <w:rPr>
                <w:noProof/>
                <w:snapToGrid/>
              </w:rPr>
            </w:pPr>
            <w:r>
              <w:rPr>
                <w:noProof/>
                <w:snapToGrid/>
              </w:rPr>
              <w:t>2,039</w:t>
            </w:r>
          </w:p>
        </w:tc>
        <w:tc>
          <w:tcPr>
            <w:tcW w:w="1624" w:type="dxa"/>
            <w:tcBorders>
              <w:bottom w:val="nil"/>
            </w:tcBorders>
          </w:tcPr>
          <w:p w:rsidR="00000000" w:rsidRDefault="009C1C61">
            <w:pPr>
              <w:pStyle w:val="a2"/>
              <w:tabs>
                <w:tab w:val="decimal" w:pos="1127"/>
              </w:tabs>
              <w:spacing w:line="264" w:lineRule="auto"/>
              <w:rPr>
                <w:noProof/>
                <w:snapToGrid/>
              </w:rPr>
            </w:pPr>
            <w:r>
              <w:rPr>
                <w:noProof/>
                <w:snapToGrid/>
              </w:rPr>
              <w:t>324</w:t>
            </w:r>
          </w:p>
        </w:tc>
        <w:tc>
          <w:tcPr>
            <w:tcW w:w="1625" w:type="dxa"/>
            <w:tcBorders>
              <w:bottom w:val="nil"/>
            </w:tcBorders>
          </w:tcPr>
          <w:p w:rsidR="00000000" w:rsidRDefault="009C1C61">
            <w:pPr>
              <w:pStyle w:val="a2"/>
              <w:tabs>
                <w:tab w:val="decimal" w:pos="1127"/>
              </w:tabs>
              <w:spacing w:line="264" w:lineRule="auto"/>
              <w:rPr>
                <w:noProof/>
                <w:snapToGrid/>
              </w:rPr>
            </w:pPr>
            <w:r>
              <w:rPr>
                <w:noProof/>
                <w:snapToGrid/>
              </w:rPr>
              <w:t>8,861</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1991</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6,462</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746</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2,314</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336</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9,858</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1992</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7,037</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813</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2,560</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346</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10,756</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1993</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7,408</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861</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2,762</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358</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11,389</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1994</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7</w:t>
            </w:r>
            <w:r>
              <w:rPr>
                <w:noProof/>
                <w:snapToGrid/>
              </w:rPr>
              <w:t>,760</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909</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3,070</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370</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12,109</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1995</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8,083</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949</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3,037</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376</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12,715</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1996</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8,401</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975</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3,499</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383</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13,258</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1997</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8,693</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1,004</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3,705</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393</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13,795</w:t>
            </w:r>
          </w:p>
        </w:tc>
      </w:tr>
      <w:tr w:rsidR="00000000">
        <w:tblPrEx>
          <w:tblCellMar>
            <w:top w:w="0" w:type="dxa"/>
            <w:bottom w:w="0" w:type="dxa"/>
          </w:tblCellMar>
        </w:tblPrEx>
        <w:tc>
          <w:tcPr>
            <w:tcW w:w="1288" w:type="dxa"/>
            <w:tcBorders>
              <w:top w:val="nil"/>
              <w:bottom w:val="nil"/>
            </w:tcBorders>
          </w:tcPr>
          <w:p w:rsidR="00000000" w:rsidRDefault="009C1C61">
            <w:pPr>
              <w:pStyle w:val="a2"/>
              <w:spacing w:line="264" w:lineRule="auto"/>
              <w:jc w:val="center"/>
              <w:rPr>
                <w:noProof/>
                <w:snapToGrid/>
              </w:rPr>
            </w:pPr>
            <w:r>
              <w:rPr>
                <w:noProof/>
                <w:snapToGrid/>
              </w:rPr>
              <w:t>1998</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8,923</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1,018</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3,927</w:t>
            </w:r>
          </w:p>
        </w:tc>
        <w:tc>
          <w:tcPr>
            <w:tcW w:w="1624" w:type="dxa"/>
            <w:tcBorders>
              <w:top w:val="nil"/>
              <w:bottom w:val="nil"/>
            </w:tcBorders>
          </w:tcPr>
          <w:p w:rsidR="00000000" w:rsidRDefault="009C1C61">
            <w:pPr>
              <w:pStyle w:val="a2"/>
              <w:tabs>
                <w:tab w:val="decimal" w:pos="1127"/>
              </w:tabs>
              <w:spacing w:line="264" w:lineRule="auto"/>
              <w:rPr>
                <w:noProof/>
                <w:snapToGrid/>
              </w:rPr>
            </w:pPr>
            <w:r>
              <w:rPr>
                <w:noProof/>
                <w:snapToGrid/>
              </w:rPr>
              <w:t>408</w:t>
            </w:r>
          </w:p>
        </w:tc>
        <w:tc>
          <w:tcPr>
            <w:tcW w:w="1625" w:type="dxa"/>
            <w:tcBorders>
              <w:top w:val="nil"/>
              <w:bottom w:val="nil"/>
            </w:tcBorders>
          </w:tcPr>
          <w:p w:rsidR="00000000" w:rsidRDefault="009C1C61">
            <w:pPr>
              <w:pStyle w:val="a2"/>
              <w:tabs>
                <w:tab w:val="decimal" w:pos="1127"/>
              </w:tabs>
              <w:spacing w:line="264" w:lineRule="auto"/>
              <w:rPr>
                <w:noProof/>
                <w:snapToGrid/>
              </w:rPr>
            </w:pPr>
            <w:r>
              <w:rPr>
                <w:noProof/>
                <w:snapToGrid/>
              </w:rPr>
              <w:t>14,276</w:t>
            </w:r>
          </w:p>
        </w:tc>
      </w:tr>
      <w:tr w:rsidR="00000000">
        <w:tblPrEx>
          <w:tblCellMar>
            <w:top w:w="0" w:type="dxa"/>
            <w:bottom w:w="0" w:type="dxa"/>
          </w:tblCellMar>
        </w:tblPrEx>
        <w:tc>
          <w:tcPr>
            <w:tcW w:w="1288" w:type="dxa"/>
            <w:tcBorders>
              <w:top w:val="nil"/>
            </w:tcBorders>
          </w:tcPr>
          <w:p w:rsidR="00000000" w:rsidRDefault="009C1C61">
            <w:pPr>
              <w:pStyle w:val="a2"/>
              <w:tabs>
                <w:tab w:val="decimal" w:pos="927"/>
                <w:tab w:val="left" w:pos="1137"/>
              </w:tabs>
              <w:spacing w:line="264" w:lineRule="auto"/>
              <w:jc w:val="center"/>
              <w:rPr>
                <w:noProof/>
                <w:snapToGrid/>
              </w:rPr>
            </w:pPr>
            <w:r>
              <w:rPr>
                <w:noProof/>
                <w:snapToGrid/>
              </w:rPr>
              <w:t>1999</w:t>
            </w:r>
          </w:p>
        </w:tc>
        <w:tc>
          <w:tcPr>
            <w:tcW w:w="1624" w:type="dxa"/>
            <w:tcBorders>
              <w:top w:val="nil"/>
            </w:tcBorders>
          </w:tcPr>
          <w:p w:rsidR="00000000" w:rsidRDefault="009C1C61">
            <w:pPr>
              <w:pStyle w:val="a2"/>
              <w:tabs>
                <w:tab w:val="decimal" w:pos="1127"/>
              </w:tabs>
              <w:spacing w:line="264" w:lineRule="auto"/>
              <w:rPr>
                <w:noProof/>
                <w:snapToGrid/>
              </w:rPr>
            </w:pPr>
            <w:r>
              <w:rPr>
                <w:noProof/>
                <w:snapToGrid/>
              </w:rPr>
              <w:t>9,118</w:t>
            </w:r>
          </w:p>
        </w:tc>
        <w:tc>
          <w:tcPr>
            <w:tcW w:w="1624" w:type="dxa"/>
            <w:tcBorders>
              <w:top w:val="nil"/>
            </w:tcBorders>
          </w:tcPr>
          <w:p w:rsidR="00000000" w:rsidRDefault="009C1C61">
            <w:pPr>
              <w:pStyle w:val="a2"/>
              <w:tabs>
                <w:tab w:val="decimal" w:pos="1127"/>
              </w:tabs>
              <w:spacing w:line="264" w:lineRule="auto"/>
              <w:rPr>
                <w:noProof/>
                <w:snapToGrid/>
              </w:rPr>
            </w:pPr>
            <w:r>
              <w:rPr>
                <w:noProof/>
                <w:snapToGrid/>
              </w:rPr>
              <w:t>1,018</w:t>
            </w:r>
          </w:p>
        </w:tc>
        <w:tc>
          <w:tcPr>
            <w:tcW w:w="1625" w:type="dxa"/>
            <w:tcBorders>
              <w:top w:val="nil"/>
            </w:tcBorders>
          </w:tcPr>
          <w:p w:rsidR="00000000" w:rsidRDefault="009C1C61">
            <w:pPr>
              <w:pStyle w:val="a2"/>
              <w:tabs>
                <w:tab w:val="decimal" w:pos="1127"/>
              </w:tabs>
              <w:spacing w:line="264" w:lineRule="auto"/>
              <w:rPr>
                <w:noProof/>
                <w:snapToGrid/>
              </w:rPr>
            </w:pPr>
            <w:r>
              <w:rPr>
                <w:noProof/>
                <w:snapToGrid/>
              </w:rPr>
              <w:t>4,077</w:t>
            </w:r>
          </w:p>
        </w:tc>
        <w:tc>
          <w:tcPr>
            <w:tcW w:w="1624" w:type="dxa"/>
            <w:tcBorders>
              <w:top w:val="nil"/>
            </w:tcBorders>
          </w:tcPr>
          <w:p w:rsidR="00000000" w:rsidRDefault="009C1C61">
            <w:pPr>
              <w:pStyle w:val="a2"/>
              <w:tabs>
                <w:tab w:val="decimal" w:pos="1127"/>
              </w:tabs>
              <w:spacing w:line="264" w:lineRule="auto"/>
              <w:rPr>
                <w:noProof/>
                <w:snapToGrid/>
              </w:rPr>
            </w:pPr>
            <w:r>
              <w:rPr>
                <w:noProof/>
                <w:snapToGrid/>
              </w:rPr>
              <w:t>415</w:t>
            </w:r>
          </w:p>
        </w:tc>
        <w:tc>
          <w:tcPr>
            <w:tcW w:w="1625" w:type="dxa"/>
            <w:tcBorders>
              <w:top w:val="nil"/>
            </w:tcBorders>
          </w:tcPr>
          <w:p w:rsidR="00000000" w:rsidRDefault="009C1C61">
            <w:pPr>
              <w:pStyle w:val="a2"/>
              <w:tabs>
                <w:tab w:val="decimal" w:pos="1127"/>
              </w:tabs>
              <w:spacing w:line="264" w:lineRule="auto"/>
              <w:rPr>
                <w:noProof/>
                <w:snapToGrid/>
              </w:rPr>
            </w:pPr>
            <w:r>
              <w:rPr>
                <w:noProof/>
                <w:snapToGrid/>
              </w:rPr>
              <w:t>14,652</w:t>
            </w:r>
          </w:p>
        </w:tc>
      </w:tr>
    </w:tbl>
    <w:p w:rsidR="00000000" w:rsidRDefault="009C1C61">
      <w:pPr>
        <w:spacing w:before="120" w:after="180"/>
        <w:ind w:left="510"/>
        <w:rPr>
          <w:rFonts w:eastAsia="KaiTi_GB2312" w:hint="eastAsia"/>
          <w:snapToGrid/>
          <w:spacing w:val="0"/>
          <w:sz w:val="22"/>
        </w:rPr>
      </w:pPr>
      <w:r>
        <w:rPr>
          <w:rFonts w:eastAsia="KaiTi_GB2312" w:hint="eastAsia"/>
          <w:snapToGrid/>
          <w:spacing w:val="0"/>
          <w:u w:val="single"/>
        </w:rPr>
        <w:t>资</w:t>
      </w:r>
      <w:r>
        <w:rPr>
          <w:rFonts w:eastAsia="KaiTi_GB2312" w:hint="eastAsia"/>
          <w:snapToGrid/>
          <w:spacing w:val="0"/>
          <w:sz w:val="22"/>
          <w:u w:val="single"/>
        </w:rPr>
        <w:t>料来源</w:t>
      </w:r>
      <w:r>
        <w:rPr>
          <w:rFonts w:eastAsia="KaiTi_GB2312" w:hint="eastAsia"/>
          <w:snapToGrid/>
          <w:spacing w:val="0"/>
          <w:sz w:val="22"/>
        </w:rPr>
        <w:t>：劳工部，劳资关系司。</w:t>
      </w:r>
    </w:p>
    <w:p w:rsidR="00000000" w:rsidRDefault="009C1C61">
      <w:pPr>
        <w:rPr>
          <w:snapToGrid/>
        </w:rPr>
      </w:pPr>
      <w:r>
        <w:rPr>
          <w:rFonts w:hint="eastAsia"/>
          <w:snapToGrid/>
        </w:rPr>
        <w:tab/>
      </w:r>
      <w:r>
        <w:rPr>
          <w:snapToGrid/>
        </w:rPr>
        <w:t>267.</w:t>
      </w:r>
      <w:r>
        <w:rPr>
          <w:rFonts w:hint="eastAsia"/>
          <w:snapToGrid/>
        </w:rPr>
        <w:t xml:space="preserve">  </w:t>
      </w:r>
      <w:r>
        <w:rPr>
          <w:snapToGrid/>
        </w:rPr>
        <w:t>表</w:t>
      </w:r>
      <w:r>
        <w:rPr>
          <w:rFonts w:hint="eastAsia"/>
          <w:snapToGrid/>
        </w:rPr>
        <w:t>11</w:t>
      </w:r>
      <w:r>
        <w:rPr>
          <w:rFonts w:hint="eastAsia"/>
          <w:snapToGrid/>
        </w:rPr>
        <w:t>展示了，</w:t>
      </w:r>
      <w:r>
        <w:rPr>
          <w:snapToGrid/>
        </w:rPr>
        <w:t>1990</w:t>
      </w:r>
      <w:r>
        <w:rPr>
          <w:snapToGrid/>
        </w:rPr>
        <w:t>至</w:t>
      </w:r>
      <w:r>
        <w:rPr>
          <w:snapToGrid/>
        </w:rPr>
        <w:t>1999</w:t>
      </w:r>
      <w:r>
        <w:rPr>
          <w:snapToGrid/>
        </w:rPr>
        <w:t>年期间工会数量及其成员变化</w:t>
      </w:r>
      <w:r>
        <w:rPr>
          <w:rFonts w:hint="eastAsia"/>
          <w:snapToGrid/>
        </w:rPr>
        <w:t>的</w:t>
      </w:r>
      <w:r>
        <w:rPr>
          <w:snapToGrid/>
        </w:rPr>
        <w:t>情况</w:t>
      </w:r>
      <w:r>
        <w:rPr>
          <w:rFonts w:hint="eastAsia"/>
          <w:snapToGrid/>
        </w:rPr>
        <w:t>。</w:t>
      </w:r>
      <w:r>
        <w:rPr>
          <w:snapToGrid/>
        </w:rPr>
        <w:t>表</w:t>
      </w:r>
      <w:r>
        <w:rPr>
          <w:rFonts w:hint="eastAsia"/>
          <w:snapToGrid/>
        </w:rPr>
        <w:t>1</w:t>
      </w:r>
      <w:r>
        <w:rPr>
          <w:rFonts w:hint="eastAsia"/>
          <w:snapToGrid/>
        </w:rPr>
        <w:t>2</w:t>
      </w:r>
      <w:r>
        <w:rPr>
          <w:rFonts w:hint="eastAsia"/>
          <w:snapToGrid/>
        </w:rPr>
        <w:t>按工会类别详列的分类数字。</w:t>
      </w:r>
    </w:p>
    <w:p w:rsidR="00000000" w:rsidRDefault="009C1C61">
      <w:pPr>
        <w:pStyle w:val="Heading3"/>
        <w:tabs>
          <w:tab w:val="decimal" w:pos="4410"/>
        </w:tabs>
        <w:spacing w:before="240" w:after="120"/>
        <w:rPr>
          <w:rFonts w:ascii="Time New Roman" w:hAnsi="Time New Roman"/>
        </w:rPr>
      </w:pPr>
      <w:r>
        <w:rPr>
          <w:rFonts w:ascii="Time New Roman" w:hAnsi="Time New Roman" w:hint="eastAsia"/>
        </w:rPr>
        <w:t>表</w:t>
      </w:r>
      <w:r>
        <w:rPr>
          <w:rFonts w:ascii="Time New Roman" w:hAnsi="Time New Roman" w:hint="eastAsia"/>
        </w:rPr>
        <w:t xml:space="preserve"> </w:t>
      </w:r>
      <w:r>
        <w:rPr>
          <w:rFonts w:ascii="Time New Roman" w:hAnsi="Time New Roman"/>
        </w:rPr>
        <w:t xml:space="preserve"> </w:t>
      </w:r>
      <w:r>
        <w:rPr>
          <w:rFonts w:ascii="Time New Roman" w:hAnsi="Time New Roman" w:hint="eastAsia"/>
          <w:b/>
        </w:rPr>
        <w:t>11</w:t>
      </w:r>
      <w:r>
        <w:rPr>
          <w:rFonts w:ascii="Time New Roman" w:hAnsi="Time New Roman"/>
          <w:b/>
        </w:rPr>
        <w:br/>
        <w:t>1990</w:t>
      </w:r>
      <w:r>
        <w:rPr>
          <w:rFonts w:ascii="Time New Roman" w:hAnsi="Time New Roman"/>
        </w:rPr>
        <w:t>至</w:t>
      </w:r>
      <w:r>
        <w:rPr>
          <w:rFonts w:ascii="Time New Roman" w:hAnsi="Time New Roman"/>
          <w:b/>
        </w:rPr>
        <w:t>1999</w:t>
      </w:r>
      <w:r>
        <w:rPr>
          <w:rFonts w:ascii="Time New Roman" w:hAnsi="Time New Roman"/>
        </w:rPr>
        <w:t>年期间智利工会和</w:t>
      </w:r>
      <w:r>
        <w:rPr>
          <w:rFonts w:ascii="Time New Roman" w:hAnsi="Time New Roman" w:hint="eastAsia"/>
        </w:rPr>
        <w:t>会</w:t>
      </w:r>
      <w:r>
        <w:rPr>
          <w:rFonts w:ascii="Time New Roman" w:hAnsi="Time New Roman"/>
        </w:rPr>
        <w:t>员总数</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6" w:type="dxa"/>
          <w:right w:w="56" w:type="dxa"/>
        </w:tblCellMar>
        <w:tblLook w:val="0000" w:firstRow="0" w:lastRow="0" w:firstColumn="0" w:lastColumn="0" w:noHBand="0" w:noVBand="0"/>
      </w:tblPr>
      <w:tblGrid>
        <w:gridCol w:w="2025"/>
        <w:gridCol w:w="4215"/>
        <w:gridCol w:w="3226"/>
      </w:tblGrid>
      <w:tr w:rsidR="00000000">
        <w:tblPrEx>
          <w:tblCellMar>
            <w:top w:w="0" w:type="dxa"/>
            <w:bottom w:w="0" w:type="dxa"/>
          </w:tblCellMar>
        </w:tblPrEx>
        <w:trPr>
          <w:jc w:val="center"/>
        </w:trPr>
        <w:tc>
          <w:tcPr>
            <w:tcW w:w="1069" w:type="pct"/>
            <w:tcBorders>
              <w:bottom w:val="single" w:sz="2" w:space="0" w:color="auto"/>
            </w:tcBorders>
            <w:shd w:val="clear" w:color="000000" w:fill="FFFFFF"/>
            <w:vAlign w:val="center"/>
          </w:tcPr>
          <w:p w:rsidR="00000000" w:rsidRDefault="009C1C61">
            <w:pPr>
              <w:spacing w:before="120" w:line="288" w:lineRule="auto"/>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年</w:t>
            </w:r>
          </w:p>
        </w:tc>
        <w:tc>
          <w:tcPr>
            <w:tcW w:w="2226" w:type="pct"/>
            <w:tcBorders>
              <w:bottom w:val="single" w:sz="2" w:space="0" w:color="auto"/>
            </w:tcBorders>
            <w:shd w:val="clear" w:color="000000" w:fill="FFFFFF"/>
            <w:vAlign w:val="center"/>
          </w:tcPr>
          <w:p w:rsidR="00000000" w:rsidRDefault="009C1C61">
            <w:pPr>
              <w:spacing w:before="120" w:line="288" w:lineRule="auto"/>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工会数量</w:t>
            </w:r>
          </w:p>
        </w:tc>
        <w:tc>
          <w:tcPr>
            <w:tcW w:w="1704" w:type="pct"/>
            <w:tcBorders>
              <w:bottom w:val="single" w:sz="2" w:space="0" w:color="auto"/>
            </w:tcBorders>
            <w:shd w:val="clear" w:color="000000" w:fill="FFFFFF"/>
            <w:vAlign w:val="center"/>
          </w:tcPr>
          <w:p w:rsidR="00000000" w:rsidRDefault="009C1C61">
            <w:pPr>
              <w:spacing w:before="120" w:line="288" w:lineRule="auto"/>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会员</w:t>
            </w:r>
          </w:p>
        </w:tc>
      </w:tr>
      <w:tr w:rsidR="00000000">
        <w:tblPrEx>
          <w:tblCellMar>
            <w:top w:w="0" w:type="dxa"/>
            <w:bottom w:w="0" w:type="dxa"/>
          </w:tblCellMar>
        </w:tblPrEx>
        <w:trPr>
          <w:jc w:val="center"/>
        </w:trPr>
        <w:tc>
          <w:tcPr>
            <w:tcW w:w="1069" w:type="pct"/>
            <w:tcBorders>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1990</w:t>
            </w:r>
          </w:p>
        </w:tc>
        <w:tc>
          <w:tcPr>
            <w:tcW w:w="2226" w:type="pct"/>
            <w:tcBorders>
              <w:bottom w:val="nil"/>
            </w:tcBorders>
          </w:tcPr>
          <w:p w:rsidR="00000000" w:rsidRDefault="009C1C61">
            <w:pPr>
              <w:tabs>
                <w:tab w:val="decimal" w:pos="2070"/>
                <w:tab w:val="decimal" w:pos="2280"/>
              </w:tabs>
              <w:spacing w:line="288" w:lineRule="auto"/>
              <w:ind w:left="113"/>
              <w:jc w:val="center"/>
              <w:rPr>
                <w:noProof/>
                <w:snapToGrid/>
                <w:sz w:val="22"/>
                <w:szCs w:val="22"/>
              </w:rPr>
            </w:pPr>
            <w:r>
              <w:rPr>
                <w:noProof/>
                <w:snapToGrid/>
                <w:sz w:val="22"/>
                <w:szCs w:val="22"/>
              </w:rPr>
              <w:t>8,861</w:t>
            </w:r>
          </w:p>
        </w:tc>
        <w:tc>
          <w:tcPr>
            <w:tcW w:w="1704" w:type="pct"/>
            <w:tcBorders>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606,812</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1991</w:t>
            </w:r>
          </w:p>
        </w:tc>
        <w:tc>
          <w:tcPr>
            <w:tcW w:w="2226" w:type="pct"/>
            <w:tcBorders>
              <w:top w:val="nil"/>
              <w:bottom w:val="nil"/>
            </w:tcBorders>
          </w:tcPr>
          <w:p w:rsidR="00000000" w:rsidRDefault="009C1C61">
            <w:pPr>
              <w:tabs>
                <w:tab w:val="decimal" w:pos="2070"/>
                <w:tab w:val="decimal" w:pos="2280"/>
              </w:tabs>
              <w:spacing w:line="288" w:lineRule="auto"/>
              <w:ind w:left="113"/>
              <w:jc w:val="center"/>
              <w:rPr>
                <w:noProof/>
                <w:snapToGrid/>
                <w:sz w:val="22"/>
                <w:szCs w:val="22"/>
              </w:rPr>
            </w:pPr>
            <w:r>
              <w:rPr>
                <w:noProof/>
                <w:snapToGrid/>
                <w:sz w:val="22"/>
                <w:szCs w:val="22"/>
              </w:rPr>
              <w:t>9,858</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701,355</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1992</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10,756</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724,065</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1993</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11,389</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684,361</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1994</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12,109</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661,966</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1995</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12,715</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637,570</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1996</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13,258</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655,597</w:t>
            </w:r>
          </w:p>
        </w:tc>
      </w:tr>
      <w:tr w:rsidR="00000000">
        <w:tblPrEx>
          <w:tblCellMar>
            <w:top w:w="0" w:type="dxa"/>
            <w:bottom w:w="0" w:type="dxa"/>
          </w:tblCellMar>
        </w:tblPrEx>
        <w:trPr>
          <w:trHeight w:val="381"/>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1997</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13,795</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617,761</w:t>
            </w:r>
          </w:p>
        </w:tc>
      </w:tr>
      <w:tr w:rsidR="00000000">
        <w:tblPrEx>
          <w:tblCellMar>
            <w:top w:w="0" w:type="dxa"/>
            <w:bottom w:w="0" w:type="dxa"/>
          </w:tblCellMar>
        </w:tblPrEx>
        <w:trPr>
          <w:jc w:val="center"/>
        </w:trPr>
        <w:tc>
          <w:tcPr>
            <w:tcW w:w="1069" w:type="pct"/>
            <w:tcBorders>
              <w:top w:val="nil"/>
              <w:bottom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1998</w:t>
            </w:r>
          </w:p>
        </w:tc>
        <w:tc>
          <w:tcPr>
            <w:tcW w:w="2226"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14,276</w:t>
            </w:r>
          </w:p>
        </w:tc>
        <w:tc>
          <w:tcPr>
            <w:tcW w:w="1704" w:type="pct"/>
            <w:tcBorders>
              <w:top w:val="nil"/>
              <w:bottom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611,535</w:t>
            </w:r>
          </w:p>
        </w:tc>
      </w:tr>
      <w:tr w:rsidR="00000000">
        <w:tblPrEx>
          <w:tblCellMar>
            <w:top w:w="0" w:type="dxa"/>
            <w:bottom w:w="0" w:type="dxa"/>
          </w:tblCellMar>
        </w:tblPrEx>
        <w:trPr>
          <w:jc w:val="center"/>
        </w:trPr>
        <w:tc>
          <w:tcPr>
            <w:tcW w:w="1069" w:type="pct"/>
            <w:tcBorders>
              <w:top w:val="nil"/>
            </w:tcBorders>
            <w:shd w:val="clear" w:color="000000" w:fill="FFFFFF"/>
          </w:tcPr>
          <w:p w:rsidR="00000000" w:rsidRDefault="009C1C61">
            <w:pPr>
              <w:spacing w:line="288" w:lineRule="auto"/>
              <w:jc w:val="center"/>
              <w:rPr>
                <w:bCs/>
                <w:noProof/>
                <w:snapToGrid/>
                <w:sz w:val="22"/>
                <w:szCs w:val="22"/>
              </w:rPr>
            </w:pPr>
            <w:r>
              <w:rPr>
                <w:bCs/>
                <w:noProof/>
                <w:snapToGrid/>
                <w:sz w:val="22"/>
                <w:szCs w:val="22"/>
              </w:rPr>
              <w:t>1999</w:t>
            </w:r>
          </w:p>
        </w:tc>
        <w:tc>
          <w:tcPr>
            <w:tcW w:w="2226" w:type="pct"/>
            <w:tcBorders>
              <w:top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14,652</w:t>
            </w:r>
          </w:p>
        </w:tc>
        <w:tc>
          <w:tcPr>
            <w:tcW w:w="1704" w:type="pct"/>
            <w:tcBorders>
              <w:top w:val="nil"/>
            </w:tcBorders>
          </w:tcPr>
          <w:p w:rsidR="00000000" w:rsidRDefault="009C1C61">
            <w:pPr>
              <w:tabs>
                <w:tab w:val="decimal" w:pos="2070"/>
                <w:tab w:val="decimal" w:pos="2280"/>
              </w:tabs>
              <w:spacing w:line="288" w:lineRule="auto"/>
              <w:jc w:val="center"/>
              <w:rPr>
                <w:noProof/>
                <w:snapToGrid/>
                <w:sz w:val="22"/>
                <w:szCs w:val="22"/>
              </w:rPr>
            </w:pPr>
            <w:r>
              <w:rPr>
                <w:noProof/>
                <w:snapToGrid/>
                <w:sz w:val="22"/>
                <w:szCs w:val="22"/>
              </w:rPr>
              <w:t>579</w:t>
            </w:r>
            <w:r>
              <w:rPr>
                <w:noProof/>
                <w:snapToGrid/>
                <w:sz w:val="22"/>
                <w:szCs w:val="22"/>
              </w:rPr>
              <w:t>,996</w:t>
            </w:r>
          </w:p>
        </w:tc>
      </w:tr>
    </w:tbl>
    <w:p w:rsidR="00000000" w:rsidRDefault="009C1C61">
      <w:pPr>
        <w:spacing w:before="120" w:line="240" w:lineRule="auto"/>
        <w:ind w:left="510"/>
        <w:rPr>
          <w:rFonts w:eastAsia="KaiTi_GB2312"/>
          <w:snapToGrid/>
          <w:spacing w:val="0"/>
          <w:sz w:val="22"/>
        </w:rPr>
      </w:pPr>
      <w:r>
        <w:rPr>
          <w:rFonts w:eastAsia="KaiTi_GB2312" w:hint="eastAsia"/>
          <w:snapToGrid/>
          <w:spacing w:val="0"/>
          <w:sz w:val="22"/>
          <w:u w:val="single"/>
        </w:rPr>
        <w:t>资料来源</w:t>
      </w:r>
      <w:r>
        <w:rPr>
          <w:rFonts w:eastAsia="KaiTi_GB2312" w:hint="eastAsia"/>
          <w:snapToGrid/>
          <w:spacing w:val="0"/>
          <w:sz w:val="22"/>
        </w:rPr>
        <w:t>：</w:t>
      </w:r>
      <w:r>
        <w:rPr>
          <w:rFonts w:eastAsia="KaiTi_GB2312"/>
          <w:snapToGrid/>
          <w:spacing w:val="0"/>
          <w:sz w:val="22"/>
        </w:rPr>
        <w:t>劳工</w:t>
      </w:r>
      <w:r>
        <w:rPr>
          <w:rFonts w:eastAsia="KaiTi_GB2312" w:hint="eastAsia"/>
          <w:snapToGrid/>
          <w:spacing w:val="0"/>
          <w:sz w:val="22"/>
        </w:rPr>
        <w:t>部</w:t>
      </w:r>
      <w:r>
        <w:rPr>
          <w:rFonts w:eastAsia="KaiTi_GB2312"/>
          <w:snapToGrid/>
          <w:spacing w:val="0"/>
          <w:sz w:val="22"/>
        </w:rPr>
        <w:t>劳资关系</w:t>
      </w:r>
      <w:r>
        <w:rPr>
          <w:rFonts w:eastAsia="KaiTi_GB2312" w:hint="eastAsia"/>
          <w:snapToGrid/>
          <w:spacing w:val="0"/>
          <w:sz w:val="22"/>
        </w:rPr>
        <w:t>司</w:t>
      </w:r>
      <w:r>
        <w:rPr>
          <w:rFonts w:eastAsia="KaiTi_GB2312"/>
          <w:snapToGrid/>
          <w:spacing w:val="0"/>
          <w:sz w:val="22"/>
        </w:rPr>
        <w:t>。</w:t>
      </w:r>
    </w:p>
    <w:p w:rsidR="00000000" w:rsidRDefault="009C1C61">
      <w:pPr>
        <w:pStyle w:val="Heading3"/>
        <w:spacing w:before="300"/>
        <w:rPr>
          <w:rFonts w:ascii="Time New Roman" w:hAnsi="Time New Roman" w:hint="eastAsia"/>
        </w:rPr>
      </w:pPr>
      <w:r>
        <w:rPr>
          <w:rFonts w:ascii="Time New Roman" w:hAnsi="Time New Roman" w:hint="eastAsia"/>
        </w:rPr>
        <w:t>表</w:t>
      </w:r>
      <w:r>
        <w:rPr>
          <w:rFonts w:ascii="Time New Roman" w:hAnsi="Time New Roman"/>
        </w:rPr>
        <w:t xml:space="preserve">  </w:t>
      </w:r>
      <w:r>
        <w:rPr>
          <w:rFonts w:ascii="Time New Roman" w:hAnsi="Time New Roman"/>
          <w:b/>
          <w:bCs/>
        </w:rPr>
        <w:t>12</w:t>
      </w:r>
      <w:r>
        <w:rPr>
          <w:rFonts w:ascii="Time New Roman" w:hAnsi="Time New Roman"/>
          <w:b/>
          <w:bCs/>
        </w:rPr>
        <w:br/>
      </w:r>
      <w:r>
        <w:rPr>
          <w:rFonts w:ascii="Time New Roman" w:hAnsi="Time New Roman"/>
          <w:b/>
        </w:rPr>
        <w:t>1990</w:t>
      </w:r>
      <w:r>
        <w:rPr>
          <w:rFonts w:ascii="Time New Roman" w:hAnsi="Time New Roman"/>
        </w:rPr>
        <w:t>至</w:t>
      </w:r>
      <w:r>
        <w:rPr>
          <w:rFonts w:ascii="Time New Roman" w:hAnsi="Time New Roman"/>
          <w:b/>
        </w:rPr>
        <w:t>1999</w:t>
      </w:r>
      <w:r>
        <w:rPr>
          <w:rFonts w:ascii="Time New Roman" w:hAnsi="Time New Roman"/>
        </w:rPr>
        <w:t>年期间，根据工会类</w:t>
      </w:r>
      <w:r>
        <w:rPr>
          <w:rFonts w:ascii="Time New Roman" w:hAnsi="Time New Roman" w:hint="eastAsia"/>
        </w:rPr>
        <w:t>别</w:t>
      </w:r>
      <w:r>
        <w:rPr>
          <w:rFonts w:ascii="Time New Roman" w:hAnsi="Time New Roman"/>
        </w:rPr>
        <w:t>分列的智利工会</w:t>
      </w:r>
      <w:r>
        <w:rPr>
          <w:rFonts w:ascii="Time New Roman" w:hAnsi="Time New Roman" w:hint="eastAsia"/>
        </w:rPr>
        <w:t>会员</w:t>
      </w:r>
      <w:r>
        <w:rPr>
          <w:rFonts w:ascii="Time New Roman" w:hAnsi="Time New Roman"/>
        </w:rPr>
        <w:t>变化情况</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56" w:type="dxa"/>
          <w:right w:w="56" w:type="dxa"/>
        </w:tblCellMar>
        <w:tblLook w:val="0000" w:firstRow="0" w:lastRow="0" w:firstColumn="0" w:lastColumn="0" w:noHBand="0" w:noVBand="0"/>
      </w:tblPr>
      <w:tblGrid>
        <w:gridCol w:w="1159"/>
        <w:gridCol w:w="1522"/>
        <w:gridCol w:w="1679"/>
        <w:gridCol w:w="2101"/>
        <w:gridCol w:w="1579"/>
        <w:gridCol w:w="1426"/>
      </w:tblGrid>
      <w:tr w:rsidR="00000000">
        <w:tblPrEx>
          <w:tblCellMar>
            <w:top w:w="0" w:type="dxa"/>
            <w:bottom w:w="0" w:type="dxa"/>
          </w:tblCellMar>
        </w:tblPrEx>
        <w:trPr>
          <w:cantSplit/>
          <w:jc w:val="center"/>
        </w:trPr>
        <w:tc>
          <w:tcPr>
            <w:tcW w:w="612" w:type="pct"/>
            <w:vMerge w:val="restart"/>
            <w:vAlign w:val="center"/>
          </w:tcPr>
          <w:p w:rsidR="00000000" w:rsidRDefault="009C1C61">
            <w:pPr>
              <w:keepNext/>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年</w:t>
            </w:r>
          </w:p>
        </w:tc>
        <w:tc>
          <w:tcPr>
            <w:tcW w:w="3635" w:type="pct"/>
            <w:gridSpan w:val="4"/>
            <w:vAlign w:val="center"/>
          </w:tcPr>
          <w:p w:rsidR="00000000" w:rsidRDefault="009C1C61">
            <w:pPr>
              <w:keepNext/>
              <w:spacing w:before="120"/>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工会类型</w:t>
            </w:r>
          </w:p>
        </w:tc>
        <w:tc>
          <w:tcPr>
            <w:tcW w:w="753" w:type="pct"/>
            <w:vMerge w:val="restart"/>
            <w:vAlign w:val="center"/>
          </w:tcPr>
          <w:p w:rsidR="00000000" w:rsidRDefault="009C1C61">
            <w:pPr>
              <w:keepNext/>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总计</w:t>
            </w:r>
          </w:p>
        </w:tc>
      </w:tr>
      <w:tr w:rsidR="00000000">
        <w:tblPrEx>
          <w:tblCellMar>
            <w:top w:w="0" w:type="dxa"/>
            <w:bottom w:w="0" w:type="dxa"/>
          </w:tblCellMar>
        </w:tblPrEx>
        <w:trPr>
          <w:cantSplit/>
          <w:jc w:val="center"/>
        </w:trPr>
        <w:tc>
          <w:tcPr>
            <w:tcW w:w="612" w:type="pct"/>
            <w:vMerge/>
            <w:vAlign w:val="center"/>
          </w:tcPr>
          <w:p w:rsidR="00000000" w:rsidRDefault="009C1C61">
            <w:pPr>
              <w:jc w:val="center"/>
              <w:rPr>
                <w:noProof/>
                <w:snapToGrid/>
                <w:sz w:val="22"/>
                <w:szCs w:val="22"/>
              </w:rPr>
            </w:pPr>
          </w:p>
        </w:tc>
        <w:tc>
          <w:tcPr>
            <w:tcW w:w="804" w:type="pct"/>
            <w:vAlign w:val="center"/>
          </w:tcPr>
          <w:p w:rsidR="00000000" w:rsidRDefault="009C1C61">
            <w:pPr>
              <w:spacing w:before="120"/>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单企业工会</w:t>
            </w:r>
          </w:p>
        </w:tc>
        <w:tc>
          <w:tcPr>
            <w:tcW w:w="887" w:type="pct"/>
            <w:vAlign w:val="center"/>
          </w:tcPr>
          <w:p w:rsidR="00000000" w:rsidRDefault="009C1C61">
            <w:pPr>
              <w:spacing w:before="120"/>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多企业工会</w:t>
            </w:r>
          </w:p>
        </w:tc>
        <w:tc>
          <w:tcPr>
            <w:tcW w:w="1110" w:type="pct"/>
            <w:vAlign w:val="center"/>
          </w:tcPr>
          <w:p w:rsidR="00000000" w:rsidRDefault="009C1C61">
            <w:pPr>
              <w:spacing w:before="120"/>
              <w:jc w:val="center"/>
              <w:rPr>
                <w:rFonts w:ascii="Time New Roman" w:eastAsia="SimHei" w:hAnsi="Time New Roman" w:hint="eastAsia"/>
                <w:bCs/>
                <w:noProof/>
                <w:snapToGrid/>
                <w:sz w:val="22"/>
                <w:szCs w:val="22"/>
              </w:rPr>
            </w:pPr>
            <w:r>
              <w:rPr>
                <w:rFonts w:ascii="Time New Roman" w:eastAsia="SimHei" w:hAnsi="Time New Roman" w:hint="eastAsia"/>
                <w:bCs/>
                <w:noProof/>
                <w:snapToGrid/>
                <w:spacing w:val="6"/>
                <w:sz w:val="22"/>
                <w:szCs w:val="22"/>
              </w:rPr>
              <w:t>独立从业人员</w:t>
            </w:r>
            <w:r>
              <w:rPr>
                <w:rFonts w:ascii="Time New Roman" w:eastAsia="SimHei" w:hAnsi="Time New Roman" w:hint="eastAsia"/>
                <w:bCs/>
                <w:noProof/>
                <w:snapToGrid/>
                <w:sz w:val="22"/>
                <w:szCs w:val="22"/>
              </w:rPr>
              <w:t>工会</w:t>
            </w:r>
          </w:p>
        </w:tc>
        <w:tc>
          <w:tcPr>
            <w:tcW w:w="834" w:type="pct"/>
            <w:vAlign w:val="center"/>
          </w:tcPr>
          <w:p w:rsidR="00000000" w:rsidRDefault="009C1C61">
            <w:pPr>
              <w:spacing w:before="120"/>
              <w:jc w:val="center"/>
              <w:rPr>
                <w:rFonts w:ascii="Time New Roman" w:eastAsia="SimHei" w:hAnsi="Time New Roman" w:hint="eastAsia"/>
                <w:bCs/>
                <w:noProof/>
                <w:snapToGrid/>
                <w:sz w:val="22"/>
                <w:szCs w:val="22"/>
              </w:rPr>
            </w:pPr>
            <w:r>
              <w:rPr>
                <w:rFonts w:ascii="Time New Roman" w:eastAsia="SimHei" w:hAnsi="Time New Roman" w:hint="eastAsia"/>
                <w:bCs/>
                <w:noProof/>
                <w:snapToGrid/>
                <w:sz w:val="22"/>
                <w:szCs w:val="22"/>
              </w:rPr>
              <w:t>临时工人工会</w:t>
            </w:r>
          </w:p>
        </w:tc>
        <w:tc>
          <w:tcPr>
            <w:tcW w:w="753" w:type="pct"/>
            <w:vMerge/>
            <w:vAlign w:val="center"/>
          </w:tcPr>
          <w:p w:rsidR="00000000" w:rsidRDefault="009C1C61">
            <w:pPr>
              <w:jc w:val="center"/>
              <w:rPr>
                <w:rFonts w:ascii="Time New Roman" w:eastAsia="SimHei" w:hAnsi="Time New Roman"/>
                <w:noProof/>
                <w:snapToGrid/>
                <w:sz w:val="22"/>
                <w:szCs w:val="22"/>
              </w:rPr>
            </w:pP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1990</w:t>
            </w:r>
          </w:p>
        </w:tc>
        <w:tc>
          <w:tcPr>
            <w:tcW w:w="804" w:type="pct"/>
          </w:tcPr>
          <w:p w:rsidR="00000000" w:rsidRDefault="009C1C61">
            <w:pPr>
              <w:ind w:right="340"/>
              <w:jc w:val="right"/>
              <w:rPr>
                <w:noProof/>
                <w:snapToGrid/>
                <w:sz w:val="22"/>
                <w:szCs w:val="22"/>
              </w:rPr>
            </w:pPr>
            <w:r>
              <w:rPr>
                <w:noProof/>
                <w:snapToGrid/>
                <w:sz w:val="22"/>
                <w:szCs w:val="22"/>
              </w:rPr>
              <w:t>417,514</w:t>
            </w:r>
          </w:p>
        </w:tc>
        <w:tc>
          <w:tcPr>
            <w:tcW w:w="887" w:type="pct"/>
          </w:tcPr>
          <w:p w:rsidR="00000000" w:rsidRDefault="009C1C61">
            <w:pPr>
              <w:ind w:right="340"/>
              <w:jc w:val="right"/>
              <w:rPr>
                <w:noProof/>
                <w:snapToGrid/>
                <w:sz w:val="22"/>
                <w:szCs w:val="22"/>
              </w:rPr>
            </w:pPr>
            <w:r>
              <w:rPr>
                <w:noProof/>
                <w:snapToGrid/>
                <w:sz w:val="22"/>
                <w:szCs w:val="22"/>
              </w:rPr>
              <w:t>69,651</w:t>
            </w:r>
          </w:p>
        </w:tc>
        <w:tc>
          <w:tcPr>
            <w:tcW w:w="1110" w:type="pct"/>
          </w:tcPr>
          <w:p w:rsidR="00000000" w:rsidRDefault="009C1C61">
            <w:pPr>
              <w:ind w:right="340"/>
              <w:jc w:val="right"/>
              <w:rPr>
                <w:noProof/>
                <w:snapToGrid/>
                <w:sz w:val="22"/>
                <w:szCs w:val="22"/>
              </w:rPr>
            </w:pPr>
            <w:r>
              <w:rPr>
                <w:noProof/>
                <w:snapToGrid/>
                <w:sz w:val="22"/>
                <w:szCs w:val="22"/>
              </w:rPr>
              <w:t>90,987</w:t>
            </w:r>
          </w:p>
        </w:tc>
        <w:tc>
          <w:tcPr>
            <w:tcW w:w="834" w:type="pct"/>
          </w:tcPr>
          <w:p w:rsidR="00000000" w:rsidRDefault="009C1C61">
            <w:pPr>
              <w:ind w:right="340"/>
              <w:jc w:val="right"/>
              <w:rPr>
                <w:noProof/>
                <w:snapToGrid/>
                <w:sz w:val="22"/>
                <w:szCs w:val="22"/>
              </w:rPr>
            </w:pPr>
            <w:r>
              <w:rPr>
                <w:noProof/>
                <w:snapToGrid/>
                <w:sz w:val="22"/>
                <w:szCs w:val="22"/>
              </w:rPr>
              <w:t>28,660</w:t>
            </w:r>
          </w:p>
        </w:tc>
        <w:tc>
          <w:tcPr>
            <w:tcW w:w="753" w:type="pct"/>
          </w:tcPr>
          <w:p w:rsidR="00000000" w:rsidRDefault="009C1C61">
            <w:pPr>
              <w:ind w:right="340"/>
              <w:jc w:val="right"/>
              <w:rPr>
                <w:noProof/>
                <w:snapToGrid/>
                <w:sz w:val="22"/>
                <w:szCs w:val="22"/>
              </w:rPr>
            </w:pPr>
            <w:r>
              <w:rPr>
                <w:noProof/>
                <w:snapToGrid/>
                <w:sz w:val="22"/>
                <w:szCs w:val="22"/>
              </w:rPr>
              <w:t>606,812</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1991</w:t>
            </w:r>
          </w:p>
        </w:tc>
        <w:tc>
          <w:tcPr>
            <w:tcW w:w="804" w:type="pct"/>
          </w:tcPr>
          <w:p w:rsidR="00000000" w:rsidRDefault="009C1C61">
            <w:pPr>
              <w:ind w:right="340"/>
              <w:jc w:val="right"/>
              <w:rPr>
                <w:noProof/>
                <w:snapToGrid/>
                <w:sz w:val="22"/>
                <w:szCs w:val="22"/>
              </w:rPr>
            </w:pPr>
            <w:r>
              <w:rPr>
                <w:noProof/>
                <w:snapToGrid/>
                <w:sz w:val="22"/>
                <w:szCs w:val="22"/>
              </w:rPr>
              <w:t>455,871</w:t>
            </w:r>
          </w:p>
        </w:tc>
        <w:tc>
          <w:tcPr>
            <w:tcW w:w="887" w:type="pct"/>
          </w:tcPr>
          <w:p w:rsidR="00000000" w:rsidRDefault="009C1C61">
            <w:pPr>
              <w:ind w:right="340"/>
              <w:jc w:val="right"/>
              <w:rPr>
                <w:noProof/>
                <w:snapToGrid/>
                <w:sz w:val="22"/>
                <w:szCs w:val="22"/>
              </w:rPr>
            </w:pPr>
            <w:r>
              <w:rPr>
                <w:noProof/>
                <w:snapToGrid/>
                <w:sz w:val="22"/>
                <w:szCs w:val="22"/>
              </w:rPr>
              <w:t>92,757</w:t>
            </w:r>
          </w:p>
        </w:tc>
        <w:tc>
          <w:tcPr>
            <w:tcW w:w="1110" w:type="pct"/>
          </w:tcPr>
          <w:p w:rsidR="00000000" w:rsidRDefault="009C1C61">
            <w:pPr>
              <w:ind w:right="340"/>
              <w:jc w:val="right"/>
              <w:rPr>
                <w:noProof/>
                <w:snapToGrid/>
                <w:sz w:val="22"/>
                <w:szCs w:val="22"/>
              </w:rPr>
            </w:pPr>
            <w:r>
              <w:rPr>
                <w:noProof/>
                <w:snapToGrid/>
                <w:sz w:val="22"/>
                <w:szCs w:val="22"/>
              </w:rPr>
              <w:t>114,639</w:t>
            </w:r>
          </w:p>
        </w:tc>
        <w:tc>
          <w:tcPr>
            <w:tcW w:w="834" w:type="pct"/>
          </w:tcPr>
          <w:p w:rsidR="00000000" w:rsidRDefault="009C1C61">
            <w:pPr>
              <w:ind w:right="340"/>
              <w:jc w:val="right"/>
              <w:rPr>
                <w:noProof/>
                <w:snapToGrid/>
                <w:sz w:val="22"/>
                <w:szCs w:val="22"/>
              </w:rPr>
            </w:pPr>
            <w:r>
              <w:rPr>
                <w:noProof/>
                <w:snapToGrid/>
                <w:sz w:val="22"/>
                <w:szCs w:val="22"/>
              </w:rPr>
              <w:t>38,088</w:t>
            </w:r>
          </w:p>
        </w:tc>
        <w:tc>
          <w:tcPr>
            <w:tcW w:w="753" w:type="pct"/>
          </w:tcPr>
          <w:p w:rsidR="00000000" w:rsidRDefault="009C1C61">
            <w:pPr>
              <w:ind w:right="340"/>
              <w:jc w:val="right"/>
              <w:rPr>
                <w:noProof/>
                <w:snapToGrid/>
                <w:sz w:val="22"/>
                <w:szCs w:val="22"/>
              </w:rPr>
            </w:pPr>
            <w:r>
              <w:rPr>
                <w:noProof/>
                <w:snapToGrid/>
                <w:sz w:val="22"/>
                <w:szCs w:val="22"/>
              </w:rPr>
              <w:t>701,355</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1992</w:t>
            </w:r>
          </w:p>
        </w:tc>
        <w:tc>
          <w:tcPr>
            <w:tcW w:w="804" w:type="pct"/>
          </w:tcPr>
          <w:p w:rsidR="00000000" w:rsidRDefault="009C1C61">
            <w:pPr>
              <w:ind w:right="340"/>
              <w:jc w:val="right"/>
              <w:rPr>
                <w:noProof/>
                <w:snapToGrid/>
                <w:sz w:val="22"/>
                <w:szCs w:val="22"/>
              </w:rPr>
            </w:pPr>
            <w:r>
              <w:rPr>
                <w:noProof/>
                <w:snapToGrid/>
                <w:sz w:val="22"/>
                <w:szCs w:val="22"/>
              </w:rPr>
              <w:t>473,914</w:t>
            </w:r>
          </w:p>
        </w:tc>
        <w:tc>
          <w:tcPr>
            <w:tcW w:w="887" w:type="pct"/>
          </w:tcPr>
          <w:p w:rsidR="00000000" w:rsidRDefault="009C1C61">
            <w:pPr>
              <w:ind w:right="340"/>
              <w:jc w:val="right"/>
              <w:rPr>
                <w:noProof/>
                <w:snapToGrid/>
                <w:sz w:val="22"/>
                <w:szCs w:val="22"/>
              </w:rPr>
            </w:pPr>
            <w:r>
              <w:rPr>
                <w:noProof/>
                <w:snapToGrid/>
                <w:sz w:val="22"/>
                <w:szCs w:val="22"/>
              </w:rPr>
              <w:t>87,323</w:t>
            </w:r>
          </w:p>
        </w:tc>
        <w:tc>
          <w:tcPr>
            <w:tcW w:w="1110" w:type="pct"/>
          </w:tcPr>
          <w:p w:rsidR="00000000" w:rsidRDefault="009C1C61">
            <w:pPr>
              <w:ind w:right="340"/>
              <w:jc w:val="right"/>
              <w:rPr>
                <w:noProof/>
                <w:snapToGrid/>
                <w:sz w:val="22"/>
                <w:szCs w:val="22"/>
              </w:rPr>
            </w:pPr>
            <w:r>
              <w:rPr>
                <w:noProof/>
                <w:snapToGrid/>
                <w:sz w:val="22"/>
                <w:szCs w:val="22"/>
              </w:rPr>
              <w:t>121,630</w:t>
            </w:r>
          </w:p>
        </w:tc>
        <w:tc>
          <w:tcPr>
            <w:tcW w:w="834" w:type="pct"/>
          </w:tcPr>
          <w:p w:rsidR="00000000" w:rsidRDefault="009C1C61">
            <w:pPr>
              <w:ind w:right="340"/>
              <w:jc w:val="right"/>
              <w:rPr>
                <w:noProof/>
                <w:snapToGrid/>
                <w:sz w:val="22"/>
                <w:szCs w:val="22"/>
              </w:rPr>
            </w:pPr>
            <w:r>
              <w:rPr>
                <w:noProof/>
                <w:snapToGrid/>
                <w:sz w:val="22"/>
                <w:szCs w:val="22"/>
              </w:rPr>
              <w:t>41,198</w:t>
            </w:r>
          </w:p>
        </w:tc>
        <w:tc>
          <w:tcPr>
            <w:tcW w:w="753" w:type="pct"/>
          </w:tcPr>
          <w:p w:rsidR="00000000" w:rsidRDefault="009C1C61">
            <w:pPr>
              <w:ind w:right="340"/>
              <w:jc w:val="right"/>
              <w:rPr>
                <w:noProof/>
                <w:snapToGrid/>
                <w:sz w:val="22"/>
                <w:szCs w:val="22"/>
              </w:rPr>
            </w:pPr>
            <w:r>
              <w:rPr>
                <w:noProof/>
                <w:snapToGrid/>
                <w:sz w:val="22"/>
                <w:szCs w:val="22"/>
              </w:rPr>
              <w:t>724,065</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1993</w:t>
            </w:r>
          </w:p>
        </w:tc>
        <w:tc>
          <w:tcPr>
            <w:tcW w:w="804" w:type="pct"/>
          </w:tcPr>
          <w:p w:rsidR="00000000" w:rsidRDefault="009C1C61">
            <w:pPr>
              <w:ind w:right="340"/>
              <w:jc w:val="right"/>
              <w:rPr>
                <w:noProof/>
                <w:snapToGrid/>
                <w:sz w:val="22"/>
                <w:szCs w:val="22"/>
              </w:rPr>
            </w:pPr>
            <w:r>
              <w:rPr>
                <w:noProof/>
                <w:snapToGrid/>
                <w:sz w:val="22"/>
                <w:szCs w:val="22"/>
              </w:rPr>
              <w:t>460,219</w:t>
            </w:r>
          </w:p>
        </w:tc>
        <w:tc>
          <w:tcPr>
            <w:tcW w:w="887" w:type="pct"/>
          </w:tcPr>
          <w:p w:rsidR="00000000" w:rsidRDefault="009C1C61">
            <w:pPr>
              <w:ind w:right="340"/>
              <w:jc w:val="right"/>
              <w:rPr>
                <w:noProof/>
                <w:snapToGrid/>
                <w:sz w:val="22"/>
                <w:szCs w:val="22"/>
              </w:rPr>
            </w:pPr>
            <w:r>
              <w:rPr>
                <w:noProof/>
                <w:snapToGrid/>
                <w:sz w:val="22"/>
                <w:szCs w:val="22"/>
              </w:rPr>
              <w:t>75,436</w:t>
            </w:r>
          </w:p>
        </w:tc>
        <w:tc>
          <w:tcPr>
            <w:tcW w:w="1110" w:type="pct"/>
          </w:tcPr>
          <w:p w:rsidR="00000000" w:rsidRDefault="009C1C61">
            <w:pPr>
              <w:ind w:right="340"/>
              <w:jc w:val="right"/>
              <w:rPr>
                <w:noProof/>
                <w:snapToGrid/>
                <w:sz w:val="22"/>
                <w:szCs w:val="22"/>
              </w:rPr>
            </w:pPr>
            <w:r>
              <w:rPr>
                <w:noProof/>
                <w:snapToGrid/>
                <w:sz w:val="22"/>
                <w:szCs w:val="22"/>
              </w:rPr>
              <w:t>115</w:t>
            </w:r>
            <w:r>
              <w:rPr>
                <w:noProof/>
                <w:snapToGrid/>
                <w:sz w:val="22"/>
                <w:szCs w:val="22"/>
              </w:rPr>
              <w:t>,295</w:t>
            </w:r>
          </w:p>
        </w:tc>
        <w:tc>
          <w:tcPr>
            <w:tcW w:w="834" w:type="pct"/>
          </w:tcPr>
          <w:p w:rsidR="00000000" w:rsidRDefault="009C1C61">
            <w:pPr>
              <w:ind w:right="340"/>
              <w:jc w:val="right"/>
              <w:rPr>
                <w:noProof/>
                <w:snapToGrid/>
                <w:sz w:val="22"/>
                <w:szCs w:val="22"/>
              </w:rPr>
            </w:pPr>
            <w:r>
              <w:rPr>
                <w:noProof/>
                <w:snapToGrid/>
                <w:sz w:val="22"/>
                <w:szCs w:val="22"/>
              </w:rPr>
              <w:t>33,411</w:t>
            </w:r>
          </w:p>
        </w:tc>
        <w:tc>
          <w:tcPr>
            <w:tcW w:w="753" w:type="pct"/>
          </w:tcPr>
          <w:p w:rsidR="00000000" w:rsidRDefault="009C1C61">
            <w:pPr>
              <w:ind w:right="340"/>
              <w:jc w:val="right"/>
              <w:rPr>
                <w:noProof/>
                <w:snapToGrid/>
                <w:sz w:val="22"/>
                <w:szCs w:val="22"/>
              </w:rPr>
            </w:pPr>
            <w:r>
              <w:rPr>
                <w:noProof/>
                <w:snapToGrid/>
                <w:sz w:val="22"/>
                <w:szCs w:val="22"/>
              </w:rPr>
              <w:t>684,361</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1994</w:t>
            </w:r>
          </w:p>
        </w:tc>
        <w:tc>
          <w:tcPr>
            <w:tcW w:w="804" w:type="pct"/>
          </w:tcPr>
          <w:p w:rsidR="00000000" w:rsidRDefault="009C1C61">
            <w:pPr>
              <w:ind w:right="340"/>
              <w:jc w:val="right"/>
              <w:rPr>
                <w:noProof/>
                <w:snapToGrid/>
                <w:sz w:val="22"/>
                <w:szCs w:val="22"/>
              </w:rPr>
            </w:pPr>
            <w:r>
              <w:rPr>
                <w:noProof/>
                <w:snapToGrid/>
                <w:sz w:val="22"/>
                <w:szCs w:val="22"/>
              </w:rPr>
              <w:t>448,370</w:t>
            </w:r>
          </w:p>
        </w:tc>
        <w:tc>
          <w:tcPr>
            <w:tcW w:w="887" w:type="pct"/>
          </w:tcPr>
          <w:p w:rsidR="00000000" w:rsidRDefault="009C1C61">
            <w:pPr>
              <w:ind w:right="340"/>
              <w:jc w:val="right"/>
              <w:rPr>
                <w:noProof/>
                <w:snapToGrid/>
                <w:sz w:val="22"/>
                <w:szCs w:val="22"/>
              </w:rPr>
            </w:pPr>
            <w:r>
              <w:rPr>
                <w:noProof/>
                <w:snapToGrid/>
                <w:sz w:val="22"/>
                <w:szCs w:val="22"/>
              </w:rPr>
              <w:t>73,561</w:t>
            </w:r>
          </w:p>
        </w:tc>
        <w:tc>
          <w:tcPr>
            <w:tcW w:w="1110" w:type="pct"/>
          </w:tcPr>
          <w:p w:rsidR="00000000" w:rsidRDefault="009C1C61">
            <w:pPr>
              <w:ind w:right="340"/>
              <w:jc w:val="right"/>
              <w:rPr>
                <w:noProof/>
                <w:snapToGrid/>
                <w:sz w:val="22"/>
                <w:szCs w:val="22"/>
              </w:rPr>
            </w:pPr>
            <w:r>
              <w:rPr>
                <w:noProof/>
                <w:snapToGrid/>
                <w:sz w:val="22"/>
                <w:szCs w:val="22"/>
              </w:rPr>
              <w:t>114,104</w:t>
            </w:r>
          </w:p>
        </w:tc>
        <w:tc>
          <w:tcPr>
            <w:tcW w:w="834" w:type="pct"/>
          </w:tcPr>
          <w:p w:rsidR="00000000" w:rsidRDefault="009C1C61">
            <w:pPr>
              <w:ind w:right="340"/>
              <w:jc w:val="right"/>
              <w:rPr>
                <w:noProof/>
                <w:snapToGrid/>
                <w:sz w:val="22"/>
                <w:szCs w:val="22"/>
              </w:rPr>
            </w:pPr>
            <w:r>
              <w:rPr>
                <w:noProof/>
                <w:snapToGrid/>
                <w:sz w:val="22"/>
                <w:szCs w:val="22"/>
              </w:rPr>
              <w:t>25,931</w:t>
            </w:r>
          </w:p>
        </w:tc>
        <w:tc>
          <w:tcPr>
            <w:tcW w:w="753" w:type="pct"/>
          </w:tcPr>
          <w:p w:rsidR="00000000" w:rsidRDefault="009C1C61">
            <w:pPr>
              <w:ind w:right="340"/>
              <w:jc w:val="right"/>
              <w:rPr>
                <w:noProof/>
                <w:snapToGrid/>
                <w:sz w:val="22"/>
                <w:szCs w:val="22"/>
              </w:rPr>
            </w:pPr>
            <w:r>
              <w:rPr>
                <w:noProof/>
                <w:snapToGrid/>
                <w:sz w:val="22"/>
                <w:szCs w:val="22"/>
              </w:rPr>
              <w:t>661,966</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1995</w:t>
            </w:r>
          </w:p>
        </w:tc>
        <w:tc>
          <w:tcPr>
            <w:tcW w:w="804" w:type="pct"/>
          </w:tcPr>
          <w:p w:rsidR="00000000" w:rsidRDefault="009C1C61">
            <w:pPr>
              <w:ind w:right="340"/>
              <w:jc w:val="right"/>
              <w:rPr>
                <w:noProof/>
                <w:snapToGrid/>
                <w:sz w:val="22"/>
                <w:szCs w:val="22"/>
              </w:rPr>
            </w:pPr>
            <w:r>
              <w:rPr>
                <w:noProof/>
                <w:snapToGrid/>
                <w:sz w:val="22"/>
                <w:szCs w:val="22"/>
              </w:rPr>
              <w:t>417,796</w:t>
            </w:r>
          </w:p>
        </w:tc>
        <w:tc>
          <w:tcPr>
            <w:tcW w:w="887" w:type="pct"/>
          </w:tcPr>
          <w:p w:rsidR="00000000" w:rsidRDefault="009C1C61">
            <w:pPr>
              <w:ind w:right="340"/>
              <w:jc w:val="right"/>
              <w:rPr>
                <w:noProof/>
                <w:snapToGrid/>
                <w:sz w:val="22"/>
                <w:szCs w:val="22"/>
              </w:rPr>
            </w:pPr>
            <w:r>
              <w:rPr>
                <w:noProof/>
                <w:snapToGrid/>
                <w:sz w:val="22"/>
                <w:szCs w:val="22"/>
              </w:rPr>
              <w:t>71,166</w:t>
            </w:r>
          </w:p>
        </w:tc>
        <w:tc>
          <w:tcPr>
            <w:tcW w:w="1110" w:type="pct"/>
          </w:tcPr>
          <w:p w:rsidR="00000000" w:rsidRDefault="009C1C61">
            <w:pPr>
              <w:ind w:right="340"/>
              <w:jc w:val="right"/>
              <w:rPr>
                <w:noProof/>
                <w:snapToGrid/>
                <w:sz w:val="22"/>
                <w:szCs w:val="22"/>
              </w:rPr>
            </w:pPr>
            <w:r>
              <w:rPr>
                <w:noProof/>
                <w:snapToGrid/>
                <w:sz w:val="22"/>
                <w:szCs w:val="22"/>
              </w:rPr>
              <w:t>119,476</w:t>
            </w:r>
          </w:p>
        </w:tc>
        <w:tc>
          <w:tcPr>
            <w:tcW w:w="834" w:type="pct"/>
          </w:tcPr>
          <w:p w:rsidR="00000000" w:rsidRDefault="009C1C61">
            <w:pPr>
              <w:ind w:right="340"/>
              <w:jc w:val="right"/>
              <w:rPr>
                <w:noProof/>
                <w:snapToGrid/>
                <w:sz w:val="22"/>
                <w:szCs w:val="22"/>
              </w:rPr>
            </w:pPr>
            <w:r>
              <w:rPr>
                <w:noProof/>
                <w:snapToGrid/>
                <w:sz w:val="22"/>
                <w:szCs w:val="22"/>
              </w:rPr>
              <w:t>29,132</w:t>
            </w:r>
          </w:p>
        </w:tc>
        <w:tc>
          <w:tcPr>
            <w:tcW w:w="753" w:type="pct"/>
          </w:tcPr>
          <w:p w:rsidR="00000000" w:rsidRDefault="009C1C61">
            <w:pPr>
              <w:ind w:right="340"/>
              <w:jc w:val="right"/>
              <w:rPr>
                <w:noProof/>
                <w:snapToGrid/>
                <w:sz w:val="22"/>
                <w:szCs w:val="22"/>
              </w:rPr>
            </w:pPr>
            <w:r>
              <w:rPr>
                <w:noProof/>
                <w:snapToGrid/>
                <w:sz w:val="22"/>
                <w:szCs w:val="22"/>
              </w:rPr>
              <w:t>637,570</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1996</w:t>
            </w:r>
          </w:p>
        </w:tc>
        <w:tc>
          <w:tcPr>
            <w:tcW w:w="804" w:type="pct"/>
          </w:tcPr>
          <w:p w:rsidR="00000000" w:rsidRDefault="009C1C61">
            <w:pPr>
              <w:ind w:right="340"/>
              <w:jc w:val="right"/>
              <w:rPr>
                <w:noProof/>
                <w:snapToGrid/>
                <w:sz w:val="22"/>
                <w:szCs w:val="22"/>
              </w:rPr>
            </w:pPr>
            <w:r>
              <w:rPr>
                <w:noProof/>
                <w:snapToGrid/>
                <w:sz w:val="22"/>
                <w:szCs w:val="22"/>
              </w:rPr>
              <w:t>426,818</w:t>
            </w:r>
          </w:p>
        </w:tc>
        <w:tc>
          <w:tcPr>
            <w:tcW w:w="887" w:type="pct"/>
          </w:tcPr>
          <w:p w:rsidR="00000000" w:rsidRDefault="009C1C61">
            <w:pPr>
              <w:ind w:right="340"/>
              <w:jc w:val="right"/>
              <w:rPr>
                <w:noProof/>
                <w:snapToGrid/>
                <w:sz w:val="22"/>
                <w:szCs w:val="22"/>
              </w:rPr>
            </w:pPr>
            <w:r>
              <w:rPr>
                <w:noProof/>
                <w:snapToGrid/>
                <w:sz w:val="22"/>
                <w:szCs w:val="22"/>
              </w:rPr>
              <w:t>72,246</w:t>
            </w:r>
          </w:p>
        </w:tc>
        <w:tc>
          <w:tcPr>
            <w:tcW w:w="1110" w:type="pct"/>
          </w:tcPr>
          <w:p w:rsidR="00000000" w:rsidRDefault="009C1C61">
            <w:pPr>
              <w:ind w:right="340"/>
              <w:jc w:val="right"/>
              <w:rPr>
                <w:noProof/>
                <w:snapToGrid/>
                <w:sz w:val="22"/>
                <w:szCs w:val="22"/>
              </w:rPr>
            </w:pPr>
            <w:r>
              <w:rPr>
                <w:noProof/>
                <w:snapToGrid/>
                <w:sz w:val="22"/>
                <w:szCs w:val="22"/>
              </w:rPr>
              <w:t>124,402</w:t>
            </w:r>
          </w:p>
        </w:tc>
        <w:tc>
          <w:tcPr>
            <w:tcW w:w="834" w:type="pct"/>
          </w:tcPr>
          <w:p w:rsidR="00000000" w:rsidRDefault="009C1C61">
            <w:pPr>
              <w:ind w:right="340"/>
              <w:jc w:val="right"/>
              <w:rPr>
                <w:noProof/>
                <w:snapToGrid/>
                <w:sz w:val="22"/>
                <w:szCs w:val="22"/>
              </w:rPr>
            </w:pPr>
            <w:r>
              <w:rPr>
                <w:noProof/>
                <w:snapToGrid/>
                <w:sz w:val="22"/>
                <w:szCs w:val="22"/>
              </w:rPr>
              <w:t>32,131</w:t>
            </w:r>
          </w:p>
        </w:tc>
        <w:tc>
          <w:tcPr>
            <w:tcW w:w="753" w:type="pct"/>
          </w:tcPr>
          <w:p w:rsidR="00000000" w:rsidRDefault="009C1C61">
            <w:pPr>
              <w:ind w:right="340"/>
              <w:jc w:val="right"/>
              <w:rPr>
                <w:noProof/>
                <w:snapToGrid/>
                <w:sz w:val="22"/>
                <w:szCs w:val="22"/>
              </w:rPr>
            </w:pPr>
            <w:r>
              <w:rPr>
                <w:noProof/>
                <w:snapToGrid/>
                <w:sz w:val="22"/>
                <w:szCs w:val="22"/>
              </w:rPr>
              <w:t>655,597</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1997</w:t>
            </w:r>
          </w:p>
        </w:tc>
        <w:tc>
          <w:tcPr>
            <w:tcW w:w="804" w:type="pct"/>
          </w:tcPr>
          <w:p w:rsidR="00000000" w:rsidRDefault="009C1C61">
            <w:pPr>
              <w:ind w:right="340"/>
              <w:jc w:val="right"/>
              <w:rPr>
                <w:noProof/>
                <w:snapToGrid/>
                <w:sz w:val="22"/>
                <w:szCs w:val="22"/>
              </w:rPr>
            </w:pPr>
            <w:r>
              <w:rPr>
                <w:noProof/>
                <w:snapToGrid/>
                <w:sz w:val="22"/>
                <w:szCs w:val="22"/>
              </w:rPr>
              <w:t>405,440</w:t>
            </w:r>
          </w:p>
        </w:tc>
        <w:tc>
          <w:tcPr>
            <w:tcW w:w="887" w:type="pct"/>
          </w:tcPr>
          <w:p w:rsidR="00000000" w:rsidRDefault="009C1C61">
            <w:pPr>
              <w:ind w:right="340"/>
              <w:jc w:val="right"/>
              <w:rPr>
                <w:noProof/>
                <w:snapToGrid/>
                <w:sz w:val="22"/>
                <w:szCs w:val="22"/>
              </w:rPr>
            </w:pPr>
            <w:r>
              <w:rPr>
                <w:noProof/>
                <w:snapToGrid/>
                <w:sz w:val="22"/>
                <w:szCs w:val="22"/>
              </w:rPr>
              <w:t>68,143</w:t>
            </w:r>
          </w:p>
        </w:tc>
        <w:tc>
          <w:tcPr>
            <w:tcW w:w="1110" w:type="pct"/>
          </w:tcPr>
          <w:p w:rsidR="00000000" w:rsidRDefault="009C1C61">
            <w:pPr>
              <w:ind w:right="340"/>
              <w:jc w:val="right"/>
              <w:rPr>
                <w:noProof/>
                <w:snapToGrid/>
                <w:sz w:val="22"/>
                <w:szCs w:val="22"/>
              </w:rPr>
            </w:pPr>
            <w:r>
              <w:rPr>
                <w:noProof/>
                <w:snapToGrid/>
                <w:sz w:val="22"/>
                <w:szCs w:val="22"/>
              </w:rPr>
              <w:t>116,375</w:t>
            </w:r>
          </w:p>
        </w:tc>
        <w:tc>
          <w:tcPr>
            <w:tcW w:w="834" w:type="pct"/>
          </w:tcPr>
          <w:p w:rsidR="00000000" w:rsidRDefault="009C1C61">
            <w:pPr>
              <w:ind w:right="340"/>
              <w:jc w:val="right"/>
              <w:rPr>
                <w:noProof/>
                <w:snapToGrid/>
                <w:sz w:val="22"/>
                <w:szCs w:val="22"/>
              </w:rPr>
            </w:pPr>
            <w:r>
              <w:rPr>
                <w:noProof/>
                <w:snapToGrid/>
                <w:sz w:val="22"/>
                <w:szCs w:val="22"/>
              </w:rPr>
              <w:t>27,803</w:t>
            </w:r>
          </w:p>
        </w:tc>
        <w:tc>
          <w:tcPr>
            <w:tcW w:w="753" w:type="pct"/>
          </w:tcPr>
          <w:p w:rsidR="00000000" w:rsidRDefault="009C1C61">
            <w:pPr>
              <w:ind w:right="340"/>
              <w:jc w:val="right"/>
              <w:rPr>
                <w:noProof/>
                <w:snapToGrid/>
                <w:sz w:val="22"/>
                <w:szCs w:val="22"/>
              </w:rPr>
            </w:pPr>
            <w:r>
              <w:rPr>
                <w:noProof/>
                <w:snapToGrid/>
                <w:sz w:val="22"/>
                <w:szCs w:val="22"/>
              </w:rPr>
              <w:t>617,761</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1998</w:t>
            </w:r>
          </w:p>
        </w:tc>
        <w:tc>
          <w:tcPr>
            <w:tcW w:w="804" w:type="pct"/>
          </w:tcPr>
          <w:p w:rsidR="00000000" w:rsidRDefault="009C1C61">
            <w:pPr>
              <w:ind w:right="340"/>
              <w:jc w:val="right"/>
              <w:rPr>
                <w:noProof/>
                <w:snapToGrid/>
                <w:sz w:val="22"/>
                <w:szCs w:val="22"/>
              </w:rPr>
            </w:pPr>
            <w:r>
              <w:rPr>
                <w:noProof/>
                <w:snapToGrid/>
                <w:sz w:val="22"/>
                <w:szCs w:val="22"/>
              </w:rPr>
              <w:t>390,462</w:t>
            </w:r>
          </w:p>
        </w:tc>
        <w:tc>
          <w:tcPr>
            <w:tcW w:w="887" w:type="pct"/>
          </w:tcPr>
          <w:p w:rsidR="00000000" w:rsidRDefault="009C1C61">
            <w:pPr>
              <w:ind w:right="340"/>
              <w:jc w:val="right"/>
              <w:rPr>
                <w:noProof/>
                <w:snapToGrid/>
                <w:sz w:val="22"/>
                <w:szCs w:val="22"/>
              </w:rPr>
            </w:pPr>
            <w:r>
              <w:rPr>
                <w:noProof/>
                <w:snapToGrid/>
                <w:sz w:val="22"/>
                <w:szCs w:val="22"/>
              </w:rPr>
              <w:t>69,515</w:t>
            </w:r>
          </w:p>
        </w:tc>
        <w:tc>
          <w:tcPr>
            <w:tcW w:w="1110" w:type="pct"/>
          </w:tcPr>
          <w:p w:rsidR="00000000" w:rsidRDefault="009C1C61">
            <w:pPr>
              <w:ind w:right="340"/>
              <w:jc w:val="right"/>
              <w:rPr>
                <w:noProof/>
                <w:snapToGrid/>
                <w:sz w:val="22"/>
                <w:szCs w:val="22"/>
              </w:rPr>
            </w:pPr>
            <w:r>
              <w:rPr>
                <w:noProof/>
                <w:snapToGrid/>
                <w:sz w:val="22"/>
                <w:szCs w:val="22"/>
              </w:rPr>
              <w:t>121,578</w:t>
            </w:r>
          </w:p>
        </w:tc>
        <w:tc>
          <w:tcPr>
            <w:tcW w:w="834" w:type="pct"/>
          </w:tcPr>
          <w:p w:rsidR="00000000" w:rsidRDefault="009C1C61">
            <w:pPr>
              <w:ind w:right="340"/>
              <w:jc w:val="right"/>
              <w:rPr>
                <w:noProof/>
                <w:snapToGrid/>
                <w:sz w:val="22"/>
                <w:szCs w:val="22"/>
              </w:rPr>
            </w:pPr>
            <w:r>
              <w:rPr>
                <w:noProof/>
                <w:snapToGrid/>
                <w:sz w:val="22"/>
                <w:szCs w:val="22"/>
              </w:rPr>
              <w:t>29,980</w:t>
            </w:r>
          </w:p>
        </w:tc>
        <w:tc>
          <w:tcPr>
            <w:tcW w:w="753" w:type="pct"/>
          </w:tcPr>
          <w:p w:rsidR="00000000" w:rsidRDefault="009C1C61">
            <w:pPr>
              <w:ind w:right="340"/>
              <w:jc w:val="right"/>
              <w:rPr>
                <w:noProof/>
                <w:snapToGrid/>
                <w:sz w:val="22"/>
                <w:szCs w:val="22"/>
              </w:rPr>
            </w:pPr>
            <w:r>
              <w:rPr>
                <w:noProof/>
                <w:snapToGrid/>
                <w:sz w:val="22"/>
                <w:szCs w:val="22"/>
              </w:rPr>
              <w:t>611,535</w:t>
            </w:r>
          </w:p>
        </w:tc>
      </w:tr>
      <w:tr w:rsidR="00000000">
        <w:tblPrEx>
          <w:tblCellMar>
            <w:top w:w="0" w:type="dxa"/>
            <w:bottom w:w="0" w:type="dxa"/>
          </w:tblCellMar>
        </w:tblPrEx>
        <w:trPr>
          <w:jc w:val="center"/>
        </w:trPr>
        <w:tc>
          <w:tcPr>
            <w:tcW w:w="612" w:type="pct"/>
            <w:shd w:val="clear" w:color="000000" w:fill="FFFFFF"/>
          </w:tcPr>
          <w:p w:rsidR="00000000" w:rsidRDefault="009C1C61">
            <w:pPr>
              <w:jc w:val="center"/>
              <w:rPr>
                <w:bCs/>
                <w:noProof/>
                <w:snapToGrid/>
                <w:sz w:val="22"/>
                <w:szCs w:val="22"/>
              </w:rPr>
            </w:pPr>
            <w:r>
              <w:rPr>
                <w:bCs/>
                <w:noProof/>
                <w:snapToGrid/>
                <w:sz w:val="22"/>
                <w:szCs w:val="22"/>
              </w:rPr>
              <w:t>1999</w:t>
            </w:r>
          </w:p>
        </w:tc>
        <w:tc>
          <w:tcPr>
            <w:tcW w:w="804" w:type="pct"/>
          </w:tcPr>
          <w:p w:rsidR="00000000" w:rsidRDefault="009C1C61">
            <w:pPr>
              <w:ind w:right="340"/>
              <w:jc w:val="right"/>
              <w:rPr>
                <w:noProof/>
                <w:snapToGrid/>
                <w:sz w:val="22"/>
                <w:szCs w:val="22"/>
              </w:rPr>
            </w:pPr>
            <w:r>
              <w:rPr>
                <w:noProof/>
                <w:snapToGrid/>
                <w:sz w:val="22"/>
                <w:szCs w:val="22"/>
              </w:rPr>
              <w:t>359,368</w:t>
            </w:r>
          </w:p>
        </w:tc>
        <w:tc>
          <w:tcPr>
            <w:tcW w:w="887" w:type="pct"/>
          </w:tcPr>
          <w:p w:rsidR="00000000" w:rsidRDefault="009C1C61">
            <w:pPr>
              <w:ind w:right="340"/>
              <w:jc w:val="right"/>
              <w:rPr>
                <w:noProof/>
                <w:snapToGrid/>
                <w:sz w:val="22"/>
                <w:szCs w:val="22"/>
              </w:rPr>
            </w:pPr>
            <w:r>
              <w:rPr>
                <w:noProof/>
                <w:snapToGrid/>
                <w:sz w:val="22"/>
                <w:szCs w:val="22"/>
              </w:rPr>
              <w:t>74</w:t>
            </w:r>
            <w:r>
              <w:rPr>
                <w:noProof/>
                <w:snapToGrid/>
                <w:sz w:val="22"/>
                <w:szCs w:val="22"/>
              </w:rPr>
              <w:t>,560</w:t>
            </w:r>
          </w:p>
        </w:tc>
        <w:tc>
          <w:tcPr>
            <w:tcW w:w="1110" w:type="pct"/>
          </w:tcPr>
          <w:p w:rsidR="00000000" w:rsidRDefault="009C1C61">
            <w:pPr>
              <w:ind w:right="340"/>
              <w:jc w:val="right"/>
              <w:rPr>
                <w:noProof/>
                <w:snapToGrid/>
                <w:sz w:val="22"/>
                <w:szCs w:val="22"/>
              </w:rPr>
            </w:pPr>
            <w:r>
              <w:rPr>
                <w:noProof/>
                <w:snapToGrid/>
                <w:sz w:val="22"/>
                <w:szCs w:val="22"/>
              </w:rPr>
              <w:t>116,925</w:t>
            </w:r>
          </w:p>
        </w:tc>
        <w:tc>
          <w:tcPr>
            <w:tcW w:w="834" w:type="pct"/>
          </w:tcPr>
          <w:p w:rsidR="00000000" w:rsidRDefault="009C1C61">
            <w:pPr>
              <w:ind w:right="340"/>
              <w:jc w:val="right"/>
              <w:rPr>
                <w:noProof/>
                <w:snapToGrid/>
                <w:sz w:val="22"/>
                <w:szCs w:val="22"/>
              </w:rPr>
            </w:pPr>
            <w:r>
              <w:rPr>
                <w:noProof/>
                <w:snapToGrid/>
                <w:sz w:val="22"/>
                <w:szCs w:val="22"/>
              </w:rPr>
              <w:t>29,143</w:t>
            </w:r>
          </w:p>
        </w:tc>
        <w:tc>
          <w:tcPr>
            <w:tcW w:w="753" w:type="pct"/>
          </w:tcPr>
          <w:p w:rsidR="00000000" w:rsidRDefault="009C1C61">
            <w:pPr>
              <w:ind w:right="340"/>
              <w:jc w:val="right"/>
              <w:rPr>
                <w:noProof/>
                <w:snapToGrid/>
                <w:sz w:val="22"/>
                <w:szCs w:val="22"/>
              </w:rPr>
            </w:pPr>
            <w:r>
              <w:rPr>
                <w:noProof/>
                <w:snapToGrid/>
                <w:sz w:val="22"/>
                <w:szCs w:val="22"/>
              </w:rPr>
              <w:t>579,996</w:t>
            </w:r>
          </w:p>
        </w:tc>
      </w:tr>
    </w:tbl>
    <w:p w:rsidR="00000000" w:rsidRDefault="009C1C61" w:rsidP="009C1C61">
      <w:pPr>
        <w:spacing w:before="120" w:after="240"/>
        <w:ind w:firstLineChars="200" w:firstLine="31680"/>
        <w:rPr>
          <w:rFonts w:eastAsia="KaiTi_GB2312"/>
          <w:snapToGrid/>
          <w:spacing w:val="0"/>
        </w:rPr>
      </w:pPr>
      <w:r>
        <w:rPr>
          <w:rFonts w:eastAsia="KaiTi_GB2312" w:hint="eastAsia"/>
          <w:snapToGrid/>
          <w:spacing w:val="0"/>
          <w:sz w:val="22"/>
          <w:u w:val="single"/>
        </w:rPr>
        <w:t>资料来源</w:t>
      </w:r>
      <w:r>
        <w:rPr>
          <w:rFonts w:eastAsia="KaiTi_GB2312" w:hint="eastAsia"/>
          <w:snapToGrid/>
          <w:spacing w:val="0"/>
          <w:sz w:val="22"/>
        </w:rPr>
        <w:t>：</w:t>
      </w:r>
      <w:r>
        <w:rPr>
          <w:rFonts w:eastAsia="KaiTi_GB2312"/>
          <w:snapToGrid/>
          <w:spacing w:val="0"/>
          <w:sz w:val="22"/>
        </w:rPr>
        <w:t>劳工</w:t>
      </w:r>
      <w:r>
        <w:rPr>
          <w:rFonts w:eastAsia="KaiTi_GB2312" w:hint="eastAsia"/>
          <w:snapToGrid/>
          <w:spacing w:val="0"/>
          <w:sz w:val="22"/>
        </w:rPr>
        <w:t>部</w:t>
      </w:r>
      <w:r>
        <w:rPr>
          <w:rFonts w:eastAsia="KaiTi_GB2312"/>
          <w:snapToGrid/>
          <w:spacing w:val="0"/>
          <w:sz w:val="22"/>
        </w:rPr>
        <w:t>劳资关系</w:t>
      </w:r>
      <w:r>
        <w:rPr>
          <w:rFonts w:eastAsia="KaiTi_GB2312" w:hint="eastAsia"/>
          <w:snapToGrid/>
          <w:spacing w:val="0"/>
          <w:sz w:val="22"/>
        </w:rPr>
        <w:t>司</w:t>
      </w:r>
      <w:r>
        <w:rPr>
          <w:rFonts w:eastAsia="KaiTi_GB2312"/>
          <w:snapToGrid/>
          <w:spacing w:val="0"/>
          <w:sz w:val="22"/>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工会联合会和工会联盟</w:t>
      </w:r>
    </w:p>
    <w:p w:rsidR="00000000" w:rsidRDefault="009C1C61">
      <w:pPr>
        <w:rPr>
          <w:snapToGrid/>
        </w:rPr>
      </w:pPr>
      <w:r>
        <w:rPr>
          <w:snapToGrid/>
        </w:rPr>
        <w:tab/>
        <w:t xml:space="preserve">268.  </w:t>
      </w:r>
      <w:r>
        <w:rPr>
          <w:snapToGrid/>
        </w:rPr>
        <w:t>工会联合会由三个或更多个工会组成。工会联</w:t>
      </w:r>
      <w:r>
        <w:rPr>
          <w:rFonts w:hint="eastAsia"/>
          <w:snapToGrid/>
        </w:rPr>
        <w:t>盟</w:t>
      </w:r>
      <w:r>
        <w:rPr>
          <w:snapToGrid/>
        </w:rPr>
        <w:t>由五个或更多个工会联合会，或</w:t>
      </w:r>
      <w:r>
        <w:rPr>
          <w:rFonts w:hint="eastAsia"/>
          <w:snapToGrid/>
        </w:rPr>
        <w:t>者</w:t>
      </w:r>
      <w:r>
        <w:rPr>
          <w:snapToGrid/>
        </w:rPr>
        <w:t>20</w:t>
      </w:r>
      <w:r>
        <w:rPr>
          <w:snapToGrid/>
        </w:rPr>
        <w:t>或更多个工会组成。</w:t>
      </w:r>
      <w:r>
        <w:rPr>
          <w:snapToGrid/>
        </w:rPr>
        <w:t>20</w:t>
      </w:r>
      <w:r>
        <w:rPr>
          <w:snapToGrid/>
        </w:rPr>
        <w:t>或更多个工会组成的联合体可相当于一个工会联合会或工会联盟。</w:t>
      </w:r>
    </w:p>
    <w:p w:rsidR="00000000" w:rsidRDefault="009C1C61">
      <w:pPr>
        <w:spacing w:after="240"/>
        <w:rPr>
          <w:snapToGrid/>
        </w:rPr>
      </w:pPr>
      <w:r>
        <w:rPr>
          <w:snapToGrid/>
        </w:rPr>
        <w:tab/>
        <w:t xml:space="preserve">269.  </w:t>
      </w:r>
      <w:r>
        <w:rPr>
          <w:snapToGrid/>
        </w:rPr>
        <w:t>对于公共官员，包括市政</w:t>
      </w:r>
      <w:r>
        <w:rPr>
          <w:rFonts w:hint="eastAsia"/>
          <w:snapToGrid/>
        </w:rPr>
        <w:t>府员</w:t>
      </w:r>
      <w:r>
        <w:rPr>
          <w:snapToGrid/>
        </w:rPr>
        <w:t>工，法律规定了属于国家行政部门</w:t>
      </w:r>
      <w:r>
        <w:rPr>
          <w:rFonts w:hint="eastAsia"/>
          <w:snapToGrid/>
        </w:rPr>
        <w:t>的</w:t>
      </w:r>
      <w:r>
        <w:rPr>
          <w:snapToGrid/>
        </w:rPr>
        <w:t>官员</w:t>
      </w:r>
      <w:r>
        <w:rPr>
          <w:rFonts w:hint="eastAsia"/>
          <w:snapToGrid/>
        </w:rPr>
        <w:t>结社</w:t>
      </w:r>
      <w:r>
        <w:rPr>
          <w:snapToGrid/>
        </w:rPr>
        <w:t>的规则，承认他们有权不必事先得到批准，组建他们认为适当的国家工作人员工会的权利，但必须符合法律和相关的法规。</w:t>
      </w:r>
      <w:r>
        <w:rPr>
          <w:rStyle w:val="FootnoteReference"/>
          <w:snapToGrid/>
        </w:rPr>
        <w:footnoteReference w:id="71"/>
      </w:r>
      <w:r>
        <w:rPr>
          <w:rFonts w:hint="eastAsia"/>
          <w:snapToGrid/>
        </w:rPr>
        <w:t xml:space="preserve"> </w:t>
      </w:r>
      <w:r>
        <w:rPr>
          <w:snapToGrid/>
        </w:rPr>
        <w:t>1997</w:t>
      </w:r>
      <w:r>
        <w:rPr>
          <w:snapToGrid/>
        </w:rPr>
        <w:t>年</w:t>
      </w:r>
      <w:r>
        <w:rPr>
          <w:rFonts w:hint="eastAsia"/>
          <w:snapToGrid/>
        </w:rPr>
        <w:t>有</w:t>
      </w:r>
      <w:r>
        <w:rPr>
          <w:snapToGrid/>
        </w:rPr>
        <w:t>1,117</w:t>
      </w:r>
      <w:r>
        <w:rPr>
          <w:snapToGrid/>
        </w:rPr>
        <w:t>个</w:t>
      </w:r>
      <w:r>
        <w:rPr>
          <w:rFonts w:hint="eastAsia"/>
          <w:snapToGrid/>
        </w:rPr>
        <w:t>公共官</w:t>
      </w:r>
      <w:r>
        <w:rPr>
          <w:snapToGrid/>
        </w:rPr>
        <w:t>员协会，会员总数</w:t>
      </w:r>
      <w:r>
        <w:rPr>
          <w:snapToGrid/>
        </w:rPr>
        <w:t>130,873</w:t>
      </w:r>
      <w:r>
        <w:rPr>
          <w:snapToGrid/>
        </w:rPr>
        <w:t>人；</w:t>
      </w:r>
      <w:r>
        <w:rPr>
          <w:snapToGrid/>
        </w:rPr>
        <w:t>1998</w:t>
      </w:r>
      <w:r>
        <w:rPr>
          <w:snapToGrid/>
        </w:rPr>
        <w:t>年</w:t>
      </w:r>
      <w:r>
        <w:rPr>
          <w:rFonts w:hint="eastAsia"/>
          <w:snapToGrid/>
        </w:rPr>
        <w:t>有</w:t>
      </w:r>
      <w:r>
        <w:rPr>
          <w:snapToGrid/>
        </w:rPr>
        <w:t>1241</w:t>
      </w:r>
      <w:r>
        <w:rPr>
          <w:snapToGrid/>
        </w:rPr>
        <w:t>个协会，会员</w:t>
      </w:r>
      <w:r>
        <w:rPr>
          <w:rFonts w:hint="eastAsia"/>
          <w:snapToGrid/>
        </w:rPr>
        <w:t>总数</w:t>
      </w:r>
      <w:r>
        <w:rPr>
          <w:snapToGrid/>
        </w:rPr>
        <w:t>135,596</w:t>
      </w:r>
      <w:r>
        <w:rPr>
          <w:snapToGrid/>
        </w:rPr>
        <w:t>人；</w:t>
      </w:r>
      <w:r>
        <w:rPr>
          <w:snapToGrid/>
        </w:rPr>
        <w:t>1999</w:t>
      </w:r>
      <w:r>
        <w:rPr>
          <w:snapToGrid/>
        </w:rPr>
        <w:t>年</w:t>
      </w:r>
      <w:r>
        <w:rPr>
          <w:rFonts w:hint="eastAsia"/>
          <w:snapToGrid/>
        </w:rPr>
        <w:t>有</w:t>
      </w:r>
      <w:r>
        <w:rPr>
          <w:snapToGrid/>
        </w:rPr>
        <w:t>1,335</w:t>
      </w:r>
      <w:r>
        <w:rPr>
          <w:snapToGrid/>
        </w:rPr>
        <w:t>个协会，会员总数</w:t>
      </w:r>
      <w:r>
        <w:rPr>
          <w:snapToGrid/>
        </w:rPr>
        <w:t>138,863</w:t>
      </w:r>
      <w:r>
        <w:rPr>
          <w:snapToGrid/>
        </w:rPr>
        <w:t>人。</w:t>
      </w:r>
    </w:p>
    <w:p w:rsidR="00000000" w:rsidRDefault="009C1C61">
      <w:pPr>
        <w:pStyle w:val="Heading4"/>
        <w:rPr>
          <w:rFonts w:ascii="Time New Roman" w:eastAsia="SimHei" w:hAnsi="Time New Roman"/>
          <w:u w:val="none"/>
        </w:rPr>
      </w:pPr>
      <w:r>
        <w:rPr>
          <w:rFonts w:ascii="Time New Roman" w:eastAsia="SimHei" w:hAnsi="Time New Roman" w:hint="eastAsia"/>
          <w:u w:val="none"/>
        </w:rPr>
        <w:t>罢工权利</w:t>
      </w:r>
    </w:p>
    <w:p w:rsidR="00000000" w:rsidRDefault="009C1C61">
      <w:pPr>
        <w:pStyle w:val="Heading4"/>
        <w:rPr>
          <w:rFonts w:ascii="Time New Roman" w:eastAsia="SimHei" w:hAnsi="Time New Roman"/>
          <w:u w:val="none"/>
        </w:rPr>
      </w:pPr>
      <w:r>
        <w:rPr>
          <w:rFonts w:ascii="Time New Roman" w:eastAsia="SimHei" w:hAnsi="Time New Roman" w:hint="eastAsia"/>
          <w:u w:val="none"/>
        </w:rPr>
        <w:t>对罢工权的限制</w:t>
      </w:r>
    </w:p>
    <w:p w:rsidR="00000000" w:rsidRDefault="009C1C61">
      <w:pPr>
        <w:rPr>
          <w:snapToGrid/>
        </w:rPr>
      </w:pPr>
      <w:r>
        <w:rPr>
          <w:snapToGrid/>
        </w:rPr>
        <w:tab/>
        <w:t xml:space="preserve">270.  </w:t>
      </w:r>
      <w:r>
        <w:rPr>
          <w:snapToGrid/>
        </w:rPr>
        <w:t>法律规定了</w:t>
      </w:r>
      <w:r>
        <w:rPr>
          <w:rFonts w:hint="eastAsia"/>
          <w:snapToGrid/>
        </w:rPr>
        <w:t>专门适用于罢工期间的</w:t>
      </w:r>
      <w:r>
        <w:rPr>
          <w:snapToGrid/>
        </w:rPr>
        <w:t>两项有关集体谈判程序</w:t>
      </w:r>
      <w:r>
        <w:rPr>
          <w:rFonts w:hint="eastAsia"/>
          <w:snapToGrid/>
        </w:rPr>
        <w:t>的重</w:t>
      </w:r>
      <w:r>
        <w:rPr>
          <w:snapToGrid/>
        </w:rPr>
        <w:t>要法律规则</w:t>
      </w:r>
      <w:r>
        <w:rPr>
          <w:rFonts w:hint="eastAsia"/>
          <w:snapToGrid/>
        </w:rPr>
        <w:t>，</w:t>
      </w:r>
      <w:r>
        <w:rPr>
          <w:rStyle w:val="FootnoteReference"/>
          <w:snapToGrid/>
        </w:rPr>
        <w:footnoteReference w:id="72"/>
      </w:r>
      <w:r>
        <w:rPr>
          <w:rFonts w:hint="eastAsia"/>
          <w:snapToGrid/>
        </w:rPr>
        <w:t xml:space="preserve"> </w:t>
      </w:r>
      <w:r>
        <w:rPr>
          <w:rFonts w:hint="eastAsia"/>
          <w:snapToGrid/>
        </w:rPr>
        <w:t>对雇人顶替罢工工人以及恢复罢工工人个人原先职务作出规定。</w:t>
      </w:r>
    </w:p>
    <w:p w:rsidR="00000000" w:rsidRDefault="009C1C61">
      <w:pPr>
        <w:rPr>
          <w:snapToGrid/>
        </w:rPr>
      </w:pPr>
      <w:r>
        <w:rPr>
          <w:snapToGrid/>
        </w:rPr>
        <w:tab/>
        <w:t xml:space="preserve">271.  </w:t>
      </w:r>
      <w:r>
        <w:rPr>
          <w:snapToGrid/>
        </w:rPr>
        <w:t>关于</w:t>
      </w:r>
      <w:r>
        <w:rPr>
          <w:rFonts w:hint="eastAsia"/>
          <w:snapToGrid/>
        </w:rPr>
        <w:t>雇人顶</w:t>
      </w:r>
      <w:r>
        <w:rPr>
          <w:snapToGrid/>
        </w:rPr>
        <w:t>替罢工工人</w:t>
      </w:r>
      <w:r>
        <w:rPr>
          <w:rFonts w:hint="eastAsia"/>
          <w:snapToGrid/>
        </w:rPr>
        <w:t>问题</w:t>
      </w:r>
      <w:r>
        <w:rPr>
          <w:snapToGrid/>
        </w:rPr>
        <w:t>，雇主可以</w:t>
      </w:r>
      <w:r>
        <w:rPr>
          <w:rFonts w:hint="eastAsia"/>
          <w:snapToGrid/>
        </w:rPr>
        <w:t>从</w:t>
      </w:r>
      <w:r>
        <w:rPr>
          <w:snapToGrid/>
        </w:rPr>
        <w:t>罢工第一天起雇</w:t>
      </w:r>
      <w:r>
        <w:rPr>
          <w:rFonts w:hint="eastAsia"/>
          <w:snapToGrid/>
        </w:rPr>
        <w:t>用</w:t>
      </w:r>
      <w:r>
        <w:rPr>
          <w:snapToGrid/>
        </w:rPr>
        <w:t>顶替人员，但</w:t>
      </w:r>
      <w:r>
        <w:rPr>
          <w:rFonts w:hint="eastAsia"/>
          <w:snapToGrid/>
        </w:rPr>
        <w:t>他最后提出的应允条件必须</w:t>
      </w:r>
      <w:r>
        <w:rPr>
          <w:snapToGrid/>
        </w:rPr>
        <w:t>符合下列综合要求：</w:t>
      </w:r>
    </w:p>
    <w:p w:rsidR="00000000" w:rsidRDefault="009C1C61">
      <w:pPr>
        <w:numPr>
          <w:ilvl w:val="0"/>
          <w:numId w:val="252"/>
        </w:numPr>
        <w:rPr>
          <w:snapToGrid/>
        </w:rPr>
      </w:pPr>
      <w:r>
        <w:rPr>
          <w:rFonts w:hint="eastAsia"/>
          <w:snapToGrid/>
        </w:rPr>
        <w:t>应允提案必须以书面形式提出；</w:t>
      </w:r>
    </w:p>
    <w:p w:rsidR="00000000" w:rsidRDefault="009C1C61">
      <w:pPr>
        <w:numPr>
          <w:ilvl w:val="0"/>
          <w:numId w:val="252"/>
        </w:numPr>
        <w:rPr>
          <w:snapToGrid/>
        </w:rPr>
      </w:pPr>
      <w:r>
        <w:rPr>
          <w:rFonts w:hint="eastAsia"/>
          <w:snapToGrid/>
        </w:rPr>
        <w:t>应允提案</w:t>
      </w:r>
      <w:r>
        <w:rPr>
          <w:snapToGrid/>
        </w:rPr>
        <w:t>必须以书面形式提交给工人和谈判委员会，并且向处</w:t>
      </w:r>
      <w:r>
        <w:rPr>
          <w:rFonts w:hint="eastAsia"/>
          <w:snapToGrid/>
        </w:rPr>
        <w:t>理</w:t>
      </w:r>
      <w:r>
        <w:rPr>
          <w:snapToGrid/>
        </w:rPr>
        <w:t>谈判进程的劳工监察</w:t>
      </w:r>
      <w:r>
        <w:rPr>
          <w:rFonts w:hint="eastAsia"/>
          <w:snapToGrid/>
        </w:rPr>
        <w:t>处备</w:t>
      </w:r>
      <w:r>
        <w:rPr>
          <w:snapToGrid/>
        </w:rPr>
        <w:t>案；</w:t>
      </w:r>
    </w:p>
    <w:p w:rsidR="00000000" w:rsidRDefault="009C1C61">
      <w:pPr>
        <w:numPr>
          <w:ilvl w:val="0"/>
          <w:numId w:val="252"/>
        </w:numPr>
        <w:rPr>
          <w:snapToGrid/>
        </w:rPr>
      </w:pPr>
      <w:r>
        <w:rPr>
          <w:rFonts w:hint="eastAsia"/>
          <w:snapToGrid/>
        </w:rPr>
        <w:t>应允提案</w:t>
      </w:r>
      <w:r>
        <w:rPr>
          <w:snapToGrid/>
        </w:rPr>
        <w:t>须至少在限期前两天提</w:t>
      </w:r>
      <w:r>
        <w:rPr>
          <w:snapToGrid/>
        </w:rPr>
        <w:t>出，以便工人们对接受</w:t>
      </w:r>
      <w:r>
        <w:rPr>
          <w:rFonts w:hint="eastAsia"/>
          <w:snapToGrid/>
        </w:rPr>
        <w:t>应允提案还是</w:t>
      </w:r>
      <w:r>
        <w:rPr>
          <w:snapToGrid/>
        </w:rPr>
        <w:t>罢工进行表决，并且必须在限期之前向劳工监察</w:t>
      </w:r>
      <w:r>
        <w:rPr>
          <w:rFonts w:hint="eastAsia"/>
          <w:snapToGrid/>
        </w:rPr>
        <w:t>处</w:t>
      </w:r>
      <w:r>
        <w:rPr>
          <w:snapToGrid/>
        </w:rPr>
        <w:t>备案；</w:t>
      </w:r>
    </w:p>
    <w:p w:rsidR="00000000" w:rsidRDefault="009C1C61">
      <w:pPr>
        <w:numPr>
          <w:ilvl w:val="0"/>
          <w:numId w:val="252"/>
        </w:numPr>
        <w:rPr>
          <w:snapToGrid/>
        </w:rPr>
      </w:pPr>
      <w:r>
        <w:rPr>
          <w:snapToGrid/>
        </w:rPr>
        <w:t>提案必须</w:t>
      </w:r>
      <w:r>
        <w:rPr>
          <w:rFonts w:hint="eastAsia"/>
          <w:snapToGrid/>
        </w:rPr>
        <w:t>在形式和内容上与提案提出时有效的合同、协议或裁决相同，但可对其按消费者物价指数在上一次调整日与文书到期日之间的变动全面作相应调整；</w:t>
      </w:r>
      <w:r>
        <w:rPr>
          <w:rStyle w:val="FootnoteReference"/>
          <w:snapToGrid/>
        </w:rPr>
        <w:footnoteReference w:id="73"/>
      </w:r>
    </w:p>
    <w:p w:rsidR="00000000" w:rsidRDefault="009C1C61">
      <w:pPr>
        <w:numPr>
          <w:ilvl w:val="0"/>
          <w:numId w:val="252"/>
        </w:numPr>
        <w:rPr>
          <w:snapToGrid/>
        </w:rPr>
      </w:pPr>
      <w:r>
        <w:rPr>
          <w:rFonts w:hint="eastAsia"/>
          <w:snapToGrid/>
        </w:rPr>
        <w:t>应允提案得允许</w:t>
      </w:r>
      <w:r>
        <w:rPr>
          <w:snapToGrid/>
        </w:rPr>
        <w:t>根据消费者</w:t>
      </w:r>
      <w:r>
        <w:rPr>
          <w:rFonts w:hint="eastAsia"/>
          <w:snapToGrid/>
        </w:rPr>
        <w:t>物</w:t>
      </w:r>
      <w:r>
        <w:rPr>
          <w:snapToGrid/>
        </w:rPr>
        <w:t>价指数进行</w:t>
      </w:r>
      <w:r>
        <w:rPr>
          <w:rFonts w:hint="eastAsia"/>
          <w:snapToGrid/>
        </w:rPr>
        <w:t>最起码的</w:t>
      </w:r>
      <w:r>
        <w:rPr>
          <w:snapToGrid/>
        </w:rPr>
        <w:t>年度调整</w:t>
      </w:r>
      <w:r>
        <w:rPr>
          <w:rFonts w:hint="eastAsia"/>
          <w:snapToGrid/>
        </w:rPr>
        <w:t>，但调整</w:t>
      </w:r>
      <w:r>
        <w:rPr>
          <w:snapToGrid/>
        </w:rPr>
        <w:t>不包括前</w:t>
      </w:r>
      <w:r>
        <w:rPr>
          <w:snapToGrid/>
        </w:rPr>
        <w:t>12</w:t>
      </w:r>
      <w:r>
        <w:rPr>
          <w:snapToGrid/>
        </w:rPr>
        <w:t>个月的合同；</w:t>
      </w:r>
    </w:p>
    <w:p w:rsidR="00000000" w:rsidRDefault="009C1C61">
      <w:pPr>
        <w:numPr>
          <w:ilvl w:val="0"/>
          <w:numId w:val="252"/>
        </w:numPr>
        <w:rPr>
          <w:snapToGrid/>
        </w:rPr>
      </w:pPr>
      <w:r>
        <w:rPr>
          <w:rFonts w:hint="eastAsia"/>
          <w:snapToGrid/>
        </w:rPr>
        <w:t>为了</w:t>
      </w:r>
      <w:r>
        <w:rPr>
          <w:snapToGrid/>
        </w:rPr>
        <w:t>被顶替工人的福利，</w:t>
      </w:r>
      <w:r>
        <w:rPr>
          <w:rFonts w:hint="eastAsia"/>
          <w:snapToGrid/>
        </w:rPr>
        <w:t>应允提案必须包括给每一位所雇的顶替工</w:t>
      </w:r>
      <w:r>
        <w:rPr>
          <w:snapToGrid/>
        </w:rPr>
        <w:t>四</w:t>
      </w:r>
      <w:r>
        <w:rPr>
          <w:rFonts w:hint="eastAsia"/>
          <w:snapToGrid/>
        </w:rPr>
        <w:t>个“调值</w:t>
      </w:r>
      <w:r>
        <w:rPr>
          <w:snapToGrid/>
        </w:rPr>
        <w:t>单位</w:t>
      </w:r>
      <w:r>
        <w:rPr>
          <w:rFonts w:hint="eastAsia"/>
          <w:snapToGrid/>
        </w:rPr>
        <w:t>”的分红</w:t>
      </w:r>
      <w:r>
        <w:rPr>
          <w:snapToGrid/>
        </w:rPr>
        <w:t>。</w:t>
      </w:r>
      <w:r>
        <w:rPr>
          <w:rStyle w:val="FootnoteReference"/>
          <w:snapToGrid/>
        </w:rPr>
        <w:footnoteReference w:id="74"/>
      </w:r>
    </w:p>
    <w:p w:rsidR="00000000" w:rsidRDefault="009C1C61">
      <w:pPr>
        <w:rPr>
          <w:snapToGrid/>
        </w:rPr>
      </w:pPr>
      <w:r>
        <w:rPr>
          <w:snapToGrid/>
        </w:rPr>
        <w:tab/>
      </w:r>
      <w:r>
        <w:rPr>
          <w:rFonts w:hint="eastAsia"/>
          <w:snapToGrid/>
        </w:rPr>
        <w:t>272.</w:t>
      </w:r>
      <w:r>
        <w:rPr>
          <w:snapToGrid/>
        </w:rPr>
        <w:t xml:space="preserve">  </w:t>
      </w:r>
      <w:r>
        <w:rPr>
          <w:rFonts w:hint="eastAsia"/>
          <w:snapToGrid/>
        </w:rPr>
        <w:t>如果最后的应允提案不符合以上所列规定，雇主可在罢工的第</w:t>
      </w:r>
      <w:r>
        <w:rPr>
          <w:snapToGrid/>
        </w:rPr>
        <w:t>15</w:t>
      </w:r>
      <w:r>
        <w:rPr>
          <w:snapToGrid/>
        </w:rPr>
        <w:t>天</w:t>
      </w:r>
      <w:r>
        <w:rPr>
          <w:rFonts w:hint="eastAsia"/>
          <w:snapToGrid/>
        </w:rPr>
        <w:t>雇人顶替</w:t>
      </w:r>
      <w:r>
        <w:rPr>
          <w:snapToGrid/>
        </w:rPr>
        <w:t>罢工工人。如果企业达不成集体谈判</w:t>
      </w:r>
      <w:r>
        <w:rPr>
          <w:snapToGrid/>
        </w:rPr>
        <w:t>协议，雇主可在罢工的第一天</w:t>
      </w:r>
      <w:r>
        <w:rPr>
          <w:rFonts w:hint="eastAsia"/>
          <w:snapToGrid/>
        </w:rPr>
        <w:t>雇人顶替</w:t>
      </w:r>
      <w:r>
        <w:rPr>
          <w:snapToGrid/>
        </w:rPr>
        <w:t>罢工工人，但是必须确定，他的最后</w:t>
      </w:r>
      <w:r>
        <w:rPr>
          <w:rFonts w:hint="eastAsia"/>
          <w:snapToGrid/>
        </w:rPr>
        <w:t>应允</w:t>
      </w:r>
      <w:r>
        <w:rPr>
          <w:snapToGrid/>
        </w:rPr>
        <w:t>提案</w:t>
      </w:r>
      <w:r>
        <w:rPr>
          <w:rFonts w:hint="eastAsia"/>
          <w:snapToGrid/>
        </w:rPr>
        <w:t>是在</w:t>
      </w:r>
      <w:r>
        <w:rPr>
          <w:snapToGrid/>
        </w:rPr>
        <w:t>上述</w:t>
      </w:r>
      <w:r>
        <w:rPr>
          <w:snapToGrid/>
        </w:rPr>
        <w:t>(</w:t>
      </w:r>
      <w:r>
        <w:rPr>
          <w:rFonts w:hint="eastAsia"/>
          <w:snapToGrid/>
        </w:rPr>
        <w:t>c</w:t>
      </w:r>
      <w:r>
        <w:rPr>
          <w:snapToGrid/>
        </w:rPr>
        <w:t>)</w:t>
      </w:r>
      <w:r>
        <w:rPr>
          <w:rFonts w:hint="eastAsia"/>
          <w:snapToGrid/>
        </w:rPr>
        <w:t>段</w:t>
      </w:r>
      <w:r>
        <w:rPr>
          <w:snapToGrid/>
        </w:rPr>
        <w:t>所</w:t>
      </w:r>
      <w:r>
        <w:rPr>
          <w:rFonts w:hint="eastAsia"/>
          <w:snapToGrid/>
        </w:rPr>
        <w:t>列时限内提请参与集体谈判进程的工人注意的。雇主还必须考虑到在</w:t>
      </w:r>
      <w:r>
        <w:rPr>
          <w:snapToGrid/>
        </w:rPr>
        <w:t>合同期</w:t>
      </w:r>
      <w:r>
        <w:rPr>
          <w:rFonts w:hint="eastAsia"/>
          <w:snapToGrid/>
        </w:rPr>
        <w:t>内</w:t>
      </w:r>
      <w:r>
        <w:rPr>
          <w:snapToGrid/>
        </w:rPr>
        <w:t>按照消费者</w:t>
      </w:r>
      <w:r>
        <w:rPr>
          <w:rFonts w:hint="eastAsia"/>
          <w:snapToGrid/>
        </w:rPr>
        <w:t>物</w:t>
      </w:r>
      <w:r>
        <w:rPr>
          <w:snapToGrid/>
        </w:rPr>
        <w:t>价指数</w:t>
      </w:r>
      <w:r>
        <w:rPr>
          <w:rFonts w:hint="eastAsia"/>
          <w:snapToGrid/>
        </w:rPr>
        <w:t>进行</w:t>
      </w:r>
      <w:r>
        <w:rPr>
          <w:snapToGrid/>
        </w:rPr>
        <w:t>年度调整</w:t>
      </w:r>
      <w:r>
        <w:rPr>
          <w:rFonts w:hint="eastAsia"/>
          <w:snapToGrid/>
        </w:rPr>
        <w:t>，但调整不包括前</w:t>
      </w:r>
      <w:r>
        <w:rPr>
          <w:snapToGrid/>
        </w:rPr>
        <w:t>12</w:t>
      </w:r>
      <w:r>
        <w:rPr>
          <w:snapToGrid/>
        </w:rPr>
        <w:t>个月。</w:t>
      </w:r>
    </w:p>
    <w:p w:rsidR="00000000" w:rsidRDefault="009C1C61">
      <w:pPr>
        <w:rPr>
          <w:snapToGrid/>
        </w:rPr>
      </w:pPr>
      <w:r>
        <w:rPr>
          <w:snapToGrid/>
        </w:rPr>
        <w:tab/>
        <w:t xml:space="preserve">273.  </w:t>
      </w:r>
      <w:r>
        <w:rPr>
          <w:rFonts w:hint="eastAsia"/>
          <w:snapToGrid/>
        </w:rPr>
        <w:t>对于</w:t>
      </w:r>
      <w:r>
        <w:rPr>
          <w:snapToGrid/>
        </w:rPr>
        <w:t>恢复罢工工人个人原先</w:t>
      </w:r>
      <w:r>
        <w:rPr>
          <w:rFonts w:hint="eastAsia"/>
          <w:snapToGrid/>
        </w:rPr>
        <w:t>职</w:t>
      </w:r>
      <w:r>
        <w:rPr>
          <w:snapToGrid/>
        </w:rPr>
        <w:t>位</w:t>
      </w:r>
      <w:r>
        <w:rPr>
          <w:rFonts w:hint="eastAsia"/>
          <w:snapToGrid/>
        </w:rPr>
        <w:t>的问题</w:t>
      </w:r>
      <w:r>
        <w:rPr>
          <w:snapToGrid/>
        </w:rPr>
        <w:t>适用下列规则：</w:t>
      </w:r>
    </w:p>
    <w:p w:rsidR="00000000" w:rsidRDefault="009C1C61">
      <w:pPr>
        <w:numPr>
          <w:ilvl w:val="0"/>
          <w:numId w:val="251"/>
        </w:numPr>
        <w:rPr>
          <w:rFonts w:hint="eastAsia"/>
          <w:snapToGrid/>
        </w:rPr>
      </w:pPr>
      <w:r>
        <w:rPr>
          <w:snapToGrid/>
        </w:rPr>
        <w:t>只有当最后的</w:t>
      </w:r>
      <w:r>
        <w:rPr>
          <w:rFonts w:hint="eastAsia"/>
          <w:snapToGrid/>
        </w:rPr>
        <w:t>应允</w:t>
      </w:r>
      <w:r>
        <w:rPr>
          <w:snapToGrid/>
        </w:rPr>
        <w:t>提案符合法律规定的最起码条件</w:t>
      </w:r>
      <w:r>
        <w:rPr>
          <w:rFonts w:hint="eastAsia"/>
          <w:snapToGrid/>
        </w:rPr>
        <w:t>时</w:t>
      </w:r>
      <w:r>
        <w:rPr>
          <w:snapToGrid/>
        </w:rPr>
        <w:t>，才可在罢工开始</w:t>
      </w:r>
      <w:r>
        <w:rPr>
          <w:rFonts w:hint="eastAsia"/>
          <w:snapToGrid/>
        </w:rPr>
        <w:t>的</w:t>
      </w:r>
      <w:r>
        <w:rPr>
          <w:snapToGrid/>
        </w:rPr>
        <w:t>第</w:t>
      </w:r>
      <w:r>
        <w:rPr>
          <w:snapToGrid/>
        </w:rPr>
        <w:t>15</w:t>
      </w:r>
      <w:r>
        <w:rPr>
          <w:snapToGrid/>
        </w:rPr>
        <w:t>天，适用对个人</w:t>
      </w:r>
      <w:r>
        <w:rPr>
          <w:rFonts w:hint="eastAsia"/>
          <w:snapToGrid/>
        </w:rPr>
        <w:t>职</w:t>
      </w:r>
      <w:r>
        <w:rPr>
          <w:snapToGrid/>
        </w:rPr>
        <w:t>位的恢复。在最后的</w:t>
      </w:r>
      <w:r>
        <w:rPr>
          <w:rFonts w:hint="eastAsia"/>
          <w:snapToGrid/>
        </w:rPr>
        <w:t>应允</w:t>
      </w:r>
      <w:r>
        <w:rPr>
          <w:snapToGrid/>
        </w:rPr>
        <w:t>提案虽符合最低要求</w:t>
      </w:r>
      <w:r>
        <w:rPr>
          <w:rFonts w:hint="eastAsia"/>
          <w:snapToGrid/>
        </w:rPr>
        <w:t>但是在限期之后提出的情况下，恢复将在最后提案提出的第</w:t>
      </w:r>
      <w:r>
        <w:rPr>
          <w:snapToGrid/>
        </w:rPr>
        <w:t>15</w:t>
      </w:r>
      <w:r>
        <w:rPr>
          <w:snapToGrid/>
        </w:rPr>
        <w:t>天之后生效，或者从罢工实际开始</w:t>
      </w:r>
      <w:r>
        <w:rPr>
          <w:rFonts w:hint="eastAsia"/>
          <w:snapToGrid/>
        </w:rPr>
        <w:t>的</w:t>
      </w:r>
      <w:r>
        <w:rPr>
          <w:snapToGrid/>
        </w:rPr>
        <w:t>第</w:t>
      </w:r>
      <w:r>
        <w:rPr>
          <w:snapToGrid/>
        </w:rPr>
        <w:t>30</w:t>
      </w:r>
      <w:r>
        <w:rPr>
          <w:snapToGrid/>
        </w:rPr>
        <w:t>天生效。</w:t>
      </w:r>
    </w:p>
    <w:p w:rsidR="00000000" w:rsidRDefault="009C1C61">
      <w:pPr>
        <w:numPr>
          <w:ilvl w:val="0"/>
          <w:numId w:val="251"/>
        </w:numPr>
        <w:rPr>
          <w:rFonts w:hint="eastAsia"/>
          <w:snapToGrid/>
        </w:rPr>
      </w:pPr>
      <w:r>
        <w:rPr>
          <w:rFonts w:hint="eastAsia"/>
          <w:snapToGrid/>
        </w:rPr>
        <w:t>在实际上未达成协议的情况下，只有在最后应允提案达到的要求与雇用顶替工人规定的那些要求相同时，才可于第</w:t>
      </w:r>
      <w:r>
        <w:rPr>
          <w:rFonts w:hint="eastAsia"/>
          <w:snapToGrid/>
        </w:rPr>
        <w:t>15</w:t>
      </w:r>
      <w:r>
        <w:rPr>
          <w:rFonts w:hint="eastAsia"/>
          <w:snapToGrid/>
        </w:rPr>
        <w:t>天适用对个人职位的恢复。</w:t>
      </w:r>
    </w:p>
    <w:p w:rsidR="00000000" w:rsidRDefault="009C1C61">
      <w:pPr>
        <w:numPr>
          <w:ilvl w:val="0"/>
          <w:numId w:val="251"/>
        </w:numPr>
        <w:rPr>
          <w:snapToGrid/>
        </w:rPr>
      </w:pPr>
      <w:r>
        <w:rPr>
          <w:rFonts w:hint="eastAsia"/>
          <w:snapToGrid/>
        </w:rPr>
        <w:t>那些得到个人职位恢复的工人必须符合最后应允提案规定的条件，除非他们与其雇主谈判达成更好的条件。</w:t>
      </w:r>
    </w:p>
    <w:p w:rsidR="00000000" w:rsidRDefault="009C1C61">
      <w:pPr>
        <w:numPr>
          <w:ilvl w:val="0"/>
          <w:numId w:val="251"/>
        </w:numPr>
        <w:rPr>
          <w:snapToGrid/>
        </w:rPr>
      </w:pPr>
      <w:r>
        <w:rPr>
          <w:rFonts w:hint="eastAsia"/>
          <w:snapToGrid/>
        </w:rPr>
        <w:t>最后，若雇主诉诸《劳工法》第</w:t>
      </w:r>
      <w:r>
        <w:rPr>
          <w:rFonts w:hint="eastAsia"/>
          <w:snapToGrid/>
        </w:rPr>
        <w:t>381</w:t>
      </w:r>
      <w:r>
        <w:rPr>
          <w:rFonts w:hint="eastAsia"/>
          <w:snapToGrid/>
        </w:rPr>
        <w:t>条允许的可能性，包括雇用顶替员工的可能性，他不得撤回该条款规定的最低应允条件。</w:t>
      </w:r>
    </w:p>
    <w:p w:rsidR="00000000" w:rsidRDefault="009C1C61">
      <w:pPr>
        <w:spacing w:after="240"/>
        <w:rPr>
          <w:snapToGrid/>
        </w:rPr>
      </w:pPr>
      <w:r>
        <w:rPr>
          <w:snapToGrid/>
        </w:rPr>
        <w:tab/>
        <w:t xml:space="preserve">274.  </w:t>
      </w:r>
      <w:r>
        <w:rPr>
          <w:rFonts w:hint="eastAsia"/>
          <w:snapToGrid/>
          <w:spacing w:val="8"/>
        </w:rPr>
        <w:t>《劳工法》规定，有些工人虽然能够进行集体谈判，但不能进行罢工。</w:t>
      </w:r>
      <w:r>
        <w:rPr>
          <w:rStyle w:val="FootnoteReference"/>
          <w:snapToGrid/>
          <w:spacing w:val="8"/>
        </w:rPr>
        <w:footnoteReference w:id="75"/>
      </w:r>
      <w:r>
        <w:rPr>
          <w:rFonts w:hint="eastAsia"/>
          <w:snapToGrid/>
          <w:spacing w:val="8"/>
        </w:rPr>
        <w:t>雇佣这些工人的企业不是提供公共服务的，就是由于其工作性质，停止运作有</w:t>
      </w:r>
      <w:r>
        <w:rPr>
          <w:rFonts w:hint="eastAsia"/>
          <w:snapToGrid/>
        </w:rPr>
        <w:t>可能对健康、公共供应、国家</w:t>
      </w:r>
      <w:r>
        <w:rPr>
          <w:rFonts w:hint="eastAsia"/>
          <w:snapToGrid/>
        </w:rPr>
        <w:t>经济或国家安全造成严重损害的企业。在这种情况下，企业处于本条所述的情况之一是不够的；对此还有这样的要求，即主管部门，这里是劳工和社会保障部、国防部和经济部等主管部门至少应每年一次，七月份通过决定宣布上述条件适用。在这种情况下，受这类限制的工人们必须服从强制性仲裁。</w:t>
      </w:r>
    </w:p>
    <w:p w:rsidR="00000000" w:rsidRDefault="009C1C61">
      <w:pPr>
        <w:pStyle w:val="Heading4"/>
        <w:rPr>
          <w:rFonts w:ascii="Time New Roman" w:eastAsia="SimHei" w:hAnsi="Time New Roman"/>
          <w:u w:val="none"/>
        </w:rPr>
      </w:pPr>
      <w:r>
        <w:rPr>
          <w:rFonts w:ascii="Time New Roman" w:eastAsia="SimHei" w:hAnsi="Time New Roman" w:hint="eastAsia"/>
          <w:u w:val="none"/>
        </w:rPr>
        <w:t>对武装部队、警察或国家行政部门成员的组织权和罢工权的限制</w:t>
      </w:r>
    </w:p>
    <w:p w:rsidR="00000000" w:rsidRDefault="009C1C61">
      <w:pPr>
        <w:spacing w:after="240"/>
        <w:rPr>
          <w:rFonts w:hint="eastAsia"/>
          <w:snapToGrid/>
        </w:rPr>
      </w:pPr>
      <w:r>
        <w:rPr>
          <w:snapToGrid/>
        </w:rPr>
        <w:tab/>
      </w:r>
      <w:r>
        <w:rPr>
          <w:rFonts w:hint="eastAsia"/>
          <w:snapToGrid/>
        </w:rPr>
        <w:t xml:space="preserve">275.  </w:t>
      </w:r>
      <w:r>
        <w:rPr>
          <w:rFonts w:hint="eastAsia"/>
          <w:snapToGrid/>
        </w:rPr>
        <w:t>出于国家安全的原因，法律规定武装部队成员或负责维持秩序和安全的人员不得建立工会。这同样也适用于国防部下属的或者通过国防部与政府相关的国营企业。</w:t>
      </w:r>
      <w:r>
        <w:rPr>
          <w:rStyle w:val="FootnoteReference"/>
          <w:snapToGrid/>
        </w:rPr>
        <w:footnoteReference w:id="76"/>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影响到《公约》第八条所规定权</w:t>
      </w:r>
      <w:r>
        <w:rPr>
          <w:rFonts w:ascii="Time New Roman" w:eastAsia="SimHei" w:hAnsi="Time New Roman" w:hint="eastAsia"/>
          <w:u w:val="none"/>
        </w:rPr>
        <w:t>利的变革</w:t>
      </w:r>
    </w:p>
    <w:p w:rsidR="00000000" w:rsidRDefault="009C1C61">
      <w:pPr>
        <w:rPr>
          <w:snapToGrid/>
        </w:rPr>
      </w:pPr>
      <w:r>
        <w:rPr>
          <w:snapToGrid/>
        </w:rPr>
        <w:tab/>
        <w:t>276.</w:t>
      </w:r>
      <w:r>
        <w:rPr>
          <w:rFonts w:hint="eastAsia"/>
          <w:snapToGrid/>
        </w:rPr>
        <w:t xml:space="preserve">  </w:t>
      </w:r>
      <w:r>
        <w:rPr>
          <w:rFonts w:hint="eastAsia"/>
          <w:snapToGrid/>
        </w:rPr>
        <w:t>在过去十年间，有关工会运动立法出现了某些极其重大的变革。直至</w:t>
      </w:r>
      <w:r>
        <w:rPr>
          <w:rFonts w:hint="eastAsia"/>
          <w:snapToGrid/>
        </w:rPr>
        <w:t>1990</w:t>
      </w:r>
      <w:r>
        <w:rPr>
          <w:rFonts w:hint="eastAsia"/>
          <w:snapToGrid/>
        </w:rPr>
        <w:t>年代初，工会立法完全处于混乱的状态，因为工会不能超出企业的限制范围活动。工会联合会和工会联盟无法签订有效的法律协议，而且联合工会是秘密或有实无名的，因此，表面上似乎存在着双方模式，但实际上并无工会这一方。目前，工会联合会和工会联盟可通过与雇主达成共同协议，签订有效的集体议定书，而联合工会目前已成为《劳工法》的一部分。这就意味着，劳工伙伴具备了一切法律条件，工会不仅有力、且有代表性并被赋予了实权，与此同时也承担着责任，</w:t>
      </w:r>
      <w:r>
        <w:rPr>
          <w:rFonts w:hint="eastAsia"/>
          <w:snapToGrid/>
        </w:rPr>
        <w:t>使双方模式得以充分发展。</w:t>
      </w:r>
    </w:p>
    <w:p w:rsidR="00000000" w:rsidRDefault="009C1C61">
      <w:r>
        <w:rPr>
          <w:snapToGrid/>
        </w:rPr>
        <w:tab/>
        <w:t>27</w:t>
      </w:r>
      <w:r>
        <w:rPr>
          <w:rFonts w:hint="eastAsia"/>
          <w:snapToGrid/>
        </w:rPr>
        <w:t xml:space="preserve">7.  </w:t>
      </w:r>
      <w:r>
        <w:rPr>
          <w:rFonts w:hint="eastAsia"/>
          <w:snapToGrid/>
        </w:rPr>
        <w:t>《劳工法》</w:t>
      </w:r>
      <w:r>
        <w:rPr>
          <w:rStyle w:val="FootnoteReference"/>
          <w:snapToGrid/>
        </w:rPr>
        <w:footnoteReference w:id="77"/>
      </w:r>
      <w:r>
        <w:rPr>
          <w:snapToGrid/>
        </w:rPr>
        <w:t xml:space="preserve"> </w:t>
      </w:r>
      <w:r>
        <w:rPr>
          <w:rFonts w:hint="eastAsia"/>
          <w:snapToGrid/>
        </w:rPr>
        <w:t>载有关于罢工和停工的条例。在此还要指出，智利政府批准了劳工组织《第</w:t>
      </w:r>
      <w:r>
        <w:rPr>
          <w:rFonts w:hint="eastAsia"/>
          <w:snapToGrid/>
        </w:rPr>
        <w:t>151</w:t>
      </w:r>
      <w:r>
        <w:rPr>
          <w:rFonts w:hint="eastAsia"/>
          <w:snapToGrid/>
        </w:rPr>
        <w:t>号公约》，即</w:t>
      </w:r>
      <w:r>
        <w:rPr>
          <w:rFonts w:hint="eastAsia"/>
          <w:snapToGrid/>
        </w:rPr>
        <w:t>1978</w:t>
      </w:r>
      <w:r>
        <w:rPr>
          <w:rFonts w:hint="eastAsia"/>
          <w:snapToGrid/>
        </w:rPr>
        <w:t>年的《</w:t>
      </w:r>
      <w:r>
        <w:rPr>
          <w:rFonts w:hint="eastAsia"/>
          <w:snapToGrid/>
        </w:rPr>
        <w:t>(</w:t>
      </w:r>
      <w:r>
        <w:rPr>
          <w:rFonts w:hint="eastAsia"/>
          <w:snapToGrid/>
        </w:rPr>
        <w:t>公共部门</w:t>
      </w:r>
      <w:r>
        <w:rPr>
          <w:rFonts w:hint="eastAsia"/>
          <w:snapToGrid/>
        </w:rPr>
        <w:t>)</w:t>
      </w:r>
      <w:r>
        <w:rPr>
          <w:rFonts w:hint="eastAsia"/>
          <w:snapToGrid/>
        </w:rPr>
        <w:t>劳工关系公约》，而且目前正在着手建立实施协议的适当机制，切实执行这些协议。</w:t>
      </w:r>
    </w:p>
    <w:p w:rsidR="00000000" w:rsidRDefault="009C1C61">
      <w:pPr>
        <w:pStyle w:val="Heading3"/>
        <w:spacing w:before="300" w:after="240"/>
        <w:rPr>
          <w:rFonts w:hint="eastAsia"/>
          <w:kern w:val="0"/>
        </w:rPr>
      </w:pPr>
      <w:r>
        <w:rPr>
          <w:rFonts w:hint="eastAsia"/>
          <w:kern w:val="0"/>
        </w:rPr>
        <w:t>第</w:t>
      </w:r>
      <w:r>
        <w:rPr>
          <w:rFonts w:hint="eastAsia"/>
          <w:kern w:val="0"/>
        </w:rPr>
        <w:t xml:space="preserve"> </w:t>
      </w:r>
      <w:r>
        <w:rPr>
          <w:rFonts w:hint="eastAsia"/>
          <w:kern w:val="0"/>
        </w:rPr>
        <w:t>九</w:t>
      </w:r>
      <w:r>
        <w:rPr>
          <w:rFonts w:hint="eastAsia"/>
          <w:kern w:val="0"/>
        </w:rPr>
        <w:t xml:space="preserve"> </w:t>
      </w:r>
      <w:r>
        <w:rPr>
          <w:rFonts w:hint="eastAsia"/>
          <w:kern w:val="0"/>
        </w:rPr>
        <w:t>条</w:t>
      </w:r>
    </w:p>
    <w:p w:rsidR="00000000" w:rsidRDefault="009C1C61">
      <w:pPr>
        <w:pStyle w:val="Heading3"/>
        <w:rPr>
          <w:rFonts w:hint="eastAsia"/>
          <w:color w:val="000000"/>
          <w:kern w:val="0"/>
        </w:rPr>
      </w:pPr>
      <w:r>
        <w:rPr>
          <w:rFonts w:hint="eastAsia"/>
          <w:color w:val="000000"/>
          <w:kern w:val="0"/>
        </w:rPr>
        <w:t>社会保障权</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社会保障部门</w:t>
      </w:r>
    </w:p>
    <w:p w:rsidR="00000000" w:rsidRDefault="009C1C61">
      <w:pPr>
        <w:rPr>
          <w:rFonts w:hint="eastAsia"/>
          <w:snapToGrid/>
          <w:color w:val="000000"/>
        </w:rPr>
      </w:pPr>
      <w:r>
        <w:rPr>
          <w:rFonts w:hint="eastAsia"/>
          <w:snapToGrid/>
          <w:color w:val="000000"/>
        </w:rPr>
        <w:tab/>
        <w:t xml:space="preserve">278.  </w:t>
      </w:r>
      <w:r>
        <w:rPr>
          <w:rFonts w:hint="eastAsia"/>
          <w:snapToGrid/>
          <w:color w:val="000000"/>
        </w:rPr>
        <w:t>智利的《政治宪法》保障其全体居民在没有任何区别的情况下享受社会保障权利。《宪法》规定，国家应当保证所有人享受统一的基本福利，而不论这些福利是通过公共的还是私人的机构所提供的，也不论其由投保人供款而取得经费与否，同时，国家</w:t>
      </w:r>
      <w:r>
        <w:rPr>
          <w:rFonts w:hint="eastAsia"/>
          <w:snapToGrid/>
          <w:color w:val="000000"/>
        </w:rPr>
        <w:t>应监督社会保障权是否得到适当的行使。</w:t>
      </w:r>
      <w:r>
        <w:rPr>
          <w:rStyle w:val="FootnoteReference"/>
          <w:bCs/>
          <w:snapToGrid/>
        </w:rPr>
        <w:footnoteReference w:id="78"/>
      </w:r>
    </w:p>
    <w:p w:rsidR="00000000" w:rsidRDefault="009C1C61">
      <w:pPr>
        <w:spacing w:after="320"/>
        <w:rPr>
          <w:rFonts w:hint="eastAsia"/>
          <w:snapToGrid/>
          <w:color w:val="000000"/>
        </w:rPr>
      </w:pPr>
      <w:r>
        <w:rPr>
          <w:rFonts w:hint="eastAsia"/>
          <w:snapToGrid/>
          <w:color w:val="000000"/>
        </w:rPr>
        <w:tab/>
        <w:t xml:space="preserve">279.  </w:t>
      </w:r>
      <w:r>
        <w:rPr>
          <w:rFonts w:hint="eastAsia"/>
          <w:snapToGrid/>
          <w:color w:val="000000"/>
        </w:rPr>
        <w:t>智利有两种并行的社会保障制度：</w:t>
      </w:r>
      <w:r>
        <w:rPr>
          <w:rFonts w:hint="eastAsia"/>
          <w:snapToGrid/>
          <w:color w:val="000000"/>
        </w:rPr>
        <w:t>(</w:t>
      </w:r>
      <w:r>
        <w:rPr>
          <w:snapToGrid/>
          <w:color w:val="000000"/>
        </w:rPr>
        <w:t>a)</w:t>
      </w:r>
      <w:r>
        <w:rPr>
          <w:rFonts w:hint="eastAsia"/>
          <w:snapToGrid/>
          <w:color w:val="000000"/>
        </w:rPr>
        <w:t xml:space="preserve"> </w:t>
      </w:r>
      <w:r>
        <w:rPr>
          <w:rFonts w:hint="eastAsia"/>
          <w:snapToGrid/>
          <w:color w:val="000000"/>
        </w:rPr>
        <w:t>为公共和私营部门所有工作人员提供的社会保障制度；和</w:t>
      </w:r>
      <w:r>
        <w:rPr>
          <w:rFonts w:hint="eastAsia"/>
          <w:snapToGrid/>
          <w:color w:val="000000"/>
        </w:rPr>
        <w:t>(</w:t>
      </w:r>
      <w:r>
        <w:rPr>
          <w:snapToGrid/>
          <w:color w:val="000000"/>
        </w:rPr>
        <w:t xml:space="preserve">b) </w:t>
      </w:r>
      <w:r>
        <w:rPr>
          <w:rFonts w:hint="eastAsia"/>
          <w:snapToGrid/>
          <w:color w:val="000000"/>
        </w:rPr>
        <w:t>由财政收入供资的失业和家庭津贴制度，为上述社会保障制度不提供福利的人无偿提供援助</w:t>
      </w:r>
      <w:r>
        <w:rPr>
          <w:rFonts w:hint="eastAsia"/>
          <w:snapToGrid/>
          <w:color w:val="000000"/>
        </w:rPr>
        <w:t>(</w:t>
      </w:r>
      <w:r>
        <w:rPr>
          <w:rFonts w:hint="eastAsia"/>
          <w:snapToGrid/>
          <w:color w:val="000000"/>
        </w:rPr>
        <w:t>包括处于贫困状态的老年人、残疾和儿童</w:t>
      </w:r>
      <w:r>
        <w:rPr>
          <w:rFonts w:hint="eastAsia"/>
          <w:snapToGrid/>
          <w:color w:val="000000"/>
        </w:rPr>
        <w:t>)</w:t>
      </w:r>
      <w:r>
        <w:rPr>
          <w:rFonts w:hint="eastAsia"/>
          <w:snapToGrid/>
          <w:color w:val="000000"/>
        </w:rPr>
        <w:t>。</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社会保障制度现行的计划安排、福利范围、福利的性质和数量，以及供资方法</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医</w:t>
      </w:r>
      <w:r>
        <w:rPr>
          <w:rFonts w:ascii="Time New Roman" w:eastAsia="SimHei" w:hAnsi="Time New Roman"/>
          <w:u w:val="none"/>
        </w:rPr>
        <w:t xml:space="preserve">  </w:t>
      </w:r>
      <w:r>
        <w:rPr>
          <w:rFonts w:ascii="Time New Roman" w:eastAsia="SimHei" w:hAnsi="Time New Roman" w:hint="eastAsia"/>
          <w:u w:val="none"/>
        </w:rPr>
        <w:t>疗</w:t>
      </w:r>
    </w:p>
    <w:p w:rsidR="00000000" w:rsidRDefault="009C1C61">
      <w:pPr>
        <w:rPr>
          <w:rFonts w:hint="eastAsia"/>
          <w:snapToGrid/>
          <w:color w:val="000000"/>
        </w:rPr>
      </w:pPr>
      <w:r>
        <w:rPr>
          <w:rFonts w:hint="eastAsia"/>
          <w:snapToGrid/>
          <w:color w:val="000000"/>
        </w:rPr>
        <w:tab/>
        <w:t xml:space="preserve">280.  </w:t>
      </w:r>
      <w:r>
        <w:rPr>
          <w:rFonts w:hint="eastAsia"/>
          <w:snapToGrid/>
          <w:color w:val="000000"/>
        </w:rPr>
        <w:t>自</w:t>
      </w:r>
      <w:r>
        <w:rPr>
          <w:rFonts w:hint="eastAsia"/>
          <w:snapToGrid/>
          <w:color w:val="000000"/>
        </w:rPr>
        <w:t>1980</w:t>
      </w:r>
      <w:r>
        <w:rPr>
          <w:rFonts w:hint="eastAsia"/>
          <w:snapToGrid/>
          <w:color w:val="000000"/>
        </w:rPr>
        <w:t>年代起，智利就设有所有人都可享用的保健体系，使用这一体系的人必须在私营的健康保险机构</w:t>
      </w:r>
      <w:r>
        <w:rPr>
          <w:rFonts w:hint="eastAsia"/>
          <w:snapToGrid/>
          <w:color w:val="000000"/>
        </w:rPr>
        <w:t>(</w:t>
      </w:r>
      <w:r>
        <w:rPr>
          <w:rFonts w:hint="eastAsia"/>
          <w:snapToGrid/>
          <w:color w:val="000000"/>
        </w:rPr>
        <w:t>健保机构</w:t>
      </w:r>
      <w:r>
        <w:rPr>
          <w:snapToGrid/>
          <w:color w:val="000000"/>
        </w:rPr>
        <w:t>)</w:t>
      </w:r>
      <w:r>
        <w:rPr>
          <w:rFonts w:hint="eastAsia"/>
          <w:snapToGrid/>
          <w:color w:val="000000"/>
        </w:rPr>
        <w:t>和国家经营的全国卫生基金</w:t>
      </w:r>
      <w:r>
        <w:rPr>
          <w:rFonts w:hint="eastAsia"/>
          <w:snapToGrid/>
          <w:color w:val="000000"/>
        </w:rPr>
        <w:t>(</w:t>
      </w:r>
      <w:r>
        <w:rPr>
          <w:rFonts w:hint="eastAsia"/>
          <w:snapToGrid/>
          <w:color w:val="000000"/>
        </w:rPr>
        <w:t>国卫基金</w:t>
      </w:r>
      <w:r>
        <w:rPr>
          <w:snapToGrid/>
          <w:color w:val="000000"/>
        </w:rPr>
        <w:t>)</w:t>
      </w:r>
      <w:r>
        <w:rPr>
          <w:rFonts w:hint="eastAsia"/>
          <w:snapToGrid/>
          <w:color w:val="000000"/>
        </w:rPr>
        <w:t>所</w:t>
      </w:r>
      <w:r>
        <w:rPr>
          <w:rFonts w:hint="eastAsia"/>
          <w:snapToGrid/>
          <w:color w:val="000000"/>
        </w:rPr>
        <w:t>提供的各种不同方式中作出选择。</w:t>
      </w:r>
    </w:p>
    <w:p w:rsidR="00000000" w:rsidRDefault="009C1C61">
      <w:pPr>
        <w:rPr>
          <w:rFonts w:hint="eastAsia"/>
          <w:snapToGrid/>
          <w:color w:val="000000"/>
        </w:rPr>
      </w:pPr>
      <w:r>
        <w:rPr>
          <w:rFonts w:hint="eastAsia"/>
          <w:snapToGrid/>
          <w:color w:val="000000"/>
        </w:rPr>
        <w:tab/>
        <w:t>281.  1990</w:t>
      </w:r>
      <w:r>
        <w:rPr>
          <w:rFonts w:hint="eastAsia"/>
          <w:snapToGrid/>
          <w:color w:val="000000"/>
        </w:rPr>
        <w:t>年至</w:t>
      </w:r>
      <w:r>
        <w:rPr>
          <w:rFonts w:hint="eastAsia"/>
          <w:snapToGrid/>
          <w:color w:val="000000"/>
        </w:rPr>
        <w:t>1998</w:t>
      </w:r>
      <w:r>
        <w:rPr>
          <w:rFonts w:hint="eastAsia"/>
          <w:snapToGrid/>
          <w:color w:val="000000"/>
        </w:rPr>
        <w:t>年期间，人口中的大多数登记选择了公共经营的保健体系</w:t>
      </w:r>
      <w:r>
        <w:rPr>
          <w:rFonts w:hint="eastAsia"/>
          <w:snapToGrid/>
          <w:color w:val="000000"/>
        </w:rPr>
        <w:t>(</w:t>
      </w:r>
      <w:r>
        <w:rPr>
          <w:rFonts w:hint="eastAsia"/>
          <w:snapToGrid/>
          <w:color w:val="000000"/>
        </w:rPr>
        <w:t>国卫基金</w:t>
      </w:r>
      <w:r>
        <w:rPr>
          <w:snapToGrid/>
          <w:color w:val="000000"/>
        </w:rPr>
        <w:t>)</w:t>
      </w:r>
      <w:r>
        <w:rPr>
          <w:rFonts w:hint="eastAsia"/>
          <w:snapToGrid/>
          <w:color w:val="000000"/>
        </w:rPr>
        <w:t>。但是，在这一期间，登记选用公共体制的人口比例由</w:t>
      </w:r>
      <w:r>
        <w:rPr>
          <w:rFonts w:hint="eastAsia"/>
          <w:snapToGrid/>
          <w:color w:val="000000"/>
        </w:rPr>
        <w:t>67%</w:t>
      </w:r>
      <w:r>
        <w:rPr>
          <w:rFonts w:hint="eastAsia"/>
          <w:snapToGrid/>
          <w:color w:val="000000"/>
        </w:rPr>
        <w:t>下降到</w:t>
      </w:r>
      <w:r>
        <w:rPr>
          <w:rFonts w:hint="eastAsia"/>
          <w:snapToGrid/>
          <w:color w:val="000000"/>
        </w:rPr>
        <w:t>61.8%</w:t>
      </w:r>
      <w:r>
        <w:rPr>
          <w:rFonts w:hint="eastAsia"/>
          <w:snapToGrid/>
          <w:color w:val="000000"/>
        </w:rPr>
        <w:t>，而登记选用私营体系</w:t>
      </w:r>
      <w:r>
        <w:rPr>
          <w:rFonts w:hint="eastAsia"/>
          <w:snapToGrid/>
          <w:color w:val="000000"/>
        </w:rPr>
        <w:t>(</w:t>
      </w:r>
      <w:r>
        <w:rPr>
          <w:rFonts w:hint="eastAsia"/>
          <w:snapToGrid/>
          <w:color w:val="000000"/>
        </w:rPr>
        <w:t>健保机构</w:t>
      </w:r>
      <w:r>
        <w:rPr>
          <w:snapToGrid/>
          <w:color w:val="000000"/>
        </w:rPr>
        <w:t>)</w:t>
      </w:r>
      <w:r>
        <w:rPr>
          <w:rFonts w:hint="eastAsia"/>
          <w:snapToGrid/>
          <w:color w:val="000000"/>
        </w:rPr>
        <w:t>的人口比例却从</w:t>
      </w:r>
      <w:r>
        <w:rPr>
          <w:rFonts w:hint="eastAsia"/>
          <w:snapToGrid/>
          <w:color w:val="000000"/>
        </w:rPr>
        <w:t>15.1%</w:t>
      </w:r>
      <w:r>
        <w:rPr>
          <w:rFonts w:hint="eastAsia"/>
          <w:snapToGrid/>
          <w:color w:val="000000"/>
        </w:rPr>
        <w:t>增加到</w:t>
      </w:r>
      <w:r>
        <w:rPr>
          <w:rFonts w:hint="eastAsia"/>
          <w:snapToGrid/>
          <w:color w:val="000000"/>
        </w:rPr>
        <w:t>23.1%</w:t>
      </w:r>
      <w:r>
        <w:rPr>
          <w:rFonts w:hint="eastAsia"/>
          <w:snapToGrid/>
          <w:color w:val="000000"/>
        </w:rPr>
        <w:t>。</w:t>
      </w:r>
      <w:r>
        <w:rPr>
          <w:rStyle w:val="FootnoteReference"/>
          <w:bCs/>
          <w:snapToGrid/>
        </w:rPr>
        <w:footnoteReference w:id="79"/>
      </w:r>
    </w:p>
    <w:p w:rsidR="00000000" w:rsidRDefault="009C1C61">
      <w:pPr>
        <w:rPr>
          <w:rFonts w:hint="eastAsia"/>
          <w:snapToGrid/>
          <w:color w:val="000000"/>
        </w:rPr>
      </w:pPr>
      <w:r>
        <w:rPr>
          <w:rFonts w:hint="eastAsia"/>
          <w:snapToGrid/>
          <w:color w:val="000000"/>
          <w:spacing w:val="6"/>
        </w:rPr>
        <w:tab/>
        <w:t xml:space="preserve">282.  </w:t>
      </w:r>
      <w:r>
        <w:rPr>
          <w:rFonts w:hint="eastAsia"/>
          <w:snapToGrid/>
          <w:color w:val="000000"/>
          <w:spacing w:val="6"/>
        </w:rPr>
        <w:t>现行的法律规定对宪定健康保护权的行使，并确立了一种保健福利制度，</w:t>
      </w:r>
      <w:r>
        <w:rPr>
          <w:rStyle w:val="FootnoteReference"/>
          <w:bCs/>
          <w:snapToGrid/>
        </w:rPr>
        <w:footnoteReference w:id="80"/>
      </w:r>
      <w:r>
        <w:rPr>
          <w:rFonts w:hint="eastAsia"/>
          <w:snapToGrid/>
          <w:color w:val="000000"/>
        </w:rPr>
        <w:t xml:space="preserve"> </w:t>
      </w:r>
      <w:r>
        <w:rPr>
          <w:rFonts w:hint="eastAsia"/>
          <w:snapToGrid/>
          <w:color w:val="000000"/>
        </w:rPr>
        <w:t>它具有普遍的适用性，所涉面包括工商企业的工人、雇员和学徒，以及家庭与家务工人。根据这项立法</w:t>
      </w:r>
      <w:r>
        <w:rPr>
          <w:rFonts w:hint="eastAsia"/>
          <w:snapToGrid/>
          <w:color w:val="000000"/>
        </w:rPr>
        <w:t xml:space="preserve"> </w:t>
      </w:r>
      <w:r>
        <w:rPr>
          <w:rStyle w:val="FootnoteReference"/>
          <w:bCs/>
          <w:snapToGrid/>
        </w:rPr>
        <w:footnoteReference w:id="81"/>
      </w:r>
      <w:r>
        <w:rPr>
          <w:rFonts w:hint="eastAsia"/>
          <w:snapToGrid/>
          <w:color w:val="000000"/>
        </w:rPr>
        <w:t xml:space="preserve"> </w:t>
      </w:r>
      <w:r>
        <w:rPr>
          <w:rFonts w:hint="eastAsia"/>
          <w:snapToGrid/>
          <w:color w:val="000000"/>
        </w:rPr>
        <w:t>如果投保人的家属受其赡养或领取鳏寡孤儿养恤金，他们也可享受</w:t>
      </w:r>
      <w:r>
        <w:rPr>
          <w:rFonts w:hint="eastAsia"/>
          <w:snapToGrid/>
          <w:color w:val="000000"/>
        </w:rPr>
        <w:t>医疗援助津贴。医疗援助从发病时开始，而且只要这种疾病的影响存在就继续下去。根据上述法令第八条，医疗保健从预防阶段开始，进行健康检查，以期早期诊断肺结核、性传染病、青光眼、癌症、糖尿病、心脏病、高血压、慢性肾炎以及由卫生部确定的其他疾病，对这些疾病的早期诊断和治疗可以预防后期无法逆转的病变。在这些措施之后，随之而来的是治疗性医疗援助，其中包括会诊、检查、诊断和外科手术、住院、产科护理、治疗</w:t>
      </w:r>
      <w:r>
        <w:rPr>
          <w:rFonts w:hint="eastAsia"/>
          <w:snapToGrid/>
          <w:color w:val="000000"/>
        </w:rPr>
        <w:t>(</w:t>
      </w:r>
      <w:r>
        <w:rPr>
          <w:rFonts w:hint="eastAsia"/>
          <w:snapToGrid/>
          <w:color w:val="000000"/>
        </w:rPr>
        <w:t>包括医药</w:t>
      </w:r>
      <w:r>
        <w:rPr>
          <w:rFonts w:hint="eastAsia"/>
          <w:snapToGrid/>
          <w:color w:val="000000"/>
        </w:rPr>
        <w:t>)</w:t>
      </w:r>
      <w:r>
        <w:rPr>
          <w:rFonts w:hint="eastAsia"/>
          <w:snapToGrid/>
          <w:color w:val="000000"/>
        </w:rPr>
        <w:t>，以及任何其他适当的保健措施。根据上述法令第</w:t>
      </w:r>
      <w:r>
        <w:rPr>
          <w:rFonts w:hint="eastAsia"/>
          <w:snapToGrid/>
          <w:color w:val="000000"/>
        </w:rPr>
        <w:t>29</w:t>
      </w:r>
      <w:r>
        <w:rPr>
          <w:rFonts w:hint="eastAsia"/>
          <w:snapToGrid/>
          <w:color w:val="000000"/>
        </w:rPr>
        <w:t>条，享受保健制度的人根据其收入情况分为以下几类：</w:t>
      </w:r>
    </w:p>
    <w:p w:rsidR="00000000" w:rsidRDefault="009C1C61">
      <w:pPr>
        <w:numPr>
          <w:ilvl w:val="0"/>
          <w:numId w:val="253"/>
        </w:numPr>
        <w:spacing w:line="312" w:lineRule="auto"/>
        <w:rPr>
          <w:rFonts w:hint="eastAsia"/>
          <w:snapToGrid/>
          <w:color w:val="000000"/>
        </w:rPr>
      </w:pPr>
      <w:r>
        <w:rPr>
          <w:rFonts w:hint="eastAsia"/>
          <w:snapToGrid/>
          <w:color w:val="000000"/>
        </w:rPr>
        <w:t>A</w:t>
      </w:r>
      <w:r>
        <w:rPr>
          <w:rFonts w:hint="eastAsia"/>
          <w:snapToGrid/>
          <w:color w:val="000000"/>
        </w:rPr>
        <w:t>组：贫困无</w:t>
      </w:r>
      <w:r>
        <w:rPr>
          <w:rFonts w:hint="eastAsia"/>
          <w:snapToGrid/>
          <w:color w:val="000000"/>
        </w:rPr>
        <w:t>助而接受援助性辅助金</w:t>
      </w:r>
      <w:r>
        <w:rPr>
          <w:rStyle w:val="FootnoteReference"/>
          <w:rFonts w:hint="eastAsia"/>
          <w:bCs/>
        </w:rPr>
        <w:t xml:space="preserve"> </w:t>
      </w:r>
      <w:r>
        <w:rPr>
          <w:rStyle w:val="FootnoteReference"/>
          <w:bCs/>
          <w:snapToGrid/>
        </w:rPr>
        <w:footnoteReference w:id="82"/>
      </w:r>
      <w:r>
        <w:rPr>
          <w:rFonts w:hint="eastAsia"/>
          <w:snapToGrid/>
          <w:color w:val="000000"/>
        </w:rPr>
        <w:t xml:space="preserve"> </w:t>
      </w:r>
      <w:r>
        <w:rPr>
          <w:rFonts w:hint="eastAsia"/>
          <w:snapToGrid/>
          <w:color w:val="000000"/>
        </w:rPr>
        <w:t>或将享受家属津贴的人</w:t>
      </w:r>
      <w:r>
        <w:rPr>
          <w:rFonts w:hint="eastAsia"/>
          <w:snapToGrid/>
          <w:color w:val="000000"/>
        </w:rPr>
        <w:t xml:space="preserve"> </w:t>
      </w:r>
      <w:r>
        <w:rPr>
          <w:rStyle w:val="FootnoteReference"/>
          <w:bCs/>
          <w:snapToGrid/>
        </w:rPr>
        <w:footnoteReference w:id="83"/>
      </w:r>
      <w:r>
        <w:rPr>
          <w:rFonts w:hint="eastAsia"/>
          <w:snapToGrid/>
          <w:color w:val="000000"/>
        </w:rPr>
        <w:t>，</w:t>
      </w:r>
    </w:p>
    <w:p w:rsidR="00000000" w:rsidRDefault="009C1C61">
      <w:pPr>
        <w:numPr>
          <w:ilvl w:val="0"/>
          <w:numId w:val="253"/>
        </w:numPr>
        <w:spacing w:line="312" w:lineRule="auto"/>
        <w:rPr>
          <w:rFonts w:hint="eastAsia"/>
          <w:snapToGrid/>
          <w:color w:val="000000"/>
        </w:rPr>
      </w:pPr>
      <w:r>
        <w:rPr>
          <w:rFonts w:hint="eastAsia"/>
          <w:snapToGrid/>
          <w:color w:val="000000"/>
        </w:rPr>
        <w:t>B</w:t>
      </w:r>
      <w:r>
        <w:rPr>
          <w:rFonts w:hint="eastAsia"/>
          <w:snapToGrid/>
          <w:color w:val="000000"/>
        </w:rPr>
        <w:t>组：其月收入不超过对</w:t>
      </w:r>
      <w:r>
        <w:rPr>
          <w:rFonts w:hint="eastAsia"/>
          <w:snapToGrid/>
          <w:color w:val="000000"/>
        </w:rPr>
        <w:t>18</w:t>
      </w:r>
      <w:r>
        <w:rPr>
          <w:rFonts w:hint="eastAsia"/>
          <w:snapToGrid/>
          <w:color w:val="000000"/>
        </w:rPr>
        <w:t>岁以上和</w:t>
      </w:r>
      <w:r>
        <w:rPr>
          <w:rFonts w:hint="eastAsia"/>
          <w:snapToGrid/>
          <w:color w:val="000000"/>
        </w:rPr>
        <w:t>65</w:t>
      </w:r>
      <w:r>
        <w:rPr>
          <w:rFonts w:hint="eastAsia"/>
          <w:snapToGrid/>
          <w:color w:val="000000"/>
        </w:rPr>
        <w:t>岁以下工人所规定的法定最低工资</w:t>
      </w:r>
      <w:r>
        <w:rPr>
          <w:snapToGrid/>
          <w:color w:val="000000"/>
        </w:rPr>
        <w:t xml:space="preserve"> </w:t>
      </w:r>
      <w:r>
        <w:rPr>
          <w:rStyle w:val="FootnoteReference"/>
          <w:bCs/>
          <w:snapToGrid/>
        </w:rPr>
        <w:footnoteReference w:id="84"/>
      </w:r>
      <w:r>
        <w:rPr>
          <w:snapToGrid/>
          <w:color w:val="000000"/>
        </w:rPr>
        <w:t xml:space="preserve"> </w:t>
      </w:r>
      <w:r>
        <w:rPr>
          <w:rFonts w:hint="eastAsia"/>
          <w:snapToGrid/>
          <w:color w:val="000000"/>
        </w:rPr>
        <w:t>的投保人；</w:t>
      </w:r>
    </w:p>
    <w:p w:rsidR="00000000" w:rsidRDefault="009C1C61">
      <w:pPr>
        <w:numPr>
          <w:ilvl w:val="0"/>
          <w:numId w:val="253"/>
        </w:numPr>
        <w:spacing w:line="312" w:lineRule="auto"/>
        <w:rPr>
          <w:rFonts w:hint="eastAsia"/>
          <w:snapToGrid/>
          <w:color w:val="000000"/>
        </w:rPr>
      </w:pPr>
      <w:r>
        <w:rPr>
          <w:rFonts w:hint="eastAsia"/>
          <w:snapToGrid/>
          <w:color w:val="000000"/>
        </w:rPr>
        <w:t>C</w:t>
      </w:r>
      <w:r>
        <w:rPr>
          <w:rFonts w:hint="eastAsia"/>
          <w:snapToGrid/>
          <w:color w:val="000000"/>
        </w:rPr>
        <w:t>组：月收入超过法定最低工资但小于这一数值</w:t>
      </w:r>
      <w:r>
        <w:rPr>
          <w:rFonts w:hint="eastAsia"/>
          <w:snapToGrid/>
          <w:color w:val="000000"/>
        </w:rPr>
        <w:t>1.46</w:t>
      </w:r>
      <w:r>
        <w:rPr>
          <w:rFonts w:hint="eastAsia"/>
          <w:snapToGrid/>
          <w:color w:val="000000"/>
        </w:rPr>
        <w:t>倍的投保人，但如果该投保人有三名以上受扶养人则不在此列，在此情况下，该投保人应视为属于</w:t>
      </w:r>
      <w:r>
        <w:rPr>
          <w:rFonts w:hint="eastAsia"/>
          <w:snapToGrid/>
          <w:color w:val="000000"/>
        </w:rPr>
        <w:t>B</w:t>
      </w:r>
      <w:r>
        <w:rPr>
          <w:rFonts w:hint="eastAsia"/>
          <w:snapToGrid/>
          <w:color w:val="000000"/>
        </w:rPr>
        <w:t>组；</w:t>
      </w:r>
    </w:p>
    <w:p w:rsidR="00000000" w:rsidRDefault="009C1C61">
      <w:pPr>
        <w:numPr>
          <w:ilvl w:val="0"/>
          <w:numId w:val="253"/>
        </w:numPr>
        <w:spacing w:line="312" w:lineRule="auto"/>
        <w:rPr>
          <w:rFonts w:hint="eastAsia"/>
          <w:snapToGrid/>
          <w:color w:val="000000"/>
        </w:rPr>
      </w:pPr>
      <w:r>
        <w:rPr>
          <w:rFonts w:hint="eastAsia"/>
          <w:snapToGrid/>
          <w:color w:val="000000"/>
        </w:rPr>
        <w:t>D</w:t>
      </w:r>
      <w:r>
        <w:rPr>
          <w:rFonts w:hint="eastAsia"/>
          <w:snapToGrid/>
          <w:color w:val="000000"/>
        </w:rPr>
        <w:t>组：月收入超过法定每月最低工资的</w:t>
      </w:r>
      <w:r>
        <w:rPr>
          <w:rFonts w:hint="eastAsia"/>
          <w:snapToGrid/>
          <w:color w:val="000000"/>
        </w:rPr>
        <w:t>1.46</w:t>
      </w:r>
      <w:r>
        <w:rPr>
          <w:rFonts w:hint="eastAsia"/>
          <w:snapToGrid/>
          <w:color w:val="000000"/>
        </w:rPr>
        <w:t>倍，同时受其扶养的人不超过两名的投保人。如果此类投保人有三名以上的受扶养人，此人将被视为属于</w:t>
      </w:r>
      <w:r>
        <w:rPr>
          <w:rFonts w:hint="eastAsia"/>
          <w:snapToGrid/>
          <w:color w:val="000000"/>
        </w:rPr>
        <w:t>C</w:t>
      </w:r>
      <w:r>
        <w:rPr>
          <w:rFonts w:hint="eastAsia"/>
          <w:snapToGrid/>
          <w:color w:val="000000"/>
        </w:rPr>
        <w:t>组。</w:t>
      </w:r>
    </w:p>
    <w:p w:rsidR="00000000" w:rsidRDefault="009C1C61">
      <w:pPr>
        <w:rPr>
          <w:rFonts w:hint="eastAsia"/>
          <w:snapToGrid/>
          <w:color w:val="000000"/>
        </w:rPr>
      </w:pPr>
      <w:r>
        <w:rPr>
          <w:rFonts w:hint="eastAsia"/>
          <w:snapToGrid/>
          <w:color w:val="000000"/>
        </w:rPr>
        <w:tab/>
        <w:t xml:space="preserve">283.  </w:t>
      </w:r>
      <w:r>
        <w:rPr>
          <w:rFonts w:hint="eastAsia"/>
          <w:snapToGrid/>
          <w:color w:val="000000"/>
        </w:rPr>
        <w:t>至于公共卫生体系的财政来源问题，</w:t>
      </w:r>
      <w:r>
        <w:rPr>
          <w:rStyle w:val="FootnoteReference"/>
          <w:bCs/>
          <w:snapToGrid/>
        </w:rPr>
        <w:footnoteReference w:id="85"/>
      </w:r>
      <w:r>
        <w:rPr>
          <w:rFonts w:hint="eastAsia"/>
          <w:snapToGrid/>
          <w:color w:val="000000"/>
        </w:rPr>
        <w:t xml:space="preserve"> </w:t>
      </w:r>
      <w:r>
        <w:rPr>
          <w:rFonts w:hint="eastAsia"/>
          <w:snapToGrid/>
          <w:color w:val="000000"/>
        </w:rPr>
        <w:t>正在工作或不工作的工作人员缴纳其收入</w:t>
      </w:r>
      <w:r>
        <w:rPr>
          <w:rFonts w:hint="eastAsia"/>
          <w:snapToGrid/>
          <w:color w:val="000000"/>
        </w:rPr>
        <w:t>或养恤金的</w:t>
      </w:r>
      <w:r>
        <w:rPr>
          <w:rFonts w:hint="eastAsia"/>
          <w:snapToGrid/>
          <w:color w:val="000000"/>
        </w:rPr>
        <w:t>7%</w:t>
      </w:r>
      <w:r>
        <w:rPr>
          <w:rFonts w:hint="eastAsia"/>
          <w:snapToGrid/>
          <w:color w:val="000000"/>
        </w:rPr>
        <w:t>。根据上述法令第</w:t>
      </w:r>
      <w:r>
        <w:rPr>
          <w:rFonts w:hint="eastAsia"/>
          <w:snapToGrid/>
          <w:color w:val="000000"/>
        </w:rPr>
        <w:t>30</w:t>
      </w:r>
      <w:r>
        <w:rPr>
          <w:rFonts w:hint="eastAsia"/>
          <w:snapToGrid/>
          <w:color w:val="000000"/>
        </w:rPr>
        <w:t>条，国家通过国卫基金出资帮助这种医疗保健。国家的这部分支助足以偿付</w:t>
      </w:r>
      <w:r>
        <w:rPr>
          <w:rFonts w:hint="eastAsia"/>
          <w:snapToGrid/>
          <w:color w:val="000000"/>
        </w:rPr>
        <w:t>A</w:t>
      </w:r>
      <w:r>
        <w:rPr>
          <w:rFonts w:hint="eastAsia"/>
          <w:snapToGrid/>
          <w:color w:val="000000"/>
        </w:rPr>
        <w:t>和</w:t>
      </w:r>
      <w:r>
        <w:rPr>
          <w:rFonts w:hint="eastAsia"/>
          <w:snapToGrid/>
          <w:color w:val="000000"/>
        </w:rPr>
        <w:t>B</w:t>
      </w:r>
      <w:r>
        <w:rPr>
          <w:rFonts w:hint="eastAsia"/>
          <w:snapToGrid/>
          <w:color w:val="000000"/>
        </w:rPr>
        <w:t>组所有津贴的总值，同时不得少于</w:t>
      </w:r>
      <w:r>
        <w:rPr>
          <w:rFonts w:hint="eastAsia"/>
          <w:snapToGrid/>
          <w:color w:val="000000"/>
        </w:rPr>
        <w:t>C</w:t>
      </w:r>
      <w:r>
        <w:rPr>
          <w:rFonts w:hint="eastAsia"/>
          <w:snapToGrid/>
          <w:color w:val="000000"/>
        </w:rPr>
        <w:t>组费用的</w:t>
      </w:r>
      <w:r>
        <w:rPr>
          <w:rFonts w:hint="eastAsia"/>
          <w:snapToGrid/>
          <w:color w:val="000000"/>
        </w:rPr>
        <w:t>75%</w:t>
      </w:r>
      <w:r>
        <w:rPr>
          <w:rFonts w:hint="eastAsia"/>
          <w:snapToGrid/>
          <w:color w:val="000000"/>
        </w:rPr>
        <w:t>，或</w:t>
      </w:r>
      <w:r>
        <w:rPr>
          <w:rFonts w:hint="eastAsia"/>
          <w:snapToGrid/>
          <w:color w:val="000000"/>
        </w:rPr>
        <w:t>D</w:t>
      </w:r>
      <w:r>
        <w:rPr>
          <w:rFonts w:hint="eastAsia"/>
          <w:snapToGrid/>
          <w:color w:val="000000"/>
        </w:rPr>
        <w:t>组的</w:t>
      </w:r>
      <w:r>
        <w:rPr>
          <w:rFonts w:hint="eastAsia"/>
          <w:snapToGrid/>
          <w:color w:val="000000"/>
        </w:rPr>
        <w:t>50%</w:t>
      </w:r>
      <w:r>
        <w:rPr>
          <w:rFonts w:hint="eastAsia"/>
          <w:snapToGrid/>
          <w:color w:val="000000"/>
        </w:rPr>
        <w:t>。而无论如何，国卫基金对产妇福利所提供的资金不得少于</w:t>
      </w:r>
      <w:r>
        <w:rPr>
          <w:rFonts w:hint="eastAsia"/>
          <w:snapToGrid/>
          <w:color w:val="000000"/>
        </w:rPr>
        <w:t>D</w:t>
      </w:r>
      <w:r>
        <w:rPr>
          <w:rFonts w:hint="eastAsia"/>
          <w:snapToGrid/>
          <w:color w:val="000000"/>
        </w:rPr>
        <w:t>组的</w:t>
      </w:r>
      <w:r>
        <w:rPr>
          <w:rFonts w:hint="eastAsia"/>
          <w:snapToGrid/>
          <w:color w:val="000000"/>
        </w:rPr>
        <w:t>75%</w:t>
      </w:r>
      <w:r>
        <w:rPr>
          <w:rFonts w:hint="eastAsia"/>
          <w:snapToGrid/>
          <w:color w:val="000000"/>
        </w:rPr>
        <w:t>。</w:t>
      </w:r>
    </w:p>
    <w:p w:rsidR="00000000" w:rsidRDefault="009C1C61">
      <w:pPr>
        <w:rPr>
          <w:rFonts w:hint="eastAsia"/>
          <w:snapToGrid/>
          <w:color w:val="000000"/>
        </w:rPr>
      </w:pPr>
      <w:r>
        <w:rPr>
          <w:rFonts w:hint="eastAsia"/>
          <w:snapToGrid/>
          <w:color w:val="000000"/>
        </w:rPr>
        <w:tab/>
        <w:t xml:space="preserve">284.  </w:t>
      </w:r>
      <w:r>
        <w:rPr>
          <w:rFonts w:hint="eastAsia"/>
          <w:snapToGrid/>
          <w:color w:val="000000"/>
        </w:rPr>
        <w:t>在私营体系</w:t>
      </w:r>
      <w:r>
        <w:rPr>
          <w:rFonts w:hint="eastAsia"/>
          <w:snapToGrid/>
          <w:color w:val="000000"/>
        </w:rPr>
        <w:t>(</w:t>
      </w:r>
      <w:r>
        <w:rPr>
          <w:rFonts w:hint="eastAsia"/>
          <w:snapToGrid/>
          <w:color w:val="000000"/>
        </w:rPr>
        <w:t>健保机构</w:t>
      </w:r>
      <w:r>
        <w:rPr>
          <w:rFonts w:hint="eastAsia"/>
          <w:snapToGrid/>
          <w:color w:val="000000"/>
        </w:rPr>
        <w:t>)</w:t>
      </w:r>
      <w:r>
        <w:rPr>
          <w:rFonts w:hint="eastAsia"/>
          <w:snapToGrid/>
          <w:color w:val="000000"/>
        </w:rPr>
        <w:t>中，在职工人和养恤金领取人的最低保费是其收入的</w:t>
      </w:r>
      <w:r>
        <w:rPr>
          <w:rFonts w:hint="eastAsia"/>
          <w:snapToGrid/>
          <w:color w:val="000000"/>
        </w:rPr>
        <w:t>7%</w:t>
      </w:r>
      <w:r>
        <w:rPr>
          <w:rFonts w:hint="eastAsia"/>
          <w:snapToGrid/>
          <w:color w:val="000000"/>
        </w:rPr>
        <w:t>，而根据特定的私营医疗保险公司所经营的计划，投保人可以投保更高数额。如果投保私人的计划，国家的津贴仅适用于产妇的福利</w:t>
      </w:r>
      <w:r>
        <w:rPr>
          <w:rFonts w:hint="eastAsia"/>
          <w:snapToGrid/>
          <w:color w:val="000000"/>
        </w:rPr>
        <w:t>(</w:t>
      </w:r>
      <w:r>
        <w:rPr>
          <w:rFonts w:hint="eastAsia"/>
          <w:snapToGrid/>
          <w:color w:val="000000"/>
        </w:rPr>
        <w:t>产前和产后的妇产假，以及</w:t>
      </w:r>
      <w:r>
        <w:rPr>
          <w:rFonts w:hint="eastAsia"/>
          <w:snapToGrid/>
          <w:color w:val="000000"/>
        </w:rPr>
        <w:t>1</w:t>
      </w:r>
      <w:r>
        <w:rPr>
          <w:rFonts w:hint="eastAsia"/>
          <w:snapToGrid/>
          <w:color w:val="000000"/>
        </w:rPr>
        <w:t>岁以下婴儿的严重疾病</w:t>
      </w:r>
      <w:r>
        <w:rPr>
          <w:rFonts w:hint="eastAsia"/>
          <w:snapToGrid/>
          <w:color w:val="000000"/>
        </w:rPr>
        <w:t>)</w:t>
      </w:r>
      <w:r>
        <w:rPr>
          <w:rFonts w:hint="eastAsia"/>
          <w:snapToGrid/>
          <w:color w:val="000000"/>
        </w:rPr>
        <w:t>。</w:t>
      </w:r>
    </w:p>
    <w:p w:rsidR="00000000" w:rsidRDefault="009C1C61">
      <w:pPr>
        <w:rPr>
          <w:rFonts w:hint="eastAsia"/>
          <w:snapToGrid/>
        </w:rPr>
      </w:pPr>
      <w:r>
        <w:rPr>
          <w:rFonts w:hint="eastAsia"/>
          <w:snapToGrid/>
        </w:rPr>
        <w:tab/>
      </w:r>
      <w:r>
        <w:rPr>
          <w:snapToGrid/>
        </w:rPr>
        <w:t>285.</w:t>
      </w:r>
      <w:r>
        <w:rPr>
          <w:rFonts w:hint="eastAsia"/>
          <w:snapToGrid/>
        </w:rPr>
        <w:t xml:space="preserve">  </w:t>
      </w:r>
      <w:r>
        <w:rPr>
          <w:rFonts w:hint="eastAsia"/>
          <w:snapToGrid/>
        </w:rPr>
        <w:t>所谓的</w:t>
      </w:r>
      <w:r>
        <w:rPr>
          <w:rFonts w:hint="eastAsia"/>
          <w:snapToGrid/>
          <w:color w:val="000000"/>
        </w:rPr>
        <w:t>“</w:t>
      </w:r>
      <w:r>
        <w:rPr>
          <w:rFonts w:hint="eastAsia"/>
          <w:snapToGrid/>
        </w:rPr>
        <w:t>公共福利”，即免疫、环境卫生和补充食物，完全由国家支付。目前正在执行一项特别的保险计划，以便为所谓</w:t>
      </w:r>
      <w:r>
        <w:rPr>
          <w:rFonts w:hint="eastAsia"/>
          <w:snapToGrid/>
          <w:color w:val="000000"/>
        </w:rPr>
        <w:t>“</w:t>
      </w:r>
      <w:r>
        <w:rPr>
          <w:rFonts w:hint="eastAsia"/>
          <w:snapToGrid/>
        </w:rPr>
        <w:t>灾难性”的高费用疾病保险，旨在减轻因治疗所带来的经济后果。</w:t>
      </w:r>
    </w:p>
    <w:p w:rsidR="00000000" w:rsidRDefault="009C1C61">
      <w:pPr>
        <w:spacing w:after="320"/>
        <w:rPr>
          <w:rFonts w:hint="eastAsia"/>
          <w:snapToGrid/>
          <w:u w:val="single"/>
        </w:rPr>
      </w:pPr>
      <w:r>
        <w:rPr>
          <w:rFonts w:hint="eastAsia"/>
          <w:snapToGrid/>
        </w:rPr>
        <w:tab/>
      </w:r>
      <w:r>
        <w:rPr>
          <w:snapToGrid/>
        </w:rPr>
        <w:t>286.</w:t>
      </w:r>
      <w:r>
        <w:rPr>
          <w:rFonts w:hint="eastAsia"/>
          <w:snapToGrid/>
        </w:rPr>
        <w:t xml:space="preserve">  </w:t>
      </w:r>
      <w:r>
        <w:rPr>
          <w:rFonts w:hint="eastAsia"/>
          <w:snapToGrid/>
        </w:rPr>
        <w:t>至于武装部队，过去的全额保险已被</w:t>
      </w:r>
      <w:r>
        <w:rPr>
          <w:rFonts w:hint="eastAsia"/>
          <w:snapToGrid/>
          <w:color w:val="000000"/>
        </w:rPr>
        <w:t>“</w:t>
      </w:r>
      <w:r>
        <w:rPr>
          <w:rFonts w:hint="eastAsia"/>
          <w:snapToGrid/>
        </w:rPr>
        <w:t>共同出资”的比额安排方式所取代，使之与公共体制更加吻合。据此，投保人支付医疗保健费用总额的一定比例，而这一比例是根据其收入进行调整的。</w:t>
      </w:r>
    </w:p>
    <w:p w:rsidR="00000000" w:rsidRDefault="009C1C61">
      <w:pPr>
        <w:widowControl w:val="0"/>
        <w:overflowPunct/>
        <w:autoSpaceDE w:val="0"/>
        <w:autoSpaceDN w:val="0"/>
        <w:snapToGrid/>
        <w:spacing w:after="320"/>
        <w:jc w:val="left"/>
        <w:rPr>
          <w:rFonts w:hint="eastAsia"/>
          <w:snapToGrid/>
          <w:color w:val="000000"/>
          <w:szCs w:val="24"/>
        </w:rPr>
      </w:pPr>
      <w:r>
        <w:rPr>
          <w:rFonts w:ascii="Time New Roman" w:eastAsia="SimHei" w:hAnsi="Time New Roman" w:hint="eastAsia"/>
          <w:snapToGrid/>
          <w:color w:val="000000"/>
          <w:szCs w:val="24"/>
        </w:rPr>
        <w:t>发病时的现金福利</w:t>
      </w:r>
    </w:p>
    <w:p w:rsidR="00000000" w:rsidRDefault="009C1C61">
      <w:pPr>
        <w:rPr>
          <w:snapToGrid/>
        </w:rPr>
      </w:pPr>
      <w:r>
        <w:rPr>
          <w:rFonts w:hint="eastAsia"/>
          <w:snapToGrid/>
        </w:rPr>
        <w:tab/>
      </w:r>
      <w:r>
        <w:rPr>
          <w:snapToGrid/>
        </w:rPr>
        <w:t>287.</w:t>
      </w:r>
      <w:r>
        <w:rPr>
          <w:rFonts w:hint="eastAsia"/>
          <w:snapToGrid/>
        </w:rPr>
        <w:t xml:space="preserve">  </w:t>
      </w:r>
      <w:r>
        <w:rPr>
          <w:rFonts w:hint="eastAsia"/>
          <w:snapToGrid/>
        </w:rPr>
        <w:t>在智利社会保障制度中，这种补贴称为</w:t>
      </w:r>
      <w:r>
        <w:rPr>
          <w:rFonts w:hint="eastAsia"/>
          <w:snapToGrid/>
          <w:color w:val="000000"/>
        </w:rPr>
        <w:t>“</w:t>
      </w:r>
      <w:r>
        <w:rPr>
          <w:rFonts w:hint="eastAsia"/>
          <w:snapToGrid/>
        </w:rPr>
        <w:t>丧失工作能力补贴”。对公共部门的雇员而言，对这些疾病的补贴可达</w:t>
      </w:r>
      <w:r>
        <w:rPr>
          <w:snapToGrid/>
        </w:rPr>
        <w:t>100%</w:t>
      </w:r>
      <w:r>
        <w:rPr>
          <w:rFonts w:hint="eastAsia"/>
          <w:snapToGrid/>
        </w:rPr>
        <w:t>的现金收入。另一方面，对于私</w:t>
      </w:r>
      <w:r>
        <w:rPr>
          <w:rFonts w:hint="eastAsia"/>
          <w:snapToGrid/>
        </w:rPr>
        <w:t>营部门的雇员，补贴是根据生病以前的三个月内平均每月现金收入为基础进行计算的。在私营保健体系中，雇员与一项私营的保健计划</w:t>
      </w:r>
      <w:r>
        <w:rPr>
          <w:rFonts w:hint="eastAsia"/>
          <w:snapToGrid/>
        </w:rPr>
        <w:t>(</w:t>
      </w:r>
      <w:r>
        <w:rPr>
          <w:rFonts w:hint="eastAsia"/>
          <w:snapToGrid/>
        </w:rPr>
        <w:t>健保机构</w:t>
      </w:r>
      <w:r>
        <w:rPr>
          <w:rFonts w:hint="eastAsia"/>
          <w:snapToGrid/>
        </w:rPr>
        <w:t>)</w:t>
      </w:r>
      <w:r>
        <w:rPr>
          <w:rFonts w:hint="eastAsia"/>
          <w:snapToGrid/>
        </w:rPr>
        <w:t>签署一项为期</w:t>
      </w:r>
      <w:r>
        <w:rPr>
          <w:snapToGrid/>
        </w:rPr>
        <w:t>12</w:t>
      </w:r>
      <w:r>
        <w:rPr>
          <w:rFonts w:hint="eastAsia"/>
          <w:snapToGrid/>
        </w:rPr>
        <w:t>个月的合同。补贴额依各合同而定，但是，必须至少等同于一般公共体系的补贴。</w:t>
      </w:r>
    </w:p>
    <w:p w:rsidR="00000000" w:rsidRDefault="009C1C61">
      <w:pPr>
        <w:spacing w:after="320"/>
        <w:rPr>
          <w:rFonts w:hint="eastAsia"/>
          <w:snapToGrid/>
          <w:color w:val="000000"/>
        </w:rPr>
      </w:pPr>
      <w:r>
        <w:rPr>
          <w:rFonts w:hint="eastAsia"/>
          <w:snapToGrid/>
          <w:color w:val="000000"/>
        </w:rPr>
        <w:tab/>
        <w:t xml:space="preserve">288.  </w:t>
      </w:r>
      <w:r>
        <w:rPr>
          <w:rFonts w:hint="eastAsia"/>
          <w:snapToGrid/>
          <w:color w:val="000000"/>
        </w:rPr>
        <w:t>私营部门工作人员的丧失工作能力补贴在立法中有明确规定。</w:t>
      </w:r>
      <w:r>
        <w:rPr>
          <w:rStyle w:val="FootnoteReference"/>
          <w:bCs/>
          <w:snapToGrid/>
        </w:rPr>
        <w:footnoteReference w:id="86"/>
      </w:r>
      <w:r>
        <w:rPr>
          <w:rFonts w:hint="eastAsia"/>
          <w:snapToGrid/>
          <w:color w:val="000000"/>
        </w:rPr>
        <w:t xml:space="preserve"> </w:t>
      </w:r>
      <w:r>
        <w:rPr>
          <w:rFonts w:hint="eastAsia"/>
          <w:snapToGrid/>
          <w:color w:val="000000"/>
        </w:rPr>
        <w:t>如果丧失工作能力超过</w:t>
      </w:r>
      <w:r>
        <w:rPr>
          <w:rFonts w:hint="eastAsia"/>
          <w:snapToGrid/>
          <w:color w:val="000000"/>
        </w:rPr>
        <w:t>10</w:t>
      </w:r>
      <w:r>
        <w:rPr>
          <w:rFonts w:hint="eastAsia"/>
          <w:snapToGrid/>
          <w:color w:val="000000"/>
        </w:rPr>
        <w:t>天，则从相关的病假第一天起发放补贴，但如果病假是</w:t>
      </w:r>
      <w:r>
        <w:rPr>
          <w:rFonts w:hint="eastAsia"/>
          <w:snapToGrid/>
          <w:color w:val="000000"/>
        </w:rPr>
        <w:t>10</w:t>
      </w:r>
      <w:r>
        <w:rPr>
          <w:rFonts w:hint="eastAsia"/>
          <w:snapToGrid/>
          <w:color w:val="000000"/>
        </w:rPr>
        <w:t>天或少于</w:t>
      </w:r>
      <w:r>
        <w:rPr>
          <w:rFonts w:hint="eastAsia"/>
          <w:snapToGrid/>
          <w:color w:val="000000"/>
        </w:rPr>
        <w:t>10</w:t>
      </w:r>
      <w:r>
        <w:rPr>
          <w:rFonts w:hint="eastAsia"/>
          <w:snapToGrid/>
          <w:color w:val="000000"/>
        </w:rPr>
        <w:t>天，补贴则从第</w:t>
      </w:r>
      <w:r>
        <w:rPr>
          <w:rFonts w:hint="eastAsia"/>
          <w:snapToGrid/>
          <w:color w:val="000000"/>
        </w:rPr>
        <w:t>4</w:t>
      </w:r>
      <w:r>
        <w:rPr>
          <w:rFonts w:hint="eastAsia"/>
          <w:snapToGrid/>
          <w:color w:val="000000"/>
        </w:rPr>
        <w:t>天起支付。补贴延续到相应的病假结束为止，甚至在就业合同已经结束的情况下也是如此。享受这一补贴的要求是必须至少已经加入</w:t>
      </w:r>
      <w:r>
        <w:rPr>
          <w:rFonts w:hint="eastAsia"/>
          <w:snapToGrid/>
          <w:color w:val="000000"/>
        </w:rPr>
        <w:t>这一计划</w:t>
      </w:r>
      <w:r>
        <w:rPr>
          <w:rFonts w:hint="eastAsia"/>
          <w:snapToGrid/>
          <w:color w:val="000000"/>
        </w:rPr>
        <w:t>6</w:t>
      </w:r>
      <w:r>
        <w:rPr>
          <w:rFonts w:hint="eastAsia"/>
          <w:snapToGrid/>
          <w:color w:val="000000"/>
        </w:rPr>
        <w:t>个月，而在相应的病假开始以前的</w:t>
      </w:r>
      <w:r>
        <w:rPr>
          <w:rFonts w:hint="eastAsia"/>
          <w:snapToGrid/>
          <w:color w:val="000000"/>
        </w:rPr>
        <w:t>6</w:t>
      </w:r>
      <w:r>
        <w:rPr>
          <w:rFonts w:hint="eastAsia"/>
          <w:snapToGrid/>
          <w:color w:val="000000"/>
        </w:rPr>
        <w:t>个月内已经有</w:t>
      </w:r>
      <w:r>
        <w:rPr>
          <w:rFonts w:hint="eastAsia"/>
          <w:snapToGrid/>
          <w:color w:val="000000"/>
        </w:rPr>
        <w:t>3</w:t>
      </w:r>
      <w:r>
        <w:rPr>
          <w:rFonts w:hint="eastAsia"/>
          <w:snapToGrid/>
          <w:color w:val="000000"/>
        </w:rPr>
        <w:t>个月的投保期。</w:t>
      </w:r>
      <w:r>
        <w:rPr>
          <w:rStyle w:val="FootnoteReference"/>
          <w:bCs/>
          <w:snapToGrid/>
        </w:rPr>
        <w:footnoteReference w:id="87"/>
      </w:r>
      <w:r>
        <w:rPr>
          <w:rFonts w:hint="eastAsia"/>
          <w:snapToGrid/>
          <w:color w:val="000000"/>
        </w:rPr>
        <w:t xml:space="preserve"> </w:t>
      </w:r>
      <w:r>
        <w:rPr>
          <w:rFonts w:hint="eastAsia"/>
          <w:snapToGrid/>
          <w:color w:val="000000"/>
        </w:rPr>
        <w:t>以工作日为合同单位，而每班或每天计发工资的全职日包工要领取补贴，则除了上述投保计划的最低期限以外，还必须在相应病假开始前的</w:t>
      </w:r>
      <w:r>
        <w:rPr>
          <w:rFonts w:hint="eastAsia"/>
          <w:snapToGrid/>
          <w:color w:val="000000"/>
        </w:rPr>
        <w:t>6</w:t>
      </w:r>
      <w:r>
        <w:rPr>
          <w:rFonts w:hint="eastAsia"/>
          <w:snapToGrid/>
          <w:color w:val="000000"/>
        </w:rPr>
        <w:t>个月内至少已交付一个月的保费。如果丧失工作能力是由于事故造成的，则上述的一般或特殊时间规定都不再适用。</w:t>
      </w:r>
      <w:r>
        <w:rPr>
          <w:rStyle w:val="FootnoteReference"/>
          <w:bCs/>
          <w:snapToGrid/>
        </w:rPr>
        <w:footnoteReference w:id="88"/>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产妇的补贴</w:t>
      </w:r>
    </w:p>
    <w:p w:rsidR="00000000" w:rsidRDefault="009C1C61">
      <w:pPr>
        <w:rPr>
          <w:rFonts w:hint="eastAsia"/>
          <w:snapToGrid/>
          <w:color w:val="000000"/>
        </w:rPr>
      </w:pPr>
      <w:r>
        <w:rPr>
          <w:rFonts w:hint="eastAsia"/>
          <w:snapToGrid/>
          <w:color w:val="000000"/>
        </w:rPr>
        <w:tab/>
        <w:t xml:space="preserve">289.  </w:t>
      </w:r>
      <w:r>
        <w:rPr>
          <w:rFonts w:hint="eastAsia"/>
          <w:snapToGrid/>
          <w:color w:val="000000"/>
        </w:rPr>
        <w:t>根据现行立法，女工有权享受产前</w:t>
      </w:r>
      <w:r>
        <w:rPr>
          <w:rFonts w:hint="eastAsia"/>
          <w:snapToGrid/>
          <w:color w:val="000000"/>
        </w:rPr>
        <w:t>6</w:t>
      </w:r>
      <w:r>
        <w:rPr>
          <w:rFonts w:hint="eastAsia"/>
          <w:snapToGrid/>
          <w:color w:val="000000"/>
        </w:rPr>
        <w:t>个星期的产假和产后</w:t>
      </w:r>
      <w:r>
        <w:rPr>
          <w:rFonts w:hint="eastAsia"/>
          <w:snapToGrid/>
          <w:color w:val="000000"/>
        </w:rPr>
        <w:t>12</w:t>
      </w:r>
      <w:r>
        <w:rPr>
          <w:rFonts w:hint="eastAsia"/>
          <w:snapToGrid/>
          <w:color w:val="000000"/>
        </w:rPr>
        <w:t>个星期的产假。</w:t>
      </w:r>
      <w:r>
        <w:rPr>
          <w:rStyle w:val="FootnoteReference"/>
          <w:bCs/>
          <w:snapToGrid/>
        </w:rPr>
        <w:footnoteReference w:id="89"/>
      </w:r>
      <w:r>
        <w:rPr>
          <w:rFonts w:hint="eastAsia"/>
          <w:snapToGrid/>
          <w:color w:val="000000"/>
        </w:rPr>
        <w:t xml:space="preserve"> </w:t>
      </w:r>
      <w:r>
        <w:rPr>
          <w:rFonts w:hint="eastAsia"/>
          <w:snapToGrid/>
          <w:color w:val="000000"/>
        </w:rPr>
        <w:t>不得擅自放弃这些权利，在休息期间，妇女不得在即将生育或刚生育之后的期间内工作。此外，在这一阶段内，必须保留其工</w:t>
      </w:r>
      <w:r>
        <w:rPr>
          <w:rFonts w:hint="eastAsia"/>
          <w:snapToGrid/>
          <w:color w:val="000000"/>
        </w:rPr>
        <w:t>作或职位。</w:t>
      </w:r>
    </w:p>
    <w:p w:rsidR="00000000" w:rsidRDefault="009C1C61">
      <w:pPr>
        <w:rPr>
          <w:rFonts w:hint="eastAsia"/>
          <w:snapToGrid/>
          <w:color w:val="000000"/>
          <w:szCs w:val="24"/>
        </w:rPr>
      </w:pPr>
      <w:r>
        <w:rPr>
          <w:rFonts w:hint="eastAsia"/>
          <w:snapToGrid/>
        </w:rPr>
        <w:tab/>
      </w:r>
      <w:r>
        <w:rPr>
          <w:snapToGrid/>
        </w:rPr>
        <w:t>290.</w:t>
      </w:r>
      <w:r>
        <w:rPr>
          <w:rFonts w:hint="eastAsia"/>
          <w:snapToGrid/>
        </w:rPr>
        <w:t xml:space="preserve">  </w:t>
      </w:r>
      <w:r>
        <w:rPr>
          <w:rFonts w:hint="eastAsia"/>
          <w:snapToGrid/>
        </w:rPr>
        <w:t>如果父母双亲都就业，则可以根据母亲的决定，允许父母中的一人休假，照料生重病的一岁以下婴儿。</w:t>
      </w:r>
      <w:r>
        <w:rPr>
          <w:rStyle w:val="FootnoteReference"/>
          <w:bCs/>
          <w:snapToGrid/>
        </w:rPr>
        <w:footnoteReference w:id="90"/>
      </w:r>
      <w:r>
        <w:rPr>
          <w:rFonts w:hint="eastAsia"/>
          <w:snapToGrid/>
        </w:rPr>
        <w:t xml:space="preserve"> </w:t>
      </w:r>
      <w:r>
        <w:rPr>
          <w:rFonts w:hint="eastAsia"/>
          <w:snapToGrid/>
        </w:rPr>
        <w:t>如果母亲已经死亡，或者法院裁定由父亲监护子女，那么父亲则有权享受这一休假。</w:t>
      </w:r>
      <w:r>
        <w:rPr>
          <w:rStyle w:val="FootnoteReference"/>
          <w:bCs/>
          <w:snapToGrid/>
        </w:rPr>
        <w:footnoteReference w:id="91"/>
      </w:r>
      <w:r>
        <w:rPr>
          <w:rFonts w:hint="eastAsia"/>
          <w:snapToGrid/>
        </w:rPr>
        <w:t xml:space="preserve"> </w:t>
      </w:r>
      <w:r>
        <w:rPr>
          <w:rFonts w:hint="eastAsia"/>
          <w:snapToGrid/>
        </w:rPr>
        <w:t>负责照料一岁以下婴儿的任何工人，无论是男是女，只要得到法院作为保护措施裁决由其对婴儿进行监护或个人护理，都有权休假并取得津贴。</w:t>
      </w:r>
      <w:r>
        <w:rPr>
          <w:rStyle w:val="FootnoteReference"/>
          <w:bCs/>
          <w:snapToGrid/>
        </w:rPr>
        <w:footnoteReference w:id="92"/>
      </w:r>
      <w:r>
        <w:rPr>
          <w:rFonts w:hint="eastAsia"/>
          <w:snapToGrid/>
        </w:rPr>
        <w:t xml:space="preserve"> </w:t>
      </w:r>
      <w:r>
        <w:rPr>
          <w:rFonts w:hint="eastAsia"/>
          <w:snapToGrid/>
        </w:rPr>
        <w:t>此外还规定，在孩子出生或死亡，或者配偶死亡的时候，职工在其后三天内，除了利用自己的假日之外，还可请一天带薪假。</w:t>
      </w:r>
      <w:r>
        <w:rPr>
          <w:rStyle w:val="FootnoteReference"/>
          <w:bCs/>
          <w:snapToGrid/>
        </w:rPr>
        <w:footnoteReference w:id="93"/>
      </w:r>
    </w:p>
    <w:p w:rsidR="00000000" w:rsidRDefault="009C1C61">
      <w:pPr>
        <w:rPr>
          <w:rFonts w:hint="eastAsia"/>
          <w:snapToGrid/>
          <w:color w:val="000000"/>
        </w:rPr>
      </w:pPr>
      <w:r>
        <w:rPr>
          <w:rFonts w:hint="eastAsia"/>
          <w:snapToGrid/>
        </w:rPr>
        <w:tab/>
      </w:r>
      <w:r>
        <w:rPr>
          <w:snapToGrid/>
        </w:rPr>
        <w:t>291.</w:t>
      </w:r>
      <w:r>
        <w:rPr>
          <w:rFonts w:hint="eastAsia"/>
          <w:snapToGrid/>
        </w:rPr>
        <w:t xml:space="preserve">  </w:t>
      </w:r>
      <w:r>
        <w:rPr>
          <w:rFonts w:hint="eastAsia"/>
          <w:snapToGrid/>
        </w:rPr>
        <w:t>根据法律，如果</w:t>
      </w:r>
      <w:r>
        <w:rPr>
          <w:snapToGrid/>
        </w:rPr>
        <w:t>18</w:t>
      </w:r>
      <w:r>
        <w:rPr>
          <w:rFonts w:hint="eastAsia"/>
          <w:snapToGrid/>
        </w:rPr>
        <w:t>岁以下的子女由于严重事故、绝症末期或可</w:t>
      </w:r>
      <w:r>
        <w:rPr>
          <w:rFonts w:hint="eastAsia"/>
          <w:snapToGrid/>
        </w:rPr>
        <w:t>能导致死亡的严重或急性疾病致使其健康状况需要父母的照料，则女性工作者有权请假几个小时，其总数相当于十个正常工作日。</w:t>
      </w:r>
      <w:r>
        <w:rPr>
          <w:rStyle w:val="FootnoteReference"/>
          <w:bCs/>
          <w:snapToGrid/>
        </w:rPr>
        <w:footnoteReference w:id="94"/>
      </w:r>
      <w:r>
        <w:rPr>
          <w:rFonts w:hint="eastAsia"/>
          <w:snapToGrid/>
        </w:rPr>
        <w:t xml:space="preserve"> </w:t>
      </w:r>
      <w:r>
        <w:rPr>
          <w:rFonts w:hint="eastAsia"/>
          <w:snapToGrid/>
        </w:rPr>
        <w:t>如果父母双亲都就业，则可以根据母亲的决定由两人中的任何一人享受这福利。另一方面，如果根据法院的决定父亲有对子女的监护权，或如果母亲已经死亡，或者母亲出于任何理由而无法使用这一休假，则父亲有权使用这项福利。如果父母双方都无法利用休假，则监护或照料该儿童的任何人都有权享受这福利。因这一休假所使用的时间必须从以后的年假内扣还，或者以加班或任何经各方商定的方式来补还。</w:t>
      </w:r>
    </w:p>
    <w:p w:rsidR="00000000" w:rsidRDefault="009C1C61">
      <w:pPr>
        <w:rPr>
          <w:rFonts w:hint="eastAsia"/>
          <w:snapToGrid/>
        </w:rPr>
      </w:pPr>
      <w:r>
        <w:rPr>
          <w:rFonts w:hint="eastAsia"/>
          <w:snapToGrid/>
        </w:rPr>
        <w:tab/>
      </w:r>
      <w:r>
        <w:rPr>
          <w:snapToGrid/>
        </w:rPr>
        <w:t>292.</w:t>
      </w:r>
      <w:r>
        <w:rPr>
          <w:rFonts w:hint="eastAsia"/>
          <w:snapToGrid/>
        </w:rPr>
        <w:t xml:space="preserve">  </w:t>
      </w:r>
      <w:r>
        <w:rPr>
          <w:rFonts w:hint="eastAsia"/>
          <w:snapToGrid/>
        </w:rPr>
        <w:t>提出要求产前、产</w:t>
      </w:r>
      <w:r>
        <w:rPr>
          <w:rFonts w:hint="eastAsia"/>
          <w:snapToGrid/>
        </w:rPr>
        <w:t>后或补充休假，或者出于一岁以下婴儿健康原因休假的私营部门职工可按其在休假开始的月份之前的三个月应计的每月净收入或福利或工资和福利合计的平均数计算津贴。此笔津贴内只扣除社会保险费用和相应的法律费用。</w:t>
      </w:r>
      <w:r>
        <w:rPr>
          <w:rStyle w:val="FootnoteReference"/>
          <w:bCs/>
          <w:snapToGrid/>
        </w:rPr>
        <w:footnoteReference w:id="95"/>
      </w:r>
    </w:p>
    <w:p w:rsidR="00000000" w:rsidRDefault="009C1C61">
      <w:pPr>
        <w:rPr>
          <w:rFonts w:hint="eastAsia"/>
          <w:snapToGrid/>
        </w:rPr>
      </w:pPr>
      <w:r>
        <w:rPr>
          <w:rFonts w:hint="eastAsia"/>
          <w:snapToGrid/>
        </w:rPr>
        <w:tab/>
      </w:r>
      <w:r>
        <w:rPr>
          <w:snapToGrid/>
        </w:rPr>
        <w:t>293.</w:t>
      </w:r>
      <w:r>
        <w:rPr>
          <w:rFonts w:hint="eastAsia"/>
          <w:snapToGrid/>
        </w:rPr>
        <w:t xml:space="preserve">  </w:t>
      </w:r>
      <w:r>
        <w:rPr>
          <w:rFonts w:hint="eastAsia"/>
          <w:snapToGrid/>
        </w:rPr>
        <w:t>对于女性独立从业人员，其津贴是根据其养恤金的供款额而不是应税收入来计算的。社会保险的保费及相应的税费将从应税收入或养恤金中扣除。</w:t>
      </w:r>
    </w:p>
    <w:p w:rsidR="00000000" w:rsidRDefault="009C1C61">
      <w:pPr>
        <w:rPr>
          <w:rFonts w:hint="eastAsia"/>
          <w:snapToGrid/>
        </w:rPr>
      </w:pPr>
      <w:r>
        <w:rPr>
          <w:rFonts w:hint="eastAsia"/>
          <w:snapToGrid/>
        </w:rPr>
        <w:tab/>
      </w:r>
      <w:r>
        <w:rPr>
          <w:snapToGrid/>
        </w:rPr>
        <w:t>294.</w:t>
      </w:r>
      <w:r>
        <w:rPr>
          <w:rFonts w:hint="eastAsia"/>
          <w:snapToGrid/>
        </w:rPr>
        <w:t xml:space="preserve">  </w:t>
      </w:r>
      <w:r>
        <w:rPr>
          <w:rFonts w:hint="eastAsia"/>
          <w:snapToGrid/>
        </w:rPr>
        <w:t>根据立法，产假福利应当由劳工和社会保障部设立的家属补贴和裁员补贴统一基金</w:t>
      </w:r>
      <w:r>
        <w:rPr>
          <w:rFonts w:hint="eastAsia"/>
          <w:snapToGrid/>
        </w:rPr>
        <w:t xml:space="preserve"> </w:t>
      </w:r>
      <w:r>
        <w:rPr>
          <w:rStyle w:val="FootnoteReference"/>
          <w:bCs/>
          <w:snapToGrid/>
        </w:rPr>
        <w:footnoteReference w:id="96"/>
      </w:r>
      <w:r>
        <w:rPr>
          <w:rFonts w:hint="eastAsia"/>
          <w:snapToGrid/>
        </w:rPr>
        <w:t xml:space="preserve"> </w:t>
      </w:r>
      <w:r>
        <w:rPr>
          <w:rFonts w:hint="eastAsia"/>
          <w:snapToGrid/>
        </w:rPr>
        <w:t>来支付。</w:t>
      </w:r>
      <w:r>
        <w:rPr>
          <w:rStyle w:val="FootnoteReference"/>
          <w:bCs/>
          <w:snapToGrid/>
        </w:rPr>
        <w:footnoteReference w:id="97"/>
      </w:r>
    </w:p>
    <w:p w:rsidR="00000000" w:rsidRDefault="009C1C61">
      <w:pPr>
        <w:rPr>
          <w:rFonts w:hint="eastAsia"/>
          <w:snapToGrid/>
        </w:rPr>
      </w:pPr>
      <w:r>
        <w:rPr>
          <w:rFonts w:hint="eastAsia"/>
          <w:snapToGrid/>
        </w:rPr>
        <w:tab/>
      </w:r>
      <w:r>
        <w:rPr>
          <w:snapToGrid/>
        </w:rPr>
        <w:t>295.</w:t>
      </w:r>
      <w:r>
        <w:rPr>
          <w:rFonts w:hint="eastAsia"/>
          <w:snapToGrid/>
        </w:rPr>
        <w:t xml:space="preserve">  </w:t>
      </w:r>
      <w:r>
        <w:rPr>
          <w:rFonts w:hint="eastAsia"/>
          <w:snapToGrid/>
        </w:rPr>
        <w:t>在其他方面，已经在《劳工法》第</w:t>
      </w:r>
      <w:r>
        <w:rPr>
          <w:snapToGrid/>
        </w:rPr>
        <w:t>194</w:t>
      </w:r>
      <w:r>
        <w:rPr>
          <w:rFonts w:hint="eastAsia"/>
          <w:snapToGrid/>
        </w:rPr>
        <w:t>条的后面新增加</w:t>
      </w:r>
      <w:r>
        <w:rPr>
          <w:rFonts w:hint="eastAsia"/>
          <w:snapToGrid/>
        </w:rPr>
        <w:t>了一个条款，决定雇主不能将是否怀孕情况作为决定继续雇用的条件，雇主不得要求出示证明或要求检查以确定女工是否怀孕。</w:t>
      </w:r>
      <w:r>
        <w:rPr>
          <w:rStyle w:val="FootnoteReference"/>
          <w:bCs/>
          <w:snapToGrid/>
        </w:rPr>
        <w:footnoteReference w:id="98"/>
      </w:r>
    </w:p>
    <w:p w:rsidR="00000000" w:rsidRDefault="009C1C61">
      <w:pPr>
        <w:rPr>
          <w:rFonts w:hint="eastAsia"/>
          <w:snapToGrid/>
        </w:rPr>
      </w:pPr>
      <w:r>
        <w:rPr>
          <w:rFonts w:hint="eastAsia"/>
          <w:snapToGrid/>
        </w:rPr>
        <w:tab/>
      </w:r>
      <w:r>
        <w:rPr>
          <w:snapToGrid/>
        </w:rPr>
        <w:t>296.</w:t>
      </w:r>
      <w:r>
        <w:rPr>
          <w:rFonts w:hint="eastAsia"/>
          <w:snapToGrid/>
        </w:rPr>
        <w:t xml:space="preserve">  </w:t>
      </w:r>
      <w:r>
        <w:rPr>
          <w:rFonts w:hint="eastAsia"/>
          <w:snapToGrid/>
        </w:rPr>
        <w:t>《劳工法》规定，雇有</w:t>
      </w:r>
      <w:r>
        <w:rPr>
          <w:snapToGrid/>
        </w:rPr>
        <w:t>20</w:t>
      </w:r>
      <w:r>
        <w:rPr>
          <w:rFonts w:hint="eastAsia"/>
          <w:snapToGrid/>
        </w:rPr>
        <w:t>名以上属于各种不同年龄或婚姻状态的女职工的机构都有责任设置独立于工作场所的休息室，以供妇女为两岁以下儿童喂奶，并在工作时寄放婴孩。</w:t>
      </w:r>
      <w:r>
        <w:rPr>
          <w:rStyle w:val="FootnoteReference"/>
          <w:bCs/>
          <w:snapToGrid/>
        </w:rPr>
        <w:footnoteReference w:id="99"/>
      </w:r>
      <w:r>
        <w:rPr>
          <w:rFonts w:hint="eastAsia"/>
          <w:snapToGrid/>
        </w:rPr>
        <w:t xml:space="preserve"> </w:t>
      </w:r>
      <w:r>
        <w:rPr>
          <w:rFonts w:hint="eastAsia"/>
          <w:snapToGrid/>
        </w:rPr>
        <w:t>根据《劳工法》，女职工每天可以停止工作两次，为孩子喂奶，但时间总共不得超过一小时，不论应用的工资制度如何，这段时间在支付工资的时候都应算作为实际工作。</w:t>
      </w:r>
      <w:r>
        <w:rPr>
          <w:rStyle w:val="FootnoteReference"/>
          <w:bCs/>
          <w:snapToGrid/>
        </w:rPr>
        <w:footnoteReference w:id="100"/>
      </w:r>
    </w:p>
    <w:p w:rsidR="00000000" w:rsidRDefault="009C1C61">
      <w:pPr>
        <w:rPr>
          <w:rFonts w:hint="eastAsia"/>
          <w:snapToGrid/>
        </w:rPr>
      </w:pPr>
      <w:r>
        <w:rPr>
          <w:rFonts w:hint="eastAsia"/>
          <w:snapToGrid/>
        </w:rPr>
        <w:tab/>
      </w:r>
      <w:r>
        <w:rPr>
          <w:snapToGrid/>
        </w:rPr>
        <w:t>297.</w:t>
      </w:r>
      <w:r>
        <w:rPr>
          <w:rFonts w:hint="eastAsia"/>
          <w:snapToGrid/>
        </w:rPr>
        <w:t xml:space="preserve">  </w:t>
      </w:r>
      <w:r>
        <w:rPr>
          <w:rFonts w:hint="eastAsia"/>
          <w:snapToGrid/>
        </w:rPr>
        <w:t>根据公共保健业务的规定，怀孕妇女即使不投保参加社会保障体</w:t>
      </w:r>
      <w:r>
        <w:rPr>
          <w:rFonts w:hint="eastAsia"/>
          <w:snapToGrid/>
        </w:rPr>
        <w:t>系，仍然有权接受保健福利。</w:t>
      </w:r>
      <w:r>
        <w:rPr>
          <w:rStyle w:val="FootnoteReference"/>
          <w:bCs/>
          <w:snapToGrid/>
        </w:rPr>
        <w:footnoteReference w:id="101"/>
      </w:r>
      <w:r>
        <w:rPr>
          <w:rFonts w:hint="eastAsia"/>
          <w:snapToGrid/>
        </w:rPr>
        <w:t xml:space="preserve"> </w:t>
      </w:r>
      <w:r>
        <w:rPr>
          <w:rFonts w:hint="eastAsia"/>
          <w:snapToGrid/>
        </w:rPr>
        <w:t>这项福利所适用的阶段不仅是产前的六个星期和产后的</w:t>
      </w:r>
      <w:r>
        <w:rPr>
          <w:snapToGrid/>
        </w:rPr>
        <w:t>12</w:t>
      </w:r>
      <w:r>
        <w:rPr>
          <w:rFonts w:hint="eastAsia"/>
          <w:snapToGrid/>
        </w:rPr>
        <w:t>个星期，而且还适用于整个怀孕期，即九个月，以及孩子出生后的六个月。</w:t>
      </w:r>
      <w:r>
        <w:rPr>
          <w:rStyle w:val="FootnoteReference"/>
          <w:bCs/>
          <w:snapToGrid/>
        </w:rPr>
        <w:footnoteReference w:id="102"/>
      </w:r>
      <w:r>
        <w:rPr>
          <w:rFonts w:hint="eastAsia"/>
          <w:snapToGrid/>
        </w:rPr>
        <w:t xml:space="preserve"> </w:t>
      </w:r>
      <w:r>
        <w:rPr>
          <w:rFonts w:hint="eastAsia"/>
          <w:snapToGrid/>
        </w:rPr>
        <w:t>不到六个月的新生儿有权得到国家提供的医疗护理和监督。因此，从怀孕期开始直到产后的六个月内所提供的保健福利，包括医生或助产士进行怀孕和产后检查的服务，都是完全免费的。</w:t>
      </w:r>
    </w:p>
    <w:p w:rsidR="00000000" w:rsidRDefault="009C1C61">
      <w:pPr>
        <w:spacing w:after="240"/>
        <w:rPr>
          <w:rFonts w:hint="eastAsia"/>
          <w:snapToGrid/>
          <w:color w:val="000000"/>
        </w:rPr>
      </w:pPr>
      <w:r>
        <w:rPr>
          <w:rFonts w:hint="eastAsia"/>
          <w:snapToGrid/>
          <w:color w:val="000000"/>
        </w:rPr>
        <w:tab/>
        <w:t xml:space="preserve">298.  </w:t>
      </w:r>
      <w:r>
        <w:rPr>
          <w:rFonts w:hint="eastAsia"/>
          <w:snapToGrid/>
          <w:color w:val="000000"/>
        </w:rPr>
        <w:t>国家通过国家卫生基金</w:t>
      </w:r>
      <w:r>
        <w:rPr>
          <w:rFonts w:hint="eastAsia"/>
          <w:snapToGrid/>
          <w:color w:val="000000"/>
        </w:rPr>
        <w:t>(</w:t>
      </w:r>
      <w:r>
        <w:rPr>
          <w:rFonts w:hint="eastAsia"/>
          <w:snapToGrid/>
          <w:color w:val="000000"/>
        </w:rPr>
        <w:t>国卫基金</w:t>
      </w:r>
      <w:r>
        <w:rPr>
          <w:snapToGrid/>
          <w:color w:val="000000"/>
        </w:rPr>
        <w:t>)</w:t>
      </w:r>
      <w:r>
        <w:rPr>
          <w:rFonts w:hint="eastAsia"/>
          <w:snapToGrid/>
          <w:color w:val="000000"/>
        </w:rPr>
        <w:t>对医疗福利提供的经费</w:t>
      </w:r>
      <w:r>
        <w:rPr>
          <w:rFonts w:hint="eastAsia"/>
          <w:snapToGrid/>
          <w:color w:val="000000"/>
        </w:rPr>
        <w:t xml:space="preserve"> </w:t>
      </w:r>
      <w:r>
        <w:rPr>
          <w:rStyle w:val="FootnoteReference"/>
          <w:bCs/>
          <w:snapToGrid/>
        </w:rPr>
        <w:footnoteReference w:id="103"/>
      </w:r>
      <w:r>
        <w:rPr>
          <w:rFonts w:hint="eastAsia"/>
          <w:snapToGrid/>
          <w:color w:val="000000"/>
        </w:rPr>
        <w:t xml:space="preserve"> </w:t>
      </w:r>
      <w:r>
        <w:rPr>
          <w:rFonts w:hint="eastAsia"/>
          <w:snapToGrid/>
          <w:color w:val="000000"/>
        </w:rPr>
        <w:t>应达到</w:t>
      </w:r>
      <w:r>
        <w:rPr>
          <w:rFonts w:hint="eastAsia"/>
          <w:snapToGrid/>
          <w:color w:val="000000"/>
        </w:rPr>
        <w:t>C</w:t>
      </w:r>
      <w:r>
        <w:rPr>
          <w:rFonts w:hint="eastAsia"/>
          <w:snapToGrid/>
          <w:color w:val="000000"/>
        </w:rPr>
        <w:t>和</w:t>
      </w:r>
      <w:r>
        <w:rPr>
          <w:rFonts w:hint="eastAsia"/>
          <w:snapToGrid/>
          <w:color w:val="000000"/>
        </w:rPr>
        <w:t>D</w:t>
      </w:r>
      <w:r>
        <w:rPr>
          <w:rFonts w:hint="eastAsia"/>
          <w:snapToGrid/>
          <w:color w:val="000000"/>
        </w:rPr>
        <w:t>组生育期护理费用的</w:t>
      </w:r>
      <w:r>
        <w:rPr>
          <w:rFonts w:hint="eastAsia"/>
          <w:snapToGrid/>
          <w:color w:val="000000"/>
        </w:rPr>
        <w:t>75%</w:t>
      </w:r>
      <w:r>
        <w:rPr>
          <w:rFonts w:hint="eastAsia"/>
          <w:snapToGrid/>
          <w:color w:val="000000"/>
        </w:rPr>
        <w:t>，并达到</w:t>
      </w:r>
      <w:r>
        <w:rPr>
          <w:rFonts w:hint="eastAsia"/>
          <w:snapToGrid/>
          <w:color w:val="000000"/>
        </w:rPr>
        <w:t>A</w:t>
      </w:r>
      <w:r>
        <w:rPr>
          <w:rFonts w:hint="eastAsia"/>
          <w:snapToGrid/>
          <w:color w:val="000000"/>
        </w:rPr>
        <w:t>和</w:t>
      </w:r>
      <w:r>
        <w:rPr>
          <w:rFonts w:hint="eastAsia"/>
          <w:snapToGrid/>
          <w:color w:val="000000"/>
        </w:rPr>
        <w:t>B</w:t>
      </w:r>
      <w:r>
        <w:rPr>
          <w:rFonts w:hint="eastAsia"/>
          <w:snapToGrid/>
          <w:color w:val="000000"/>
        </w:rPr>
        <w:t>组生育期护理费用的</w:t>
      </w:r>
      <w:r>
        <w:rPr>
          <w:rFonts w:hint="eastAsia"/>
          <w:snapToGrid/>
          <w:color w:val="000000"/>
        </w:rPr>
        <w:t>100%</w:t>
      </w:r>
      <w:r>
        <w:rPr>
          <w:rFonts w:hint="eastAsia"/>
          <w:snapToGrid/>
          <w:color w:val="000000"/>
        </w:rPr>
        <w:t>。这就是说，由属于经济方面下层的贫穷人士组成的</w:t>
      </w:r>
      <w:r>
        <w:rPr>
          <w:rFonts w:hint="eastAsia"/>
          <w:snapToGrid/>
          <w:color w:val="000000"/>
        </w:rPr>
        <w:t>A</w:t>
      </w:r>
      <w:r>
        <w:rPr>
          <w:rFonts w:hint="eastAsia"/>
          <w:snapToGrid/>
          <w:color w:val="000000"/>
        </w:rPr>
        <w:t>和</w:t>
      </w:r>
      <w:r>
        <w:rPr>
          <w:rFonts w:hint="eastAsia"/>
          <w:snapToGrid/>
          <w:color w:val="000000"/>
        </w:rPr>
        <w:t>B</w:t>
      </w:r>
      <w:r>
        <w:rPr>
          <w:rFonts w:hint="eastAsia"/>
          <w:snapToGrid/>
          <w:color w:val="000000"/>
        </w:rPr>
        <w:t>组人口的生育阶段护理是完全免费的。对于由经济状况较好人士组成的</w:t>
      </w:r>
      <w:r>
        <w:rPr>
          <w:rFonts w:hint="eastAsia"/>
          <w:snapToGrid/>
          <w:color w:val="000000"/>
        </w:rPr>
        <w:t>C</w:t>
      </w:r>
      <w:r>
        <w:rPr>
          <w:rFonts w:hint="eastAsia"/>
          <w:snapToGrid/>
          <w:color w:val="000000"/>
        </w:rPr>
        <w:t>和</w:t>
      </w:r>
      <w:r>
        <w:rPr>
          <w:rFonts w:hint="eastAsia"/>
          <w:snapToGrid/>
          <w:color w:val="000000"/>
        </w:rPr>
        <w:t>D</w:t>
      </w:r>
      <w:r>
        <w:rPr>
          <w:rFonts w:hint="eastAsia"/>
          <w:snapToGrid/>
          <w:color w:val="000000"/>
        </w:rPr>
        <w:t>组的投保人，其生育期护理费用的</w:t>
      </w:r>
      <w:r>
        <w:rPr>
          <w:rFonts w:hint="eastAsia"/>
          <w:snapToGrid/>
          <w:color w:val="000000"/>
        </w:rPr>
        <w:t>75%</w:t>
      </w:r>
      <w:r>
        <w:rPr>
          <w:rFonts w:hint="eastAsia"/>
          <w:snapToGrid/>
          <w:color w:val="000000"/>
        </w:rPr>
        <w:t>是免费的，这样，支付保险的人士只需提供其余</w:t>
      </w:r>
      <w:r>
        <w:rPr>
          <w:rFonts w:hint="eastAsia"/>
          <w:snapToGrid/>
          <w:color w:val="000000"/>
        </w:rPr>
        <w:t>25%</w:t>
      </w:r>
      <w:r>
        <w:rPr>
          <w:rFonts w:hint="eastAsia"/>
          <w:snapToGrid/>
          <w:color w:val="000000"/>
        </w:rPr>
        <w:t>的资金。</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老年养恤金</w:t>
      </w:r>
    </w:p>
    <w:p w:rsidR="00000000" w:rsidRDefault="009C1C61">
      <w:pPr>
        <w:rPr>
          <w:rFonts w:hint="eastAsia"/>
          <w:snapToGrid/>
          <w:color w:val="000000"/>
        </w:rPr>
      </w:pPr>
      <w:r>
        <w:rPr>
          <w:rFonts w:hint="eastAsia"/>
          <w:snapToGrid/>
          <w:color w:val="000000"/>
        </w:rPr>
        <w:tab/>
        <w:t xml:space="preserve">299.  </w:t>
      </w:r>
      <w:r>
        <w:rPr>
          <w:rFonts w:hint="eastAsia"/>
          <w:snapToGrid/>
          <w:color w:val="000000"/>
        </w:rPr>
        <w:t>为确定养恤金覆盖范围，这里必须指出，智利平民有两个养恤金系统：旧的公共养恤金系统，这是根据分配法建立的保险系统，由若干社会保险管理局管理，这目前已经合并成一个单一机构，称为社会保险标准化协会</w:t>
      </w:r>
      <w:r>
        <w:rPr>
          <w:rFonts w:hint="eastAsia"/>
          <w:snapToGrid/>
          <w:color w:val="000000"/>
        </w:rPr>
        <w:t>(</w:t>
      </w:r>
      <w:r>
        <w:rPr>
          <w:rFonts w:hint="eastAsia"/>
          <w:snapToGrid/>
          <w:color w:val="000000"/>
        </w:rPr>
        <w:t>社保标协</w:t>
      </w:r>
      <w:r>
        <w:rPr>
          <w:rFonts w:hint="eastAsia"/>
          <w:snapToGrid/>
          <w:color w:val="000000"/>
        </w:rPr>
        <w:t>)</w:t>
      </w:r>
      <w:r>
        <w:rPr>
          <w:rFonts w:hint="eastAsia"/>
          <w:snapToGrid/>
          <w:color w:val="000000"/>
        </w:rPr>
        <w:t>；以及按个人集资法建立的新的养恤金系统，</w:t>
      </w:r>
      <w:r>
        <w:rPr>
          <w:rStyle w:val="FootnoteReference"/>
          <w:bCs/>
          <w:snapToGrid/>
        </w:rPr>
        <w:footnoteReference w:id="104"/>
      </w:r>
      <w:r>
        <w:rPr>
          <w:rStyle w:val="FootnoteReference"/>
          <w:rFonts w:hint="eastAsia"/>
          <w:bCs/>
        </w:rPr>
        <w:t xml:space="preserve"> </w:t>
      </w:r>
      <w:r>
        <w:rPr>
          <w:rFonts w:hint="eastAsia"/>
          <w:snapToGrid/>
          <w:color w:val="000000"/>
        </w:rPr>
        <w:t xml:space="preserve"> </w:t>
      </w:r>
      <w:r>
        <w:rPr>
          <w:rFonts w:hint="eastAsia"/>
          <w:snapToGrid/>
          <w:color w:val="000000"/>
        </w:rPr>
        <w:t>由养恤基金管理公司</w:t>
      </w:r>
      <w:r>
        <w:rPr>
          <w:rFonts w:hint="eastAsia"/>
          <w:snapToGrid/>
          <w:color w:val="000000"/>
        </w:rPr>
        <w:t>(AFP)</w:t>
      </w:r>
      <w:r>
        <w:rPr>
          <w:rFonts w:hint="eastAsia"/>
          <w:snapToGrid/>
          <w:color w:val="000000"/>
        </w:rPr>
        <w:t>管理，其服务对象是于</w:t>
      </w:r>
      <w:r>
        <w:rPr>
          <w:rFonts w:hint="eastAsia"/>
          <w:snapToGrid/>
          <w:color w:val="000000"/>
        </w:rPr>
        <w:t>1983</w:t>
      </w:r>
      <w:r>
        <w:rPr>
          <w:rFonts w:hint="eastAsia"/>
          <w:snapToGrid/>
          <w:color w:val="000000"/>
        </w:rPr>
        <w:t>年</w:t>
      </w:r>
      <w:r>
        <w:rPr>
          <w:rFonts w:hint="eastAsia"/>
          <w:snapToGrid/>
          <w:color w:val="000000"/>
        </w:rPr>
        <w:t>1</w:t>
      </w:r>
      <w:r>
        <w:rPr>
          <w:rFonts w:hint="eastAsia"/>
          <w:snapToGrid/>
          <w:color w:val="000000"/>
        </w:rPr>
        <w:t>月</w:t>
      </w:r>
      <w:r>
        <w:rPr>
          <w:rFonts w:hint="eastAsia"/>
          <w:snapToGrid/>
          <w:color w:val="000000"/>
        </w:rPr>
        <w:t>1</w:t>
      </w:r>
      <w:r>
        <w:rPr>
          <w:rFonts w:hint="eastAsia"/>
          <w:snapToGrid/>
          <w:color w:val="000000"/>
        </w:rPr>
        <w:t>日以后</w:t>
      </w:r>
      <w:r>
        <w:rPr>
          <w:rFonts w:hint="eastAsia"/>
          <w:snapToGrid/>
          <w:color w:val="000000"/>
        </w:rPr>
        <w:t>进入劳工市场的所有人，而不论其所从事的工作种类或者其所属的工作部门如何。</w:t>
      </w:r>
    </w:p>
    <w:p w:rsidR="00000000" w:rsidRDefault="009C1C61">
      <w:pPr>
        <w:spacing w:after="240"/>
        <w:rPr>
          <w:rFonts w:hint="eastAsia"/>
          <w:snapToGrid/>
          <w:color w:val="000000"/>
        </w:rPr>
      </w:pPr>
      <w:r>
        <w:rPr>
          <w:rFonts w:hint="eastAsia"/>
          <w:snapToGrid/>
          <w:color w:val="000000"/>
        </w:rPr>
        <w:tab/>
        <w:t xml:space="preserve">300.  </w:t>
      </w:r>
      <w:r>
        <w:rPr>
          <w:rFonts w:hint="eastAsia"/>
          <w:snapToGrid/>
          <w:color w:val="000000"/>
        </w:rPr>
        <w:t>属于旧系统的工作人员可以在任何时候转而加入新的养恤系统；而另一方面，在上述日期之后进入劳工市场的所有人依据法律都必须加入新的系统。</w:t>
      </w:r>
      <w:r>
        <w:rPr>
          <w:rStyle w:val="FootnoteReference"/>
          <w:bCs/>
          <w:snapToGrid/>
        </w:rPr>
        <w:footnoteReference w:id="105"/>
      </w:r>
      <w:r>
        <w:rPr>
          <w:rFonts w:hint="eastAsia"/>
          <w:snapToGrid/>
          <w:color w:val="000000"/>
        </w:rPr>
        <w:t xml:space="preserve"> </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新旧养恤金系统的老年养恤金</w:t>
      </w:r>
    </w:p>
    <w:p w:rsidR="00000000" w:rsidRDefault="009C1C61">
      <w:pPr>
        <w:rPr>
          <w:rFonts w:hint="eastAsia"/>
          <w:snapToGrid/>
          <w:color w:val="000000"/>
        </w:rPr>
      </w:pPr>
      <w:r>
        <w:rPr>
          <w:rFonts w:hint="eastAsia"/>
          <w:snapToGrid/>
          <w:color w:val="000000"/>
        </w:rPr>
        <w:tab/>
        <w:t xml:space="preserve">301.  </w:t>
      </w:r>
      <w:r>
        <w:rPr>
          <w:rFonts w:hint="eastAsia"/>
          <w:snapToGrid/>
          <w:color w:val="000000"/>
        </w:rPr>
        <w:t>对于从业人员，前一种老年保险的：体力劳动者和工人；</w:t>
      </w:r>
      <w:r>
        <w:rPr>
          <w:rStyle w:val="FootnoteReference"/>
          <w:bCs/>
          <w:snapToGrid/>
        </w:rPr>
        <w:footnoteReference w:id="106"/>
      </w:r>
      <w:r>
        <w:rPr>
          <w:rFonts w:hint="eastAsia"/>
          <w:snapToGrid/>
          <w:color w:val="000000"/>
        </w:rPr>
        <w:t xml:space="preserve">  </w:t>
      </w:r>
      <w:r>
        <w:rPr>
          <w:rFonts w:hint="eastAsia"/>
          <w:snapToGrid/>
          <w:color w:val="000000"/>
          <w:szCs w:val="24"/>
        </w:rPr>
        <w:t>家庭佣工以及从事任何工种、行业或职业的工作申请人或学徒、家庭工人、有薪工作的雇主家属、从以前的私营部门雇员节约储金和辅助机构中领取保险福利金的雇员，以及从现已合并到上述社会保险标准化制度的前</w:t>
      </w:r>
      <w:r>
        <w:rPr>
          <w:rFonts w:hint="eastAsia"/>
          <w:snapToGrid/>
          <w:color w:val="000000"/>
          <w:szCs w:val="24"/>
        </w:rPr>
        <w:t>国家赛马节约储金领取福利的雇员、最后还包括受雇用的专业人员。</w:t>
      </w:r>
    </w:p>
    <w:p w:rsidR="00000000" w:rsidRDefault="009C1C61">
      <w:pPr>
        <w:rPr>
          <w:snapToGrid/>
        </w:rPr>
      </w:pPr>
      <w:r>
        <w:rPr>
          <w:rFonts w:hint="eastAsia"/>
          <w:snapToGrid/>
        </w:rPr>
        <w:tab/>
      </w:r>
      <w:r>
        <w:rPr>
          <w:snapToGrid/>
        </w:rPr>
        <w:t>302.</w:t>
      </w:r>
      <w:r>
        <w:rPr>
          <w:rFonts w:hint="eastAsia"/>
          <w:snapToGrid/>
        </w:rPr>
        <w:t xml:space="preserve">  </w:t>
      </w:r>
      <w:r>
        <w:rPr>
          <w:rFonts w:hint="eastAsia"/>
          <w:snapToGrid/>
        </w:rPr>
        <w:t>对于独立从业人员，以前的社会保险服务部门的保险对象包括了上述法令中提到的所有种类的体力工人，</w:t>
      </w:r>
      <w:r>
        <w:rPr>
          <w:rStyle w:val="FootnoteReference"/>
          <w:bCs/>
          <w:snapToGrid/>
        </w:rPr>
        <w:footnoteReference w:id="107"/>
      </w:r>
      <w:r>
        <w:rPr>
          <w:rFonts w:hint="eastAsia"/>
          <w:snapToGrid/>
        </w:rPr>
        <w:t xml:space="preserve"> </w:t>
      </w:r>
      <w:r>
        <w:rPr>
          <w:rFonts w:hint="eastAsia"/>
          <w:snapToGrid/>
        </w:rPr>
        <w:t>但前提是，工作人员的年收入总额不能超过最低年薪的三倍。</w:t>
      </w:r>
    </w:p>
    <w:p w:rsidR="00000000" w:rsidRDefault="009C1C61">
      <w:pPr>
        <w:rPr>
          <w:rFonts w:hint="eastAsia"/>
          <w:snapToGrid/>
          <w:color w:val="000000"/>
        </w:rPr>
      </w:pPr>
      <w:r>
        <w:rPr>
          <w:rFonts w:hint="eastAsia"/>
          <w:snapToGrid/>
        </w:rPr>
        <w:tab/>
      </w:r>
      <w:r>
        <w:rPr>
          <w:snapToGrid/>
        </w:rPr>
        <w:t>303.</w:t>
      </w:r>
      <w:r>
        <w:rPr>
          <w:rFonts w:hint="eastAsia"/>
          <w:snapToGrid/>
        </w:rPr>
        <w:t xml:space="preserve">  </w:t>
      </w:r>
      <w:r>
        <w:rPr>
          <w:rFonts w:hint="eastAsia"/>
          <w:snapToGrid/>
        </w:rPr>
        <w:t>旧的私营部门雇员节约储金的福利提供艺术家的老年福利，</w:t>
      </w:r>
      <w:r>
        <w:rPr>
          <w:rStyle w:val="FootnoteReference"/>
          <w:bCs/>
          <w:snapToGrid/>
        </w:rPr>
        <w:footnoteReference w:id="108"/>
      </w:r>
      <w:r>
        <w:rPr>
          <w:rFonts w:hint="eastAsia"/>
          <w:snapToGrid/>
        </w:rPr>
        <w:t xml:space="preserve"> </w:t>
      </w:r>
      <w:r>
        <w:rPr>
          <w:rFonts w:hint="eastAsia"/>
          <w:snapToGrid/>
        </w:rPr>
        <w:t>及其供顾客租用的车辆的拥有人兼驾驶的福利。</w:t>
      </w:r>
      <w:r>
        <w:rPr>
          <w:rStyle w:val="FootnoteReference"/>
          <w:snapToGrid/>
        </w:rPr>
        <w:footnoteReference w:id="109"/>
      </w:r>
      <w:r>
        <w:rPr>
          <w:rFonts w:hint="eastAsia"/>
          <w:snapToGrid/>
        </w:rPr>
        <w:t xml:space="preserve"> </w:t>
      </w:r>
      <w:r>
        <w:rPr>
          <w:rFonts w:hint="eastAsia"/>
          <w:snapToGrid/>
        </w:rPr>
        <w:t>国家公共部门雇员和记者基金接受独立律师加入投保，独立律师以自己的身份加入这一基金。</w:t>
      </w:r>
    </w:p>
    <w:p w:rsidR="00000000" w:rsidRDefault="009C1C61">
      <w:pPr>
        <w:rPr>
          <w:rFonts w:hint="eastAsia"/>
          <w:snapToGrid/>
          <w:color w:val="000000"/>
        </w:rPr>
      </w:pPr>
      <w:r>
        <w:rPr>
          <w:rFonts w:hint="eastAsia"/>
          <w:snapToGrid/>
          <w:color w:val="000000"/>
        </w:rPr>
        <w:tab/>
        <w:t xml:space="preserve">304.  </w:t>
      </w:r>
      <w:r>
        <w:rPr>
          <w:rFonts w:hint="eastAsia"/>
          <w:snapToGrid/>
          <w:color w:val="000000"/>
        </w:rPr>
        <w:t>任何符合法律要求的人都可在一所养恤基金管理公司</w:t>
      </w:r>
      <w:r>
        <w:rPr>
          <w:rFonts w:hint="eastAsia"/>
          <w:snapToGrid/>
          <w:color w:val="000000"/>
        </w:rPr>
        <w:t>(</w:t>
      </w:r>
      <w:r>
        <w:rPr>
          <w:rFonts w:hint="eastAsia"/>
          <w:snapToGrid/>
          <w:color w:val="000000"/>
        </w:rPr>
        <w:t>养管公司</w:t>
      </w:r>
      <w:r>
        <w:rPr>
          <w:rFonts w:hint="eastAsia"/>
          <w:snapToGrid/>
          <w:color w:val="000000"/>
        </w:rPr>
        <w:t>)</w:t>
      </w:r>
      <w:r>
        <w:rPr>
          <w:rFonts w:hint="eastAsia"/>
          <w:snapToGrid/>
          <w:color w:val="000000"/>
        </w:rPr>
        <w:t>投保，这是根</w:t>
      </w:r>
      <w:r>
        <w:rPr>
          <w:rFonts w:hint="eastAsia"/>
          <w:snapToGrid/>
          <w:color w:val="000000"/>
        </w:rPr>
        <w:t>据新的养恤金制度所提供的一种可能性。在这一制度下，受雇的工作人员和独立的工作人员是唯一的区别。在前一种情况下，法律规定：“所有未加入养恤基金的工作人员在开始工作时都必须自动加入这一系统，并且必须向一所养恤基金管理公司定期供款。”</w:t>
      </w:r>
      <w:r>
        <w:rPr>
          <w:rStyle w:val="FootnoteReference"/>
          <w:bCs/>
          <w:snapToGrid/>
        </w:rPr>
        <w:footnoteReference w:id="110"/>
      </w:r>
      <w:r>
        <w:rPr>
          <w:rFonts w:hint="eastAsia"/>
          <w:snapToGrid/>
          <w:color w:val="000000"/>
        </w:rPr>
        <w:t xml:space="preserve"> </w:t>
      </w:r>
      <w:r>
        <w:rPr>
          <w:rFonts w:hint="eastAsia"/>
          <w:snapToGrid/>
          <w:color w:val="000000"/>
        </w:rPr>
        <w:t>对于无单位独立工作者，法律规定：“不为雇主工作但是从事取得收益的活动的所有自然人都可以根据本法律加入本制度。”</w:t>
      </w:r>
      <w:r>
        <w:rPr>
          <w:rFonts w:hint="eastAsia"/>
          <w:snapToGrid/>
          <w:color w:val="000000"/>
        </w:rPr>
        <w:t xml:space="preserve"> </w:t>
      </w:r>
      <w:r>
        <w:rPr>
          <w:rStyle w:val="FootnoteReference"/>
          <w:bCs/>
          <w:snapToGrid/>
        </w:rPr>
        <w:footnoteReference w:id="111"/>
      </w:r>
      <w:r>
        <w:rPr>
          <w:rFonts w:hint="eastAsia"/>
          <w:snapToGrid/>
          <w:color w:val="000000"/>
        </w:rPr>
        <w:t xml:space="preserve"> </w:t>
      </w:r>
      <w:r>
        <w:rPr>
          <w:rFonts w:hint="eastAsia"/>
          <w:snapToGrid/>
          <w:color w:val="000000"/>
        </w:rPr>
        <w:t>也就是说，无单位独立工作人员参加这一系统是自愿的，这与受雇从业人员的情况不同。</w:t>
      </w:r>
    </w:p>
    <w:p w:rsidR="00000000" w:rsidRDefault="009C1C61">
      <w:pPr>
        <w:spacing w:after="240"/>
        <w:rPr>
          <w:rFonts w:hint="eastAsia"/>
          <w:snapToGrid/>
          <w:color w:val="000000"/>
        </w:rPr>
      </w:pPr>
      <w:r>
        <w:rPr>
          <w:rFonts w:hint="eastAsia"/>
          <w:snapToGrid/>
          <w:color w:val="000000"/>
        </w:rPr>
        <w:tab/>
        <w:t xml:space="preserve">305.  </w:t>
      </w:r>
      <w:r>
        <w:rPr>
          <w:rFonts w:hint="eastAsia"/>
          <w:snapToGrid/>
          <w:color w:val="000000"/>
        </w:rPr>
        <w:t>与旧系统相比，新的养恤金计划涵盖了很大一部分劳动力。但它不包括属于武装</w:t>
      </w:r>
      <w:r>
        <w:rPr>
          <w:rFonts w:hint="eastAsia"/>
          <w:snapToGrid/>
          <w:color w:val="000000"/>
        </w:rPr>
        <w:t>部队和保安人员的投保人，这些人员有其本身的节约储蓄基金。</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养恤金的缴款和数额</w:t>
      </w:r>
    </w:p>
    <w:p w:rsidR="00000000" w:rsidRDefault="009C1C61">
      <w:pPr>
        <w:rPr>
          <w:rFonts w:hint="eastAsia"/>
          <w:snapToGrid/>
          <w:color w:val="000000"/>
        </w:rPr>
      </w:pPr>
      <w:r>
        <w:rPr>
          <w:rFonts w:hint="eastAsia"/>
          <w:snapToGrid/>
          <w:color w:val="000000"/>
        </w:rPr>
        <w:tab/>
        <w:t xml:space="preserve">306.  </w:t>
      </w:r>
      <w:r>
        <w:rPr>
          <w:rFonts w:hint="eastAsia"/>
          <w:snapToGrid/>
          <w:color w:val="000000"/>
        </w:rPr>
        <w:t>关于工作人员必须向养恤基金交纳的款额，在旧制度下这一数额对工人而言是工资的</w:t>
      </w:r>
      <w:r>
        <w:rPr>
          <w:rFonts w:hint="eastAsia"/>
          <w:snapToGrid/>
          <w:color w:val="000000"/>
        </w:rPr>
        <w:t>19.1%</w:t>
      </w:r>
      <w:r>
        <w:rPr>
          <w:rFonts w:hint="eastAsia"/>
          <w:snapToGrid/>
          <w:color w:val="000000"/>
        </w:rPr>
        <w:t>，对职员而言平均为</w:t>
      </w:r>
      <w:r>
        <w:rPr>
          <w:rFonts w:hint="eastAsia"/>
          <w:snapToGrid/>
          <w:color w:val="000000"/>
        </w:rPr>
        <w:t>20.7%</w:t>
      </w:r>
      <w:r>
        <w:rPr>
          <w:rFonts w:hint="eastAsia"/>
          <w:snapToGrid/>
          <w:color w:val="000000"/>
        </w:rPr>
        <w:t>。</w:t>
      </w:r>
    </w:p>
    <w:p w:rsidR="00000000" w:rsidRDefault="009C1C61">
      <w:pPr>
        <w:rPr>
          <w:rFonts w:hint="eastAsia"/>
          <w:snapToGrid/>
          <w:color w:val="000000"/>
          <w:szCs w:val="24"/>
        </w:rPr>
      </w:pPr>
      <w:r>
        <w:rPr>
          <w:rFonts w:hint="eastAsia"/>
          <w:snapToGrid/>
        </w:rPr>
        <w:tab/>
      </w:r>
      <w:r>
        <w:rPr>
          <w:snapToGrid/>
        </w:rPr>
        <w:t>307.</w:t>
      </w:r>
      <w:r>
        <w:rPr>
          <w:rFonts w:hint="eastAsia"/>
          <w:snapToGrid/>
        </w:rPr>
        <w:t xml:space="preserve">  </w:t>
      </w:r>
      <w:r>
        <w:rPr>
          <w:rFonts w:hint="eastAsia"/>
          <w:snapToGrid/>
        </w:rPr>
        <w:t>按照新制度，投保人向养恤金交付其收入的</w:t>
      </w:r>
      <w:r>
        <w:rPr>
          <w:snapToGrid/>
        </w:rPr>
        <w:t>10%</w:t>
      </w:r>
      <w:r>
        <w:rPr>
          <w:rFonts w:hint="eastAsia"/>
          <w:snapToGrid/>
        </w:rPr>
        <w:t>；此外，为支付行政费用及残疾保险和遗属保险的费用，他们必须支付其收入的</w:t>
      </w:r>
      <w:r>
        <w:rPr>
          <w:snapToGrid/>
        </w:rPr>
        <w:t>2.09%</w:t>
      </w:r>
      <w:r>
        <w:rPr>
          <w:rFonts w:hint="eastAsia"/>
          <w:snapToGrid/>
        </w:rPr>
        <w:t>至</w:t>
      </w:r>
      <w:r>
        <w:rPr>
          <w:snapToGrid/>
        </w:rPr>
        <w:t>2.55%</w:t>
      </w:r>
      <w:r>
        <w:rPr>
          <w:rFonts w:hint="eastAsia"/>
          <w:snapToGrid/>
        </w:rPr>
        <w:t>的数额，加上固定佣金在</w:t>
      </w:r>
      <w:r>
        <w:rPr>
          <w:snapToGrid/>
        </w:rPr>
        <w:t>0</w:t>
      </w:r>
      <w:r>
        <w:rPr>
          <w:rFonts w:hint="eastAsia"/>
          <w:snapToGrid/>
        </w:rPr>
        <w:t>到</w:t>
      </w:r>
      <w:r>
        <w:rPr>
          <w:snapToGrid/>
        </w:rPr>
        <w:t>1,000</w:t>
      </w:r>
      <w:r>
        <w:rPr>
          <w:rFonts w:hint="eastAsia"/>
          <w:snapToGrid/>
        </w:rPr>
        <w:t>比索之间</w:t>
      </w:r>
      <w:r>
        <w:rPr>
          <w:rFonts w:hint="eastAsia"/>
          <w:snapToGrid/>
        </w:rPr>
        <w:t>(</w:t>
      </w:r>
      <w:r>
        <w:rPr>
          <w:rFonts w:hint="eastAsia"/>
          <w:snapToGrid/>
        </w:rPr>
        <w:t>相当于</w:t>
      </w:r>
      <w:r>
        <w:rPr>
          <w:snapToGrid/>
        </w:rPr>
        <w:t>0</w:t>
      </w:r>
      <w:r>
        <w:rPr>
          <w:rFonts w:hint="eastAsia"/>
          <w:snapToGrid/>
        </w:rPr>
        <w:t>到</w:t>
      </w:r>
      <w:r>
        <w:rPr>
          <w:snapToGrid/>
        </w:rPr>
        <w:t>1.34</w:t>
      </w:r>
      <w:r>
        <w:rPr>
          <w:rFonts w:hint="eastAsia"/>
          <w:snapToGrid/>
        </w:rPr>
        <w:t>美元</w:t>
      </w:r>
      <w:r>
        <w:rPr>
          <w:rFonts w:hint="eastAsia"/>
          <w:snapToGrid/>
        </w:rPr>
        <w:t>)</w:t>
      </w:r>
      <w:r>
        <w:rPr>
          <w:rFonts w:hint="eastAsia"/>
          <w:snapToGrid/>
        </w:rPr>
        <w:t>，具体按所涉养管公司的计划而定。按旧制度，计算保费时所认定的最高收入为</w:t>
      </w:r>
      <w:r>
        <w:rPr>
          <w:snapToGrid/>
        </w:rPr>
        <w:t>60</w:t>
      </w:r>
      <w:r>
        <w:rPr>
          <w:rFonts w:hint="eastAsia"/>
          <w:snapToGrid/>
        </w:rPr>
        <w:t>个调值调值</w:t>
      </w:r>
      <w:r>
        <w:rPr>
          <w:rFonts w:hint="eastAsia"/>
          <w:snapToGrid/>
        </w:rPr>
        <w:t>单位</w:t>
      </w:r>
      <w:r>
        <w:rPr>
          <w:rFonts w:hint="eastAsia"/>
          <w:snapToGrid/>
        </w:rPr>
        <w:t>(</w:t>
      </w:r>
      <w:r>
        <w:rPr>
          <w:snapToGrid/>
        </w:rPr>
        <w:t>UF</w:t>
      </w:r>
      <w:r>
        <w:rPr>
          <w:rFonts w:hint="eastAsia"/>
          <w:snapToGrid/>
        </w:rPr>
        <w:t>)</w:t>
      </w:r>
      <w:r>
        <w:rPr>
          <w:rFonts w:hint="eastAsia"/>
          <w:snapToGrid/>
        </w:rPr>
        <w:t>，相当于</w:t>
      </w:r>
      <w:r>
        <w:rPr>
          <w:snapToGrid/>
        </w:rPr>
        <w:t>1,001,016</w:t>
      </w:r>
      <w:r>
        <w:rPr>
          <w:rFonts w:hint="eastAsia"/>
          <w:snapToGrid/>
        </w:rPr>
        <w:t>比索</w:t>
      </w:r>
      <w:r>
        <w:rPr>
          <w:rFonts w:hint="eastAsia"/>
          <w:snapToGrid/>
        </w:rPr>
        <w:t>(</w:t>
      </w:r>
      <w:r>
        <w:rPr>
          <w:snapToGrid/>
        </w:rPr>
        <w:t>1,3</w:t>
      </w:r>
      <w:r>
        <w:rPr>
          <w:rFonts w:hint="eastAsia"/>
          <w:snapToGrid/>
        </w:rPr>
        <w:t>4</w:t>
      </w:r>
      <w:r>
        <w:rPr>
          <w:snapToGrid/>
        </w:rPr>
        <w:t>3</w:t>
      </w:r>
      <w:r>
        <w:rPr>
          <w:rFonts w:hint="eastAsia"/>
          <w:snapToGrid/>
        </w:rPr>
        <w:t>美元</w:t>
      </w:r>
      <w:r>
        <w:rPr>
          <w:rFonts w:hint="eastAsia"/>
          <w:snapToGrid/>
        </w:rPr>
        <w:t>)</w:t>
      </w:r>
      <w:r>
        <w:rPr>
          <w:rFonts w:hint="eastAsia"/>
          <w:snapToGrid/>
        </w:rPr>
        <w:t>。计算保费时所订的最低收入就是法定最低工资额，从</w:t>
      </w:r>
      <w:r>
        <w:rPr>
          <w:snapToGrid/>
        </w:rPr>
        <w:t>2002</w:t>
      </w:r>
      <w:r>
        <w:rPr>
          <w:rFonts w:hint="eastAsia"/>
          <w:snapToGrid/>
        </w:rPr>
        <w:t>年</w:t>
      </w:r>
      <w:r>
        <w:rPr>
          <w:snapToGrid/>
        </w:rPr>
        <w:t>6</w:t>
      </w:r>
      <w:r>
        <w:rPr>
          <w:rFonts w:hint="eastAsia"/>
          <w:snapToGrid/>
        </w:rPr>
        <w:t>月</w:t>
      </w:r>
      <w:r>
        <w:rPr>
          <w:snapToGrid/>
        </w:rPr>
        <w:t>1</w:t>
      </w:r>
      <w:r>
        <w:rPr>
          <w:rFonts w:hint="eastAsia"/>
          <w:snapToGrid/>
        </w:rPr>
        <w:t>日起，这一数字是</w:t>
      </w:r>
      <w:r>
        <w:rPr>
          <w:snapToGrid/>
        </w:rPr>
        <w:t>149</w:t>
      </w:r>
      <w:r>
        <w:rPr>
          <w:rFonts w:hint="eastAsia"/>
          <w:snapToGrid/>
        </w:rPr>
        <w:t>美元。</w:t>
      </w:r>
    </w:p>
    <w:p w:rsidR="00000000" w:rsidRDefault="009C1C61">
      <w:pPr>
        <w:rPr>
          <w:snapToGrid/>
        </w:rPr>
      </w:pPr>
      <w:r>
        <w:rPr>
          <w:rFonts w:hint="eastAsia"/>
          <w:snapToGrid/>
        </w:rPr>
        <w:tab/>
      </w:r>
      <w:r>
        <w:rPr>
          <w:snapToGrid/>
        </w:rPr>
        <w:t>308.</w:t>
      </w:r>
      <w:r>
        <w:rPr>
          <w:rFonts w:hint="eastAsia"/>
          <w:snapToGrid/>
        </w:rPr>
        <w:t xml:space="preserve">  </w:t>
      </w:r>
      <w:r>
        <w:rPr>
          <w:rFonts w:hint="eastAsia"/>
          <w:snapToGrid/>
        </w:rPr>
        <w:t>按照新系统区分强制性交款和自愿交款。</w:t>
      </w:r>
      <w:r>
        <w:rPr>
          <w:rStyle w:val="FootnoteReference"/>
          <w:snapToGrid/>
        </w:rPr>
        <w:footnoteReference w:id="112"/>
      </w:r>
      <w:r>
        <w:rPr>
          <w:rFonts w:hint="eastAsia"/>
          <w:snapToGrid/>
        </w:rPr>
        <w:t xml:space="preserve"> </w:t>
      </w:r>
      <w:r>
        <w:rPr>
          <w:rFonts w:hint="eastAsia"/>
          <w:snapToGrid/>
        </w:rPr>
        <w:t>关于强制性交款，法律规定，加入该系统的工作人员必须交纳其应税报酬和收入的</w:t>
      </w:r>
      <w:r>
        <w:rPr>
          <w:snapToGrid/>
        </w:rPr>
        <w:t>10%</w:t>
      </w:r>
      <w:r>
        <w:rPr>
          <w:rFonts w:hint="eastAsia"/>
          <w:snapToGrid/>
        </w:rPr>
        <w:t>，</w:t>
      </w:r>
      <w:r>
        <w:rPr>
          <w:rStyle w:val="FootnoteReference"/>
          <w:bCs/>
          <w:snapToGrid/>
        </w:rPr>
        <w:footnoteReference w:id="113"/>
      </w:r>
      <w:r>
        <w:rPr>
          <w:rFonts w:hint="eastAsia"/>
          <w:snapToGrid/>
        </w:rPr>
        <w:t xml:space="preserve"> </w:t>
      </w:r>
      <w:r>
        <w:rPr>
          <w:rFonts w:hint="eastAsia"/>
          <w:snapToGrid/>
        </w:rPr>
        <w:t>但最高计费收入</w:t>
      </w:r>
      <w:r>
        <w:rPr>
          <w:rStyle w:val="FootnoteReference"/>
          <w:snapToGrid/>
        </w:rPr>
        <w:footnoteReference w:id="114"/>
      </w:r>
      <w:r>
        <w:rPr>
          <w:rFonts w:hint="eastAsia"/>
          <w:snapToGrid/>
        </w:rPr>
        <w:t xml:space="preserve"> </w:t>
      </w:r>
      <w:r>
        <w:rPr>
          <w:rFonts w:hint="eastAsia"/>
          <w:snapToGrid/>
        </w:rPr>
        <w:t>是付费前一月最后一天的</w:t>
      </w:r>
      <w:r>
        <w:rPr>
          <w:snapToGrid/>
        </w:rPr>
        <w:t>60</w:t>
      </w:r>
      <w:r>
        <w:rPr>
          <w:rFonts w:hint="eastAsia"/>
          <w:snapToGrid/>
        </w:rPr>
        <w:t>个调值单位，相当于</w:t>
      </w:r>
      <w:r>
        <w:rPr>
          <w:snapToGrid/>
        </w:rPr>
        <w:t>1,004,647</w:t>
      </w:r>
      <w:r>
        <w:rPr>
          <w:rFonts w:hint="eastAsia"/>
          <w:snapToGrid/>
        </w:rPr>
        <w:t>个比索</w:t>
      </w:r>
      <w:r>
        <w:rPr>
          <w:rFonts w:hint="eastAsia"/>
          <w:snapToGrid/>
        </w:rPr>
        <w:t>(</w:t>
      </w:r>
      <w:r>
        <w:rPr>
          <w:snapToGrid/>
        </w:rPr>
        <w:t>1,431</w:t>
      </w:r>
      <w:r>
        <w:rPr>
          <w:rFonts w:hint="eastAsia"/>
          <w:snapToGrid/>
        </w:rPr>
        <w:t>美元</w:t>
      </w:r>
      <w:r>
        <w:rPr>
          <w:rFonts w:hint="eastAsia"/>
          <w:snapToGrid/>
        </w:rPr>
        <w:t>)</w:t>
      </w:r>
      <w:r>
        <w:rPr>
          <w:rFonts w:hint="eastAsia"/>
          <w:snapToGrid/>
        </w:rPr>
        <w:t>。计算保费的最低基数与旧制度相同。在自愿交款的情况下，职工可以自愿增加保费，最高可达每月</w:t>
      </w:r>
      <w:r>
        <w:rPr>
          <w:snapToGrid/>
        </w:rPr>
        <w:t>50</w:t>
      </w:r>
      <w:r>
        <w:rPr>
          <w:rFonts w:hint="eastAsia"/>
          <w:snapToGrid/>
        </w:rPr>
        <w:t>个调值单位，相当于</w:t>
      </w:r>
      <w:r>
        <w:rPr>
          <w:snapToGrid/>
        </w:rPr>
        <w:t>837</w:t>
      </w:r>
      <w:r>
        <w:rPr>
          <w:snapToGrid/>
        </w:rPr>
        <w:t>,062</w:t>
      </w:r>
      <w:r>
        <w:rPr>
          <w:rFonts w:hint="eastAsia"/>
          <w:snapToGrid/>
        </w:rPr>
        <w:t>个比索</w:t>
      </w:r>
      <w:r>
        <w:rPr>
          <w:rFonts w:hint="eastAsia"/>
          <w:snapToGrid/>
        </w:rPr>
        <w:t>(</w:t>
      </w:r>
      <w:r>
        <w:rPr>
          <w:snapToGrid/>
        </w:rPr>
        <w:t>1,192</w:t>
      </w:r>
      <w:r>
        <w:rPr>
          <w:rFonts w:hint="eastAsia"/>
          <w:snapToGrid/>
        </w:rPr>
        <w:t>美元</w:t>
      </w:r>
      <w:r>
        <w:rPr>
          <w:rFonts w:hint="eastAsia"/>
          <w:snapToGrid/>
        </w:rPr>
        <w:t>)</w:t>
      </w:r>
      <w:r>
        <w:rPr>
          <w:rFonts w:hint="eastAsia"/>
          <w:snapToGrid/>
        </w:rPr>
        <w:t>，即每年</w:t>
      </w:r>
      <w:r>
        <w:rPr>
          <w:snapToGrid/>
        </w:rPr>
        <w:t>600</w:t>
      </w:r>
      <w:r>
        <w:rPr>
          <w:rFonts w:hint="eastAsia"/>
          <w:snapToGrid/>
        </w:rPr>
        <w:t>个调值单位，相当于</w:t>
      </w:r>
      <w:r>
        <w:rPr>
          <w:snapToGrid/>
        </w:rPr>
        <w:t>10,044,75</w:t>
      </w:r>
      <w:r>
        <w:rPr>
          <w:rFonts w:hint="eastAsia"/>
          <w:snapToGrid/>
        </w:rPr>
        <w:t>个比索</w:t>
      </w:r>
      <w:r>
        <w:rPr>
          <w:rFonts w:hint="eastAsia"/>
          <w:snapToGrid/>
        </w:rPr>
        <w:t>(</w:t>
      </w:r>
      <w:r>
        <w:rPr>
          <w:snapToGrid/>
        </w:rPr>
        <w:t>14,309</w:t>
      </w:r>
      <w:r>
        <w:rPr>
          <w:rFonts w:hint="eastAsia"/>
          <w:snapToGrid/>
        </w:rPr>
        <w:t>美元</w:t>
      </w:r>
      <w:r>
        <w:rPr>
          <w:rFonts w:hint="eastAsia"/>
          <w:snapToGrid/>
        </w:rPr>
        <w:t>)</w:t>
      </w:r>
      <w:r>
        <w:rPr>
          <w:rFonts w:hint="eastAsia"/>
          <w:snapToGrid/>
        </w:rPr>
        <w:t>。对于无单位独立工作者，第</w:t>
      </w:r>
      <w:r>
        <w:rPr>
          <w:snapToGrid/>
        </w:rPr>
        <w:t>90</w:t>
      </w:r>
      <w:r>
        <w:rPr>
          <w:rFonts w:hint="eastAsia"/>
          <w:snapToGrid/>
        </w:rPr>
        <w:t>条规定，作为所交保费计算基数的月收入应等同于交费人每月向所属养恤金管理公司报告的数额，但不得低于最低工资额，同时也不得超过</w:t>
      </w:r>
      <w:r>
        <w:rPr>
          <w:snapToGrid/>
        </w:rPr>
        <w:t>60</w:t>
      </w:r>
      <w:r>
        <w:rPr>
          <w:rFonts w:hint="eastAsia"/>
          <w:snapToGrid/>
        </w:rPr>
        <w:t>个调值单位，相当于</w:t>
      </w:r>
      <w:r>
        <w:rPr>
          <w:snapToGrid/>
        </w:rPr>
        <w:t>1,004,647</w:t>
      </w:r>
      <w:r>
        <w:rPr>
          <w:rFonts w:hint="eastAsia"/>
          <w:snapToGrid/>
        </w:rPr>
        <w:t>个比索</w:t>
      </w:r>
      <w:r>
        <w:rPr>
          <w:rFonts w:hint="eastAsia"/>
          <w:snapToGrid/>
        </w:rPr>
        <w:t>(</w:t>
      </w:r>
      <w:r>
        <w:rPr>
          <w:snapToGrid/>
        </w:rPr>
        <w:t>1,431</w:t>
      </w:r>
      <w:r>
        <w:rPr>
          <w:rFonts w:hint="eastAsia"/>
          <w:snapToGrid/>
        </w:rPr>
        <w:t>美元</w:t>
      </w:r>
      <w:r>
        <w:rPr>
          <w:rFonts w:hint="eastAsia"/>
          <w:snapToGrid/>
        </w:rPr>
        <w:t>)</w:t>
      </w:r>
      <w:r>
        <w:rPr>
          <w:rFonts w:hint="eastAsia"/>
          <w:snapToGrid/>
        </w:rPr>
        <w:t>。</w:t>
      </w:r>
    </w:p>
    <w:p w:rsidR="00000000" w:rsidRDefault="009C1C61">
      <w:pPr>
        <w:rPr>
          <w:rFonts w:hint="eastAsia"/>
          <w:snapToGrid/>
          <w:color w:val="000000"/>
          <w:szCs w:val="24"/>
        </w:rPr>
      </w:pPr>
      <w:r>
        <w:rPr>
          <w:rFonts w:hint="eastAsia"/>
          <w:snapToGrid/>
        </w:rPr>
        <w:tab/>
      </w:r>
      <w:r>
        <w:rPr>
          <w:snapToGrid/>
        </w:rPr>
        <w:t>309.</w:t>
      </w:r>
      <w:r>
        <w:rPr>
          <w:rFonts w:hint="eastAsia"/>
          <w:snapToGrid/>
        </w:rPr>
        <w:t xml:space="preserve">  </w:t>
      </w:r>
      <w:r>
        <w:rPr>
          <w:rFonts w:hint="eastAsia"/>
          <w:snapToGrid/>
        </w:rPr>
        <w:t>旧系统最高的养恤金数额</w:t>
      </w:r>
      <w:r>
        <w:rPr>
          <w:snapToGrid/>
        </w:rPr>
        <w:t>1999</w:t>
      </w:r>
      <w:r>
        <w:rPr>
          <w:rFonts w:hint="eastAsia"/>
          <w:snapToGrid/>
        </w:rPr>
        <w:t>年</w:t>
      </w:r>
      <w:r>
        <w:rPr>
          <w:snapToGrid/>
        </w:rPr>
        <w:t>12</w:t>
      </w:r>
      <w:r>
        <w:rPr>
          <w:rFonts w:hint="eastAsia"/>
          <w:snapToGrid/>
        </w:rPr>
        <w:t>月</w:t>
      </w:r>
      <w:r>
        <w:rPr>
          <w:snapToGrid/>
        </w:rPr>
        <w:t>1</w:t>
      </w:r>
      <w:r>
        <w:rPr>
          <w:rFonts w:hint="eastAsia"/>
          <w:snapToGrid/>
        </w:rPr>
        <w:t>日为</w:t>
      </w:r>
      <w:r>
        <w:rPr>
          <w:snapToGrid/>
        </w:rPr>
        <w:t>688,786</w:t>
      </w:r>
      <w:r>
        <w:rPr>
          <w:rFonts w:hint="eastAsia"/>
          <w:snapToGrid/>
        </w:rPr>
        <w:t>比索</w:t>
      </w:r>
      <w:r>
        <w:rPr>
          <w:rFonts w:hint="eastAsia"/>
          <w:snapToGrid/>
        </w:rPr>
        <w:t>(</w:t>
      </w:r>
      <w:r>
        <w:rPr>
          <w:snapToGrid/>
        </w:rPr>
        <w:t>1,279</w:t>
      </w:r>
      <w:r>
        <w:rPr>
          <w:rFonts w:hint="eastAsia"/>
          <w:snapToGrid/>
        </w:rPr>
        <w:t>美元</w:t>
      </w:r>
      <w:r>
        <w:rPr>
          <w:rFonts w:hint="eastAsia"/>
          <w:snapToGrid/>
        </w:rPr>
        <w:t>)</w:t>
      </w:r>
      <w:r>
        <w:rPr>
          <w:rFonts w:hint="eastAsia"/>
          <w:snapToGrid/>
        </w:rPr>
        <w:t>。自</w:t>
      </w:r>
      <w:r>
        <w:rPr>
          <w:snapToGrid/>
        </w:rPr>
        <w:t>2001</w:t>
      </w:r>
      <w:r>
        <w:rPr>
          <w:rFonts w:hint="eastAsia"/>
          <w:snapToGrid/>
        </w:rPr>
        <w:t>年</w:t>
      </w:r>
      <w:r>
        <w:rPr>
          <w:snapToGrid/>
        </w:rPr>
        <w:t>12</w:t>
      </w:r>
      <w:r>
        <w:rPr>
          <w:rFonts w:hint="eastAsia"/>
          <w:snapToGrid/>
        </w:rPr>
        <w:t>月起，</w:t>
      </w:r>
      <w:r>
        <w:rPr>
          <w:snapToGrid/>
        </w:rPr>
        <w:t>70</w:t>
      </w:r>
      <w:r>
        <w:rPr>
          <w:rFonts w:hint="eastAsia"/>
          <w:snapToGrid/>
        </w:rPr>
        <w:t>岁以下的养恤金领取人收到的最低养恤金数额为</w:t>
      </w:r>
      <w:r>
        <w:rPr>
          <w:snapToGrid/>
        </w:rPr>
        <w:t>72,361.62</w:t>
      </w:r>
      <w:r>
        <w:rPr>
          <w:rFonts w:hint="eastAsia"/>
          <w:snapToGrid/>
        </w:rPr>
        <w:t>比</w:t>
      </w:r>
      <w:r>
        <w:rPr>
          <w:rFonts w:hint="eastAsia"/>
          <w:snapToGrid/>
        </w:rPr>
        <w:t>索</w:t>
      </w:r>
      <w:r>
        <w:rPr>
          <w:rFonts w:hint="eastAsia"/>
          <w:snapToGrid/>
        </w:rPr>
        <w:t>(</w:t>
      </w:r>
      <w:r>
        <w:rPr>
          <w:snapToGrid/>
        </w:rPr>
        <w:t>108</w:t>
      </w:r>
      <w:r>
        <w:rPr>
          <w:rFonts w:hint="eastAsia"/>
          <w:snapToGrid/>
        </w:rPr>
        <w:t>美元</w:t>
      </w:r>
      <w:r>
        <w:rPr>
          <w:rFonts w:hint="eastAsia"/>
          <w:snapToGrid/>
        </w:rPr>
        <w:t>)</w:t>
      </w:r>
      <w:r>
        <w:rPr>
          <w:rFonts w:hint="eastAsia"/>
          <w:snapToGrid/>
        </w:rPr>
        <w:t>，而</w:t>
      </w:r>
      <w:r>
        <w:rPr>
          <w:snapToGrid/>
        </w:rPr>
        <w:t>70</w:t>
      </w:r>
      <w:r>
        <w:rPr>
          <w:rFonts w:hint="eastAsia"/>
          <w:snapToGrid/>
        </w:rPr>
        <w:t>岁以上的养恤金领取人在同一日期的最低养恤金数额为</w:t>
      </w:r>
      <w:r>
        <w:rPr>
          <w:snapToGrid/>
        </w:rPr>
        <w:t>79,121.84</w:t>
      </w:r>
      <w:r>
        <w:rPr>
          <w:rFonts w:hint="eastAsia"/>
          <w:snapToGrid/>
        </w:rPr>
        <w:t>比索</w:t>
      </w:r>
      <w:r>
        <w:rPr>
          <w:rFonts w:hint="eastAsia"/>
          <w:snapToGrid/>
        </w:rPr>
        <w:t>(</w:t>
      </w:r>
      <w:r>
        <w:rPr>
          <w:snapToGrid/>
        </w:rPr>
        <w:t>118</w:t>
      </w:r>
      <w:r>
        <w:rPr>
          <w:rFonts w:hint="eastAsia"/>
          <w:snapToGrid/>
        </w:rPr>
        <w:t>美元</w:t>
      </w:r>
      <w:r>
        <w:rPr>
          <w:rFonts w:hint="eastAsia"/>
          <w:snapToGrid/>
        </w:rPr>
        <w:t>)</w:t>
      </w:r>
      <w:r>
        <w:rPr>
          <w:rFonts w:hint="eastAsia"/>
          <w:snapToGrid/>
        </w:rPr>
        <w:t>。</w:t>
      </w:r>
    </w:p>
    <w:p w:rsidR="00000000" w:rsidRDefault="009C1C61">
      <w:pPr>
        <w:rPr>
          <w:rFonts w:hint="eastAsia"/>
          <w:snapToGrid/>
          <w:color w:val="000000"/>
          <w:szCs w:val="24"/>
        </w:rPr>
      </w:pPr>
      <w:r>
        <w:rPr>
          <w:rFonts w:hint="eastAsia"/>
          <w:snapToGrid/>
        </w:rPr>
        <w:tab/>
      </w:r>
      <w:r>
        <w:rPr>
          <w:snapToGrid/>
        </w:rPr>
        <w:t>310.</w:t>
      </w:r>
      <w:r>
        <w:rPr>
          <w:rFonts w:hint="eastAsia"/>
          <w:snapToGrid/>
        </w:rPr>
        <w:t xml:space="preserve">  </w:t>
      </w:r>
      <w:r>
        <w:rPr>
          <w:snapToGrid/>
        </w:rPr>
        <w:t>1989</w:t>
      </w:r>
      <w:r>
        <w:rPr>
          <w:rFonts w:hint="eastAsia"/>
          <w:snapToGrid/>
        </w:rPr>
        <w:t>年和</w:t>
      </w:r>
      <w:r>
        <w:rPr>
          <w:snapToGrid/>
        </w:rPr>
        <w:t>1999</w:t>
      </w:r>
      <w:r>
        <w:rPr>
          <w:rFonts w:hint="eastAsia"/>
          <w:snapToGrid/>
        </w:rPr>
        <w:t>年之间，按照旧的公共保险制度，养恤基金所偿付的每月平均养恤金数额增加了</w:t>
      </w:r>
      <w:r>
        <w:rPr>
          <w:snapToGrid/>
        </w:rPr>
        <w:t>40.4%</w:t>
      </w:r>
      <w:r>
        <w:rPr>
          <w:rFonts w:hint="eastAsia"/>
          <w:snapToGrid/>
        </w:rPr>
        <w:t>。</w:t>
      </w:r>
      <w:r>
        <w:rPr>
          <w:snapToGrid/>
        </w:rPr>
        <w:t>1990</w:t>
      </w:r>
      <w:r>
        <w:rPr>
          <w:rFonts w:hint="eastAsia"/>
          <w:snapToGrid/>
        </w:rPr>
        <w:t>年，每月平均偿付</w:t>
      </w:r>
      <w:r>
        <w:rPr>
          <w:snapToGrid/>
        </w:rPr>
        <w:t>100</w:t>
      </w:r>
      <w:r>
        <w:rPr>
          <w:rFonts w:hint="eastAsia"/>
          <w:snapToGrid/>
        </w:rPr>
        <w:t>万份养恤金，其月平均金额达</w:t>
      </w:r>
      <w:r>
        <w:rPr>
          <w:snapToGrid/>
        </w:rPr>
        <w:t>86,500</w:t>
      </w:r>
      <w:r>
        <w:rPr>
          <w:rFonts w:hint="eastAsia"/>
          <w:snapToGrid/>
        </w:rPr>
        <w:t>比索</w:t>
      </w:r>
      <w:r>
        <w:rPr>
          <w:rFonts w:hint="eastAsia"/>
          <w:snapToGrid/>
        </w:rPr>
        <w:t>(</w:t>
      </w:r>
      <w:r>
        <w:rPr>
          <w:snapToGrid/>
        </w:rPr>
        <w:t>283</w:t>
      </w:r>
      <w:r>
        <w:rPr>
          <w:rFonts w:hint="eastAsia"/>
          <w:snapToGrid/>
        </w:rPr>
        <w:t>美元</w:t>
      </w:r>
      <w:r>
        <w:rPr>
          <w:rFonts w:hint="eastAsia"/>
          <w:snapToGrid/>
        </w:rPr>
        <w:t>)</w:t>
      </w:r>
      <w:r>
        <w:rPr>
          <w:rFonts w:hint="eastAsia"/>
          <w:snapToGrid/>
        </w:rPr>
        <w:t>。</w:t>
      </w:r>
      <w:r>
        <w:rPr>
          <w:snapToGrid/>
        </w:rPr>
        <w:t>1999</w:t>
      </w:r>
      <w:r>
        <w:rPr>
          <w:rFonts w:hint="eastAsia"/>
          <w:snapToGrid/>
        </w:rPr>
        <w:t>年，每月平均偿付</w:t>
      </w:r>
      <w:r>
        <w:rPr>
          <w:snapToGrid/>
        </w:rPr>
        <w:t>990,000</w:t>
      </w:r>
      <w:r>
        <w:rPr>
          <w:rFonts w:hint="eastAsia"/>
          <w:snapToGrid/>
        </w:rPr>
        <w:t>份养恤金</w:t>
      </w:r>
      <w:r>
        <w:rPr>
          <w:snapToGrid/>
        </w:rPr>
        <w:t>，</w:t>
      </w:r>
      <w:r>
        <w:rPr>
          <w:rFonts w:hint="eastAsia"/>
          <w:snapToGrid/>
        </w:rPr>
        <w:t>从</w:t>
      </w:r>
      <w:r>
        <w:rPr>
          <w:snapToGrid/>
        </w:rPr>
        <w:t>1999</w:t>
      </w:r>
      <w:r>
        <w:rPr>
          <w:rFonts w:hint="eastAsia"/>
          <w:snapToGrid/>
        </w:rPr>
        <w:t>年</w:t>
      </w:r>
      <w:r>
        <w:rPr>
          <w:snapToGrid/>
        </w:rPr>
        <w:t>12</w:t>
      </w:r>
      <w:r>
        <w:rPr>
          <w:rFonts w:hint="eastAsia"/>
          <w:snapToGrid/>
        </w:rPr>
        <w:t>月起，其月平均金额达</w:t>
      </w:r>
      <w:r>
        <w:rPr>
          <w:snapToGrid/>
        </w:rPr>
        <w:t>122,000</w:t>
      </w:r>
      <w:r>
        <w:rPr>
          <w:rFonts w:hint="eastAsia"/>
          <w:snapToGrid/>
        </w:rPr>
        <w:t>比索</w:t>
      </w:r>
      <w:r>
        <w:rPr>
          <w:rFonts w:hint="eastAsia"/>
          <w:snapToGrid/>
        </w:rPr>
        <w:t>(</w:t>
      </w:r>
      <w:r>
        <w:rPr>
          <w:snapToGrid/>
        </w:rPr>
        <w:t>239</w:t>
      </w:r>
      <w:r>
        <w:rPr>
          <w:rFonts w:hint="eastAsia"/>
          <w:snapToGrid/>
        </w:rPr>
        <w:t>美元</w:t>
      </w:r>
      <w:r>
        <w:rPr>
          <w:rFonts w:hint="eastAsia"/>
          <w:snapToGrid/>
        </w:rPr>
        <w:t>)</w:t>
      </w:r>
      <w:r>
        <w:rPr>
          <w:rFonts w:hint="eastAsia"/>
          <w:snapToGrid/>
        </w:rPr>
        <w:t>。</w:t>
      </w:r>
      <w:r>
        <w:rPr>
          <w:rStyle w:val="FootnoteReference"/>
          <w:bCs/>
          <w:snapToGrid/>
        </w:rPr>
        <w:footnoteReference w:id="115"/>
      </w:r>
    </w:p>
    <w:p w:rsidR="00000000" w:rsidRDefault="009C1C61">
      <w:pPr>
        <w:rPr>
          <w:rFonts w:hint="eastAsia"/>
          <w:snapToGrid/>
          <w:color w:val="000000"/>
          <w:szCs w:val="24"/>
        </w:rPr>
      </w:pPr>
      <w:r>
        <w:rPr>
          <w:rFonts w:hint="eastAsia"/>
          <w:snapToGrid/>
        </w:rPr>
        <w:tab/>
      </w:r>
      <w:r>
        <w:rPr>
          <w:snapToGrid/>
        </w:rPr>
        <w:t>311.</w:t>
      </w:r>
      <w:r>
        <w:rPr>
          <w:rFonts w:hint="eastAsia"/>
          <w:snapToGrid/>
        </w:rPr>
        <w:t xml:space="preserve">  </w:t>
      </w:r>
      <w:r>
        <w:rPr>
          <w:rFonts w:hint="eastAsia"/>
          <w:snapToGrid/>
        </w:rPr>
        <w:t>新的养恤金系统无法事先确定可能提供的福利的最高额，其理由如下</w:t>
      </w:r>
      <w:r>
        <w:rPr>
          <w:rFonts w:hint="eastAsia"/>
          <w:snapToGrid/>
        </w:rPr>
        <w:t>：这一系统是以个人出资的原则为基础的、它只是一种行政系统，要求负责管理基金的人员务必保证养恤金获利、也因为使用养恤金的人士有权通过投保终身年金保险取得养恤金，或者根据带有递延终身年金或设定计划的退休年金来取得养恤金。</w:t>
      </w:r>
      <w:r>
        <w:rPr>
          <w:rStyle w:val="FootnoteReference"/>
          <w:bCs/>
          <w:snapToGrid/>
        </w:rPr>
        <w:footnoteReference w:id="116"/>
      </w:r>
    </w:p>
    <w:p w:rsidR="00000000" w:rsidRDefault="009C1C61">
      <w:pPr>
        <w:rPr>
          <w:rFonts w:hint="eastAsia"/>
          <w:snapToGrid/>
          <w:color w:val="000000"/>
          <w:spacing w:val="6"/>
          <w:szCs w:val="24"/>
        </w:rPr>
      </w:pPr>
      <w:r>
        <w:rPr>
          <w:rFonts w:hint="eastAsia"/>
          <w:snapToGrid/>
          <w:spacing w:val="6"/>
        </w:rPr>
        <w:tab/>
      </w:r>
      <w:r>
        <w:rPr>
          <w:snapToGrid/>
          <w:spacing w:val="6"/>
        </w:rPr>
        <w:t>312.</w:t>
      </w:r>
      <w:r>
        <w:rPr>
          <w:rFonts w:hint="eastAsia"/>
          <w:snapToGrid/>
          <w:spacing w:val="6"/>
        </w:rPr>
        <w:t xml:space="preserve">  </w:t>
      </w:r>
      <w:r>
        <w:rPr>
          <w:rFonts w:hint="eastAsia"/>
          <w:snapToGrid/>
          <w:spacing w:val="6"/>
        </w:rPr>
        <w:t>最后，根据法律，对于那些加入新系统，同时已经用尽资金、但又符合工作年数和交款年数等所有法定要求的</w:t>
      </w:r>
      <w:r>
        <w:rPr>
          <w:rStyle w:val="FootnoteReference"/>
          <w:bCs/>
          <w:snapToGrid/>
          <w:spacing w:val="6"/>
        </w:rPr>
        <w:footnoteReference w:id="117"/>
      </w:r>
      <w:r>
        <w:rPr>
          <w:rFonts w:hint="eastAsia"/>
          <w:snapToGrid/>
          <w:spacing w:val="6"/>
        </w:rPr>
        <w:t>人，国家必须保障他们领到最低老年养恤金。</w:t>
      </w:r>
    </w:p>
    <w:p w:rsidR="00000000" w:rsidRDefault="009C1C61">
      <w:pPr>
        <w:spacing w:after="320"/>
        <w:rPr>
          <w:snapToGrid/>
        </w:rPr>
      </w:pPr>
      <w:r>
        <w:rPr>
          <w:rFonts w:hint="eastAsia"/>
          <w:snapToGrid/>
        </w:rPr>
        <w:tab/>
      </w:r>
      <w:r>
        <w:rPr>
          <w:snapToGrid/>
        </w:rPr>
        <w:t>313.</w:t>
      </w:r>
      <w:r>
        <w:rPr>
          <w:rFonts w:hint="eastAsia"/>
          <w:snapToGrid/>
        </w:rPr>
        <w:t xml:space="preserve">  </w:t>
      </w:r>
      <w:r>
        <w:rPr>
          <w:rFonts w:hint="eastAsia"/>
          <w:snapToGrid/>
        </w:rPr>
        <w:t>在上述十年内，私营系统投保人的比例继续增加，从</w:t>
      </w:r>
      <w:r>
        <w:rPr>
          <w:snapToGrid/>
        </w:rPr>
        <w:t>1990</w:t>
      </w:r>
      <w:r>
        <w:rPr>
          <w:rFonts w:hint="eastAsia"/>
          <w:snapToGrid/>
        </w:rPr>
        <w:t>年的</w:t>
      </w:r>
      <w:r>
        <w:rPr>
          <w:snapToGrid/>
        </w:rPr>
        <w:t>87.8%</w:t>
      </w:r>
      <w:r>
        <w:rPr>
          <w:rFonts w:hint="eastAsia"/>
          <w:snapToGrid/>
        </w:rPr>
        <w:t>上升到</w:t>
      </w:r>
      <w:r>
        <w:rPr>
          <w:snapToGrid/>
        </w:rPr>
        <w:t>1999</w:t>
      </w:r>
      <w:r>
        <w:rPr>
          <w:rFonts w:hint="eastAsia"/>
          <w:snapToGrid/>
        </w:rPr>
        <w:t>年的</w:t>
      </w:r>
      <w:r>
        <w:rPr>
          <w:snapToGrid/>
        </w:rPr>
        <w:t>91.3%</w:t>
      </w:r>
      <w:r>
        <w:rPr>
          <w:rFonts w:hint="eastAsia"/>
          <w:snapToGrid/>
        </w:rPr>
        <w:t>。至于该系统的福利范围，</w:t>
      </w:r>
      <w:r>
        <w:rPr>
          <w:snapToGrid/>
        </w:rPr>
        <w:t>19</w:t>
      </w:r>
      <w:r>
        <w:rPr>
          <w:snapToGrid/>
        </w:rPr>
        <w:t>90</w:t>
      </w:r>
      <w:r>
        <w:rPr>
          <w:rFonts w:hint="eastAsia"/>
          <w:snapToGrid/>
        </w:rPr>
        <w:t>年至</w:t>
      </w:r>
      <w:r>
        <w:rPr>
          <w:snapToGrid/>
        </w:rPr>
        <w:t>1999</w:t>
      </w:r>
      <w:r>
        <w:rPr>
          <w:rFonts w:hint="eastAsia"/>
          <w:snapToGrid/>
        </w:rPr>
        <w:t>年期间，投保人占全部就业人士的比例从</w:t>
      </w:r>
      <w:r>
        <w:rPr>
          <w:snapToGrid/>
        </w:rPr>
        <w:t>58.7%</w:t>
      </w:r>
      <w:r>
        <w:rPr>
          <w:rFonts w:hint="eastAsia"/>
          <w:snapToGrid/>
        </w:rPr>
        <w:t>上升到</w:t>
      </w:r>
      <w:r>
        <w:rPr>
          <w:snapToGrid/>
        </w:rPr>
        <w:t>64.8%</w:t>
      </w:r>
      <w:r>
        <w:rPr>
          <w:rFonts w:hint="eastAsia"/>
          <w:snapToGrid/>
        </w:rPr>
        <w:t>，而投保人占全部劳动力的比例则从</w:t>
      </w:r>
      <w:r>
        <w:rPr>
          <w:snapToGrid/>
        </w:rPr>
        <w:t>54.4%</w:t>
      </w:r>
      <w:r>
        <w:rPr>
          <w:rFonts w:hint="eastAsia"/>
          <w:snapToGrid/>
        </w:rPr>
        <w:t>上升到</w:t>
      </w:r>
      <w:r>
        <w:rPr>
          <w:snapToGrid/>
        </w:rPr>
        <w:t>59.1%</w:t>
      </w:r>
      <w:r>
        <w:rPr>
          <w:rFonts w:hint="eastAsia"/>
          <w:snapToGrid/>
        </w:rPr>
        <w:t>。截至</w:t>
      </w:r>
      <w:r>
        <w:rPr>
          <w:snapToGrid/>
        </w:rPr>
        <w:t>1999</w:t>
      </w:r>
      <w:r>
        <w:rPr>
          <w:rFonts w:hint="eastAsia"/>
          <w:snapToGrid/>
        </w:rPr>
        <w:t>年，全国共有</w:t>
      </w:r>
      <w:r>
        <w:rPr>
          <w:snapToGrid/>
        </w:rPr>
        <w:t>350</w:t>
      </w:r>
      <w:r>
        <w:rPr>
          <w:rFonts w:hint="eastAsia"/>
          <w:snapToGrid/>
        </w:rPr>
        <w:t>万养恤金投保人。</w:t>
      </w:r>
      <w:r>
        <w:rPr>
          <w:rStyle w:val="FootnoteReference"/>
          <w:bCs/>
          <w:snapToGrid/>
        </w:rPr>
        <w:footnoteReference w:id="118"/>
      </w:r>
    </w:p>
    <w:p w:rsidR="00000000" w:rsidRDefault="009C1C61">
      <w:pPr>
        <w:widowControl w:val="0"/>
        <w:overflowPunct/>
        <w:autoSpaceDE w:val="0"/>
        <w:autoSpaceDN w:val="0"/>
        <w:snapToGrid/>
        <w:spacing w:after="320"/>
        <w:jc w:val="left"/>
        <w:rPr>
          <w:rFonts w:hint="eastAsia"/>
          <w:snapToGrid/>
          <w:color w:val="000000"/>
          <w:szCs w:val="24"/>
        </w:rPr>
      </w:pPr>
      <w:r>
        <w:rPr>
          <w:rFonts w:ascii="Time New Roman" w:eastAsia="SimHei" w:hAnsi="Time New Roman" w:hint="eastAsia"/>
          <w:snapToGrid/>
          <w:color w:val="000000"/>
          <w:szCs w:val="24"/>
        </w:rPr>
        <w:t>新旧养恤金系统所提供的残疾人养恤金情况</w:t>
      </w:r>
    </w:p>
    <w:p w:rsidR="00000000" w:rsidRDefault="009C1C61">
      <w:pPr>
        <w:rPr>
          <w:rFonts w:hint="eastAsia"/>
          <w:snapToGrid/>
          <w:color w:val="000000"/>
          <w:szCs w:val="24"/>
        </w:rPr>
      </w:pPr>
      <w:r>
        <w:rPr>
          <w:rFonts w:hint="eastAsia"/>
          <w:snapToGrid/>
        </w:rPr>
        <w:tab/>
      </w:r>
      <w:r>
        <w:rPr>
          <w:snapToGrid/>
        </w:rPr>
        <w:t>314.</w:t>
      </w:r>
      <w:r>
        <w:rPr>
          <w:rFonts w:hint="eastAsia"/>
          <w:snapToGrid/>
        </w:rPr>
        <w:t xml:space="preserve">  </w:t>
      </w:r>
      <w:r>
        <w:rPr>
          <w:rFonts w:hint="eastAsia"/>
          <w:snapToGrid/>
        </w:rPr>
        <w:t>首先应当说明，上文所述关于存在两种老年养恤金系统的情况完全适用于残疾人所得的福利。作为确定养恤金的残疾程度之标准也依各种制度的不同而有所区别。</w:t>
      </w:r>
    </w:p>
    <w:p w:rsidR="00000000" w:rsidRDefault="009C1C61">
      <w:pPr>
        <w:rPr>
          <w:rFonts w:hint="eastAsia"/>
          <w:snapToGrid/>
          <w:color w:val="000000"/>
        </w:rPr>
      </w:pPr>
      <w:r>
        <w:rPr>
          <w:rFonts w:hint="eastAsia"/>
          <w:snapToGrid/>
        </w:rPr>
        <w:tab/>
      </w:r>
      <w:r>
        <w:rPr>
          <w:snapToGrid/>
        </w:rPr>
        <w:t>315.</w:t>
      </w:r>
      <w:r>
        <w:rPr>
          <w:rFonts w:hint="eastAsia"/>
          <w:snapToGrid/>
        </w:rPr>
        <w:t xml:space="preserve">  </w:t>
      </w:r>
      <w:r>
        <w:rPr>
          <w:rFonts w:hint="eastAsia"/>
          <w:snapToGrid/>
        </w:rPr>
        <w:t>按照旧系统规定，</w:t>
      </w:r>
      <w:r>
        <w:rPr>
          <w:rStyle w:val="FootnoteReference"/>
          <w:bCs/>
          <w:snapToGrid/>
        </w:rPr>
        <w:footnoteReference w:id="119"/>
      </w:r>
      <w:r>
        <w:rPr>
          <w:rFonts w:hint="eastAsia"/>
          <w:snapToGrid/>
        </w:rPr>
        <w:t xml:space="preserve"> </w:t>
      </w:r>
      <w:r>
        <w:rPr>
          <w:rFonts w:hint="eastAsia"/>
          <w:snapToGrid/>
        </w:rPr>
        <w:t>残疾的概念一般地说包括丧失从事专业活动的能力，或更具体地说，指丧失从事事故发生时所从事的工作</w:t>
      </w:r>
      <w:r>
        <w:rPr>
          <w:rFonts w:hint="eastAsia"/>
          <w:snapToGrid/>
        </w:rPr>
        <w:t>的能力，或丧失一定程度的营生能力。在这一制度下，对于工人和体力劳动者，必须明确区分完全残疾与部分残疾。完全残疾系指受保人无法通过其工作取得健康工人在相同工作条件和地点所得正常工资的</w:t>
      </w:r>
      <w:r>
        <w:rPr>
          <w:snapToGrid/>
        </w:rPr>
        <w:t>30%</w:t>
      </w:r>
      <w:r>
        <w:rPr>
          <w:rFonts w:hint="eastAsia"/>
          <w:snapToGrid/>
        </w:rPr>
        <w:t>以上。部分残疾系指丧失工作能力后，受保人任可赚取上述正常工资的</w:t>
      </w:r>
      <w:r>
        <w:rPr>
          <w:snapToGrid/>
        </w:rPr>
        <w:t>30%</w:t>
      </w:r>
      <w:r>
        <w:rPr>
          <w:rFonts w:hint="eastAsia"/>
          <w:snapToGrid/>
        </w:rPr>
        <w:t>以上，但必须</w:t>
      </w:r>
      <w:r>
        <w:rPr>
          <w:snapToGrid/>
        </w:rPr>
        <w:t>60%</w:t>
      </w:r>
      <w:r>
        <w:rPr>
          <w:rFonts w:hint="eastAsia"/>
          <w:snapToGrid/>
        </w:rPr>
        <w:t>，不过有一个前提，就是丧失能力的起因是由于神经系统</w:t>
      </w:r>
      <w:r>
        <w:rPr>
          <w:rFonts w:hint="eastAsia"/>
          <w:snapToGrid/>
        </w:rPr>
        <w:t>(</w:t>
      </w:r>
      <w:r>
        <w:rPr>
          <w:rFonts w:hint="eastAsia"/>
          <w:snapToGrid/>
        </w:rPr>
        <w:t>包括感管</w:t>
      </w:r>
      <w:r>
        <w:rPr>
          <w:rFonts w:hint="eastAsia"/>
          <w:snapToGrid/>
        </w:rPr>
        <w:t>)</w:t>
      </w:r>
      <w:r>
        <w:rPr>
          <w:rFonts w:hint="eastAsia"/>
          <w:snapToGrid/>
        </w:rPr>
        <w:t>的紊乱、或血循环、支气管</w:t>
      </w:r>
      <w:r>
        <w:rPr>
          <w:snapToGrid/>
        </w:rPr>
        <w:t>-</w:t>
      </w:r>
      <w:r>
        <w:rPr>
          <w:rFonts w:hint="eastAsia"/>
          <w:snapToGrid/>
        </w:rPr>
        <w:t>肺功能紊乱，或肌骨心系统的紊乱。赚取工资的受保人如果由于疾病或失去身心能力而丧失至少</w:t>
      </w:r>
      <w:r>
        <w:rPr>
          <w:snapToGrid/>
        </w:rPr>
        <w:t>2/3</w:t>
      </w:r>
      <w:r>
        <w:rPr>
          <w:rFonts w:hint="eastAsia"/>
          <w:snapToGrid/>
        </w:rPr>
        <w:t>的工作能力，则被认为属于残疾。可以明确或暂时发放养恤金。对于因</w:t>
      </w:r>
      <w:r>
        <w:rPr>
          <w:rFonts w:hint="eastAsia"/>
          <w:snapToGrid/>
        </w:rPr>
        <w:t>病而完全、明确丧失从事任何工作能力的人，应明确发放养恤金。</w:t>
      </w:r>
    </w:p>
    <w:p w:rsidR="00000000" w:rsidRDefault="009C1C61">
      <w:pPr>
        <w:rPr>
          <w:rStyle w:val="FootnoteReference"/>
          <w:rFonts w:hint="eastAsia"/>
          <w:bCs/>
          <w:spacing w:val="4"/>
        </w:rPr>
      </w:pPr>
      <w:r>
        <w:rPr>
          <w:rFonts w:hint="eastAsia"/>
          <w:snapToGrid/>
          <w:spacing w:val="4"/>
        </w:rPr>
        <w:tab/>
        <w:t xml:space="preserve">316.  </w:t>
      </w:r>
      <w:r>
        <w:rPr>
          <w:rFonts w:hint="eastAsia"/>
          <w:snapToGrid/>
          <w:spacing w:val="4"/>
        </w:rPr>
        <w:t>按照新系统规定，</w:t>
      </w:r>
      <w:r>
        <w:rPr>
          <w:rStyle w:val="FootnoteReference"/>
          <w:bCs/>
          <w:snapToGrid/>
          <w:spacing w:val="4"/>
        </w:rPr>
        <w:footnoteReference w:id="120"/>
      </w:r>
      <w:r>
        <w:rPr>
          <w:rFonts w:hint="eastAsia"/>
          <w:snapToGrid/>
          <w:spacing w:val="4"/>
        </w:rPr>
        <w:t xml:space="preserve"> </w:t>
      </w:r>
      <w:r>
        <w:rPr>
          <w:rFonts w:hint="eastAsia"/>
          <w:snapToGrid/>
          <w:spacing w:val="4"/>
        </w:rPr>
        <w:t>即使投保人并不符合领取老年养恤金的要求，但是由于疾病或失去身心能力而永久丧失其工作能力的三分之二以上，则仍然有权领取全额残疾养恤金。根据同一规定，对于丧失其工作能力的</w:t>
      </w:r>
      <w:r>
        <w:rPr>
          <w:rFonts w:hint="eastAsia"/>
          <w:snapToGrid/>
          <w:spacing w:val="4"/>
        </w:rPr>
        <w:t>50%</w:t>
      </w:r>
      <w:r>
        <w:rPr>
          <w:rFonts w:hint="eastAsia"/>
          <w:snapToGrid/>
          <w:spacing w:val="4"/>
        </w:rPr>
        <w:t>以上、但少于三分之二的投保人，可以部分发放残疾养恤金。该规定还提出，投保人的身体状况必须由每一区域的三名外科医师组成的委员会来确定，而该委员会的医师由养恤基金管理公司的总监任命。</w:t>
      </w:r>
      <w:r>
        <w:rPr>
          <w:rStyle w:val="FootnoteReference"/>
          <w:bCs/>
          <w:snapToGrid/>
          <w:spacing w:val="4"/>
        </w:rPr>
        <w:footnoteReference w:id="121"/>
      </w:r>
    </w:p>
    <w:p w:rsidR="00000000" w:rsidRDefault="009C1C61">
      <w:pPr>
        <w:rPr>
          <w:rFonts w:hint="eastAsia"/>
          <w:snapToGrid/>
        </w:rPr>
      </w:pPr>
      <w:r>
        <w:rPr>
          <w:rFonts w:hint="eastAsia"/>
          <w:snapToGrid/>
        </w:rPr>
        <w:tab/>
        <w:t xml:space="preserve">317.  </w:t>
      </w:r>
      <w:r>
        <w:rPr>
          <w:rFonts w:hint="eastAsia"/>
          <w:snapToGrid/>
        </w:rPr>
        <w:t>按照旧系统规定，根据原来的社会保险服务署的规定，</w:t>
      </w:r>
      <w:r>
        <w:rPr>
          <w:rStyle w:val="FootnoteReference"/>
          <w:bCs/>
          <w:snapToGrid/>
        </w:rPr>
        <w:footnoteReference w:id="122"/>
      </w:r>
      <w:r>
        <w:rPr>
          <w:rFonts w:hint="eastAsia"/>
          <w:snapToGrid/>
        </w:rPr>
        <w:t xml:space="preserve"> </w:t>
      </w:r>
      <w:r>
        <w:rPr>
          <w:rFonts w:hint="eastAsia"/>
          <w:snapToGrid/>
        </w:rPr>
        <w:t>交款必须达到</w:t>
      </w:r>
      <w:r>
        <w:rPr>
          <w:rFonts w:hint="eastAsia"/>
          <w:snapToGrid/>
        </w:rPr>
        <w:t>50</w:t>
      </w:r>
      <w:r>
        <w:rPr>
          <w:rFonts w:hint="eastAsia"/>
          <w:snapToGrid/>
        </w:rPr>
        <w:t>周，但还须同时达到交款密度的要求，而如果不受这些要求的限制，则必须交款</w:t>
      </w:r>
      <w:r>
        <w:rPr>
          <w:rFonts w:hint="eastAsia"/>
          <w:snapToGrid/>
        </w:rPr>
        <w:t>400</w:t>
      </w:r>
      <w:r>
        <w:rPr>
          <w:rFonts w:hint="eastAsia"/>
          <w:snapToGrid/>
        </w:rPr>
        <w:t>周，同时残疾发生时交款人年龄必须在</w:t>
      </w:r>
      <w:r>
        <w:rPr>
          <w:rFonts w:hint="eastAsia"/>
          <w:snapToGrid/>
        </w:rPr>
        <w:t>65</w:t>
      </w:r>
      <w:r>
        <w:rPr>
          <w:rFonts w:hint="eastAsia"/>
          <w:snapToGrid/>
        </w:rPr>
        <w:t>岁以下。除了</w:t>
      </w:r>
      <w:r>
        <w:rPr>
          <w:rFonts w:hint="eastAsia"/>
          <w:snapToGrid/>
        </w:rPr>
        <w:t>50</w:t>
      </w:r>
      <w:r>
        <w:rPr>
          <w:rFonts w:hint="eastAsia"/>
          <w:snapToGrid/>
        </w:rPr>
        <w:t>周的最少交款时间以外，领取残疾养恤金的人是必须在基本阶段内已经交付了交款的</w:t>
      </w:r>
      <w:r>
        <w:rPr>
          <w:rFonts w:hint="eastAsia"/>
          <w:snapToGrid/>
        </w:rPr>
        <w:t>40%</w:t>
      </w:r>
      <w:r>
        <w:rPr>
          <w:rFonts w:hint="eastAsia"/>
          <w:snapToGrid/>
        </w:rPr>
        <w:t>，即加入保险的全部时间内所需费用的一半以下。这最后一项百分比要求只适用于男性投保人，而且如果此人的交款已经达到</w:t>
      </w:r>
      <w:r>
        <w:rPr>
          <w:rFonts w:hint="eastAsia"/>
          <w:snapToGrid/>
        </w:rPr>
        <w:t>40</w:t>
      </w:r>
      <w:r>
        <w:rPr>
          <w:rFonts w:hint="eastAsia"/>
          <w:snapToGrid/>
        </w:rPr>
        <w:t>周以上，即免除这一要求。</w:t>
      </w:r>
    </w:p>
    <w:p w:rsidR="00000000" w:rsidRDefault="009C1C61">
      <w:pPr>
        <w:rPr>
          <w:rFonts w:hint="eastAsia"/>
          <w:snapToGrid/>
        </w:rPr>
      </w:pPr>
      <w:r>
        <w:rPr>
          <w:rFonts w:hint="eastAsia"/>
          <w:snapToGrid/>
        </w:rPr>
        <w:tab/>
        <w:t xml:space="preserve">318.  </w:t>
      </w:r>
      <w:r>
        <w:rPr>
          <w:rFonts w:hint="eastAsia"/>
          <w:snapToGrid/>
        </w:rPr>
        <w:t>按照旧系统的规定，残疾养恤金总额的细目是：相当于基本工资</w:t>
      </w:r>
      <w:r>
        <w:rPr>
          <w:rFonts w:hint="eastAsia"/>
          <w:snapToGrid/>
        </w:rPr>
        <w:t>50%</w:t>
      </w:r>
      <w:r>
        <w:rPr>
          <w:rFonts w:hint="eastAsia"/>
          <w:snapToGrid/>
        </w:rPr>
        <w:t>的基础数额，加上在交款的第一个</w:t>
      </w:r>
      <w:r>
        <w:rPr>
          <w:rFonts w:hint="eastAsia"/>
          <w:snapToGrid/>
        </w:rPr>
        <w:t>500</w:t>
      </w:r>
      <w:r>
        <w:rPr>
          <w:rFonts w:hint="eastAsia"/>
          <w:snapToGrid/>
        </w:rPr>
        <w:t>周之后，交款每达到</w:t>
      </w:r>
      <w:r>
        <w:rPr>
          <w:rFonts w:hint="eastAsia"/>
          <w:snapToGrid/>
        </w:rPr>
        <w:t>50</w:t>
      </w:r>
      <w:r>
        <w:rPr>
          <w:rFonts w:hint="eastAsia"/>
          <w:snapToGrid/>
        </w:rPr>
        <w:t>周再增加基</w:t>
      </w:r>
      <w:r>
        <w:rPr>
          <w:rFonts w:hint="eastAsia"/>
          <w:snapToGrid/>
        </w:rPr>
        <w:t>本工资的</w:t>
      </w:r>
      <w:r>
        <w:rPr>
          <w:rFonts w:hint="eastAsia"/>
          <w:snapToGrid/>
        </w:rPr>
        <w:t>1%</w:t>
      </w:r>
      <w:r>
        <w:rPr>
          <w:rFonts w:hint="eastAsia"/>
          <w:snapToGrid/>
        </w:rPr>
        <w:t>，但最高限额为基本月工资的</w:t>
      </w:r>
      <w:r>
        <w:rPr>
          <w:rFonts w:hint="eastAsia"/>
          <w:snapToGrid/>
        </w:rPr>
        <w:t>70%</w:t>
      </w:r>
      <w:r>
        <w:rPr>
          <w:rFonts w:hint="eastAsia"/>
          <w:snapToGrid/>
        </w:rPr>
        <w:t>。此外，对于领养人的每一位</w:t>
      </w:r>
      <w:r>
        <w:rPr>
          <w:rFonts w:hint="eastAsia"/>
          <w:snapToGrid/>
        </w:rPr>
        <w:t>15</w:t>
      </w:r>
      <w:r>
        <w:rPr>
          <w:rFonts w:hint="eastAsia"/>
          <w:snapToGrid/>
        </w:rPr>
        <w:t>岁以下合法、未婚或领养的儿童，或对属于不领取养恤金的家庭的任何年龄的每一位残疾人，再增加相当于平均工资</w:t>
      </w:r>
      <w:r>
        <w:rPr>
          <w:rFonts w:hint="eastAsia"/>
          <w:snapToGrid/>
        </w:rPr>
        <w:t>10%</w:t>
      </w:r>
      <w:r>
        <w:rPr>
          <w:rFonts w:hint="eastAsia"/>
          <w:snapToGrid/>
        </w:rPr>
        <w:t>的补助。部分残疾养恤金占上述养恤金的</w:t>
      </w:r>
      <w:r>
        <w:rPr>
          <w:rFonts w:hint="eastAsia"/>
          <w:snapToGrid/>
        </w:rPr>
        <w:t>50%</w:t>
      </w:r>
      <w:r>
        <w:rPr>
          <w:rFonts w:hint="eastAsia"/>
          <w:snapToGrid/>
        </w:rPr>
        <w:t>。</w:t>
      </w:r>
    </w:p>
    <w:p w:rsidR="00000000" w:rsidRDefault="009C1C61">
      <w:pPr>
        <w:rPr>
          <w:rFonts w:hint="eastAsia"/>
          <w:snapToGrid/>
        </w:rPr>
      </w:pPr>
      <w:r>
        <w:rPr>
          <w:rFonts w:hint="eastAsia"/>
          <w:snapToGrid/>
        </w:rPr>
        <w:tab/>
        <w:t xml:space="preserve">319.  </w:t>
      </w:r>
      <w:r>
        <w:rPr>
          <w:rFonts w:hint="eastAsia"/>
          <w:snapToGrid/>
        </w:rPr>
        <w:t>按照旧系统规定，原来的私营部门雇员节约储蓄基金要求投保人在造成残疾的事件发生时必须在职，而且必须至少投保三年以上。这些条件在此人停止交款之后再维持两年。</w:t>
      </w:r>
      <w:r>
        <w:rPr>
          <w:rStyle w:val="FootnoteReference"/>
          <w:bCs/>
          <w:snapToGrid/>
        </w:rPr>
        <w:footnoteReference w:id="123"/>
      </w:r>
      <w:r>
        <w:rPr>
          <w:rFonts w:hint="eastAsia"/>
          <w:snapToGrid/>
        </w:rPr>
        <w:t xml:space="preserve"> </w:t>
      </w:r>
      <w:r>
        <w:rPr>
          <w:rFonts w:hint="eastAsia"/>
          <w:snapToGrid/>
        </w:rPr>
        <w:t>此外，在残疾开始发生时，投保人年龄必须小于</w:t>
      </w:r>
      <w:r>
        <w:rPr>
          <w:rFonts w:hint="eastAsia"/>
          <w:snapToGrid/>
        </w:rPr>
        <w:t>65</w:t>
      </w:r>
      <w:r>
        <w:rPr>
          <w:rFonts w:hint="eastAsia"/>
          <w:snapToGrid/>
        </w:rPr>
        <w:t>岁。残疾养恤金达基本工资的</w:t>
      </w:r>
      <w:r>
        <w:rPr>
          <w:rFonts w:hint="eastAsia"/>
          <w:snapToGrid/>
        </w:rPr>
        <w:t>70%</w:t>
      </w:r>
      <w:r>
        <w:rPr>
          <w:rFonts w:hint="eastAsia"/>
          <w:snapToGrid/>
        </w:rPr>
        <w:t>，加上在最初</w:t>
      </w:r>
      <w:r>
        <w:rPr>
          <w:rFonts w:hint="eastAsia"/>
          <w:snapToGrid/>
        </w:rPr>
        <w:t>20</w:t>
      </w:r>
      <w:r>
        <w:rPr>
          <w:rFonts w:hint="eastAsia"/>
          <w:snapToGrid/>
        </w:rPr>
        <w:t>年之后每年按基本工资</w:t>
      </w:r>
      <w:r>
        <w:rPr>
          <w:rFonts w:hint="eastAsia"/>
          <w:snapToGrid/>
        </w:rPr>
        <w:t>的</w:t>
      </w:r>
      <w:r>
        <w:rPr>
          <w:rFonts w:hint="eastAsia"/>
          <w:snapToGrid/>
        </w:rPr>
        <w:t>2%</w:t>
      </w:r>
      <w:r>
        <w:rPr>
          <w:rFonts w:hint="eastAsia"/>
          <w:snapToGrid/>
        </w:rPr>
        <w:t>计算提供的款项，但总数不能超过基本工资。</w:t>
      </w:r>
    </w:p>
    <w:p w:rsidR="00000000" w:rsidRDefault="009C1C61">
      <w:pPr>
        <w:rPr>
          <w:rFonts w:hint="eastAsia"/>
          <w:snapToGrid/>
        </w:rPr>
      </w:pPr>
      <w:r>
        <w:rPr>
          <w:rFonts w:hint="eastAsia"/>
          <w:snapToGrid/>
        </w:rPr>
        <w:tab/>
        <w:t xml:space="preserve">320.  </w:t>
      </w:r>
      <w:r>
        <w:rPr>
          <w:rFonts w:hint="eastAsia"/>
          <w:snapToGrid/>
        </w:rPr>
        <w:t>新系统不可能事先确定福利的最高数额，因为这有赖于一系列可变因素。但是，根据确定的规则，</w:t>
      </w:r>
      <w:r>
        <w:rPr>
          <w:rStyle w:val="FootnoteReference"/>
          <w:bCs/>
          <w:snapToGrid/>
        </w:rPr>
        <w:footnoteReference w:id="124"/>
      </w:r>
      <w:r>
        <w:rPr>
          <w:rFonts w:hint="eastAsia"/>
          <w:snapToGrid/>
        </w:rPr>
        <w:t xml:space="preserve"> </w:t>
      </w:r>
      <w:r>
        <w:rPr>
          <w:rFonts w:hint="eastAsia"/>
          <w:snapToGrid/>
        </w:rPr>
        <w:t>从业人员的残疾养恤金数额不得少于基本工资的</w:t>
      </w:r>
      <w:r>
        <w:rPr>
          <w:rFonts w:hint="eastAsia"/>
          <w:snapToGrid/>
        </w:rPr>
        <w:t>70%</w:t>
      </w:r>
      <w:r>
        <w:rPr>
          <w:rFonts w:hint="eastAsia"/>
          <w:snapToGrid/>
        </w:rPr>
        <w:t>，其计算方式是以目前的价值按宣布丧失工作能力的月份以前</w:t>
      </w:r>
      <w:r>
        <w:rPr>
          <w:rFonts w:hint="eastAsia"/>
          <w:snapToGrid/>
        </w:rPr>
        <w:t>10</w:t>
      </w:r>
      <w:r>
        <w:rPr>
          <w:rFonts w:hint="eastAsia"/>
          <w:snapToGrid/>
        </w:rPr>
        <w:t>年内所领取和申报的平均收入而定。对于符合法定要求的特殊情况，</w:t>
      </w:r>
      <w:r>
        <w:rPr>
          <w:rStyle w:val="FootnoteReference"/>
          <w:bCs/>
          <w:snapToGrid/>
        </w:rPr>
        <w:footnoteReference w:id="125"/>
      </w:r>
      <w:r>
        <w:rPr>
          <w:rFonts w:hint="eastAsia"/>
          <w:snapToGrid/>
        </w:rPr>
        <w:t xml:space="preserve"> </w:t>
      </w:r>
      <w:r>
        <w:rPr>
          <w:rFonts w:hint="eastAsia"/>
          <w:snapToGrid/>
        </w:rPr>
        <w:t>最低残疾养恤金数额必须达到按旧制度向领取人所付的养恤金的相同数额。</w:t>
      </w:r>
    </w:p>
    <w:p w:rsidR="00000000" w:rsidRDefault="009C1C61">
      <w:pPr>
        <w:rPr>
          <w:rFonts w:hint="eastAsia"/>
          <w:snapToGrid/>
        </w:rPr>
      </w:pPr>
      <w:r>
        <w:rPr>
          <w:rFonts w:hint="eastAsia"/>
          <w:snapToGrid/>
        </w:rPr>
        <w:tab/>
        <w:t xml:space="preserve">321.  </w:t>
      </w:r>
      <w:r>
        <w:rPr>
          <w:rFonts w:hint="eastAsia"/>
          <w:snapToGrid/>
        </w:rPr>
        <w:t>为预防、延缓、减轻或治疗由于残疾而领取或可能有权领取养恤金的人员的残疾而支付的现金补贴，按第</w:t>
      </w:r>
      <w:r>
        <w:rPr>
          <w:rFonts w:hint="eastAsia"/>
          <w:snapToGrid/>
        </w:rPr>
        <w:t>18469</w:t>
      </w:r>
      <w:r>
        <w:rPr>
          <w:rFonts w:hint="eastAsia"/>
          <w:snapToGrid/>
        </w:rPr>
        <w:t>号法令</w:t>
      </w:r>
      <w:r>
        <w:rPr>
          <w:rFonts w:hint="eastAsia"/>
          <w:snapToGrid/>
        </w:rPr>
        <w:t>所规定的条件发放。</w:t>
      </w:r>
    </w:p>
    <w:p w:rsidR="00000000" w:rsidRDefault="009C1C61">
      <w:pPr>
        <w:pStyle w:val="Heading4"/>
        <w:rPr>
          <w:rFonts w:ascii="Time New Roman" w:eastAsia="SimHei" w:hAnsi="Time New Roman"/>
          <w:color w:val="000000"/>
          <w:u w:val="none"/>
        </w:rPr>
      </w:pPr>
      <w:r>
        <w:rPr>
          <w:rFonts w:ascii="Time New Roman" w:eastAsia="SimHei" w:hAnsi="Time New Roman" w:hint="eastAsia"/>
          <w:color w:val="000000"/>
          <w:u w:val="none"/>
        </w:rPr>
        <w:t>补助养恤金</w:t>
      </w:r>
      <w:r>
        <w:rPr>
          <w:rFonts w:ascii="Time New Roman" w:eastAsia="SimHei" w:hAnsi="Time New Roman" w:hint="eastAsia"/>
          <w:color w:val="000000"/>
          <w:u w:val="none"/>
        </w:rPr>
        <w:t>(</w:t>
      </w:r>
      <w:r>
        <w:rPr>
          <w:rFonts w:ascii="Time New Roman" w:eastAsia="SimHei" w:hAnsi="Time New Roman"/>
          <w:b/>
          <w:color w:val="000000"/>
          <w:u w:val="none"/>
        </w:rPr>
        <w:t>pensiones</w:t>
      </w:r>
      <w:r>
        <w:rPr>
          <w:rFonts w:ascii="Time New Roman" w:eastAsia="SimHei" w:hAnsi="Time New Roman"/>
          <w:color w:val="000000"/>
          <w:u w:val="none"/>
        </w:rPr>
        <w:t xml:space="preserve"> </w:t>
      </w:r>
      <w:r>
        <w:rPr>
          <w:rFonts w:ascii="Time New Roman" w:eastAsia="SimHei" w:hAnsi="Time New Roman"/>
          <w:b/>
          <w:color w:val="000000"/>
          <w:u w:val="none"/>
        </w:rPr>
        <w:t>asistenciales</w:t>
      </w:r>
      <w:r>
        <w:rPr>
          <w:rFonts w:ascii="Time New Roman" w:eastAsia="SimHei" w:hAnsi="Time New Roman"/>
          <w:color w:val="000000"/>
          <w:u w:val="none"/>
        </w:rPr>
        <w:t>-</w:t>
      </w:r>
      <w:r>
        <w:rPr>
          <w:rFonts w:ascii="Time New Roman" w:eastAsia="SimHei" w:hAnsi="Time New Roman"/>
          <w:b/>
          <w:color w:val="000000"/>
          <w:u w:val="none"/>
        </w:rPr>
        <w:t>Pasis</w:t>
      </w:r>
      <w:r>
        <w:rPr>
          <w:rFonts w:ascii="Time New Roman" w:eastAsia="SimHei" w:hAnsi="Time New Roman"/>
          <w:color w:val="000000"/>
          <w:u w:val="none"/>
        </w:rPr>
        <w:t>)</w:t>
      </w:r>
    </w:p>
    <w:p w:rsidR="00000000" w:rsidRDefault="009C1C61">
      <w:pPr>
        <w:widowControl w:val="0"/>
        <w:rPr>
          <w:rFonts w:hint="eastAsia"/>
          <w:snapToGrid/>
        </w:rPr>
      </w:pPr>
      <w:r>
        <w:rPr>
          <w:rFonts w:hint="eastAsia"/>
          <w:snapToGrid/>
        </w:rPr>
        <w:tab/>
      </w:r>
      <w:r>
        <w:rPr>
          <w:snapToGrid/>
        </w:rPr>
        <w:t xml:space="preserve">322.  </w:t>
      </w:r>
      <w:r>
        <w:rPr>
          <w:rFonts w:hint="eastAsia"/>
          <w:snapToGrid/>
        </w:rPr>
        <w:t>补助养恤金</w:t>
      </w:r>
      <w:r>
        <w:rPr>
          <w:rFonts w:hint="eastAsia"/>
          <w:snapToGrid/>
        </w:rPr>
        <w:t>(</w:t>
      </w:r>
      <w:r>
        <w:rPr>
          <w:snapToGrid/>
        </w:rPr>
        <w:t>Pasis)</w:t>
      </w:r>
      <w:r>
        <w:rPr>
          <w:rFonts w:hint="eastAsia"/>
          <w:snapToGrid/>
        </w:rPr>
        <w:t>是要为所有由于各种原因无法在保险计划下领取福利，而收入有限的老年人</w:t>
      </w:r>
      <w:r>
        <w:rPr>
          <w:rFonts w:hint="eastAsia"/>
          <w:snapToGrid/>
        </w:rPr>
        <w:t xml:space="preserve"> </w:t>
      </w:r>
      <w:r>
        <w:rPr>
          <w:rFonts w:hint="eastAsia"/>
          <w:snapToGrid/>
        </w:rPr>
        <w:t>和残疾人设立的一项养恤金制度，以便确保最低的生活水平。收入有限的残疾人士和</w:t>
      </w:r>
      <w:r>
        <w:rPr>
          <w:rFonts w:hint="eastAsia"/>
          <w:snapToGrid/>
        </w:rPr>
        <w:t>65</w:t>
      </w:r>
      <w:r>
        <w:rPr>
          <w:rFonts w:hint="eastAsia"/>
          <w:snapToGrid/>
        </w:rPr>
        <w:t>岁以上的老年人有权根据</w:t>
      </w:r>
      <w:r>
        <w:rPr>
          <w:rFonts w:hint="eastAsia"/>
          <w:snapToGrid/>
        </w:rPr>
        <w:t>1975</w:t>
      </w:r>
      <w:r>
        <w:rPr>
          <w:rFonts w:hint="eastAsia"/>
          <w:snapToGrid/>
        </w:rPr>
        <w:t>年第</w:t>
      </w:r>
      <w:r>
        <w:rPr>
          <w:rFonts w:hint="eastAsia"/>
          <w:snapToGrid/>
        </w:rPr>
        <w:t>869</w:t>
      </w:r>
      <w:r>
        <w:rPr>
          <w:rFonts w:hint="eastAsia"/>
          <w:snapToGrid/>
        </w:rPr>
        <w:t>号政令法及其后的修正案领取这类养恤金，其条件是，他们必须在本国居住至少三年以上。</w:t>
      </w:r>
    </w:p>
    <w:p w:rsidR="00000000" w:rsidRDefault="009C1C61">
      <w:pPr>
        <w:rPr>
          <w:rFonts w:hint="eastAsia"/>
          <w:snapToGrid/>
        </w:rPr>
      </w:pPr>
      <w:r>
        <w:rPr>
          <w:rFonts w:hint="eastAsia"/>
          <w:snapToGrid/>
        </w:rPr>
        <w:tab/>
        <w:t xml:space="preserve">323.  </w:t>
      </w:r>
      <w:r>
        <w:rPr>
          <w:rFonts w:hint="eastAsia"/>
          <w:snapToGrid/>
        </w:rPr>
        <w:t>任何</w:t>
      </w:r>
      <w:r>
        <w:rPr>
          <w:rFonts w:hint="eastAsia"/>
          <w:snapToGrid/>
        </w:rPr>
        <w:t>18</w:t>
      </w:r>
      <w:r>
        <w:rPr>
          <w:rFonts w:hint="eastAsia"/>
          <w:snapToGrid/>
        </w:rPr>
        <w:t>岁以上的人如果永久性的无法再进行正常工作，或者丧失了使之满足其生计最基本需要的工作能力，同</w:t>
      </w:r>
      <w:r>
        <w:rPr>
          <w:rFonts w:hint="eastAsia"/>
          <w:snapToGrid/>
        </w:rPr>
        <w:t>时又无权因工伤事故领取养恤金或按任何其他社会保险制度领取养恤金的话，此人得以残疾论处。残疾的状况必须向全国卫生服务署申报。</w:t>
      </w:r>
    </w:p>
    <w:p w:rsidR="00000000" w:rsidRDefault="009C1C61">
      <w:pPr>
        <w:rPr>
          <w:rFonts w:hint="eastAsia"/>
          <w:snapToGrid/>
        </w:rPr>
      </w:pPr>
      <w:r>
        <w:rPr>
          <w:rFonts w:hint="eastAsia"/>
          <w:snapToGrid/>
        </w:rPr>
        <w:tab/>
        <w:t xml:space="preserve">324.  </w:t>
      </w:r>
      <w:r>
        <w:rPr>
          <w:rFonts w:hint="eastAsia"/>
          <w:snapToGrid/>
        </w:rPr>
        <w:t>收入有限的人士系指本人没有任何收入，或者如果有收入则低于法定的最低养恤金数额的</w:t>
      </w:r>
      <w:r>
        <w:rPr>
          <w:rFonts w:hint="eastAsia"/>
          <w:snapToGrid/>
        </w:rPr>
        <w:t>50%</w:t>
      </w:r>
      <w:r>
        <w:rPr>
          <w:rFonts w:hint="eastAsia"/>
          <w:snapToGrid/>
        </w:rPr>
        <w:t>的人士，</w:t>
      </w:r>
      <w:r>
        <w:rPr>
          <w:rStyle w:val="FootnoteReference"/>
          <w:bCs/>
          <w:snapToGrid/>
        </w:rPr>
        <w:footnoteReference w:id="126"/>
      </w:r>
      <w:r>
        <w:rPr>
          <w:rFonts w:hint="eastAsia"/>
          <w:snapToGrid/>
        </w:rPr>
        <w:t xml:space="preserve"> </w:t>
      </w:r>
      <w:r>
        <w:rPr>
          <w:rFonts w:hint="eastAsia"/>
          <w:snapToGrid/>
        </w:rPr>
        <w:t>该最低养恤金</w:t>
      </w:r>
      <w:r>
        <w:rPr>
          <w:rFonts w:hint="eastAsia"/>
          <w:snapToGrid/>
        </w:rPr>
        <w:t>1999</w:t>
      </w:r>
      <w:r>
        <w:rPr>
          <w:rFonts w:hint="eastAsia"/>
          <w:snapToGrid/>
        </w:rPr>
        <w:t>年的平均额是</w:t>
      </w:r>
      <w:r>
        <w:rPr>
          <w:rFonts w:hint="eastAsia"/>
          <w:snapToGrid/>
        </w:rPr>
        <w:t>33,200</w:t>
      </w:r>
      <w:r>
        <w:rPr>
          <w:rFonts w:hint="eastAsia"/>
          <w:snapToGrid/>
        </w:rPr>
        <w:t>比索</w:t>
      </w:r>
      <w:r>
        <w:rPr>
          <w:rFonts w:hint="eastAsia"/>
          <w:snapToGrid/>
        </w:rPr>
        <w:t>(65</w:t>
      </w:r>
      <w:r>
        <w:rPr>
          <w:rFonts w:hint="eastAsia"/>
          <w:snapToGrid/>
        </w:rPr>
        <w:t>美元</w:t>
      </w:r>
      <w:r>
        <w:rPr>
          <w:rFonts w:hint="eastAsia"/>
          <w:snapToGrid/>
        </w:rPr>
        <w:t>)</w:t>
      </w:r>
      <w:r>
        <w:rPr>
          <w:rFonts w:hint="eastAsia"/>
          <w:snapToGrid/>
        </w:rPr>
        <w:t>，并且与此同时，在上述两种情况下，即家庭平均收入也低于该百分比。这一平均数额是由家庭的总收入除以家庭内人数所确定的。为这同一目的，家庭成员是指长期生活在同一住所的人士，而不论其是否在家庭血源关系。</w:t>
      </w:r>
    </w:p>
    <w:p w:rsidR="00000000" w:rsidRDefault="009C1C61">
      <w:pPr>
        <w:spacing w:after="320"/>
        <w:rPr>
          <w:rFonts w:hint="eastAsia"/>
          <w:snapToGrid/>
        </w:rPr>
      </w:pPr>
      <w:r>
        <w:rPr>
          <w:rFonts w:hint="eastAsia"/>
          <w:snapToGrid/>
        </w:rPr>
        <w:tab/>
        <w:t xml:space="preserve">325.  </w:t>
      </w:r>
      <w:r>
        <w:rPr>
          <w:rFonts w:hint="eastAsia"/>
          <w:snapToGrid/>
        </w:rPr>
        <w:t>从</w:t>
      </w:r>
      <w:r>
        <w:rPr>
          <w:rFonts w:hint="eastAsia"/>
          <w:snapToGrid/>
        </w:rPr>
        <w:t>19</w:t>
      </w:r>
      <w:r>
        <w:rPr>
          <w:rFonts w:hint="eastAsia"/>
          <w:snapToGrid/>
        </w:rPr>
        <w:t>89</w:t>
      </w:r>
      <w:r>
        <w:rPr>
          <w:rFonts w:hint="eastAsia"/>
          <w:snapToGrid/>
        </w:rPr>
        <w:t>至</w:t>
      </w:r>
      <w:r>
        <w:rPr>
          <w:rFonts w:hint="eastAsia"/>
          <w:snapToGrid/>
        </w:rPr>
        <w:t>1999</w:t>
      </w:r>
      <w:r>
        <w:rPr>
          <w:rFonts w:hint="eastAsia"/>
          <w:snapToGrid/>
        </w:rPr>
        <w:t>年，补助养恤金的月平均提供数额增加了</w:t>
      </w:r>
      <w:r>
        <w:rPr>
          <w:rFonts w:hint="eastAsia"/>
          <w:snapToGrid/>
        </w:rPr>
        <w:t>61.8%</w:t>
      </w:r>
      <w:r>
        <w:rPr>
          <w:rFonts w:hint="eastAsia"/>
          <w:snapToGrid/>
        </w:rPr>
        <w:t>。</w:t>
      </w:r>
      <w:r>
        <w:rPr>
          <w:rFonts w:hint="eastAsia"/>
          <w:snapToGrid/>
        </w:rPr>
        <w:t>1999</w:t>
      </w:r>
      <w:r>
        <w:rPr>
          <w:rFonts w:hint="eastAsia"/>
          <w:snapToGrid/>
        </w:rPr>
        <w:t>年，平均每月发放了</w:t>
      </w:r>
      <w:r>
        <w:rPr>
          <w:rFonts w:hint="eastAsia"/>
          <w:snapToGrid/>
        </w:rPr>
        <w:t>350,000</w:t>
      </w:r>
      <w:r>
        <w:rPr>
          <w:rFonts w:hint="eastAsia"/>
          <w:snapToGrid/>
        </w:rPr>
        <w:t>份此类养恤金，其月平均数值见前一段所提的数字。</w:t>
      </w:r>
    </w:p>
    <w:p w:rsidR="00000000" w:rsidRDefault="009C1C61">
      <w:pPr>
        <w:pStyle w:val="Heading4"/>
        <w:rPr>
          <w:rFonts w:hint="eastAsia"/>
        </w:rPr>
      </w:pPr>
      <w:r>
        <w:rPr>
          <w:rFonts w:ascii="Time New Roman" w:eastAsia="SimHei" w:hAnsi="Time New Roman" w:hint="eastAsia"/>
          <w:u w:val="none"/>
        </w:rPr>
        <w:t>新旧养恤金系统所提供的遗属养恤金</w:t>
      </w:r>
    </w:p>
    <w:p w:rsidR="00000000" w:rsidRDefault="009C1C61">
      <w:pPr>
        <w:rPr>
          <w:rFonts w:hint="eastAsia"/>
          <w:snapToGrid/>
        </w:rPr>
      </w:pPr>
      <w:r>
        <w:rPr>
          <w:rFonts w:hint="eastAsia"/>
          <w:snapToGrid/>
        </w:rPr>
        <w:tab/>
        <w:t xml:space="preserve">326.  </w:t>
      </w:r>
      <w:r>
        <w:rPr>
          <w:rFonts w:hint="eastAsia"/>
          <w:snapToGrid/>
        </w:rPr>
        <w:t>关于上述两种同时运行的养恤金制度所做的评论也同样适用于这一情况，但同时应当指出，工伤事故和职业病方面的保险计划内也有其本身的遗属福利规定。按旧系统规定</w:t>
      </w:r>
      <w:r>
        <w:rPr>
          <w:rFonts w:hint="eastAsia"/>
          <w:snapToGrid/>
        </w:rPr>
        <w:t>(</w:t>
      </w:r>
      <w:r>
        <w:rPr>
          <w:rFonts w:hint="eastAsia"/>
          <w:snapToGrid/>
        </w:rPr>
        <w:t>按原来的社会保险服务署的情况而论</w:t>
      </w:r>
      <w:r>
        <w:rPr>
          <w:rFonts w:hint="eastAsia"/>
          <w:snapToGrid/>
        </w:rPr>
        <w:t>)</w:t>
      </w:r>
      <w:r>
        <w:rPr>
          <w:rFonts w:hint="eastAsia"/>
          <w:snapToGrid/>
        </w:rPr>
        <w:t>，要造成遗属领取养恤金资格，受保人必须是养恤金领取人，或投保该计划至少</w:t>
      </w:r>
      <w:r>
        <w:rPr>
          <w:rFonts w:hint="eastAsia"/>
          <w:snapToGrid/>
        </w:rPr>
        <w:t>50</w:t>
      </w:r>
      <w:r>
        <w:rPr>
          <w:rFonts w:hint="eastAsia"/>
          <w:snapToGrid/>
        </w:rPr>
        <w:t>周，其中</w:t>
      </w:r>
      <w:r>
        <w:rPr>
          <w:rFonts w:hint="eastAsia"/>
          <w:snapToGrid/>
        </w:rPr>
        <w:t>40%</w:t>
      </w:r>
      <w:r>
        <w:rPr>
          <w:rFonts w:hint="eastAsia"/>
          <w:snapToGrid/>
        </w:rPr>
        <w:t>的付款周必须在最近</w:t>
      </w:r>
      <w:r>
        <w:rPr>
          <w:rFonts w:hint="eastAsia"/>
          <w:snapToGrid/>
        </w:rPr>
        <w:t>5</w:t>
      </w:r>
      <w:r>
        <w:rPr>
          <w:rFonts w:hint="eastAsia"/>
          <w:snapToGrid/>
        </w:rPr>
        <w:t>年以内，而</w:t>
      </w:r>
      <w:r>
        <w:rPr>
          <w:rFonts w:hint="eastAsia"/>
          <w:snapToGrid/>
        </w:rPr>
        <w:t>50%</w:t>
      </w:r>
      <w:r>
        <w:rPr>
          <w:rFonts w:hint="eastAsia"/>
          <w:snapToGrid/>
        </w:rPr>
        <w:t>的保</w:t>
      </w:r>
      <w:r>
        <w:rPr>
          <w:rFonts w:hint="eastAsia"/>
          <w:snapToGrid/>
        </w:rPr>
        <w:t>费必须是在整个投保期内交付。对于雇员，造成遗属领取养恤金资格的人或则必须是养恤金领取人，或则必须加入养恤金系统至少已有三年。</w:t>
      </w:r>
    </w:p>
    <w:p w:rsidR="00000000" w:rsidRDefault="009C1C61">
      <w:pPr>
        <w:rPr>
          <w:rFonts w:hint="eastAsia"/>
          <w:snapToGrid/>
        </w:rPr>
      </w:pPr>
      <w:r>
        <w:rPr>
          <w:rFonts w:hint="eastAsia"/>
          <w:snapToGrid/>
        </w:rPr>
        <w:tab/>
        <w:t xml:space="preserve">327.  </w:t>
      </w:r>
      <w:r>
        <w:rPr>
          <w:rFonts w:hint="eastAsia"/>
          <w:snapToGrid/>
        </w:rPr>
        <w:t>在原来的社会保险服务署，任何年龄的丧偶人士或受抚养的残疾丧偶人士可以领取相当于受保人基本工资或养恤金</w:t>
      </w:r>
      <w:r>
        <w:rPr>
          <w:rFonts w:hint="eastAsia"/>
          <w:snapToGrid/>
        </w:rPr>
        <w:t>50%</w:t>
      </w:r>
      <w:r>
        <w:rPr>
          <w:rFonts w:hint="eastAsia"/>
          <w:snapToGrid/>
        </w:rPr>
        <w:t>的养恤金。不到</w:t>
      </w:r>
      <w:r>
        <w:rPr>
          <w:rFonts w:hint="eastAsia"/>
          <w:snapToGrid/>
        </w:rPr>
        <w:t>18</w:t>
      </w:r>
      <w:r>
        <w:rPr>
          <w:rFonts w:hint="eastAsia"/>
          <w:snapToGrid/>
        </w:rPr>
        <w:t>岁、或在学者不到</w:t>
      </w:r>
      <w:r>
        <w:rPr>
          <w:rFonts w:hint="eastAsia"/>
          <w:snapToGrid/>
        </w:rPr>
        <w:t>24</w:t>
      </w:r>
      <w:r>
        <w:rPr>
          <w:rFonts w:hint="eastAsia"/>
          <w:snapToGrid/>
        </w:rPr>
        <w:t>岁，或如果属于残疾的话，不论其年龄如何的孤儿可领取相当于基本工资</w:t>
      </w:r>
      <w:r>
        <w:rPr>
          <w:rFonts w:hint="eastAsia"/>
          <w:snapToGrid/>
        </w:rPr>
        <w:t>20%</w:t>
      </w:r>
      <w:r>
        <w:rPr>
          <w:rFonts w:hint="eastAsia"/>
          <w:snapToGrid/>
        </w:rPr>
        <w:t>或者相当于受保人亡故前一年平均养恤金的一笔养恤金。受保人非婚生子女的母亲可领取相当于按其角色为正式配偶所可领取的养恤金</w:t>
      </w:r>
      <w:r>
        <w:rPr>
          <w:rFonts w:hint="eastAsia"/>
          <w:snapToGrid/>
        </w:rPr>
        <w:t>60%</w:t>
      </w:r>
      <w:r>
        <w:rPr>
          <w:rFonts w:hint="eastAsia"/>
          <w:snapToGrid/>
        </w:rPr>
        <w:t>的养恤金。</w:t>
      </w:r>
    </w:p>
    <w:p w:rsidR="00000000" w:rsidRDefault="009C1C61">
      <w:pPr>
        <w:rPr>
          <w:rFonts w:hint="eastAsia"/>
          <w:snapToGrid/>
        </w:rPr>
      </w:pPr>
      <w:r>
        <w:rPr>
          <w:rFonts w:hint="eastAsia"/>
          <w:snapToGrid/>
          <w:szCs w:val="24"/>
        </w:rPr>
        <w:tab/>
      </w:r>
      <w:r>
        <w:rPr>
          <w:snapToGrid/>
          <w:szCs w:val="24"/>
        </w:rPr>
        <w:t>328.</w:t>
      </w:r>
      <w:r>
        <w:rPr>
          <w:rFonts w:hint="eastAsia"/>
          <w:snapToGrid/>
          <w:szCs w:val="24"/>
        </w:rPr>
        <w:t xml:space="preserve">  </w:t>
      </w:r>
      <w:r>
        <w:rPr>
          <w:rFonts w:hint="eastAsia"/>
          <w:snapToGrid/>
          <w:szCs w:val="24"/>
        </w:rPr>
        <w:t>对于旧制</w:t>
      </w:r>
      <w:r>
        <w:rPr>
          <w:rFonts w:hint="eastAsia"/>
          <w:snapToGrid/>
          <w:szCs w:val="24"/>
        </w:rPr>
        <w:t>度下的雇员而言，受保人所抚养的遗孀或残疾的鳏夫可领取相当于因公死亡受保人的养恤金或基本工资</w:t>
      </w:r>
      <w:r>
        <w:rPr>
          <w:snapToGrid/>
          <w:szCs w:val="24"/>
        </w:rPr>
        <w:t>50%</w:t>
      </w:r>
      <w:r>
        <w:rPr>
          <w:rFonts w:hint="eastAsia"/>
          <w:snapToGrid/>
          <w:szCs w:val="24"/>
        </w:rPr>
        <w:t>的养恤金。年龄为</w:t>
      </w:r>
      <w:r>
        <w:rPr>
          <w:snapToGrid/>
          <w:szCs w:val="24"/>
        </w:rPr>
        <w:t>18</w:t>
      </w:r>
      <w:r>
        <w:rPr>
          <w:rFonts w:hint="eastAsia"/>
          <w:snapToGrid/>
          <w:szCs w:val="24"/>
        </w:rPr>
        <w:t>岁以下的孤儿</w:t>
      </w:r>
      <w:r>
        <w:rPr>
          <w:rFonts w:hint="eastAsia"/>
          <w:snapToGrid/>
          <w:szCs w:val="24"/>
        </w:rPr>
        <w:t>(</w:t>
      </w:r>
      <w:r>
        <w:rPr>
          <w:rFonts w:hint="eastAsia"/>
          <w:snapToGrid/>
          <w:szCs w:val="24"/>
        </w:rPr>
        <w:t>在校学生年龄为</w:t>
      </w:r>
      <w:r>
        <w:rPr>
          <w:snapToGrid/>
          <w:szCs w:val="24"/>
        </w:rPr>
        <w:t>24</w:t>
      </w:r>
      <w:r>
        <w:rPr>
          <w:rFonts w:hint="eastAsia"/>
          <w:snapToGrid/>
          <w:szCs w:val="24"/>
        </w:rPr>
        <w:t>岁以下、对残疾者没有年龄限制</w:t>
      </w:r>
      <w:r>
        <w:rPr>
          <w:rFonts w:hint="eastAsia"/>
          <w:snapToGrid/>
          <w:szCs w:val="24"/>
        </w:rPr>
        <w:t>)</w:t>
      </w:r>
      <w:r>
        <w:rPr>
          <w:rFonts w:hint="eastAsia"/>
          <w:snapToGrid/>
          <w:szCs w:val="24"/>
        </w:rPr>
        <w:t>，及其没有收入而原依靠已故者生活的父母可领取相当于受保人养恤金或基本工资</w:t>
      </w:r>
      <w:r>
        <w:rPr>
          <w:snapToGrid/>
          <w:szCs w:val="24"/>
        </w:rPr>
        <w:t>15%</w:t>
      </w:r>
      <w:r>
        <w:rPr>
          <w:rFonts w:hint="eastAsia"/>
          <w:snapToGrid/>
          <w:szCs w:val="24"/>
        </w:rPr>
        <w:t>的养恤金。</w:t>
      </w:r>
    </w:p>
    <w:p w:rsidR="00000000" w:rsidRDefault="009C1C61">
      <w:pPr>
        <w:rPr>
          <w:rFonts w:hint="eastAsia"/>
          <w:snapToGrid/>
        </w:rPr>
      </w:pPr>
      <w:r>
        <w:rPr>
          <w:rFonts w:hint="eastAsia"/>
          <w:snapToGrid/>
        </w:rPr>
        <w:tab/>
        <w:t xml:space="preserve">329.  </w:t>
      </w:r>
      <w:r>
        <w:rPr>
          <w:rFonts w:hint="eastAsia"/>
          <w:snapToGrid/>
        </w:rPr>
        <w:t>按照旧系统的规定，遗属养恤金的最高数额相当于受保人养恤金或基本工资的</w:t>
      </w:r>
      <w:r>
        <w:rPr>
          <w:rFonts w:hint="eastAsia"/>
          <w:snapToGrid/>
        </w:rPr>
        <w:t>100%</w:t>
      </w:r>
      <w:r>
        <w:rPr>
          <w:rFonts w:hint="eastAsia"/>
          <w:snapToGrid/>
        </w:rPr>
        <w:t>，但这须视一个或一个以上的领取人不在而导致的补充份额不同而定。</w:t>
      </w:r>
    </w:p>
    <w:p w:rsidR="00000000" w:rsidRDefault="009C1C61">
      <w:pPr>
        <w:rPr>
          <w:rFonts w:hint="eastAsia"/>
          <w:snapToGrid/>
          <w:szCs w:val="24"/>
        </w:rPr>
      </w:pPr>
      <w:r>
        <w:rPr>
          <w:rFonts w:hint="eastAsia"/>
          <w:snapToGrid/>
          <w:szCs w:val="24"/>
        </w:rPr>
        <w:tab/>
      </w:r>
      <w:r>
        <w:rPr>
          <w:snapToGrid/>
          <w:szCs w:val="24"/>
        </w:rPr>
        <w:t>330.</w:t>
      </w:r>
      <w:r>
        <w:rPr>
          <w:rFonts w:hint="eastAsia"/>
          <w:snapToGrid/>
          <w:szCs w:val="24"/>
        </w:rPr>
        <w:t xml:space="preserve">  </w:t>
      </w:r>
      <w:r>
        <w:rPr>
          <w:rFonts w:hint="eastAsia"/>
          <w:snapToGrid/>
          <w:szCs w:val="24"/>
        </w:rPr>
        <w:t>但是，在新系统里，遗孀和孤儿已被合并到遗属养恤金内的同一类别内。有权领取这一</w:t>
      </w:r>
      <w:r>
        <w:rPr>
          <w:rFonts w:hint="eastAsia"/>
          <w:snapToGrid/>
          <w:szCs w:val="24"/>
        </w:rPr>
        <w:t>养恤金的人如下：</w:t>
      </w:r>
    </w:p>
    <w:p w:rsidR="00000000" w:rsidRDefault="009C1C61">
      <w:pPr>
        <w:numPr>
          <w:ilvl w:val="0"/>
          <w:numId w:val="254"/>
        </w:numPr>
        <w:rPr>
          <w:rFonts w:hint="eastAsia"/>
          <w:snapToGrid/>
          <w:szCs w:val="24"/>
        </w:rPr>
      </w:pPr>
      <w:r>
        <w:rPr>
          <w:rFonts w:hint="eastAsia"/>
          <w:snapToGrid/>
          <w:szCs w:val="24"/>
        </w:rPr>
        <w:t>在受保人死亡前六个月内、或如果受保人是养恤金领取人则在受保人死亡前的三年之内，与受保人结婚的配偶遗属；但是如果领取人死亡时其配偶已经怀孕，或双方已经有共同子女，则上述时限不再适用；</w:t>
      </w:r>
      <w:r>
        <w:rPr>
          <w:rStyle w:val="FootnoteReference"/>
          <w:snapToGrid/>
        </w:rPr>
        <w:footnoteReference w:id="127"/>
      </w:r>
    </w:p>
    <w:p w:rsidR="00000000" w:rsidRDefault="009C1C61">
      <w:pPr>
        <w:numPr>
          <w:ilvl w:val="0"/>
          <w:numId w:val="254"/>
        </w:numPr>
        <w:rPr>
          <w:rFonts w:hint="eastAsia"/>
          <w:snapToGrid/>
          <w:szCs w:val="24"/>
        </w:rPr>
      </w:pPr>
      <w:r>
        <w:rPr>
          <w:rFonts w:hint="eastAsia"/>
          <w:snapToGrid/>
          <w:szCs w:val="24"/>
        </w:rPr>
        <w:t>符合</w:t>
      </w:r>
      <w:r>
        <w:rPr>
          <w:rFonts w:hint="eastAsia"/>
          <w:snapToGrid/>
          <w:szCs w:val="24"/>
        </w:rPr>
        <w:t>(</w:t>
      </w:r>
      <w:r>
        <w:rPr>
          <w:snapToGrid/>
          <w:szCs w:val="24"/>
        </w:rPr>
        <w:t>a</w:t>
      </w:r>
      <w:r>
        <w:rPr>
          <w:rFonts w:hint="eastAsia"/>
          <w:snapToGrid/>
          <w:szCs w:val="24"/>
        </w:rPr>
        <w:t>)</w:t>
      </w:r>
      <w:r>
        <w:rPr>
          <w:rFonts w:hint="eastAsia"/>
          <w:snapToGrid/>
          <w:szCs w:val="24"/>
        </w:rPr>
        <w:t>段所述的各项限制条件的残疾鳏夫；</w:t>
      </w:r>
      <w:r>
        <w:rPr>
          <w:rStyle w:val="FootnoteReference"/>
        </w:rPr>
        <w:footnoteReference w:id="128"/>
      </w:r>
    </w:p>
    <w:p w:rsidR="00000000" w:rsidRDefault="009C1C61">
      <w:pPr>
        <w:numPr>
          <w:ilvl w:val="0"/>
          <w:numId w:val="254"/>
        </w:numPr>
        <w:rPr>
          <w:rFonts w:hint="eastAsia"/>
          <w:snapToGrid/>
          <w:szCs w:val="24"/>
        </w:rPr>
      </w:pPr>
      <w:r>
        <w:rPr>
          <w:rFonts w:hint="eastAsia"/>
          <w:snapToGrid/>
          <w:szCs w:val="24"/>
        </w:rPr>
        <w:t>未婚子女年龄在</w:t>
      </w:r>
      <w:r>
        <w:rPr>
          <w:snapToGrid/>
          <w:szCs w:val="24"/>
        </w:rPr>
        <w:t>18</w:t>
      </w:r>
      <w:r>
        <w:rPr>
          <w:rFonts w:hint="eastAsia"/>
          <w:snapToGrid/>
          <w:szCs w:val="24"/>
        </w:rPr>
        <w:t>岁以下的，如属在校学生则年龄在</w:t>
      </w:r>
      <w:r>
        <w:rPr>
          <w:snapToGrid/>
          <w:szCs w:val="24"/>
        </w:rPr>
        <w:t>24</w:t>
      </w:r>
      <w:r>
        <w:rPr>
          <w:rFonts w:hint="eastAsia"/>
          <w:snapToGrid/>
          <w:szCs w:val="24"/>
        </w:rPr>
        <w:t>岁以下，对残疾者没有年龄限制；</w:t>
      </w:r>
      <w:r>
        <w:rPr>
          <w:rStyle w:val="FootnoteReference"/>
        </w:rPr>
        <w:footnoteReference w:id="129"/>
      </w:r>
    </w:p>
    <w:p w:rsidR="00000000" w:rsidRDefault="009C1C61">
      <w:pPr>
        <w:numPr>
          <w:ilvl w:val="0"/>
          <w:numId w:val="254"/>
        </w:numPr>
        <w:rPr>
          <w:rFonts w:hint="eastAsia"/>
          <w:snapToGrid/>
          <w:szCs w:val="24"/>
        </w:rPr>
      </w:pPr>
      <w:r>
        <w:rPr>
          <w:rFonts w:hint="eastAsia"/>
          <w:snapToGrid/>
          <w:szCs w:val="24"/>
        </w:rPr>
        <w:t>受保人非婚生子女的母亲，其条件是，该母亲在受保人死亡时未婚或是遗霜，同时在受保人生前系依靠受保人的收入维生；</w:t>
      </w:r>
      <w:r>
        <w:rPr>
          <w:rStyle w:val="FootnoteReference"/>
        </w:rPr>
        <w:footnoteReference w:id="130"/>
      </w:r>
    </w:p>
    <w:p w:rsidR="00000000" w:rsidRDefault="009C1C61">
      <w:pPr>
        <w:numPr>
          <w:ilvl w:val="0"/>
          <w:numId w:val="254"/>
        </w:numPr>
        <w:rPr>
          <w:rFonts w:hint="eastAsia"/>
          <w:snapToGrid/>
          <w:szCs w:val="24"/>
        </w:rPr>
      </w:pPr>
      <w:r>
        <w:rPr>
          <w:rFonts w:hint="eastAsia"/>
          <w:snapToGrid/>
          <w:szCs w:val="24"/>
        </w:rPr>
        <w:t>虽然不符合上述条件，但在受保人死亡时有权领取家庭津贴的受保人父母。</w:t>
      </w:r>
    </w:p>
    <w:p w:rsidR="00000000" w:rsidRDefault="009C1C61">
      <w:pPr>
        <w:rPr>
          <w:snapToGrid/>
          <w:szCs w:val="24"/>
        </w:rPr>
      </w:pPr>
      <w:r>
        <w:rPr>
          <w:rFonts w:hint="eastAsia"/>
          <w:snapToGrid/>
          <w:szCs w:val="24"/>
        </w:rPr>
        <w:tab/>
      </w:r>
      <w:r>
        <w:rPr>
          <w:snapToGrid/>
          <w:szCs w:val="24"/>
        </w:rPr>
        <w:t>331.</w:t>
      </w:r>
      <w:r>
        <w:rPr>
          <w:rFonts w:hint="eastAsia"/>
          <w:snapToGrid/>
          <w:szCs w:val="24"/>
        </w:rPr>
        <w:t xml:space="preserve">  </w:t>
      </w:r>
      <w:r>
        <w:rPr>
          <w:rFonts w:hint="eastAsia"/>
          <w:snapToGrid/>
          <w:spacing w:val="6"/>
          <w:szCs w:val="24"/>
        </w:rPr>
        <w:t>根据新的制度，遗属养恤金因相当于有权领取人的养恤金的如下百分比：</w:t>
      </w:r>
      <w:r>
        <w:rPr>
          <w:rStyle w:val="FootnoteReference"/>
        </w:rPr>
        <w:footnoteReference w:id="131"/>
      </w:r>
    </w:p>
    <w:p w:rsidR="00000000" w:rsidRDefault="009C1C61">
      <w:pPr>
        <w:numPr>
          <w:ilvl w:val="0"/>
          <w:numId w:val="256"/>
        </w:numPr>
        <w:rPr>
          <w:rFonts w:hint="eastAsia"/>
          <w:snapToGrid/>
          <w:szCs w:val="24"/>
        </w:rPr>
      </w:pPr>
      <w:r>
        <w:rPr>
          <w:rFonts w:hint="eastAsia"/>
          <w:snapToGrid/>
          <w:szCs w:val="24"/>
        </w:rPr>
        <w:t>对于完全残疾的配偶偿付</w:t>
      </w:r>
      <w:r>
        <w:rPr>
          <w:snapToGrid/>
          <w:szCs w:val="24"/>
        </w:rPr>
        <w:t>60%</w:t>
      </w:r>
      <w:r>
        <w:rPr>
          <w:rFonts w:hint="eastAsia"/>
          <w:snapToGrid/>
          <w:szCs w:val="24"/>
        </w:rPr>
        <w:t>，对部分残疾的配偶偿付</w:t>
      </w:r>
      <w:r>
        <w:rPr>
          <w:snapToGrid/>
          <w:szCs w:val="24"/>
        </w:rPr>
        <w:t>43%</w:t>
      </w:r>
      <w:r>
        <w:rPr>
          <w:rFonts w:hint="eastAsia"/>
          <w:snapToGrid/>
          <w:szCs w:val="24"/>
        </w:rPr>
        <w:t>；</w:t>
      </w:r>
    </w:p>
    <w:p w:rsidR="00000000" w:rsidRDefault="009C1C61">
      <w:pPr>
        <w:numPr>
          <w:ilvl w:val="0"/>
          <w:numId w:val="256"/>
        </w:numPr>
        <w:rPr>
          <w:rFonts w:hint="eastAsia"/>
          <w:snapToGrid/>
          <w:szCs w:val="24"/>
        </w:rPr>
      </w:pPr>
      <w:r>
        <w:rPr>
          <w:rFonts w:hint="eastAsia"/>
          <w:snapToGrid/>
          <w:szCs w:val="24"/>
        </w:rPr>
        <w:t>如果配偶与受保人有可领取养恤金的共同子女，则对于完全残疾的配偶偿付</w:t>
      </w:r>
      <w:r>
        <w:rPr>
          <w:snapToGrid/>
          <w:szCs w:val="24"/>
        </w:rPr>
        <w:t>50%</w:t>
      </w:r>
      <w:r>
        <w:rPr>
          <w:rFonts w:hint="eastAsia"/>
          <w:snapToGrid/>
          <w:szCs w:val="24"/>
        </w:rPr>
        <w:t>养恤金，对于部分残疾的配偶偿付</w:t>
      </w:r>
      <w:r>
        <w:rPr>
          <w:snapToGrid/>
          <w:szCs w:val="24"/>
        </w:rPr>
        <w:t>36%</w:t>
      </w:r>
      <w:r>
        <w:rPr>
          <w:rFonts w:hint="eastAsia"/>
          <w:snapToGrid/>
          <w:szCs w:val="24"/>
        </w:rPr>
        <w:t>养恤金；</w:t>
      </w:r>
    </w:p>
    <w:p w:rsidR="00000000" w:rsidRDefault="009C1C61">
      <w:pPr>
        <w:numPr>
          <w:ilvl w:val="0"/>
          <w:numId w:val="256"/>
        </w:numPr>
        <w:rPr>
          <w:rFonts w:hint="eastAsia"/>
          <w:snapToGrid/>
          <w:szCs w:val="24"/>
        </w:rPr>
      </w:pPr>
      <w:r>
        <w:rPr>
          <w:rFonts w:hint="eastAsia"/>
          <w:snapToGrid/>
          <w:szCs w:val="24"/>
        </w:rPr>
        <w:t>向受保人非婚生子女的母亲偿付</w:t>
      </w:r>
      <w:r>
        <w:rPr>
          <w:snapToGrid/>
          <w:szCs w:val="24"/>
        </w:rPr>
        <w:t>36%</w:t>
      </w:r>
      <w:r>
        <w:rPr>
          <w:rFonts w:hint="eastAsia"/>
          <w:snapToGrid/>
          <w:szCs w:val="24"/>
        </w:rPr>
        <w:t>养恤金，但如果双方有可领取养恤金的共同子女，这一数额下降到</w:t>
      </w:r>
      <w:r>
        <w:rPr>
          <w:snapToGrid/>
          <w:szCs w:val="24"/>
        </w:rPr>
        <w:t>30%</w:t>
      </w:r>
      <w:r>
        <w:rPr>
          <w:rFonts w:hint="eastAsia"/>
          <w:snapToGrid/>
          <w:szCs w:val="24"/>
        </w:rPr>
        <w:t>；</w:t>
      </w:r>
    </w:p>
    <w:p w:rsidR="00000000" w:rsidRDefault="009C1C61">
      <w:pPr>
        <w:numPr>
          <w:ilvl w:val="0"/>
          <w:numId w:val="256"/>
        </w:numPr>
        <w:rPr>
          <w:rFonts w:hint="eastAsia"/>
          <w:snapToGrid/>
          <w:szCs w:val="24"/>
        </w:rPr>
      </w:pPr>
      <w:r>
        <w:rPr>
          <w:rFonts w:hint="eastAsia"/>
          <w:snapToGrid/>
          <w:szCs w:val="24"/>
        </w:rPr>
        <w:t>对符合各项标准的每一子女偿付</w:t>
      </w:r>
      <w:r>
        <w:rPr>
          <w:snapToGrid/>
          <w:szCs w:val="24"/>
        </w:rPr>
        <w:t>15%</w:t>
      </w:r>
      <w:r>
        <w:rPr>
          <w:rFonts w:hint="eastAsia"/>
          <w:snapToGrid/>
          <w:szCs w:val="24"/>
        </w:rPr>
        <w:t>养恤金，如果子女年满</w:t>
      </w:r>
      <w:r>
        <w:rPr>
          <w:snapToGrid/>
          <w:szCs w:val="24"/>
        </w:rPr>
        <w:t>24</w:t>
      </w:r>
      <w:r>
        <w:rPr>
          <w:rFonts w:hint="eastAsia"/>
          <w:snapToGrid/>
          <w:szCs w:val="24"/>
        </w:rPr>
        <w:t>岁但确定为部分残疾，这一比例下降到</w:t>
      </w:r>
      <w:r>
        <w:rPr>
          <w:snapToGrid/>
          <w:szCs w:val="24"/>
        </w:rPr>
        <w:t>11%</w:t>
      </w:r>
      <w:r>
        <w:rPr>
          <w:rFonts w:hint="eastAsia"/>
          <w:snapToGrid/>
          <w:szCs w:val="24"/>
        </w:rPr>
        <w:t>；</w:t>
      </w:r>
    </w:p>
    <w:p w:rsidR="00000000" w:rsidRDefault="009C1C61">
      <w:pPr>
        <w:numPr>
          <w:ilvl w:val="0"/>
          <w:numId w:val="256"/>
        </w:numPr>
        <w:spacing w:after="320"/>
        <w:rPr>
          <w:rFonts w:hint="eastAsia"/>
          <w:snapToGrid/>
          <w:szCs w:val="24"/>
        </w:rPr>
      </w:pPr>
      <w:r>
        <w:rPr>
          <w:rFonts w:hint="eastAsia"/>
          <w:snapToGrid/>
          <w:szCs w:val="24"/>
        </w:rPr>
        <w:t>在没有其他受惠人的情况下，对受保人的父母偿付全</w:t>
      </w:r>
      <w:r>
        <w:rPr>
          <w:rFonts w:hint="eastAsia"/>
          <w:snapToGrid/>
          <w:szCs w:val="24"/>
        </w:rPr>
        <w:t>额的</w:t>
      </w:r>
      <w:r>
        <w:rPr>
          <w:snapToGrid/>
          <w:szCs w:val="24"/>
        </w:rPr>
        <w:t>50%</w:t>
      </w:r>
      <w:r>
        <w:rPr>
          <w:rFonts w:hint="eastAsia"/>
          <w:snapToGrid/>
          <w:szCs w:val="24"/>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工伤事故福利</w:t>
      </w:r>
    </w:p>
    <w:p w:rsidR="00000000" w:rsidRDefault="009C1C61">
      <w:pPr>
        <w:rPr>
          <w:snapToGrid/>
          <w:szCs w:val="24"/>
        </w:rPr>
      </w:pPr>
      <w:r>
        <w:rPr>
          <w:rFonts w:hint="eastAsia"/>
          <w:snapToGrid/>
          <w:szCs w:val="24"/>
        </w:rPr>
        <w:tab/>
      </w:r>
      <w:r>
        <w:rPr>
          <w:snapToGrid/>
          <w:szCs w:val="24"/>
        </w:rPr>
        <w:t>332.</w:t>
      </w:r>
      <w:r>
        <w:rPr>
          <w:rFonts w:hint="eastAsia"/>
          <w:snapToGrid/>
          <w:szCs w:val="24"/>
        </w:rPr>
        <w:t xml:space="preserve">  </w:t>
      </w:r>
      <w:r>
        <w:rPr>
          <w:rFonts w:hint="eastAsia"/>
          <w:snapToGrid/>
          <w:szCs w:val="24"/>
        </w:rPr>
        <w:t>这项福利制度是在设立《对工伤事故和职业病的社会保障》的法律中所提出的。</w:t>
      </w:r>
      <w:r>
        <w:rPr>
          <w:rStyle w:val="FootnoteReference"/>
        </w:rPr>
        <w:footnoteReference w:id="132"/>
      </w:r>
      <w:r>
        <w:rPr>
          <w:rFonts w:hint="eastAsia"/>
          <w:snapToGrid/>
          <w:szCs w:val="24"/>
        </w:rPr>
        <w:t xml:space="preserve"> </w:t>
      </w:r>
      <w:r>
        <w:rPr>
          <w:rFonts w:hint="eastAsia"/>
          <w:snapToGrid/>
          <w:szCs w:val="24"/>
        </w:rPr>
        <w:t>福利所偿付的对象是：从业人员、由于或正当履行工会职责时遭受事故的工会领导人、无单位独立工作人员和学生。</w:t>
      </w:r>
      <w:r>
        <w:rPr>
          <w:rStyle w:val="FootnoteReference"/>
        </w:rPr>
        <w:footnoteReference w:id="133"/>
      </w:r>
      <w:r>
        <w:rPr>
          <w:rFonts w:hint="eastAsia"/>
          <w:snapToGrid/>
          <w:szCs w:val="24"/>
        </w:rPr>
        <w:t xml:space="preserve"> </w:t>
      </w:r>
      <w:r>
        <w:rPr>
          <w:rFonts w:hint="eastAsia"/>
          <w:snapToGrid/>
          <w:szCs w:val="24"/>
        </w:rPr>
        <w:t>从</w:t>
      </w:r>
      <w:r>
        <w:rPr>
          <w:snapToGrid/>
          <w:szCs w:val="24"/>
        </w:rPr>
        <w:t>1995</w:t>
      </w:r>
      <w:r>
        <w:rPr>
          <w:rFonts w:hint="eastAsia"/>
          <w:snapToGrid/>
          <w:szCs w:val="24"/>
        </w:rPr>
        <w:t>年</w:t>
      </w:r>
      <w:r>
        <w:rPr>
          <w:snapToGrid/>
          <w:szCs w:val="24"/>
        </w:rPr>
        <w:t>3</w:t>
      </w:r>
      <w:r>
        <w:rPr>
          <w:rFonts w:hint="eastAsia"/>
          <w:snapToGrid/>
          <w:szCs w:val="24"/>
        </w:rPr>
        <w:t>月</w:t>
      </w:r>
      <w:r>
        <w:rPr>
          <w:snapToGrid/>
          <w:szCs w:val="24"/>
        </w:rPr>
        <w:t>1</w:t>
      </w:r>
      <w:r>
        <w:rPr>
          <w:rFonts w:hint="eastAsia"/>
          <w:snapToGrid/>
          <w:szCs w:val="24"/>
        </w:rPr>
        <w:t>日起，这些福利所偿付的对象扩大到包括公共官员。</w:t>
      </w:r>
      <w:r>
        <w:rPr>
          <w:rStyle w:val="FootnoteReference"/>
          <w:bCs/>
          <w:snapToGrid/>
        </w:rPr>
        <w:footnoteReference w:id="134"/>
      </w:r>
      <w:r>
        <w:rPr>
          <w:rFonts w:hint="eastAsia"/>
          <w:snapToGrid/>
          <w:szCs w:val="24"/>
        </w:rPr>
        <w:t xml:space="preserve"> </w:t>
      </w:r>
      <w:r>
        <w:rPr>
          <w:rFonts w:hint="eastAsia"/>
          <w:snapToGrid/>
          <w:szCs w:val="24"/>
        </w:rPr>
        <w:t>对于无单位独立工作者，法律允许共和国总统决定选择是否将其纳入同一保险制度。</w:t>
      </w:r>
      <w:r>
        <w:rPr>
          <w:rStyle w:val="FootnoteReference"/>
          <w:bCs/>
          <w:snapToGrid/>
        </w:rPr>
        <w:footnoteReference w:id="135"/>
      </w:r>
      <w:r>
        <w:rPr>
          <w:rFonts w:hint="eastAsia"/>
          <w:snapToGrid/>
          <w:szCs w:val="24"/>
        </w:rPr>
        <w:t xml:space="preserve"> </w:t>
      </w:r>
      <w:r>
        <w:rPr>
          <w:rFonts w:hint="eastAsia"/>
          <w:snapToGrid/>
          <w:szCs w:val="24"/>
        </w:rPr>
        <w:t>迄今为止，这项福利所提供的对象包括：分到土地的农民、送报人、独立的赛马师、出租车主兼司机、独立的采矿工人、工艺采矿人和金银匠、按</w:t>
      </w:r>
      <w:r>
        <w:rPr>
          <w:snapToGrid/>
          <w:szCs w:val="24"/>
        </w:rPr>
        <w:t>1980</w:t>
      </w:r>
      <w:r>
        <w:rPr>
          <w:rFonts w:hint="eastAsia"/>
          <w:snapToGrid/>
          <w:szCs w:val="24"/>
        </w:rPr>
        <w:t>年第</w:t>
      </w:r>
      <w:r>
        <w:rPr>
          <w:snapToGrid/>
          <w:szCs w:val="24"/>
        </w:rPr>
        <w:t>3,</w:t>
      </w:r>
      <w:r>
        <w:rPr>
          <w:snapToGrid/>
          <w:szCs w:val="24"/>
        </w:rPr>
        <w:t>500</w:t>
      </w:r>
      <w:r>
        <w:rPr>
          <w:rFonts w:hint="eastAsia"/>
          <w:snapToGrid/>
          <w:szCs w:val="24"/>
        </w:rPr>
        <w:t>号政令法所规定的用于公共交通、运送学生或搬运的机动车的车主兼司机、获准在公路或海滩上兜售物品的商人、小规模个体渔民和一般保关员。</w:t>
      </w:r>
    </w:p>
    <w:p w:rsidR="00000000" w:rsidRDefault="009C1C61">
      <w:pPr>
        <w:rPr>
          <w:rFonts w:hint="eastAsia"/>
          <w:snapToGrid/>
          <w:szCs w:val="24"/>
        </w:rPr>
      </w:pPr>
      <w:r>
        <w:rPr>
          <w:rFonts w:hint="eastAsia"/>
          <w:snapToGrid/>
          <w:szCs w:val="24"/>
        </w:rPr>
        <w:tab/>
      </w:r>
      <w:r>
        <w:rPr>
          <w:snapToGrid/>
          <w:szCs w:val="24"/>
        </w:rPr>
        <w:t>333.</w:t>
      </w:r>
      <w:r>
        <w:rPr>
          <w:rFonts w:hint="eastAsia"/>
          <w:snapToGrid/>
          <w:szCs w:val="24"/>
        </w:rPr>
        <w:t xml:space="preserve">  </w:t>
      </w:r>
      <w:r>
        <w:rPr>
          <w:rFonts w:hint="eastAsia"/>
          <w:snapToGrid/>
          <w:szCs w:val="24"/>
        </w:rPr>
        <w:t>这个系统的经费来自雇主交纳的款项，因为保险所担保的风险主要属于雇主的责任。投保可以有两种方式：即基本投保和补充投保。基本投保适用于一般的情况，所有雇主均已必须交付这项保费，数额相当于付给职工的应付税收入之</w:t>
      </w:r>
      <w:r>
        <w:rPr>
          <w:snapToGrid/>
          <w:szCs w:val="24"/>
        </w:rPr>
        <w:t>0.9%</w:t>
      </w:r>
      <w:r>
        <w:rPr>
          <w:rFonts w:hint="eastAsia"/>
          <w:snapToGrid/>
          <w:szCs w:val="24"/>
        </w:rPr>
        <w:t>，再加上生效期截止</w:t>
      </w:r>
      <w:r>
        <w:rPr>
          <w:snapToGrid/>
          <w:szCs w:val="24"/>
        </w:rPr>
        <w:t>2004</w:t>
      </w:r>
      <w:r>
        <w:rPr>
          <w:rFonts w:hint="eastAsia"/>
          <w:snapToGrid/>
          <w:szCs w:val="24"/>
        </w:rPr>
        <w:t>年</w:t>
      </w:r>
      <w:r>
        <w:rPr>
          <w:snapToGrid/>
          <w:szCs w:val="24"/>
        </w:rPr>
        <w:t>8</w:t>
      </w:r>
      <w:r>
        <w:rPr>
          <w:rFonts w:hint="eastAsia"/>
          <w:snapToGrid/>
          <w:szCs w:val="24"/>
        </w:rPr>
        <w:t>月</w:t>
      </w:r>
      <w:r>
        <w:rPr>
          <w:snapToGrid/>
          <w:szCs w:val="24"/>
        </w:rPr>
        <w:t>31</w:t>
      </w:r>
      <w:r>
        <w:rPr>
          <w:rFonts w:hint="eastAsia"/>
          <w:snapToGrid/>
          <w:szCs w:val="24"/>
        </w:rPr>
        <w:t>日的</w:t>
      </w:r>
      <w:r>
        <w:rPr>
          <w:snapToGrid/>
          <w:szCs w:val="24"/>
        </w:rPr>
        <w:t>0.05%</w:t>
      </w:r>
      <w:r>
        <w:rPr>
          <w:rFonts w:hint="eastAsia"/>
          <w:snapToGrid/>
          <w:szCs w:val="24"/>
        </w:rPr>
        <w:t>补充保费。扩充保费须依企业的业务活动和风险而定，数额由</w:t>
      </w:r>
      <w:r>
        <w:rPr>
          <w:snapToGrid/>
          <w:szCs w:val="24"/>
        </w:rPr>
        <w:t>0%</w:t>
      </w:r>
      <w:r>
        <w:rPr>
          <w:rFonts w:hint="eastAsia"/>
          <w:snapToGrid/>
          <w:szCs w:val="24"/>
        </w:rPr>
        <w:t>至</w:t>
      </w:r>
      <w:r>
        <w:rPr>
          <w:snapToGrid/>
          <w:szCs w:val="24"/>
        </w:rPr>
        <w:t>3.4%</w:t>
      </w:r>
      <w:r>
        <w:rPr>
          <w:rFonts w:hint="eastAsia"/>
          <w:snapToGrid/>
          <w:szCs w:val="24"/>
        </w:rPr>
        <w:t>不等。为了鼓励预防工作场所的风险</w:t>
      </w:r>
      <w:r>
        <w:rPr>
          <w:rFonts w:hint="eastAsia"/>
          <w:snapToGrid/>
          <w:szCs w:val="24"/>
        </w:rPr>
        <w:t>，法律设置了一个免费、折扣和额外保费的制度，这一制度依各企业实际采取的防范措施所产生的效果，会影响补充保费的数额。</w:t>
      </w:r>
      <w:r>
        <w:rPr>
          <w:rStyle w:val="FootnoteReference"/>
          <w:bCs/>
          <w:snapToGrid/>
        </w:rPr>
        <w:footnoteReference w:id="136"/>
      </w:r>
    </w:p>
    <w:p w:rsidR="00000000" w:rsidRDefault="009C1C61">
      <w:pPr>
        <w:rPr>
          <w:rFonts w:hint="eastAsia"/>
          <w:snapToGrid/>
          <w:szCs w:val="24"/>
        </w:rPr>
      </w:pPr>
      <w:r>
        <w:rPr>
          <w:rFonts w:hint="eastAsia"/>
          <w:snapToGrid/>
          <w:szCs w:val="24"/>
        </w:rPr>
        <w:tab/>
      </w:r>
      <w:r>
        <w:rPr>
          <w:snapToGrid/>
          <w:szCs w:val="24"/>
        </w:rPr>
        <w:t>334.</w:t>
      </w:r>
      <w:r>
        <w:rPr>
          <w:rFonts w:hint="eastAsia"/>
          <w:snapToGrid/>
          <w:szCs w:val="24"/>
        </w:rPr>
        <w:t xml:space="preserve">  </w:t>
      </w:r>
      <w:r>
        <w:rPr>
          <w:rFonts w:hint="eastAsia"/>
          <w:snapToGrid/>
          <w:szCs w:val="24"/>
        </w:rPr>
        <w:t>这一保险所提供的福利有两种：医疗福利和经济福利。医疗福利从事故发生了当日起或则从疾病已得到诊断之日起，直到完全恢复、或事故或疾病的后果持续存在的所有时间内都是免费提供的。这些福利包括：医疗、外科手术和牙科护理、必要的住院护理、医药和医疗护理用品、恢复和纠正手术的用具、体能恢复和职业进修、转院费用以及符合偿付养恤金规定的其他费用。</w:t>
      </w:r>
    </w:p>
    <w:p w:rsidR="00000000" w:rsidRDefault="009C1C61">
      <w:pPr>
        <w:rPr>
          <w:rFonts w:hint="eastAsia"/>
          <w:snapToGrid/>
          <w:szCs w:val="24"/>
        </w:rPr>
      </w:pPr>
      <w:r>
        <w:rPr>
          <w:rFonts w:hint="eastAsia"/>
          <w:snapToGrid/>
          <w:szCs w:val="24"/>
        </w:rPr>
        <w:tab/>
      </w:r>
      <w:r>
        <w:rPr>
          <w:snapToGrid/>
          <w:szCs w:val="24"/>
        </w:rPr>
        <w:t>335.</w:t>
      </w:r>
      <w:r>
        <w:rPr>
          <w:rFonts w:hint="eastAsia"/>
          <w:snapToGrid/>
          <w:szCs w:val="24"/>
        </w:rPr>
        <w:t xml:space="preserve">  </w:t>
      </w:r>
      <w:r>
        <w:rPr>
          <w:rFonts w:hint="eastAsia"/>
          <w:snapToGrid/>
          <w:szCs w:val="24"/>
        </w:rPr>
        <w:t>在发生临时丧失工作能力、残疾或死亡</w:t>
      </w:r>
      <w:r>
        <w:rPr>
          <w:rFonts w:hint="eastAsia"/>
          <w:snapToGrid/>
          <w:szCs w:val="24"/>
        </w:rPr>
        <w:t>的情况下，提供经济福利。临时丧失工作能力可以是由于发生属于临时性质或造成暂时性影响的工伤事故或职业病，但职工能够恢复并回归正常工作岗位。对短期残疾偿付的经济福利包括：偿付津贴，以此来补偿职工丧失工作能力期间所失去的工资。津贴从事故发生的当天起、直到职工恢复或被认定属于残疾之时的整个阶段内不断偿付。无论如何，其最长的期限为</w:t>
      </w:r>
      <w:r>
        <w:rPr>
          <w:snapToGrid/>
          <w:szCs w:val="24"/>
        </w:rPr>
        <w:t>52</w:t>
      </w:r>
      <w:r>
        <w:rPr>
          <w:rFonts w:hint="eastAsia"/>
          <w:snapToGrid/>
          <w:szCs w:val="24"/>
        </w:rPr>
        <w:t>个星期，但可以在延续</w:t>
      </w:r>
      <w:r>
        <w:rPr>
          <w:snapToGrid/>
          <w:szCs w:val="24"/>
        </w:rPr>
        <w:t>52</w:t>
      </w:r>
      <w:r>
        <w:rPr>
          <w:rFonts w:hint="eastAsia"/>
          <w:snapToGrid/>
          <w:szCs w:val="24"/>
        </w:rPr>
        <w:t>个星期。</w:t>
      </w:r>
    </w:p>
    <w:p w:rsidR="00000000" w:rsidRDefault="009C1C61">
      <w:pPr>
        <w:rPr>
          <w:rFonts w:hint="eastAsia"/>
          <w:snapToGrid/>
          <w:color w:val="000000"/>
          <w:szCs w:val="24"/>
        </w:rPr>
      </w:pPr>
      <w:r>
        <w:rPr>
          <w:rFonts w:hint="eastAsia"/>
          <w:snapToGrid/>
          <w:szCs w:val="24"/>
        </w:rPr>
        <w:tab/>
      </w:r>
      <w:r>
        <w:rPr>
          <w:snapToGrid/>
          <w:szCs w:val="24"/>
        </w:rPr>
        <w:t>336.</w:t>
      </w:r>
      <w:r>
        <w:rPr>
          <w:rFonts w:hint="eastAsia"/>
          <w:snapToGrid/>
          <w:szCs w:val="24"/>
        </w:rPr>
        <w:t xml:space="preserve">  </w:t>
      </w:r>
      <w:r>
        <w:rPr>
          <w:rFonts w:hint="eastAsia"/>
          <w:snapToGrid/>
          <w:szCs w:val="24"/>
        </w:rPr>
        <w:t>残疾的状况系指永久而不可扭转地丧失工作能力的状况，尽管该职工可能会维持一些剩余的工作能力，使其得以继续工作。在这种情况下，私人的状况被列为</w:t>
      </w:r>
      <w:r>
        <w:rPr>
          <w:rFonts w:hint="eastAsia"/>
          <w:snapToGrid/>
          <w:szCs w:val="24"/>
        </w:rPr>
        <w:t>部分残疾，其职工丧失了超过</w:t>
      </w:r>
      <w:r>
        <w:rPr>
          <w:snapToGrid/>
          <w:szCs w:val="24"/>
        </w:rPr>
        <w:t>15%</w:t>
      </w:r>
      <w:r>
        <w:rPr>
          <w:rFonts w:hint="eastAsia"/>
          <w:snapToGrid/>
          <w:szCs w:val="24"/>
        </w:rPr>
        <w:t>、但少于</w:t>
      </w:r>
      <w:r>
        <w:rPr>
          <w:snapToGrid/>
          <w:szCs w:val="24"/>
        </w:rPr>
        <w:t>70%</w:t>
      </w:r>
      <w:r>
        <w:rPr>
          <w:rFonts w:hint="eastAsia"/>
          <w:snapToGrid/>
          <w:szCs w:val="24"/>
        </w:rPr>
        <w:t>的营生能力。如果其营生能力超过原来能力的</w:t>
      </w:r>
      <w:r>
        <w:rPr>
          <w:snapToGrid/>
          <w:szCs w:val="24"/>
        </w:rPr>
        <w:t>40%</w:t>
      </w:r>
      <w:r>
        <w:rPr>
          <w:rFonts w:hint="eastAsia"/>
          <w:snapToGrid/>
          <w:szCs w:val="24"/>
        </w:rPr>
        <w:t>、但少于原来的</w:t>
      </w:r>
      <w:r>
        <w:rPr>
          <w:snapToGrid/>
          <w:szCs w:val="24"/>
        </w:rPr>
        <w:t>70%</w:t>
      </w:r>
      <w:r>
        <w:rPr>
          <w:rFonts w:hint="eastAsia"/>
          <w:snapToGrid/>
          <w:szCs w:val="24"/>
        </w:rPr>
        <w:t>，此人即有权领取养恤金。完全残疾系指丧失营生能力</w:t>
      </w:r>
      <w:r>
        <w:rPr>
          <w:snapToGrid/>
          <w:szCs w:val="24"/>
        </w:rPr>
        <w:t>70%</w:t>
      </w:r>
      <w:r>
        <w:rPr>
          <w:rFonts w:hint="eastAsia"/>
          <w:snapToGrid/>
          <w:szCs w:val="24"/>
        </w:rPr>
        <w:t>以上的人，有权领取养恤金。最后，还有重大残疾的情况，在这种情况下，残疾人需要他人来护理来进行日常生活的行动，此类人有权领取补充养恤金。</w:t>
      </w:r>
    </w:p>
    <w:p w:rsidR="00000000" w:rsidRDefault="009C1C61">
      <w:pPr>
        <w:spacing w:after="320"/>
        <w:rPr>
          <w:rFonts w:hint="eastAsia"/>
          <w:snapToGrid/>
          <w:color w:val="000000"/>
          <w:szCs w:val="24"/>
        </w:rPr>
      </w:pPr>
      <w:r>
        <w:rPr>
          <w:rFonts w:hint="eastAsia"/>
          <w:snapToGrid/>
        </w:rPr>
        <w:tab/>
      </w:r>
      <w:r>
        <w:rPr>
          <w:snapToGrid/>
        </w:rPr>
        <w:t>337.</w:t>
      </w:r>
      <w:r>
        <w:rPr>
          <w:rFonts w:hint="eastAsia"/>
          <w:snapToGrid/>
        </w:rPr>
        <w:t xml:space="preserve">  </w:t>
      </w:r>
      <w:r>
        <w:rPr>
          <w:rFonts w:hint="eastAsia"/>
          <w:snapToGrid/>
        </w:rPr>
        <w:t>受保人的死亡福利系偿付给配偶、合法，非婚生或领养子女、受保人非婚生子女的母亲，如果没有这些人，则可包括任何有权领取家属津贴的其他长辈或后代。</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失业福利</w:t>
      </w:r>
    </w:p>
    <w:p w:rsidR="00000000" w:rsidRDefault="009C1C61">
      <w:pPr>
        <w:rPr>
          <w:snapToGrid/>
        </w:rPr>
      </w:pPr>
      <w:r>
        <w:rPr>
          <w:rFonts w:hint="eastAsia"/>
          <w:snapToGrid/>
        </w:rPr>
        <w:tab/>
      </w:r>
      <w:r>
        <w:rPr>
          <w:snapToGrid/>
        </w:rPr>
        <w:t>338.</w:t>
      </w:r>
      <w:r>
        <w:rPr>
          <w:rFonts w:hint="eastAsia"/>
          <w:snapToGrid/>
        </w:rPr>
        <w:t xml:space="preserve">  </w:t>
      </w:r>
      <w:r>
        <w:rPr>
          <w:rFonts w:hint="eastAsia"/>
          <w:snapToGrid/>
        </w:rPr>
        <w:t>裁员福利是旨在保护失业职工的一</w:t>
      </w:r>
      <w:r>
        <w:rPr>
          <w:rFonts w:hint="eastAsia"/>
          <w:snapToGrid/>
        </w:rPr>
        <w:t>种现金补贴，在法定的最长期限内向失业职工提供经济支助。</w:t>
      </w:r>
      <w:r>
        <w:rPr>
          <w:rStyle w:val="FootnoteReference"/>
          <w:bCs/>
          <w:snapToGrid/>
        </w:rPr>
        <w:footnoteReference w:id="137"/>
      </w:r>
    </w:p>
    <w:p w:rsidR="00000000" w:rsidRDefault="009C1C61">
      <w:pPr>
        <w:rPr>
          <w:rFonts w:hint="eastAsia"/>
          <w:snapToGrid/>
        </w:rPr>
      </w:pPr>
      <w:r>
        <w:rPr>
          <w:rFonts w:hint="eastAsia"/>
          <w:snapToGrid/>
        </w:rPr>
        <w:tab/>
        <w:t xml:space="preserve">339.  </w:t>
      </w:r>
      <w:r>
        <w:rPr>
          <w:rFonts w:hint="eastAsia"/>
          <w:snapToGrid/>
        </w:rPr>
        <w:t>有资格享受这一福利的人士包括公共和私营部门领取工资的工作人员，以及自</w:t>
      </w:r>
      <w:r>
        <w:rPr>
          <w:rFonts w:hint="eastAsia"/>
          <w:snapToGrid/>
        </w:rPr>
        <w:t>1974</w:t>
      </w:r>
      <w:r>
        <w:rPr>
          <w:rFonts w:hint="eastAsia"/>
          <w:snapToGrid/>
        </w:rPr>
        <w:t>年</w:t>
      </w:r>
      <w:r>
        <w:rPr>
          <w:rFonts w:hint="eastAsia"/>
          <w:snapToGrid/>
        </w:rPr>
        <w:t>8</w:t>
      </w:r>
      <w:r>
        <w:rPr>
          <w:rFonts w:hint="eastAsia"/>
          <w:snapToGrid/>
        </w:rPr>
        <w:t>月</w:t>
      </w:r>
      <w:r>
        <w:rPr>
          <w:rFonts w:hint="eastAsia"/>
          <w:snapToGrid/>
        </w:rPr>
        <w:t>1</w:t>
      </w:r>
      <w:r>
        <w:rPr>
          <w:rFonts w:hint="eastAsia"/>
          <w:snapToGrid/>
        </w:rPr>
        <w:t>日起有权享受此种福利的无单位独立工作人员，或者当加入新的养恤金计划时已经在向节约储蓄计划交费，使之能够享受家属津贴或裁员补贴，同时又正在从事按节约储蓄计划符合其作为投保人资格的活动的那些无单位独立工作人员。</w:t>
      </w:r>
      <w:r>
        <w:rPr>
          <w:rStyle w:val="FootnoteReference"/>
          <w:bCs/>
          <w:snapToGrid/>
        </w:rPr>
        <w:footnoteReference w:id="138"/>
      </w:r>
    </w:p>
    <w:p w:rsidR="00000000" w:rsidRDefault="009C1C61">
      <w:pPr>
        <w:rPr>
          <w:rFonts w:hint="eastAsia"/>
          <w:snapToGrid/>
          <w:color w:val="000000"/>
          <w:szCs w:val="24"/>
        </w:rPr>
      </w:pPr>
      <w:r>
        <w:rPr>
          <w:rFonts w:hint="eastAsia"/>
          <w:snapToGrid/>
        </w:rPr>
        <w:tab/>
      </w:r>
      <w:r>
        <w:rPr>
          <w:snapToGrid/>
        </w:rPr>
        <w:t>340.</w:t>
      </w:r>
      <w:r>
        <w:rPr>
          <w:rFonts w:hint="eastAsia"/>
          <w:snapToGrid/>
        </w:rPr>
        <w:t xml:space="preserve">  </w:t>
      </w:r>
      <w:r>
        <w:rPr>
          <w:rFonts w:hint="eastAsia"/>
          <w:snapToGrid/>
        </w:rPr>
        <w:t>领取福利的条件如下：</w:t>
      </w:r>
    </w:p>
    <w:p w:rsidR="00000000" w:rsidRDefault="009C1C61">
      <w:pPr>
        <w:widowControl w:val="0"/>
        <w:numPr>
          <w:ilvl w:val="0"/>
          <w:numId w:val="259"/>
        </w:numPr>
        <w:rPr>
          <w:rFonts w:hint="eastAsia"/>
          <w:snapToGrid/>
          <w:color w:val="000000"/>
          <w:szCs w:val="24"/>
        </w:rPr>
      </w:pPr>
      <w:r>
        <w:rPr>
          <w:rFonts w:hint="eastAsia"/>
          <w:snapToGrid/>
          <w:color w:val="000000"/>
          <w:szCs w:val="24"/>
        </w:rPr>
        <w:t>遭裁员，系指出于职工无法控制原因而被解雇的情况；</w:t>
      </w:r>
    </w:p>
    <w:p w:rsidR="00000000" w:rsidRDefault="009C1C61">
      <w:pPr>
        <w:widowControl w:val="0"/>
        <w:numPr>
          <w:ilvl w:val="0"/>
          <w:numId w:val="259"/>
        </w:numPr>
        <w:rPr>
          <w:rFonts w:hint="eastAsia"/>
          <w:snapToGrid/>
          <w:color w:val="000000"/>
          <w:szCs w:val="24"/>
        </w:rPr>
      </w:pPr>
      <w:r>
        <w:rPr>
          <w:rFonts w:hint="eastAsia"/>
          <w:snapToGrid/>
          <w:color w:val="000000"/>
          <w:szCs w:val="24"/>
        </w:rPr>
        <w:t>在裁员之日前的两年内</w:t>
      </w:r>
      <w:r>
        <w:rPr>
          <w:rFonts w:hint="eastAsia"/>
          <w:snapToGrid/>
          <w:color w:val="000000"/>
          <w:szCs w:val="24"/>
        </w:rPr>
        <w:t>(</w:t>
      </w:r>
      <w:r>
        <w:rPr>
          <w:rFonts w:hint="eastAsia"/>
          <w:snapToGrid/>
          <w:color w:val="000000"/>
          <w:szCs w:val="24"/>
        </w:rPr>
        <w:t>连续或间断地</w:t>
      </w:r>
      <w:r>
        <w:rPr>
          <w:rFonts w:hint="eastAsia"/>
          <w:snapToGrid/>
          <w:color w:val="000000"/>
          <w:szCs w:val="24"/>
        </w:rPr>
        <w:t>)</w:t>
      </w:r>
      <w:r>
        <w:rPr>
          <w:rFonts w:hint="eastAsia"/>
          <w:snapToGrid/>
          <w:color w:val="000000"/>
          <w:szCs w:val="24"/>
        </w:rPr>
        <w:t>交付了至少</w:t>
      </w:r>
      <w:r>
        <w:rPr>
          <w:snapToGrid/>
          <w:color w:val="000000"/>
          <w:szCs w:val="24"/>
        </w:rPr>
        <w:t>52</w:t>
      </w:r>
      <w:r>
        <w:rPr>
          <w:rFonts w:hint="eastAsia"/>
          <w:snapToGrid/>
          <w:color w:val="000000"/>
          <w:szCs w:val="24"/>
        </w:rPr>
        <w:t>个星期的保</w:t>
      </w:r>
      <w:r>
        <w:rPr>
          <w:rFonts w:hint="eastAsia"/>
          <w:snapToGrid/>
          <w:color w:val="000000"/>
          <w:szCs w:val="24"/>
        </w:rPr>
        <w:t>费，并从属于某一节约储蓄计划；</w:t>
      </w:r>
    </w:p>
    <w:p w:rsidR="00000000" w:rsidRDefault="009C1C61">
      <w:pPr>
        <w:widowControl w:val="0"/>
        <w:numPr>
          <w:ilvl w:val="0"/>
          <w:numId w:val="259"/>
        </w:numPr>
        <w:rPr>
          <w:snapToGrid/>
          <w:color w:val="000000"/>
          <w:szCs w:val="24"/>
        </w:rPr>
      </w:pPr>
      <w:r>
        <w:rPr>
          <w:rFonts w:hint="eastAsia"/>
          <w:snapToGrid/>
          <w:color w:val="000000"/>
          <w:szCs w:val="24"/>
        </w:rPr>
        <w:t>必须在职工居住地的市政府所设裁员登记册中登记，登记的目的是为其在社区内安排助理性工作。</w:t>
      </w:r>
    </w:p>
    <w:p w:rsidR="00000000" w:rsidRDefault="009C1C61">
      <w:pPr>
        <w:rPr>
          <w:rStyle w:val="FootnoteReference"/>
          <w:rFonts w:hint="eastAsia"/>
          <w:bCs/>
        </w:rPr>
      </w:pPr>
      <w:r>
        <w:rPr>
          <w:rFonts w:hint="eastAsia"/>
          <w:snapToGrid/>
        </w:rPr>
        <w:tab/>
      </w:r>
      <w:r>
        <w:rPr>
          <w:snapToGrid/>
        </w:rPr>
        <w:t>341.</w:t>
      </w:r>
      <w:r>
        <w:rPr>
          <w:rFonts w:hint="eastAsia"/>
          <w:snapToGrid/>
        </w:rPr>
        <w:t xml:space="preserve">  </w:t>
      </w:r>
      <w:r>
        <w:rPr>
          <w:rFonts w:hint="eastAsia"/>
          <w:snapToGrid/>
        </w:rPr>
        <w:t>这一福利的偿付方式是，从申请之日起，该职工被裁员的每一天都可领取福利，但偿付以每年每次</w:t>
      </w:r>
      <w:r>
        <w:rPr>
          <w:snapToGrid/>
        </w:rPr>
        <w:t>90</w:t>
      </w:r>
      <w:r>
        <w:rPr>
          <w:rFonts w:hint="eastAsia"/>
          <w:snapToGrid/>
        </w:rPr>
        <w:t>天为一个时间单元。此外，根据法律，雇主偿付保费过迟并不妨碍领取这一福利，但福利必须由管理机构酌情收回雇主所拖欠的保费之后偿付。</w:t>
      </w:r>
      <w:r>
        <w:rPr>
          <w:rStyle w:val="FootnoteReference"/>
          <w:bCs/>
          <w:snapToGrid/>
        </w:rPr>
        <w:footnoteReference w:id="139"/>
      </w:r>
    </w:p>
    <w:p w:rsidR="00000000" w:rsidRDefault="009C1C61">
      <w:pPr>
        <w:rPr>
          <w:rStyle w:val="FootnoteReference"/>
          <w:rFonts w:hint="eastAsia"/>
          <w:bCs/>
        </w:rPr>
      </w:pPr>
      <w:r>
        <w:rPr>
          <w:rFonts w:hint="eastAsia"/>
          <w:snapToGrid/>
        </w:rPr>
        <w:tab/>
      </w:r>
      <w:r>
        <w:rPr>
          <w:snapToGrid/>
        </w:rPr>
        <w:t>342.</w:t>
      </w:r>
      <w:r>
        <w:rPr>
          <w:rFonts w:hint="eastAsia"/>
          <w:snapToGrid/>
        </w:rPr>
        <w:t xml:space="preserve">  </w:t>
      </w:r>
      <w:r>
        <w:rPr>
          <w:rFonts w:hint="eastAsia"/>
          <w:snapToGrid/>
        </w:rPr>
        <w:t>自</w:t>
      </w:r>
      <w:r>
        <w:rPr>
          <w:snapToGrid/>
        </w:rPr>
        <w:t>1996</w:t>
      </w:r>
      <w:r>
        <w:rPr>
          <w:rFonts w:hint="eastAsia"/>
          <w:snapToGrid/>
        </w:rPr>
        <w:t>年</w:t>
      </w:r>
      <w:r>
        <w:rPr>
          <w:snapToGrid/>
        </w:rPr>
        <w:t>1</w:t>
      </w:r>
      <w:r>
        <w:rPr>
          <w:rFonts w:hint="eastAsia"/>
          <w:snapToGrid/>
        </w:rPr>
        <w:t>月</w:t>
      </w:r>
      <w:r>
        <w:rPr>
          <w:snapToGrid/>
        </w:rPr>
        <w:t>1</w:t>
      </w:r>
      <w:r>
        <w:rPr>
          <w:rFonts w:hint="eastAsia"/>
          <w:snapToGrid/>
        </w:rPr>
        <w:t>日起，</w:t>
      </w:r>
      <w:r>
        <w:rPr>
          <w:rStyle w:val="FootnoteReference"/>
          <w:bCs/>
          <w:snapToGrid/>
        </w:rPr>
        <w:footnoteReference w:id="140"/>
      </w:r>
      <w:r>
        <w:rPr>
          <w:rFonts w:hint="eastAsia"/>
          <w:snapToGrid/>
        </w:rPr>
        <w:t xml:space="preserve"> </w:t>
      </w:r>
      <w:r>
        <w:rPr>
          <w:rFonts w:hint="eastAsia"/>
          <w:snapToGrid/>
        </w:rPr>
        <w:t>福利的数额以递减方式给付，据此，</w:t>
      </w:r>
      <w:r>
        <w:rPr>
          <w:snapToGrid/>
        </w:rPr>
        <w:t>1999</w:t>
      </w:r>
      <w:r>
        <w:rPr>
          <w:rFonts w:hint="eastAsia"/>
          <w:snapToGrid/>
        </w:rPr>
        <w:t>年，最初的</w:t>
      </w:r>
      <w:r>
        <w:rPr>
          <w:snapToGrid/>
        </w:rPr>
        <w:t>90</w:t>
      </w:r>
      <w:r>
        <w:rPr>
          <w:rFonts w:hint="eastAsia"/>
          <w:snapToGrid/>
        </w:rPr>
        <w:t>天内每月偿付</w:t>
      </w:r>
      <w:r>
        <w:rPr>
          <w:snapToGrid/>
        </w:rPr>
        <w:t>17,338</w:t>
      </w:r>
      <w:r>
        <w:rPr>
          <w:rFonts w:hint="eastAsia"/>
          <w:snapToGrid/>
        </w:rPr>
        <w:t>比索</w:t>
      </w:r>
      <w:r>
        <w:rPr>
          <w:rFonts w:hint="eastAsia"/>
          <w:snapToGrid/>
        </w:rPr>
        <w:t>(</w:t>
      </w:r>
      <w:r>
        <w:rPr>
          <w:snapToGrid/>
        </w:rPr>
        <w:t>34</w:t>
      </w:r>
      <w:r>
        <w:rPr>
          <w:rFonts w:hint="eastAsia"/>
          <w:snapToGrid/>
        </w:rPr>
        <w:t>美元</w:t>
      </w:r>
      <w:r>
        <w:rPr>
          <w:rFonts w:hint="eastAsia"/>
          <w:snapToGrid/>
        </w:rPr>
        <w:t>)</w:t>
      </w:r>
      <w:r>
        <w:rPr>
          <w:rFonts w:hint="eastAsia"/>
          <w:snapToGrid/>
        </w:rPr>
        <w:t>；下一个</w:t>
      </w:r>
      <w:r>
        <w:rPr>
          <w:snapToGrid/>
        </w:rPr>
        <w:t>90</w:t>
      </w:r>
      <w:r>
        <w:rPr>
          <w:rFonts w:hint="eastAsia"/>
          <w:snapToGrid/>
        </w:rPr>
        <w:t>天内每月偿</w:t>
      </w:r>
      <w:r>
        <w:rPr>
          <w:rFonts w:hint="eastAsia"/>
          <w:snapToGrid/>
        </w:rPr>
        <w:t>付</w:t>
      </w:r>
      <w:r>
        <w:rPr>
          <w:snapToGrid/>
        </w:rPr>
        <w:t>11,560</w:t>
      </w:r>
      <w:r>
        <w:rPr>
          <w:rFonts w:hint="eastAsia"/>
          <w:snapToGrid/>
        </w:rPr>
        <w:t>比索</w:t>
      </w:r>
      <w:r>
        <w:rPr>
          <w:rFonts w:hint="eastAsia"/>
          <w:snapToGrid/>
        </w:rPr>
        <w:t>(</w:t>
      </w:r>
      <w:r>
        <w:rPr>
          <w:snapToGrid/>
        </w:rPr>
        <w:t>22</w:t>
      </w:r>
      <w:r>
        <w:rPr>
          <w:rFonts w:hint="eastAsia"/>
          <w:snapToGrid/>
        </w:rPr>
        <w:t>美元</w:t>
      </w:r>
      <w:r>
        <w:rPr>
          <w:rFonts w:hint="eastAsia"/>
          <w:snapToGrid/>
        </w:rPr>
        <w:t>)</w:t>
      </w:r>
      <w:r>
        <w:rPr>
          <w:rFonts w:hint="eastAsia"/>
          <w:snapToGrid/>
        </w:rPr>
        <w:t>；而接下来的</w:t>
      </w:r>
      <w:r>
        <w:rPr>
          <w:snapToGrid/>
        </w:rPr>
        <w:t>180</w:t>
      </w:r>
      <w:r>
        <w:rPr>
          <w:rFonts w:hint="eastAsia"/>
          <w:snapToGrid/>
        </w:rPr>
        <w:t>天内，每月偿付</w:t>
      </w:r>
      <w:r>
        <w:rPr>
          <w:snapToGrid/>
        </w:rPr>
        <w:t>8,669</w:t>
      </w:r>
      <w:r>
        <w:rPr>
          <w:rFonts w:hint="eastAsia"/>
          <w:snapToGrid/>
        </w:rPr>
        <w:t>比索</w:t>
      </w:r>
      <w:r>
        <w:rPr>
          <w:rFonts w:hint="eastAsia"/>
          <w:snapToGrid/>
        </w:rPr>
        <w:t>(</w:t>
      </w:r>
      <w:r>
        <w:rPr>
          <w:snapToGrid/>
        </w:rPr>
        <w:t>17</w:t>
      </w:r>
      <w:r>
        <w:rPr>
          <w:rFonts w:hint="eastAsia"/>
          <w:snapToGrid/>
        </w:rPr>
        <w:t>美元</w:t>
      </w:r>
      <w:r>
        <w:rPr>
          <w:rFonts w:hint="eastAsia"/>
          <w:snapToGrid/>
        </w:rPr>
        <w:t>)</w:t>
      </w:r>
      <w:r>
        <w:rPr>
          <w:rFonts w:hint="eastAsia"/>
          <w:snapToGrid/>
        </w:rPr>
        <w:t>。</w:t>
      </w:r>
      <w:r>
        <w:rPr>
          <w:snapToGrid/>
        </w:rPr>
        <w:t>1990</w:t>
      </w:r>
      <w:r>
        <w:rPr>
          <w:rFonts w:hint="eastAsia"/>
          <w:snapToGrid/>
        </w:rPr>
        <w:t>年至</w:t>
      </w:r>
      <w:r>
        <w:rPr>
          <w:snapToGrid/>
        </w:rPr>
        <w:t>1999</w:t>
      </w:r>
      <w:r>
        <w:rPr>
          <w:rFonts w:hint="eastAsia"/>
          <w:snapToGrid/>
        </w:rPr>
        <w:t>年，裁员福利的平均每月数额增加了</w:t>
      </w:r>
      <w:r>
        <w:rPr>
          <w:snapToGrid/>
        </w:rPr>
        <w:t>13.3%</w:t>
      </w:r>
      <w:r>
        <w:rPr>
          <w:rFonts w:hint="eastAsia"/>
          <w:snapToGrid/>
        </w:rPr>
        <w:t>。</w:t>
      </w:r>
      <w:r>
        <w:rPr>
          <w:snapToGrid/>
        </w:rPr>
        <w:t>1999</w:t>
      </w:r>
      <w:r>
        <w:rPr>
          <w:rFonts w:hint="eastAsia"/>
          <w:snapToGrid/>
        </w:rPr>
        <w:t>年，每月平均偿付了</w:t>
      </w:r>
      <w:r>
        <w:rPr>
          <w:snapToGrid/>
        </w:rPr>
        <w:t>49,000</w:t>
      </w:r>
      <w:r>
        <w:rPr>
          <w:rFonts w:hint="eastAsia"/>
          <w:snapToGrid/>
        </w:rPr>
        <w:t>份福利，其月平均价值为</w:t>
      </w:r>
      <w:r>
        <w:rPr>
          <w:snapToGrid/>
        </w:rPr>
        <w:t>11,403</w:t>
      </w:r>
      <w:r>
        <w:rPr>
          <w:rFonts w:hint="eastAsia"/>
          <w:snapToGrid/>
        </w:rPr>
        <w:t>比索</w:t>
      </w:r>
      <w:r>
        <w:rPr>
          <w:rFonts w:hint="eastAsia"/>
          <w:snapToGrid/>
        </w:rPr>
        <w:t>(</w:t>
      </w:r>
      <w:r>
        <w:rPr>
          <w:snapToGrid/>
        </w:rPr>
        <w:t>20</w:t>
      </w:r>
      <w:r>
        <w:rPr>
          <w:rFonts w:hint="eastAsia"/>
          <w:snapToGrid/>
        </w:rPr>
        <w:t>美元</w:t>
      </w:r>
      <w:r>
        <w:rPr>
          <w:rFonts w:hint="eastAsia"/>
          <w:snapToGrid/>
        </w:rPr>
        <w:t>)</w:t>
      </w:r>
      <w:r>
        <w:rPr>
          <w:rFonts w:hint="eastAsia"/>
          <w:snapToGrid/>
        </w:rPr>
        <w:t>。</w:t>
      </w:r>
      <w:r>
        <w:rPr>
          <w:rStyle w:val="FootnoteReference"/>
          <w:bCs/>
          <w:snapToGrid/>
        </w:rPr>
        <w:footnoteReference w:id="141"/>
      </w:r>
    </w:p>
    <w:p w:rsidR="00000000" w:rsidRDefault="009C1C61">
      <w:pPr>
        <w:spacing w:after="320"/>
        <w:rPr>
          <w:rFonts w:hint="eastAsia"/>
          <w:snapToGrid/>
          <w:color w:val="000000"/>
          <w:szCs w:val="24"/>
        </w:rPr>
      </w:pPr>
      <w:r>
        <w:rPr>
          <w:rFonts w:hint="eastAsia"/>
          <w:snapToGrid/>
        </w:rPr>
        <w:tab/>
      </w:r>
      <w:r>
        <w:rPr>
          <w:snapToGrid/>
        </w:rPr>
        <w:t>343.</w:t>
      </w:r>
      <w:r>
        <w:rPr>
          <w:rFonts w:hint="eastAsia"/>
          <w:snapToGrid/>
        </w:rPr>
        <w:t xml:space="preserve">  </w:t>
      </w:r>
      <w:r>
        <w:rPr>
          <w:rFonts w:hint="eastAsia"/>
          <w:snapToGrid/>
        </w:rPr>
        <w:t>这项福利的经费是由财政收入提供的，它从属于家庭津贴和裁员津贴统一基金。</w:t>
      </w:r>
      <w:r>
        <w:rPr>
          <w:rStyle w:val="FootnoteReference"/>
          <w:bCs/>
          <w:snapToGrid/>
        </w:rPr>
        <w:footnoteReference w:id="142"/>
      </w:r>
    </w:p>
    <w:p w:rsidR="00000000" w:rsidRDefault="009C1C61">
      <w:pPr>
        <w:pStyle w:val="Heading4"/>
        <w:rPr>
          <w:rFonts w:ascii="Time New Roman" w:eastAsia="SimHei" w:hAnsi="Time New Roman" w:hint="eastAsia"/>
          <w:color w:val="000000"/>
          <w:szCs w:val="24"/>
        </w:rPr>
      </w:pPr>
      <w:r>
        <w:rPr>
          <w:rFonts w:ascii="Time New Roman" w:eastAsia="SimHei" w:hAnsi="Time New Roman" w:hint="eastAsia"/>
          <w:lang w:eastAsia="zh-TW"/>
        </w:rPr>
        <w:t>家属福利</w:t>
      </w:r>
    </w:p>
    <w:p w:rsidR="00000000" w:rsidRDefault="009C1C61">
      <w:pPr>
        <w:spacing w:after="320"/>
        <w:rPr>
          <w:rFonts w:hint="eastAsia"/>
          <w:snapToGrid/>
          <w:color w:val="000000"/>
          <w:szCs w:val="24"/>
          <w:lang w:eastAsia="zh-TW"/>
        </w:rPr>
      </w:pPr>
      <w:r>
        <w:rPr>
          <w:rFonts w:hint="eastAsia"/>
          <w:snapToGrid/>
        </w:rPr>
        <w:tab/>
      </w:r>
      <w:r>
        <w:rPr>
          <w:snapToGrid/>
          <w:lang w:eastAsia="zh-TW"/>
        </w:rPr>
        <w:t>344.</w:t>
      </w:r>
      <w:r>
        <w:rPr>
          <w:rFonts w:hint="eastAsia"/>
          <w:snapToGrid/>
        </w:rPr>
        <w:t xml:space="preserve">  </w:t>
      </w:r>
      <w:r>
        <w:rPr>
          <w:rFonts w:hint="eastAsia"/>
          <w:snapToGrid/>
          <w:lang w:eastAsia="zh-TW"/>
        </w:rPr>
        <w:t>应当指出，智利的社会保障制度中有两种家属福利：名副其实的家属津贴</w:t>
      </w:r>
      <w:r>
        <w:rPr>
          <w:rFonts w:hint="eastAsia"/>
          <w:snapToGrid/>
          <w:lang w:eastAsia="zh-TW"/>
        </w:rPr>
        <w:t>(</w:t>
      </w:r>
      <w:r>
        <w:rPr>
          <w:snapToGrid/>
          <w:lang w:eastAsia="zh-TW"/>
        </w:rPr>
        <w:t>asignacion familiar</w:t>
      </w:r>
      <w:r>
        <w:rPr>
          <w:rFonts w:hint="eastAsia"/>
          <w:snapToGrid/>
          <w:lang w:eastAsia="zh-TW"/>
        </w:rPr>
        <w:t>)</w:t>
      </w:r>
      <w:r>
        <w:rPr>
          <w:rFonts w:hint="eastAsia"/>
          <w:snapToGrid/>
          <w:lang w:eastAsia="zh-TW"/>
        </w:rPr>
        <w:t>，即一种保险形式；和收入有限人士的家属补助</w:t>
      </w:r>
      <w:r>
        <w:rPr>
          <w:rFonts w:hint="eastAsia"/>
          <w:snapToGrid/>
          <w:lang w:eastAsia="zh-TW"/>
        </w:rPr>
        <w:t>(</w:t>
      </w:r>
      <w:r>
        <w:rPr>
          <w:snapToGrid/>
          <w:lang w:eastAsia="zh-TW"/>
        </w:rPr>
        <w:t>s</w:t>
      </w:r>
      <w:r>
        <w:rPr>
          <w:snapToGrid/>
          <w:lang w:eastAsia="zh-TW"/>
        </w:rPr>
        <w:t>ubsidio familiar</w:t>
      </w:r>
      <w:r>
        <w:rPr>
          <w:rFonts w:hint="eastAsia"/>
          <w:snapToGrid/>
          <w:lang w:eastAsia="zh-TW"/>
        </w:rPr>
        <w:t>)</w:t>
      </w:r>
      <w:r>
        <w:rPr>
          <w:rFonts w:hint="eastAsia"/>
          <w:snapToGrid/>
          <w:lang w:eastAsia="zh-TW"/>
        </w:rPr>
        <w:t>，是一种抚恤金形式。</w:t>
      </w:r>
    </w:p>
    <w:p w:rsidR="00000000" w:rsidRDefault="009C1C61">
      <w:pPr>
        <w:widowControl w:val="0"/>
        <w:overflowPunct/>
        <w:autoSpaceDE w:val="0"/>
        <w:autoSpaceDN w:val="0"/>
        <w:snapToGrid/>
        <w:spacing w:after="320"/>
        <w:jc w:val="left"/>
        <w:rPr>
          <w:rFonts w:hint="eastAsia"/>
          <w:snapToGrid/>
          <w:color w:val="000000"/>
          <w:szCs w:val="24"/>
        </w:rPr>
      </w:pPr>
      <w:r>
        <w:rPr>
          <w:rFonts w:ascii="Time New Roman" w:eastAsia="SimHei" w:hAnsi="Time New Roman" w:hint="eastAsia"/>
          <w:snapToGrid/>
          <w:color w:val="000000"/>
          <w:szCs w:val="24"/>
          <w:u w:val="single"/>
        </w:rPr>
        <w:t>家属津贴</w:t>
      </w:r>
    </w:p>
    <w:p w:rsidR="00000000" w:rsidRDefault="009C1C61">
      <w:pPr>
        <w:rPr>
          <w:rStyle w:val="FootnoteReference"/>
          <w:rFonts w:hint="eastAsia"/>
          <w:bCs/>
        </w:rPr>
      </w:pPr>
      <w:r>
        <w:rPr>
          <w:rFonts w:hint="eastAsia"/>
          <w:snapToGrid/>
        </w:rPr>
        <w:tab/>
      </w:r>
      <w:r>
        <w:rPr>
          <w:snapToGrid/>
        </w:rPr>
        <w:t>345.</w:t>
      </w:r>
      <w:r>
        <w:rPr>
          <w:rFonts w:hint="eastAsia"/>
          <w:snapToGrid/>
        </w:rPr>
        <w:t xml:space="preserve">  </w:t>
      </w:r>
      <w:r>
        <w:rPr>
          <w:rFonts w:hint="eastAsia"/>
          <w:snapToGrid/>
        </w:rPr>
        <w:t>这是一种现金补贴，由社区定期向家属发放，领取人的资格是，由户主开支并依靠其收入生活的家属</w:t>
      </w:r>
      <w:r>
        <w:rPr>
          <w:rFonts w:hint="eastAsia"/>
          <w:snapToGrid/>
        </w:rPr>
        <w:t>(</w:t>
      </w:r>
      <w:r>
        <w:rPr>
          <w:rFonts w:hint="eastAsia"/>
          <w:snapToGrid/>
        </w:rPr>
        <w:t>家庭成员</w:t>
      </w:r>
      <w:r>
        <w:rPr>
          <w:rFonts w:hint="eastAsia"/>
          <w:snapToGrid/>
        </w:rPr>
        <w:t>)</w:t>
      </w:r>
      <w:r>
        <w:rPr>
          <w:rFonts w:hint="eastAsia"/>
          <w:snapToGrid/>
        </w:rPr>
        <w:t>。这项福利由统一家庭福利系统掌管。</w:t>
      </w:r>
      <w:r>
        <w:rPr>
          <w:rStyle w:val="FootnoteReference"/>
          <w:bCs/>
          <w:snapToGrid/>
        </w:rPr>
        <w:footnoteReference w:id="143"/>
      </w:r>
    </w:p>
    <w:p w:rsidR="00000000" w:rsidRDefault="009C1C61">
      <w:pPr>
        <w:rPr>
          <w:rFonts w:hint="eastAsia"/>
          <w:snapToGrid/>
          <w:color w:val="000000"/>
          <w:szCs w:val="24"/>
        </w:rPr>
      </w:pPr>
      <w:r>
        <w:rPr>
          <w:rFonts w:hint="eastAsia"/>
          <w:snapToGrid/>
        </w:rPr>
        <w:tab/>
      </w:r>
      <w:r>
        <w:rPr>
          <w:snapToGrid/>
        </w:rPr>
        <w:t>346.</w:t>
      </w:r>
      <w:r>
        <w:rPr>
          <w:rFonts w:hint="eastAsia"/>
          <w:snapToGrid/>
        </w:rPr>
        <w:t xml:space="preserve">  </w:t>
      </w:r>
      <w:r>
        <w:rPr>
          <w:rFonts w:hint="eastAsia"/>
          <w:snapToGrid/>
        </w:rPr>
        <w:t>家属津贴的领取人包括：</w:t>
      </w:r>
    </w:p>
    <w:p w:rsidR="00000000" w:rsidRDefault="009C1C61">
      <w:pPr>
        <w:widowControl w:val="0"/>
        <w:numPr>
          <w:ilvl w:val="0"/>
          <w:numId w:val="261"/>
        </w:numPr>
        <w:rPr>
          <w:rFonts w:hint="eastAsia"/>
          <w:snapToGrid/>
          <w:color w:val="000000"/>
          <w:szCs w:val="24"/>
        </w:rPr>
      </w:pPr>
      <w:r>
        <w:rPr>
          <w:rFonts w:hint="eastAsia"/>
          <w:snapToGrid/>
          <w:color w:val="000000"/>
          <w:szCs w:val="24"/>
        </w:rPr>
        <w:t>私营部门和公共部门两方面的所有在职职工；</w:t>
      </w:r>
    </w:p>
    <w:p w:rsidR="00000000" w:rsidRDefault="009C1C61">
      <w:pPr>
        <w:widowControl w:val="0"/>
        <w:numPr>
          <w:ilvl w:val="0"/>
          <w:numId w:val="261"/>
        </w:numPr>
        <w:rPr>
          <w:rFonts w:hint="eastAsia"/>
          <w:snapToGrid/>
          <w:color w:val="000000"/>
          <w:szCs w:val="24"/>
        </w:rPr>
      </w:pPr>
      <w:r>
        <w:rPr>
          <w:rFonts w:hint="eastAsia"/>
          <w:snapToGrid/>
          <w:color w:val="000000"/>
          <w:szCs w:val="24"/>
        </w:rPr>
        <w:t>由于人员裁减、丧失工作能力、工伤事故或职业病而已经有权领取福利的工作人员；</w:t>
      </w:r>
    </w:p>
    <w:p w:rsidR="00000000" w:rsidRDefault="009C1C61">
      <w:pPr>
        <w:widowControl w:val="0"/>
        <w:numPr>
          <w:ilvl w:val="0"/>
          <w:numId w:val="261"/>
        </w:numPr>
        <w:rPr>
          <w:rFonts w:hint="eastAsia"/>
          <w:snapToGrid/>
          <w:color w:val="000000"/>
          <w:szCs w:val="24"/>
        </w:rPr>
      </w:pPr>
      <w:r>
        <w:rPr>
          <w:rFonts w:hint="eastAsia"/>
          <w:snapToGrid/>
          <w:color w:val="000000"/>
          <w:szCs w:val="24"/>
        </w:rPr>
        <w:t>任何保险计划内的养恤金领取人，包括无权按该计划领取福利的人；</w:t>
      </w:r>
    </w:p>
    <w:p w:rsidR="00000000" w:rsidRDefault="009C1C61">
      <w:pPr>
        <w:widowControl w:val="0"/>
        <w:numPr>
          <w:ilvl w:val="0"/>
          <w:numId w:val="261"/>
        </w:numPr>
        <w:rPr>
          <w:rFonts w:hint="eastAsia"/>
          <w:snapToGrid/>
          <w:color w:val="000000"/>
        </w:rPr>
      </w:pPr>
      <w:r>
        <w:rPr>
          <w:rFonts w:hint="eastAsia"/>
          <w:snapToGrid/>
          <w:color w:val="000000"/>
          <w:szCs w:val="24"/>
        </w:rPr>
        <w:t>遗孀养恤金的领取人，或职工非婚生子女的母亲、或享受立法中所提到特别养恤金的领</w:t>
      </w:r>
      <w:r>
        <w:rPr>
          <w:rFonts w:hint="eastAsia"/>
          <w:snapToGrid/>
          <w:color w:val="000000"/>
          <w:szCs w:val="24"/>
        </w:rPr>
        <w:t>取人。</w:t>
      </w:r>
      <w:r>
        <w:rPr>
          <w:rStyle w:val="FootnoteReference"/>
          <w:snapToGrid/>
        </w:rPr>
        <w:footnoteReference w:id="144"/>
      </w:r>
      <w:r>
        <w:rPr>
          <w:rFonts w:hint="eastAsia"/>
          <w:snapToGrid/>
          <w:color w:val="000000"/>
          <w:szCs w:val="24"/>
        </w:rPr>
        <w:t xml:space="preserve"> </w:t>
      </w:r>
      <w:r>
        <w:rPr>
          <w:rFonts w:hint="eastAsia"/>
          <w:snapToGrid/>
          <w:color w:val="000000"/>
          <w:szCs w:val="24"/>
        </w:rPr>
        <w:t>这些领取人有权领取家庭津贴的唯一理由是：养恤金原领取人正是由于这些抚养人才有权享受这一福利。</w:t>
      </w:r>
    </w:p>
    <w:p w:rsidR="00000000" w:rsidRDefault="009C1C61">
      <w:pPr>
        <w:widowControl w:val="0"/>
        <w:numPr>
          <w:ilvl w:val="0"/>
          <w:numId w:val="261"/>
        </w:numPr>
        <w:rPr>
          <w:rFonts w:hint="eastAsia"/>
          <w:snapToGrid/>
          <w:color w:val="000000"/>
        </w:rPr>
      </w:pPr>
      <w:r>
        <w:rPr>
          <w:rFonts w:hint="eastAsia"/>
          <w:snapToGrid/>
          <w:color w:val="000000"/>
        </w:rPr>
        <w:t>如果已参加任何保险计划，则在</w:t>
      </w:r>
      <w:r>
        <w:rPr>
          <w:rFonts w:hint="eastAsia"/>
          <w:snapToGrid/>
          <w:color w:val="000000"/>
        </w:rPr>
        <w:t>1974</w:t>
      </w:r>
      <w:r>
        <w:rPr>
          <w:rFonts w:hint="eastAsia"/>
          <w:snapToGrid/>
          <w:color w:val="000000"/>
        </w:rPr>
        <w:t>年</w:t>
      </w:r>
      <w:r>
        <w:rPr>
          <w:rFonts w:hint="eastAsia"/>
          <w:snapToGrid/>
          <w:color w:val="000000"/>
        </w:rPr>
        <w:t>1</w:t>
      </w:r>
      <w:r>
        <w:rPr>
          <w:rFonts w:hint="eastAsia"/>
          <w:snapToGrid/>
          <w:color w:val="000000"/>
        </w:rPr>
        <w:t>月</w:t>
      </w:r>
      <w:r>
        <w:rPr>
          <w:rFonts w:hint="eastAsia"/>
          <w:snapToGrid/>
          <w:color w:val="000000"/>
        </w:rPr>
        <w:t>1</w:t>
      </w:r>
      <w:r>
        <w:rPr>
          <w:rFonts w:hint="eastAsia"/>
          <w:snapToGrid/>
          <w:color w:val="000000"/>
        </w:rPr>
        <w:t>日以前有权享受家庭津贴福利。根据法律，投保于养恤基金管理公司</w:t>
      </w:r>
      <w:r>
        <w:rPr>
          <w:rFonts w:hint="eastAsia"/>
          <w:snapToGrid/>
          <w:color w:val="000000"/>
        </w:rPr>
        <w:t>(</w:t>
      </w:r>
      <w:r>
        <w:rPr>
          <w:rFonts w:hint="eastAsia"/>
          <w:snapToGrid/>
          <w:color w:val="000000"/>
        </w:rPr>
        <w:t>养管公司</w:t>
      </w:r>
      <w:r>
        <w:rPr>
          <w:rFonts w:hint="eastAsia"/>
          <w:snapToGrid/>
          <w:color w:val="000000"/>
        </w:rPr>
        <w:t>)</w:t>
      </w:r>
      <w:r>
        <w:rPr>
          <w:rFonts w:hint="eastAsia"/>
          <w:snapToGrid/>
          <w:color w:val="000000"/>
        </w:rPr>
        <w:t>的无单位独立工作者如果在接受到这一新的养恤金制度时已经投保于使他们有权领取家庭津贴福利的保险计划，那么无单位独立工作者将继续属于统一家庭福利系统。</w:t>
      </w:r>
      <w:r>
        <w:rPr>
          <w:rStyle w:val="FootnoteReference"/>
          <w:bCs/>
          <w:snapToGrid/>
        </w:rPr>
        <w:footnoteReference w:id="145"/>
      </w:r>
      <w:r>
        <w:rPr>
          <w:rFonts w:hint="eastAsia"/>
          <w:snapToGrid/>
          <w:color w:val="000000"/>
        </w:rPr>
        <w:t xml:space="preserve"> </w:t>
      </w:r>
      <w:r>
        <w:rPr>
          <w:rFonts w:hint="eastAsia"/>
          <w:snapToGrid/>
          <w:color w:val="000000"/>
        </w:rPr>
        <w:t>享受这一福利的条件是该工作者仍然从事特定的独立活动，使之有资格投保从中领取福利的保险计划；</w:t>
      </w:r>
    </w:p>
    <w:p w:rsidR="00000000" w:rsidRDefault="009C1C61">
      <w:pPr>
        <w:widowControl w:val="0"/>
        <w:numPr>
          <w:ilvl w:val="0"/>
          <w:numId w:val="261"/>
        </w:numPr>
        <w:rPr>
          <w:rFonts w:hint="eastAsia"/>
          <w:snapToGrid/>
          <w:color w:val="000000"/>
        </w:rPr>
      </w:pPr>
      <w:r>
        <w:rPr>
          <w:rFonts w:hint="eastAsia"/>
          <w:snapToGrid/>
          <w:color w:val="000000"/>
        </w:rPr>
        <w:t>负责抚养和照顾孤儿或弃儿及残疾人士的国营或经国家批</w:t>
      </w:r>
      <w:r>
        <w:rPr>
          <w:rFonts w:hint="eastAsia"/>
          <w:snapToGrid/>
          <w:color w:val="000000"/>
        </w:rPr>
        <w:t>准的机构。</w:t>
      </w:r>
    </w:p>
    <w:p w:rsidR="00000000" w:rsidRDefault="009C1C61">
      <w:pPr>
        <w:rPr>
          <w:rFonts w:hint="eastAsia"/>
          <w:snapToGrid/>
          <w:color w:val="000000"/>
          <w:szCs w:val="24"/>
        </w:rPr>
      </w:pPr>
      <w:r>
        <w:rPr>
          <w:rFonts w:hint="eastAsia"/>
          <w:snapToGrid/>
        </w:rPr>
        <w:tab/>
      </w:r>
      <w:r>
        <w:rPr>
          <w:snapToGrid/>
        </w:rPr>
        <w:t>347.</w:t>
      </w:r>
      <w:r>
        <w:rPr>
          <w:rFonts w:hint="eastAsia"/>
          <w:snapToGrid/>
        </w:rPr>
        <w:t xml:space="preserve">  </w:t>
      </w:r>
      <w:r>
        <w:rPr>
          <w:rFonts w:hint="eastAsia"/>
          <w:snapToGrid/>
        </w:rPr>
        <w:t>有权享受此种福利的人如下：</w:t>
      </w:r>
    </w:p>
    <w:p w:rsidR="00000000" w:rsidRDefault="009C1C61">
      <w:pPr>
        <w:widowControl w:val="0"/>
        <w:numPr>
          <w:ilvl w:val="0"/>
          <w:numId w:val="263"/>
        </w:numPr>
        <w:rPr>
          <w:rFonts w:hint="eastAsia"/>
          <w:snapToGrid/>
          <w:color w:val="000000"/>
          <w:szCs w:val="24"/>
        </w:rPr>
      </w:pPr>
      <w:r>
        <w:rPr>
          <w:rFonts w:hint="eastAsia"/>
          <w:snapToGrid/>
          <w:color w:val="000000"/>
          <w:szCs w:val="24"/>
        </w:rPr>
        <w:t>经相关的保健服务部门属下的预防性医疗和残疾委员会确定为残疾的</w:t>
      </w:r>
      <w:r>
        <w:rPr>
          <w:rFonts w:hint="eastAsia"/>
          <w:snapToGrid/>
          <w:color w:val="000000"/>
          <w:szCs w:val="24"/>
        </w:rPr>
        <w:t>(</w:t>
      </w:r>
      <w:r>
        <w:rPr>
          <w:rFonts w:hint="eastAsia"/>
          <w:snapToGrid/>
          <w:color w:val="000000"/>
          <w:szCs w:val="24"/>
        </w:rPr>
        <w:t>男性或女性</w:t>
      </w:r>
      <w:r>
        <w:rPr>
          <w:rFonts w:hint="eastAsia"/>
          <w:snapToGrid/>
          <w:color w:val="000000"/>
          <w:szCs w:val="24"/>
        </w:rPr>
        <w:t>)</w:t>
      </w:r>
      <w:r>
        <w:rPr>
          <w:rFonts w:hint="eastAsia"/>
          <w:snapToGrid/>
          <w:color w:val="000000"/>
          <w:szCs w:val="24"/>
        </w:rPr>
        <w:t>配偶。残疾状况系指任何人由于遗传或后天的原因假设为永久丧失或缺乏其三分之二以上的营生能力。</w:t>
      </w:r>
    </w:p>
    <w:p w:rsidR="00000000" w:rsidRDefault="009C1C61">
      <w:pPr>
        <w:widowControl w:val="0"/>
        <w:numPr>
          <w:ilvl w:val="0"/>
          <w:numId w:val="263"/>
        </w:numPr>
        <w:rPr>
          <w:rFonts w:hint="eastAsia"/>
          <w:snapToGrid/>
          <w:color w:val="000000"/>
          <w:szCs w:val="24"/>
        </w:rPr>
      </w:pPr>
      <w:r>
        <w:rPr>
          <w:snapToGrid/>
          <w:color w:val="000000"/>
          <w:szCs w:val="24"/>
        </w:rPr>
        <w:t>18</w:t>
      </w:r>
      <w:r>
        <w:rPr>
          <w:rFonts w:hint="eastAsia"/>
          <w:snapToGrid/>
          <w:color w:val="000000"/>
          <w:szCs w:val="24"/>
        </w:rPr>
        <w:t>岁以下未婚的子女和领养子女。如果这些子女年龄在</w:t>
      </w:r>
      <w:r>
        <w:rPr>
          <w:snapToGrid/>
          <w:color w:val="000000"/>
          <w:szCs w:val="24"/>
        </w:rPr>
        <w:t>18</w:t>
      </w:r>
      <w:r>
        <w:rPr>
          <w:rFonts w:hint="eastAsia"/>
          <w:snapToGrid/>
          <w:color w:val="000000"/>
          <w:szCs w:val="24"/>
        </w:rPr>
        <w:t>岁至</w:t>
      </w:r>
      <w:r>
        <w:rPr>
          <w:snapToGrid/>
          <w:color w:val="000000"/>
          <w:szCs w:val="24"/>
        </w:rPr>
        <w:t>24</w:t>
      </w:r>
      <w:r>
        <w:rPr>
          <w:rFonts w:hint="eastAsia"/>
          <w:snapToGrid/>
          <w:color w:val="000000"/>
          <w:szCs w:val="24"/>
        </w:rPr>
        <w:t>岁之间，同时在中级课程、教师培训课程、技术课程、专门或高等教育课程、国家为该福利目的所设立的机构或核准的机构内接受正规教育，则这些子女仍然可以享受此种福利。身患残疾的子女和领养子女始终有权享受此种福利。</w:t>
      </w:r>
    </w:p>
    <w:p w:rsidR="00000000" w:rsidRDefault="009C1C61">
      <w:pPr>
        <w:widowControl w:val="0"/>
        <w:numPr>
          <w:ilvl w:val="0"/>
          <w:numId w:val="263"/>
        </w:numPr>
        <w:rPr>
          <w:rFonts w:hint="eastAsia"/>
          <w:snapToGrid/>
          <w:color w:val="000000"/>
          <w:szCs w:val="24"/>
        </w:rPr>
      </w:pPr>
      <w:r>
        <w:rPr>
          <w:rFonts w:hint="eastAsia"/>
          <w:snapToGrid/>
          <w:color w:val="000000"/>
          <w:szCs w:val="24"/>
        </w:rPr>
        <w:t>失去父母或被父母抛弃的孙儿</w:t>
      </w:r>
      <w:r>
        <w:rPr>
          <w:rFonts w:hint="eastAsia"/>
          <w:snapToGrid/>
          <w:color w:val="000000"/>
          <w:szCs w:val="24"/>
        </w:rPr>
        <w:t>女和曾孙儿女；</w:t>
      </w:r>
    </w:p>
    <w:p w:rsidR="00000000" w:rsidRDefault="009C1C61">
      <w:pPr>
        <w:widowControl w:val="0"/>
        <w:numPr>
          <w:ilvl w:val="0"/>
          <w:numId w:val="263"/>
        </w:numPr>
        <w:rPr>
          <w:rFonts w:hint="eastAsia"/>
          <w:snapToGrid/>
          <w:color w:val="000000"/>
          <w:szCs w:val="24"/>
        </w:rPr>
      </w:pPr>
      <w:r>
        <w:rPr>
          <w:rFonts w:hint="eastAsia"/>
          <w:snapToGrid/>
          <w:color w:val="000000"/>
          <w:szCs w:val="24"/>
        </w:rPr>
        <w:t>已丧偶的母亲；</w:t>
      </w:r>
    </w:p>
    <w:p w:rsidR="00000000" w:rsidRDefault="009C1C61">
      <w:pPr>
        <w:widowControl w:val="0"/>
        <w:numPr>
          <w:ilvl w:val="0"/>
          <w:numId w:val="263"/>
        </w:numPr>
        <w:rPr>
          <w:rFonts w:hint="eastAsia"/>
          <w:snapToGrid/>
          <w:color w:val="000000"/>
          <w:szCs w:val="24"/>
        </w:rPr>
      </w:pPr>
      <w:r>
        <w:rPr>
          <w:snapToGrid/>
          <w:color w:val="000000"/>
          <w:szCs w:val="24"/>
        </w:rPr>
        <w:t>65</w:t>
      </w:r>
      <w:r>
        <w:rPr>
          <w:rFonts w:hint="eastAsia"/>
          <w:snapToGrid/>
          <w:color w:val="000000"/>
          <w:szCs w:val="24"/>
        </w:rPr>
        <w:t>岁以上的前辈，如果属于残疾人士，则没有年龄限制；</w:t>
      </w:r>
    </w:p>
    <w:p w:rsidR="00000000" w:rsidRDefault="009C1C61">
      <w:pPr>
        <w:widowControl w:val="0"/>
        <w:numPr>
          <w:ilvl w:val="0"/>
          <w:numId w:val="263"/>
        </w:numPr>
        <w:rPr>
          <w:rFonts w:hint="eastAsia"/>
          <w:snapToGrid/>
          <w:color w:val="000000"/>
          <w:szCs w:val="24"/>
        </w:rPr>
      </w:pPr>
      <w:r>
        <w:rPr>
          <w:rFonts w:hint="eastAsia"/>
          <w:snapToGrid/>
          <w:color w:val="000000"/>
          <w:szCs w:val="24"/>
        </w:rPr>
        <w:t>依靠亲戚抚养、或者在国家核准的机构里依赖国家抚养、同时有权享受社会保健标准化协会福利的孤儿或弃儿、及残疾人士。</w:t>
      </w:r>
    </w:p>
    <w:p w:rsidR="00000000" w:rsidRDefault="009C1C61">
      <w:pPr>
        <w:rPr>
          <w:rFonts w:hint="eastAsia"/>
          <w:snapToGrid/>
          <w:color w:val="000000"/>
        </w:rPr>
      </w:pPr>
      <w:r>
        <w:rPr>
          <w:rFonts w:hint="eastAsia"/>
          <w:snapToGrid/>
        </w:rPr>
        <w:tab/>
      </w:r>
      <w:r>
        <w:rPr>
          <w:snapToGrid/>
        </w:rPr>
        <w:t>348.</w:t>
      </w:r>
      <w:r>
        <w:rPr>
          <w:rFonts w:hint="eastAsia"/>
          <w:snapToGrid/>
        </w:rPr>
        <w:t xml:space="preserve">  </w:t>
      </w:r>
      <w:r>
        <w:rPr>
          <w:rFonts w:hint="eastAsia"/>
          <w:snapToGrid/>
        </w:rPr>
        <w:t>为满足享受福利资格，可享受该福利的人必须系依赖申请人维生者、同时不得赚取相当于法定最低月工资</w:t>
      </w:r>
      <w:r>
        <w:rPr>
          <w:snapToGrid/>
        </w:rPr>
        <w:t>50%</w:t>
      </w:r>
      <w:r>
        <w:rPr>
          <w:rFonts w:hint="eastAsia"/>
          <w:snapToGrid/>
        </w:rPr>
        <w:t>的收入。</w:t>
      </w:r>
      <w:r>
        <w:rPr>
          <w:rStyle w:val="FootnoteReference"/>
          <w:bCs/>
          <w:snapToGrid/>
        </w:rPr>
        <w:footnoteReference w:id="146"/>
      </w:r>
      <w:r>
        <w:rPr>
          <w:rFonts w:hint="eastAsia"/>
          <w:snapToGrid/>
        </w:rPr>
        <w:t xml:space="preserve"> </w:t>
      </w:r>
      <w:r>
        <w:rPr>
          <w:rFonts w:hint="eastAsia"/>
          <w:snapToGrid/>
        </w:rPr>
        <w:t>但是，在确定上述状况时，孤儿的养恤金并不算作收入。</w:t>
      </w:r>
      <w:r>
        <w:rPr>
          <w:rStyle w:val="FootnoteReference"/>
          <w:bCs/>
          <w:snapToGrid/>
        </w:rPr>
        <w:footnoteReference w:id="147"/>
      </w:r>
      <w:r>
        <w:rPr>
          <w:rFonts w:hint="eastAsia"/>
          <w:snapToGrid/>
        </w:rPr>
        <w:t xml:space="preserve"> </w:t>
      </w:r>
      <w:r>
        <w:rPr>
          <w:rFonts w:hint="eastAsia"/>
          <w:snapToGrid/>
        </w:rPr>
        <w:t>法律还规定，即使申请人可能从事有收入的工作，但只要他们在每一历年内工作不超过三个月，这些人既仍然可以被考虑，这项规定的目的是为了便利从事</w:t>
      </w:r>
      <w:r>
        <w:rPr>
          <w:rFonts w:hint="eastAsia"/>
          <w:snapToGrid/>
        </w:rPr>
        <w:t>短期带薪工作的人。</w:t>
      </w:r>
      <w:r>
        <w:rPr>
          <w:rStyle w:val="FootnoteReference"/>
          <w:bCs/>
          <w:snapToGrid/>
        </w:rPr>
        <w:footnoteReference w:id="148"/>
      </w:r>
    </w:p>
    <w:p w:rsidR="00000000" w:rsidRDefault="009C1C61">
      <w:pPr>
        <w:rPr>
          <w:rFonts w:hint="eastAsia"/>
          <w:snapToGrid/>
          <w:color w:val="000000"/>
        </w:rPr>
      </w:pPr>
      <w:r>
        <w:rPr>
          <w:rFonts w:hint="eastAsia"/>
          <w:snapToGrid/>
          <w:color w:val="000000"/>
        </w:rPr>
        <w:tab/>
        <w:t xml:space="preserve">349.  </w:t>
      </w:r>
      <w:r>
        <w:rPr>
          <w:rFonts w:hint="eastAsia"/>
          <w:snapToGrid/>
          <w:color w:val="000000"/>
        </w:rPr>
        <w:t>截止</w:t>
      </w:r>
      <w:r>
        <w:rPr>
          <w:rFonts w:hint="eastAsia"/>
          <w:snapToGrid/>
          <w:color w:val="000000"/>
        </w:rPr>
        <w:t>2000</w:t>
      </w:r>
      <w:r>
        <w:rPr>
          <w:rFonts w:hint="eastAsia"/>
          <w:snapToGrid/>
          <w:color w:val="000000"/>
        </w:rPr>
        <w:t>年</w:t>
      </w:r>
      <w:r>
        <w:rPr>
          <w:rFonts w:hint="eastAsia"/>
          <w:snapToGrid/>
          <w:color w:val="000000"/>
        </w:rPr>
        <w:t>7</w:t>
      </w:r>
      <w:r>
        <w:rPr>
          <w:rFonts w:hint="eastAsia"/>
          <w:snapToGrid/>
          <w:color w:val="000000"/>
        </w:rPr>
        <w:t>月，提供福利的数额达到：</w:t>
      </w:r>
    </w:p>
    <w:p w:rsidR="00000000" w:rsidRDefault="009C1C61">
      <w:pPr>
        <w:numPr>
          <w:ilvl w:val="0"/>
          <w:numId w:val="102"/>
        </w:numPr>
        <w:rPr>
          <w:rFonts w:hint="eastAsia"/>
          <w:snapToGrid/>
          <w:color w:val="000000"/>
        </w:rPr>
      </w:pPr>
      <w:r>
        <w:rPr>
          <w:rFonts w:hint="eastAsia"/>
          <w:snapToGrid/>
          <w:color w:val="000000"/>
        </w:rPr>
        <w:t>对于月收入不超过</w:t>
      </w:r>
      <w:r>
        <w:rPr>
          <w:rFonts w:hint="eastAsia"/>
          <w:snapToGrid/>
          <w:color w:val="000000"/>
        </w:rPr>
        <w:t>108,800</w:t>
      </w:r>
      <w:r>
        <w:rPr>
          <w:rFonts w:hint="eastAsia"/>
          <w:snapToGrid/>
          <w:color w:val="000000"/>
        </w:rPr>
        <w:t>比索</w:t>
      </w:r>
      <w:r>
        <w:rPr>
          <w:rFonts w:hint="eastAsia"/>
          <w:snapToGrid/>
          <w:color w:val="000000"/>
        </w:rPr>
        <w:t>(200</w:t>
      </w:r>
      <w:r>
        <w:rPr>
          <w:rFonts w:hint="eastAsia"/>
          <w:snapToGrid/>
          <w:color w:val="000000"/>
        </w:rPr>
        <w:t>美元</w:t>
      </w:r>
      <w:r>
        <w:rPr>
          <w:rFonts w:hint="eastAsia"/>
          <w:snapToGrid/>
          <w:color w:val="000000"/>
        </w:rPr>
        <w:t>)</w:t>
      </w:r>
      <w:r>
        <w:rPr>
          <w:rFonts w:hint="eastAsia"/>
          <w:snapToGrid/>
          <w:color w:val="000000"/>
        </w:rPr>
        <w:t>的福利享受人的每位受抚养人提供了</w:t>
      </w:r>
      <w:r>
        <w:rPr>
          <w:rFonts w:hint="eastAsia"/>
          <w:snapToGrid/>
          <w:color w:val="000000"/>
        </w:rPr>
        <w:t>3,607</w:t>
      </w:r>
      <w:r>
        <w:rPr>
          <w:rFonts w:hint="eastAsia"/>
          <w:snapToGrid/>
          <w:color w:val="000000"/>
        </w:rPr>
        <w:t>比索</w:t>
      </w:r>
      <w:r>
        <w:rPr>
          <w:rFonts w:hint="eastAsia"/>
          <w:snapToGrid/>
          <w:color w:val="000000"/>
        </w:rPr>
        <w:t>(6.6</w:t>
      </w:r>
      <w:r>
        <w:rPr>
          <w:rFonts w:hint="eastAsia"/>
          <w:snapToGrid/>
          <w:color w:val="000000"/>
        </w:rPr>
        <w:t>美元</w:t>
      </w:r>
      <w:r>
        <w:rPr>
          <w:rFonts w:hint="eastAsia"/>
          <w:snapToGrid/>
          <w:color w:val="000000"/>
        </w:rPr>
        <w:t>)</w:t>
      </w:r>
      <w:r>
        <w:rPr>
          <w:rFonts w:hint="eastAsia"/>
          <w:snapToGrid/>
          <w:color w:val="000000"/>
        </w:rPr>
        <w:t>；</w:t>
      </w:r>
    </w:p>
    <w:p w:rsidR="00000000" w:rsidRDefault="009C1C61">
      <w:pPr>
        <w:numPr>
          <w:ilvl w:val="0"/>
          <w:numId w:val="102"/>
        </w:numPr>
        <w:rPr>
          <w:rFonts w:hint="eastAsia"/>
          <w:snapToGrid/>
          <w:color w:val="000000"/>
        </w:rPr>
      </w:pPr>
      <w:r>
        <w:rPr>
          <w:rFonts w:hint="eastAsia"/>
          <w:snapToGrid/>
          <w:color w:val="000000"/>
        </w:rPr>
        <w:t>对于其收入超过</w:t>
      </w:r>
      <w:r>
        <w:rPr>
          <w:rFonts w:hint="eastAsia"/>
          <w:snapToGrid/>
          <w:color w:val="000000"/>
        </w:rPr>
        <w:t>108,833</w:t>
      </w:r>
      <w:r>
        <w:rPr>
          <w:rFonts w:hint="eastAsia"/>
          <w:snapToGrid/>
          <w:color w:val="000000"/>
        </w:rPr>
        <w:t>比索</w:t>
      </w:r>
      <w:r>
        <w:rPr>
          <w:rFonts w:hint="eastAsia"/>
          <w:snapToGrid/>
          <w:color w:val="000000"/>
        </w:rPr>
        <w:t>(200</w:t>
      </w:r>
      <w:r>
        <w:rPr>
          <w:rFonts w:hint="eastAsia"/>
          <w:snapToGrid/>
          <w:color w:val="000000"/>
        </w:rPr>
        <w:t>美元</w:t>
      </w:r>
      <w:r>
        <w:rPr>
          <w:rFonts w:hint="eastAsia"/>
          <w:snapToGrid/>
          <w:color w:val="000000"/>
        </w:rPr>
        <w:t>)</w:t>
      </w:r>
      <w:r>
        <w:rPr>
          <w:rFonts w:hint="eastAsia"/>
          <w:snapToGrid/>
          <w:color w:val="000000"/>
        </w:rPr>
        <w:t>但小于</w:t>
      </w:r>
      <w:r>
        <w:rPr>
          <w:rFonts w:hint="eastAsia"/>
          <w:snapToGrid/>
          <w:color w:val="000000"/>
        </w:rPr>
        <w:t>219,921</w:t>
      </w:r>
      <w:r>
        <w:rPr>
          <w:rFonts w:hint="eastAsia"/>
          <w:snapToGrid/>
          <w:color w:val="000000"/>
        </w:rPr>
        <w:t>比索</w:t>
      </w:r>
      <w:r>
        <w:rPr>
          <w:rFonts w:hint="eastAsia"/>
          <w:snapToGrid/>
          <w:color w:val="000000"/>
        </w:rPr>
        <w:t>(405</w:t>
      </w:r>
      <w:r>
        <w:rPr>
          <w:rFonts w:hint="eastAsia"/>
          <w:snapToGrid/>
          <w:color w:val="000000"/>
        </w:rPr>
        <w:t>美元</w:t>
      </w:r>
      <w:r>
        <w:rPr>
          <w:rFonts w:hint="eastAsia"/>
          <w:snapToGrid/>
          <w:color w:val="000000"/>
        </w:rPr>
        <w:t>)</w:t>
      </w:r>
      <w:r>
        <w:rPr>
          <w:rFonts w:hint="eastAsia"/>
          <w:snapToGrid/>
          <w:color w:val="000000"/>
        </w:rPr>
        <w:t>的福利享受人的每位受抚养人提供了</w:t>
      </w:r>
      <w:r>
        <w:rPr>
          <w:rFonts w:hint="eastAsia"/>
          <w:snapToGrid/>
          <w:color w:val="000000"/>
        </w:rPr>
        <w:t>3,509</w:t>
      </w:r>
      <w:r>
        <w:rPr>
          <w:rFonts w:hint="eastAsia"/>
          <w:snapToGrid/>
          <w:color w:val="000000"/>
        </w:rPr>
        <w:t>比索</w:t>
      </w:r>
      <w:r>
        <w:rPr>
          <w:rFonts w:hint="eastAsia"/>
          <w:snapToGrid/>
          <w:color w:val="000000"/>
        </w:rPr>
        <w:t>(6.4</w:t>
      </w:r>
      <w:r>
        <w:rPr>
          <w:rFonts w:hint="eastAsia"/>
          <w:snapToGrid/>
          <w:color w:val="000000"/>
        </w:rPr>
        <w:t>美元</w:t>
      </w:r>
      <w:r>
        <w:rPr>
          <w:rFonts w:hint="eastAsia"/>
          <w:snapToGrid/>
          <w:color w:val="000000"/>
        </w:rPr>
        <w:t>)</w:t>
      </w:r>
      <w:r>
        <w:rPr>
          <w:rFonts w:hint="eastAsia"/>
          <w:snapToGrid/>
          <w:color w:val="000000"/>
        </w:rPr>
        <w:t>；</w:t>
      </w:r>
    </w:p>
    <w:p w:rsidR="00000000" w:rsidRDefault="009C1C61">
      <w:pPr>
        <w:numPr>
          <w:ilvl w:val="0"/>
          <w:numId w:val="102"/>
        </w:numPr>
        <w:rPr>
          <w:rFonts w:hint="eastAsia"/>
          <w:snapToGrid/>
          <w:color w:val="000000"/>
        </w:rPr>
      </w:pPr>
      <w:r>
        <w:rPr>
          <w:rFonts w:hint="eastAsia"/>
          <w:snapToGrid/>
          <w:color w:val="000000"/>
        </w:rPr>
        <w:t>对其收入超过</w:t>
      </w:r>
      <w:r>
        <w:rPr>
          <w:rFonts w:hint="eastAsia"/>
          <w:snapToGrid/>
          <w:color w:val="000000"/>
        </w:rPr>
        <w:t>219,921</w:t>
      </w:r>
      <w:r>
        <w:rPr>
          <w:rFonts w:hint="eastAsia"/>
          <w:snapToGrid/>
          <w:color w:val="000000"/>
        </w:rPr>
        <w:t>比索</w:t>
      </w:r>
      <w:r>
        <w:rPr>
          <w:rFonts w:hint="eastAsia"/>
          <w:snapToGrid/>
          <w:color w:val="000000"/>
        </w:rPr>
        <w:t>(405</w:t>
      </w:r>
      <w:r>
        <w:rPr>
          <w:rFonts w:hint="eastAsia"/>
          <w:snapToGrid/>
          <w:color w:val="000000"/>
        </w:rPr>
        <w:t>美元</w:t>
      </w:r>
      <w:r>
        <w:rPr>
          <w:rFonts w:hint="eastAsia"/>
          <w:snapToGrid/>
          <w:color w:val="000000"/>
        </w:rPr>
        <w:t>)</w:t>
      </w:r>
      <w:r>
        <w:rPr>
          <w:rFonts w:hint="eastAsia"/>
          <w:snapToGrid/>
          <w:color w:val="000000"/>
        </w:rPr>
        <w:t>但少于</w:t>
      </w:r>
      <w:r>
        <w:rPr>
          <w:rFonts w:hint="eastAsia"/>
          <w:snapToGrid/>
          <w:color w:val="000000"/>
        </w:rPr>
        <w:t>343,002</w:t>
      </w:r>
      <w:r>
        <w:rPr>
          <w:rFonts w:hint="eastAsia"/>
          <w:snapToGrid/>
          <w:color w:val="000000"/>
        </w:rPr>
        <w:t>比索</w:t>
      </w:r>
      <w:r>
        <w:rPr>
          <w:rFonts w:hint="eastAsia"/>
          <w:snapToGrid/>
          <w:color w:val="000000"/>
        </w:rPr>
        <w:t>(631</w:t>
      </w:r>
      <w:r>
        <w:rPr>
          <w:rFonts w:hint="eastAsia"/>
          <w:snapToGrid/>
          <w:color w:val="000000"/>
        </w:rPr>
        <w:t>美元</w:t>
      </w:r>
      <w:r>
        <w:rPr>
          <w:rFonts w:hint="eastAsia"/>
          <w:snapToGrid/>
          <w:color w:val="000000"/>
        </w:rPr>
        <w:t>)</w:t>
      </w:r>
      <w:r>
        <w:rPr>
          <w:rFonts w:hint="eastAsia"/>
          <w:snapToGrid/>
          <w:color w:val="000000"/>
        </w:rPr>
        <w:t>的福利享受人的每位受抚养人提供了</w:t>
      </w:r>
      <w:r>
        <w:rPr>
          <w:rFonts w:hint="eastAsia"/>
          <w:snapToGrid/>
          <w:color w:val="000000"/>
        </w:rPr>
        <w:t>1,143</w:t>
      </w:r>
      <w:r>
        <w:rPr>
          <w:rFonts w:hint="eastAsia"/>
          <w:snapToGrid/>
          <w:color w:val="000000"/>
        </w:rPr>
        <w:t>比索</w:t>
      </w:r>
      <w:r>
        <w:rPr>
          <w:rFonts w:hint="eastAsia"/>
          <w:snapToGrid/>
          <w:color w:val="000000"/>
        </w:rPr>
        <w:t>(2.1</w:t>
      </w:r>
      <w:r>
        <w:rPr>
          <w:rFonts w:hint="eastAsia"/>
          <w:snapToGrid/>
          <w:color w:val="000000"/>
        </w:rPr>
        <w:t>美元</w:t>
      </w:r>
      <w:r>
        <w:rPr>
          <w:rFonts w:hint="eastAsia"/>
          <w:snapToGrid/>
          <w:color w:val="000000"/>
        </w:rPr>
        <w:t>)</w:t>
      </w:r>
      <w:r>
        <w:rPr>
          <w:rFonts w:hint="eastAsia"/>
          <w:snapToGrid/>
          <w:color w:val="000000"/>
        </w:rPr>
        <w:t>；</w:t>
      </w:r>
    </w:p>
    <w:p w:rsidR="00000000" w:rsidRDefault="009C1C61">
      <w:pPr>
        <w:numPr>
          <w:ilvl w:val="0"/>
          <w:numId w:val="102"/>
        </w:numPr>
        <w:rPr>
          <w:rFonts w:hint="eastAsia"/>
          <w:snapToGrid/>
          <w:color w:val="000000"/>
        </w:rPr>
      </w:pPr>
      <w:r>
        <w:rPr>
          <w:rFonts w:hint="eastAsia"/>
          <w:snapToGrid/>
          <w:color w:val="000000"/>
        </w:rPr>
        <w:t>其收入超过</w:t>
      </w:r>
      <w:r>
        <w:rPr>
          <w:rFonts w:hint="eastAsia"/>
          <w:snapToGrid/>
          <w:color w:val="000000"/>
        </w:rPr>
        <w:t>343,002</w:t>
      </w:r>
      <w:r>
        <w:rPr>
          <w:rFonts w:hint="eastAsia"/>
          <w:snapToGrid/>
          <w:color w:val="000000"/>
        </w:rPr>
        <w:t>比索</w:t>
      </w:r>
      <w:r>
        <w:rPr>
          <w:rFonts w:hint="eastAsia"/>
          <w:snapToGrid/>
          <w:color w:val="000000"/>
        </w:rPr>
        <w:t>(631</w:t>
      </w:r>
      <w:r>
        <w:rPr>
          <w:rFonts w:hint="eastAsia"/>
          <w:snapToGrid/>
          <w:color w:val="000000"/>
        </w:rPr>
        <w:t>美元</w:t>
      </w:r>
      <w:r>
        <w:rPr>
          <w:rFonts w:hint="eastAsia"/>
          <w:snapToGrid/>
          <w:color w:val="000000"/>
        </w:rPr>
        <w:t>)</w:t>
      </w:r>
      <w:r>
        <w:rPr>
          <w:rFonts w:hint="eastAsia"/>
          <w:snapToGrid/>
          <w:color w:val="000000"/>
        </w:rPr>
        <w:t>的人无权领取津贴。</w:t>
      </w:r>
    </w:p>
    <w:p w:rsidR="00000000" w:rsidRDefault="009C1C61">
      <w:pPr>
        <w:rPr>
          <w:rFonts w:hint="eastAsia"/>
          <w:snapToGrid/>
          <w:color w:val="000000"/>
        </w:rPr>
      </w:pPr>
      <w:r>
        <w:rPr>
          <w:rFonts w:hint="eastAsia"/>
          <w:snapToGrid/>
          <w:color w:val="000000"/>
        </w:rPr>
        <w:tab/>
        <w:t xml:space="preserve">350.  </w:t>
      </w:r>
      <w:r>
        <w:rPr>
          <w:rFonts w:hint="eastAsia"/>
          <w:snapToGrid/>
          <w:color w:val="000000"/>
          <w:spacing w:val="6"/>
        </w:rPr>
        <w:t>基于残疾原因有权享受福利的人可以领取的津贴超过一般津贴的一倍。</w:t>
      </w:r>
      <w:r>
        <w:rPr>
          <w:rStyle w:val="FootnoteReference"/>
          <w:snapToGrid/>
        </w:rPr>
        <w:footnoteReference w:id="149"/>
      </w:r>
      <w:r>
        <w:rPr>
          <w:rFonts w:hint="eastAsia"/>
          <w:snapToGrid/>
          <w:color w:val="000000"/>
        </w:rPr>
        <w:t xml:space="preserve"> </w:t>
      </w:r>
      <w:r>
        <w:rPr>
          <w:rFonts w:hint="eastAsia"/>
          <w:snapToGrid/>
          <w:color w:val="000000"/>
        </w:rPr>
        <w:t>津贴系支付给受抚养人赖以维生的福利享受人的。</w:t>
      </w:r>
      <w:r>
        <w:rPr>
          <w:rStyle w:val="FootnoteReference"/>
          <w:bCs/>
          <w:snapToGrid/>
        </w:rPr>
        <w:footnoteReference w:id="150"/>
      </w:r>
      <w:r>
        <w:rPr>
          <w:rFonts w:hint="eastAsia"/>
          <w:snapToGrid/>
          <w:color w:val="000000"/>
        </w:rPr>
        <w:t xml:space="preserve"> </w:t>
      </w:r>
      <w:r>
        <w:rPr>
          <w:rFonts w:hint="eastAsia"/>
          <w:snapToGrid/>
          <w:color w:val="000000"/>
        </w:rPr>
        <w:t>但是，因未成年子女而有权领取的津贴必须按其母亲的意愿直接偿付给与该儿童一起居住的母亲。</w:t>
      </w:r>
    </w:p>
    <w:p w:rsidR="00000000" w:rsidRDefault="009C1C61">
      <w:pPr>
        <w:rPr>
          <w:rFonts w:hint="eastAsia"/>
          <w:snapToGrid/>
          <w:color w:val="000000"/>
        </w:rPr>
      </w:pPr>
      <w:r>
        <w:rPr>
          <w:rFonts w:hint="eastAsia"/>
          <w:snapToGrid/>
          <w:color w:val="000000"/>
        </w:rPr>
        <w:tab/>
        <w:t xml:space="preserve">351.  </w:t>
      </w:r>
      <w:r>
        <w:rPr>
          <w:rFonts w:hint="eastAsia"/>
          <w:snapToGrid/>
          <w:color w:val="000000"/>
        </w:rPr>
        <w:t>津贴的偿付系由雇主在结束支付工资之时付出的，与此同时他可以将他应该付给适当保险计划的保费抵消掉。如果此后有一项应支付给雇主的余额，则保险计划必须向他退还其由此付出的额外费用。</w:t>
      </w:r>
      <w:r>
        <w:rPr>
          <w:rStyle w:val="FootnoteReference"/>
          <w:bCs/>
          <w:snapToGrid/>
        </w:rPr>
        <w:footnoteReference w:id="151"/>
      </w:r>
      <w:r>
        <w:rPr>
          <w:rFonts w:hint="eastAsia"/>
          <w:snapToGrid/>
          <w:color w:val="000000"/>
        </w:rPr>
        <w:t xml:space="preserve"> </w:t>
      </w:r>
      <w:r>
        <w:rPr>
          <w:rFonts w:hint="eastAsia"/>
          <w:snapToGrid/>
          <w:color w:val="000000"/>
        </w:rPr>
        <w:t>无单位独立工作者从其每月所付的保费中扣除其应领取的数额。对于私营部门的</w:t>
      </w:r>
      <w:r>
        <w:rPr>
          <w:rFonts w:hint="eastAsia"/>
          <w:snapToGrid/>
          <w:color w:val="000000"/>
        </w:rPr>
        <w:t>工作人员，他们必须出示家庭受抚养人的证据，以及管理该项福利的保险计划所发出的福利支付授权书。对于公共部门的雇员，所雇用的服务部门必须承认该雇员有权享受福利。</w:t>
      </w:r>
    </w:p>
    <w:p w:rsidR="00000000" w:rsidRDefault="009C1C61">
      <w:pPr>
        <w:rPr>
          <w:rFonts w:hint="eastAsia"/>
          <w:snapToGrid/>
          <w:color w:val="000000"/>
        </w:rPr>
      </w:pPr>
      <w:r>
        <w:rPr>
          <w:rFonts w:hint="eastAsia"/>
          <w:snapToGrid/>
          <w:color w:val="000000"/>
        </w:rPr>
        <w:tab/>
        <w:t xml:space="preserve">352.  </w:t>
      </w:r>
      <w:r>
        <w:rPr>
          <w:rFonts w:hint="eastAsia"/>
          <w:snapToGrid/>
          <w:color w:val="000000"/>
        </w:rPr>
        <w:t>各种家属津贴是统一由一个基金供资的，称为家属津贴和裁员津贴统一基金，基金完全由按照《预算法》所调拨的财政收益构成。</w:t>
      </w:r>
      <w:r>
        <w:rPr>
          <w:rStyle w:val="FootnoteReference"/>
          <w:bCs/>
          <w:snapToGrid/>
        </w:rPr>
        <w:footnoteReference w:id="152"/>
      </w:r>
      <w:r>
        <w:rPr>
          <w:rStyle w:val="FootnoteReference"/>
          <w:rFonts w:hint="eastAsia"/>
          <w:bCs/>
        </w:rPr>
        <w:t xml:space="preserve"> </w:t>
      </w:r>
    </w:p>
    <w:p w:rsidR="00000000" w:rsidRDefault="009C1C61">
      <w:pPr>
        <w:spacing w:after="320"/>
        <w:rPr>
          <w:rFonts w:hint="eastAsia"/>
          <w:snapToGrid/>
          <w:color w:val="000000"/>
        </w:rPr>
      </w:pPr>
      <w:r>
        <w:rPr>
          <w:rFonts w:hint="eastAsia"/>
          <w:snapToGrid/>
          <w:color w:val="000000"/>
        </w:rPr>
        <w:tab/>
        <w:t>353.  1989</w:t>
      </w:r>
      <w:r>
        <w:rPr>
          <w:rFonts w:hint="eastAsia"/>
          <w:snapToGrid/>
          <w:color w:val="000000"/>
        </w:rPr>
        <w:t>年至</w:t>
      </w:r>
      <w:r>
        <w:rPr>
          <w:rFonts w:hint="eastAsia"/>
          <w:snapToGrid/>
          <w:color w:val="000000"/>
        </w:rPr>
        <w:t>1999</w:t>
      </w:r>
      <w:r>
        <w:rPr>
          <w:rFonts w:hint="eastAsia"/>
          <w:snapToGrid/>
          <w:color w:val="000000"/>
        </w:rPr>
        <w:t>年，所偿付的家属津贴月平均数额增加了</w:t>
      </w:r>
      <w:r>
        <w:rPr>
          <w:rFonts w:hint="eastAsia"/>
          <w:snapToGrid/>
          <w:color w:val="000000"/>
        </w:rPr>
        <w:t>40%</w:t>
      </w:r>
      <w:r>
        <w:rPr>
          <w:rFonts w:hint="eastAsia"/>
          <w:snapToGrid/>
          <w:color w:val="000000"/>
        </w:rPr>
        <w:t>。</w:t>
      </w:r>
      <w:r>
        <w:rPr>
          <w:rFonts w:hint="eastAsia"/>
          <w:snapToGrid/>
          <w:color w:val="000000"/>
        </w:rPr>
        <w:t>1999</w:t>
      </w:r>
      <w:r>
        <w:rPr>
          <w:rFonts w:hint="eastAsia"/>
          <w:snapToGrid/>
          <w:color w:val="000000"/>
        </w:rPr>
        <w:t>年，平均每个月偿付了</w:t>
      </w:r>
      <w:r>
        <w:rPr>
          <w:rFonts w:hint="eastAsia"/>
          <w:snapToGrid/>
          <w:color w:val="000000"/>
        </w:rPr>
        <w:t>290</w:t>
      </w:r>
      <w:r>
        <w:rPr>
          <w:rFonts w:hint="eastAsia"/>
          <w:snapToGrid/>
          <w:color w:val="000000"/>
        </w:rPr>
        <w:t>万份家属津贴，其每月平均价值为</w:t>
      </w:r>
      <w:r>
        <w:rPr>
          <w:rFonts w:hint="eastAsia"/>
          <w:snapToGrid/>
          <w:color w:val="000000"/>
        </w:rPr>
        <w:t>2,382</w:t>
      </w:r>
      <w:r>
        <w:rPr>
          <w:rFonts w:hint="eastAsia"/>
          <w:snapToGrid/>
          <w:color w:val="000000"/>
        </w:rPr>
        <w:t>比索</w:t>
      </w:r>
      <w:r>
        <w:rPr>
          <w:rFonts w:hint="eastAsia"/>
          <w:snapToGrid/>
          <w:color w:val="000000"/>
        </w:rPr>
        <w:t>(4.6</w:t>
      </w:r>
      <w:r>
        <w:rPr>
          <w:rFonts w:hint="eastAsia"/>
          <w:snapToGrid/>
          <w:color w:val="000000"/>
        </w:rPr>
        <w:t>美元</w:t>
      </w:r>
      <w:r>
        <w:rPr>
          <w:rFonts w:hint="eastAsia"/>
          <w:snapToGrid/>
          <w:color w:val="000000"/>
        </w:rPr>
        <w:t>)</w:t>
      </w:r>
      <w:r>
        <w:rPr>
          <w:rFonts w:hint="eastAsia"/>
          <w:snapToGrid/>
          <w:color w:val="000000"/>
        </w:rPr>
        <w:t>。</w:t>
      </w:r>
      <w:r>
        <w:rPr>
          <w:rStyle w:val="FootnoteReference"/>
          <w:bCs/>
          <w:snapToGrid/>
        </w:rPr>
        <w:footnoteReference w:id="153"/>
      </w:r>
      <w:r>
        <w:rPr>
          <w:rFonts w:hint="eastAsia"/>
          <w:snapToGrid/>
          <w:color w:val="000000"/>
        </w:rPr>
        <w:t xml:space="preserve"> </w:t>
      </w:r>
    </w:p>
    <w:p w:rsidR="00000000" w:rsidRDefault="009C1C61">
      <w:pPr>
        <w:pStyle w:val="Heading4"/>
        <w:rPr>
          <w:rStyle w:val="FootnoteReference"/>
          <w:rFonts w:hint="eastAsia"/>
          <w:bCs/>
        </w:rPr>
      </w:pPr>
      <w:r>
        <w:rPr>
          <w:rFonts w:ascii="Time New Roman" w:eastAsia="SimHei" w:hAnsi="Time New Roman" w:hint="eastAsia"/>
          <w:color w:val="000000"/>
          <w:u w:val="none"/>
        </w:rPr>
        <w:t>经济能力有限人士的家属津贴</w:t>
      </w:r>
      <w:r>
        <w:rPr>
          <w:rFonts w:hint="eastAsia"/>
          <w:color w:val="000000"/>
          <w:u w:val="none"/>
        </w:rPr>
        <w:t xml:space="preserve"> </w:t>
      </w:r>
      <w:r>
        <w:rPr>
          <w:rStyle w:val="FootnoteReference"/>
          <w:bCs/>
          <w:u w:val="none"/>
        </w:rPr>
        <w:footnoteReference w:id="154"/>
      </w:r>
    </w:p>
    <w:p w:rsidR="00000000" w:rsidRDefault="009C1C61">
      <w:pPr>
        <w:rPr>
          <w:rFonts w:hint="eastAsia"/>
          <w:snapToGrid/>
          <w:color w:val="000000"/>
        </w:rPr>
      </w:pPr>
      <w:r>
        <w:rPr>
          <w:rFonts w:hint="eastAsia"/>
          <w:snapToGrid/>
          <w:color w:val="000000"/>
        </w:rPr>
        <w:tab/>
        <w:t>354.</w:t>
      </w:r>
      <w:r>
        <w:rPr>
          <w:rFonts w:hint="eastAsia"/>
          <w:snapToGrid/>
          <w:color w:val="000000"/>
        </w:rPr>
        <w:t xml:space="preserve">  </w:t>
      </w:r>
      <w:r>
        <w:rPr>
          <w:rFonts w:hint="eastAsia"/>
          <w:snapToGrid/>
          <w:color w:val="000000"/>
        </w:rPr>
        <w:t>这是以援助形式提供的现金补贴，其目的要向赤贫的家庭提供类似统一家庭福利系统所确立的家属津贴，因为这些家庭被排除在这一系统之外。</w:t>
      </w:r>
    </w:p>
    <w:p w:rsidR="00000000" w:rsidRDefault="009C1C61">
      <w:pPr>
        <w:rPr>
          <w:rFonts w:hint="eastAsia"/>
          <w:snapToGrid/>
          <w:color w:val="000000"/>
        </w:rPr>
      </w:pPr>
      <w:r>
        <w:rPr>
          <w:rFonts w:hint="eastAsia"/>
          <w:snapToGrid/>
          <w:color w:val="000000"/>
        </w:rPr>
        <w:tab/>
        <w:t xml:space="preserve">355.  </w:t>
      </w:r>
      <w:r>
        <w:rPr>
          <w:rFonts w:hint="eastAsia"/>
          <w:snapToGrid/>
          <w:color w:val="000000"/>
        </w:rPr>
        <w:t>下列人士有权领取这一家属津贴：</w:t>
      </w:r>
      <w:r>
        <w:rPr>
          <w:rStyle w:val="FootnoteReference"/>
          <w:bCs/>
          <w:snapToGrid/>
        </w:rPr>
        <w:footnoteReference w:id="155"/>
      </w:r>
    </w:p>
    <w:p w:rsidR="00000000" w:rsidRDefault="009C1C61">
      <w:pPr>
        <w:numPr>
          <w:ilvl w:val="0"/>
          <w:numId w:val="103"/>
        </w:numPr>
        <w:rPr>
          <w:rFonts w:hint="eastAsia"/>
          <w:snapToGrid/>
          <w:color w:val="000000"/>
        </w:rPr>
      </w:pPr>
      <w:r>
        <w:rPr>
          <w:rFonts w:hint="eastAsia"/>
          <w:snapToGrid/>
          <w:color w:val="000000"/>
        </w:rPr>
        <w:t>依赖福利领取人维生的</w:t>
      </w:r>
      <w:r>
        <w:rPr>
          <w:rFonts w:hint="eastAsia"/>
          <w:snapToGrid/>
          <w:color w:val="000000"/>
        </w:rPr>
        <w:t>18</w:t>
      </w:r>
      <w:r>
        <w:rPr>
          <w:rFonts w:hint="eastAsia"/>
          <w:snapToGrid/>
          <w:color w:val="000000"/>
        </w:rPr>
        <w:t>岁以下儿童和残疾人士，而此人在</w:t>
      </w:r>
      <w:r>
        <w:rPr>
          <w:rFonts w:hint="eastAsia"/>
          <w:snapToGrid/>
          <w:color w:val="000000"/>
        </w:rPr>
        <w:t>8</w:t>
      </w:r>
      <w:r>
        <w:rPr>
          <w:rFonts w:hint="eastAsia"/>
          <w:snapToGrid/>
          <w:color w:val="000000"/>
        </w:rPr>
        <w:t>岁以前曾在卫生部为儿童护理而设立的卫生方案下注册过，并且不接受等同于或大于家属津贴的任何由来或来源的收入。在这方面，孤儿的养恤金并不算作收入。对于</w:t>
      </w:r>
      <w:r>
        <w:rPr>
          <w:rFonts w:hint="eastAsia"/>
          <w:snapToGrid/>
          <w:color w:val="000000"/>
        </w:rPr>
        <w:t>6</w:t>
      </w:r>
      <w:r>
        <w:rPr>
          <w:rFonts w:hint="eastAsia"/>
          <w:snapToGrid/>
          <w:color w:val="000000"/>
        </w:rPr>
        <w:t>岁以上的儿童，除有残疾情况以外，还必须出示证据表明其正在国家设立或由国家批准设立的机构里经常接受初级、中级、高级或其它等同形式的</w:t>
      </w:r>
      <w:r>
        <w:rPr>
          <w:rFonts w:hint="eastAsia"/>
          <w:snapToGrid/>
          <w:color w:val="000000"/>
        </w:rPr>
        <w:t>教育；</w:t>
      </w:r>
    </w:p>
    <w:p w:rsidR="00000000" w:rsidRDefault="009C1C61">
      <w:pPr>
        <w:numPr>
          <w:ilvl w:val="0"/>
          <w:numId w:val="103"/>
        </w:numPr>
        <w:rPr>
          <w:rFonts w:hint="eastAsia"/>
          <w:snapToGrid/>
          <w:color w:val="000000"/>
        </w:rPr>
      </w:pPr>
      <w:r>
        <w:rPr>
          <w:rFonts w:hint="eastAsia"/>
          <w:snapToGrid/>
          <w:color w:val="000000"/>
        </w:rPr>
        <w:t>有未成年人依靠其开支维生并因而领取家属津贴的母亲，在这一情况下，津贴直接付给母亲本人；</w:t>
      </w:r>
    </w:p>
    <w:p w:rsidR="00000000" w:rsidRDefault="009C1C61">
      <w:pPr>
        <w:numPr>
          <w:ilvl w:val="0"/>
          <w:numId w:val="103"/>
        </w:numPr>
        <w:rPr>
          <w:rFonts w:hint="eastAsia"/>
          <w:snapToGrid/>
          <w:color w:val="000000"/>
        </w:rPr>
      </w:pPr>
      <w:r>
        <w:rPr>
          <w:rFonts w:hint="eastAsia"/>
          <w:snapToGrid/>
          <w:color w:val="000000"/>
        </w:rPr>
        <w:t>书面向其居住地市政厅申请津贴的怀孕妇女；</w:t>
      </w:r>
    </w:p>
    <w:p w:rsidR="00000000" w:rsidRDefault="009C1C61">
      <w:pPr>
        <w:numPr>
          <w:ilvl w:val="0"/>
          <w:numId w:val="103"/>
        </w:numPr>
        <w:rPr>
          <w:rFonts w:hint="eastAsia"/>
          <w:snapToGrid/>
          <w:color w:val="000000"/>
        </w:rPr>
      </w:pPr>
      <w:r>
        <w:rPr>
          <w:rFonts w:hint="eastAsia"/>
          <w:snapToGrid/>
          <w:color w:val="000000"/>
        </w:rPr>
        <w:t>依照法律规定为心智不全的任何年龄的人，</w:t>
      </w:r>
      <w:r>
        <w:rPr>
          <w:rStyle w:val="FootnoteReference"/>
          <w:bCs/>
          <w:snapToGrid/>
        </w:rPr>
        <w:footnoteReference w:id="156"/>
      </w:r>
      <w:r>
        <w:rPr>
          <w:rFonts w:hint="eastAsia"/>
          <w:snapToGrid/>
          <w:color w:val="000000"/>
        </w:rPr>
        <w:t xml:space="preserve"> </w:t>
      </w:r>
      <w:r>
        <w:rPr>
          <w:rFonts w:hint="eastAsia"/>
          <w:snapToGrid/>
          <w:color w:val="000000"/>
        </w:rPr>
        <w:t>同时又没有资格享受按</w:t>
      </w:r>
      <w:r>
        <w:rPr>
          <w:rFonts w:hint="eastAsia"/>
          <w:snapToGrid/>
          <w:color w:val="000000"/>
        </w:rPr>
        <w:t>1975</w:t>
      </w:r>
      <w:r>
        <w:rPr>
          <w:rFonts w:hint="eastAsia"/>
          <w:snapToGrid/>
          <w:color w:val="000000"/>
        </w:rPr>
        <w:t>年第</w:t>
      </w:r>
      <w:r>
        <w:rPr>
          <w:rFonts w:hint="eastAsia"/>
          <w:snapToGrid/>
          <w:color w:val="000000"/>
        </w:rPr>
        <w:t>869</w:t>
      </w:r>
      <w:r>
        <w:rPr>
          <w:rFonts w:hint="eastAsia"/>
          <w:snapToGrid/>
          <w:color w:val="000000"/>
        </w:rPr>
        <w:t>号政令法所设立的国家养恤金提供的福利者。</w:t>
      </w:r>
    </w:p>
    <w:p w:rsidR="00000000" w:rsidRDefault="009C1C61">
      <w:pPr>
        <w:rPr>
          <w:rFonts w:hint="eastAsia"/>
          <w:snapToGrid/>
          <w:color w:val="000000"/>
        </w:rPr>
      </w:pPr>
      <w:r>
        <w:rPr>
          <w:rFonts w:hint="eastAsia"/>
          <w:snapToGrid/>
          <w:color w:val="000000"/>
        </w:rPr>
        <w:tab/>
        <w:t xml:space="preserve">356.  </w:t>
      </w:r>
      <w:r>
        <w:rPr>
          <w:rFonts w:hint="eastAsia"/>
          <w:snapToGrid/>
          <w:color w:val="000000"/>
        </w:rPr>
        <w:t>下列人士代表依赖其开支生活的未成年人而领取家属津贴，按各类人士优先情况排列：</w:t>
      </w:r>
      <w:r>
        <w:rPr>
          <w:rStyle w:val="FootnoteReference"/>
          <w:bCs/>
          <w:snapToGrid/>
        </w:rPr>
        <w:footnoteReference w:id="157"/>
      </w:r>
      <w:r>
        <w:rPr>
          <w:rStyle w:val="FootnoteReference"/>
          <w:rFonts w:hint="eastAsia"/>
          <w:bCs/>
        </w:rPr>
        <w:t xml:space="preserve"> </w:t>
      </w:r>
      <w:r>
        <w:rPr>
          <w:rFonts w:hint="eastAsia"/>
          <w:snapToGrid/>
          <w:color w:val="000000"/>
        </w:rPr>
        <w:t>有权监护未成年人的母亲，或非由母亲监护时则归父亲、监护人或其他人、以及负责照料任何年龄心智不全的人的任何自然人。</w:t>
      </w:r>
    </w:p>
    <w:p w:rsidR="00000000" w:rsidRDefault="009C1C61">
      <w:pPr>
        <w:rPr>
          <w:rFonts w:hint="eastAsia"/>
          <w:snapToGrid/>
          <w:color w:val="000000"/>
        </w:rPr>
      </w:pPr>
      <w:r>
        <w:rPr>
          <w:rFonts w:hint="eastAsia"/>
          <w:snapToGrid/>
          <w:color w:val="000000"/>
        </w:rPr>
        <w:tab/>
        <w:t xml:space="preserve">357.  </w:t>
      </w:r>
      <w:r>
        <w:rPr>
          <w:rFonts w:hint="eastAsia"/>
          <w:snapToGrid/>
          <w:color w:val="000000"/>
        </w:rPr>
        <w:t>为取得领取家属津贴的资格，津贴</w:t>
      </w:r>
      <w:r>
        <w:rPr>
          <w:rFonts w:hint="eastAsia"/>
          <w:snapToGrid/>
          <w:color w:val="000000"/>
        </w:rPr>
        <w:t>领取人必须书面向其居住地市政厅申请，同时必须不能在其单独或经家庭帮助情况下有能力保证照料或抚养以及名誉要求福利的人。</w:t>
      </w:r>
    </w:p>
    <w:p w:rsidR="00000000" w:rsidRDefault="009C1C61">
      <w:pPr>
        <w:rPr>
          <w:rFonts w:hint="eastAsia"/>
          <w:snapToGrid/>
          <w:color w:val="000000"/>
        </w:rPr>
      </w:pPr>
      <w:r>
        <w:rPr>
          <w:rFonts w:hint="eastAsia"/>
          <w:snapToGrid/>
          <w:color w:val="000000"/>
        </w:rPr>
        <w:tab/>
        <w:t xml:space="preserve">358.  </w:t>
      </w:r>
      <w:r>
        <w:rPr>
          <w:rFonts w:hint="eastAsia"/>
          <w:snapToGrid/>
          <w:color w:val="000000"/>
        </w:rPr>
        <w:t>如果收入较低，家属津贴的数量与家属补贴的数量相等。如果津贴是发放给残疾人士或心智不全人士，该数额则增加</w:t>
      </w:r>
      <w:r>
        <w:rPr>
          <w:rFonts w:hint="eastAsia"/>
          <w:snapToGrid/>
          <w:color w:val="000000"/>
        </w:rPr>
        <w:t>1</w:t>
      </w:r>
      <w:r>
        <w:rPr>
          <w:rFonts w:hint="eastAsia"/>
          <w:snapToGrid/>
          <w:color w:val="000000"/>
        </w:rPr>
        <w:t>倍。这一福利是由社会保健标准化委员会偿付的。</w:t>
      </w:r>
    </w:p>
    <w:p w:rsidR="00000000" w:rsidRDefault="009C1C61">
      <w:pPr>
        <w:rPr>
          <w:rFonts w:hint="eastAsia"/>
          <w:snapToGrid/>
          <w:color w:val="000000"/>
        </w:rPr>
      </w:pPr>
      <w:r>
        <w:rPr>
          <w:rFonts w:hint="eastAsia"/>
          <w:snapToGrid/>
          <w:color w:val="000000"/>
        </w:rPr>
        <w:tab/>
        <w:t xml:space="preserve">359.  </w:t>
      </w:r>
      <w:r>
        <w:rPr>
          <w:rFonts w:hint="eastAsia"/>
          <w:snapToGrid/>
          <w:color w:val="000000"/>
        </w:rPr>
        <w:t>从</w:t>
      </w:r>
      <w:r>
        <w:rPr>
          <w:rFonts w:hint="eastAsia"/>
          <w:snapToGrid/>
          <w:color w:val="000000"/>
        </w:rPr>
        <w:t>1989</w:t>
      </w:r>
      <w:r>
        <w:rPr>
          <w:rFonts w:hint="eastAsia"/>
          <w:snapToGrid/>
          <w:color w:val="000000"/>
        </w:rPr>
        <w:t>年至</w:t>
      </w:r>
      <w:r>
        <w:rPr>
          <w:rFonts w:hint="eastAsia"/>
          <w:snapToGrid/>
          <w:color w:val="000000"/>
        </w:rPr>
        <w:t>1999</w:t>
      </w:r>
      <w:r>
        <w:rPr>
          <w:rFonts w:hint="eastAsia"/>
          <w:snapToGrid/>
          <w:color w:val="000000"/>
        </w:rPr>
        <w:t>年，家属津贴的平均月数额增加了</w:t>
      </w:r>
      <w:r>
        <w:rPr>
          <w:rFonts w:hint="eastAsia"/>
          <w:snapToGrid/>
          <w:color w:val="000000"/>
        </w:rPr>
        <w:t>42%</w:t>
      </w:r>
      <w:r>
        <w:rPr>
          <w:rFonts w:hint="eastAsia"/>
          <w:snapToGrid/>
          <w:color w:val="000000"/>
        </w:rPr>
        <w:t>。</w:t>
      </w:r>
      <w:r>
        <w:rPr>
          <w:rFonts w:hint="eastAsia"/>
          <w:snapToGrid/>
          <w:color w:val="000000"/>
        </w:rPr>
        <w:t>1999</w:t>
      </w:r>
      <w:r>
        <w:rPr>
          <w:rFonts w:hint="eastAsia"/>
          <w:snapToGrid/>
          <w:color w:val="000000"/>
        </w:rPr>
        <w:t>年，平均每个月偿付的福利达</w:t>
      </w:r>
      <w:r>
        <w:rPr>
          <w:rFonts w:hint="eastAsia"/>
          <w:snapToGrid/>
          <w:color w:val="000000"/>
        </w:rPr>
        <w:t>932,000</w:t>
      </w:r>
      <w:r>
        <w:rPr>
          <w:rFonts w:hint="eastAsia"/>
          <w:snapToGrid/>
          <w:color w:val="000000"/>
        </w:rPr>
        <w:t>份，月平均数额达</w:t>
      </w:r>
      <w:r>
        <w:rPr>
          <w:rFonts w:hint="eastAsia"/>
          <w:snapToGrid/>
          <w:color w:val="000000"/>
        </w:rPr>
        <w:t>3,055</w:t>
      </w:r>
      <w:r>
        <w:rPr>
          <w:rFonts w:hint="eastAsia"/>
          <w:snapToGrid/>
          <w:color w:val="000000"/>
        </w:rPr>
        <w:t>比索</w:t>
      </w:r>
      <w:r>
        <w:rPr>
          <w:rFonts w:hint="eastAsia"/>
          <w:snapToGrid/>
          <w:color w:val="000000"/>
        </w:rPr>
        <w:t>(6</w:t>
      </w:r>
      <w:r>
        <w:rPr>
          <w:rFonts w:hint="eastAsia"/>
          <w:snapToGrid/>
          <w:color w:val="000000"/>
        </w:rPr>
        <w:t>美元</w:t>
      </w:r>
      <w:r>
        <w:rPr>
          <w:rFonts w:hint="eastAsia"/>
          <w:snapToGrid/>
          <w:color w:val="000000"/>
        </w:rPr>
        <w:t>)</w:t>
      </w:r>
      <w:r>
        <w:rPr>
          <w:rFonts w:hint="eastAsia"/>
          <w:snapToGrid/>
          <w:color w:val="000000"/>
        </w:rPr>
        <w:t>。</w:t>
      </w:r>
      <w:r>
        <w:rPr>
          <w:rStyle w:val="FootnoteReference"/>
          <w:bCs/>
          <w:snapToGrid/>
        </w:rPr>
        <w:footnoteReference w:id="158"/>
      </w:r>
    </w:p>
    <w:p w:rsidR="00000000" w:rsidRDefault="009C1C61">
      <w:pPr>
        <w:rPr>
          <w:rFonts w:hint="eastAsia"/>
          <w:snapToGrid/>
          <w:color w:val="000000"/>
        </w:rPr>
      </w:pPr>
      <w:r>
        <w:rPr>
          <w:rFonts w:hint="eastAsia"/>
          <w:snapToGrid/>
          <w:color w:val="000000"/>
        </w:rPr>
        <w:tab/>
        <w:t xml:space="preserve">360.  </w:t>
      </w:r>
      <w:r>
        <w:rPr>
          <w:rFonts w:hint="eastAsia"/>
          <w:snapToGrid/>
          <w:color w:val="000000"/>
        </w:rPr>
        <w:t>关于领取家属津贴的申请必须提交给申请人所居住地所</w:t>
      </w:r>
      <w:r>
        <w:rPr>
          <w:rFonts w:hint="eastAsia"/>
          <w:snapToGrid/>
          <w:color w:val="000000"/>
        </w:rPr>
        <w:t>在的市政厅，同时必须提供表明有权享受福利的证据，及上述要求已经达到。家属津贴最多可偿付</w:t>
      </w:r>
      <w:r>
        <w:rPr>
          <w:rFonts w:hint="eastAsia"/>
          <w:snapToGrid/>
          <w:color w:val="000000"/>
        </w:rPr>
        <w:t>3</w:t>
      </w:r>
      <w:r>
        <w:rPr>
          <w:rFonts w:hint="eastAsia"/>
          <w:snapToGrid/>
          <w:color w:val="000000"/>
        </w:rPr>
        <w:t>年。</w:t>
      </w:r>
      <w:r>
        <w:rPr>
          <w:rStyle w:val="FootnoteReference"/>
          <w:bCs/>
          <w:snapToGrid/>
        </w:rPr>
        <w:footnoteReference w:id="159"/>
      </w:r>
      <w:r>
        <w:rPr>
          <w:rFonts w:hint="eastAsia"/>
          <w:snapToGrid/>
          <w:color w:val="000000"/>
        </w:rPr>
        <w:t xml:space="preserve"> </w:t>
      </w:r>
      <w:r>
        <w:rPr>
          <w:rFonts w:hint="eastAsia"/>
          <w:snapToGrid/>
          <w:color w:val="000000"/>
        </w:rPr>
        <w:t>在以其名誉领取津贴的人满</w:t>
      </w:r>
      <w:r>
        <w:rPr>
          <w:rFonts w:hint="eastAsia"/>
          <w:snapToGrid/>
          <w:color w:val="000000"/>
        </w:rPr>
        <w:t>8</w:t>
      </w:r>
      <w:r>
        <w:rPr>
          <w:rFonts w:hint="eastAsia"/>
          <w:snapToGrid/>
          <w:color w:val="000000"/>
        </w:rPr>
        <w:t>周岁之前，领取津贴者必须每年提供证据，表明该儿童正在享用由卫生部经营的儿童保健方案。有权享受福利的人士可以免费按第</w:t>
      </w:r>
      <w:r>
        <w:rPr>
          <w:rFonts w:hint="eastAsia"/>
          <w:snapToGrid/>
          <w:color w:val="000000"/>
        </w:rPr>
        <w:t>18469</w:t>
      </w:r>
      <w:r>
        <w:rPr>
          <w:rFonts w:hint="eastAsia"/>
          <w:snapToGrid/>
          <w:color w:val="000000"/>
        </w:rPr>
        <w:t>号法令的条文接受医疗护理</w:t>
      </w:r>
      <w:r>
        <w:rPr>
          <w:rFonts w:hint="eastAsia"/>
          <w:snapToGrid/>
          <w:color w:val="000000"/>
        </w:rPr>
        <w:t>(</w:t>
      </w:r>
      <w:r>
        <w:rPr>
          <w:rFonts w:hint="eastAsia"/>
          <w:snapToGrid/>
          <w:color w:val="000000"/>
        </w:rPr>
        <w:t>预防性和治疗性护理</w:t>
      </w:r>
      <w:r>
        <w:rPr>
          <w:rFonts w:hint="eastAsia"/>
          <w:snapToGrid/>
          <w:color w:val="000000"/>
        </w:rPr>
        <w:t>)</w:t>
      </w:r>
      <w:r>
        <w:rPr>
          <w:rFonts w:hint="eastAsia"/>
          <w:snapToGrid/>
          <w:color w:val="000000"/>
        </w:rPr>
        <w:t>及牙科护理。</w:t>
      </w:r>
    </w:p>
    <w:p w:rsidR="00000000" w:rsidRDefault="009C1C61">
      <w:pPr>
        <w:rPr>
          <w:rFonts w:hint="eastAsia"/>
          <w:snapToGrid/>
          <w:color w:val="000000"/>
        </w:rPr>
      </w:pPr>
      <w:r>
        <w:rPr>
          <w:rFonts w:hint="eastAsia"/>
          <w:snapToGrid/>
          <w:color w:val="000000"/>
        </w:rPr>
        <w:tab/>
        <w:t xml:space="preserve">361.  </w:t>
      </w:r>
      <w:r>
        <w:rPr>
          <w:rFonts w:hint="eastAsia"/>
          <w:snapToGrid/>
          <w:color w:val="000000"/>
        </w:rPr>
        <w:t>依照法令</w:t>
      </w:r>
      <w:r>
        <w:rPr>
          <w:rFonts w:hint="eastAsia"/>
          <w:snapToGrid/>
          <w:color w:val="000000"/>
        </w:rPr>
        <w:t xml:space="preserve"> </w:t>
      </w:r>
      <w:r>
        <w:rPr>
          <w:rStyle w:val="FootnoteReference"/>
          <w:bCs/>
          <w:snapToGrid/>
        </w:rPr>
        <w:footnoteReference w:id="160"/>
      </w:r>
      <w:r>
        <w:rPr>
          <w:rFonts w:hint="eastAsia"/>
          <w:snapToGrid/>
          <w:color w:val="000000"/>
        </w:rPr>
        <w:t xml:space="preserve"> </w:t>
      </w:r>
      <w:r>
        <w:rPr>
          <w:rFonts w:hint="eastAsia"/>
          <w:snapToGrid/>
          <w:color w:val="000000"/>
        </w:rPr>
        <w:t>允许发放的家属津贴是由国家家属津贴基金偿付的。</w:t>
      </w:r>
      <w:r>
        <w:rPr>
          <w:rStyle w:val="FootnoteReference"/>
          <w:bCs/>
          <w:snapToGrid/>
        </w:rPr>
        <w:footnoteReference w:id="161"/>
      </w:r>
      <w:r>
        <w:rPr>
          <w:rFonts w:hint="eastAsia"/>
          <w:snapToGrid/>
          <w:color w:val="000000"/>
        </w:rPr>
        <w:t xml:space="preserve"> </w:t>
      </w:r>
      <w:r>
        <w:rPr>
          <w:rFonts w:hint="eastAsia"/>
          <w:snapToGrid/>
          <w:color w:val="000000"/>
        </w:rPr>
        <w:t>该项基金是每年按预算法令所确立的财政拨款来资助的。</w:t>
      </w:r>
    </w:p>
    <w:p w:rsidR="00000000" w:rsidRDefault="009C1C61">
      <w:pPr>
        <w:spacing w:after="320"/>
        <w:rPr>
          <w:rFonts w:hint="eastAsia"/>
          <w:snapToGrid/>
          <w:color w:val="000000"/>
        </w:rPr>
      </w:pPr>
      <w:r>
        <w:rPr>
          <w:rFonts w:hint="eastAsia"/>
          <w:snapToGrid/>
          <w:color w:val="000000"/>
        </w:rPr>
        <w:tab/>
        <w:t>362.  2002</w:t>
      </w:r>
      <w:r>
        <w:rPr>
          <w:rFonts w:hint="eastAsia"/>
          <w:snapToGrid/>
          <w:color w:val="000000"/>
        </w:rPr>
        <w:t>年起，新的规则生效了，</w:t>
      </w:r>
      <w:r>
        <w:rPr>
          <w:rStyle w:val="FootnoteReference"/>
          <w:bCs/>
          <w:snapToGrid/>
        </w:rPr>
        <w:footnoteReference w:id="162"/>
      </w:r>
      <w:r>
        <w:rPr>
          <w:rFonts w:hint="eastAsia"/>
          <w:snapToGrid/>
          <w:color w:val="000000"/>
        </w:rPr>
        <w:t xml:space="preserve"> </w:t>
      </w:r>
      <w:r>
        <w:rPr>
          <w:rFonts w:hint="eastAsia"/>
          <w:snapToGrid/>
          <w:color w:val="000000"/>
        </w:rPr>
        <w:t>该法令根据对每个工作者所开立</w:t>
      </w:r>
      <w:r>
        <w:rPr>
          <w:rFonts w:hint="eastAsia"/>
          <w:snapToGrid/>
          <w:color w:val="000000"/>
        </w:rPr>
        <w:t>的个人帐户，建立了新的失业福利制度，在该帐户下所积累的资金只占比以前所设置的计划更有效的提供支助。该法令提出了裁员保险条款，该项保险是由雇主按工作人员应付税的收入支</w:t>
      </w:r>
      <w:r>
        <w:rPr>
          <w:rFonts w:hint="eastAsia"/>
          <w:snapToGrid/>
          <w:color w:val="000000"/>
        </w:rPr>
        <w:t>2.4%</w:t>
      </w:r>
      <w:r>
        <w:rPr>
          <w:rFonts w:hint="eastAsia"/>
          <w:snapToGrid/>
          <w:color w:val="000000"/>
        </w:rPr>
        <w:t>的数额每月交付的。然后这一资金变成为工作人员本人的财产，他们可能通过按月份转帐的方式来使用这笔资金，最多可进行</w:t>
      </w:r>
      <w:r>
        <w:rPr>
          <w:rFonts w:hint="eastAsia"/>
          <w:snapToGrid/>
          <w:color w:val="000000"/>
        </w:rPr>
        <w:t>5</w:t>
      </w:r>
      <w:r>
        <w:rPr>
          <w:rFonts w:hint="eastAsia"/>
          <w:snapToGrid/>
          <w:color w:val="000000"/>
        </w:rPr>
        <w:t>次转帐。对于那些由于收入有限无法按法律在其帐户内积累最低数额的工作者，则由国家设立补充支助基金，以便共同为工作人员提供资金。</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专门用于社会保障的资金在国民生产总值和国家预算中所占的比例</w:t>
      </w:r>
    </w:p>
    <w:p w:rsidR="00000000" w:rsidRDefault="009C1C61">
      <w:pPr>
        <w:spacing w:after="320"/>
        <w:rPr>
          <w:rFonts w:hint="eastAsia"/>
          <w:snapToGrid/>
          <w:color w:val="000000"/>
        </w:rPr>
      </w:pPr>
      <w:r>
        <w:rPr>
          <w:rFonts w:hint="eastAsia"/>
          <w:snapToGrid/>
          <w:color w:val="000000"/>
        </w:rPr>
        <w:tab/>
        <w:t xml:space="preserve">363.  </w:t>
      </w:r>
      <w:r>
        <w:rPr>
          <w:rFonts w:hint="eastAsia"/>
          <w:snapToGrid/>
          <w:color w:val="000000"/>
        </w:rPr>
        <w:t>自</w:t>
      </w:r>
      <w:r>
        <w:rPr>
          <w:rFonts w:hint="eastAsia"/>
          <w:snapToGrid/>
          <w:color w:val="000000"/>
        </w:rPr>
        <w:t>1990</w:t>
      </w:r>
      <w:r>
        <w:rPr>
          <w:rFonts w:hint="eastAsia"/>
          <w:snapToGrid/>
          <w:color w:val="000000"/>
        </w:rPr>
        <w:t>年以来，对社会保障</w:t>
      </w:r>
      <w:r>
        <w:rPr>
          <w:rFonts w:hint="eastAsia"/>
          <w:snapToGrid/>
          <w:color w:val="000000"/>
        </w:rPr>
        <w:t>所作的开支有很大增长，但是，由于将优先事项并在对教育、健康和住房的社会投资上，这一数字的增长低于平均增长数，所以其在全部社会开支中所占的份额有所下降。从</w:t>
      </w:r>
      <w:r>
        <w:rPr>
          <w:rFonts w:hint="eastAsia"/>
          <w:snapToGrid/>
          <w:color w:val="000000"/>
        </w:rPr>
        <w:t>1989</w:t>
      </w:r>
      <w:r>
        <w:rPr>
          <w:rFonts w:hint="eastAsia"/>
          <w:snapToGrid/>
          <w:color w:val="000000"/>
        </w:rPr>
        <w:t>年到</w:t>
      </w:r>
      <w:r>
        <w:rPr>
          <w:rFonts w:hint="eastAsia"/>
          <w:snapToGrid/>
          <w:color w:val="000000"/>
        </w:rPr>
        <w:t>2000</w:t>
      </w:r>
      <w:r>
        <w:rPr>
          <w:rFonts w:hint="eastAsia"/>
          <w:snapToGrid/>
          <w:color w:val="000000"/>
        </w:rPr>
        <w:t>年，对社会保障所作的财政开支增加了</w:t>
      </w:r>
      <w:r>
        <w:rPr>
          <w:rFonts w:hint="eastAsia"/>
          <w:snapToGrid/>
          <w:color w:val="000000"/>
        </w:rPr>
        <w:t>129%</w:t>
      </w:r>
      <w:r>
        <w:rPr>
          <w:rFonts w:hint="eastAsia"/>
          <w:snapToGrid/>
          <w:color w:val="000000"/>
        </w:rPr>
        <w:t>，公共开支增加了</w:t>
      </w:r>
      <w:r>
        <w:rPr>
          <w:rFonts w:hint="eastAsia"/>
          <w:snapToGrid/>
          <w:color w:val="000000"/>
        </w:rPr>
        <w:t>84.8%</w:t>
      </w:r>
      <w:r>
        <w:rPr>
          <w:rFonts w:hint="eastAsia"/>
          <w:snapToGrid/>
          <w:color w:val="000000"/>
        </w:rPr>
        <w:t>。</w:t>
      </w:r>
      <w:r>
        <w:rPr>
          <w:rFonts w:hint="eastAsia"/>
          <w:snapToGrid/>
          <w:color w:val="000000"/>
        </w:rPr>
        <w:t>2001</w:t>
      </w:r>
      <w:r>
        <w:rPr>
          <w:rFonts w:hint="eastAsia"/>
          <w:snapToGrid/>
          <w:color w:val="000000"/>
        </w:rPr>
        <w:t>年，对社会保障所作的公共开支达</w:t>
      </w:r>
      <w:r>
        <w:rPr>
          <w:rFonts w:hint="eastAsia"/>
          <w:snapToGrid/>
          <w:color w:val="000000"/>
        </w:rPr>
        <w:t>4,818</w:t>
      </w:r>
      <w:r>
        <w:rPr>
          <w:rFonts w:hint="eastAsia"/>
          <w:snapToGrid/>
          <w:color w:val="000000"/>
        </w:rPr>
        <w:t>万美元，达国内生产总值的</w:t>
      </w:r>
      <w:r>
        <w:rPr>
          <w:rFonts w:hint="eastAsia"/>
          <w:snapToGrid/>
          <w:color w:val="000000"/>
        </w:rPr>
        <w:t>6.9%</w:t>
      </w:r>
      <w:r>
        <w:rPr>
          <w:rFonts w:hint="eastAsia"/>
          <w:snapToGrid/>
          <w:color w:val="000000"/>
        </w:rPr>
        <w:t>，而财政开支达</w:t>
      </w:r>
      <w:r>
        <w:rPr>
          <w:rFonts w:hint="eastAsia"/>
          <w:snapToGrid/>
          <w:color w:val="000000"/>
        </w:rPr>
        <w:t>4,332</w:t>
      </w:r>
      <w:r>
        <w:rPr>
          <w:rFonts w:hint="eastAsia"/>
          <w:snapToGrid/>
          <w:color w:val="000000"/>
        </w:rPr>
        <w:t>万美元，占国内生产总值的</w:t>
      </w:r>
      <w:r>
        <w:rPr>
          <w:rFonts w:hint="eastAsia"/>
          <w:snapToGrid/>
          <w:color w:val="000000"/>
        </w:rPr>
        <w:t>6.2%(</w:t>
      </w:r>
      <w:r>
        <w:rPr>
          <w:rFonts w:hint="eastAsia"/>
          <w:snapToGrid/>
          <w:color w:val="000000"/>
        </w:rPr>
        <w:t>见表</w:t>
      </w:r>
      <w:r>
        <w:rPr>
          <w:rFonts w:hint="eastAsia"/>
          <w:snapToGrid/>
          <w:color w:val="000000"/>
        </w:rPr>
        <w:t>13)</w:t>
      </w:r>
      <w:r>
        <w:rPr>
          <w:rFonts w:hint="eastAsia"/>
          <w:snapToGrid/>
          <w:color w:val="000000"/>
        </w:rPr>
        <w:t>。</w:t>
      </w:r>
    </w:p>
    <w:p w:rsidR="00000000" w:rsidRDefault="009C1C61">
      <w:pPr>
        <w:pStyle w:val="Heading3"/>
        <w:pageBreakBefore/>
        <w:rPr>
          <w:rFonts w:hint="eastAsia"/>
          <w:color w:val="000000"/>
          <w:kern w:val="0"/>
        </w:rPr>
      </w:pPr>
      <w:r>
        <w:rPr>
          <w:rFonts w:hint="eastAsia"/>
          <w:color w:val="000000"/>
          <w:kern w:val="0"/>
        </w:rPr>
        <w:t>表</w:t>
      </w:r>
      <w:r>
        <w:rPr>
          <w:color w:val="000000"/>
          <w:kern w:val="0"/>
        </w:rPr>
        <w:t xml:space="preserve">  </w:t>
      </w:r>
      <w:r>
        <w:rPr>
          <w:rFonts w:hint="eastAsia"/>
          <w:b/>
          <w:color w:val="000000"/>
          <w:kern w:val="0"/>
        </w:rPr>
        <w:t>13</w:t>
      </w:r>
      <w:r>
        <w:rPr>
          <w:b/>
          <w:color w:val="000000"/>
          <w:kern w:val="0"/>
        </w:rPr>
        <w:br/>
      </w:r>
      <w:r>
        <w:rPr>
          <w:rFonts w:hint="eastAsia"/>
          <w:b/>
          <w:color w:val="000000"/>
          <w:kern w:val="0"/>
        </w:rPr>
        <w:t>1987</w:t>
      </w:r>
      <w:r>
        <w:rPr>
          <w:rFonts w:hint="eastAsia"/>
          <w:color w:val="000000"/>
          <w:kern w:val="0"/>
        </w:rPr>
        <w:t>年至</w:t>
      </w:r>
      <w:r>
        <w:rPr>
          <w:rFonts w:hint="eastAsia"/>
          <w:b/>
          <w:color w:val="000000"/>
          <w:kern w:val="0"/>
        </w:rPr>
        <w:t>2000</w:t>
      </w:r>
      <w:r>
        <w:rPr>
          <w:rFonts w:hint="eastAsia"/>
          <w:color w:val="000000"/>
          <w:kern w:val="0"/>
        </w:rPr>
        <w:t>年公共支出和财政支出概算</w:t>
      </w:r>
      <w:r>
        <w:rPr>
          <w:color w:val="000000"/>
          <w:kern w:val="0"/>
        </w:rPr>
        <w:br/>
      </w:r>
      <w:r>
        <w:rPr>
          <w:rFonts w:hint="eastAsia"/>
          <w:color w:val="000000"/>
          <w:kern w:val="0"/>
        </w:rPr>
        <w:t>(</w:t>
      </w:r>
      <w:r>
        <w:rPr>
          <w:rFonts w:hint="eastAsia"/>
          <w:color w:val="000000"/>
          <w:kern w:val="0"/>
        </w:rPr>
        <w:t>按</w:t>
      </w:r>
      <w:r>
        <w:rPr>
          <w:rFonts w:hint="eastAsia"/>
          <w:b/>
          <w:color w:val="000000"/>
          <w:kern w:val="0"/>
        </w:rPr>
        <w:t>2000</w:t>
      </w:r>
      <w:r>
        <w:rPr>
          <w:rFonts w:hint="eastAsia"/>
          <w:color w:val="000000"/>
          <w:kern w:val="0"/>
        </w:rPr>
        <w:t>年的汇率计算的百万比索</w:t>
      </w:r>
      <w:r>
        <w:rPr>
          <w:rFonts w:hint="eastAsia"/>
          <w:color w:val="000000"/>
          <w:kern w:val="0"/>
        </w:rPr>
        <w:t>)</w:t>
      </w:r>
    </w:p>
    <w:tbl>
      <w:tblPr>
        <w:tblW w:w="4896" w:type="pct"/>
        <w:jc w:val="center"/>
        <w:tblBorders>
          <w:bottom w:val="single" w:sz="2" w:space="0" w:color="auto"/>
          <w:insideH w:val="single" w:sz="2" w:space="0" w:color="auto"/>
          <w:insideV w:val="single" w:sz="2" w:space="0" w:color="auto"/>
        </w:tblBorders>
        <w:tblCellMar>
          <w:left w:w="56" w:type="dxa"/>
          <w:right w:w="56" w:type="dxa"/>
        </w:tblCellMar>
        <w:tblLook w:val="0000" w:firstRow="0" w:lastRow="0" w:firstColumn="0" w:lastColumn="0" w:noHBand="0" w:noVBand="0"/>
      </w:tblPr>
      <w:tblGrid>
        <w:gridCol w:w="24"/>
        <w:gridCol w:w="1075"/>
        <w:gridCol w:w="2308"/>
        <w:gridCol w:w="1819"/>
        <w:gridCol w:w="2269"/>
        <w:gridCol w:w="1774"/>
      </w:tblGrid>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before="120" w:line="288" w:lineRule="auto"/>
              <w:jc w:val="center"/>
              <w:rPr>
                <w:noProof/>
                <w:snapToGrid/>
                <w:color w:val="000000"/>
              </w:rPr>
            </w:pPr>
          </w:p>
        </w:tc>
        <w:tc>
          <w:tcPr>
            <w:tcW w:w="1245" w:type="pct"/>
            <w:tcBorders>
              <w:top w:val="single" w:sz="2" w:space="0" w:color="auto"/>
            </w:tcBorders>
            <w:vAlign w:val="center"/>
          </w:tcPr>
          <w:p w:rsidR="00000000" w:rsidRDefault="009C1C61">
            <w:pPr>
              <w:pStyle w:val="a2"/>
              <w:spacing w:before="120" w:line="288" w:lineRule="auto"/>
              <w:jc w:val="center"/>
              <w:rPr>
                <w:rFonts w:hint="eastAsia"/>
                <w:noProof/>
                <w:snapToGrid/>
                <w:color w:val="000000"/>
              </w:rPr>
            </w:pPr>
            <w:r>
              <w:rPr>
                <w:rFonts w:hint="eastAsia"/>
                <w:noProof/>
                <w:snapToGrid/>
                <w:color w:val="000000"/>
              </w:rPr>
              <w:t>公共开支</w:t>
            </w:r>
          </w:p>
        </w:tc>
        <w:tc>
          <w:tcPr>
            <w:tcW w:w="981" w:type="pct"/>
            <w:tcBorders>
              <w:top w:val="single" w:sz="2" w:space="0" w:color="auto"/>
            </w:tcBorders>
            <w:vAlign w:val="center"/>
          </w:tcPr>
          <w:p w:rsidR="00000000" w:rsidRDefault="009C1C61">
            <w:pPr>
              <w:pStyle w:val="a2"/>
              <w:spacing w:before="120" w:line="288" w:lineRule="auto"/>
              <w:jc w:val="center"/>
              <w:rPr>
                <w:noProof/>
                <w:snapToGrid/>
                <w:color w:val="000000"/>
              </w:rPr>
            </w:pPr>
            <w:r>
              <w:rPr>
                <w:rFonts w:hint="eastAsia"/>
                <w:noProof/>
                <w:snapToGrid/>
                <w:color w:val="000000"/>
              </w:rPr>
              <w:t>年增减率</w:t>
            </w:r>
            <w:r>
              <w:rPr>
                <w:noProof/>
                <w:snapToGrid/>
                <w:color w:val="000000"/>
              </w:rPr>
              <w:t>(</w:t>
            </w:r>
            <w:r>
              <w:rPr>
                <w:noProof/>
                <w:snapToGrid/>
                <w:color w:val="000000"/>
              </w:rPr>
              <w:t>%)</w:t>
            </w:r>
          </w:p>
        </w:tc>
        <w:tc>
          <w:tcPr>
            <w:tcW w:w="1224" w:type="pct"/>
            <w:tcBorders>
              <w:top w:val="single" w:sz="2" w:space="0" w:color="auto"/>
            </w:tcBorders>
            <w:vAlign w:val="center"/>
          </w:tcPr>
          <w:p w:rsidR="00000000" w:rsidRDefault="009C1C61">
            <w:pPr>
              <w:pStyle w:val="a2"/>
              <w:spacing w:before="120" w:line="288" w:lineRule="auto"/>
              <w:jc w:val="center"/>
              <w:rPr>
                <w:rFonts w:hint="eastAsia"/>
                <w:snapToGrid/>
                <w:color w:val="000000"/>
              </w:rPr>
            </w:pPr>
            <w:r>
              <w:rPr>
                <w:rFonts w:hint="eastAsia"/>
                <w:snapToGrid/>
                <w:color w:val="000000"/>
              </w:rPr>
              <w:t>财政开支</w:t>
            </w:r>
          </w:p>
        </w:tc>
        <w:tc>
          <w:tcPr>
            <w:tcW w:w="957" w:type="pct"/>
            <w:tcBorders>
              <w:top w:val="single" w:sz="2" w:space="0" w:color="auto"/>
              <w:right w:val="single" w:sz="2" w:space="0" w:color="auto"/>
            </w:tcBorders>
            <w:vAlign w:val="center"/>
          </w:tcPr>
          <w:p w:rsidR="00000000" w:rsidRDefault="009C1C61">
            <w:pPr>
              <w:pStyle w:val="a2"/>
              <w:spacing w:before="120" w:line="288" w:lineRule="auto"/>
              <w:jc w:val="center"/>
              <w:rPr>
                <w:noProof/>
                <w:snapToGrid/>
                <w:color w:val="000000"/>
              </w:rPr>
            </w:pPr>
            <w:r>
              <w:rPr>
                <w:rFonts w:hint="eastAsia"/>
                <w:noProof/>
                <w:snapToGrid/>
                <w:color w:val="000000"/>
              </w:rPr>
              <w:t>年增减率</w:t>
            </w:r>
            <w:r>
              <w:rPr>
                <w:noProof/>
                <w:snapToGrid/>
                <w:color w:val="000000"/>
              </w:rPr>
              <w:t>(%)</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jc w:val="center"/>
              <w:rPr>
                <w:rFonts w:hint="eastAsia"/>
                <w:noProof/>
                <w:snapToGrid/>
                <w:color w:val="000000"/>
              </w:rPr>
            </w:pPr>
            <w:r>
              <w:rPr>
                <w:rFonts w:hint="eastAsia"/>
                <w:noProof/>
                <w:snapToGrid/>
                <w:color w:val="000000"/>
              </w:rPr>
              <w:t>年</w:t>
            </w:r>
            <w:r>
              <w:rPr>
                <w:rFonts w:hint="eastAsia"/>
                <w:noProof/>
                <w:snapToGrid/>
                <w:color w:val="000000"/>
              </w:rPr>
              <w:t xml:space="preserve">  </w:t>
            </w:r>
            <w:r>
              <w:rPr>
                <w:rFonts w:hint="eastAsia"/>
                <w:noProof/>
                <w:snapToGrid/>
                <w:color w:val="000000"/>
              </w:rPr>
              <w:t>份</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1,406,883</w:t>
            </w:r>
            <w:r>
              <w:rPr>
                <w:noProof/>
                <w:snapToGrid/>
                <w:color w:val="000000"/>
              </w:rPr>
              <w:br/>
              <w:t>(2,607,801,813</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2.9</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1,020,798</w:t>
            </w:r>
            <w:r>
              <w:rPr>
                <w:noProof/>
                <w:snapToGrid/>
                <w:color w:val="000000"/>
              </w:rPr>
              <w:br/>
              <w:t>(1,892,153,701</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–10.9</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1990</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1,432,253</w:t>
            </w:r>
            <w:r>
              <w:rPr>
                <w:noProof/>
                <w:snapToGrid/>
                <w:color w:val="000000"/>
              </w:rPr>
              <w:br/>
              <w:t>(2,654,827,708</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1.8</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1,174,184</w:t>
            </w:r>
            <w:r>
              <w:rPr>
                <w:noProof/>
                <w:snapToGrid/>
                <w:color w:val="000000"/>
              </w:rPr>
              <w:br/>
              <w:t>(2,176,470,370</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15.0</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1991</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1,488,927</w:t>
            </w:r>
            <w:r>
              <w:rPr>
                <w:noProof/>
                <w:snapToGrid/>
                <w:color w:val="000000"/>
              </w:rPr>
              <w:br/>
              <w:t>(2,759,878,774</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4.0</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1,240,429</w:t>
            </w:r>
            <w:r>
              <w:rPr>
                <w:noProof/>
                <w:snapToGrid/>
                <w:color w:val="000000"/>
              </w:rPr>
              <w:br/>
              <w:t>(2,299,262,266</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5.6</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1992</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1,579,163</w:t>
            </w:r>
            <w:r>
              <w:rPr>
                <w:noProof/>
                <w:snapToGrid/>
                <w:color w:val="000000"/>
              </w:rPr>
              <w:br/>
              <w:t>(2,927,140,</w:t>
            </w:r>
            <w:r>
              <w:rPr>
                <w:noProof/>
                <w:snapToGrid/>
                <w:color w:val="000000"/>
              </w:rPr>
              <w:t>447</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6.1</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1,324,355</w:t>
            </w:r>
            <w:r>
              <w:rPr>
                <w:noProof/>
                <w:snapToGrid/>
                <w:color w:val="000000"/>
              </w:rPr>
              <w:br/>
              <w:t>(2,454,827,708</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6.8</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1993</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1,712,193</w:t>
            </w:r>
            <w:r>
              <w:rPr>
                <w:noProof/>
                <w:snapToGrid/>
                <w:color w:val="000000"/>
              </w:rPr>
              <w:br/>
              <w:t>(3,173,725,185</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8.4</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1,448,392</w:t>
            </w:r>
            <w:r>
              <w:rPr>
                <w:noProof/>
                <w:snapToGrid/>
                <w:color w:val="000000"/>
              </w:rPr>
              <w:br/>
              <w:t>(2,684,742,998</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9.4</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bottom w:val="single" w:sz="2" w:space="0" w:color="auto"/>
            </w:tcBorders>
          </w:tcPr>
          <w:p w:rsidR="00000000" w:rsidRDefault="009C1C61">
            <w:pPr>
              <w:pStyle w:val="a2"/>
              <w:spacing w:line="288" w:lineRule="auto"/>
              <w:ind w:left="170"/>
              <w:rPr>
                <w:noProof/>
                <w:snapToGrid/>
                <w:color w:val="000000"/>
              </w:rPr>
            </w:pPr>
            <w:r>
              <w:rPr>
                <w:noProof/>
                <w:snapToGrid/>
                <w:color w:val="000000"/>
              </w:rPr>
              <w:t>1994</w:t>
            </w:r>
          </w:p>
        </w:tc>
        <w:tc>
          <w:tcPr>
            <w:tcW w:w="1245" w:type="pct"/>
            <w:tcBorders>
              <w:top w:val="single" w:sz="2" w:space="0" w:color="auto"/>
              <w:bottom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1,770,959</w:t>
            </w:r>
            <w:r>
              <w:rPr>
                <w:noProof/>
                <w:snapToGrid/>
                <w:color w:val="000000"/>
              </w:rPr>
              <w:br/>
              <w:t>(3,282,653,988</w:t>
            </w:r>
            <w:r>
              <w:rPr>
                <w:rFonts w:hint="eastAsia"/>
                <w:noProof/>
                <w:snapToGrid/>
                <w:color w:val="000000"/>
              </w:rPr>
              <w:t>美元</w:t>
            </w:r>
            <w:r>
              <w:rPr>
                <w:noProof/>
                <w:snapToGrid/>
                <w:color w:val="000000"/>
              </w:rPr>
              <w:t>)</w:t>
            </w:r>
          </w:p>
        </w:tc>
        <w:tc>
          <w:tcPr>
            <w:tcW w:w="981" w:type="pct"/>
            <w:tcBorders>
              <w:top w:val="single" w:sz="2" w:space="0" w:color="auto"/>
              <w:bottom w:val="single" w:sz="2" w:space="0" w:color="auto"/>
            </w:tcBorders>
          </w:tcPr>
          <w:p w:rsidR="00000000" w:rsidRDefault="009C1C61">
            <w:pPr>
              <w:pStyle w:val="a2"/>
              <w:spacing w:line="288" w:lineRule="auto"/>
              <w:jc w:val="center"/>
              <w:rPr>
                <w:noProof/>
                <w:snapToGrid/>
                <w:color w:val="000000"/>
              </w:rPr>
            </w:pPr>
            <w:r>
              <w:rPr>
                <w:noProof/>
                <w:snapToGrid/>
                <w:color w:val="000000"/>
              </w:rPr>
              <w:t>3.4</w:t>
            </w:r>
          </w:p>
        </w:tc>
        <w:tc>
          <w:tcPr>
            <w:tcW w:w="1224" w:type="pct"/>
            <w:tcBorders>
              <w:top w:val="single" w:sz="2" w:space="0" w:color="auto"/>
              <w:bottom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1,515,530</w:t>
            </w:r>
            <w:r>
              <w:rPr>
                <w:noProof/>
                <w:snapToGrid/>
                <w:color w:val="000000"/>
              </w:rPr>
              <w:br/>
              <w:t>(2,809,190,161</w:t>
            </w:r>
            <w:r>
              <w:rPr>
                <w:rFonts w:hint="eastAsia"/>
                <w:noProof/>
                <w:snapToGrid/>
                <w:color w:val="000000"/>
              </w:rPr>
              <w:t>美元</w:t>
            </w:r>
            <w:r>
              <w:rPr>
                <w:noProof/>
                <w:snapToGrid/>
                <w:color w:val="000000"/>
              </w:rPr>
              <w:t>)</w:t>
            </w:r>
          </w:p>
        </w:tc>
        <w:tc>
          <w:tcPr>
            <w:tcW w:w="957" w:type="pct"/>
            <w:tcBorders>
              <w:top w:val="single" w:sz="2" w:space="0" w:color="auto"/>
              <w:bottom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4.6</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bottom w:val="single" w:sz="2" w:space="0" w:color="auto"/>
            </w:tcBorders>
          </w:tcPr>
          <w:p w:rsidR="00000000" w:rsidRDefault="009C1C61">
            <w:pPr>
              <w:pStyle w:val="a2"/>
              <w:spacing w:line="288" w:lineRule="auto"/>
              <w:ind w:left="170"/>
              <w:rPr>
                <w:noProof/>
                <w:snapToGrid/>
                <w:color w:val="000000"/>
              </w:rPr>
            </w:pPr>
            <w:r>
              <w:rPr>
                <w:noProof/>
                <w:snapToGrid/>
                <w:color w:val="000000"/>
              </w:rPr>
              <w:t>1995</w:t>
            </w:r>
          </w:p>
        </w:tc>
        <w:tc>
          <w:tcPr>
            <w:tcW w:w="1245" w:type="pct"/>
            <w:tcBorders>
              <w:top w:val="single" w:sz="2" w:space="0" w:color="auto"/>
              <w:bottom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1,877,307</w:t>
            </w:r>
            <w:r>
              <w:rPr>
                <w:noProof/>
                <w:snapToGrid/>
                <w:color w:val="000000"/>
              </w:rPr>
              <w:br/>
              <w:t>(3,479,780,904</w:t>
            </w:r>
            <w:r>
              <w:rPr>
                <w:rFonts w:hint="eastAsia"/>
                <w:noProof/>
                <w:snapToGrid/>
                <w:color w:val="000000"/>
              </w:rPr>
              <w:t>美元</w:t>
            </w:r>
            <w:r>
              <w:rPr>
                <w:noProof/>
                <w:snapToGrid/>
                <w:color w:val="000000"/>
              </w:rPr>
              <w:t>)</w:t>
            </w:r>
          </w:p>
        </w:tc>
        <w:tc>
          <w:tcPr>
            <w:tcW w:w="981" w:type="pct"/>
            <w:tcBorders>
              <w:top w:val="single" w:sz="2" w:space="0" w:color="auto"/>
              <w:bottom w:val="single" w:sz="2" w:space="0" w:color="auto"/>
            </w:tcBorders>
          </w:tcPr>
          <w:p w:rsidR="00000000" w:rsidRDefault="009C1C61">
            <w:pPr>
              <w:pStyle w:val="a2"/>
              <w:spacing w:line="288" w:lineRule="auto"/>
              <w:jc w:val="center"/>
              <w:rPr>
                <w:noProof/>
                <w:snapToGrid/>
                <w:color w:val="000000"/>
              </w:rPr>
            </w:pPr>
            <w:r>
              <w:rPr>
                <w:noProof/>
                <w:snapToGrid/>
                <w:color w:val="000000"/>
              </w:rPr>
              <w:t>6.0</w:t>
            </w:r>
          </w:p>
        </w:tc>
        <w:tc>
          <w:tcPr>
            <w:tcW w:w="1224" w:type="pct"/>
            <w:tcBorders>
              <w:top w:val="single" w:sz="2" w:space="0" w:color="auto"/>
              <w:bottom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1,617,640</w:t>
            </w:r>
            <w:r>
              <w:rPr>
                <w:noProof/>
                <w:snapToGrid/>
                <w:color w:val="000000"/>
              </w:rPr>
              <w:br/>
              <w:t>(2,998,461,510</w:t>
            </w:r>
            <w:r>
              <w:rPr>
                <w:rFonts w:hint="eastAsia"/>
                <w:noProof/>
                <w:snapToGrid/>
                <w:color w:val="000000"/>
              </w:rPr>
              <w:t>美元</w:t>
            </w:r>
            <w:r>
              <w:rPr>
                <w:noProof/>
                <w:snapToGrid/>
                <w:color w:val="000000"/>
              </w:rPr>
              <w:t>)</w:t>
            </w:r>
          </w:p>
        </w:tc>
        <w:tc>
          <w:tcPr>
            <w:tcW w:w="957" w:type="pct"/>
            <w:tcBorders>
              <w:top w:val="single" w:sz="2" w:space="0" w:color="auto"/>
              <w:bottom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6.7</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w:t>
            </w:r>
            <w:r>
              <w:rPr>
                <w:noProof/>
                <w:snapToGrid/>
                <w:color w:val="000000"/>
              </w:rPr>
              <w:t>96</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2,021,633</w:t>
            </w:r>
            <w:r>
              <w:rPr>
                <w:noProof/>
                <w:snapToGrid/>
                <w:color w:val="000000"/>
              </w:rPr>
              <w:br/>
              <w:t>(3,747,303,935</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7.7</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1,758,754</w:t>
            </w:r>
            <w:r>
              <w:rPr>
                <w:noProof/>
                <w:snapToGrid/>
                <w:color w:val="000000"/>
              </w:rPr>
              <w:br/>
              <w:t>(3,260,030,770</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8.7</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1997</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2,115,043</w:t>
            </w:r>
            <w:r>
              <w:rPr>
                <w:noProof/>
                <w:snapToGrid/>
                <w:color w:val="000000"/>
              </w:rPr>
              <w:br/>
              <w:t>(3,920,448,943</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4.6</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1,816,791</w:t>
            </w:r>
            <w:r>
              <w:rPr>
                <w:noProof/>
                <w:snapToGrid/>
                <w:color w:val="000000"/>
              </w:rPr>
              <w:br/>
              <w:t>(3,367,608,297</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3.3</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1998</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2,242,578</w:t>
            </w:r>
            <w:r>
              <w:rPr>
                <w:noProof/>
                <w:snapToGrid/>
                <w:color w:val="000000"/>
              </w:rPr>
              <w:br/>
              <w:t>(4,156,848,134</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6.0</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1,907,651</w:t>
            </w:r>
            <w:r>
              <w:rPr>
                <w:noProof/>
                <w:snapToGrid/>
                <w:color w:val="000000"/>
              </w:rPr>
              <w:br/>
              <w:t>(3,536,026,618</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5.0</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1999</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2,476,705</w:t>
            </w:r>
            <w:r>
              <w:rPr>
                <w:noProof/>
                <w:snapToGrid/>
                <w:color w:val="000000"/>
              </w:rPr>
              <w:br/>
              <w:t>(4,590,826,521</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10.4</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2,153,621</w:t>
            </w:r>
            <w:r>
              <w:rPr>
                <w:noProof/>
                <w:snapToGrid/>
                <w:color w:val="000000"/>
              </w:rPr>
              <w:br/>
            </w:r>
            <w:r>
              <w:rPr>
                <w:noProof/>
                <w:snapToGrid/>
                <w:color w:val="000000"/>
              </w:rPr>
              <w:t>(3,991,957,219</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12.9</w:t>
            </w:r>
          </w:p>
        </w:tc>
      </w:tr>
      <w:tr w:rsidR="00000000">
        <w:tblPrEx>
          <w:tblCellMar>
            <w:top w:w="0" w:type="dxa"/>
            <w:bottom w:w="0" w:type="dxa"/>
          </w:tblCellMar>
        </w:tblPrEx>
        <w:trPr>
          <w:jc w:val="center"/>
        </w:trPr>
        <w:tc>
          <w:tcPr>
            <w:tcW w:w="593" w:type="pct"/>
            <w:gridSpan w:val="2"/>
            <w:tcBorders>
              <w:top w:val="single" w:sz="2" w:space="0" w:color="auto"/>
              <w:left w:val="single" w:sz="2" w:space="0" w:color="auto"/>
            </w:tcBorders>
          </w:tcPr>
          <w:p w:rsidR="00000000" w:rsidRDefault="009C1C61">
            <w:pPr>
              <w:pStyle w:val="a2"/>
              <w:spacing w:line="288" w:lineRule="auto"/>
              <w:ind w:left="170"/>
              <w:rPr>
                <w:noProof/>
                <w:snapToGrid/>
                <w:color w:val="000000"/>
              </w:rPr>
            </w:pPr>
            <w:r>
              <w:rPr>
                <w:noProof/>
                <w:snapToGrid/>
                <w:color w:val="000000"/>
              </w:rPr>
              <w:t>2000</w:t>
            </w:r>
          </w:p>
        </w:tc>
        <w:tc>
          <w:tcPr>
            <w:tcW w:w="1245"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2,599,641</w:t>
            </w:r>
            <w:r>
              <w:rPr>
                <w:noProof/>
                <w:snapToGrid/>
                <w:color w:val="000000"/>
              </w:rPr>
              <w:br/>
              <w:t>(4,818,700,995</w:t>
            </w:r>
            <w:r>
              <w:rPr>
                <w:rFonts w:hint="eastAsia"/>
                <w:noProof/>
                <w:snapToGrid/>
                <w:color w:val="000000"/>
              </w:rPr>
              <w:t>美元</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5.0</w:t>
            </w:r>
          </w:p>
        </w:tc>
        <w:tc>
          <w:tcPr>
            <w:tcW w:w="1224" w:type="pct"/>
            <w:tcBorders>
              <w:top w:val="single" w:sz="2" w:space="0" w:color="auto"/>
            </w:tcBorders>
            <w:vAlign w:val="center"/>
          </w:tcPr>
          <w:p w:rsidR="00000000" w:rsidRDefault="009C1C61">
            <w:pPr>
              <w:pStyle w:val="a2"/>
              <w:spacing w:line="288" w:lineRule="auto"/>
              <w:jc w:val="right"/>
              <w:rPr>
                <w:noProof/>
                <w:snapToGrid/>
                <w:color w:val="000000"/>
              </w:rPr>
            </w:pPr>
            <w:r>
              <w:rPr>
                <w:noProof/>
                <w:snapToGrid/>
                <w:color w:val="000000"/>
              </w:rPr>
              <w:t>2,337,152</w:t>
            </w:r>
            <w:r>
              <w:rPr>
                <w:noProof/>
                <w:snapToGrid/>
                <w:color w:val="000000"/>
              </w:rPr>
              <w:br/>
              <w:t>(4,332,150,735</w:t>
            </w:r>
            <w:r>
              <w:rPr>
                <w:rFonts w:hint="eastAsia"/>
                <w:noProof/>
                <w:snapToGrid/>
                <w:color w:val="000000"/>
              </w:rPr>
              <w:t>美元</w:t>
            </w:r>
            <w:r>
              <w:rPr>
                <w:noProof/>
                <w:snapToGrid/>
                <w:color w:val="000000"/>
              </w:rPr>
              <w:t>)</w:t>
            </w: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8.5</w:t>
            </w:r>
          </w:p>
        </w:tc>
      </w:tr>
      <w:tr w:rsidR="00000000">
        <w:tblPrEx>
          <w:tblCellMar>
            <w:top w:w="0" w:type="dxa"/>
            <w:bottom w:w="0" w:type="dxa"/>
          </w:tblCellMar>
        </w:tblPrEx>
        <w:trPr>
          <w:gridBefore w:val="1"/>
          <w:wBefore w:w="13" w:type="pct"/>
          <w:jc w:val="center"/>
        </w:trPr>
        <w:tc>
          <w:tcPr>
            <w:tcW w:w="1825" w:type="pct"/>
            <w:gridSpan w:val="2"/>
            <w:tcBorders>
              <w:top w:val="single" w:sz="2" w:space="0" w:color="auto"/>
              <w:left w:val="single" w:sz="2" w:space="0" w:color="auto"/>
            </w:tcBorders>
          </w:tcPr>
          <w:p w:rsidR="00000000" w:rsidRDefault="009C1C61">
            <w:pPr>
              <w:pStyle w:val="a2"/>
              <w:spacing w:line="288" w:lineRule="auto"/>
              <w:rPr>
                <w:noProof/>
                <w:snapToGrid/>
                <w:color w:val="000000"/>
              </w:rPr>
            </w:pPr>
            <w:r>
              <w:rPr>
                <w:rFonts w:hint="eastAsia"/>
                <w:noProof/>
                <w:snapToGrid/>
                <w:color w:val="000000"/>
              </w:rPr>
              <w:t>平均年增长率</w:t>
            </w:r>
            <w:r>
              <w:rPr>
                <w:noProof/>
                <w:snapToGrid/>
                <w:color w:val="000000"/>
              </w:rPr>
              <w:t xml:space="preserve"> (%)</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5.7</w:t>
            </w:r>
          </w:p>
        </w:tc>
        <w:tc>
          <w:tcPr>
            <w:tcW w:w="1224" w:type="pct"/>
            <w:tcBorders>
              <w:top w:val="single" w:sz="2" w:space="0" w:color="auto"/>
            </w:tcBorders>
          </w:tcPr>
          <w:p w:rsidR="00000000" w:rsidRDefault="009C1C61">
            <w:pPr>
              <w:pStyle w:val="a2"/>
              <w:spacing w:line="288" w:lineRule="auto"/>
              <w:jc w:val="center"/>
              <w:rPr>
                <w:noProof/>
                <w:snapToGrid/>
                <w:color w:val="000000"/>
              </w:rPr>
            </w:pP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7.8</w:t>
            </w:r>
          </w:p>
        </w:tc>
      </w:tr>
      <w:tr w:rsidR="00000000">
        <w:tblPrEx>
          <w:tblCellMar>
            <w:top w:w="0" w:type="dxa"/>
            <w:bottom w:w="0" w:type="dxa"/>
          </w:tblCellMar>
        </w:tblPrEx>
        <w:trPr>
          <w:gridBefore w:val="1"/>
          <w:wBefore w:w="13" w:type="pct"/>
          <w:jc w:val="center"/>
        </w:trPr>
        <w:tc>
          <w:tcPr>
            <w:tcW w:w="1825" w:type="pct"/>
            <w:gridSpan w:val="2"/>
            <w:tcBorders>
              <w:top w:val="single" w:sz="2" w:space="0" w:color="auto"/>
              <w:left w:val="single" w:sz="2" w:space="0" w:color="auto"/>
            </w:tcBorders>
          </w:tcPr>
          <w:p w:rsidR="00000000" w:rsidRDefault="009C1C61">
            <w:pPr>
              <w:pStyle w:val="a2"/>
              <w:spacing w:line="288" w:lineRule="auto"/>
              <w:rPr>
                <w:noProof/>
                <w:snapToGrid/>
                <w:color w:val="000000"/>
              </w:rPr>
            </w:pPr>
            <w:r>
              <w:rPr>
                <w:noProof/>
                <w:snapToGrid/>
                <w:color w:val="000000"/>
              </w:rPr>
              <w:t xml:space="preserve">1989-2000 </w:t>
            </w:r>
            <w:r>
              <w:rPr>
                <w:rFonts w:hint="eastAsia"/>
                <w:noProof/>
                <w:snapToGrid/>
                <w:color w:val="000000"/>
              </w:rPr>
              <w:t>年增长率</w:t>
            </w:r>
            <w:r>
              <w:rPr>
                <w:noProof/>
                <w:snapToGrid/>
                <w:color w:val="000000"/>
              </w:rPr>
              <w:t>(%)</w:t>
            </w:r>
          </w:p>
        </w:tc>
        <w:tc>
          <w:tcPr>
            <w:tcW w:w="981" w:type="pct"/>
            <w:tcBorders>
              <w:top w:val="single" w:sz="2" w:space="0" w:color="auto"/>
            </w:tcBorders>
          </w:tcPr>
          <w:p w:rsidR="00000000" w:rsidRDefault="009C1C61">
            <w:pPr>
              <w:pStyle w:val="a2"/>
              <w:spacing w:line="288" w:lineRule="auto"/>
              <w:jc w:val="center"/>
              <w:rPr>
                <w:noProof/>
                <w:snapToGrid/>
                <w:color w:val="000000"/>
              </w:rPr>
            </w:pPr>
            <w:r>
              <w:rPr>
                <w:noProof/>
                <w:snapToGrid/>
                <w:color w:val="000000"/>
              </w:rPr>
              <w:t>84.8</w:t>
            </w:r>
          </w:p>
        </w:tc>
        <w:tc>
          <w:tcPr>
            <w:tcW w:w="1224" w:type="pct"/>
            <w:tcBorders>
              <w:top w:val="single" w:sz="2" w:space="0" w:color="auto"/>
            </w:tcBorders>
          </w:tcPr>
          <w:p w:rsidR="00000000" w:rsidRDefault="009C1C61">
            <w:pPr>
              <w:pStyle w:val="a2"/>
              <w:spacing w:line="288" w:lineRule="auto"/>
              <w:jc w:val="center"/>
              <w:rPr>
                <w:noProof/>
                <w:snapToGrid/>
                <w:color w:val="000000"/>
              </w:rPr>
            </w:pPr>
          </w:p>
        </w:tc>
        <w:tc>
          <w:tcPr>
            <w:tcW w:w="957" w:type="pct"/>
            <w:tcBorders>
              <w:top w:val="single" w:sz="2" w:space="0" w:color="auto"/>
              <w:right w:val="single" w:sz="2" w:space="0" w:color="auto"/>
            </w:tcBorders>
          </w:tcPr>
          <w:p w:rsidR="00000000" w:rsidRDefault="009C1C61">
            <w:pPr>
              <w:pStyle w:val="a2"/>
              <w:spacing w:line="288" w:lineRule="auto"/>
              <w:jc w:val="center"/>
              <w:rPr>
                <w:noProof/>
                <w:snapToGrid/>
                <w:color w:val="000000"/>
              </w:rPr>
            </w:pPr>
            <w:r>
              <w:rPr>
                <w:noProof/>
                <w:snapToGrid/>
                <w:color w:val="000000"/>
              </w:rPr>
              <w:t>129.0</w:t>
            </w:r>
          </w:p>
        </w:tc>
      </w:tr>
    </w:tbl>
    <w:p w:rsidR="00000000" w:rsidRDefault="009C1C61">
      <w:pPr>
        <w:rPr>
          <w:rFonts w:hint="eastAsia"/>
          <w:snapToGrid/>
          <w:color w:val="000000"/>
        </w:rPr>
      </w:pPr>
    </w:p>
    <w:p w:rsidR="00000000" w:rsidRDefault="009C1C61">
      <w:pPr>
        <w:spacing w:after="300" w:line="240" w:lineRule="auto"/>
        <w:rPr>
          <w:rFonts w:hint="eastAsia"/>
          <w:snapToGrid/>
          <w:color w:val="000000"/>
        </w:rPr>
      </w:pPr>
      <w:r>
        <w:rPr>
          <w:rFonts w:hint="eastAsia"/>
          <w:snapToGrid/>
          <w:color w:val="000000"/>
        </w:rPr>
        <w:tab/>
      </w:r>
      <w:r>
        <w:rPr>
          <w:rFonts w:eastAsia="KaiTi_GB2312" w:hint="eastAsia"/>
          <w:snapToGrid/>
          <w:color w:val="000000"/>
          <w:spacing w:val="0"/>
          <w:sz w:val="22"/>
          <w:u w:val="single"/>
        </w:rPr>
        <w:t>资料来源</w:t>
      </w:r>
      <w:r>
        <w:rPr>
          <w:rFonts w:eastAsia="KaiTi_GB2312" w:hint="eastAsia"/>
          <w:snapToGrid/>
          <w:color w:val="000000"/>
          <w:spacing w:val="0"/>
        </w:rPr>
        <w:t>：经济部在计划与合作部所著《</w:t>
      </w:r>
      <w:r>
        <w:rPr>
          <w:rFonts w:eastAsia="KaiTi_GB2312" w:hint="eastAsia"/>
          <w:snapToGrid/>
          <w:color w:val="000000"/>
          <w:spacing w:val="0"/>
        </w:rPr>
        <w:t>1990</w:t>
      </w:r>
      <w:r>
        <w:rPr>
          <w:rFonts w:eastAsia="KaiTi_GB2312" w:hint="eastAsia"/>
          <w:snapToGrid/>
          <w:color w:val="000000"/>
          <w:spacing w:val="0"/>
        </w:rPr>
        <w:t>年</w:t>
      </w:r>
      <w:r>
        <w:rPr>
          <w:rFonts w:eastAsia="KaiTi_GB2312" w:hint="eastAsia"/>
          <w:snapToGrid/>
          <w:color w:val="000000"/>
          <w:spacing w:val="0"/>
        </w:rPr>
        <w:t>-2000</w:t>
      </w:r>
      <w:r>
        <w:rPr>
          <w:rFonts w:eastAsia="KaiTi_GB2312" w:hint="eastAsia"/>
          <w:snapToGrid/>
          <w:color w:val="000000"/>
          <w:spacing w:val="0"/>
        </w:rPr>
        <w:t>年经济及社会指标》中提出的数字</w:t>
      </w:r>
      <w:r>
        <w:rPr>
          <w:rFonts w:hint="eastAsia"/>
          <w:snapToGrid/>
          <w:color w:val="000000"/>
        </w:rPr>
        <w:t>。</w:t>
      </w:r>
    </w:p>
    <w:p w:rsidR="00000000" w:rsidRDefault="009C1C61">
      <w:pPr>
        <w:rPr>
          <w:rFonts w:hint="eastAsia"/>
          <w:snapToGrid/>
          <w:color w:val="000000"/>
        </w:rPr>
      </w:pPr>
      <w:r>
        <w:rPr>
          <w:rFonts w:hint="eastAsia"/>
          <w:snapToGrid/>
          <w:color w:val="000000"/>
        </w:rPr>
        <w:tab/>
        <w:t xml:space="preserve">364.  </w:t>
      </w:r>
      <w:r>
        <w:rPr>
          <w:rFonts w:hint="eastAsia"/>
          <w:snapToGrid/>
          <w:color w:val="000000"/>
        </w:rPr>
        <w:t>财政开支对用在社会保障方面的公共开支的支出从</w:t>
      </w:r>
      <w:r>
        <w:rPr>
          <w:rFonts w:hint="eastAsia"/>
          <w:snapToGrid/>
          <w:color w:val="000000"/>
        </w:rPr>
        <w:t>1990</w:t>
      </w:r>
      <w:r>
        <w:rPr>
          <w:rFonts w:hint="eastAsia"/>
          <w:snapToGrid/>
          <w:color w:val="000000"/>
        </w:rPr>
        <w:t>年的</w:t>
      </w:r>
      <w:r>
        <w:rPr>
          <w:rFonts w:hint="eastAsia"/>
          <w:snapToGrid/>
          <w:color w:val="000000"/>
        </w:rPr>
        <w:t>82%</w:t>
      </w:r>
      <w:r>
        <w:rPr>
          <w:rFonts w:hint="eastAsia"/>
          <w:snapToGrid/>
          <w:color w:val="000000"/>
        </w:rPr>
        <w:t>增加到了</w:t>
      </w:r>
      <w:r>
        <w:rPr>
          <w:rFonts w:hint="eastAsia"/>
          <w:snapToGrid/>
          <w:color w:val="000000"/>
        </w:rPr>
        <w:t>1995</w:t>
      </w:r>
      <w:r>
        <w:rPr>
          <w:rFonts w:hint="eastAsia"/>
          <w:snapToGrid/>
          <w:color w:val="000000"/>
        </w:rPr>
        <w:t>年的</w:t>
      </w:r>
      <w:r>
        <w:rPr>
          <w:rFonts w:hint="eastAsia"/>
          <w:snapToGrid/>
          <w:color w:val="000000"/>
        </w:rPr>
        <w:t>86.2%</w:t>
      </w:r>
      <w:r>
        <w:rPr>
          <w:rFonts w:hint="eastAsia"/>
          <w:snapToGrid/>
          <w:color w:val="000000"/>
        </w:rPr>
        <w:t>，并增加到</w:t>
      </w:r>
      <w:r>
        <w:rPr>
          <w:rFonts w:hint="eastAsia"/>
          <w:snapToGrid/>
          <w:color w:val="000000"/>
        </w:rPr>
        <w:t>2000</w:t>
      </w:r>
      <w:r>
        <w:rPr>
          <w:rFonts w:hint="eastAsia"/>
          <w:snapToGrid/>
          <w:color w:val="000000"/>
        </w:rPr>
        <w:t>年</w:t>
      </w:r>
      <w:r>
        <w:rPr>
          <w:rFonts w:hint="eastAsia"/>
          <w:snapToGrid/>
          <w:color w:val="000000"/>
        </w:rPr>
        <w:t>89.9%</w:t>
      </w:r>
      <w:r>
        <w:rPr>
          <w:rFonts w:hint="eastAsia"/>
          <w:snapToGrid/>
          <w:color w:val="000000"/>
        </w:rPr>
        <w:t>。同期内，公共社会开支方面的比例由</w:t>
      </w:r>
      <w:r>
        <w:rPr>
          <w:rFonts w:hint="eastAsia"/>
          <w:snapToGrid/>
          <w:color w:val="000000"/>
        </w:rPr>
        <w:t>49%</w:t>
      </w:r>
      <w:r>
        <w:rPr>
          <w:rFonts w:hint="eastAsia"/>
          <w:snapToGrid/>
          <w:color w:val="000000"/>
        </w:rPr>
        <w:t>下降到</w:t>
      </w:r>
      <w:r>
        <w:rPr>
          <w:rFonts w:hint="eastAsia"/>
          <w:snapToGrid/>
          <w:color w:val="000000"/>
        </w:rPr>
        <w:t>41.5%</w:t>
      </w:r>
      <w:r>
        <w:rPr>
          <w:rFonts w:hint="eastAsia"/>
          <w:snapToGrid/>
          <w:color w:val="000000"/>
        </w:rPr>
        <w:t>，而其在财政社会开支方面的份额处于</w:t>
      </w:r>
      <w:r>
        <w:rPr>
          <w:rFonts w:hint="eastAsia"/>
          <w:snapToGrid/>
          <w:color w:val="000000"/>
        </w:rPr>
        <w:t>44.2%</w:t>
      </w:r>
      <w:r>
        <w:rPr>
          <w:rFonts w:hint="eastAsia"/>
          <w:snapToGrid/>
          <w:color w:val="000000"/>
        </w:rPr>
        <w:t>至</w:t>
      </w:r>
      <w:r>
        <w:rPr>
          <w:rFonts w:hint="eastAsia"/>
          <w:snapToGrid/>
          <w:color w:val="000000"/>
        </w:rPr>
        <w:t>42%</w:t>
      </w:r>
      <w:r>
        <w:rPr>
          <w:rFonts w:hint="eastAsia"/>
          <w:snapToGrid/>
          <w:color w:val="000000"/>
        </w:rPr>
        <w:t>的不同水平之间。</w:t>
      </w:r>
      <w:r>
        <w:rPr>
          <w:rStyle w:val="FootnoteReference"/>
          <w:bCs/>
          <w:snapToGrid/>
        </w:rPr>
        <w:footnoteReference w:id="163"/>
      </w:r>
    </w:p>
    <w:p w:rsidR="00000000" w:rsidRDefault="009C1C61">
      <w:pPr>
        <w:rPr>
          <w:rFonts w:hint="eastAsia"/>
          <w:snapToGrid/>
          <w:color w:val="000000"/>
        </w:rPr>
      </w:pPr>
      <w:r>
        <w:rPr>
          <w:rFonts w:hint="eastAsia"/>
          <w:snapToGrid/>
          <w:color w:val="000000"/>
        </w:rPr>
        <w:tab/>
        <w:t>365.  1990</w:t>
      </w:r>
      <w:r>
        <w:rPr>
          <w:rFonts w:hint="eastAsia"/>
          <w:snapToGrid/>
          <w:color w:val="000000"/>
        </w:rPr>
        <w:t>年和</w:t>
      </w:r>
      <w:r>
        <w:rPr>
          <w:rFonts w:hint="eastAsia"/>
          <w:snapToGrid/>
          <w:color w:val="000000"/>
        </w:rPr>
        <w:t>2000</w:t>
      </w:r>
      <w:r>
        <w:rPr>
          <w:rFonts w:hint="eastAsia"/>
          <w:snapToGrid/>
          <w:color w:val="000000"/>
        </w:rPr>
        <w:t>年之间，对社会保障所作的公共开支在国内生产总值中由原来的</w:t>
      </w:r>
      <w:r>
        <w:rPr>
          <w:rFonts w:hint="eastAsia"/>
          <w:snapToGrid/>
          <w:color w:val="000000"/>
        </w:rPr>
        <w:t>6.3%</w:t>
      </w:r>
      <w:r>
        <w:rPr>
          <w:rFonts w:hint="eastAsia"/>
          <w:snapToGrid/>
          <w:color w:val="000000"/>
        </w:rPr>
        <w:t>上升到</w:t>
      </w:r>
      <w:r>
        <w:rPr>
          <w:rFonts w:hint="eastAsia"/>
          <w:snapToGrid/>
          <w:color w:val="000000"/>
        </w:rPr>
        <w:t>6.9%</w:t>
      </w:r>
      <w:r>
        <w:rPr>
          <w:rFonts w:hint="eastAsia"/>
          <w:snapToGrid/>
          <w:color w:val="000000"/>
        </w:rPr>
        <w:t>。同期内，财政社会保障开支在国内生产总值的比例由</w:t>
      </w:r>
      <w:r>
        <w:rPr>
          <w:rFonts w:hint="eastAsia"/>
          <w:snapToGrid/>
          <w:color w:val="000000"/>
        </w:rPr>
        <w:t>5.2%</w:t>
      </w:r>
      <w:r>
        <w:rPr>
          <w:rFonts w:hint="eastAsia"/>
          <w:snapToGrid/>
          <w:color w:val="000000"/>
        </w:rPr>
        <w:t>上升到</w:t>
      </w:r>
      <w:r>
        <w:rPr>
          <w:rFonts w:hint="eastAsia"/>
          <w:snapToGrid/>
          <w:color w:val="000000"/>
        </w:rPr>
        <w:t>6.2%</w:t>
      </w:r>
      <w:r>
        <w:rPr>
          <w:rFonts w:hint="eastAsia"/>
          <w:snapToGrid/>
          <w:color w:val="000000"/>
        </w:rPr>
        <w:t>。这一比例包括养恤金计划和死亡抚恤金、家属津贴、对于因病、赔偿、解雇和……、工商事故和职业病以及裁员等所偿付的福利。</w:t>
      </w:r>
    </w:p>
    <w:p w:rsidR="00000000" w:rsidRDefault="009C1C61">
      <w:pPr>
        <w:spacing w:after="320"/>
        <w:rPr>
          <w:rFonts w:hint="eastAsia"/>
          <w:snapToGrid/>
          <w:color w:val="000000"/>
        </w:rPr>
      </w:pPr>
      <w:r>
        <w:rPr>
          <w:rFonts w:hint="eastAsia"/>
          <w:snapToGrid/>
          <w:color w:val="000000"/>
        </w:rPr>
        <w:tab/>
        <w:t xml:space="preserve">366.  </w:t>
      </w:r>
      <w:r>
        <w:rPr>
          <w:rFonts w:hint="eastAsia"/>
          <w:snapToGrid/>
          <w:color w:val="000000"/>
        </w:rPr>
        <w:t>用于社会保障方面的开支在国内生产总值中所占比例上升是由于福利</w:t>
      </w:r>
      <w:r>
        <w:rPr>
          <w:rFonts w:hint="eastAsia"/>
          <w:snapToGrid/>
          <w:color w:val="000000"/>
        </w:rPr>
        <w:t>数额大幅度增加，使这一数额在</w:t>
      </w:r>
      <w:r>
        <w:rPr>
          <w:rFonts w:hint="eastAsia"/>
          <w:snapToGrid/>
          <w:color w:val="000000"/>
        </w:rPr>
        <w:t>1980</w:t>
      </w:r>
      <w:r>
        <w:rPr>
          <w:rFonts w:hint="eastAsia"/>
          <w:snapToGrid/>
          <w:color w:val="000000"/>
        </w:rPr>
        <w:t>年代长时间止步不前之后终于被提高到符合当前应有的水平。而另一方面，投资数额的增加以及保健医务人员薪金的增加使医疗服务的费用有了大幅度增加。</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完全或大部分被拒绝享受社会保障权利的阶层</w:t>
      </w:r>
    </w:p>
    <w:p w:rsidR="00000000" w:rsidRDefault="009C1C61">
      <w:pPr>
        <w:rPr>
          <w:rFonts w:hint="eastAsia"/>
          <w:snapToGrid/>
          <w:color w:val="000000"/>
        </w:rPr>
      </w:pPr>
      <w:r>
        <w:rPr>
          <w:rFonts w:hint="eastAsia"/>
          <w:snapToGrid/>
          <w:color w:val="000000"/>
        </w:rPr>
        <w:tab/>
        <w:t xml:space="preserve">367.  </w:t>
      </w:r>
      <w:r>
        <w:rPr>
          <w:rFonts w:hint="eastAsia"/>
          <w:snapToGrid/>
          <w:color w:val="000000"/>
        </w:rPr>
        <w:t>《政治宪法》保障共和国的所有居民都有权享受社会保障，而这一保障是限定保障的一部分。如上文所述，向没有收入或收入十分有限的人免费提供保健，同时对</w:t>
      </w:r>
      <w:r>
        <w:rPr>
          <w:rFonts w:hint="eastAsia"/>
          <w:snapToGrid/>
          <w:color w:val="000000"/>
        </w:rPr>
        <w:t>65</w:t>
      </w:r>
      <w:r>
        <w:rPr>
          <w:rFonts w:hint="eastAsia"/>
          <w:snapToGrid/>
          <w:color w:val="000000"/>
        </w:rPr>
        <w:t>岁以上赤贫或者任何年龄的残疾人士提供国家养恤金；并对赤贫的未成年人及其他人提供家属福利。</w:t>
      </w:r>
    </w:p>
    <w:p w:rsidR="00000000" w:rsidRDefault="009C1C61">
      <w:pPr>
        <w:spacing w:after="320"/>
        <w:rPr>
          <w:rFonts w:hint="eastAsia"/>
          <w:snapToGrid/>
          <w:color w:val="000000"/>
        </w:rPr>
      </w:pPr>
      <w:r>
        <w:rPr>
          <w:rFonts w:hint="eastAsia"/>
          <w:snapToGrid/>
          <w:color w:val="000000"/>
        </w:rPr>
        <w:tab/>
        <w:t xml:space="preserve">368.  </w:t>
      </w:r>
      <w:r>
        <w:rPr>
          <w:rFonts w:hint="eastAsia"/>
          <w:snapToGrid/>
          <w:color w:val="000000"/>
        </w:rPr>
        <w:t>根据全国社会经济特征调查提供的</w:t>
      </w:r>
      <w:r>
        <w:rPr>
          <w:rFonts w:hint="eastAsia"/>
          <w:snapToGrid/>
          <w:color w:val="000000"/>
        </w:rPr>
        <w:t>资料，</w:t>
      </w:r>
      <w:r>
        <w:rPr>
          <w:rStyle w:val="FootnoteReference"/>
          <w:bCs/>
          <w:snapToGrid/>
        </w:rPr>
        <w:footnoteReference w:id="164"/>
      </w:r>
      <w:r>
        <w:rPr>
          <w:rFonts w:hint="eastAsia"/>
          <w:snapToGrid/>
          <w:color w:val="000000"/>
        </w:rPr>
        <w:t xml:space="preserve"> 1998</w:t>
      </w:r>
      <w:r>
        <w:rPr>
          <w:rFonts w:hint="eastAsia"/>
          <w:snapToGrid/>
          <w:color w:val="000000"/>
        </w:rPr>
        <w:t>年，有</w:t>
      </w:r>
      <w:r>
        <w:rPr>
          <w:rFonts w:hint="eastAsia"/>
          <w:snapToGrid/>
          <w:color w:val="000000"/>
        </w:rPr>
        <w:t>4.7%</w:t>
      </w:r>
      <w:r>
        <w:rPr>
          <w:rFonts w:hint="eastAsia"/>
          <w:snapToGrid/>
          <w:color w:val="000000"/>
        </w:rPr>
        <w:t>的智利家庭</w:t>
      </w:r>
      <w:r>
        <w:rPr>
          <w:rFonts w:hint="eastAsia"/>
          <w:snapToGrid/>
          <w:color w:val="000000"/>
        </w:rPr>
        <w:t>(173,900</w:t>
      </w:r>
      <w:r>
        <w:rPr>
          <w:rFonts w:hint="eastAsia"/>
          <w:snapToGrid/>
          <w:color w:val="000000"/>
        </w:rPr>
        <w:t>户</w:t>
      </w:r>
      <w:r>
        <w:rPr>
          <w:rFonts w:hint="eastAsia"/>
          <w:snapToGrid/>
          <w:color w:val="000000"/>
        </w:rPr>
        <w:t>)</w:t>
      </w:r>
      <w:r>
        <w:rPr>
          <w:rFonts w:hint="eastAsia"/>
          <w:snapToGrid/>
          <w:color w:val="000000"/>
        </w:rPr>
        <w:t>被算为赤贫，即其经济收入不足以购买各种基本食物。这就说，在智利，人口</w:t>
      </w:r>
      <w:r>
        <w:rPr>
          <w:rFonts w:hint="eastAsia"/>
          <w:snapToGrid/>
          <w:color w:val="000000"/>
        </w:rPr>
        <w:t>(</w:t>
      </w:r>
      <w:r>
        <w:rPr>
          <w:rFonts w:hint="eastAsia"/>
          <w:snapToGrid/>
          <w:color w:val="000000"/>
        </w:rPr>
        <w:t>约</w:t>
      </w:r>
      <w:r>
        <w:rPr>
          <w:rFonts w:hint="eastAsia"/>
          <w:snapToGrid/>
          <w:color w:val="000000"/>
        </w:rPr>
        <w:t>820,000</w:t>
      </w:r>
      <w:r>
        <w:rPr>
          <w:rFonts w:hint="eastAsia"/>
          <w:snapToGrid/>
          <w:color w:val="000000"/>
        </w:rPr>
        <w:t>人</w:t>
      </w:r>
      <w:r>
        <w:rPr>
          <w:rFonts w:hint="eastAsia"/>
          <w:snapToGrid/>
          <w:color w:val="000000"/>
        </w:rPr>
        <w:t>)</w:t>
      </w:r>
      <w:r>
        <w:rPr>
          <w:rFonts w:hint="eastAsia"/>
          <w:snapToGrid/>
          <w:color w:val="000000"/>
        </w:rPr>
        <w:t>中的大概</w:t>
      </w:r>
      <w:r>
        <w:rPr>
          <w:rFonts w:hint="eastAsia"/>
          <w:snapToGrid/>
          <w:color w:val="000000"/>
        </w:rPr>
        <w:t>5.6%</w:t>
      </w:r>
      <w:r>
        <w:rPr>
          <w:rFonts w:hint="eastAsia"/>
          <w:snapToGrid/>
          <w:color w:val="000000"/>
        </w:rPr>
        <w:t>处于赤贫状况。</w:t>
      </w:r>
      <w:r>
        <w:rPr>
          <w:rFonts w:hint="eastAsia"/>
          <w:snapToGrid/>
          <w:color w:val="000000"/>
        </w:rPr>
        <w:t>2000</w:t>
      </w:r>
      <w:r>
        <w:rPr>
          <w:rFonts w:hint="eastAsia"/>
          <w:snapToGrid/>
          <w:color w:val="000000"/>
        </w:rPr>
        <w:t>年以前，所有家庭</w:t>
      </w:r>
      <w:r>
        <w:rPr>
          <w:rFonts w:hint="eastAsia"/>
          <w:snapToGrid/>
          <w:color w:val="000000"/>
        </w:rPr>
        <w:t>(177,600</w:t>
      </w:r>
      <w:r>
        <w:rPr>
          <w:rFonts w:hint="eastAsia"/>
          <w:snapToGrid/>
          <w:color w:val="000000"/>
        </w:rPr>
        <w:t>户</w:t>
      </w:r>
      <w:r>
        <w:rPr>
          <w:rFonts w:hint="eastAsia"/>
          <w:snapToGrid/>
          <w:color w:val="000000"/>
        </w:rPr>
        <w:t>)</w:t>
      </w:r>
      <w:r>
        <w:rPr>
          <w:rFonts w:hint="eastAsia"/>
          <w:snapToGrid/>
          <w:color w:val="000000"/>
        </w:rPr>
        <w:t>的</w:t>
      </w:r>
      <w:r>
        <w:rPr>
          <w:rFonts w:hint="eastAsia"/>
          <w:snapToGrid/>
          <w:color w:val="000000"/>
        </w:rPr>
        <w:t>4.6%</w:t>
      </w:r>
      <w:r>
        <w:rPr>
          <w:rFonts w:hint="eastAsia"/>
          <w:snapToGrid/>
          <w:color w:val="000000"/>
        </w:rPr>
        <w:t>处于贫困线以下。也就是说，在这年，全国人口</w:t>
      </w:r>
      <w:r>
        <w:rPr>
          <w:rFonts w:hint="eastAsia"/>
          <w:snapToGrid/>
          <w:color w:val="000000"/>
        </w:rPr>
        <w:t>(849,169</w:t>
      </w:r>
      <w:r>
        <w:rPr>
          <w:rFonts w:hint="eastAsia"/>
          <w:snapToGrid/>
          <w:color w:val="000000"/>
        </w:rPr>
        <w:t>人</w:t>
      </w:r>
      <w:r>
        <w:rPr>
          <w:rFonts w:hint="eastAsia"/>
          <w:snapToGrid/>
          <w:color w:val="000000"/>
        </w:rPr>
        <w:t>)</w:t>
      </w:r>
      <w:r>
        <w:rPr>
          <w:rFonts w:hint="eastAsia"/>
          <w:snapToGrid/>
          <w:color w:val="000000"/>
        </w:rPr>
        <w:t>中大约</w:t>
      </w:r>
      <w:r>
        <w:rPr>
          <w:rFonts w:hint="eastAsia"/>
          <w:snapToGrid/>
          <w:color w:val="000000"/>
        </w:rPr>
        <w:t>5.7%</w:t>
      </w:r>
      <w:r>
        <w:rPr>
          <w:rFonts w:hint="eastAsia"/>
          <w:snapToGrid/>
          <w:color w:val="000000"/>
        </w:rPr>
        <w:t>处于这一状况。同时还应当指出，贫困的特点已经发生变化，因为处于这一状况的人现在比十年以前处境更加脆弱。这就表明贫困的“老大难问题”还是存在，而智利传统的福利方案或公共社会战略无法修正这一问题，此外还缺</w:t>
      </w:r>
      <w:r>
        <w:rPr>
          <w:rFonts w:hint="eastAsia"/>
          <w:snapToGrid/>
          <w:color w:val="000000"/>
        </w:rPr>
        <w:t>少有关这些人取得社会保障福利方面的具体数据。</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无单位独立工作人员在社会保障方面的情况</w:t>
      </w:r>
    </w:p>
    <w:p w:rsidR="00000000" w:rsidRDefault="009C1C61">
      <w:pPr>
        <w:rPr>
          <w:rFonts w:hint="eastAsia"/>
          <w:snapToGrid/>
          <w:color w:val="000000"/>
        </w:rPr>
      </w:pPr>
      <w:r>
        <w:rPr>
          <w:rFonts w:hint="eastAsia"/>
          <w:snapToGrid/>
          <w:color w:val="000000"/>
        </w:rPr>
        <w:tab/>
        <w:t xml:space="preserve">369.  </w:t>
      </w:r>
      <w:r>
        <w:rPr>
          <w:rFonts w:hint="eastAsia"/>
          <w:snapToGrid/>
          <w:color w:val="000000"/>
        </w:rPr>
        <w:t>一般说来，独立的工作人员不属于上述两项福利计划之内。工伤事故和职业病保险，以及家属福利。现在各方普遍一致认为，需要将更多的无单位独立工作者纳入社会保障的保护伞下，</w:t>
      </w:r>
      <w:r>
        <w:rPr>
          <w:rStyle w:val="FootnoteReference"/>
          <w:bCs/>
          <w:snapToGrid/>
        </w:rPr>
        <w:footnoteReference w:id="165"/>
      </w:r>
      <w:r>
        <w:rPr>
          <w:rFonts w:hint="eastAsia"/>
          <w:snapToGrid/>
          <w:color w:val="000000"/>
        </w:rPr>
        <w:t xml:space="preserve"> </w:t>
      </w:r>
      <w:r>
        <w:rPr>
          <w:rFonts w:hint="eastAsia"/>
          <w:snapToGrid/>
          <w:color w:val="000000"/>
        </w:rPr>
        <w:t>但目前，将其纳入这一保护伞在实际中会与一项宪制法院的裁决发生冲突，</w:t>
      </w:r>
      <w:r>
        <w:rPr>
          <w:rStyle w:val="FootnoteReference"/>
          <w:bCs/>
          <w:snapToGrid/>
        </w:rPr>
        <w:footnoteReference w:id="166"/>
      </w:r>
      <w:r>
        <w:rPr>
          <w:rFonts w:hint="eastAsia"/>
          <w:snapToGrid/>
          <w:color w:val="000000"/>
        </w:rPr>
        <w:t xml:space="preserve"> </w:t>
      </w:r>
      <w:r>
        <w:rPr>
          <w:rFonts w:hint="eastAsia"/>
          <w:snapToGrid/>
          <w:color w:val="000000"/>
        </w:rPr>
        <w:t>该项裁决使共和国总统没有权利依据职权这样作。</w:t>
      </w:r>
      <w:r>
        <w:rPr>
          <w:rStyle w:val="FootnoteReference"/>
          <w:bCs/>
          <w:snapToGrid/>
        </w:rPr>
        <w:footnoteReference w:id="167"/>
      </w:r>
      <w:r>
        <w:rPr>
          <w:rFonts w:hint="eastAsia"/>
          <w:snapToGrid/>
          <w:color w:val="000000"/>
        </w:rPr>
        <w:t xml:space="preserve"> </w:t>
      </w:r>
      <w:r>
        <w:rPr>
          <w:rFonts w:hint="eastAsia"/>
          <w:snapToGrid/>
          <w:color w:val="000000"/>
        </w:rPr>
        <w:t>过去，总统曾使用这些职权将一些无单位独立工作者纳入社会保障的保护之内。依目前的情况看，要增加对无单位独立工作者人员提供的保障福利</w:t>
      </w:r>
      <w:r>
        <w:rPr>
          <w:rFonts w:hint="eastAsia"/>
          <w:snapToGrid/>
          <w:color w:val="000000"/>
        </w:rPr>
        <w:t>，唯一途径就是象对工务员那样通过一项法律，明确将其纳入保险制度。根据目前的规则，向新的养恤金付费担保的大多数无单位独立工作人员不得领取家属津贴。</w:t>
      </w:r>
    </w:p>
    <w:p w:rsidR="00000000" w:rsidRDefault="009C1C61">
      <w:pPr>
        <w:spacing w:after="320"/>
        <w:rPr>
          <w:rFonts w:hint="eastAsia"/>
          <w:snapToGrid/>
          <w:color w:val="000000"/>
        </w:rPr>
      </w:pPr>
      <w:r>
        <w:rPr>
          <w:rFonts w:hint="eastAsia"/>
          <w:snapToGrid/>
          <w:color w:val="000000"/>
        </w:rPr>
        <w:tab/>
        <w:t xml:space="preserve">370.  </w:t>
      </w:r>
      <w:r>
        <w:rPr>
          <w:rFonts w:hint="eastAsia"/>
          <w:snapToGrid/>
          <w:color w:val="000000"/>
        </w:rPr>
        <w:t>对于这两方面的情况，即工伤事故和职业病的保险及家属津贴福利问题，政府目前正在研究修正立法，将社会保险福利扩大到所有无单位独立工作者。</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妇女对于社会保障权利方面的情况</w:t>
      </w:r>
    </w:p>
    <w:p w:rsidR="00000000" w:rsidRDefault="009C1C61">
      <w:pPr>
        <w:rPr>
          <w:rFonts w:hint="eastAsia"/>
          <w:snapToGrid/>
          <w:color w:val="000000"/>
        </w:rPr>
      </w:pPr>
      <w:r>
        <w:rPr>
          <w:rFonts w:hint="eastAsia"/>
          <w:snapToGrid/>
          <w:color w:val="000000"/>
        </w:rPr>
        <w:tab/>
        <w:t xml:space="preserve">371.  </w:t>
      </w:r>
      <w:r>
        <w:rPr>
          <w:rFonts w:hint="eastAsia"/>
          <w:snapToGrid/>
          <w:color w:val="000000"/>
        </w:rPr>
        <w:t>享受社会保障的权利，在诸如保健和老龄等最重要方面的福利而言，与是否存在就业合同具有直接关联。</w:t>
      </w:r>
    </w:p>
    <w:p w:rsidR="00000000" w:rsidRDefault="009C1C61">
      <w:pPr>
        <w:rPr>
          <w:rFonts w:hint="eastAsia"/>
          <w:snapToGrid/>
          <w:color w:val="000000"/>
        </w:rPr>
      </w:pPr>
      <w:r>
        <w:rPr>
          <w:rFonts w:hint="eastAsia"/>
          <w:snapToGrid/>
          <w:color w:val="000000"/>
        </w:rPr>
        <w:tab/>
        <w:t xml:space="preserve">372.  </w:t>
      </w:r>
      <w:r>
        <w:rPr>
          <w:rFonts w:hint="eastAsia"/>
          <w:snapToGrid/>
          <w:color w:val="000000"/>
        </w:rPr>
        <w:t>对于守留在家照看家庭，主持事务和家务的所谓“家庭妇女”，他们就完</w:t>
      </w:r>
      <w:r>
        <w:rPr>
          <w:rFonts w:hint="eastAsia"/>
          <w:snapToGrid/>
          <w:color w:val="000000"/>
        </w:rPr>
        <w:t>全无法享受这一权利。这些权利是专门为具有正式职业的一家之长所享用的。根据社经特征调查，</w:t>
      </w:r>
      <w:r>
        <w:rPr>
          <w:rFonts w:hint="eastAsia"/>
          <w:snapToGrid/>
          <w:color w:val="000000"/>
        </w:rPr>
        <w:t>1998</w:t>
      </w:r>
      <w:r>
        <w:rPr>
          <w:rFonts w:hint="eastAsia"/>
          <w:snapToGrid/>
          <w:color w:val="000000"/>
        </w:rPr>
        <w:t>年，妇女中只有</w:t>
      </w:r>
      <w:r>
        <w:rPr>
          <w:rFonts w:hint="eastAsia"/>
          <w:snapToGrid/>
          <w:color w:val="000000"/>
        </w:rPr>
        <w:t>35%</w:t>
      </w:r>
      <w:r>
        <w:rPr>
          <w:rFonts w:hint="eastAsia"/>
          <w:snapToGrid/>
          <w:color w:val="000000"/>
        </w:rPr>
        <w:t>工作，相比之下男子有</w:t>
      </w:r>
      <w:r>
        <w:rPr>
          <w:rFonts w:hint="eastAsia"/>
          <w:snapToGrid/>
          <w:color w:val="000000"/>
        </w:rPr>
        <w:t>74.6%</w:t>
      </w:r>
      <w:r>
        <w:rPr>
          <w:rFonts w:hint="eastAsia"/>
          <w:snapToGrid/>
          <w:color w:val="000000"/>
        </w:rPr>
        <w:t>工作，从这点就可以看到问题所涉的规模。此外，领取工资的妇女中</w:t>
      </w:r>
      <w:r>
        <w:rPr>
          <w:rFonts w:hint="eastAsia"/>
          <w:snapToGrid/>
          <w:color w:val="000000"/>
        </w:rPr>
        <w:t>73%</w:t>
      </w:r>
      <w:r>
        <w:rPr>
          <w:rFonts w:hint="eastAsia"/>
          <w:snapToGrid/>
          <w:color w:val="000000"/>
        </w:rPr>
        <w:t>是按合同工作的，但领取工资的男子中有</w:t>
      </w:r>
      <w:r>
        <w:rPr>
          <w:rFonts w:hint="eastAsia"/>
          <w:snapToGrid/>
          <w:color w:val="000000"/>
        </w:rPr>
        <w:t>77%</w:t>
      </w:r>
      <w:r>
        <w:rPr>
          <w:rFonts w:hint="eastAsia"/>
          <w:snapToGrid/>
          <w:color w:val="000000"/>
        </w:rPr>
        <w:t>是按合同就业的。在所有的工作人群中，妇女的</w:t>
      </w:r>
      <w:r>
        <w:rPr>
          <w:rFonts w:hint="eastAsia"/>
          <w:snapToGrid/>
          <w:color w:val="000000"/>
        </w:rPr>
        <w:t>64%</w:t>
      </w:r>
      <w:r>
        <w:rPr>
          <w:rFonts w:hint="eastAsia"/>
          <w:snapToGrid/>
          <w:color w:val="000000"/>
        </w:rPr>
        <w:t>和男子中的</w:t>
      </w:r>
      <w:r>
        <w:rPr>
          <w:rFonts w:hint="eastAsia"/>
          <w:snapToGrid/>
          <w:color w:val="000000"/>
        </w:rPr>
        <w:t>65%</w:t>
      </w:r>
      <w:r>
        <w:rPr>
          <w:rFonts w:hint="eastAsia"/>
          <w:snapToGrid/>
          <w:color w:val="000000"/>
        </w:rPr>
        <w:t>参加某一种类的社会保险制度。</w:t>
      </w:r>
    </w:p>
    <w:p w:rsidR="00000000" w:rsidRDefault="009C1C61">
      <w:pPr>
        <w:spacing w:after="320"/>
        <w:rPr>
          <w:rFonts w:hint="eastAsia"/>
          <w:snapToGrid/>
          <w:color w:val="000000"/>
        </w:rPr>
      </w:pPr>
      <w:r>
        <w:rPr>
          <w:rFonts w:hint="eastAsia"/>
          <w:snapToGrid/>
          <w:color w:val="000000"/>
        </w:rPr>
        <w:tab/>
        <w:t xml:space="preserve">373.  </w:t>
      </w:r>
      <w:r>
        <w:rPr>
          <w:rFonts w:hint="eastAsia"/>
          <w:snapToGrid/>
          <w:color w:val="000000"/>
        </w:rPr>
        <w:t>经济能力有限的妇女相对较少能有享受社会保障的权利，而其中最受影响的是女性户主，因为她们自己的受抚养人</w:t>
      </w:r>
      <w:r>
        <w:rPr>
          <w:rFonts w:hint="eastAsia"/>
          <w:snapToGrid/>
          <w:color w:val="000000"/>
        </w:rPr>
        <w:t>(</w:t>
      </w:r>
      <w:r>
        <w:rPr>
          <w:rFonts w:hint="eastAsia"/>
          <w:snapToGrid/>
          <w:color w:val="000000"/>
        </w:rPr>
        <w:t>子女、父母或其它人</w:t>
      </w:r>
      <w:r>
        <w:rPr>
          <w:rFonts w:hint="eastAsia"/>
          <w:snapToGrid/>
          <w:color w:val="000000"/>
        </w:rPr>
        <w:t>)</w:t>
      </w:r>
      <w:r>
        <w:rPr>
          <w:rFonts w:hint="eastAsia"/>
          <w:snapToGrid/>
          <w:color w:val="000000"/>
        </w:rPr>
        <w:t>也受到影响。这些妇女多数是在非</w:t>
      </w:r>
      <w:r>
        <w:rPr>
          <w:rFonts w:hint="eastAsia"/>
          <w:snapToGrid/>
          <w:color w:val="000000"/>
        </w:rPr>
        <w:t>正式经济部门工作，这就限制了其取得社会保障的可能性。根据</w:t>
      </w:r>
      <w:r>
        <w:rPr>
          <w:rFonts w:hint="eastAsia"/>
          <w:snapToGrid/>
          <w:color w:val="000000"/>
        </w:rPr>
        <w:t>1996</w:t>
      </w:r>
      <w:r>
        <w:rPr>
          <w:rFonts w:hint="eastAsia"/>
          <w:snapToGrid/>
          <w:color w:val="000000"/>
        </w:rPr>
        <w:t>年社经特征调查的数据，在</w:t>
      </w:r>
      <w:r>
        <w:rPr>
          <w:rFonts w:hint="eastAsia"/>
          <w:snapToGrid/>
          <w:color w:val="000000"/>
        </w:rPr>
        <w:t>20%</w:t>
      </w:r>
      <w:r>
        <w:rPr>
          <w:rFonts w:hint="eastAsia"/>
          <w:snapToGrid/>
          <w:color w:val="000000"/>
        </w:rPr>
        <w:t>最贫穷的家庭中，有</w:t>
      </w:r>
      <w:r>
        <w:rPr>
          <w:rFonts w:hint="eastAsia"/>
          <w:snapToGrid/>
          <w:color w:val="000000"/>
        </w:rPr>
        <w:t>38%</w:t>
      </w:r>
      <w:r>
        <w:rPr>
          <w:rFonts w:hint="eastAsia"/>
          <w:snapToGrid/>
          <w:color w:val="000000"/>
        </w:rPr>
        <w:t>的工作妇女向某种社会保障计划投保，而男子中这一比例为</w:t>
      </w:r>
      <w:r>
        <w:rPr>
          <w:rFonts w:hint="eastAsia"/>
          <w:snapToGrid/>
          <w:color w:val="000000"/>
        </w:rPr>
        <w:t>55%</w:t>
      </w:r>
      <w:r>
        <w:rPr>
          <w:rFonts w:hint="eastAsia"/>
          <w:snapToGrid/>
          <w:color w:val="000000"/>
        </w:rPr>
        <w:t>。</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女性在养恤基金公司新的养恤制度中的情况</w:t>
      </w:r>
    </w:p>
    <w:p w:rsidR="00000000" w:rsidRDefault="009C1C61">
      <w:pPr>
        <w:rPr>
          <w:rFonts w:hint="eastAsia"/>
          <w:snapToGrid/>
          <w:color w:val="000000"/>
        </w:rPr>
      </w:pPr>
      <w:r>
        <w:rPr>
          <w:rFonts w:hint="eastAsia"/>
          <w:snapToGrid/>
          <w:color w:val="000000"/>
        </w:rPr>
        <w:tab/>
        <w:t xml:space="preserve">374.  </w:t>
      </w:r>
      <w:r>
        <w:rPr>
          <w:rFonts w:hint="eastAsia"/>
          <w:snapToGrid/>
          <w:color w:val="000000"/>
        </w:rPr>
        <w:t>由以节约储蓄形式个人出资而构成的养恤基金管理公司</w:t>
      </w:r>
      <w:r>
        <w:rPr>
          <w:rFonts w:hint="eastAsia"/>
          <w:snapToGrid/>
          <w:color w:val="000000"/>
        </w:rPr>
        <w:t>(</w:t>
      </w:r>
      <w:r>
        <w:rPr>
          <w:rFonts w:hint="eastAsia"/>
          <w:snapToGrid/>
          <w:color w:val="000000"/>
        </w:rPr>
        <w:t>养管公司</w:t>
      </w:r>
      <w:r>
        <w:rPr>
          <w:rFonts w:hint="eastAsia"/>
          <w:snapToGrid/>
          <w:color w:val="000000"/>
        </w:rPr>
        <w:t>)</w:t>
      </w:r>
      <w:r>
        <w:rPr>
          <w:rFonts w:hint="eastAsia"/>
          <w:snapToGrid/>
          <w:color w:val="000000"/>
        </w:rPr>
        <w:t>系统的基本服务对象是有永久或无限期合同的工作人员，这些人可以在整个工作生命中不断的交纳保费。因此，妇女就业比例高的临时、暂时或非正式职业并不提供取得充分社会保险的机会。</w:t>
      </w:r>
    </w:p>
    <w:p w:rsidR="00000000" w:rsidRDefault="009C1C61">
      <w:pPr>
        <w:rPr>
          <w:rFonts w:hint="eastAsia"/>
          <w:snapToGrid/>
          <w:color w:val="000000"/>
        </w:rPr>
      </w:pPr>
      <w:r>
        <w:rPr>
          <w:rFonts w:hint="eastAsia"/>
          <w:snapToGrid/>
          <w:color w:val="000000"/>
        </w:rPr>
        <w:tab/>
        <w:t xml:space="preserve">375.  </w:t>
      </w:r>
      <w:r>
        <w:rPr>
          <w:rFonts w:hint="eastAsia"/>
          <w:snapToGrid/>
          <w:color w:val="000000"/>
        </w:rPr>
        <w:t>养管公司的每一位客户都有自己的出资</w:t>
      </w:r>
      <w:r>
        <w:rPr>
          <w:rFonts w:hint="eastAsia"/>
          <w:snapToGrid/>
          <w:color w:val="000000"/>
        </w:rPr>
        <w:t>帐户。任何人不管在什么时候投保的，即使不再按期供款，也在这一系统的覆盖范围内。</w:t>
      </w:r>
      <w:r>
        <w:rPr>
          <w:rFonts w:hint="eastAsia"/>
          <w:snapToGrid/>
          <w:color w:val="000000"/>
        </w:rPr>
        <w:t>1996</w:t>
      </w:r>
      <w:r>
        <w:rPr>
          <w:rFonts w:hint="eastAsia"/>
          <w:snapToGrid/>
          <w:color w:val="000000"/>
        </w:rPr>
        <w:t>年</w:t>
      </w:r>
      <w:r>
        <w:rPr>
          <w:rFonts w:hint="eastAsia"/>
          <w:snapToGrid/>
          <w:color w:val="000000"/>
        </w:rPr>
        <w:t>3</w:t>
      </w:r>
      <w:r>
        <w:rPr>
          <w:rFonts w:hint="eastAsia"/>
          <w:snapToGrid/>
          <w:color w:val="000000"/>
        </w:rPr>
        <w:t>月，参加养管公司的女性投保人中有</w:t>
      </w:r>
      <w:r>
        <w:rPr>
          <w:rFonts w:hint="eastAsia"/>
          <w:snapToGrid/>
          <w:color w:val="000000"/>
        </w:rPr>
        <w:t>61%</w:t>
      </w:r>
      <w:r>
        <w:rPr>
          <w:rFonts w:hint="eastAsia"/>
          <w:snapToGrid/>
          <w:color w:val="000000"/>
        </w:rPr>
        <w:t>、男性有</w:t>
      </w:r>
      <w:r>
        <w:rPr>
          <w:rFonts w:hint="eastAsia"/>
          <w:snapToGrid/>
          <w:color w:val="000000"/>
        </w:rPr>
        <w:t>50%</w:t>
      </w:r>
      <w:r>
        <w:rPr>
          <w:rFonts w:hint="eastAsia"/>
          <w:snapToGrid/>
          <w:color w:val="000000"/>
        </w:rPr>
        <w:t>已不交费，到</w:t>
      </w:r>
      <w:r>
        <w:rPr>
          <w:rFonts w:hint="eastAsia"/>
          <w:snapToGrid/>
          <w:color w:val="000000"/>
        </w:rPr>
        <w:t>2001</w:t>
      </w:r>
      <w:r>
        <w:rPr>
          <w:rFonts w:hint="eastAsia"/>
          <w:snapToGrid/>
          <w:color w:val="000000"/>
        </w:rPr>
        <w:t>年，这些比率没有多少变化，这就表明职业生活的中断对女性的影响继续大于男性。在一项称“妇女服务署</w:t>
      </w:r>
      <w:r>
        <w:rPr>
          <w:rFonts w:hint="eastAsia"/>
          <w:snapToGrid/>
          <w:color w:val="000000"/>
        </w:rPr>
        <w:t>(</w:t>
      </w:r>
      <w:r>
        <w:rPr>
          <w:rFonts w:hint="eastAsia"/>
          <w:snapToGrid/>
          <w:color w:val="000000"/>
        </w:rPr>
        <w:t>全国妇女服务署</w:t>
      </w:r>
      <w:r>
        <w:rPr>
          <w:rFonts w:hint="eastAsia"/>
          <w:snapToGrid/>
          <w:color w:val="000000"/>
        </w:rPr>
        <w:t>)</w:t>
      </w:r>
      <w:r>
        <w:rPr>
          <w:rFonts w:hint="eastAsia"/>
          <w:snapToGrid/>
          <w:color w:val="000000"/>
        </w:rPr>
        <w:t>统计数字中反映的不平等”的研究报告中，这一点得到了进一步揭示。这项研究的论点是，从规模的角度看，出资帐户社会保险储蓄不利于女性。</w:t>
      </w:r>
      <w:r>
        <w:rPr>
          <w:rFonts w:hint="eastAsia"/>
          <w:snapToGrid/>
          <w:color w:val="000000"/>
        </w:rPr>
        <w:t>2002</w:t>
      </w:r>
      <w:r>
        <w:rPr>
          <w:rFonts w:hint="eastAsia"/>
          <w:snapToGrid/>
          <w:color w:val="000000"/>
        </w:rPr>
        <w:t>年</w:t>
      </w:r>
      <w:r>
        <w:rPr>
          <w:rFonts w:hint="eastAsia"/>
          <w:snapToGrid/>
          <w:color w:val="000000"/>
        </w:rPr>
        <w:t>3</w:t>
      </w:r>
      <w:r>
        <w:rPr>
          <w:rFonts w:hint="eastAsia"/>
          <w:snapToGrid/>
          <w:color w:val="000000"/>
        </w:rPr>
        <w:t>月，资本少于</w:t>
      </w:r>
      <w:r>
        <w:rPr>
          <w:rFonts w:hint="eastAsia"/>
          <w:snapToGrid/>
          <w:color w:val="000000"/>
        </w:rPr>
        <w:t>500,000</w:t>
      </w:r>
      <w:r>
        <w:rPr>
          <w:rFonts w:hint="eastAsia"/>
          <w:snapToGrid/>
          <w:color w:val="000000"/>
        </w:rPr>
        <w:t>比索</w:t>
      </w:r>
      <w:r>
        <w:rPr>
          <w:rFonts w:hint="eastAsia"/>
          <w:snapToGrid/>
          <w:color w:val="000000"/>
        </w:rPr>
        <w:t>(762</w:t>
      </w:r>
      <w:r>
        <w:rPr>
          <w:rFonts w:hint="eastAsia"/>
          <w:snapToGrid/>
          <w:color w:val="000000"/>
        </w:rPr>
        <w:t>美元</w:t>
      </w:r>
      <w:r>
        <w:rPr>
          <w:rFonts w:hint="eastAsia"/>
          <w:snapToGrid/>
          <w:color w:val="000000"/>
        </w:rPr>
        <w:t>)</w:t>
      </w:r>
      <w:r>
        <w:rPr>
          <w:rFonts w:hint="eastAsia"/>
          <w:snapToGrid/>
          <w:color w:val="000000"/>
        </w:rPr>
        <w:t>的女性投保人比率稍稍超过</w:t>
      </w:r>
      <w:r>
        <w:rPr>
          <w:rFonts w:hint="eastAsia"/>
          <w:snapToGrid/>
          <w:color w:val="000000"/>
        </w:rPr>
        <w:t>45%</w:t>
      </w:r>
      <w:r>
        <w:rPr>
          <w:rFonts w:hint="eastAsia"/>
          <w:snapToGrid/>
          <w:color w:val="000000"/>
        </w:rPr>
        <w:t>，相比之下男性仅为</w:t>
      </w:r>
      <w:r>
        <w:rPr>
          <w:rFonts w:hint="eastAsia"/>
          <w:snapToGrid/>
          <w:color w:val="000000"/>
        </w:rPr>
        <w:t>25%</w:t>
      </w:r>
      <w:r>
        <w:rPr>
          <w:rFonts w:hint="eastAsia"/>
          <w:snapToGrid/>
          <w:color w:val="000000"/>
        </w:rPr>
        <w:t>。</w:t>
      </w:r>
    </w:p>
    <w:p w:rsidR="00000000" w:rsidRDefault="009C1C61">
      <w:pPr>
        <w:rPr>
          <w:rFonts w:hint="eastAsia"/>
          <w:snapToGrid/>
          <w:color w:val="000000"/>
        </w:rPr>
      </w:pPr>
      <w:r>
        <w:rPr>
          <w:rFonts w:hint="eastAsia"/>
          <w:snapToGrid/>
          <w:color w:val="000000"/>
        </w:rPr>
        <w:tab/>
        <w:t xml:space="preserve">376.  </w:t>
      </w:r>
      <w:r>
        <w:rPr>
          <w:rFonts w:hint="eastAsia"/>
          <w:snapToGrid/>
          <w:color w:val="000000"/>
        </w:rPr>
        <w:t>自从约束新的养恤金计划的第</w:t>
      </w:r>
      <w:r>
        <w:rPr>
          <w:rFonts w:hint="eastAsia"/>
          <w:snapToGrid/>
          <w:color w:val="000000"/>
        </w:rPr>
        <w:t>3500</w:t>
      </w:r>
      <w:r>
        <w:rPr>
          <w:rFonts w:hint="eastAsia"/>
          <w:snapToGrid/>
          <w:color w:val="000000"/>
        </w:rPr>
        <w:t>号政令法起草并生效以来，已经可以明确看出，个人资本化的制度不利于女性，因为她们的工作所付的工资比男性低，而交纳会费的时间也比较短。</w:t>
      </w:r>
    </w:p>
    <w:p w:rsidR="00000000" w:rsidRDefault="009C1C61">
      <w:pPr>
        <w:rPr>
          <w:rFonts w:hint="eastAsia"/>
          <w:snapToGrid/>
          <w:color w:val="000000"/>
        </w:rPr>
      </w:pPr>
      <w:r>
        <w:rPr>
          <w:rFonts w:hint="eastAsia"/>
          <w:snapToGrid/>
          <w:color w:val="000000"/>
        </w:rPr>
        <w:tab/>
        <w:t xml:space="preserve">377.  </w:t>
      </w:r>
      <w:r>
        <w:rPr>
          <w:rFonts w:hint="eastAsia"/>
          <w:snapToGrid/>
          <w:color w:val="000000"/>
        </w:rPr>
        <w:t>作临时工作的工人比例很高，特别是在低工资领域内更是如此。根据</w:t>
      </w:r>
      <w:r>
        <w:rPr>
          <w:rFonts w:hint="eastAsia"/>
          <w:snapToGrid/>
          <w:color w:val="000000"/>
        </w:rPr>
        <w:t>1996</w:t>
      </w:r>
      <w:r>
        <w:rPr>
          <w:rFonts w:hint="eastAsia"/>
          <w:snapToGrid/>
          <w:color w:val="000000"/>
        </w:rPr>
        <w:t>年社经特征调查所得的数据，在属于</w:t>
      </w:r>
      <w:r>
        <w:rPr>
          <w:rFonts w:hint="eastAsia"/>
          <w:snapToGrid/>
          <w:color w:val="000000"/>
        </w:rPr>
        <w:t>20%</w:t>
      </w:r>
      <w:r>
        <w:rPr>
          <w:rFonts w:hint="eastAsia"/>
          <w:snapToGrid/>
          <w:color w:val="000000"/>
        </w:rPr>
        <w:t>最贫穷家庭的就业人士中，</w:t>
      </w:r>
      <w:r>
        <w:rPr>
          <w:rFonts w:hint="eastAsia"/>
          <w:snapToGrid/>
          <w:color w:val="000000"/>
        </w:rPr>
        <w:t>33%</w:t>
      </w:r>
      <w:r>
        <w:rPr>
          <w:rFonts w:hint="eastAsia"/>
          <w:snapToGrid/>
          <w:color w:val="000000"/>
        </w:rPr>
        <w:t>的妇女是临时工人，</w:t>
      </w:r>
      <w:r>
        <w:rPr>
          <w:rFonts w:hint="eastAsia"/>
          <w:snapToGrid/>
          <w:color w:val="000000"/>
        </w:rPr>
        <w:t>32%</w:t>
      </w:r>
      <w:r>
        <w:rPr>
          <w:rFonts w:hint="eastAsia"/>
          <w:snapToGrid/>
          <w:color w:val="000000"/>
        </w:rPr>
        <w:t>为男性。由于一次次的裁员，又加上临时工的季节性变换，使得处于这一局面的女性工人无法累计交付保费所必须的最低年数，以便取得最低的老龄养恤金。私营的社会保障制</w:t>
      </w:r>
      <w:r>
        <w:rPr>
          <w:rFonts w:hint="eastAsia"/>
          <w:snapToGrid/>
          <w:color w:val="000000"/>
        </w:rPr>
        <w:t>度所存在的缺点不仅是由于影响到女性就业的不平等状况；更有甚者，保险制度在操作中的实际规则又部分的防止妇女以平等的条件取得象男子一样的社会保险福利。</w:t>
      </w:r>
    </w:p>
    <w:p w:rsidR="00000000" w:rsidRDefault="009C1C61">
      <w:pPr>
        <w:rPr>
          <w:rFonts w:hint="eastAsia"/>
          <w:snapToGrid/>
          <w:color w:val="000000"/>
        </w:rPr>
      </w:pPr>
      <w:r>
        <w:rPr>
          <w:rFonts w:hint="eastAsia"/>
          <w:snapToGrid/>
          <w:color w:val="000000"/>
        </w:rPr>
        <w:tab/>
        <w:t xml:space="preserve">378.  </w:t>
      </w:r>
      <w:r>
        <w:rPr>
          <w:rFonts w:hint="eastAsia"/>
          <w:snapToGrid/>
          <w:color w:val="000000"/>
        </w:rPr>
        <w:t>在这一私营社会保障制度中，可以挑出几项规则来表明福利的享受则按性别得到不同待遇：</w:t>
      </w:r>
    </w:p>
    <w:p w:rsidR="00000000" w:rsidRDefault="009C1C61">
      <w:pPr>
        <w:numPr>
          <w:ilvl w:val="0"/>
          <w:numId w:val="104"/>
        </w:numPr>
        <w:rPr>
          <w:rFonts w:hint="eastAsia"/>
          <w:snapToGrid/>
          <w:color w:val="000000"/>
        </w:rPr>
      </w:pPr>
      <w:r>
        <w:rPr>
          <w:rFonts w:hint="eastAsia"/>
          <w:snapToGrid/>
          <w:color w:val="000000"/>
        </w:rPr>
        <w:t>关于取得死亡人家属养恤金，法律在确定养恤金领取人时对家庭成员所下的定义偏袒依赖男性的女性，而这是对工作妇女的歧视；</w:t>
      </w:r>
    </w:p>
    <w:p w:rsidR="00000000" w:rsidRDefault="009C1C61">
      <w:pPr>
        <w:numPr>
          <w:ilvl w:val="0"/>
          <w:numId w:val="104"/>
        </w:numPr>
        <w:rPr>
          <w:rFonts w:hint="eastAsia"/>
          <w:snapToGrid/>
          <w:color w:val="000000"/>
        </w:rPr>
      </w:pPr>
      <w:r>
        <w:rPr>
          <w:rFonts w:hint="eastAsia"/>
          <w:snapToGrid/>
          <w:color w:val="000000"/>
        </w:rPr>
        <w:t>女性退休比男子早</w:t>
      </w:r>
      <w:r>
        <w:rPr>
          <w:rFonts w:hint="eastAsia"/>
          <w:snapToGrid/>
          <w:color w:val="000000"/>
        </w:rPr>
        <w:t>5</w:t>
      </w:r>
      <w:r>
        <w:rPr>
          <w:rFonts w:hint="eastAsia"/>
          <w:snapToGrid/>
          <w:color w:val="000000"/>
        </w:rPr>
        <w:t>年就说明在社会保障储蓄帐户内积累资金的时间要短，而不工作的时间被延长。因此妇女养恤金中资金较少，而必须为较长的不工作时期提供资助；</w:t>
      </w:r>
    </w:p>
    <w:p w:rsidR="00000000" w:rsidRDefault="009C1C61">
      <w:pPr>
        <w:numPr>
          <w:ilvl w:val="0"/>
          <w:numId w:val="104"/>
        </w:numPr>
        <w:rPr>
          <w:rFonts w:hint="eastAsia"/>
          <w:snapToGrid/>
          <w:color w:val="000000"/>
        </w:rPr>
      </w:pPr>
      <w:r>
        <w:rPr>
          <w:rFonts w:hint="eastAsia"/>
          <w:snapToGrid/>
          <w:color w:val="000000"/>
        </w:rPr>
        <w:t>老</w:t>
      </w:r>
      <w:r>
        <w:rPr>
          <w:rFonts w:hint="eastAsia"/>
          <w:snapToGrid/>
          <w:color w:val="000000"/>
        </w:rPr>
        <w:t>龄养恤金是依男女而列出不同的平均寿命基础上计算的；与男子相比，这就扣押了女性投保人最终有权取得的养恤金数额，因为女性的平等寿命被认为超过男性；</w:t>
      </w:r>
    </w:p>
    <w:p w:rsidR="00000000" w:rsidRDefault="009C1C61">
      <w:pPr>
        <w:numPr>
          <w:ilvl w:val="0"/>
          <w:numId w:val="104"/>
        </w:numPr>
        <w:rPr>
          <w:rFonts w:hint="eastAsia"/>
          <w:snapToGrid/>
          <w:color w:val="000000"/>
        </w:rPr>
      </w:pPr>
      <w:r>
        <w:rPr>
          <w:rFonts w:hint="eastAsia"/>
          <w:snapToGrid/>
          <w:color w:val="000000"/>
        </w:rPr>
        <w:t>对因生育孩子而停产前或产后假的妇女所偿付的社会保障费用，其所提供的福利一般低于在产假开始以前所收到的保费。产前和产后的产假期间所付的社会保障费是根据该福利的数额来计算的，这一般表明对母亲的社会保障节约储金帐户提供的资金较少；</w:t>
      </w:r>
    </w:p>
    <w:p w:rsidR="00000000" w:rsidRDefault="009C1C61">
      <w:pPr>
        <w:numPr>
          <w:ilvl w:val="0"/>
          <w:numId w:val="104"/>
        </w:numPr>
        <w:spacing w:after="320"/>
        <w:rPr>
          <w:rFonts w:hint="eastAsia"/>
          <w:snapToGrid/>
          <w:color w:val="000000"/>
        </w:rPr>
      </w:pPr>
      <w:r>
        <w:rPr>
          <w:rFonts w:hint="eastAsia"/>
          <w:snapToGrid/>
          <w:color w:val="000000"/>
        </w:rPr>
        <w:t>每当妇女离开工作照料孩子时，她便不再交费，这也造成妇女所支付的社会保障费较少。</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参加私营保健系统的妇女</w:t>
      </w:r>
    </w:p>
    <w:p w:rsidR="00000000" w:rsidRDefault="009C1C61">
      <w:pPr>
        <w:spacing w:after="320"/>
        <w:rPr>
          <w:rFonts w:hint="eastAsia"/>
          <w:snapToGrid/>
          <w:color w:val="000000"/>
        </w:rPr>
      </w:pPr>
      <w:r>
        <w:rPr>
          <w:rFonts w:hint="eastAsia"/>
          <w:snapToGrid/>
          <w:color w:val="000000"/>
        </w:rPr>
        <w:tab/>
        <w:t xml:space="preserve">379.  </w:t>
      </w:r>
      <w:r>
        <w:rPr>
          <w:rFonts w:hint="eastAsia"/>
          <w:snapToGrid/>
          <w:color w:val="000000"/>
        </w:rPr>
        <w:t>私营系统中充满了各种障碍</w:t>
      </w:r>
      <w:r>
        <w:rPr>
          <w:rFonts w:hint="eastAsia"/>
          <w:snapToGrid/>
          <w:color w:val="000000"/>
        </w:rPr>
        <w:t>和限制，阻止妇女充分享受医疗保健，从而损害了男女机会平等的原则。</w:t>
      </w:r>
      <w:r>
        <w:rPr>
          <w:rFonts w:hint="eastAsia"/>
          <w:snapToGrid/>
          <w:color w:val="000000"/>
        </w:rPr>
        <w:t>1998</w:t>
      </w:r>
      <w:r>
        <w:rPr>
          <w:rFonts w:hint="eastAsia"/>
          <w:snapToGrid/>
          <w:color w:val="000000"/>
        </w:rPr>
        <w:t>年，进行了一项研究</w:t>
      </w:r>
      <w:r>
        <w:rPr>
          <w:rFonts w:hint="eastAsia"/>
          <w:snapToGrid/>
          <w:color w:val="000000"/>
        </w:rPr>
        <w:t xml:space="preserve"> </w:t>
      </w:r>
      <w:r>
        <w:rPr>
          <w:rStyle w:val="FootnoteReference"/>
          <w:bCs/>
          <w:snapToGrid/>
        </w:rPr>
        <w:footnoteReference w:id="168"/>
      </w:r>
      <w:r>
        <w:rPr>
          <w:rFonts w:hint="eastAsia"/>
          <w:snapToGrid/>
          <w:color w:val="000000"/>
        </w:rPr>
        <w:t xml:space="preserve"> </w:t>
      </w:r>
      <w:r>
        <w:rPr>
          <w:rFonts w:hint="eastAsia"/>
          <w:snapToGrid/>
          <w:color w:val="000000"/>
        </w:rPr>
        <w:t>以便分析在社会保障的保健系统中为妇女提供的保险范围，特别是影响到由健康保险机构</w:t>
      </w:r>
      <w:r>
        <w:rPr>
          <w:rFonts w:hint="eastAsia"/>
          <w:snapToGrid/>
          <w:color w:val="000000"/>
        </w:rPr>
        <w:t>(</w:t>
      </w:r>
      <w:r>
        <w:rPr>
          <w:rFonts w:hint="eastAsia"/>
          <w:snapToGrid/>
          <w:color w:val="000000"/>
        </w:rPr>
        <w:t>健保机构</w:t>
      </w:r>
      <w:r>
        <w:rPr>
          <w:rFonts w:hint="eastAsia"/>
          <w:snapToGrid/>
          <w:color w:val="000000"/>
        </w:rPr>
        <w:t>)</w:t>
      </w:r>
      <w:r>
        <w:rPr>
          <w:rFonts w:hint="eastAsia"/>
          <w:snapToGrid/>
          <w:color w:val="000000"/>
        </w:rPr>
        <w:t>提供的私营系统保险范围的一些困难和限制。该项报告的结论是，这一系统的设置及其结构使它成为一个私营健康保险系统，从而其保费也随着所保险项的增加而增加。根据这一前提，系统里女性保险费用比较昂贵，导致这一情况的因素是其发病率</w:t>
      </w:r>
      <w:r>
        <w:rPr>
          <w:rFonts w:hint="eastAsia"/>
          <w:snapToGrid/>
          <w:color w:val="000000"/>
        </w:rPr>
        <w:t>(</w:t>
      </w:r>
      <w:r>
        <w:rPr>
          <w:rFonts w:hint="eastAsia"/>
          <w:snapToGrid/>
          <w:color w:val="000000"/>
        </w:rPr>
        <w:t>妇女一般往往比男子需要更多的医疗照顾</w:t>
      </w:r>
      <w:r>
        <w:rPr>
          <w:rFonts w:hint="eastAsia"/>
          <w:snapToGrid/>
          <w:color w:val="000000"/>
        </w:rPr>
        <w:t>)</w:t>
      </w:r>
      <w:r>
        <w:rPr>
          <w:rFonts w:hint="eastAsia"/>
          <w:snapToGrid/>
          <w:color w:val="000000"/>
        </w:rPr>
        <w:t>、与男子相比之下较长的预期寿命</w:t>
      </w:r>
      <w:r>
        <w:rPr>
          <w:rFonts w:hint="eastAsia"/>
          <w:snapToGrid/>
          <w:color w:val="000000"/>
        </w:rPr>
        <w:t>(</w:t>
      </w:r>
      <w:r>
        <w:rPr>
          <w:rFonts w:hint="eastAsia"/>
          <w:snapToGrid/>
          <w:color w:val="000000"/>
        </w:rPr>
        <w:t>这就延长了医疗保险的保期</w:t>
      </w:r>
      <w:r>
        <w:rPr>
          <w:rFonts w:hint="eastAsia"/>
          <w:snapToGrid/>
          <w:color w:val="000000"/>
        </w:rPr>
        <w:t>)</w:t>
      </w:r>
      <w:r>
        <w:rPr>
          <w:rFonts w:hint="eastAsia"/>
          <w:snapToGrid/>
          <w:color w:val="000000"/>
        </w:rPr>
        <w:t>，而最重要</w:t>
      </w:r>
      <w:r>
        <w:rPr>
          <w:rFonts w:hint="eastAsia"/>
          <w:snapToGrid/>
          <w:color w:val="000000"/>
        </w:rPr>
        <w:t>的是由于涉及生育的所有费用完全由女方承担</w:t>
      </w:r>
      <w:r>
        <w:rPr>
          <w:rFonts w:hint="eastAsia"/>
          <w:snapToGrid/>
          <w:color w:val="000000"/>
        </w:rPr>
        <w:t>(</w:t>
      </w:r>
      <w:r>
        <w:rPr>
          <w:rFonts w:hint="eastAsia"/>
          <w:snapToGrid/>
          <w:color w:val="000000"/>
        </w:rPr>
        <w:t>其中包括怀孕、生育、产期护理和儿童护理</w:t>
      </w:r>
      <w:r>
        <w:rPr>
          <w:rFonts w:hint="eastAsia"/>
          <w:snapToGrid/>
          <w:color w:val="000000"/>
        </w:rPr>
        <w:t>)</w:t>
      </w:r>
      <w:r>
        <w:rPr>
          <w:rFonts w:hint="eastAsia"/>
          <w:snapToGrid/>
          <w:color w:val="000000"/>
        </w:rPr>
        <w:t>。</w:t>
      </w:r>
    </w:p>
    <w:p w:rsidR="00000000" w:rsidRDefault="009C1C61">
      <w:pPr>
        <w:pStyle w:val="Heading4"/>
        <w:rPr>
          <w:rFonts w:ascii="Time New Roman" w:eastAsia="SimHei" w:hAnsi="Time New Roman" w:hint="eastAsia"/>
          <w:color w:val="000000"/>
          <w:u w:val="none"/>
        </w:rPr>
      </w:pPr>
      <w:r>
        <w:rPr>
          <w:rFonts w:ascii="Time New Roman" w:eastAsia="SimHei" w:hAnsi="Time New Roman" w:hint="eastAsia"/>
          <w:color w:val="000000"/>
          <w:u w:val="none"/>
        </w:rPr>
        <w:t>社会保障领域的立法修正案</w:t>
      </w:r>
    </w:p>
    <w:p w:rsidR="00000000" w:rsidRDefault="009C1C61">
      <w:pPr>
        <w:rPr>
          <w:snapToGrid/>
        </w:rPr>
      </w:pPr>
      <w:r>
        <w:rPr>
          <w:rFonts w:hint="eastAsia"/>
          <w:snapToGrid/>
        </w:rPr>
        <w:tab/>
      </w:r>
      <w:r>
        <w:rPr>
          <w:snapToGrid/>
        </w:rPr>
        <w:t>380.</w:t>
      </w:r>
      <w:r>
        <w:rPr>
          <w:rFonts w:hint="eastAsia"/>
          <w:snapToGrid/>
        </w:rPr>
        <w:t xml:space="preserve">  </w:t>
      </w:r>
      <w:r>
        <w:rPr>
          <w:snapToGrid/>
        </w:rPr>
        <w:t>1990</w:t>
      </w:r>
      <w:r>
        <w:rPr>
          <w:rFonts w:hint="eastAsia"/>
          <w:snapToGrid/>
        </w:rPr>
        <w:t>年和</w:t>
      </w:r>
      <w:r>
        <w:rPr>
          <w:snapToGrid/>
        </w:rPr>
        <w:t>1999</w:t>
      </w:r>
      <w:r>
        <w:rPr>
          <w:rFonts w:hint="eastAsia"/>
          <w:snapToGrid/>
        </w:rPr>
        <w:t>年间，智利的社会保障领域作了一系列改动。主要的立法修正案如下：</w:t>
      </w:r>
    </w:p>
    <w:p w:rsidR="00000000" w:rsidRDefault="009C1C61">
      <w:pPr>
        <w:widowControl w:val="0"/>
        <w:numPr>
          <w:ilvl w:val="0"/>
          <w:numId w:val="264"/>
        </w:numPr>
        <w:rPr>
          <w:rFonts w:hint="eastAsia"/>
          <w:snapToGrid/>
          <w:color w:val="000000"/>
          <w:szCs w:val="24"/>
        </w:rPr>
      </w:pPr>
      <w:r>
        <w:rPr>
          <w:snapToGrid/>
          <w:color w:val="000000"/>
          <w:szCs w:val="24"/>
        </w:rPr>
        <w:t>1993</w:t>
      </w:r>
      <w:r>
        <w:rPr>
          <w:rFonts w:hint="eastAsia"/>
          <w:snapToGrid/>
          <w:color w:val="000000"/>
          <w:szCs w:val="24"/>
        </w:rPr>
        <w:t>年</w:t>
      </w:r>
      <w:r>
        <w:rPr>
          <w:snapToGrid/>
          <w:color w:val="000000"/>
          <w:szCs w:val="24"/>
        </w:rPr>
        <w:t>1</w:t>
      </w:r>
      <w:r>
        <w:rPr>
          <w:rFonts w:hint="eastAsia"/>
          <w:snapToGrid/>
          <w:color w:val="000000"/>
          <w:szCs w:val="24"/>
        </w:rPr>
        <w:t>月</w:t>
      </w:r>
      <w:r>
        <w:rPr>
          <w:snapToGrid/>
          <w:color w:val="000000"/>
          <w:szCs w:val="24"/>
        </w:rPr>
        <w:t>18</w:t>
      </w:r>
      <w:r>
        <w:rPr>
          <w:rFonts w:hint="eastAsia"/>
          <w:snapToGrid/>
          <w:color w:val="000000"/>
          <w:szCs w:val="24"/>
        </w:rPr>
        <w:t>日第</w:t>
      </w:r>
      <w:r>
        <w:rPr>
          <w:snapToGrid/>
          <w:color w:val="000000"/>
          <w:szCs w:val="24"/>
        </w:rPr>
        <w:t>19,2000</w:t>
      </w:r>
      <w:r>
        <w:rPr>
          <w:rFonts w:hint="eastAsia"/>
          <w:snapToGrid/>
          <w:color w:val="000000"/>
          <w:szCs w:val="24"/>
        </w:rPr>
        <w:t>号法令，改变了计算养恤金的方法，规定：应当将工作人员所收到的实际报酬考虑在内，而不是像以前那样，仅考虑基本工资及两年的加薪情况。根据该项法令第一条，社会保险标准化协会所付的养恤金数额及第</w:t>
      </w:r>
      <w:r>
        <w:rPr>
          <w:snapToGrid/>
          <w:color w:val="000000"/>
          <w:szCs w:val="24"/>
        </w:rPr>
        <w:t>16744</w:t>
      </w:r>
      <w:r>
        <w:rPr>
          <w:rFonts w:hint="eastAsia"/>
          <w:snapToGrid/>
          <w:color w:val="000000"/>
          <w:szCs w:val="24"/>
        </w:rPr>
        <w:t>号法令共同基金所偿付的养恤金数额，将根据在交付保费的相应阶段内用以交付</w:t>
      </w:r>
      <w:r>
        <w:rPr>
          <w:rFonts w:hint="eastAsia"/>
          <w:snapToGrid/>
          <w:color w:val="000000"/>
          <w:szCs w:val="24"/>
        </w:rPr>
        <w:t>保费的实际报酬数额为基础来确定；</w:t>
      </w:r>
    </w:p>
    <w:p w:rsidR="00000000" w:rsidRDefault="009C1C61">
      <w:pPr>
        <w:widowControl w:val="0"/>
        <w:numPr>
          <w:ilvl w:val="0"/>
          <w:numId w:val="264"/>
        </w:numPr>
        <w:rPr>
          <w:rFonts w:hint="eastAsia"/>
          <w:snapToGrid/>
          <w:color w:val="000000"/>
        </w:rPr>
      </w:pPr>
      <w:r>
        <w:rPr>
          <w:rFonts w:hint="eastAsia"/>
          <w:snapToGrid/>
          <w:color w:val="000000"/>
        </w:rPr>
        <w:t>1993</w:t>
      </w:r>
      <w:r>
        <w:rPr>
          <w:rFonts w:hint="eastAsia"/>
          <w:snapToGrid/>
          <w:color w:val="000000"/>
        </w:rPr>
        <w:t>年</w:t>
      </w:r>
      <w:r>
        <w:rPr>
          <w:rFonts w:hint="eastAsia"/>
          <w:snapToGrid/>
          <w:color w:val="000000"/>
        </w:rPr>
        <w:t>8</w:t>
      </w:r>
      <w:r>
        <w:rPr>
          <w:rFonts w:hint="eastAsia"/>
          <w:snapToGrid/>
          <w:color w:val="000000"/>
        </w:rPr>
        <w:t>月</w:t>
      </w:r>
      <w:r>
        <w:rPr>
          <w:rFonts w:hint="eastAsia"/>
          <w:snapToGrid/>
          <w:color w:val="000000"/>
        </w:rPr>
        <w:t>12</w:t>
      </w:r>
      <w:r>
        <w:rPr>
          <w:rFonts w:hint="eastAsia"/>
          <w:snapToGrid/>
          <w:color w:val="000000"/>
        </w:rPr>
        <w:t>日第</w:t>
      </w:r>
      <w:r>
        <w:rPr>
          <w:rFonts w:hint="eastAsia"/>
          <w:snapToGrid/>
          <w:color w:val="000000"/>
        </w:rPr>
        <w:t>19,234</w:t>
      </w:r>
      <w:r>
        <w:rPr>
          <w:rFonts w:hint="eastAsia"/>
          <w:snapToGrid/>
          <w:color w:val="000000"/>
        </w:rPr>
        <w:t>号法令，向</w:t>
      </w:r>
      <w:r>
        <w:rPr>
          <w:rFonts w:hint="eastAsia"/>
          <w:snapToGrid/>
          <w:color w:val="000000"/>
        </w:rPr>
        <w:t>1973</w:t>
      </w:r>
      <w:r>
        <w:rPr>
          <w:rFonts w:hint="eastAsia"/>
          <w:snapToGrid/>
          <w:color w:val="000000"/>
        </w:rPr>
        <w:t>年</w:t>
      </w:r>
      <w:r>
        <w:rPr>
          <w:rFonts w:hint="eastAsia"/>
          <w:snapToGrid/>
          <w:color w:val="000000"/>
        </w:rPr>
        <w:t>9</w:t>
      </w:r>
      <w:r>
        <w:rPr>
          <w:rFonts w:hint="eastAsia"/>
          <w:snapToGrid/>
          <w:color w:val="000000"/>
        </w:rPr>
        <w:t>月</w:t>
      </w:r>
      <w:r>
        <w:rPr>
          <w:rFonts w:hint="eastAsia"/>
          <w:snapToGrid/>
          <w:color w:val="000000"/>
        </w:rPr>
        <w:t>11</w:t>
      </w:r>
      <w:r>
        <w:rPr>
          <w:rFonts w:hint="eastAsia"/>
          <w:snapToGrid/>
          <w:color w:val="000000"/>
        </w:rPr>
        <w:t>日至</w:t>
      </w:r>
      <w:r>
        <w:rPr>
          <w:rFonts w:hint="eastAsia"/>
          <w:snapToGrid/>
          <w:color w:val="000000"/>
        </w:rPr>
        <w:t>1990</w:t>
      </w:r>
      <w:r>
        <w:rPr>
          <w:rFonts w:hint="eastAsia"/>
          <w:snapToGrid/>
          <w:color w:val="000000"/>
        </w:rPr>
        <w:t>年</w:t>
      </w:r>
      <w:r>
        <w:rPr>
          <w:rFonts w:hint="eastAsia"/>
          <w:snapToGrid/>
          <w:color w:val="000000"/>
        </w:rPr>
        <w:t>3</w:t>
      </w:r>
      <w:r>
        <w:rPr>
          <w:rFonts w:hint="eastAsia"/>
          <w:snapToGrid/>
          <w:color w:val="000000"/>
        </w:rPr>
        <w:t>月</w:t>
      </w:r>
      <w:r>
        <w:rPr>
          <w:rFonts w:hint="eastAsia"/>
          <w:snapToGrid/>
          <w:color w:val="000000"/>
        </w:rPr>
        <w:t>10</w:t>
      </w:r>
      <w:r>
        <w:rPr>
          <w:rFonts w:hint="eastAsia"/>
          <w:snapToGrid/>
          <w:color w:val="000000"/>
        </w:rPr>
        <w:t>日期间因政治原因获得赦免的人提供社会保障福利；</w:t>
      </w:r>
    </w:p>
    <w:p w:rsidR="00000000" w:rsidRDefault="009C1C61">
      <w:pPr>
        <w:widowControl w:val="0"/>
        <w:numPr>
          <w:ilvl w:val="0"/>
          <w:numId w:val="264"/>
        </w:numPr>
        <w:rPr>
          <w:rFonts w:hint="eastAsia"/>
          <w:snapToGrid/>
          <w:color w:val="000000"/>
        </w:rPr>
      </w:pPr>
      <w:r>
        <w:rPr>
          <w:rFonts w:hint="eastAsia"/>
          <w:snapToGrid/>
          <w:color w:val="000000"/>
        </w:rPr>
        <w:t>1993</w:t>
      </w:r>
      <w:r>
        <w:rPr>
          <w:rFonts w:hint="eastAsia"/>
          <w:snapToGrid/>
          <w:color w:val="000000"/>
        </w:rPr>
        <w:t>年</w:t>
      </w:r>
      <w:r>
        <w:rPr>
          <w:rFonts w:hint="eastAsia"/>
          <w:snapToGrid/>
          <w:color w:val="000000"/>
        </w:rPr>
        <w:t>12</w:t>
      </w:r>
      <w:r>
        <w:rPr>
          <w:rFonts w:hint="eastAsia"/>
          <w:snapToGrid/>
          <w:color w:val="000000"/>
        </w:rPr>
        <w:t>月</w:t>
      </w:r>
      <w:r>
        <w:rPr>
          <w:rFonts w:hint="eastAsia"/>
          <w:snapToGrid/>
          <w:color w:val="000000"/>
        </w:rPr>
        <w:t>4</w:t>
      </w:r>
      <w:r>
        <w:rPr>
          <w:rFonts w:hint="eastAsia"/>
          <w:snapToGrid/>
          <w:color w:val="000000"/>
        </w:rPr>
        <w:t>日第</w:t>
      </w:r>
      <w:r>
        <w:rPr>
          <w:rFonts w:hint="eastAsia"/>
          <w:snapToGrid/>
          <w:color w:val="000000"/>
        </w:rPr>
        <w:t>19,260</w:t>
      </w:r>
      <w:r>
        <w:rPr>
          <w:rFonts w:hint="eastAsia"/>
          <w:snapToGrid/>
          <w:color w:val="000000"/>
        </w:rPr>
        <w:t>号法令，该法令第</w:t>
      </w:r>
      <w:r>
        <w:rPr>
          <w:rFonts w:hint="eastAsia"/>
          <w:snapToGrid/>
          <w:color w:val="000000"/>
        </w:rPr>
        <w:t>4</w:t>
      </w:r>
      <w:r>
        <w:rPr>
          <w:rFonts w:hint="eastAsia"/>
          <w:snapToGrid/>
          <w:color w:val="000000"/>
        </w:rPr>
        <w:t>条中取消了对社保标协所提供、并根据工伤事故和职业病法的规定分发的养恤金领取权的时间限制；</w:t>
      </w:r>
    </w:p>
    <w:p w:rsidR="00000000" w:rsidRDefault="009C1C61">
      <w:pPr>
        <w:widowControl w:val="0"/>
        <w:numPr>
          <w:ilvl w:val="0"/>
          <w:numId w:val="264"/>
        </w:numPr>
        <w:rPr>
          <w:rFonts w:hint="eastAsia"/>
          <w:snapToGrid/>
          <w:color w:val="000000"/>
        </w:rPr>
      </w:pPr>
      <w:r>
        <w:rPr>
          <w:rFonts w:hint="eastAsia"/>
          <w:snapToGrid/>
          <w:color w:val="000000"/>
        </w:rPr>
        <w:t>1994</w:t>
      </w:r>
      <w:r>
        <w:rPr>
          <w:rFonts w:hint="eastAsia"/>
          <w:snapToGrid/>
          <w:color w:val="000000"/>
        </w:rPr>
        <w:t>年</w:t>
      </w:r>
      <w:r>
        <w:rPr>
          <w:rFonts w:hint="eastAsia"/>
          <w:snapToGrid/>
          <w:color w:val="000000"/>
        </w:rPr>
        <w:t>11</w:t>
      </w:r>
      <w:r>
        <w:rPr>
          <w:rFonts w:hint="eastAsia"/>
          <w:snapToGrid/>
          <w:color w:val="000000"/>
        </w:rPr>
        <w:t>月</w:t>
      </w:r>
      <w:r>
        <w:rPr>
          <w:rFonts w:hint="eastAsia"/>
          <w:snapToGrid/>
          <w:color w:val="000000"/>
        </w:rPr>
        <w:t>7</w:t>
      </w:r>
      <w:r>
        <w:rPr>
          <w:rFonts w:hint="eastAsia"/>
          <w:snapToGrid/>
          <w:color w:val="000000"/>
        </w:rPr>
        <w:t>日第</w:t>
      </w:r>
      <w:r>
        <w:rPr>
          <w:rFonts w:hint="eastAsia"/>
          <w:snapToGrid/>
          <w:color w:val="000000"/>
        </w:rPr>
        <w:t>19,345</w:t>
      </w:r>
      <w:r>
        <w:rPr>
          <w:rFonts w:hint="eastAsia"/>
          <w:snapToGrid/>
          <w:color w:val="000000"/>
        </w:rPr>
        <w:t>号法令，将上述第</w:t>
      </w:r>
      <w:r>
        <w:rPr>
          <w:rFonts w:hint="eastAsia"/>
          <w:snapToGrid/>
          <w:color w:val="000000"/>
        </w:rPr>
        <w:t>16,744</w:t>
      </w:r>
      <w:r>
        <w:rPr>
          <w:rFonts w:hint="eastAsia"/>
          <w:snapToGrid/>
          <w:color w:val="000000"/>
        </w:rPr>
        <w:t>号法令的适用范围扩大到公共部门的工作人员；</w:t>
      </w:r>
    </w:p>
    <w:p w:rsidR="00000000" w:rsidRDefault="009C1C61">
      <w:pPr>
        <w:widowControl w:val="0"/>
        <w:numPr>
          <w:ilvl w:val="0"/>
          <w:numId w:val="264"/>
        </w:numPr>
        <w:rPr>
          <w:rFonts w:hint="eastAsia"/>
          <w:snapToGrid/>
          <w:color w:val="000000"/>
        </w:rPr>
      </w:pPr>
      <w:r>
        <w:rPr>
          <w:rFonts w:hint="eastAsia"/>
          <w:snapToGrid/>
          <w:color w:val="000000"/>
        </w:rPr>
        <w:t>1994</w:t>
      </w:r>
      <w:r>
        <w:rPr>
          <w:rFonts w:hint="eastAsia"/>
          <w:snapToGrid/>
          <w:color w:val="000000"/>
        </w:rPr>
        <w:t>年</w:t>
      </w:r>
      <w:r>
        <w:rPr>
          <w:rFonts w:hint="eastAsia"/>
          <w:snapToGrid/>
          <w:color w:val="000000"/>
        </w:rPr>
        <w:t>11</w:t>
      </w:r>
      <w:r>
        <w:rPr>
          <w:rFonts w:hint="eastAsia"/>
          <w:snapToGrid/>
          <w:color w:val="000000"/>
        </w:rPr>
        <w:t>月</w:t>
      </w:r>
      <w:r>
        <w:rPr>
          <w:rFonts w:hint="eastAsia"/>
          <w:snapToGrid/>
          <w:color w:val="000000"/>
        </w:rPr>
        <w:t>14</w:t>
      </w:r>
      <w:r>
        <w:rPr>
          <w:rFonts w:hint="eastAsia"/>
          <w:snapToGrid/>
          <w:color w:val="000000"/>
        </w:rPr>
        <w:t>日第</w:t>
      </w:r>
      <w:r>
        <w:rPr>
          <w:rFonts w:hint="eastAsia"/>
          <w:snapToGrid/>
          <w:color w:val="000000"/>
        </w:rPr>
        <w:t>19,350</w:t>
      </w:r>
      <w:r>
        <w:rPr>
          <w:rFonts w:hint="eastAsia"/>
          <w:snapToGrid/>
          <w:color w:val="000000"/>
        </w:rPr>
        <w:t>号法令，该法令第</w:t>
      </w:r>
      <w:r>
        <w:rPr>
          <w:rFonts w:hint="eastAsia"/>
          <w:snapToGrid/>
          <w:color w:val="000000"/>
        </w:rPr>
        <w:t>6</w:t>
      </w:r>
      <w:r>
        <w:rPr>
          <w:rFonts w:hint="eastAsia"/>
          <w:snapToGrid/>
          <w:color w:val="000000"/>
        </w:rPr>
        <w:t>条修正了第</w:t>
      </w:r>
      <w:r>
        <w:rPr>
          <w:rFonts w:hint="eastAsia"/>
          <w:snapToGrid/>
          <w:color w:val="000000"/>
        </w:rPr>
        <w:t>10,383</w:t>
      </w:r>
      <w:r>
        <w:rPr>
          <w:rFonts w:hint="eastAsia"/>
          <w:snapToGrid/>
          <w:color w:val="000000"/>
        </w:rPr>
        <w:t>号法令第</w:t>
      </w:r>
      <w:r>
        <w:rPr>
          <w:rFonts w:hint="eastAsia"/>
          <w:snapToGrid/>
          <w:color w:val="000000"/>
        </w:rPr>
        <w:t>37</w:t>
      </w:r>
      <w:r>
        <w:rPr>
          <w:rFonts w:hint="eastAsia"/>
          <w:snapToGrid/>
          <w:color w:val="000000"/>
        </w:rPr>
        <w:t>条第</w:t>
      </w:r>
      <w:r>
        <w:rPr>
          <w:rFonts w:hint="eastAsia"/>
          <w:snapToGrid/>
          <w:color w:val="000000"/>
        </w:rPr>
        <w:t>1</w:t>
      </w:r>
      <w:r>
        <w:rPr>
          <w:rFonts w:hint="eastAsia"/>
          <w:snapToGrid/>
          <w:color w:val="000000"/>
        </w:rPr>
        <w:t>款</w:t>
      </w:r>
      <w:r>
        <w:rPr>
          <w:snapToGrid/>
          <w:color w:val="000000"/>
        </w:rPr>
        <w:t>c</w:t>
      </w:r>
      <w:r>
        <w:rPr>
          <w:snapToGrid/>
          <w:color w:val="000000"/>
        </w:rPr>
        <w:t>)</w:t>
      </w:r>
      <w:r>
        <w:rPr>
          <w:rFonts w:hint="eastAsia"/>
          <w:snapToGrid/>
          <w:color w:val="000000"/>
        </w:rPr>
        <w:t>项，以便取消对名下至少已有</w:t>
      </w:r>
      <w:r>
        <w:rPr>
          <w:rFonts w:hint="eastAsia"/>
          <w:snapToGrid/>
          <w:color w:val="000000"/>
        </w:rPr>
        <w:t>1,040</w:t>
      </w:r>
      <w:r>
        <w:rPr>
          <w:rFonts w:hint="eastAsia"/>
          <w:snapToGrid/>
          <w:color w:val="000000"/>
        </w:rPr>
        <w:t>个星期保费的受保人的保费交付密度要求。在第</w:t>
      </w:r>
      <w:r>
        <w:rPr>
          <w:rFonts w:hint="eastAsia"/>
          <w:snapToGrid/>
          <w:color w:val="000000"/>
        </w:rPr>
        <w:t>7</w:t>
      </w:r>
      <w:r>
        <w:rPr>
          <w:rFonts w:hint="eastAsia"/>
          <w:snapToGrid/>
          <w:color w:val="000000"/>
        </w:rPr>
        <w:t>条中，该法令还修正了第</w:t>
      </w:r>
      <w:r>
        <w:rPr>
          <w:rFonts w:hint="eastAsia"/>
          <w:snapToGrid/>
          <w:color w:val="000000"/>
        </w:rPr>
        <w:t>10,662</w:t>
      </w:r>
      <w:r>
        <w:rPr>
          <w:rFonts w:hint="eastAsia"/>
          <w:snapToGrid/>
          <w:color w:val="000000"/>
        </w:rPr>
        <w:t>号法令第</w:t>
      </w:r>
      <w:r>
        <w:rPr>
          <w:rFonts w:hint="eastAsia"/>
          <w:snapToGrid/>
          <w:color w:val="000000"/>
        </w:rPr>
        <w:t>23</w:t>
      </w:r>
      <w:r>
        <w:rPr>
          <w:rFonts w:hint="eastAsia"/>
          <w:snapToGrid/>
          <w:color w:val="000000"/>
        </w:rPr>
        <w:t>条第</w:t>
      </w:r>
      <w:r>
        <w:rPr>
          <w:rFonts w:hint="eastAsia"/>
          <w:snapToGrid/>
          <w:color w:val="000000"/>
        </w:rPr>
        <w:t>1</w:t>
      </w:r>
      <w:r>
        <w:rPr>
          <w:rFonts w:hint="eastAsia"/>
          <w:snapToGrid/>
          <w:color w:val="000000"/>
        </w:rPr>
        <w:t>款</w:t>
      </w:r>
      <w:r>
        <w:rPr>
          <w:snapToGrid/>
          <w:color w:val="000000"/>
        </w:rPr>
        <w:t>c)</w:t>
      </w:r>
      <w:r>
        <w:rPr>
          <w:rFonts w:hint="eastAsia"/>
          <w:snapToGrid/>
          <w:color w:val="000000"/>
        </w:rPr>
        <w:t>项</w:t>
      </w:r>
      <w:r>
        <w:rPr>
          <w:rFonts w:hint="eastAsia"/>
          <w:snapToGrid/>
          <w:color w:val="000000"/>
        </w:rPr>
        <w:t>(</w:t>
      </w:r>
      <w:r>
        <w:rPr>
          <w:rFonts w:hint="eastAsia"/>
          <w:snapToGrid/>
          <w:color w:val="000000"/>
        </w:rPr>
        <w:t>国家商业海军节约储金中关于船员和船只操作人员一节</w:t>
      </w:r>
      <w:r>
        <w:rPr>
          <w:rFonts w:hint="eastAsia"/>
          <w:snapToGrid/>
          <w:color w:val="000000"/>
        </w:rPr>
        <w:t>)</w:t>
      </w:r>
      <w:r>
        <w:rPr>
          <w:rFonts w:hint="eastAsia"/>
          <w:snapToGrid/>
          <w:color w:val="000000"/>
        </w:rPr>
        <w:t>，取消了对名下也至少已有</w:t>
      </w:r>
      <w:r>
        <w:rPr>
          <w:rFonts w:hint="eastAsia"/>
          <w:snapToGrid/>
          <w:color w:val="000000"/>
        </w:rPr>
        <w:t>1,040</w:t>
      </w:r>
      <w:r>
        <w:rPr>
          <w:rFonts w:hint="eastAsia"/>
          <w:snapToGrid/>
          <w:color w:val="000000"/>
        </w:rPr>
        <w:t>星期保费的受保人的交费密度要求。同样，该法令第</w:t>
      </w:r>
      <w:r>
        <w:rPr>
          <w:rFonts w:hint="eastAsia"/>
          <w:snapToGrid/>
          <w:color w:val="000000"/>
        </w:rPr>
        <w:t>8</w:t>
      </w:r>
      <w:r>
        <w:rPr>
          <w:rFonts w:hint="eastAsia"/>
          <w:snapToGrid/>
          <w:color w:val="000000"/>
        </w:rPr>
        <w:t>条修正了</w:t>
      </w:r>
      <w:r>
        <w:rPr>
          <w:rFonts w:hint="eastAsia"/>
          <w:snapToGrid/>
          <w:color w:val="000000"/>
        </w:rPr>
        <w:t>1965</w:t>
      </w:r>
      <w:r>
        <w:rPr>
          <w:rFonts w:hint="eastAsia"/>
          <w:snapToGrid/>
          <w:color w:val="000000"/>
        </w:rPr>
        <w:t>年劳动和社会保障部第</w:t>
      </w:r>
      <w:r>
        <w:rPr>
          <w:rFonts w:hint="eastAsia"/>
          <w:snapToGrid/>
          <w:color w:val="000000"/>
        </w:rPr>
        <w:t>68</w:t>
      </w:r>
      <w:r>
        <w:rPr>
          <w:rFonts w:hint="eastAsia"/>
          <w:snapToGrid/>
          <w:color w:val="000000"/>
        </w:rPr>
        <w:t>号最高政令第</w:t>
      </w:r>
      <w:r>
        <w:rPr>
          <w:rFonts w:hint="eastAsia"/>
          <w:snapToGrid/>
          <w:color w:val="000000"/>
        </w:rPr>
        <w:t>55</w:t>
      </w:r>
      <w:r>
        <w:rPr>
          <w:rFonts w:hint="eastAsia"/>
          <w:snapToGrid/>
          <w:color w:val="000000"/>
        </w:rPr>
        <w:t>条</w:t>
      </w:r>
      <w:r>
        <w:rPr>
          <w:snapToGrid/>
          <w:color w:val="000000"/>
        </w:rPr>
        <w:t>c)</w:t>
      </w:r>
      <w:r>
        <w:rPr>
          <w:rFonts w:hint="eastAsia"/>
          <w:snapToGrid/>
          <w:color w:val="000000"/>
        </w:rPr>
        <w:t>项，取消了对已经交付了</w:t>
      </w:r>
      <w:r>
        <w:rPr>
          <w:rFonts w:hint="eastAsia"/>
          <w:snapToGrid/>
          <w:color w:val="000000"/>
        </w:rPr>
        <w:t>1,040</w:t>
      </w:r>
      <w:r>
        <w:rPr>
          <w:rFonts w:hint="eastAsia"/>
          <w:snapToGrid/>
          <w:color w:val="000000"/>
        </w:rPr>
        <w:t>星期的女性交付人和原先的共和国市政府工作人员节约储蓄基金的交付人所定的保费交付密度要求；</w:t>
      </w:r>
    </w:p>
    <w:p w:rsidR="00000000" w:rsidRDefault="009C1C61">
      <w:pPr>
        <w:widowControl w:val="0"/>
        <w:numPr>
          <w:ilvl w:val="0"/>
          <w:numId w:val="264"/>
        </w:numPr>
        <w:rPr>
          <w:rFonts w:hint="eastAsia"/>
          <w:snapToGrid/>
          <w:color w:val="000000"/>
          <w:szCs w:val="24"/>
        </w:rPr>
      </w:pPr>
      <w:r>
        <w:rPr>
          <w:rFonts w:hint="eastAsia"/>
          <w:snapToGrid/>
          <w:color w:val="000000"/>
        </w:rPr>
        <w:t>1995</w:t>
      </w:r>
      <w:r>
        <w:rPr>
          <w:rFonts w:hint="eastAsia"/>
          <w:snapToGrid/>
          <w:color w:val="000000"/>
        </w:rPr>
        <w:t>年</w:t>
      </w:r>
      <w:r>
        <w:rPr>
          <w:rFonts w:hint="eastAsia"/>
          <w:snapToGrid/>
          <w:color w:val="000000"/>
        </w:rPr>
        <w:t>8</w:t>
      </w:r>
      <w:r>
        <w:rPr>
          <w:rFonts w:hint="eastAsia"/>
          <w:snapToGrid/>
          <w:color w:val="000000"/>
        </w:rPr>
        <w:t>月</w:t>
      </w:r>
      <w:r>
        <w:rPr>
          <w:rFonts w:hint="eastAsia"/>
          <w:snapToGrid/>
          <w:color w:val="000000"/>
        </w:rPr>
        <w:t>4</w:t>
      </w:r>
      <w:r>
        <w:rPr>
          <w:rFonts w:hint="eastAsia"/>
          <w:snapToGrid/>
          <w:color w:val="000000"/>
        </w:rPr>
        <w:t>日，第</w:t>
      </w:r>
      <w:r>
        <w:rPr>
          <w:rFonts w:hint="eastAsia"/>
          <w:snapToGrid/>
          <w:color w:val="000000"/>
        </w:rPr>
        <w:t>19,398</w:t>
      </w:r>
      <w:r>
        <w:rPr>
          <w:rFonts w:hint="eastAsia"/>
          <w:snapToGrid/>
          <w:color w:val="000000"/>
        </w:rPr>
        <w:t>号法令，该法令在其</w:t>
      </w:r>
      <w:r>
        <w:rPr>
          <w:rFonts w:hint="eastAsia"/>
          <w:snapToGrid/>
          <w:color w:val="000000"/>
        </w:rPr>
        <w:t>第</w:t>
      </w:r>
      <w:r>
        <w:rPr>
          <w:rFonts w:hint="eastAsia"/>
          <w:snapToGrid/>
          <w:color w:val="000000"/>
        </w:rPr>
        <w:t>6</w:t>
      </w:r>
      <w:r>
        <w:rPr>
          <w:rFonts w:hint="eastAsia"/>
          <w:snapToGrid/>
          <w:color w:val="000000"/>
        </w:rPr>
        <w:t>、</w:t>
      </w:r>
      <w:r>
        <w:rPr>
          <w:rFonts w:hint="eastAsia"/>
          <w:snapToGrid/>
          <w:color w:val="000000"/>
        </w:rPr>
        <w:t>7</w:t>
      </w:r>
      <w:r>
        <w:rPr>
          <w:rFonts w:hint="eastAsia"/>
          <w:snapToGrid/>
          <w:color w:val="000000"/>
        </w:rPr>
        <w:t>和</w:t>
      </w:r>
      <w:r>
        <w:rPr>
          <w:rFonts w:hint="eastAsia"/>
          <w:snapToGrid/>
          <w:color w:val="000000"/>
        </w:rPr>
        <w:t>8</w:t>
      </w:r>
      <w:r>
        <w:rPr>
          <w:rFonts w:hint="eastAsia"/>
          <w:snapToGrid/>
          <w:color w:val="000000"/>
        </w:rPr>
        <w:t>条中对养恤金总额不超过</w:t>
      </w:r>
      <w:r>
        <w:rPr>
          <w:rFonts w:hint="eastAsia"/>
          <w:snapToGrid/>
          <w:color w:val="000000"/>
        </w:rPr>
        <w:t>100,000</w:t>
      </w:r>
      <w:r>
        <w:rPr>
          <w:rFonts w:hint="eastAsia"/>
          <w:snapToGrid/>
          <w:color w:val="000000"/>
        </w:rPr>
        <w:t>比索</w:t>
      </w:r>
      <w:r>
        <w:rPr>
          <w:rFonts w:hint="eastAsia"/>
          <w:snapToGrid/>
          <w:color w:val="000000"/>
        </w:rPr>
        <w:t>(178.5</w:t>
      </w:r>
      <w:r>
        <w:rPr>
          <w:rFonts w:hint="eastAsia"/>
          <w:snapToGrid/>
          <w:color w:val="000000"/>
        </w:rPr>
        <w:t>美元</w:t>
      </w:r>
      <w:r>
        <w:rPr>
          <w:rFonts w:hint="eastAsia"/>
          <w:snapToGrid/>
          <w:color w:val="000000"/>
        </w:rPr>
        <w:t>)</w:t>
      </w:r>
      <w:r>
        <w:rPr>
          <w:rFonts w:hint="eastAsia"/>
          <w:snapToGrid/>
          <w:color w:val="000000"/>
        </w:rPr>
        <w:t>的某些养恤金提供了</w:t>
      </w:r>
      <w:r>
        <w:rPr>
          <w:rFonts w:hint="eastAsia"/>
          <w:snapToGrid/>
          <w:color w:val="000000"/>
        </w:rPr>
        <w:t>10%</w:t>
      </w:r>
      <w:r>
        <w:rPr>
          <w:rFonts w:hint="eastAsia"/>
          <w:snapToGrid/>
          <w:color w:val="000000"/>
        </w:rPr>
        <w:t>的特别增加数额，由对染料和烟草的征税收入来偿付；</w:t>
      </w:r>
    </w:p>
    <w:p w:rsidR="00000000" w:rsidRDefault="009C1C61">
      <w:pPr>
        <w:numPr>
          <w:ilvl w:val="0"/>
          <w:numId w:val="264"/>
        </w:numPr>
        <w:rPr>
          <w:rFonts w:hint="eastAsia"/>
          <w:snapToGrid/>
          <w:color w:val="000000"/>
        </w:rPr>
      </w:pPr>
      <w:r>
        <w:rPr>
          <w:snapToGrid/>
          <w:color w:val="000000"/>
          <w:szCs w:val="24"/>
        </w:rPr>
        <w:t>1995</w:t>
      </w:r>
      <w:r>
        <w:rPr>
          <w:rFonts w:hint="eastAsia"/>
          <w:snapToGrid/>
          <w:color w:val="000000"/>
          <w:szCs w:val="24"/>
        </w:rPr>
        <w:t>年</w:t>
      </w:r>
      <w:r>
        <w:rPr>
          <w:snapToGrid/>
          <w:color w:val="000000"/>
          <w:szCs w:val="24"/>
        </w:rPr>
        <w:t>8</w:t>
      </w:r>
      <w:r>
        <w:rPr>
          <w:rFonts w:hint="eastAsia"/>
          <w:snapToGrid/>
          <w:color w:val="000000"/>
          <w:szCs w:val="24"/>
        </w:rPr>
        <w:t>月</w:t>
      </w:r>
      <w:r>
        <w:rPr>
          <w:snapToGrid/>
          <w:color w:val="000000"/>
          <w:szCs w:val="24"/>
        </w:rPr>
        <w:t>21</w:t>
      </w:r>
      <w:r>
        <w:rPr>
          <w:rFonts w:hint="eastAsia"/>
          <w:snapToGrid/>
          <w:color w:val="000000"/>
          <w:szCs w:val="24"/>
        </w:rPr>
        <w:t>日第</w:t>
      </w:r>
      <w:r>
        <w:rPr>
          <w:snapToGrid/>
          <w:color w:val="000000"/>
          <w:szCs w:val="24"/>
        </w:rPr>
        <w:t>19,403</w:t>
      </w:r>
      <w:r>
        <w:rPr>
          <w:rFonts w:hint="eastAsia"/>
          <w:snapToGrid/>
          <w:color w:val="000000"/>
          <w:szCs w:val="24"/>
        </w:rPr>
        <w:t>号法令，该法令提出特别增加遗孀养恤金和某些其他养恤金的最低数额。这笔增加金额的形式是根据养恤金不同种类而提供的奖励金；</w:t>
      </w:r>
    </w:p>
    <w:p w:rsidR="00000000" w:rsidRDefault="009C1C61">
      <w:pPr>
        <w:widowControl w:val="0"/>
        <w:numPr>
          <w:ilvl w:val="0"/>
          <w:numId w:val="264"/>
        </w:numPr>
        <w:rPr>
          <w:rFonts w:hint="eastAsia"/>
          <w:snapToGrid/>
          <w:color w:val="000000"/>
        </w:rPr>
      </w:pPr>
      <w:r>
        <w:rPr>
          <w:rFonts w:hint="eastAsia"/>
          <w:snapToGrid/>
          <w:color w:val="000000"/>
        </w:rPr>
        <w:t>1995</w:t>
      </w:r>
      <w:r>
        <w:rPr>
          <w:rFonts w:hint="eastAsia"/>
          <w:snapToGrid/>
          <w:color w:val="000000"/>
        </w:rPr>
        <w:t>年</w:t>
      </w:r>
      <w:r>
        <w:rPr>
          <w:rFonts w:hint="eastAsia"/>
          <w:snapToGrid/>
          <w:color w:val="000000"/>
        </w:rPr>
        <w:t>8</w:t>
      </w:r>
      <w:r>
        <w:rPr>
          <w:rFonts w:hint="eastAsia"/>
          <w:snapToGrid/>
          <w:color w:val="000000"/>
        </w:rPr>
        <w:t>月</w:t>
      </w:r>
      <w:r>
        <w:rPr>
          <w:rFonts w:hint="eastAsia"/>
          <w:snapToGrid/>
          <w:color w:val="000000"/>
        </w:rPr>
        <w:t>21</w:t>
      </w:r>
      <w:r>
        <w:rPr>
          <w:rFonts w:hint="eastAsia"/>
          <w:snapToGrid/>
          <w:color w:val="000000"/>
        </w:rPr>
        <w:t>日第</w:t>
      </w:r>
      <w:r>
        <w:rPr>
          <w:rFonts w:hint="eastAsia"/>
          <w:snapToGrid/>
          <w:color w:val="000000"/>
        </w:rPr>
        <w:t>19,404</w:t>
      </w:r>
      <w:r>
        <w:rPr>
          <w:rFonts w:hint="eastAsia"/>
          <w:snapToGrid/>
          <w:color w:val="000000"/>
        </w:rPr>
        <w:t>号法令，进一步降低领取艰苦工种老年的起始年龄，此规定适用于由社保标协管理的养恤金计划，该法令还修订了</w:t>
      </w:r>
      <w:r>
        <w:rPr>
          <w:rFonts w:hint="eastAsia"/>
          <w:snapToGrid/>
          <w:color w:val="000000"/>
        </w:rPr>
        <w:t>1980</w:t>
      </w:r>
      <w:r>
        <w:rPr>
          <w:rFonts w:hint="eastAsia"/>
          <w:snapToGrid/>
          <w:color w:val="000000"/>
        </w:rPr>
        <w:t>年第</w:t>
      </w:r>
      <w:r>
        <w:rPr>
          <w:rFonts w:hint="eastAsia"/>
          <w:snapToGrid/>
          <w:color w:val="000000"/>
        </w:rPr>
        <w:t>3,500</w:t>
      </w:r>
      <w:r>
        <w:rPr>
          <w:rFonts w:hint="eastAsia"/>
          <w:snapToGrid/>
          <w:color w:val="000000"/>
        </w:rPr>
        <w:t>号政令法，增加了对艰苦工种养恤金领取年龄作类似降低的规定；</w:t>
      </w:r>
    </w:p>
    <w:p w:rsidR="00000000" w:rsidRDefault="009C1C61">
      <w:pPr>
        <w:widowControl w:val="0"/>
        <w:numPr>
          <w:ilvl w:val="0"/>
          <w:numId w:val="264"/>
        </w:numPr>
        <w:rPr>
          <w:rFonts w:hint="eastAsia"/>
          <w:snapToGrid/>
          <w:color w:val="000000"/>
        </w:rPr>
      </w:pPr>
      <w:r>
        <w:rPr>
          <w:snapToGrid/>
          <w:color w:val="000000"/>
          <w:szCs w:val="24"/>
        </w:rPr>
        <w:t>1996</w:t>
      </w:r>
      <w:r>
        <w:rPr>
          <w:rFonts w:hint="eastAsia"/>
          <w:snapToGrid/>
          <w:color w:val="000000"/>
          <w:szCs w:val="24"/>
        </w:rPr>
        <w:t>年</w:t>
      </w:r>
      <w:r>
        <w:rPr>
          <w:snapToGrid/>
          <w:color w:val="000000"/>
          <w:szCs w:val="24"/>
        </w:rPr>
        <w:t>5</w:t>
      </w:r>
      <w:r>
        <w:rPr>
          <w:rFonts w:hint="eastAsia"/>
          <w:snapToGrid/>
          <w:color w:val="000000"/>
          <w:szCs w:val="24"/>
        </w:rPr>
        <w:t>月</w:t>
      </w:r>
      <w:r>
        <w:rPr>
          <w:snapToGrid/>
          <w:color w:val="000000"/>
          <w:szCs w:val="24"/>
        </w:rPr>
        <w:t>8</w:t>
      </w:r>
      <w:r>
        <w:rPr>
          <w:rFonts w:hint="eastAsia"/>
          <w:snapToGrid/>
          <w:color w:val="000000"/>
          <w:szCs w:val="24"/>
        </w:rPr>
        <w:t>日第</w:t>
      </w:r>
      <w:r>
        <w:rPr>
          <w:snapToGrid/>
          <w:color w:val="000000"/>
          <w:szCs w:val="24"/>
        </w:rPr>
        <w:t>19,454</w:t>
      </w:r>
      <w:r>
        <w:rPr>
          <w:rFonts w:hint="eastAsia"/>
          <w:snapToGrid/>
          <w:color w:val="000000"/>
          <w:szCs w:val="24"/>
        </w:rPr>
        <w:t>号法令，允许对养恤金做了特别调整，确定向遗孀支付的养恤金应当延续到受保人死亡的同月的最后一天，并且首次规定了领取各节约储蓄机构孤儿养恤金的标准年龄。对于</w:t>
      </w:r>
      <w:r>
        <w:rPr>
          <w:snapToGrid/>
          <w:color w:val="000000"/>
          <w:szCs w:val="24"/>
        </w:rPr>
        <w:t>70</w:t>
      </w:r>
      <w:r>
        <w:rPr>
          <w:rFonts w:hint="eastAsia"/>
          <w:snapToGrid/>
          <w:color w:val="000000"/>
          <w:szCs w:val="24"/>
        </w:rPr>
        <w:t>岁以上养恤金领取人，该法令第</w:t>
      </w:r>
      <w:r>
        <w:rPr>
          <w:snapToGrid/>
          <w:color w:val="000000"/>
          <w:szCs w:val="24"/>
        </w:rPr>
        <w:t>3</w:t>
      </w:r>
      <w:r>
        <w:rPr>
          <w:rFonts w:hint="eastAsia"/>
          <w:snapToGrid/>
          <w:color w:val="000000"/>
          <w:szCs w:val="24"/>
        </w:rPr>
        <w:t>条在按原第</w:t>
      </w:r>
      <w:r>
        <w:rPr>
          <w:snapToGrid/>
          <w:color w:val="000000"/>
          <w:szCs w:val="24"/>
        </w:rPr>
        <w:t>15,386</w:t>
      </w:r>
      <w:r>
        <w:rPr>
          <w:rFonts w:hint="eastAsia"/>
          <w:snapToGrid/>
          <w:color w:val="000000"/>
          <w:szCs w:val="24"/>
        </w:rPr>
        <w:t>号法令所提供的最低养恤金基础上再特别增加</w:t>
      </w:r>
      <w:r>
        <w:rPr>
          <w:snapToGrid/>
          <w:color w:val="000000"/>
          <w:szCs w:val="24"/>
        </w:rPr>
        <w:t>5%</w:t>
      </w:r>
      <w:r>
        <w:rPr>
          <w:rFonts w:hint="eastAsia"/>
          <w:snapToGrid/>
          <w:color w:val="000000"/>
          <w:szCs w:val="24"/>
        </w:rPr>
        <w:t>。</w:t>
      </w:r>
      <w:r>
        <w:rPr>
          <w:rFonts w:hint="eastAsia"/>
          <w:snapToGrid/>
          <w:color w:val="000000"/>
        </w:rPr>
        <w:t>该法令第</w:t>
      </w:r>
      <w:r>
        <w:rPr>
          <w:rFonts w:hint="eastAsia"/>
          <w:snapToGrid/>
          <w:color w:val="000000"/>
        </w:rPr>
        <w:t>3</w:t>
      </w:r>
      <w:r>
        <w:rPr>
          <w:rFonts w:hint="eastAsia"/>
          <w:snapToGrid/>
          <w:color w:val="000000"/>
        </w:rPr>
        <w:t>条对</w:t>
      </w:r>
      <w:r>
        <w:rPr>
          <w:rFonts w:hint="eastAsia"/>
          <w:snapToGrid/>
          <w:color w:val="000000"/>
        </w:rPr>
        <w:t>70</w:t>
      </w:r>
      <w:r>
        <w:rPr>
          <w:rFonts w:hint="eastAsia"/>
          <w:snapToGrid/>
          <w:color w:val="000000"/>
        </w:rPr>
        <w:t>岁以上养恤金领取人提供在按原来第</w:t>
      </w:r>
      <w:r>
        <w:rPr>
          <w:rFonts w:hint="eastAsia"/>
          <w:snapToGrid/>
          <w:color w:val="000000"/>
        </w:rPr>
        <w:t>15,386</w:t>
      </w:r>
      <w:r>
        <w:rPr>
          <w:rFonts w:hint="eastAsia"/>
          <w:snapToGrid/>
          <w:color w:val="000000"/>
        </w:rPr>
        <w:t>号法令所提供的最低养恤金基础上再特别增加</w:t>
      </w:r>
      <w:r>
        <w:rPr>
          <w:rFonts w:hint="eastAsia"/>
          <w:snapToGrid/>
          <w:color w:val="000000"/>
        </w:rPr>
        <w:t>5%</w:t>
      </w:r>
      <w:r>
        <w:rPr>
          <w:rFonts w:hint="eastAsia"/>
          <w:snapToGrid/>
          <w:color w:val="000000"/>
        </w:rPr>
        <w:t>。该法令第</w:t>
      </w:r>
      <w:r>
        <w:rPr>
          <w:rFonts w:hint="eastAsia"/>
          <w:snapToGrid/>
          <w:color w:val="000000"/>
        </w:rPr>
        <w:t>6</w:t>
      </w:r>
      <w:r>
        <w:rPr>
          <w:rFonts w:hint="eastAsia"/>
          <w:snapToGrid/>
          <w:color w:val="000000"/>
        </w:rPr>
        <w:t>条规定，社保标协及共同基金除了死亡人家属养恤金之外，还必须不断支付养恤金，直到受保险人死亡当月的最后一天为</w:t>
      </w:r>
      <w:r>
        <w:rPr>
          <w:rFonts w:hint="eastAsia"/>
          <w:snapToGrid/>
          <w:color w:val="000000"/>
        </w:rPr>
        <w:t>止。死亡人家属养恤金应当从受保险人死亡之后的月份里第一天开始支付。该法令第</w:t>
      </w:r>
      <w:r>
        <w:rPr>
          <w:rFonts w:hint="eastAsia"/>
          <w:snapToGrid/>
          <w:color w:val="000000"/>
        </w:rPr>
        <w:t>7</w:t>
      </w:r>
      <w:r>
        <w:rPr>
          <w:rFonts w:hint="eastAsia"/>
          <w:snapToGrid/>
          <w:color w:val="000000"/>
        </w:rPr>
        <w:t>条在由社保标协管理的计划中对于年龄为</w:t>
      </w:r>
      <w:r>
        <w:rPr>
          <w:rFonts w:hint="eastAsia"/>
          <w:snapToGrid/>
          <w:color w:val="000000"/>
        </w:rPr>
        <w:t>18</w:t>
      </w:r>
      <w:r>
        <w:rPr>
          <w:rFonts w:hint="eastAsia"/>
          <w:snapToGrid/>
          <w:color w:val="000000"/>
        </w:rPr>
        <w:t>岁以下的少年，或者，对于正接受初等、中等、技术或高等教育的年龄在</w:t>
      </w:r>
      <w:r>
        <w:rPr>
          <w:rFonts w:hint="eastAsia"/>
          <w:snapToGrid/>
          <w:color w:val="000000"/>
        </w:rPr>
        <w:t>18</w:t>
      </w:r>
      <w:r>
        <w:rPr>
          <w:rFonts w:hint="eastAsia"/>
          <w:snapToGrid/>
          <w:color w:val="000000"/>
        </w:rPr>
        <w:t>岁至</w:t>
      </w:r>
      <w:r>
        <w:rPr>
          <w:rFonts w:hint="eastAsia"/>
          <w:snapToGrid/>
          <w:color w:val="000000"/>
        </w:rPr>
        <w:t>28</w:t>
      </w:r>
      <w:r>
        <w:rPr>
          <w:rFonts w:hint="eastAsia"/>
          <w:snapToGrid/>
          <w:color w:val="000000"/>
        </w:rPr>
        <w:t>岁之间的青年学生提供允许其领取孤儿养恤金的权利。这样权利扩大到属于任何年龄的残疾子女，但同时并没有取消其符合每一计划中所规定的其他法律要求的条件。该法令过渡性的第</w:t>
      </w:r>
      <w:r>
        <w:rPr>
          <w:rFonts w:hint="eastAsia"/>
          <w:snapToGrid/>
          <w:color w:val="000000"/>
        </w:rPr>
        <w:t>2</w:t>
      </w:r>
      <w:r>
        <w:rPr>
          <w:rFonts w:hint="eastAsia"/>
          <w:snapToGrid/>
          <w:color w:val="000000"/>
        </w:rPr>
        <w:t>条规定，在法令生效之时由于已经超过其特定保险计划年龄限制而无法领取孤儿养恤金，但却符合新的年龄要求的任何人，只要符合其他法律要求，都有权申请领取福利。养恤金</w:t>
      </w:r>
      <w:r>
        <w:rPr>
          <w:rFonts w:hint="eastAsia"/>
          <w:snapToGrid/>
          <w:color w:val="000000"/>
        </w:rPr>
        <w:t>只有在法令生效之后才能发放；</w:t>
      </w:r>
    </w:p>
    <w:p w:rsidR="00000000" w:rsidRDefault="009C1C61">
      <w:pPr>
        <w:widowControl w:val="0"/>
        <w:numPr>
          <w:ilvl w:val="0"/>
          <w:numId w:val="264"/>
        </w:numPr>
        <w:rPr>
          <w:rFonts w:hint="eastAsia"/>
          <w:snapToGrid/>
          <w:color w:val="000000"/>
        </w:rPr>
      </w:pPr>
      <w:r>
        <w:rPr>
          <w:rFonts w:hint="eastAsia"/>
          <w:snapToGrid/>
          <w:color w:val="000000"/>
        </w:rPr>
        <w:t>1997</w:t>
      </w:r>
      <w:r>
        <w:rPr>
          <w:rFonts w:hint="eastAsia"/>
          <w:snapToGrid/>
          <w:color w:val="000000"/>
        </w:rPr>
        <w:t>年</w:t>
      </w:r>
      <w:r>
        <w:rPr>
          <w:rFonts w:hint="eastAsia"/>
          <w:snapToGrid/>
          <w:color w:val="000000"/>
        </w:rPr>
        <w:t>12</w:t>
      </w:r>
      <w:r>
        <w:rPr>
          <w:rFonts w:hint="eastAsia"/>
          <w:snapToGrid/>
          <w:color w:val="000000"/>
        </w:rPr>
        <w:t>月</w:t>
      </w:r>
      <w:r>
        <w:rPr>
          <w:rFonts w:hint="eastAsia"/>
          <w:snapToGrid/>
          <w:color w:val="000000"/>
        </w:rPr>
        <w:t>1</w:t>
      </w:r>
      <w:r>
        <w:rPr>
          <w:rFonts w:hint="eastAsia"/>
          <w:snapToGrid/>
          <w:color w:val="000000"/>
        </w:rPr>
        <w:t>日第</w:t>
      </w:r>
      <w:r>
        <w:rPr>
          <w:rFonts w:hint="eastAsia"/>
          <w:snapToGrid/>
          <w:color w:val="000000"/>
        </w:rPr>
        <w:t>19,539</w:t>
      </w:r>
      <w:r>
        <w:rPr>
          <w:rFonts w:hint="eastAsia"/>
          <w:snapToGrid/>
          <w:color w:val="000000"/>
        </w:rPr>
        <w:t>号法令，将保险范围扩大到家属津贴补偿基金的养恤金领取人，而该项基金目前起到了类似于公共管理部门中所提供的福利服务。该法令第</w:t>
      </w:r>
      <w:r>
        <w:rPr>
          <w:rFonts w:hint="eastAsia"/>
          <w:snapToGrid/>
          <w:color w:val="000000"/>
        </w:rPr>
        <w:t>1</w:t>
      </w:r>
      <w:r>
        <w:rPr>
          <w:rFonts w:hint="eastAsia"/>
          <w:snapToGrid/>
          <w:color w:val="000000"/>
        </w:rPr>
        <w:t>条对最低养恤金数额进一步增加了</w:t>
      </w:r>
      <w:r>
        <w:rPr>
          <w:rFonts w:hint="eastAsia"/>
          <w:snapToGrid/>
          <w:color w:val="000000"/>
        </w:rPr>
        <w:t>5%</w:t>
      </w:r>
      <w:r>
        <w:rPr>
          <w:rFonts w:hint="eastAsia"/>
          <w:snapToGrid/>
          <w:color w:val="000000"/>
        </w:rPr>
        <w:t>。法令第</w:t>
      </w:r>
      <w:r>
        <w:rPr>
          <w:rFonts w:hint="eastAsia"/>
          <w:snapToGrid/>
          <w:color w:val="000000"/>
        </w:rPr>
        <w:t>2</w:t>
      </w:r>
      <w:r>
        <w:rPr>
          <w:rFonts w:hint="eastAsia"/>
          <w:snapToGrid/>
          <w:color w:val="000000"/>
        </w:rPr>
        <w:t>至</w:t>
      </w:r>
      <w:r>
        <w:rPr>
          <w:rFonts w:hint="eastAsia"/>
          <w:snapToGrid/>
          <w:color w:val="000000"/>
        </w:rPr>
        <w:t>10</w:t>
      </w:r>
      <w:r>
        <w:rPr>
          <w:rFonts w:hint="eastAsia"/>
          <w:snapToGrid/>
          <w:color w:val="000000"/>
        </w:rPr>
        <w:t>条对于自然生育的子女的母亲及寡妇所提供的最低寡妇和死亡人家属养恤金增加了每月养恤金金额，而</w:t>
      </w:r>
      <w:r>
        <w:rPr>
          <w:rFonts w:hint="eastAsia"/>
          <w:snapToGrid/>
          <w:color w:val="000000"/>
        </w:rPr>
        <w:t>17%</w:t>
      </w:r>
      <w:r>
        <w:rPr>
          <w:rFonts w:hint="eastAsia"/>
          <w:snapToGrid/>
          <w:color w:val="000000"/>
        </w:rPr>
        <w:t>到</w:t>
      </w:r>
      <w:r>
        <w:rPr>
          <w:rFonts w:hint="eastAsia"/>
          <w:snapToGrid/>
          <w:color w:val="000000"/>
        </w:rPr>
        <w:t>19%</w:t>
      </w:r>
      <w:r>
        <w:rPr>
          <w:rFonts w:hint="eastAsia"/>
          <w:snapToGrid/>
          <w:color w:val="000000"/>
        </w:rPr>
        <w:t>不等。法令第</w:t>
      </w:r>
      <w:r>
        <w:rPr>
          <w:rFonts w:hint="eastAsia"/>
          <w:snapToGrid/>
          <w:color w:val="000000"/>
        </w:rPr>
        <w:t>6</w:t>
      </w:r>
      <w:r>
        <w:rPr>
          <w:rFonts w:hint="eastAsia"/>
          <w:snapToGrid/>
          <w:color w:val="000000"/>
        </w:rPr>
        <w:t>条规定，注册加入任何计划的养恤金领取人可以加入一项家属津贴补偿基金，以便取得享受额外福利、社会提供项目和补偿性福利计划所提供福利的享受权；</w:t>
      </w:r>
    </w:p>
    <w:p w:rsidR="00000000" w:rsidRDefault="009C1C61">
      <w:pPr>
        <w:widowControl w:val="0"/>
        <w:numPr>
          <w:ilvl w:val="0"/>
          <w:numId w:val="264"/>
        </w:numPr>
        <w:rPr>
          <w:rFonts w:hint="eastAsia"/>
          <w:snapToGrid/>
          <w:color w:val="000000"/>
        </w:rPr>
      </w:pPr>
      <w:r>
        <w:rPr>
          <w:rFonts w:hint="eastAsia"/>
          <w:snapToGrid/>
          <w:color w:val="000000"/>
        </w:rPr>
        <w:t>1998</w:t>
      </w:r>
      <w:r>
        <w:rPr>
          <w:rFonts w:hint="eastAsia"/>
          <w:snapToGrid/>
          <w:color w:val="000000"/>
        </w:rPr>
        <w:t>年</w:t>
      </w:r>
      <w:r>
        <w:rPr>
          <w:rFonts w:hint="eastAsia"/>
          <w:snapToGrid/>
          <w:color w:val="000000"/>
        </w:rPr>
        <w:t>7</w:t>
      </w:r>
      <w:r>
        <w:rPr>
          <w:rFonts w:hint="eastAsia"/>
          <w:snapToGrid/>
          <w:color w:val="000000"/>
        </w:rPr>
        <w:t>月</w:t>
      </w:r>
      <w:r>
        <w:rPr>
          <w:rFonts w:hint="eastAsia"/>
          <w:snapToGrid/>
          <w:color w:val="000000"/>
        </w:rPr>
        <w:t>2</w:t>
      </w:r>
      <w:r>
        <w:rPr>
          <w:rFonts w:hint="eastAsia"/>
          <w:snapToGrid/>
          <w:color w:val="000000"/>
        </w:rPr>
        <w:t>6</w:t>
      </w:r>
      <w:r>
        <w:rPr>
          <w:rFonts w:hint="eastAsia"/>
          <w:snapToGrid/>
          <w:color w:val="000000"/>
        </w:rPr>
        <w:t>日第</w:t>
      </w:r>
      <w:r>
        <w:rPr>
          <w:rFonts w:hint="eastAsia"/>
          <w:snapToGrid/>
          <w:color w:val="000000"/>
        </w:rPr>
        <w:t>19,578</w:t>
      </w:r>
      <w:r>
        <w:rPr>
          <w:rFonts w:hint="eastAsia"/>
          <w:snapToGrid/>
          <w:color w:val="000000"/>
        </w:rPr>
        <w:t>号法令，通过变更税则增加了须资助的养恤金。该法令第</w:t>
      </w:r>
      <w:r>
        <w:rPr>
          <w:rFonts w:hint="eastAsia"/>
          <w:snapToGrid/>
          <w:color w:val="000000"/>
        </w:rPr>
        <w:t>10</w:t>
      </w:r>
      <w:r>
        <w:rPr>
          <w:rFonts w:hint="eastAsia"/>
          <w:snapToGrid/>
          <w:color w:val="000000"/>
        </w:rPr>
        <w:t>条从</w:t>
      </w:r>
      <w:r>
        <w:rPr>
          <w:rFonts w:hint="eastAsia"/>
          <w:snapToGrid/>
          <w:color w:val="000000"/>
        </w:rPr>
        <w:t>1999</w:t>
      </w:r>
      <w:r>
        <w:rPr>
          <w:rFonts w:hint="eastAsia"/>
          <w:snapToGrid/>
          <w:color w:val="000000"/>
        </w:rPr>
        <w:t>年</w:t>
      </w:r>
      <w:r>
        <w:rPr>
          <w:rFonts w:hint="eastAsia"/>
          <w:snapToGrid/>
          <w:color w:val="000000"/>
        </w:rPr>
        <w:t>1</w:t>
      </w:r>
      <w:r>
        <w:rPr>
          <w:rFonts w:hint="eastAsia"/>
          <w:snapToGrid/>
          <w:color w:val="000000"/>
        </w:rPr>
        <w:t>月</w:t>
      </w:r>
      <w:r>
        <w:rPr>
          <w:rFonts w:hint="eastAsia"/>
          <w:snapToGrid/>
          <w:color w:val="000000"/>
        </w:rPr>
        <w:t>1</w:t>
      </w:r>
      <w:r>
        <w:rPr>
          <w:rFonts w:hint="eastAsia"/>
          <w:snapToGrid/>
          <w:color w:val="000000"/>
        </w:rPr>
        <w:t>日起将最低养恤金标准增加了</w:t>
      </w:r>
      <w:r>
        <w:rPr>
          <w:rFonts w:hint="eastAsia"/>
          <w:snapToGrid/>
          <w:color w:val="000000"/>
        </w:rPr>
        <w:t>8,000</w:t>
      </w:r>
      <w:r>
        <w:rPr>
          <w:rFonts w:hint="eastAsia"/>
          <w:snapToGrid/>
          <w:color w:val="000000"/>
        </w:rPr>
        <w:t>比索</w:t>
      </w:r>
      <w:r>
        <w:rPr>
          <w:rFonts w:hint="eastAsia"/>
          <w:snapToGrid/>
          <w:color w:val="000000"/>
        </w:rPr>
        <w:t>(14.2</w:t>
      </w:r>
      <w:r>
        <w:rPr>
          <w:rFonts w:hint="eastAsia"/>
          <w:snapToGrid/>
          <w:color w:val="000000"/>
        </w:rPr>
        <w:t>美元</w:t>
      </w:r>
      <w:r>
        <w:rPr>
          <w:rFonts w:hint="eastAsia"/>
          <w:snapToGrid/>
          <w:color w:val="000000"/>
        </w:rPr>
        <w:t>)</w:t>
      </w:r>
      <w:r>
        <w:rPr>
          <w:rFonts w:hint="eastAsia"/>
          <w:snapToGrid/>
          <w:color w:val="000000"/>
        </w:rPr>
        <w:t>。法令第</w:t>
      </w:r>
      <w:r>
        <w:rPr>
          <w:rFonts w:hint="eastAsia"/>
          <w:snapToGrid/>
          <w:color w:val="000000"/>
        </w:rPr>
        <w:t>11</w:t>
      </w:r>
      <w:r>
        <w:rPr>
          <w:rFonts w:hint="eastAsia"/>
          <w:snapToGrid/>
          <w:color w:val="000000"/>
        </w:rPr>
        <w:t>条也从</w:t>
      </w:r>
      <w:r>
        <w:rPr>
          <w:rFonts w:hint="eastAsia"/>
          <w:snapToGrid/>
          <w:color w:val="000000"/>
        </w:rPr>
        <w:t>1999</w:t>
      </w:r>
      <w:r>
        <w:rPr>
          <w:rFonts w:hint="eastAsia"/>
          <w:snapToGrid/>
          <w:color w:val="000000"/>
        </w:rPr>
        <w:t>年</w:t>
      </w:r>
      <w:r>
        <w:rPr>
          <w:rFonts w:hint="eastAsia"/>
          <w:snapToGrid/>
          <w:color w:val="000000"/>
        </w:rPr>
        <w:t>1</w:t>
      </w:r>
      <w:r>
        <w:rPr>
          <w:rFonts w:hint="eastAsia"/>
          <w:snapToGrid/>
          <w:color w:val="000000"/>
        </w:rPr>
        <w:t>月</w:t>
      </w:r>
      <w:r>
        <w:rPr>
          <w:rFonts w:hint="eastAsia"/>
          <w:snapToGrid/>
          <w:color w:val="000000"/>
        </w:rPr>
        <w:t>1</w:t>
      </w:r>
      <w:r>
        <w:rPr>
          <w:rFonts w:hint="eastAsia"/>
          <w:snapToGrid/>
          <w:color w:val="000000"/>
        </w:rPr>
        <w:t>日起按养恤金种类的不同，而不同程度地增加了遗属最低养恤金数额。法令第</w:t>
      </w:r>
      <w:r>
        <w:rPr>
          <w:rFonts w:hint="eastAsia"/>
          <w:snapToGrid/>
          <w:color w:val="000000"/>
        </w:rPr>
        <w:t>12</w:t>
      </w:r>
      <w:r>
        <w:rPr>
          <w:rFonts w:hint="eastAsia"/>
          <w:snapToGrid/>
          <w:color w:val="000000"/>
        </w:rPr>
        <w:t>条并从</w:t>
      </w:r>
      <w:r>
        <w:rPr>
          <w:rFonts w:hint="eastAsia"/>
          <w:snapToGrid/>
          <w:color w:val="000000"/>
        </w:rPr>
        <w:t>1999</w:t>
      </w:r>
      <w:r>
        <w:rPr>
          <w:rFonts w:hint="eastAsia"/>
          <w:snapToGrid/>
          <w:color w:val="000000"/>
        </w:rPr>
        <w:t>年</w:t>
      </w:r>
      <w:r>
        <w:rPr>
          <w:rFonts w:hint="eastAsia"/>
          <w:snapToGrid/>
          <w:color w:val="000000"/>
        </w:rPr>
        <w:t>10</w:t>
      </w:r>
      <w:r>
        <w:rPr>
          <w:rFonts w:hint="eastAsia"/>
          <w:snapToGrid/>
          <w:color w:val="000000"/>
        </w:rPr>
        <w:t>月</w:t>
      </w:r>
      <w:r>
        <w:rPr>
          <w:rFonts w:hint="eastAsia"/>
          <w:snapToGrid/>
          <w:color w:val="000000"/>
        </w:rPr>
        <w:t>1</w:t>
      </w:r>
      <w:r>
        <w:rPr>
          <w:rFonts w:hint="eastAsia"/>
          <w:snapToGrid/>
          <w:color w:val="000000"/>
        </w:rPr>
        <w:t>日起增加了除最低养恤金数额以外其他养恤金的数额，其数额以养恤金的种类不同而不同；</w:t>
      </w:r>
    </w:p>
    <w:p w:rsidR="00000000" w:rsidRDefault="009C1C61">
      <w:pPr>
        <w:widowControl w:val="0"/>
        <w:numPr>
          <w:ilvl w:val="0"/>
          <w:numId w:val="264"/>
        </w:numPr>
        <w:rPr>
          <w:rFonts w:hint="eastAsia"/>
          <w:snapToGrid/>
          <w:color w:val="000000"/>
        </w:rPr>
      </w:pPr>
      <w:r>
        <w:rPr>
          <w:rFonts w:hint="eastAsia"/>
          <w:snapToGrid/>
          <w:color w:val="000000"/>
        </w:rPr>
        <w:t>1998</w:t>
      </w:r>
      <w:r>
        <w:rPr>
          <w:rFonts w:hint="eastAsia"/>
          <w:snapToGrid/>
          <w:color w:val="000000"/>
        </w:rPr>
        <w:t>年</w:t>
      </w:r>
      <w:r>
        <w:rPr>
          <w:rFonts w:hint="eastAsia"/>
          <w:snapToGrid/>
          <w:color w:val="000000"/>
        </w:rPr>
        <w:t>8</w:t>
      </w:r>
      <w:r>
        <w:rPr>
          <w:rFonts w:hint="eastAsia"/>
          <w:snapToGrid/>
          <w:color w:val="000000"/>
        </w:rPr>
        <w:t>月</w:t>
      </w:r>
      <w:r>
        <w:rPr>
          <w:rFonts w:hint="eastAsia"/>
          <w:snapToGrid/>
          <w:color w:val="000000"/>
        </w:rPr>
        <w:t>31</w:t>
      </w:r>
      <w:r>
        <w:rPr>
          <w:rFonts w:hint="eastAsia"/>
          <w:snapToGrid/>
          <w:color w:val="000000"/>
        </w:rPr>
        <w:t>日第</w:t>
      </w:r>
      <w:r>
        <w:rPr>
          <w:rFonts w:hint="eastAsia"/>
          <w:snapToGrid/>
          <w:color w:val="000000"/>
        </w:rPr>
        <w:t>19,582</w:t>
      </w:r>
      <w:r>
        <w:rPr>
          <w:rFonts w:hint="eastAsia"/>
          <w:snapToGrid/>
          <w:color w:val="000000"/>
        </w:rPr>
        <w:t>号法令，修正了第</w:t>
      </w:r>
      <w:r>
        <w:rPr>
          <w:rFonts w:hint="eastAsia"/>
          <w:snapToGrid/>
          <w:color w:val="000000"/>
        </w:rPr>
        <w:t>19,234</w:t>
      </w:r>
      <w:r>
        <w:rPr>
          <w:rFonts w:hint="eastAsia"/>
          <w:snapToGrid/>
          <w:color w:val="000000"/>
        </w:rPr>
        <w:t>号法令，为得到政治豁免的人士确定了社会保障福利；</w:t>
      </w:r>
    </w:p>
    <w:p w:rsidR="00000000" w:rsidRDefault="009C1C61">
      <w:pPr>
        <w:widowControl w:val="0"/>
        <w:numPr>
          <w:ilvl w:val="0"/>
          <w:numId w:val="264"/>
        </w:numPr>
        <w:rPr>
          <w:rFonts w:hint="eastAsia"/>
          <w:snapToGrid/>
          <w:color w:val="000000"/>
        </w:rPr>
      </w:pPr>
      <w:r>
        <w:rPr>
          <w:rFonts w:hint="eastAsia"/>
          <w:snapToGrid/>
          <w:color w:val="000000"/>
        </w:rPr>
        <w:t>1998</w:t>
      </w:r>
      <w:r>
        <w:rPr>
          <w:rFonts w:hint="eastAsia"/>
          <w:snapToGrid/>
          <w:color w:val="000000"/>
        </w:rPr>
        <w:t>年</w:t>
      </w:r>
      <w:r>
        <w:rPr>
          <w:rFonts w:hint="eastAsia"/>
          <w:snapToGrid/>
          <w:color w:val="000000"/>
        </w:rPr>
        <w:t>11</w:t>
      </w:r>
      <w:r>
        <w:rPr>
          <w:rFonts w:hint="eastAsia"/>
          <w:snapToGrid/>
          <w:color w:val="000000"/>
        </w:rPr>
        <w:t>月</w:t>
      </w:r>
      <w:r>
        <w:rPr>
          <w:rFonts w:hint="eastAsia"/>
          <w:snapToGrid/>
          <w:color w:val="000000"/>
        </w:rPr>
        <w:t>9</w:t>
      </w:r>
      <w:r>
        <w:rPr>
          <w:rFonts w:hint="eastAsia"/>
          <w:snapToGrid/>
          <w:color w:val="000000"/>
        </w:rPr>
        <w:t>日第</w:t>
      </w:r>
      <w:r>
        <w:rPr>
          <w:rFonts w:hint="eastAsia"/>
          <w:snapToGrid/>
          <w:color w:val="000000"/>
        </w:rPr>
        <w:t>19,591</w:t>
      </w:r>
      <w:r>
        <w:rPr>
          <w:rFonts w:hint="eastAsia"/>
          <w:snapToGrid/>
          <w:color w:val="000000"/>
        </w:rPr>
        <w:t>号法令</w:t>
      </w:r>
      <w:r>
        <w:rPr>
          <w:rFonts w:hint="eastAsia"/>
          <w:snapToGrid/>
          <w:color w:val="000000"/>
        </w:rPr>
        <w:t>，修正了《劳工法》第</w:t>
      </w:r>
      <w:r>
        <w:rPr>
          <w:rFonts w:hint="eastAsia"/>
          <w:snapToGrid/>
          <w:color w:val="000000"/>
        </w:rPr>
        <w:t>194</w:t>
      </w:r>
      <w:r>
        <w:rPr>
          <w:rFonts w:hint="eastAsia"/>
          <w:snapToGrid/>
          <w:color w:val="000000"/>
        </w:rPr>
        <w:t>条，规定任何雇主都不得将怀孕化验作为征聘或继续聘用妇女的条件；</w:t>
      </w:r>
    </w:p>
    <w:p w:rsidR="00000000" w:rsidRDefault="009C1C61">
      <w:pPr>
        <w:widowControl w:val="0"/>
        <w:numPr>
          <w:ilvl w:val="0"/>
          <w:numId w:val="264"/>
        </w:numPr>
        <w:rPr>
          <w:rFonts w:hint="eastAsia"/>
          <w:snapToGrid/>
          <w:color w:val="000000"/>
        </w:rPr>
      </w:pPr>
      <w:r>
        <w:rPr>
          <w:rFonts w:hint="eastAsia"/>
          <w:snapToGrid/>
          <w:color w:val="000000"/>
        </w:rPr>
        <w:t>1999</w:t>
      </w:r>
      <w:r>
        <w:rPr>
          <w:rFonts w:hint="eastAsia"/>
          <w:snapToGrid/>
          <w:color w:val="000000"/>
        </w:rPr>
        <w:t>年</w:t>
      </w:r>
      <w:r>
        <w:rPr>
          <w:rFonts w:hint="eastAsia"/>
          <w:snapToGrid/>
          <w:color w:val="000000"/>
        </w:rPr>
        <w:t>9</w:t>
      </w:r>
      <w:r>
        <w:rPr>
          <w:rFonts w:hint="eastAsia"/>
          <w:snapToGrid/>
          <w:color w:val="000000"/>
        </w:rPr>
        <w:t>月</w:t>
      </w:r>
      <w:r>
        <w:rPr>
          <w:rFonts w:hint="eastAsia"/>
          <w:snapToGrid/>
          <w:color w:val="000000"/>
        </w:rPr>
        <w:t>18</w:t>
      </w:r>
      <w:r>
        <w:rPr>
          <w:rFonts w:hint="eastAsia"/>
          <w:snapToGrid/>
          <w:color w:val="000000"/>
        </w:rPr>
        <w:t>日第</w:t>
      </w:r>
      <w:r>
        <w:rPr>
          <w:rFonts w:hint="eastAsia"/>
          <w:snapToGrid/>
          <w:color w:val="000000"/>
        </w:rPr>
        <w:t>19,631</w:t>
      </w:r>
      <w:r>
        <w:rPr>
          <w:rFonts w:hint="eastAsia"/>
          <w:snapToGrid/>
          <w:color w:val="000000"/>
        </w:rPr>
        <w:t>号法令，规定雇主终止雇用的条件是必须付清应由雇主偿付的全部未付社会保障费；</w:t>
      </w:r>
    </w:p>
    <w:p w:rsidR="00000000" w:rsidRDefault="009C1C61">
      <w:pPr>
        <w:widowControl w:val="0"/>
        <w:numPr>
          <w:ilvl w:val="0"/>
          <w:numId w:val="264"/>
        </w:numPr>
        <w:rPr>
          <w:rFonts w:hint="eastAsia"/>
          <w:snapToGrid/>
          <w:color w:val="000000"/>
        </w:rPr>
      </w:pPr>
      <w:r>
        <w:rPr>
          <w:rFonts w:hint="eastAsia"/>
          <w:snapToGrid/>
          <w:color w:val="000000"/>
        </w:rPr>
        <w:t>1999</w:t>
      </w:r>
      <w:r>
        <w:rPr>
          <w:rFonts w:hint="eastAsia"/>
          <w:snapToGrid/>
          <w:color w:val="000000"/>
        </w:rPr>
        <w:t>年</w:t>
      </w:r>
      <w:r>
        <w:rPr>
          <w:rFonts w:hint="eastAsia"/>
          <w:snapToGrid/>
          <w:color w:val="000000"/>
        </w:rPr>
        <w:t>12</w:t>
      </w:r>
      <w:r>
        <w:rPr>
          <w:rFonts w:hint="eastAsia"/>
          <w:snapToGrid/>
          <w:color w:val="000000"/>
        </w:rPr>
        <w:t>月</w:t>
      </w:r>
      <w:r>
        <w:rPr>
          <w:rFonts w:hint="eastAsia"/>
          <w:snapToGrid/>
          <w:color w:val="000000"/>
        </w:rPr>
        <w:t>24</w:t>
      </w:r>
      <w:r>
        <w:rPr>
          <w:rFonts w:hint="eastAsia"/>
          <w:snapToGrid/>
          <w:color w:val="000000"/>
        </w:rPr>
        <w:t>日第</w:t>
      </w:r>
      <w:r>
        <w:rPr>
          <w:rFonts w:hint="eastAsia"/>
          <w:snapToGrid/>
          <w:color w:val="000000"/>
        </w:rPr>
        <w:t>19,650</w:t>
      </w:r>
      <w:r>
        <w:rPr>
          <w:rFonts w:hint="eastAsia"/>
          <w:snapToGrid/>
          <w:color w:val="000000"/>
        </w:rPr>
        <w:t>号法令，改革了一些有关健康的条款，其中包括第</w:t>
      </w:r>
      <w:r>
        <w:rPr>
          <w:rFonts w:hint="eastAsia"/>
          <w:snapToGrid/>
          <w:color w:val="000000"/>
        </w:rPr>
        <w:t>18,469</w:t>
      </w:r>
      <w:r>
        <w:rPr>
          <w:rFonts w:hint="eastAsia"/>
          <w:snapToGrid/>
          <w:color w:val="000000"/>
        </w:rPr>
        <w:t>号法令的一些规则、</w:t>
      </w:r>
      <w:r>
        <w:rPr>
          <w:rFonts w:hint="eastAsia"/>
          <w:snapToGrid/>
          <w:color w:val="000000"/>
        </w:rPr>
        <w:t>1979</w:t>
      </w:r>
      <w:r>
        <w:rPr>
          <w:rFonts w:hint="eastAsia"/>
          <w:snapToGrid/>
          <w:color w:val="000000"/>
        </w:rPr>
        <w:t>年第</w:t>
      </w:r>
      <w:r>
        <w:rPr>
          <w:rFonts w:hint="eastAsia"/>
          <w:snapToGrid/>
          <w:color w:val="000000"/>
        </w:rPr>
        <w:t>3,753</w:t>
      </w:r>
      <w:r>
        <w:rPr>
          <w:rFonts w:hint="eastAsia"/>
          <w:snapToGrid/>
          <w:color w:val="000000"/>
        </w:rPr>
        <w:t>号政令法</w:t>
      </w:r>
      <w:r>
        <w:rPr>
          <w:rFonts w:hint="eastAsia"/>
          <w:snapToGrid/>
          <w:color w:val="000000"/>
        </w:rPr>
        <w:t>(</w:t>
      </w:r>
      <w:r>
        <w:rPr>
          <w:rFonts w:hint="eastAsia"/>
          <w:snapToGrid/>
          <w:color w:val="000000"/>
        </w:rPr>
        <w:t>该法令建立了国家保健服务体系</w:t>
      </w:r>
      <w:r>
        <w:rPr>
          <w:rFonts w:hint="eastAsia"/>
          <w:snapToGrid/>
          <w:color w:val="000000"/>
        </w:rPr>
        <w:t>)</w:t>
      </w:r>
      <w:r>
        <w:rPr>
          <w:rFonts w:hint="eastAsia"/>
          <w:snapToGrid/>
          <w:color w:val="000000"/>
        </w:rPr>
        <w:t>及第</w:t>
      </w:r>
      <w:r>
        <w:rPr>
          <w:rFonts w:hint="eastAsia"/>
          <w:snapToGrid/>
          <w:color w:val="000000"/>
        </w:rPr>
        <w:t>18933</w:t>
      </w:r>
      <w:r>
        <w:rPr>
          <w:rFonts w:hint="eastAsia"/>
          <w:snapToGrid/>
          <w:color w:val="000000"/>
        </w:rPr>
        <w:t>号法令，对健康保险机构作了规定。这些修正案旨在帮助享受福利的人取得必须由公共和私营保健机构提供的医疗服务；</w:t>
      </w:r>
    </w:p>
    <w:p w:rsidR="00000000" w:rsidRDefault="009C1C61">
      <w:pPr>
        <w:widowControl w:val="0"/>
        <w:numPr>
          <w:ilvl w:val="0"/>
          <w:numId w:val="264"/>
        </w:numPr>
        <w:rPr>
          <w:rFonts w:hint="eastAsia"/>
          <w:snapToGrid/>
          <w:color w:val="000000"/>
        </w:rPr>
      </w:pPr>
      <w:r>
        <w:rPr>
          <w:rFonts w:hint="eastAsia"/>
          <w:snapToGrid/>
          <w:color w:val="000000"/>
        </w:rPr>
        <w:t>2001</w:t>
      </w:r>
      <w:r>
        <w:rPr>
          <w:rFonts w:hint="eastAsia"/>
          <w:snapToGrid/>
          <w:color w:val="000000"/>
        </w:rPr>
        <w:t>年</w:t>
      </w:r>
      <w:r>
        <w:rPr>
          <w:rFonts w:hint="eastAsia"/>
          <w:snapToGrid/>
          <w:color w:val="000000"/>
        </w:rPr>
        <w:t>4</w:t>
      </w:r>
      <w:r>
        <w:rPr>
          <w:rFonts w:hint="eastAsia"/>
          <w:snapToGrid/>
          <w:color w:val="000000"/>
        </w:rPr>
        <w:t>月</w:t>
      </w:r>
      <w:r>
        <w:rPr>
          <w:rFonts w:hint="eastAsia"/>
          <w:snapToGrid/>
          <w:color w:val="000000"/>
        </w:rPr>
        <w:t>7</w:t>
      </w:r>
      <w:r>
        <w:rPr>
          <w:rFonts w:hint="eastAsia"/>
          <w:snapToGrid/>
          <w:color w:val="000000"/>
        </w:rPr>
        <w:t>日</w:t>
      </w:r>
      <w:r>
        <w:rPr>
          <w:rFonts w:hint="eastAsia"/>
          <w:snapToGrid/>
          <w:color w:val="000000"/>
        </w:rPr>
        <w:t>第</w:t>
      </w:r>
      <w:r>
        <w:rPr>
          <w:rFonts w:hint="eastAsia"/>
          <w:snapToGrid/>
          <w:color w:val="000000"/>
        </w:rPr>
        <w:t>19,720</w:t>
      </w:r>
      <w:r>
        <w:rPr>
          <w:rFonts w:hint="eastAsia"/>
          <w:snapToGrid/>
          <w:color w:val="000000"/>
        </w:rPr>
        <w:t>号法令，规定只授予社会保障机构缔结关于雇主所欠的社会保障费的支付协议的权限；</w:t>
      </w:r>
    </w:p>
    <w:p w:rsidR="00000000" w:rsidRDefault="009C1C61">
      <w:pPr>
        <w:widowControl w:val="0"/>
        <w:numPr>
          <w:ilvl w:val="0"/>
          <w:numId w:val="264"/>
        </w:numPr>
        <w:rPr>
          <w:rFonts w:hint="eastAsia"/>
          <w:snapToGrid/>
          <w:color w:val="000000"/>
        </w:rPr>
      </w:pPr>
      <w:r>
        <w:rPr>
          <w:rFonts w:hint="eastAsia"/>
          <w:snapToGrid/>
          <w:color w:val="000000"/>
        </w:rPr>
        <w:t>2001</w:t>
      </w:r>
      <w:r>
        <w:rPr>
          <w:rFonts w:hint="eastAsia"/>
          <w:snapToGrid/>
          <w:color w:val="000000"/>
        </w:rPr>
        <w:t>年</w:t>
      </w:r>
      <w:r>
        <w:rPr>
          <w:rFonts w:hint="eastAsia"/>
          <w:snapToGrid/>
          <w:color w:val="000000"/>
        </w:rPr>
        <w:t>5</w:t>
      </w:r>
      <w:r>
        <w:rPr>
          <w:rFonts w:hint="eastAsia"/>
          <w:snapToGrid/>
          <w:color w:val="000000"/>
        </w:rPr>
        <w:t>月</w:t>
      </w:r>
      <w:r>
        <w:rPr>
          <w:rFonts w:hint="eastAsia"/>
          <w:snapToGrid/>
          <w:color w:val="000000"/>
        </w:rPr>
        <w:t>14</w:t>
      </w:r>
      <w:r>
        <w:rPr>
          <w:rFonts w:hint="eastAsia"/>
          <w:snapToGrid/>
          <w:color w:val="000000"/>
        </w:rPr>
        <w:t>日第</w:t>
      </w:r>
      <w:r>
        <w:rPr>
          <w:rFonts w:hint="eastAsia"/>
          <w:snapToGrid/>
          <w:color w:val="000000"/>
        </w:rPr>
        <w:t>19,728</w:t>
      </w:r>
      <w:r>
        <w:rPr>
          <w:rFonts w:hint="eastAsia"/>
          <w:snapToGrid/>
          <w:color w:val="000000"/>
        </w:rPr>
        <w:t>号法令，确定了失业保险，并通过设立一项个人帐户，记在工作人员名下，并积累雇主和工作人员每月所偿付的金额，以此来保护受到裁员阶段影响的工作人员。这笔资金可以在裁员阶段的最初</w:t>
      </w:r>
      <w:r>
        <w:rPr>
          <w:rFonts w:hint="eastAsia"/>
          <w:snapToGrid/>
          <w:color w:val="000000"/>
        </w:rPr>
        <w:t>5</w:t>
      </w:r>
      <w:r>
        <w:rPr>
          <w:rFonts w:hint="eastAsia"/>
          <w:snapToGrid/>
          <w:color w:val="000000"/>
        </w:rPr>
        <w:t>个月内转帐。对于低收入的工作人员，国家提供了一项互助基金，在工人的存款不足以偿付其有权转帐的每月数额之时对工作人员的储蓄金提供补偿；</w:t>
      </w:r>
    </w:p>
    <w:p w:rsidR="00000000" w:rsidRDefault="009C1C61">
      <w:pPr>
        <w:numPr>
          <w:ilvl w:val="0"/>
          <w:numId w:val="264"/>
        </w:numPr>
        <w:rPr>
          <w:rFonts w:hint="eastAsia"/>
          <w:snapToGrid/>
          <w:color w:val="000000"/>
        </w:rPr>
      </w:pPr>
      <w:r>
        <w:rPr>
          <w:rFonts w:hint="eastAsia"/>
          <w:snapToGrid/>
          <w:color w:val="000000"/>
        </w:rPr>
        <w:t>2001</w:t>
      </w:r>
      <w:r>
        <w:rPr>
          <w:rFonts w:hint="eastAsia"/>
          <w:snapToGrid/>
          <w:color w:val="000000"/>
        </w:rPr>
        <w:t>年</w:t>
      </w:r>
      <w:r>
        <w:rPr>
          <w:rFonts w:hint="eastAsia"/>
          <w:snapToGrid/>
          <w:color w:val="000000"/>
        </w:rPr>
        <w:t>5</w:t>
      </w:r>
      <w:r>
        <w:rPr>
          <w:rFonts w:hint="eastAsia"/>
          <w:snapToGrid/>
          <w:color w:val="000000"/>
        </w:rPr>
        <w:t>月</w:t>
      </w:r>
      <w:r>
        <w:rPr>
          <w:rFonts w:hint="eastAsia"/>
          <w:snapToGrid/>
          <w:color w:val="000000"/>
        </w:rPr>
        <w:t>31</w:t>
      </w:r>
      <w:r>
        <w:rPr>
          <w:rFonts w:hint="eastAsia"/>
          <w:snapToGrid/>
          <w:color w:val="000000"/>
        </w:rPr>
        <w:t>日第</w:t>
      </w:r>
      <w:r>
        <w:rPr>
          <w:rFonts w:hint="eastAsia"/>
          <w:snapToGrid/>
          <w:color w:val="000000"/>
        </w:rPr>
        <w:t>19,729</w:t>
      </w:r>
      <w:r>
        <w:rPr>
          <w:rFonts w:hint="eastAsia"/>
          <w:snapToGrid/>
          <w:color w:val="000000"/>
        </w:rPr>
        <w:t>号法令，调整了每月最低工资的数额，对于</w:t>
      </w:r>
      <w:r>
        <w:rPr>
          <w:rFonts w:hint="eastAsia"/>
          <w:snapToGrid/>
          <w:color w:val="000000"/>
        </w:rPr>
        <w:t>18</w:t>
      </w:r>
      <w:r>
        <w:rPr>
          <w:rFonts w:hint="eastAsia"/>
          <w:snapToGrid/>
          <w:color w:val="000000"/>
        </w:rPr>
        <w:t>岁以</w:t>
      </w:r>
      <w:r>
        <w:rPr>
          <w:rFonts w:hint="eastAsia"/>
          <w:snapToGrid/>
          <w:color w:val="000000"/>
        </w:rPr>
        <w:t>上的工作人员规定其最低工资为</w:t>
      </w:r>
      <w:r>
        <w:rPr>
          <w:rFonts w:hint="eastAsia"/>
          <w:snapToGrid/>
          <w:color w:val="000000"/>
        </w:rPr>
        <w:t>105,500</w:t>
      </w:r>
      <w:r>
        <w:rPr>
          <w:rFonts w:hint="eastAsia"/>
          <w:snapToGrid/>
          <w:color w:val="000000"/>
        </w:rPr>
        <w:t>比索</w:t>
      </w:r>
      <w:r>
        <w:rPr>
          <w:rFonts w:hint="eastAsia"/>
          <w:snapToGrid/>
          <w:color w:val="000000"/>
        </w:rPr>
        <w:t>(174</w:t>
      </w:r>
      <w:r>
        <w:rPr>
          <w:rFonts w:hint="eastAsia"/>
          <w:snapToGrid/>
          <w:color w:val="000000"/>
        </w:rPr>
        <w:t>美元</w:t>
      </w:r>
      <w:r>
        <w:rPr>
          <w:rFonts w:hint="eastAsia"/>
          <w:snapToGrid/>
          <w:color w:val="000000"/>
        </w:rPr>
        <w:t>)</w:t>
      </w:r>
      <w:r>
        <w:rPr>
          <w:rFonts w:hint="eastAsia"/>
          <w:snapToGrid/>
          <w:color w:val="000000"/>
        </w:rPr>
        <w:t>。在额外情况下，低于</w:t>
      </w:r>
      <w:r>
        <w:rPr>
          <w:rFonts w:hint="eastAsia"/>
          <w:snapToGrid/>
          <w:color w:val="000000"/>
        </w:rPr>
        <w:t>18</w:t>
      </w:r>
      <w:r>
        <w:rPr>
          <w:rFonts w:hint="eastAsia"/>
          <w:snapToGrid/>
          <w:color w:val="000000"/>
        </w:rPr>
        <w:t>岁或超过</w:t>
      </w:r>
      <w:r>
        <w:rPr>
          <w:rFonts w:hint="eastAsia"/>
          <w:snapToGrid/>
          <w:color w:val="000000"/>
        </w:rPr>
        <w:t>65</w:t>
      </w:r>
      <w:r>
        <w:rPr>
          <w:rFonts w:hint="eastAsia"/>
          <w:snapToGrid/>
          <w:color w:val="000000"/>
        </w:rPr>
        <w:t>岁的工作人员所取得的最低工资为</w:t>
      </w:r>
      <w:r>
        <w:rPr>
          <w:rFonts w:hint="eastAsia"/>
          <w:snapToGrid/>
          <w:color w:val="000000"/>
        </w:rPr>
        <w:t>81,661</w:t>
      </w:r>
      <w:r>
        <w:rPr>
          <w:rFonts w:hint="eastAsia"/>
          <w:snapToGrid/>
          <w:color w:val="000000"/>
        </w:rPr>
        <w:t>比索</w:t>
      </w:r>
      <w:r>
        <w:rPr>
          <w:rFonts w:hint="eastAsia"/>
          <w:snapToGrid/>
          <w:color w:val="000000"/>
        </w:rPr>
        <w:t>(135</w:t>
      </w:r>
      <w:r>
        <w:rPr>
          <w:rFonts w:hint="eastAsia"/>
          <w:snapToGrid/>
          <w:color w:val="000000"/>
        </w:rPr>
        <w:t>美元</w:t>
      </w:r>
      <w:r>
        <w:rPr>
          <w:rFonts w:hint="eastAsia"/>
          <w:snapToGrid/>
          <w:color w:val="000000"/>
        </w:rPr>
        <w:t>)</w:t>
      </w:r>
      <w:r>
        <w:rPr>
          <w:rFonts w:hint="eastAsia"/>
          <w:snapToGrid/>
          <w:color w:val="000000"/>
        </w:rPr>
        <w:t>。不算作薪金的每月收入增加到</w:t>
      </w:r>
      <w:r>
        <w:rPr>
          <w:rFonts w:hint="eastAsia"/>
          <w:snapToGrid/>
          <w:color w:val="000000"/>
        </w:rPr>
        <w:t>70,526</w:t>
      </w:r>
      <w:r>
        <w:rPr>
          <w:rFonts w:hint="eastAsia"/>
          <w:snapToGrid/>
          <w:color w:val="000000"/>
        </w:rPr>
        <w:t>比索</w:t>
      </w:r>
      <w:r>
        <w:rPr>
          <w:rFonts w:hint="eastAsia"/>
          <w:snapToGrid/>
          <w:color w:val="000000"/>
        </w:rPr>
        <w:t>(116</w:t>
      </w:r>
      <w:r>
        <w:rPr>
          <w:rFonts w:hint="eastAsia"/>
          <w:snapToGrid/>
          <w:color w:val="000000"/>
        </w:rPr>
        <w:t>美元</w:t>
      </w:r>
      <w:r>
        <w:rPr>
          <w:rFonts w:hint="eastAsia"/>
          <w:snapToGrid/>
          <w:color w:val="000000"/>
        </w:rPr>
        <w:t>)</w:t>
      </w:r>
      <w:r>
        <w:rPr>
          <w:rFonts w:hint="eastAsia"/>
          <w:snapToGrid/>
          <w:color w:val="000000"/>
        </w:rPr>
        <w:t>；</w:t>
      </w:r>
    </w:p>
    <w:p w:rsidR="00000000" w:rsidRDefault="009C1C61">
      <w:pPr>
        <w:widowControl w:val="0"/>
        <w:numPr>
          <w:ilvl w:val="0"/>
          <w:numId w:val="264"/>
        </w:numPr>
        <w:rPr>
          <w:rFonts w:hint="eastAsia"/>
          <w:snapToGrid/>
          <w:color w:val="000000"/>
          <w:spacing w:val="8"/>
        </w:rPr>
      </w:pPr>
      <w:r>
        <w:rPr>
          <w:rFonts w:hint="eastAsia"/>
          <w:snapToGrid/>
          <w:color w:val="000000"/>
          <w:spacing w:val="8"/>
        </w:rPr>
        <w:t>2001</w:t>
      </w:r>
      <w:r>
        <w:rPr>
          <w:rFonts w:hint="eastAsia"/>
          <w:snapToGrid/>
          <w:color w:val="000000"/>
          <w:spacing w:val="8"/>
        </w:rPr>
        <w:t>年</w:t>
      </w:r>
      <w:r>
        <w:rPr>
          <w:rFonts w:hint="eastAsia"/>
          <w:snapToGrid/>
          <w:color w:val="000000"/>
          <w:spacing w:val="8"/>
        </w:rPr>
        <w:t>6</w:t>
      </w:r>
      <w:r>
        <w:rPr>
          <w:rFonts w:hint="eastAsia"/>
          <w:snapToGrid/>
          <w:color w:val="000000"/>
          <w:spacing w:val="8"/>
        </w:rPr>
        <w:t>月</w:t>
      </w:r>
      <w:r>
        <w:rPr>
          <w:rFonts w:hint="eastAsia"/>
          <w:snapToGrid/>
          <w:color w:val="000000"/>
          <w:spacing w:val="8"/>
        </w:rPr>
        <w:t>6</w:t>
      </w:r>
      <w:r>
        <w:rPr>
          <w:rFonts w:hint="eastAsia"/>
          <w:snapToGrid/>
          <w:color w:val="000000"/>
          <w:spacing w:val="8"/>
        </w:rPr>
        <w:t>日第</w:t>
      </w:r>
      <w:r>
        <w:rPr>
          <w:rFonts w:hint="eastAsia"/>
          <w:snapToGrid/>
          <w:color w:val="000000"/>
          <w:spacing w:val="8"/>
        </w:rPr>
        <w:t>19,732</w:t>
      </w:r>
      <w:r>
        <w:rPr>
          <w:rFonts w:hint="eastAsia"/>
          <w:snapToGrid/>
          <w:color w:val="000000"/>
          <w:spacing w:val="8"/>
        </w:rPr>
        <w:t>号法令，该法令的唯一一条规定取消了第</w:t>
      </w:r>
      <w:r>
        <w:rPr>
          <w:rFonts w:hint="eastAsia"/>
          <w:snapToGrid/>
          <w:color w:val="000000"/>
          <w:spacing w:val="8"/>
        </w:rPr>
        <w:t>18,754</w:t>
      </w:r>
      <w:r>
        <w:rPr>
          <w:rFonts w:hint="eastAsia"/>
          <w:snapToGrid/>
          <w:color w:val="000000"/>
          <w:spacing w:val="8"/>
        </w:rPr>
        <w:t>号法令第</w:t>
      </w:r>
      <w:r>
        <w:rPr>
          <w:rFonts w:hint="eastAsia"/>
          <w:snapToGrid/>
          <w:color w:val="000000"/>
          <w:spacing w:val="8"/>
        </w:rPr>
        <w:t>2</w:t>
      </w:r>
      <w:r>
        <w:rPr>
          <w:rFonts w:hint="eastAsia"/>
          <w:snapToGrid/>
          <w:color w:val="000000"/>
          <w:spacing w:val="8"/>
        </w:rPr>
        <w:t>条所述的由养恤金领取人支付养恤基金保费的规定；</w:t>
      </w:r>
    </w:p>
    <w:p w:rsidR="00000000" w:rsidRDefault="009C1C61">
      <w:pPr>
        <w:widowControl w:val="0"/>
        <w:numPr>
          <w:ilvl w:val="0"/>
          <w:numId w:val="264"/>
        </w:numPr>
        <w:rPr>
          <w:rFonts w:hint="eastAsia"/>
          <w:snapToGrid/>
          <w:color w:val="000000"/>
        </w:rPr>
      </w:pPr>
      <w:r>
        <w:rPr>
          <w:rFonts w:hint="eastAsia"/>
          <w:snapToGrid/>
          <w:color w:val="000000"/>
        </w:rPr>
        <w:t>2001</w:t>
      </w:r>
      <w:r>
        <w:rPr>
          <w:rFonts w:hint="eastAsia"/>
          <w:snapToGrid/>
          <w:color w:val="000000"/>
        </w:rPr>
        <w:t>年</w:t>
      </w:r>
      <w:r>
        <w:rPr>
          <w:rFonts w:hint="eastAsia"/>
          <w:snapToGrid/>
          <w:color w:val="000000"/>
        </w:rPr>
        <w:t>10</w:t>
      </w:r>
      <w:r>
        <w:rPr>
          <w:rFonts w:hint="eastAsia"/>
          <w:snapToGrid/>
          <w:color w:val="000000"/>
        </w:rPr>
        <w:t>月</w:t>
      </w:r>
      <w:r>
        <w:rPr>
          <w:rFonts w:hint="eastAsia"/>
          <w:snapToGrid/>
          <w:color w:val="000000"/>
        </w:rPr>
        <w:t>7</w:t>
      </w:r>
      <w:r>
        <w:rPr>
          <w:rFonts w:hint="eastAsia"/>
          <w:snapToGrid/>
          <w:color w:val="000000"/>
        </w:rPr>
        <w:t>日第</w:t>
      </w:r>
      <w:r>
        <w:rPr>
          <w:rFonts w:hint="eastAsia"/>
          <w:snapToGrid/>
          <w:color w:val="000000"/>
        </w:rPr>
        <w:t>19,768</w:t>
      </w:r>
      <w:r>
        <w:rPr>
          <w:rFonts w:hint="eastAsia"/>
          <w:snapToGrid/>
          <w:color w:val="000000"/>
        </w:rPr>
        <w:t>号法令，使自愿节约储蓄机制更为灵活。这项法令使领取人除了交纳法定保费之外还可以在养恤基金管理公司</w:t>
      </w:r>
      <w:r>
        <w:rPr>
          <w:rFonts w:hint="eastAsia"/>
          <w:snapToGrid/>
          <w:color w:val="000000"/>
        </w:rPr>
        <w:t>(</w:t>
      </w:r>
      <w:r>
        <w:rPr>
          <w:rFonts w:hint="eastAsia"/>
          <w:snapToGrid/>
          <w:color w:val="000000"/>
        </w:rPr>
        <w:t>养管公司</w:t>
      </w:r>
      <w:r>
        <w:rPr>
          <w:rFonts w:hint="eastAsia"/>
          <w:snapToGrid/>
          <w:color w:val="000000"/>
        </w:rPr>
        <w:t>)</w:t>
      </w:r>
      <w:r>
        <w:rPr>
          <w:rFonts w:hint="eastAsia"/>
          <w:snapToGrid/>
          <w:color w:val="000000"/>
        </w:rPr>
        <w:t>之外的其他机构</w:t>
      </w:r>
      <w:r>
        <w:rPr>
          <w:rFonts w:hint="eastAsia"/>
          <w:snapToGrid/>
          <w:color w:val="000000"/>
        </w:rPr>
        <w:t>，诸如保险公司和银行等加入节约储蓄计划，以便取得更高的收益，因而增加受保人的养恤金。</w:t>
      </w:r>
    </w:p>
    <w:p w:rsidR="00000000" w:rsidRDefault="009C1C61">
      <w:pPr>
        <w:widowControl w:val="0"/>
        <w:numPr>
          <w:ilvl w:val="0"/>
          <w:numId w:val="264"/>
        </w:numPr>
        <w:spacing w:after="320"/>
        <w:rPr>
          <w:rFonts w:hint="eastAsia"/>
          <w:snapToGrid/>
          <w:color w:val="000000"/>
          <w:szCs w:val="24"/>
          <w:lang w:val="zh-CN"/>
        </w:rPr>
      </w:pPr>
      <w:r>
        <w:rPr>
          <w:rFonts w:hint="eastAsia"/>
          <w:snapToGrid/>
          <w:color w:val="000000"/>
        </w:rPr>
        <w:t>2001</w:t>
      </w:r>
      <w:r>
        <w:rPr>
          <w:rFonts w:hint="eastAsia"/>
          <w:snapToGrid/>
          <w:color w:val="000000"/>
        </w:rPr>
        <w:t>年</w:t>
      </w:r>
      <w:r>
        <w:rPr>
          <w:rFonts w:hint="eastAsia"/>
          <w:snapToGrid/>
          <w:color w:val="000000"/>
        </w:rPr>
        <w:t>11</w:t>
      </w:r>
      <w:r>
        <w:rPr>
          <w:rFonts w:hint="eastAsia"/>
          <w:snapToGrid/>
          <w:color w:val="000000"/>
        </w:rPr>
        <w:t>月</w:t>
      </w:r>
      <w:r>
        <w:rPr>
          <w:rFonts w:hint="eastAsia"/>
          <w:snapToGrid/>
          <w:color w:val="000000"/>
        </w:rPr>
        <w:t>30</w:t>
      </w:r>
      <w:r>
        <w:rPr>
          <w:rFonts w:hint="eastAsia"/>
          <w:snapToGrid/>
          <w:color w:val="000000"/>
        </w:rPr>
        <w:t>日第</w:t>
      </w:r>
      <w:r>
        <w:rPr>
          <w:rFonts w:hint="eastAsia"/>
          <w:snapToGrid/>
          <w:color w:val="000000"/>
        </w:rPr>
        <w:t>19,775</w:t>
      </w:r>
      <w:r>
        <w:rPr>
          <w:rFonts w:hint="eastAsia"/>
          <w:snapToGrid/>
          <w:color w:val="000000"/>
        </w:rPr>
        <w:t>号法令，该法令提高公共部门工作人员的收入，首次规定发放奖金，调整家属和产妇津贴，允许提供某些其他福利。</w:t>
      </w:r>
    </w:p>
    <w:p w:rsidR="00000000" w:rsidRDefault="009C1C61">
      <w:pPr>
        <w:pStyle w:val="Heading3"/>
        <w:spacing w:before="300"/>
        <w:rPr>
          <w:rFonts w:hint="eastAsia"/>
          <w:color w:val="000000"/>
          <w:szCs w:val="24"/>
        </w:rPr>
      </w:pPr>
      <w:r>
        <w:rPr>
          <w:rFonts w:hint="eastAsia"/>
          <w:lang w:val="zh-CN"/>
        </w:rPr>
        <w:t>第</w:t>
      </w:r>
      <w:r>
        <w:rPr>
          <w:rFonts w:hint="eastAsia"/>
          <w:lang w:val="zh-CN"/>
        </w:rPr>
        <w:t xml:space="preserve"> </w:t>
      </w:r>
      <w:r>
        <w:rPr>
          <w:rFonts w:hint="eastAsia"/>
          <w:b/>
          <w:bCs/>
          <w:lang w:val="zh-CN"/>
        </w:rPr>
        <w:t>十</w:t>
      </w:r>
      <w:r>
        <w:rPr>
          <w:rFonts w:hint="eastAsia"/>
          <w:b/>
          <w:bCs/>
        </w:rPr>
        <w:t xml:space="preserve"> </w:t>
      </w:r>
      <w:r>
        <w:rPr>
          <w:rFonts w:hint="eastAsia"/>
          <w:lang w:val="zh-CN"/>
        </w:rPr>
        <w:t>条</w:t>
      </w:r>
    </w:p>
    <w:p w:rsidR="00000000" w:rsidRDefault="009C1C61">
      <w:pPr>
        <w:pStyle w:val="Heading3"/>
        <w:rPr>
          <w:rFonts w:hint="eastAsia"/>
          <w:color w:val="000000"/>
          <w:szCs w:val="24"/>
        </w:rPr>
      </w:pPr>
      <w:r>
        <w:rPr>
          <w:rFonts w:hint="eastAsia"/>
        </w:rPr>
        <w:t>对家庭、母亲与儿童的保护</w:t>
      </w:r>
    </w:p>
    <w:p w:rsidR="00000000" w:rsidRDefault="009C1C61">
      <w:pPr>
        <w:widowControl w:val="0"/>
        <w:overflowPunct/>
        <w:autoSpaceDE w:val="0"/>
        <w:autoSpaceDN w:val="0"/>
        <w:snapToGrid/>
        <w:spacing w:after="320"/>
        <w:jc w:val="left"/>
        <w:rPr>
          <w:rFonts w:hint="eastAsia"/>
          <w:snapToGrid/>
          <w:color w:val="000000"/>
          <w:szCs w:val="24"/>
        </w:rPr>
      </w:pPr>
      <w:r>
        <w:rPr>
          <w:rFonts w:hint="eastAsia"/>
          <w:b/>
          <w:bCs/>
          <w:snapToGrid/>
          <w:color w:val="000000"/>
          <w:szCs w:val="24"/>
        </w:rPr>
        <w:t>家庭的概念</w:t>
      </w:r>
    </w:p>
    <w:p w:rsidR="00000000" w:rsidRDefault="009C1C61">
      <w:pPr>
        <w:rPr>
          <w:rFonts w:hint="eastAsia"/>
          <w:snapToGrid/>
          <w:color w:val="000000"/>
          <w:szCs w:val="24"/>
        </w:rPr>
      </w:pPr>
      <w:r>
        <w:rPr>
          <w:rFonts w:hint="eastAsia"/>
          <w:snapToGrid/>
        </w:rPr>
        <w:tab/>
      </w:r>
      <w:r>
        <w:rPr>
          <w:snapToGrid/>
        </w:rPr>
        <w:t>381.</w:t>
      </w:r>
      <w:r>
        <w:rPr>
          <w:rFonts w:hint="eastAsia"/>
          <w:snapToGrid/>
        </w:rPr>
        <w:t xml:space="preserve">  </w:t>
      </w:r>
      <w:r>
        <w:rPr>
          <w:snapToGrid/>
        </w:rPr>
        <w:t>1990</w:t>
      </w:r>
      <w:r>
        <w:rPr>
          <w:rFonts w:hint="eastAsia"/>
          <w:snapToGrid/>
        </w:rPr>
        <w:t>年代，智利社会开始对是否有必要界定智利社会所存在的不同类型的家庭而展开了意义深远的辩论。在帕特里西奥·艾尔文先生的政府主持下，</w:t>
      </w:r>
      <w:r>
        <w:rPr>
          <w:snapToGrid/>
        </w:rPr>
        <w:t>1990</w:t>
      </w:r>
      <w:r>
        <w:rPr>
          <w:rFonts w:hint="eastAsia"/>
          <w:snapToGrid/>
        </w:rPr>
        <w:t>年建立了家庭问题国家委员会，其目的是要对家庭情况开展</w:t>
      </w:r>
      <w:r>
        <w:rPr>
          <w:rFonts w:hint="eastAsia"/>
          <w:snapToGrid/>
          <w:lang w:val="zh-CN"/>
        </w:rPr>
        <w:t>真实</w:t>
      </w:r>
      <w:r>
        <w:rPr>
          <w:rFonts w:hint="eastAsia"/>
          <w:snapToGrid/>
        </w:rPr>
        <w:t>、全面而多元性的研究。委</w:t>
      </w:r>
      <w:r>
        <w:rPr>
          <w:rFonts w:hint="eastAsia"/>
          <w:snapToGrid/>
        </w:rPr>
        <w:t>员会得出的家庭概念如下：</w:t>
      </w:r>
      <w:r>
        <w:rPr>
          <w:rFonts w:hint="eastAsia"/>
        </w:rPr>
        <w:t>“</w:t>
      </w:r>
      <w:r>
        <w:rPr>
          <w:rFonts w:hint="eastAsia"/>
          <w:snapToGrid/>
        </w:rPr>
        <w:t>家庭是由血缘、</w:t>
      </w:r>
      <w:r>
        <w:rPr>
          <w:rFonts w:hint="eastAsia"/>
          <w:snapToGrid/>
        </w:rPr>
        <w:t>(</w:t>
      </w:r>
      <w:r>
        <w:rPr>
          <w:rFonts w:hint="eastAsia"/>
          <w:snapToGrid/>
        </w:rPr>
        <w:t>血亲的或收养的</w:t>
      </w:r>
      <w:r>
        <w:rPr>
          <w:rFonts w:hint="eastAsia"/>
          <w:snapToGrid/>
        </w:rPr>
        <w:t>)</w:t>
      </w:r>
      <w:r>
        <w:rPr>
          <w:rFonts w:hint="eastAsia"/>
          <w:snapToGrid/>
        </w:rPr>
        <w:t>宗亲及联宗关系，包括稳定的实际结合关系而结成的一个社会组合。</w:t>
      </w:r>
      <w:r>
        <w:rPr>
          <w:rFonts w:hint="eastAsia"/>
        </w:rPr>
        <w:t>”</w:t>
      </w:r>
      <w:r>
        <w:rPr>
          <w:rStyle w:val="FootnoteReference"/>
          <w:snapToGrid/>
        </w:rPr>
        <w:footnoteReference w:id="169"/>
      </w:r>
      <w:r>
        <w:rPr>
          <w:rFonts w:hint="eastAsia"/>
          <w:snapToGrid/>
        </w:rPr>
        <w:t>《政治宪法》并不专门确定家庭的概念，但是第</w:t>
      </w:r>
      <w:r>
        <w:rPr>
          <w:snapToGrid/>
        </w:rPr>
        <w:t>1</w:t>
      </w:r>
      <w:r>
        <w:rPr>
          <w:rFonts w:hint="eastAsia"/>
          <w:snapToGrid/>
        </w:rPr>
        <w:t>条第</w:t>
      </w:r>
      <w:r>
        <w:rPr>
          <w:snapToGrid/>
        </w:rPr>
        <w:t>2</w:t>
      </w:r>
      <w:r>
        <w:rPr>
          <w:rFonts w:hint="eastAsia"/>
          <w:snapToGrid/>
        </w:rPr>
        <w:t>款指出，</w:t>
      </w:r>
      <w:r>
        <w:rPr>
          <w:rFonts w:hint="eastAsia"/>
        </w:rPr>
        <w:t>“</w:t>
      </w:r>
      <w:r>
        <w:rPr>
          <w:rFonts w:hint="eastAsia"/>
          <w:snapToGrid/>
        </w:rPr>
        <w:t>家庭是社会的基本单位</w:t>
      </w:r>
      <w:r>
        <w:rPr>
          <w:rFonts w:hint="eastAsia"/>
        </w:rPr>
        <w:t>”</w:t>
      </w:r>
      <w:r>
        <w:rPr>
          <w:rFonts w:hint="eastAsia"/>
          <w:snapToGrid/>
        </w:rPr>
        <w:t>。该条最后一款要求国家保护、支持和强化家庭。家庭因其他基本权利得到承认和保护而间接地得到保护。例如，《政治宪法》第</w:t>
      </w:r>
      <w:r>
        <w:rPr>
          <w:snapToGrid/>
        </w:rPr>
        <w:t>19</w:t>
      </w:r>
      <w:r>
        <w:rPr>
          <w:rFonts w:hint="eastAsia"/>
          <w:snapToGrid/>
        </w:rPr>
        <w:t>条第</w:t>
      </w:r>
      <w:r>
        <w:rPr>
          <w:snapToGrid/>
        </w:rPr>
        <w:t>4</w:t>
      </w:r>
      <w:r>
        <w:rPr>
          <w:rFonts w:hint="eastAsia"/>
          <w:snapToGrid/>
        </w:rPr>
        <w:t>款保证个人的声誉和家庭得到尊重和保护的权利，而第</w:t>
      </w:r>
      <w:r>
        <w:rPr>
          <w:snapToGrid/>
        </w:rPr>
        <w:t>5</w:t>
      </w:r>
      <w:r>
        <w:rPr>
          <w:rFonts w:hint="eastAsia"/>
          <w:snapToGrid/>
        </w:rPr>
        <w:t>条郑重规定了人的家庭神圣不可侵犯权。</w:t>
      </w:r>
    </w:p>
    <w:p w:rsidR="00000000" w:rsidRDefault="009C1C61">
      <w:pPr>
        <w:rPr>
          <w:rFonts w:hint="eastAsia"/>
          <w:snapToGrid/>
          <w:color w:val="000000"/>
          <w:szCs w:val="24"/>
        </w:rPr>
      </w:pPr>
      <w:r>
        <w:rPr>
          <w:rFonts w:hint="eastAsia"/>
          <w:snapToGrid/>
        </w:rPr>
        <w:tab/>
      </w:r>
      <w:r>
        <w:rPr>
          <w:snapToGrid/>
        </w:rPr>
        <w:t>382.</w:t>
      </w:r>
      <w:r>
        <w:rPr>
          <w:rFonts w:hint="eastAsia"/>
          <w:snapToGrid/>
        </w:rPr>
        <w:t xml:space="preserve">  </w:t>
      </w:r>
      <w:r>
        <w:rPr>
          <w:snapToGrid/>
        </w:rPr>
        <w:t>1998</w:t>
      </w:r>
      <w:r>
        <w:rPr>
          <w:rFonts w:hint="eastAsia"/>
          <w:snapToGrid/>
        </w:rPr>
        <w:t>年</w:t>
      </w:r>
      <w:r>
        <w:rPr>
          <w:snapToGrid/>
        </w:rPr>
        <w:t>12</w:t>
      </w:r>
      <w:r>
        <w:rPr>
          <w:rFonts w:hint="eastAsia"/>
          <w:snapToGrid/>
        </w:rPr>
        <w:t>月《宗亲法》修改以前，《民法典》中所确立的家庭宗亲体系是以婚生子女的</w:t>
      </w:r>
      <w:r>
        <w:rPr>
          <w:rFonts w:hint="eastAsia"/>
          <w:snapToGrid/>
        </w:rPr>
        <w:t>概念为基础的，由此产生了合法子女的类别。非婚生子女属于私生子，由此产生了自然生育的子女和私生子，这些子女享受的权利少于合法子女。根据新的法律，宗亲关系被认为是自然的关系，而不论关系的形成是否通过联姻方式。婚生或非婚生的所有儿童均拥有同等权利。</w:t>
      </w:r>
    </w:p>
    <w:p w:rsidR="00000000" w:rsidRDefault="009C1C61">
      <w:pPr>
        <w:spacing w:after="320"/>
        <w:rPr>
          <w:rFonts w:hint="eastAsia"/>
          <w:snapToGrid/>
          <w:color w:val="000000"/>
          <w:szCs w:val="24"/>
        </w:rPr>
      </w:pPr>
      <w:r>
        <w:rPr>
          <w:rFonts w:hint="eastAsia"/>
          <w:snapToGrid/>
        </w:rPr>
        <w:tab/>
      </w:r>
      <w:r>
        <w:rPr>
          <w:snapToGrid/>
        </w:rPr>
        <w:t>383</w:t>
      </w:r>
      <w:r>
        <w:rPr>
          <w:snapToGrid/>
          <w:spacing w:val="4"/>
        </w:rPr>
        <w:t>.</w:t>
      </w:r>
      <w:r>
        <w:rPr>
          <w:rFonts w:hint="eastAsia"/>
          <w:snapToGrid/>
          <w:spacing w:val="4"/>
        </w:rPr>
        <w:t xml:space="preserve">  </w:t>
      </w:r>
      <w:r>
        <w:rPr>
          <w:rFonts w:hint="eastAsia"/>
          <w:snapToGrid/>
          <w:spacing w:val="4"/>
        </w:rPr>
        <w:t>值得一提的是，规定诉讼程序与惩处的法律规则涉及到家庭暴力的行为。</w:t>
      </w:r>
      <w:r>
        <w:rPr>
          <w:rStyle w:val="FootnoteReference"/>
          <w:snapToGrid/>
        </w:rPr>
        <w:footnoteReference w:id="170"/>
      </w:r>
      <w:r>
        <w:rPr>
          <w:rFonts w:hint="eastAsia"/>
          <w:snapToGrid/>
        </w:rPr>
        <w:t>这些规则所约束的范围将家庭的定义扩大到包括因同居而形成的联宗关系。法律认为暴力行为影响到两种人，即“达到法定成年、处于长辈、配偶或同居者地位的人；以及未达法定成年、处于后辈、被领养、被监护</w:t>
      </w:r>
      <w:r>
        <w:rPr>
          <w:rFonts w:hint="eastAsia"/>
          <w:snapToGrid/>
        </w:rPr>
        <w:t>、关系远至并包括第四层血亲关系的人、或由家庭任何成员照顾或抚养、或居住在相同住处的人。</w:t>
      </w:r>
      <w:r>
        <w:rPr>
          <w:rFonts w:hint="eastAsia"/>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智利家庭的特点</w:t>
      </w:r>
    </w:p>
    <w:p w:rsidR="00000000" w:rsidRDefault="009C1C61">
      <w:pPr>
        <w:spacing w:after="240"/>
        <w:rPr>
          <w:snapToGrid/>
        </w:rPr>
      </w:pPr>
      <w:r>
        <w:rPr>
          <w:rFonts w:hint="eastAsia"/>
          <w:snapToGrid/>
        </w:rPr>
        <w:tab/>
      </w:r>
      <w:r>
        <w:rPr>
          <w:snapToGrid/>
        </w:rPr>
        <w:t>384.</w:t>
      </w:r>
      <w:r>
        <w:rPr>
          <w:rFonts w:hint="eastAsia"/>
          <w:snapToGrid/>
        </w:rPr>
        <w:t xml:space="preserve">  </w:t>
      </w:r>
      <w:r>
        <w:rPr>
          <w:rFonts w:hint="eastAsia"/>
          <w:snapToGrid/>
        </w:rPr>
        <w:t>全国家庭委员会报告中所阐述的家庭的特点提供了一整套数据，可以根据这些数据来草拟法律的修正案，并推行有关家庭的各项政策。其中一些较有意思的内容包括：报告发现，</w:t>
      </w:r>
      <w:r>
        <w:rPr>
          <w:snapToGrid/>
        </w:rPr>
        <w:t>83.5%</w:t>
      </w:r>
      <w:r>
        <w:rPr>
          <w:rFonts w:hint="eastAsia"/>
          <w:snapToGrid/>
        </w:rPr>
        <w:t>的家庭系建筑在合法关系之上，</w:t>
      </w:r>
      <w:r>
        <w:rPr>
          <w:snapToGrid/>
        </w:rPr>
        <w:t>16%</w:t>
      </w:r>
      <w:r>
        <w:rPr>
          <w:rFonts w:hint="eastAsia"/>
          <w:snapToGrid/>
        </w:rPr>
        <w:t>的家庭没有合法的关系；</w:t>
      </w:r>
      <w:r>
        <w:rPr>
          <w:snapToGrid/>
        </w:rPr>
        <w:t>28.8%</w:t>
      </w:r>
      <w:r>
        <w:rPr>
          <w:rFonts w:hint="eastAsia"/>
          <w:snapToGrid/>
        </w:rPr>
        <w:t>的实际结合关系是由年龄在</w:t>
      </w:r>
      <w:r>
        <w:rPr>
          <w:snapToGrid/>
        </w:rPr>
        <w:t>18</w:t>
      </w:r>
      <w:r>
        <w:rPr>
          <w:rFonts w:hint="eastAsia"/>
          <w:snapToGrid/>
        </w:rPr>
        <w:t>至</w:t>
      </w:r>
      <w:r>
        <w:rPr>
          <w:snapToGrid/>
        </w:rPr>
        <w:t>24</w:t>
      </w:r>
      <w:r>
        <w:rPr>
          <w:rFonts w:hint="eastAsia"/>
          <w:snapToGrid/>
        </w:rPr>
        <w:t>岁的夫妻组成；</w:t>
      </w:r>
      <w:r>
        <w:rPr>
          <w:snapToGrid/>
        </w:rPr>
        <w:t>53%</w:t>
      </w:r>
      <w:r>
        <w:rPr>
          <w:rFonts w:hint="eastAsia"/>
          <w:snapToGrid/>
        </w:rPr>
        <w:t>的家庭属于简单的核心家庭，而</w:t>
      </w:r>
      <w:r>
        <w:rPr>
          <w:snapToGrid/>
        </w:rPr>
        <w:t>40%</w:t>
      </w:r>
      <w:r>
        <w:rPr>
          <w:rFonts w:hint="eastAsia"/>
          <w:snapToGrid/>
        </w:rPr>
        <w:t>以上的家庭属于所谓大家庭的范畴。将近</w:t>
      </w:r>
      <w:r>
        <w:rPr>
          <w:snapToGrid/>
        </w:rPr>
        <w:t>9%</w:t>
      </w:r>
      <w:r>
        <w:rPr>
          <w:rFonts w:hint="eastAsia"/>
          <w:snapToGrid/>
        </w:rPr>
        <w:t>的家庭为单身家庭。每五千户有一户</w:t>
      </w:r>
      <w:r>
        <w:rPr>
          <w:rFonts w:hint="eastAsia"/>
          <w:snapToGrid/>
        </w:rPr>
        <w:t>以女性为家长，</w:t>
      </w:r>
      <w:r>
        <w:rPr>
          <w:snapToGrid/>
        </w:rPr>
        <w:t>25%</w:t>
      </w:r>
      <w:r>
        <w:rPr>
          <w:rFonts w:hint="eastAsia"/>
          <w:snapToGrid/>
        </w:rPr>
        <w:t>的家庭中缺少一名配偶。婚姻的数量有所减少，同居的数量有所增加。非婚生子女的比例由</w:t>
      </w:r>
      <w:r>
        <w:rPr>
          <w:snapToGrid/>
        </w:rPr>
        <w:t>1990</w:t>
      </w:r>
      <w:r>
        <w:rPr>
          <w:rFonts w:hint="eastAsia"/>
          <w:snapToGrid/>
        </w:rPr>
        <w:t>年的</w:t>
      </w:r>
      <w:r>
        <w:rPr>
          <w:snapToGrid/>
        </w:rPr>
        <w:t>16%</w:t>
      </w:r>
      <w:r>
        <w:rPr>
          <w:rFonts w:hint="eastAsia"/>
          <w:snapToGrid/>
        </w:rPr>
        <w:t>增加到</w:t>
      </w:r>
      <w:r>
        <w:rPr>
          <w:snapToGrid/>
        </w:rPr>
        <w:t>1994</w:t>
      </w:r>
      <w:r>
        <w:rPr>
          <w:rFonts w:hint="eastAsia"/>
          <w:snapToGrid/>
        </w:rPr>
        <w:t>年的</w:t>
      </w:r>
      <w:r>
        <w:rPr>
          <w:snapToGrid/>
        </w:rPr>
        <w:t>39%</w:t>
      </w:r>
      <w:r>
        <w:rPr>
          <w:rFonts w:hint="eastAsia"/>
          <w:snapToGrid/>
        </w:rPr>
        <w:t>。在这一比例中，</w:t>
      </w:r>
      <w:r>
        <w:rPr>
          <w:snapToGrid/>
        </w:rPr>
        <w:t>14.2%</w:t>
      </w:r>
      <w:r>
        <w:rPr>
          <w:rFonts w:hint="eastAsia"/>
          <w:snapToGrid/>
        </w:rPr>
        <w:t>的孩子为</w:t>
      </w:r>
      <w:r>
        <w:rPr>
          <w:rFonts w:hint="eastAsia"/>
          <w:snapToGrid/>
        </w:rPr>
        <w:t>19</w:t>
      </w:r>
      <w:r>
        <w:rPr>
          <w:rFonts w:hint="eastAsia"/>
          <w:snapToGrid/>
        </w:rPr>
        <w:t>岁以下少女的子女。下面表</w:t>
      </w:r>
      <w:r>
        <w:rPr>
          <w:snapToGrid/>
        </w:rPr>
        <w:t>14</w:t>
      </w:r>
      <w:r>
        <w:rPr>
          <w:rFonts w:hint="eastAsia"/>
          <w:snapToGrid/>
        </w:rPr>
        <w:t>显示了过去十年里家庭关系中所发生的一些变化。</w:t>
      </w:r>
    </w:p>
    <w:p w:rsidR="00000000" w:rsidRDefault="009C1C61">
      <w:pPr>
        <w:pStyle w:val="Heading3"/>
        <w:pageBreakBefore/>
        <w:rPr>
          <w:rFonts w:hint="eastAsia"/>
        </w:rPr>
      </w:pPr>
      <w:r>
        <w:rPr>
          <w:rFonts w:hint="eastAsia"/>
        </w:rPr>
        <w:t>表</w:t>
      </w:r>
      <w:r>
        <w:t xml:space="preserve"> </w:t>
      </w:r>
      <w:r>
        <w:rPr>
          <w:rFonts w:hint="eastAsia"/>
        </w:rPr>
        <w:t xml:space="preserve"> </w:t>
      </w:r>
      <w:r>
        <w:rPr>
          <w:b/>
          <w:bCs/>
        </w:rPr>
        <w:t>14</w:t>
      </w:r>
      <w:r>
        <w:br/>
      </w:r>
      <w:r>
        <w:rPr>
          <w:b/>
        </w:rPr>
        <w:t>1990</w:t>
      </w:r>
      <w:r>
        <w:rPr>
          <w:rFonts w:hint="eastAsia"/>
        </w:rPr>
        <w:t>、</w:t>
      </w:r>
      <w:r>
        <w:rPr>
          <w:b/>
        </w:rPr>
        <w:t>1995</w:t>
      </w:r>
      <w:r>
        <w:rPr>
          <w:rFonts w:hint="eastAsia"/>
        </w:rPr>
        <w:t>和</w:t>
      </w:r>
      <w:r>
        <w:rPr>
          <w:b/>
        </w:rPr>
        <w:t>2000</w:t>
      </w:r>
      <w:r>
        <w:rPr>
          <w:rFonts w:hint="eastAsia"/>
        </w:rPr>
        <w:t>年民事登记和鉴定纪录的变化</w:t>
      </w:r>
    </w:p>
    <w:tbl>
      <w:tblPr>
        <w:tblW w:w="0" w:type="auto"/>
        <w:jc w:val="center"/>
        <w:tblInd w:w="12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4134"/>
        <w:gridCol w:w="1345"/>
        <w:gridCol w:w="1346"/>
        <w:gridCol w:w="1346"/>
      </w:tblGrid>
      <w:tr w:rsidR="00000000">
        <w:tblPrEx>
          <w:tblCellMar>
            <w:top w:w="0" w:type="dxa"/>
            <w:bottom w:w="0" w:type="dxa"/>
          </w:tblCellMar>
        </w:tblPrEx>
        <w:trPr>
          <w:jc w:val="center"/>
        </w:trPr>
        <w:tc>
          <w:tcPr>
            <w:tcW w:w="4134" w:type="dxa"/>
          </w:tcPr>
          <w:p w:rsidR="00000000" w:rsidRDefault="009C1C61">
            <w:pPr>
              <w:spacing w:before="20" w:after="20" w:line="320" w:lineRule="exact"/>
              <w:jc w:val="center"/>
              <w:rPr>
                <w:rFonts w:hint="eastAsia"/>
                <w:noProof/>
                <w:sz w:val="20"/>
                <w:szCs w:val="22"/>
              </w:rPr>
            </w:pPr>
            <w:r>
              <w:rPr>
                <w:rFonts w:hint="eastAsia"/>
                <w:noProof/>
                <w:sz w:val="20"/>
                <w:szCs w:val="22"/>
              </w:rPr>
              <w:t>事</w:t>
            </w:r>
            <w:r>
              <w:rPr>
                <w:rFonts w:hint="eastAsia"/>
                <w:noProof/>
                <w:sz w:val="20"/>
                <w:szCs w:val="22"/>
              </w:rPr>
              <w:t xml:space="preserve">  </w:t>
            </w:r>
            <w:r>
              <w:rPr>
                <w:rFonts w:hint="eastAsia"/>
                <w:noProof/>
                <w:sz w:val="20"/>
                <w:szCs w:val="22"/>
              </w:rPr>
              <w:t>件</w:t>
            </w:r>
          </w:p>
        </w:tc>
        <w:tc>
          <w:tcPr>
            <w:tcW w:w="1345" w:type="dxa"/>
            <w:shd w:val="clear" w:color="auto" w:fill="FFFFFF"/>
          </w:tcPr>
          <w:p w:rsidR="00000000" w:rsidRDefault="009C1C61">
            <w:pPr>
              <w:spacing w:before="20" w:after="20" w:line="320" w:lineRule="exact"/>
              <w:jc w:val="center"/>
              <w:rPr>
                <w:rFonts w:hint="eastAsia"/>
                <w:noProof/>
                <w:sz w:val="22"/>
                <w:szCs w:val="22"/>
              </w:rPr>
            </w:pPr>
            <w:r>
              <w:rPr>
                <w:noProof/>
                <w:sz w:val="22"/>
                <w:szCs w:val="22"/>
              </w:rPr>
              <w:t>1990</w:t>
            </w:r>
            <w:r>
              <w:rPr>
                <w:rFonts w:hint="eastAsia"/>
                <w:noProof/>
                <w:sz w:val="22"/>
                <w:szCs w:val="22"/>
              </w:rPr>
              <w:t>年</w:t>
            </w:r>
          </w:p>
        </w:tc>
        <w:tc>
          <w:tcPr>
            <w:tcW w:w="1346" w:type="dxa"/>
            <w:shd w:val="clear" w:color="auto" w:fill="FFFFFF"/>
          </w:tcPr>
          <w:p w:rsidR="00000000" w:rsidRDefault="009C1C61">
            <w:pPr>
              <w:spacing w:before="20" w:after="20" w:line="320" w:lineRule="exact"/>
              <w:jc w:val="center"/>
              <w:rPr>
                <w:rFonts w:hint="eastAsia"/>
                <w:noProof/>
                <w:sz w:val="22"/>
                <w:szCs w:val="22"/>
              </w:rPr>
            </w:pPr>
            <w:r>
              <w:rPr>
                <w:noProof/>
                <w:sz w:val="22"/>
                <w:szCs w:val="22"/>
              </w:rPr>
              <w:t>1995</w:t>
            </w:r>
            <w:r>
              <w:rPr>
                <w:rFonts w:hint="eastAsia"/>
                <w:noProof/>
                <w:sz w:val="22"/>
                <w:szCs w:val="22"/>
              </w:rPr>
              <w:t>年</w:t>
            </w:r>
          </w:p>
        </w:tc>
        <w:tc>
          <w:tcPr>
            <w:tcW w:w="1346" w:type="dxa"/>
            <w:shd w:val="clear" w:color="auto" w:fill="FFFFFF"/>
          </w:tcPr>
          <w:p w:rsidR="00000000" w:rsidRDefault="009C1C61">
            <w:pPr>
              <w:spacing w:before="20" w:after="20" w:line="320" w:lineRule="exact"/>
              <w:jc w:val="center"/>
              <w:rPr>
                <w:rFonts w:hint="eastAsia"/>
                <w:noProof/>
                <w:sz w:val="22"/>
                <w:szCs w:val="22"/>
              </w:rPr>
            </w:pPr>
            <w:r>
              <w:rPr>
                <w:noProof/>
                <w:sz w:val="22"/>
                <w:szCs w:val="22"/>
              </w:rPr>
              <w:t>2000</w:t>
            </w:r>
            <w:r>
              <w:rPr>
                <w:rFonts w:hint="eastAsia"/>
                <w:noProof/>
                <w:sz w:val="22"/>
                <w:szCs w:val="22"/>
              </w:rPr>
              <w:t>年</w:t>
            </w:r>
          </w:p>
        </w:tc>
      </w:tr>
      <w:tr w:rsidR="00000000">
        <w:tblPrEx>
          <w:tblCellMar>
            <w:top w:w="0" w:type="dxa"/>
            <w:bottom w:w="0" w:type="dxa"/>
          </w:tblCellMar>
        </w:tblPrEx>
        <w:trPr>
          <w:trHeight w:val="984"/>
          <w:jc w:val="center"/>
        </w:trPr>
        <w:tc>
          <w:tcPr>
            <w:tcW w:w="4134" w:type="dxa"/>
            <w:tcBorders>
              <w:bottom w:val="nil"/>
            </w:tcBorders>
          </w:tcPr>
          <w:p w:rsidR="00000000" w:rsidRDefault="009C1C61">
            <w:pPr>
              <w:spacing w:before="4" w:line="320" w:lineRule="exact"/>
              <w:ind w:left="113"/>
              <w:rPr>
                <w:rFonts w:hint="eastAsia"/>
                <w:snapToGrid/>
                <w:color w:val="000000"/>
                <w:sz w:val="20"/>
                <w:szCs w:val="24"/>
              </w:rPr>
            </w:pPr>
            <w:r>
              <w:rPr>
                <w:rFonts w:hint="eastAsia"/>
                <w:noProof/>
                <w:sz w:val="20"/>
                <w:szCs w:val="22"/>
              </w:rPr>
              <w:t>出</w:t>
            </w:r>
            <w:r>
              <w:rPr>
                <w:rFonts w:hint="eastAsia"/>
                <w:noProof/>
                <w:sz w:val="20"/>
                <w:szCs w:val="22"/>
              </w:rPr>
              <w:t xml:space="preserve">  </w:t>
            </w:r>
            <w:r>
              <w:rPr>
                <w:rFonts w:hint="eastAsia"/>
                <w:noProof/>
                <w:sz w:val="20"/>
                <w:szCs w:val="22"/>
              </w:rPr>
              <w:t>生</w:t>
            </w:r>
            <w:r>
              <w:rPr>
                <w:noProof/>
                <w:sz w:val="20"/>
                <w:szCs w:val="22"/>
              </w:rPr>
              <w:br/>
              <w:t>(</w:t>
            </w:r>
            <w:r>
              <w:rPr>
                <w:rFonts w:hint="eastAsia"/>
                <w:snapToGrid/>
                <w:color w:val="000000"/>
                <w:sz w:val="20"/>
                <w:szCs w:val="24"/>
              </w:rPr>
              <w:t>其中在国外出生</w:t>
            </w:r>
            <w:r>
              <w:rPr>
                <w:rFonts w:hint="eastAsia"/>
                <w:snapToGrid/>
                <w:color w:val="000000"/>
                <w:sz w:val="20"/>
                <w:szCs w:val="24"/>
              </w:rPr>
              <w:t>)</w:t>
            </w:r>
          </w:p>
          <w:p w:rsidR="00000000" w:rsidRDefault="009C1C61">
            <w:pPr>
              <w:spacing w:before="4" w:line="320" w:lineRule="exact"/>
              <w:ind w:left="113"/>
              <w:rPr>
                <w:rFonts w:hint="eastAsia"/>
                <w:noProof/>
                <w:sz w:val="20"/>
                <w:szCs w:val="22"/>
              </w:rPr>
            </w:pPr>
            <w:r>
              <w:rPr>
                <w:rFonts w:hint="eastAsia"/>
                <w:snapToGrid/>
                <w:color w:val="000000"/>
                <w:sz w:val="20"/>
                <w:szCs w:val="24"/>
              </w:rPr>
              <w:t>变</w:t>
            </w:r>
            <w:r>
              <w:rPr>
                <w:rFonts w:hint="eastAsia"/>
                <w:snapToGrid/>
                <w:color w:val="000000"/>
                <w:sz w:val="20"/>
                <w:szCs w:val="24"/>
              </w:rPr>
              <w:t xml:space="preserve">  </w:t>
            </w:r>
            <w:r>
              <w:rPr>
                <w:rFonts w:hint="eastAsia"/>
                <w:snapToGrid/>
                <w:color w:val="000000"/>
                <w:sz w:val="20"/>
                <w:szCs w:val="24"/>
              </w:rPr>
              <w:t>化</w:t>
            </w:r>
          </w:p>
        </w:tc>
        <w:tc>
          <w:tcPr>
            <w:tcW w:w="1345" w:type="dxa"/>
            <w:tcBorders>
              <w:bottom w:val="nil"/>
            </w:tcBorders>
          </w:tcPr>
          <w:p w:rsidR="00000000" w:rsidRDefault="009C1C61">
            <w:pPr>
              <w:spacing w:before="4" w:line="320" w:lineRule="exact"/>
              <w:ind w:right="216"/>
              <w:jc w:val="right"/>
              <w:rPr>
                <w:rFonts w:hint="eastAsia"/>
                <w:noProof/>
                <w:sz w:val="22"/>
                <w:szCs w:val="22"/>
              </w:rPr>
            </w:pPr>
            <w:r>
              <w:rPr>
                <w:noProof/>
                <w:sz w:val="22"/>
                <w:szCs w:val="22"/>
              </w:rPr>
              <w:t>311,814</w:t>
            </w:r>
            <w:r>
              <w:rPr>
                <w:noProof/>
                <w:sz w:val="22"/>
                <w:szCs w:val="22"/>
              </w:rPr>
              <w:br/>
              <w:t>4,749</w:t>
            </w:r>
          </w:p>
        </w:tc>
        <w:tc>
          <w:tcPr>
            <w:tcW w:w="1346" w:type="dxa"/>
            <w:tcBorders>
              <w:bottom w:val="nil"/>
            </w:tcBorders>
          </w:tcPr>
          <w:p w:rsidR="00000000" w:rsidRDefault="009C1C61">
            <w:pPr>
              <w:spacing w:before="4" w:line="320" w:lineRule="exact"/>
              <w:ind w:right="216"/>
              <w:jc w:val="right"/>
              <w:rPr>
                <w:rFonts w:hint="eastAsia"/>
                <w:noProof/>
                <w:sz w:val="22"/>
                <w:szCs w:val="22"/>
              </w:rPr>
            </w:pPr>
            <w:r>
              <w:rPr>
                <w:noProof/>
                <w:sz w:val="22"/>
                <w:szCs w:val="22"/>
              </w:rPr>
              <w:t xml:space="preserve">274,980 </w:t>
            </w:r>
            <w:r>
              <w:rPr>
                <w:noProof/>
                <w:sz w:val="22"/>
                <w:szCs w:val="22"/>
              </w:rPr>
              <w:br/>
              <w:t>5,028</w:t>
            </w:r>
          </w:p>
          <w:p w:rsidR="00000000" w:rsidRDefault="009C1C61">
            <w:pPr>
              <w:spacing w:before="4" w:line="320" w:lineRule="exact"/>
              <w:ind w:right="216"/>
              <w:jc w:val="right"/>
              <w:rPr>
                <w:rFonts w:hint="eastAsia"/>
                <w:noProof/>
                <w:sz w:val="22"/>
                <w:szCs w:val="22"/>
              </w:rPr>
            </w:pPr>
            <w:r>
              <w:rPr>
                <w:noProof/>
                <w:sz w:val="22"/>
                <w:szCs w:val="22"/>
              </w:rPr>
              <w:t>–3.56%</w:t>
            </w:r>
          </w:p>
        </w:tc>
        <w:tc>
          <w:tcPr>
            <w:tcW w:w="1346" w:type="dxa"/>
            <w:tcBorders>
              <w:bottom w:val="nil"/>
            </w:tcBorders>
          </w:tcPr>
          <w:p w:rsidR="00000000" w:rsidRDefault="009C1C61">
            <w:pPr>
              <w:spacing w:before="4" w:line="320" w:lineRule="exact"/>
              <w:ind w:right="216"/>
              <w:jc w:val="right"/>
              <w:rPr>
                <w:rFonts w:hint="eastAsia"/>
                <w:noProof/>
                <w:sz w:val="22"/>
                <w:szCs w:val="22"/>
              </w:rPr>
            </w:pPr>
            <w:r>
              <w:rPr>
                <w:noProof/>
                <w:sz w:val="22"/>
                <w:szCs w:val="22"/>
              </w:rPr>
              <w:t xml:space="preserve">230,475 </w:t>
            </w:r>
            <w:r>
              <w:rPr>
                <w:noProof/>
                <w:sz w:val="22"/>
                <w:szCs w:val="22"/>
              </w:rPr>
              <w:br/>
              <w:t>3,698</w:t>
            </w:r>
          </w:p>
          <w:p w:rsidR="00000000" w:rsidRDefault="009C1C61">
            <w:pPr>
              <w:spacing w:before="4" w:line="320" w:lineRule="exact"/>
              <w:ind w:right="216"/>
              <w:jc w:val="right"/>
              <w:rPr>
                <w:rFonts w:hint="eastAsia"/>
                <w:noProof/>
                <w:sz w:val="22"/>
                <w:szCs w:val="22"/>
              </w:rPr>
            </w:pPr>
            <w:r>
              <w:rPr>
                <w:noProof/>
                <w:sz w:val="22"/>
                <w:szCs w:val="22"/>
              </w:rPr>
              <w:t>–7.59%</w:t>
            </w:r>
          </w:p>
        </w:tc>
      </w:tr>
      <w:tr w:rsidR="00000000">
        <w:tblPrEx>
          <w:tblCellMar>
            <w:top w:w="0" w:type="dxa"/>
            <w:bottom w:w="0" w:type="dxa"/>
          </w:tblCellMar>
        </w:tblPrEx>
        <w:trPr>
          <w:jc w:val="center"/>
        </w:trPr>
        <w:tc>
          <w:tcPr>
            <w:tcW w:w="4134" w:type="dxa"/>
            <w:tcBorders>
              <w:bottom w:val="nil"/>
            </w:tcBorders>
          </w:tcPr>
          <w:p w:rsidR="00000000" w:rsidRDefault="009C1C61">
            <w:pPr>
              <w:widowControl w:val="0"/>
              <w:overflowPunct/>
              <w:autoSpaceDE w:val="0"/>
              <w:autoSpaceDN w:val="0"/>
              <w:snapToGrid/>
              <w:spacing w:before="4" w:line="320" w:lineRule="exact"/>
              <w:ind w:left="113"/>
              <w:jc w:val="left"/>
              <w:rPr>
                <w:snapToGrid/>
                <w:color w:val="000000"/>
                <w:sz w:val="20"/>
                <w:szCs w:val="24"/>
              </w:rPr>
            </w:pPr>
            <w:r>
              <w:rPr>
                <w:rFonts w:hint="eastAsia"/>
                <w:snapToGrid/>
                <w:color w:val="000000"/>
                <w:sz w:val="20"/>
                <w:szCs w:val="24"/>
              </w:rPr>
              <w:t>结</w:t>
            </w:r>
            <w:r>
              <w:rPr>
                <w:rFonts w:hint="eastAsia"/>
                <w:snapToGrid/>
                <w:color w:val="000000"/>
                <w:sz w:val="20"/>
                <w:szCs w:val="24"/>
              </w:rPr>
              <w:t xml:space="preserve">  </w:t>
            </w:r>
            <w:r>
              <w:rPr>
                <w:rFonts w:hint="eastAsia"/>
                <w:snapToGrid/>
                <w:color w:val="000000"/>
                <w:sz w:val="20"/>
                <w:szCs w:val="24"/>
              </w:rPr>
              <w:t>婚</w:t>
            </w:r>
          </w:p>
          <w:p w:rsidR="00000000" w:rsidRDefault="009C1C61">
            <w:pPr>
              <w:widowControl w:val="0"/>
              <w:overflowPunct/>
              <w:autoSpaceDE w:val="0"/>
              <w:autoSpaceDN w:val="0"/>
              <w:snapToGrid/>
              <w:spacing w:before="4" w:line="320" w:lineRule="exact"/>
              <w:ind w:left="113"/>
              <w:jc w:val="left"/>
              <w:rPr>
                <w:snapToGrid/>
                <w:color w:val="000000"/>
                <w:sz w:val="20"/>
                <w:szCs w:val="24"/>
              </w:rPr>
            </w:pPr>
            <w:r>
              <w:rPr>
                <w:rFonts w:hint="eastAsia"/>
                <w:snapToGrid/>
                <w:color w:val="000000"/>
                <w:sz w:val="20"/>
                <w:szCs w:val="24"/>
              </w:rPr>
              <w:t>(</w:t>
            </w:r>
            <w:r>
              <w:rPr>
                <w:rFonts w:hint="eastAsia"/>
                <w:snapToGrid/>
                <w:color w:val="000000"/>
                <w:sz w:val="20"/>
                <w:szCs w:val="24"/>
              </w:rPr>
              <w:t>其中在国外结婚</w:t>
            </w:r>
            <w:r>
              <w:rPr>
                <w:rFonts w:hint="eastAsia"/>
                <w:snapToGrid/>
                <w:color w:val="000000"/>
                <w:sz w:val="20"/>
                <w:szCs w:val="24"/>
              </w:rPr>
              <w:t>)</w:t>
            </w:r>
          </w:p>
          <w:p w:rsidR="00000000" w:rsidRDefault="009C1C61">
            <w:pPr>
              <w:widowControl w:val="0"/>
              <w:overflowPunct/>
              <w:autoSpaceDE w:val="0"/>
              <w:autoSpaceDN w:val="0"/>
              <w:snapToGrid/>
              <w:spacing w:before="4" w:line="320" w:lineRule="exact"/>
              <w:ind w:left="113"/>
              <w:jc w:val="left"/>
              <w:rPr>
                <w:rFonts w:hint="eastAsia"/>
                <w:sz w:val="20"/>
              </w:rPr>
            </w:pPr>
            <w:r>
              <w:rPr>
                <w:rFonts w:hint="eastAsia"/>
                <w:snapToGrid/>
                <w:color w:val="000000"/>
                <w:sz w:val="20"/>
                <w:szCs w:val="24"/>
              </w:rPr>
              <w:t>变</w:t>
            </w:r>
            <w:r>
              <w:rPr>
                <w:rFonts w:hint="eastAsia"/>
                <w:snapToGrid/>
                <w:color w:val="000000"/>
                <w:sz w:val="20"/>
                <w:szCs w:val="24"/>
              </w:rPr>
              <w:t xml:space="preserve">  </w:t>
            </w:r>
            <w:r>
              <w:rPr>
                <w:rFonts w:hint="eastAsia"/>
                <w:snapToGrid/>
                <w:color w:val="000000"/>
                <w:sz w:val="20"/>
                <w:szCs w:val="24"/>
              </w:rPr>
              <w:t>化</w:t>
            </w:r>
          </w:p>
        </w:tc>
        <w:tc>
          <w:tcPr>
            <w:tcW w:w="1345" w:type="dxa"/>
            <w:tcBorders>
              <w:bottom w:val="nil"/>
            </w:tcBorders>
          </w:tcPr>
          <w:p w:rsidR="00000000" w:rsidRDefault="009C1C61">
            <w:pPr>
              <w:spacing w:before="4" w:after="20" w:line="320" w:lineRule="exact"/>
              <w:ind w:right="216"/>
              <w:jc w:val="right"/>
              <w:rPr>
                <w:rFonts w:hint="eastAsia"/>
                <w:noProof/>
                <w:sz w:val="22"/>
                <w:szCs w:val="22"/>
              </w:rPr>
            </w:pPr>
            <w:r>
              <w:rPr>
                <w:noProof/>
                <w:sz w:val="22"/>
                <w:szCs w:val="22"/>
              </w:rPr>
              <w:t>99,759</w:t>
            </w:r>
            <w:r>
              <w:rPr>
                <w:noProof/>
                <w:sz w:val="22"/>
                <w:szCs w:val="22"/>
              </w:rPr>
              <w:br/>
              <w:t>–</w:t>
            </w:r>
          </w:p>
          <w:p w:rsidR="00000000" w:rsidRDefault="009C1C61">
            <w:pPr>
              <w:spacing w:before="4" w:after="20" w:line="320" w:lineRule="exact"/>
              <w:ind w:right="216"/>
              <w:jc w:val="right"/>
              <w:rPr>
                <w:rFonts w:hint="eastAsia"/>
                <w:noProof/>
                <w:sz w:val="22"/>
                <w:szCs w:val="22"/>
              </w:rPr>
            </w:pPr>
          </w:p>
        </w:tc>
        <w:tc>
          <w:tcPr>
            <w:tcW w:w="1346" w:type="dxa"/>
            <w:tcBorders>
              <w:bottom w:val="nil"/>
            </w:tcBorders>
          </w:tcPr>
          <w:p w:rsidR="00000000" w:rsidRDefault="009C1C61">
            <w:pPr>
              <w:spacing w:before="4" w:after="20" w:line="320" w:lineRule="exact"/>
              <w:ind w:right="216"/>
              <w:jc w:val="right"/>
              <w:rPr>
                <w:rFonts w:hint="eastAsia"/>
                <w:noProof/>
                <w:sz w:val="22"/>
                <w:szCs w:val="22"/>
              </w:rPr>
            </w:pPr>
            <w:r>
              <w:rPr>
                <w:noProof/>
                <w:sz w:val="22"/>
                <w:szCs w:val="22"/>
              </w:rPr>
              <w:t>88,303</w:t>
            </w:r>
            <w:r>
              <w:rPr>
                <w:noProof/>
                <w:sz w:val="22"/>
                <w:szCs w:val="22"/>
              </w:rPr>
              <w:br/>
              <w:t>1,103</w:t>
            </w:r>
          </w:p>
          <w:p w:rsidR="00000000" w:rsidRDefault="009C1C61">
            <w:pPr>
              <w:spacing w:before="4" w:after="20" w:line="320" w:lineRule="exact"/>
              <w:ind w:right="216"/>
              <w:jc w:val="right"/>
              <w:rPr>
                <w:rFonts w:hint="eastAsia"/>
                <w:noProof/>
                <w:sz w:val="22"/>
                <w:szCs w:val="22"/>
              </w:rPr>
            </w:pPr>
            <w:r>
              <w:rPr>
                <w:noProof/>
                <w:sz w:val="22"/>
                <w:szCs w:val="22"/>
              </w:rPr>
              <w:t>–4.95%</w:t>
            </w:r>
          </w:p>
        </w:tc>
        <w:tc>
          <w:tcPr>
            <w:tcW w:w="1346" w:type="dxa"/>
            <w:tcBorders>
              <w:bottom w:val="nil"/>
            </w:tcBorders>
          </w:tcPr>
          <w:p w:rsidR="00000000" w:rsidRDefault="009C1C61">
            <w:pPr>
              <w:spacing w:before="4" w:after="20" w:line="320" w:lineRule="exact"/>
              <w:ind w:right="216"/>
              <w:jc w:val="right"/>
              <w:rPr>
                <w:rFonts w:hint="eastAsia"/>
                <w:noProof/>
                <w:sz w:val="22"/>
                <w:szCs w:val="22"/>
              </w:rPr>
            </w:pPr>
            <w:r>
              <w:rPr>
                <w:noProof/>
                <w:sz w:val="22"/>
                <w:szCs w:val="22"/>
              </w:rPr>
              <w:t>67,397</w:t>
            </w:r>
            <w:r>
              <w:rPr>
                <w:noProof/>
                <w:sz w:val="22"/>
                <w:szCs w:val="22"/>
              </w:rPr>
              <w:br/>
              <w:t>797</w:t>
            </w:r>
          </w:p>
          <w:p w:rsidR="00000000" w:rsidRDefault="009C1C61">
            <w:pPr>
              <w:spacing w:before="4" w:after="20" w:line="320" w:lineRule="exact"/>
              <w:ind w:right="216"/>
              <w:jc w:val="right"/>
              <w:rPr>
                <w:rFonts w:hint="eastAsia"/>
                <w:noProof/>
                <w:sz w:val="22"/>
                <w:szCs w:val="22"/>
              </w:rPr>
            </w:pPr>
            <w:r>
              <w:rPr>
                <w:noProof/>
                <w:sz w:val="22"/>
                <w:szCs w:val="22"/>
              </w:rPr>
              <w:t>–4.83%</w:t>
            </w:r>
          </w:p>
        </w:tc>
      </w:tr>
      <w:tr w:rsidR="00000000">
        <w:tblPrEx>
          <w:tblCellMar>
            <w:top w:w="0" w:type="dxa"/>
            <w:bottom w:w="0" w:type="dxa"/>
          </w:tblCellMar>
        </w:tblPrEx>
        <w:trPr>
          <w:jc w:val="center"/>
        </w:trPr>
        <w:tc>
          <w:tcPr>
            <w:tcW w:w="4134" w:type="dxa"/>
            <w:tcBorders>
              <w:bottom w:val="single" w:sz="2" w:space="0" w:color="auto"/>
            </w:tcBorders>
          </w:tcPr>
          <w:p w:rsidR="00000000" w:rsidRDefault="009C1C61">
            <w:pPr>
              <w:widowControl w:val="0"/>
              <w:overflowPunct/>
              <w:autoSpaceDE w:val="0"/>
              <w:autoSpaceDN w:val="0"/>
              <w:snapToGrid/>
              <w:spacing w:before="4" w:line="320" w:lineRule="exact"/>
              <w:ind w:left="113"/>
              <w:jc w:val="left"/>
              <w:rPr>
                <w:snapToGrid/>
                <w:color w:val="000000"/>
                <w:sz w:val="20"/>
                <w:szCs w:val="24"/>
              </w:rPr>
            </w:pPr>
            <w:r>
              <w:rPr>
                <w:rFonts w:hint="eastAsia"/>
                <w:snapToGrid/>
                <w:color w:val="000000"/>
                <w:sz w:val="20"/>
                <w:szCs w:val="24"/>
              </w:rPr>
              <w:t>死</w:t>
            </w:r>
            <w:r>
              <w:rPr>
                <w:rFonts w:hint="eastAsia"/>
                <w:snapToGrid/>
                <w:color w:val="000000"/>
                <w:sz w:val="20"/>
                <w:szCs w:val="24"/>
              </w:rPr>
              <w:t xml:space="preserve">  </w:t>
            </w:r>
            <w:r>
              <w:rPr>
                <w:rFonts w:hint="eastAsia"/>
                <w:snapToGrid/>
                <w:color w:val="000000"/>
                <w:sz w:val="20"/>
                <w:szCs w:val="24"/>
              </w:rPr>
              <w:t>亡</w:t>
            </w:r>
          </w:p>
          <w:p w:rsidR="00000000" w:rsidRDefault="009C1C61">
            <w:pPr>
              <w:spacing w:before="4" w:after="20" w:line="320" w:lineRule="exact"/>
              <w:ind w:left="113"/>
              <w:rPr>
                <w:rFonts w:hint="eastAsia"/>
                <w:snapToGrid/>
                <w:color w:val="000000"/>
                <w:sz w:val="20"/>
                <w:szCs w:val="24"/>
              </w:rPr>
            </w:pPr>
            <w:r>
              <w:rPr>
                <w:rFonts w:hint="eastAsia"/>
                <w:snapToGrid/>
                <w:color w:val="000000"/>
                <w:sz w:val="20"/>
                <w:szCs w:val="24"/>
              </w:rPr>
              <w:t>(</w:t>
            </w:r>
            <w:r>
              <w:rPr>
                <w:rFonts w:hint="eastAsia"/>
                <w:snapToGrid/>
                <w:color w:val="000000"/>
                <w:sz w:val="20"/>
                <w:szCs w:val="24"/>
              </w:rPr>
              <w:t>包括假设死亡和在国外死亡</w:t>
            </w:r>
            <w:r>
              <w:rPr>
                <w:rFonts w:hint="eastAsia"/>
                <w:snapToGrid/>
                <w:color w:val="000000"/>
                <w:sz w:val="20"/>
                <w:szCs w:val="24"/>
              </w:rPr>
              <w:t>)</w:t>
            </w:r>
            <w:r>
              <w:rPr>
                <w:snapToGrid/>
                <w:color w:val="000000"/>
                <w:sz w:val="20"/>
                <w:szCs w:val="24"/>
              </w:rPr>
              <w:br/>
            </w:r>
          </w:p>
          <w:p w:rsidR="00000000" w:rsidRDefault="009C1C61">
            <w:pPr>
              <w:spacing w:before="4" w:after="20" w:line="320" w:lineRule="exact"/>
              <w:ind w:left="113"/>
              <w:rPr>
                <w:noProof/>
                <w:sz w:val="20"/>
                <w:szCs w:val="22"/>
              </w:rPr>
            </w:pPr>
            <w:r>
              <w:rPr>
                <w:rFonts w:hint="eastAsia"/>
                <w:snapToGrid/>
                <w:color w:val="000000"/>
                <w:sz w:val="20"/>
                <w:szCs w:val="24"/>
              </w:rPr>
              <w:t>变</w:t>
            </w:r>
            <w:r>
              <w:rPr>
                <w:rFonts w:hint="eastAsia"/>
                <w:snapToGrid/>
                <w:color w:val="000000"/>
                <w:sz w:val="20"/>
                <w:szCs w:val="24"/>
              </w:rPr>
              <w:t xml:space="preserve">  </w:t>
            </w:r>
            <w:r>
              <w:rPr>
                <w:rFonts w:hint="eastAsia"/>
                <w:snapToGrid/>
                <w:color w:val="000000"/>
                <w:sz w:val="20"/>
                <w:szCs w:val="24"/>
              </w:rPr>
              <w:t>化</w:t>
            </w:r>
          </w:p>
        </w:tc>
        <w:tc>
          <w:tcPr>
            <w:tcW w:w="1345" w:type="dxa"/>
            <w:tcBorders>
              <w:bottom w:val="single" w:sz="2" w:space="0" w:color="auto"/>
            </w:tcBorders>
          </w:tcPr>
          <w:p w:rsidR="00000000" w:rsidRDefault="009C1C61">
            <w:pPr>
              <w:spacing w:before="4" w:after="20" w:line="320" w:lineRule="exact"/>
              <w:ind w:right="216"/>
              <w:jc w:val="right"/>
              <w:rPr>
                <w:rFonts w:hint="eastAsia"/>
                <w:noProof/>
                <w:sz w:val="22"/>
                <w:szCs w:val="22"/>
              </w:rPr>
            </w:pPr>
            <w:r>
              <w:rPr>
                <w:noProof/>
                <w:sz w:val="22"/>
                <w:szCs w:val="22"/>
              </w:rPr>
              <w:t>78,091</w:t>
            </w:r>
            <w:r>
              <w:rPr>
                <w:noProof/>
                <w:sz w:val="22"/>
                <w:szCs w:val="22"/>
              </w:rPr>
              <w:br/>
              <w:t>–</w:t>
            </w:r>
            <w:r>
              <w:rPr>
                <w:noProof/>
                <w:sz w:val="22"/>
                <w:szCs w:val="22"/>
              </w:rPr>
              <w:br/>
              <w:t>–</w:t>
            </w:r>
          </w:p>
        </w:tc>
        <w:tc>
          <w:tcPr>
            <w:tcW w:w="1346" w:type="dxa"/>
            <w:tcBorders>
              <w:bottom w:val="single" w:sz="2" w:space="0" w:color="auto"/>
            </w:tcBorders>
          </w:tcPr>
          <w:p w:rsidR="00000000" w:rsidRDefault="009C1C61">
            <w:pPr>
              <w:spacing w:before="4" w:after="20" w:line="320" w:lineRule="exact"/>
              <w:ind w:right="216"/>
              <w:jc w:val="right"/>
              <w:rPr>
                <w:noProof/>
                <w:sz w:val="22"/>
                <w:szCs w:val="22"/>
              </w:rPr>
            </w:pPr>
            <w:r>
              <w:rPr>
                <w:noProof/>
                <w:sz w:val="22"/>
                <w:szCs w:val="22"/>
              </w:rPr>
              <w:t>80,090</w:t>
            </w:r>
            <w:r>
              <w:rPr>
                <w:noProof/>
                <w:sz w:val="22"/>
                <w:szCs w:val="22"/>
              </w:rPr>
              <w:br/>
              <w:t>117</w:t>
            </w:r>
          </w:p>
          <w:p w:rsidR="00000000" w:rsidRDefault="009C1C61">
            <w:pPr>
              <w:spacing w:before="4" w:after="20" w:line="320" w:lineRule="exact"/>
              <w:ind w:right="216"/>
              <w:jc w:val="right"/>
              <w:rPr>
                <w:rFonts w:hint="eastAsia"/>
                <w:noProof/>
                <w:sz w:val="22"/>
                <w:szCs w:val="22"/>
              </w:rPr>
            </w:pPr>
            <w:r>
              <w:rPr>
                <w:noProof/>
                <w:sz w:val="22"/>
                <w:szCs w:val="22"/>
              </w:rPr>
              <w:t>–</w:t>
            </w:r>
          </w:p>
          <w:p w:rsidR="00000000" w:rsidRDefault="009C1C61">
            <w:pPr>
              <w:spacing w:before="4" w:after="20" w:line="320" w:lineRule="exact"/>
              <w:ind w:right="216"/>
              <w:jc w:val="right"/>
              <w:rPr>
                <w:rFonts w:hint="eastAsia"/>
                <w:noProof/>
                <w:sz w:val="22"/>
                <w:szCs w:val="22"/>
              </w:rPr>
            </w:pPr>
            <w:r>
              <w:rPr>
                <w:noProof/>
                <w:sz w:val="22"/>
                <w:szCs w:val="22"/>
              </w:rPr>
              <w:t>–4,.12%</w:t>
            </w:r>
          </w:p>
        </w:tc>
        <w:tc>
          <w:tcPr>
            <w:tcW w:w="1346" w:type="dxa"/>
            <w:tcBorders>
              <w:bottom w:val="single" w:sz="2" w:space="0" w:color="auto"/>
            </w:tcBorders>
          </w:tcPr>
          <w:p w:rsidR="00000000" w:rsidRDefault="009C1C61">
            <w:pPr>
              <w:spacing w:before="4" w:after="20" w:line="320" w:lineRule="exact"/>
              <w:ind w:right="216"/>
              <w:jc w:val="right"/>
              <w:rPr>
                <w:rFonts w:hint="eastAsia"/>
                <w:noProof/>
                <w:sz w:val="22"/>
                <w:szCs w:val="22"/>
              </w:rPr>
            </w:pPr>
            <w:r>
              <w:rPr>
                <w:noProof/>
                <w:sz w:val="22"/>
                <w:szCs w:val="22"/>
              </w:rPr>
              <w:t>73,120</w:t>
            </w:r>
            <w:r>
              <w:rPr>
                <w:noProof/>
                <w:sz w:val="22"/>
                <w:szCs w:val="22"/>
              </w:rPr>
              <w:br/>
              <w:t>105</w:t>
            </w:r>
            <w:r>
              <w:rPr>
                <w:noProof/>
                <w:sz w:val="22"/>
                <w:szCs w:val="22"/>
              </w:rPr>
              <w:br/>
              <w:t>–</w:t>
            </w:r>
          </w:p>
          <w:p w:rsidR="00000000" w:rsidRDefault="009C1C61">
            <w:pPr>
              <w:spacing w:before="4" w:after="20" w:line="320" w:lineRule="exact"/>
              <w:ind w:right="216"/>
              <w:jc w:val="right"/>
              <w:rPr>
                <w:rFonts w:hint="eastAsia"/>
                <w:noProof/>
                <w:sz w:val="22"/>
                <w:szCs w:val="22"/>
              </w:rPr>
            </w:pPr>
            <w:r>
              <w:rPr>
                <w:noProof/>
                <w:sz w:val="22"/>
                <w:szCs w:val="22"/>
              </w:rPr>
              <w:t>–11.38%</w:t>
            </w:r>
          </w:p>
        </w:tc>
      </w:tr>
      <w:tr w:rsidR="00000000">
        <w:tblPrEx>
          <w:tblCellMar>
            <w:top w:w="0" w:type="dxa"/>
            <w:bottom w:w="0" w:type="dxa"/>
          </w:tblCellMar>
        </w:tblPrEx>
        <w:trPr>
          <w:jc w:val="center"/>
        </w:trPr>
        <w:tc>
          <w:tcPr>
            <w:tcW w:w="4134" w:type="dxa"/>
            <w:tcBorders>
              <w:bottom w:val="single" w:sz="4" w:space="0" w:color="auto"/>
            </w:tcBorders>
          </w:tcPr>
          <w:p w:rsidR="00000000" w:rsidRDefault="009C1C61">
            <w:pPr>
              <w:widowControl w:val="0"/>
              <w:overflowPunct/>
              <w:autoSpaceDE w:val="0"/>
              <w:autoSpaceDN w:val="0"/>
              <w:snapToGrid/>
              <w:spacing w:before="4" w:line="320" w:lineRule="exact"/>
              <w:ind w:left="113"/>
              <w:jc w:val="left"/>
              <w:rPr>
                <w:snapToGrid/>
                <w:color w:val="000000"/>
                <w:sz w:val="20"/>
                <w:szCs w:val="24"/>
              </w:rPr>
            </w:pPr>
            <w:r>
              <w:rPr>
                <w:rFonts w:hint="eastAsia"/>
                <w:snapToGrid/>
                <w:color w:val="000000"/>
                <w:sz w:val="20"/>
                <w:szCs w:val="24"/>
              </w:rPr>
              <w:t>取消婚姻关系</w:t>
            </w:r>
          </w:p>
          <w:p w:rsidR="00000000" w:rsidRDefault="009C1C61">
            <w:pPr>
              <w:spacing w:before="4" w:after="20" w:line="320" w:lineRule="exact"/>
              <w:ind w:left="113"/>
              <w:rPr>
                <w:rFonts w:hint="eastAsia"/>
                <w:noProof/>
                <w:sz w:val="22"/>
                <w:szCs w:val="22"/>
              </w:rPr>
            </w:pPr>
            <w:r>
              <w:rPr>
                <w:rFonts w:hint="eastAsia"/>
                <w:snapToGrid/>
                <w:color w:val="000000"/>
                <w:sz w:val="20"/>
                <w:szCs w:val="24"/>
              </w:rPr>
              <w:t>变</w:t>
            </w:r>
            <w:r>
              <w:rPr>
                <w:rFonts w:hint="eastAsia"/>
                <w:snapToGrid/>
                <w:color w:val="000000"/>
                <w:sz w:val="20"/>
                <w:szCs w:val="24"/>
              </w:rPr>
              <w:t xml:space="preserve">  </w:t>
            </w:r>
            <w:r>
              <w:rPr>
                <w:rFonts w:hint="eastAsia"/>
                <w:snapToGrid/>
                <w:color w:val="000000"/>
                <w:sz w:val="20"/>
                <w:szCs w:val="24"/>
              </w:rPr>
              <w:t>化</w:t>
            </w:r>
          </w:p>
        </w:tc>
        <w:tc>
          <w:tcPr>
            <w:tcW w:w="1345" w:type="dxa"/>
            <w:tcBorders>
              <w:bottom w:val="single" w:sz="4" w:space="0" w:color="auto"/>
            </w:tcBorders>
          </w:tcPr>
          <w:p w:rsidR="00000000" w:rsidRDefault="009C1C61">
            <w:pPr>
              <w:spacing w:before="4" w:after="20" w:line="320" w:lineRule="exact"/>
              <w:ind w:right="216"/>
              <w:jc w:val="right"/>
              <w:rPr>
                <w:rFonts w:hint="eastAsia"/>
                <w:noProof/>
                <w:sz w:val="22"/>
                <w:szCs w:val="22"/>
              </w:rPr>
            </w:pPr>
            <w:r>
              <w:rPr>
                <w:noProof/>
                <w:sz w:val="22"/>
                <w:szCs w:val="22"/>
              </w:rPr>
              <w:t>6,781</w:t>
            </w:r>
          </w:p>
        </w:tc>
        <w:tc>
          <w:tcPr>
            <w:tcW w:w="1346" w:type="dxa"/>
            <w:tcBorders>
              <w:bottom w:val="single" w:sz="4" w:space="0" w:color="auto"/>
            </w:tcBorders>
          </w:tcPr>
          <w:p w:rsidR="00000000" w:rsidRDefault="009C1C61">
            <w:pPr>
              <w:spacing w:before="4" w:after="20" w:line="320" w:lineRule="exact"/>
              <w:ind w:right="216"/>
              <w:jc w:val="right"/>
              <w:rPr>
                <w:rFonts w:hint="eastAsia"/>
                <w:noProof/>
                <w:sz w:val="22"/>
                <w:szCs w:val="22"/>
              </w:rPr>
            </w:pPr>
            <w:r>
              <w:rPr>
                <w:noProof/>
                <w:sz w:val="22"/>
                <w:szCs w:val="22"/>
              </w:rPr>
              <w:t>5,765</w:t>
            </w:r>
          </w:p>
          <w:p w:rsidR="00000000" w:rsidRDefault="009C1C61">
            <w:pPr>
              <w:spacing w:before="4" w:after="20" w:line="320" w:lineRule="exact"/>
              <w:ind w:right="216"/>
              <w:jc w:val="right"/>
              <w:rPr>
                <w:rFonts w:hint="eastAsia"/>
                <w:noProof/>
                <w:sz w:val="22"/>
                <w:szCs w:val="22"/>
              </w:rPr>
            </w:pPr>
            <w:r>
              <w:rPr>
                <w:noProof/>
                <w:sz w:val="22"/>
                <w:szCs w:val="22"/>
              </w:rPr>
              <w:t>0.33%</w:t>
            </w:r>
          </w:p>
        </w:tc>
        <w:tc>
          <w:tcPr>
            <w:tcW w:w="1346" w:type="dxa"/>
            <w:tcBorders>
              <w:bottom w:val="single" w:sz="4" w:space="0" w:color="auto"/>
            </w:tcBorders>
          </w:tcPr>
          <w:p w:rsidR="00000000" w:rsidRDefault="009C1C61">
            <w:pPr>
              <w:spacing w:before="4" w:after="20" w:line="320" w:lineRule="exact"/>
              <w:ind w:right="216"/>
              <w:jc w:val="right"/>
              <w:rPr>
                <w:rFonts w:hint="eastAsia"/>
                <w:noProof/>
                <w:sz w:val="22"/>
                <w:szCs w:val="22"/>
              </w:rPr>
            </w:pPr>
            <w:r>
              <w:rPr>
                <w:noProof/>
                <w:sz w:val="22"/>
                <w:szCs w:val="22"/>
              </w:rPr>
              <w:t>6,654</w:t>
            </w:r>
          </w:p>
          <w:p w:rsidR="00000000" w:rsidRDefault="009C1C61">
            <w:pPr>
              <w:spacing w:before="4" w:after="20" w:line="320" w:lineRule="exact"/>
              <w:ind w:right="216"/>
              <w:jc w:val="right"/>
              <w:rPr>
                <w:rFonts w:hint="eastAsia"/>
                <w:noProof/>
                <w:sz w:val="22"/>
                <w:szCs w:val="22"/>
              </w:rPr>
            </w:pPr>
            <w:r>
              <w:rPr>
                <w:noProof/>
                <w:sz w:val="22"/>
                <w:szCs w:val="22"/>
              </w:rPr>
              <w:t>7.10%</w:t>
            </w:r>
          </w:p>
        </w:tc>
      </w:tr>
    </w:tbl>
    <w:p w:rsidR="00000000" w:rsidRDefault="009C1C61">
      <w:pPr>
        <w:widowControl w:val="0"/>
        <w:overflowPunct/>
        <w:autoSpaceDE w:val="0"/>
        <w:autoSpaceDN w:val="0"/>
        <w:snapToGrid/>
        <w:spacing w:before="120" w:after="320"/>
        <w:jc w:val="left"/>
        <w:rPr>
          <w:rFonts w:eastAsia="KaiTi_GB2312"/>
          <w:snapToGrid/>
          <w:color w:val="000000"/>
          <w:spacing w:val="0"/>
          <w:sz w:val="22"/>
          <w:szCs w:val="24"/>
        </w:rPr>
      </w:pPr>
      <w:r>
        <w:rPr>
          <w:rFonts w:eastAsia="KaiTi_GB2312" w:hint="eastAsia"/>
          <w:snapToGrid/>
          <w:color w:val="000000"/>
          <w:spacing w:val="0"/>
          <w:szCs w:val="24"/>
        </w:rPr>
        <w:tab/>
      </w:r>
      <w:r>
        <w:rPr>
          <w:rFonts w:eastAsia="KaiTi_GB2312" w:hint="eastAsia"/>
          <w:snapToGrid/>
          <w:color w:val="000000"/>
          <w:spacing w:val="0"/>
          <w:sz w:val="22"/>
          <w:szCs w:val="24"/>
          <w:u w:val="single"/>
        </w:rPr>
        <w:t>资料来源</w:t>
      </w:r>
      <w:r>
        <w:rPr>
          <w:rFonts w:eastAsia="KaiTi_GB2312" w:hint="eastAsia"/>
          <w:snapToGrid/>
          <w:color w:val="000000"/>
          <w:spacing w:val="0"/>
          <w:sz w:val="22"/>
          <w:szCs w:val="24"/>
        </w:rPr>
        <w:t>：民事登记和身份司</w:t>
      </w:r>
    </w:p>
    <w:p w:rsidR="00000000" w:rsidRDefault="009C1C61">
      <w:pPr>
        <w:pStyle w:val="Heading4"/>
        <w:rPr>
          <w:rFonts w:ascii="Time New Roman" w:eastAsia="SimHei" w:hAnsi="Time New Roman"/>
          <w:u w:val="none"/>
        </w:rPr>
      </w:pPr>
      <w:r>
        <w:rPr>
          <w:rFonts w:ascii="Time New Roman" w:eastAsia="SimHei" w:hAnsi="Time New Roman" w:hint="eastAsia"/>
          <w:u w:val="none"/>
        </w:rPr>
        <w:t>法定成年</w:t>
      </w:r>
    </w:p>
    <w:p w:rsidR="00000000" w:rsidRDefault="009C1C61">
      <w:pPr>
        <w:spacing w:after="320"/>
        <w:rPr>
          <w:rFonts w:hint="eastAsia"/>
          <w:snapToGrid/>
          <w:color w:val="000000"/>
          <w:szCs w:val="24"/>
        </w:rPr>
      </w:pPr>
      <w:r>
        <w:rPr>
          <w:rFonts w:hint="eastAsia"/>
          <w:snapToGrid/>
        </w:rPr>
        <w:tab/>
      </w:r>
      <w:r>
        <w:rPr>
          <w:snapToGrid/>
        </w:rPr>
        <w:t>385.</w:t>
      </w:r>
      <w:r>
        <w:rPr>
          <w:rFonts w:hint="eastAsia"/>
          <w:snapToGrid/>
        </w:rPr>
        <w:t xml:space="preserve">  </w:t>
      </w:r>
      <w:r>
        <w:rPr>
          <w:rFonts w:hint="eastAsia"/>
          <w:snapToGrid/>
        </w:rPr>
        <w:t>包括宪法和民事法的智利法律体系将成年年龄确定为</w:t>
      </w:r>
      <w:r>
        <w:rPr>
          <w:snapToGrid/>
        </w:rPr>
        <w:t>18</w:t>
      </w:r>
      <w:r>
        <w:rPr>
          <w:rFonts w:hint="eastAsia"/>
          <w:snapToGrid/>
        </w:rPr>
        <w:t>岁。根据</w:t>
      </w:r>
      <w:r>
        <w:rPr>
          <w:rFonts w:hint="eastAsia"/>
          <w:snapToGrid/>
        </w:rPr>
        <w:t>《政治宪法》第</w:t>
      </w:r>
      <w:r>
        <w:rPr>
          <w:snapToGrid/>
        </w:rPr>
        <w:t>13</w:t>
      </w:r>
      <w:r>
        <w:rPr>
          <w:rFonts w:hint="eastAsia"/>
          <w:snapToGrid/>
        </w:rPr>
        <w:t>条，</w:t>
      </w:r>
      <w:r>
        <w:rPr>
          <w:rFonts w:ascii="Time New Roman" w:eastAsia="SimHei" w:hAnsi="Time New Roman" w:hint="eastAsia"/>
        </w:rPr>
        <w:t>“</w:t>
      </w:r>
      <w:r>
        <w:rPr>
          <w:rFonts w:hint="eastAsia"/>
          <w:snapToGrid/>
        </w:rPr>
        <w:t>所有年满</w:t>
      </w:r>
      <w:r>
        <w:rPr>
          <w:snapToGrid/>
        </w:rPr>
        <w:t>18</w:t>
      </w:r>
      <w:r>
        <w:rPr>
          <w:rFonts w:hint="eastAsia"/>
          <w:snapToGrid/>
        </w:rPr>
        <w:t>岁、未被判定犯有任何严重罪行的智利人均可认为是智利公民”。有了公民地位，就有权投票选举、参加竞选，并享受《宪法》及法律所赋予的所有其他权利。根据《民事法》第</w:t>
      </w:r>
      <w:r>
        <w:rPr>
          <w:snapToGrid/>
        </w:rPr>
        <w:t>26</w:t>
      </w:r>
      <w:r>
        <w:rPr>
          <w:rFonts w:hint="eastAsia"/>
          <w:snapToGrid/>
        </w:rPr>
        <w:t>条，</w:t>
      </w:r>
      <w:r>
        <w:rPr>
          <w:rStyle w:val="FootnoteReference"/>
          <w:snapToGrid/>
        </w:rPr>
        <w:footnoteReference w:id="171"/>
      </w:r>
      <w:r>
        <w:rPr>
          <w:snapToGrid/>
        </w:rPr>
        <w:t xml:space="preserve"> </w:t>
      </w:r>
      <w:r>
        <w:rPr>
          <w:rFonts w:hint="eastAsia"/>
          <w:snapToGrid/>
        </w:rPr>
        <w:t>任何人“如果年满</w:t>
      </w:r>
      <w:r>
        <w:rPr>
          <w:snapToGrid/>
        </w:rPr>
        <w:t>18</w:t>
      </w:r>
      <w:r>
        <w:rPr>
          <w:rFonts w:hint="eastAsia"/>
          <w:snapToGrid/>
        </w:rPr>
        <w:t>岁则被认为已到成年，如果未满</w:t>
      </w:r>
      <w:r>
        <w:rPr>
          <w:snapToGrid/>
        </w:rPr>
        <w:t>18</w:t>
      </w:r>
      <w:r>
        <w:rPr>
          <w:rFonts w:hint="eastAsia"/>
          <w:snapToGrid/>
        </w:rPr>
        <w:t>岁，则被认为未到成年，或者说是未成年人”。</w:t>
      </w:r>
    </w:p>
    <w:p w:rsidR="00000000" w:rsidRDefault="009C1C61">
      <w:pPr>
        <w:pStyle w:val="Heading4"/>
        <w:rPr>
          <w:rFonts w:ascii="Time New Roman" w:eastAsia="SimHei" w:hAnsi="Time New Roman"/>
          <w:u w:val="none"/>
        </w:rPr>
      </w:pPr>
      <w:r>
        <w:rPr>
          <w:rFonts w:ascii="Time New Roman" w:eastAsia="SimHei" w:hAnsi="Time New Roman" w:hint="eastAsia"/>
          <w:u w:val="none"/>
        </w:rPr>
        <w:t>法定成年对于食物权的影响</w:t>
      </w:r>
    </w:p>
    <w:p w:rsidR="00000000" w:rsidRDefault="009C1C61">
      <w:pPr>
        <w:rPr>
          <w:rFonts w:hint="eastAsia"/>
          <w:snapToGrid/>
          <w:color w:val="000000"/>
          <w:szCs w:val="24"/>
        </w:rPr>
      </w:pPr>
      <w:r>
        <w:rPr>
          <w:rFonts w:hint="eastAsia"/>
          <w:snapToGrid/>
        </w:rPr>
        <w:tab/>
      </w:r>
      <w:r>
        <w:rPr>
          <w:snapToGrid/>
        </w:rPr>
        <w:t>386.</w:t>
      </w:r>
      <w:r>
        <w:rPr>
          <w:rFonts w:hint="eastAsia"/>
          <w:snapToGrid/>
        </w:rPr>
        <w:t xml:space="preserve">  </w:t>
      </w:r>
      <w:r>
        <w:rPr>
          <w:rFonts w:hint="eastAsia"/>
          <w:snapToGrid/>
        </w:rPr>
        <w:t>法律对于食物权制订了特别的规定。根据《民法典》第</w:t>
      </w:r>
      <w:r>
        <w:rPr>
          <w:snapToGrid/>
        </w:rPr>
        <w:t>332</w:t>
      </w:r>
      <w:r>
        <w:rPr>
          <w:rFonts w:hint="eastAsia"/>
          <w:snapToGrid/>
        </w:rPr>
        <w:t>条，公民必须向年龄在</w:t>
      </w:r>
      <w:r>
        <w:rPr>
          <w:snapToGrid/>
        </w:rPr>
        <w:t>21</w:t>
      </w:r>
      <w:r>
        <w:rPr>
          <w:rFonts w:hint="eastAsia"/>
          <w:snapToGrid/>
        </w:rPr>
        <w:t>岁以下的后辈和兄弟姐妹提供食物，但正在接受专业或职业培训的人例外，对这些人的年龄上限为</w:t>
      </w:r>
      <w:r>
        <w:rPr>
          <w:snapToGrid/>
        </w:rPr>
        <w:t>28</w:t>
      </w:r>
      <w:r>
        <w:rPr>
          <w:rFonts w:hint="eastAsia"/>
          <w:snapToGrid/>
        </w:rPr>
        <w:t>岁。</w:t>
      </w:r>
      <w:r>
        <w:rPr>
          <w:rFonts w:hint="eastAsia"/>
          <w:snapToGrid/>
        </w:rPr>
        <w:t>如果由于受到身心残疾的影响使之无法满足自身的需求，或者由于某些特定的情况，法官认为提供食物对其生存是不可或缺的，法官将决定提供食物的数量及时间长度。</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法定成年对于就业的影响</w:t>
      </w:r>
    </w:p>
    <w:p w:rsidR="00000000" w:rsidRDefault="009C1C61">
      <w:pPr>
        <w:rPr>
          <w:rFonts w:hint="eastAsia"/>
          <w:snapToGrid/>
          <w:color w:val="000000"/>
          <w:szCs w:val="24"/>
        </w:rPr>
      </w:pPr>
      <w:r>
        <w:rPr>
          <w:rFonts w:hint="eastAsia"/>
          <w:snapToGrid/>
        </w:rPr>
        <w:tab/>
      </w:r>
      <w:r>
        <w:rPr>
          <w:snapToGrid/>
        </w:rPr>
        <w:t>387.</w:t>
      </w:r>
      <w:r>
        <w:rPr>
          <w:rFonts w:hint="eastAsia"/>
          <w:snapToGrid/>
        </w:rPr>
        <w:t xml:space="preserve">  </w:t>
      </w:r>
      <w:r>
        <w:rPr>
          <w:rFonts w:hint="eastAsia"/>
          <w:snapToGrid/>
        </w:rPr>
        <w:t>根据《劳工法》第</w:t>
      </w:r>
      <w:r>
        <w:rPr>
          <w:snapToGrid/>
        </w:rPr>
        <w:t>13</w:t>
      </w:r>
      <w:r>
        <w:rPr>
          <w:rFonts w:hint="eastAsia"/>
          <w:snapToGrid/>
        </w:rPr>
        <w:t>条，就劳工法所规定的所有情况而言，任何人开始可以自由地签订提供其服务的合同的法定年龄为</w:t>
      </w:r>
      <w:r>
        <w:rPr>
          <w:snapToGrid/>
        </w:rPr>
        <w:t>18</w:t>
      </w:r>
      <w:r>
        <w:rPr>
          <w:rFonts w:hint="eastAsia"/>
          <w:snapToGrid/>
        </w:rPr>
        <w:t>岁。介于</w:t>
      </w:r>
      <w:r>
        <w:rPr>
          <w:snapToGrid/>
        </w:rPr>
        <w:t>18</w:t>
      </w:r>
      <w:r>
        <w:rPr>
          <w:rFonts w:hint="eastAsia"/>
          <w:snapToGrid/>
        </w:rPr>
        <w:t>岁至</w:t>
      </w:r>
      <w:r>
        <w:rPr>
          <w:snapToGrid/>
        </w:rPr>
        <w:t>15</w:t>
      </w:r>
      <w:r>
        <w:rPr>
          <w:rFonts w:hint="eastAsia"/>
          <w:snapToGrid/>
        </w:rPr>
        <w:t>岁之间的人也可以签署就业合同，但是必须得到父亲或母亲的明确认可。如果无法得到父母亲的认可，他们需要得到祖父母或外公外婆、或者其监护人、有权监护未成年人的人士或机构之认可。如果无法得到任何上述人士</w:t>
      </w:r>
      <w:r>
        <w:rPr>
          <w:rFonts w:hint="eastAsia"/>
          <w:snapToGrid/>
        </w:rPr>
        <w:t>的认可，相关的劳工督察官员可以给予必要的认可。但是，未成年人不得从事地面下的工作、需要过度体力的工作、或从事任何可能危及其健康、安全或道德观念的活动。他们每天的工作无论如何不得超过八小时，而且不得通过加班延长其工作时间。</w:t>
      </w:r>
    </w:p>
    <w:p w:rsidR="00000000" w:rsidRDefault="009C1C61">
      <w:pPr>
        <w:rPr>
          <w:rFonts w:hint="eastAsia"/>
          <w:snapToGrid/>
          <w:color w:val="000000"/>
          <w:szCs w:val="24"/>
        </w:rPr>
      </w:pPr>
      <w:r>
        <w:rPr>
          <w:rFonts w:hint="eastAsia"/>
          <w:snapToGrid/>
        </w:rPr>
        <w:tab/>
      </w:r>
      <w:r>
        <w:rPr>
          <w:snapToGrid/>
        </w:rPr>
        <w:t>388.</w:t>
      </w:r>
      <w:r>
        <w:rPr>
          <w:rFonts w:hint="eastAsia"/>
          <w:snapToGrid/>
        </w:rPr>
        <w:t xml:space="preserve">  </w:t>
      </w:r>
      <w:r>
        <w:rPr>
          <w:rFonts w:hint="eastAsia"/>
          <w:snapToGrid/>
        </w:rPr>
        <w:t>年龄在</w:t>
      </w:r>
      <w:r>
        <w:rPr>
          <w:snapToGrid/>
        </w:rPr>
        <w:t>15</w:t>
      </w:r>
      <w:r>
        <w:rPr>
          <w:rFonts w:hint="eastAsia"/>
          <w:snapToGrid/>
        </w:rPr>
        <w:t>岁以下、</w:t>
      </w:r>
      <w:r>
        <w:rPr>
          <w:snapToGrid/>
        </w:rPr>
        <w:t>14</w:t>
      </w:r>
      <w:r>
        <w:rPr>
          <w:rFonts w:hint="eastAsia"/>
          <w:snapToGrid/>
        </w:rPr>
        <w:t>岁以上的少年，如果得到前段中所述的认可、并已经完成其义务教育，可以签署合同，提供其服务。他们只能从事不影响其健康和发育的轻松工作、工作且不得妨碍其上学或参加教育或培训方案。他们每天的工作无论如何不得超过</w:t>
      </w:r>
      <w:r>
        <w:rPr>
          <w:rFonts w:hint="eastAsia"/>
          <w:snapToGrid/>
        </w:rPr>
        <w:t>8</w:t>
      </w:r>
      <w:r>
        <w:rPr>
          <w:rFonts w:hint="eastAsia"/>
          <w:snapToGrid/>
        </w:rPr>
        <w:t>小时</w:t>
      </w:r>
      <w:r>
        <w:rPr>
          <w:rFonts w:hint="eastAsia"/>
          <w:snapToGrid/>
        </w:rPr>
        <w:t>(</w:t>
      </w:r>
      <w:r>
        <w:rPr>
          <w:rFonts w:hint="eastAsia"/>
          <w:snapToGrid/>
        </w:rPr>
        <w:t>《劳工法》第</w:t>
      </w:r>
      <w:r>
        <w:rPr>
          <w:snapToGrid/>
        </w:rPr>
        <w:t>13</w:t>
      </w:r>
      <w:r>
        <w:rPr>
          <w:rFonts w:hint="eastAsia"/>
          <w:snapToGrid/>
        </w:rPr>
        <w:t>和</w:t>
      </w:r>
      <w:r>
        <w:rPr>
          <w:snapToGrid/>
        </w:rPr>
        <w:t>14</w:t>
      </w:r>
      <w:r>
        <w:rPr>
          <w:rFonts w:hint="eastAsia"/>
          <w:snapToGrid/>
        </w:rPr>
        <w:t>条</w:t>
      </w:r>
      <w:r>
        <w:rPr>
          <w:rFonts w:hint="eastAsia"/>
          <w:snapToGrid/>
        </w:rPr>
        <w:t>)</w:t>
      </w:r>
      <w:r>
        <w:rPr>
          <w:rFonts w:hint="eastAsia"/>
          <w:snapToGrid/>
        </w:rPr>
        <w:t>。</w:t>
      </w:r>
      <w:r>
        <w:rPr>
          <w:snapToGrid/>
        </w:rPr>
        <w:t>18</w:t>
      </w:r>
      <w:r>
        <w:rPr>
          <w:rFonts w:hint="eastAsia"/>
          <w:snapToGrid/>
        </w:rPr>
        <w:t>岁以上、</w:t>
      </w:r>
      <w:r>
        <w:rPr>
          <w:snapToGrid/>
        </w:rPr>
        <w:t>21</w:t>
      </w:r>
      <w:r>
        <w:rPr>
          <w:rFonts w:hint="eastAsia"/>
          <w:snapToGrid/>
        </w:rPr>
        <w:t>岁以下的青年，如果尚未接受任何能力测验，不得要求从事任何地下工作。违反这一规定的任何雇主均要受到罚款。根据《劳工法》第</w:t>
      </w:r>
      <w:r>
        <w:rPr>
          <w:snapToGrid/>
        </w:rPr>
        <w:t>15</w:t>
      </w:r>
      <w:r>
        <w:rPr>
          <w:rFonts w:hint="eastAsia"/>
          <w:snapToGrid/>
        </w:rPr>
        <w:t>条，</w:t>
      </w:r>
      <w:r>
        <w:rPr>
          <w:snapToGrid/>
        </w:rPr>
        <w:t>18</w:t>
      </w:r>
      <w:r>
        <w:rPr>
          <w:rFonts w:hint="eastAsia"/>
          <w:snapToGrid/>
        </w:rPr>
        <w:t>岁以上的少年不得在卡巴雷式餐厅或类似场所工作，或在当场出售并消费酒类饮料的场所工作。在某些特定的情况下，经少年的法律代表或少年案件法官的认可，</w:t>
      </w:r>
      <w:r>
        <w:rPr>
          <w:snapToGrid/>
        </w:rPr>
        <w:t>15</w:t>
      </w:r>
      <w:r>
        <w:rPr>
          <w:rFonts w:hint="eastAsia"/>
          <w:snapToGrid/>
        </w:rPr>
        <w:t>岁以下的少年也可以签订就业合同，但由一名家庭成员主管、且仅雇用家庭成员的企业不在此例。这项例外规定不适用于</w:t>
      </w:r>
      <w:r>
        <w:rPr>
          <w:snapToGrid/>
        </w:rPr>
        <w:t>16</w:t>
      </w:r>
      <w:r>
        <w:rPr>
          <w:rFonts w:hint="eastAsia"/>
          <w:snapToGrid/>
        </w:rPr>
        <w:t>岁以上的男孩，</w:t>
      </w:r>
      <w:r>
        <w:rPr>
          <w:snapToGrid/>
        </w:rPr>
        <w:t>16</w:t>
      </w:r>
      <w:r>
        <w:rPr>
          <w:rFonts w:hint="eastAsia"/>
          <w:snapToGrid/>
        </w:rPr>
        <w:t>岁以上男孩可以于晚上</w:t>
      </w:r>
      <w:r>
        <w:rPr>
          <w:snapToGrid/>
        </w:rPr>
        <w:t>10</w:t>
      </w:r>
      <w:r>
        <w:rPr>
          <w:rFonts w:hint="eastAsia"/>
          <w:snapToGrid/>
        </w:rPr>
        <w:t>点至上午</w:t>
      </w:r>
      <w:r>
        <w:rPr>
          <w:snapToGrid/>
        </w:rPr>
        <w:t>7</w:t>
      </w:r>
      <w:r>
        <w:rPr>
          <w:rFonts w:hint="eastAsia"/>
          <w:snapToGrid/>
        </w:rPr>
        <w:t>点在工业或商业企业中工作，但前提是他必须与其他家庭成员一起工作，并得到一名</w:t>
      </w:r>
      <w:r>
        <w:rPr>
          <w:rFonts w:hint="eastAsia"/>
          <w:snapToGrid/>
        </w:rPr>
        <w:t>家庭成员的监管。</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法定成年对刑事司法的影响</w:t>
      </w:r>
    </w:p>
    <w:p w:rsidR="00000000" w:rsidRDefault="009C1C61">
      <w:pPr>
        <w:spacing w:after="320"/>
        <w:rPr>
          <w:rFonts w:hint="eastAsia"/>
          <w:snapToGrid/>
          <w:color w:val="000000"/>
          <w:szCs w:val="24"/>
        </w:rPr>
      </w:pPr>
      <w:r>
        <w:rPr>
          <w:rFonts w:hint="eastAsia"/>
          <w:snapToGrid/>
        </w:rPr>
        <w:tab/>
      </w:r>
      <w:r>
        <w:rPr>
          <w:snapToGrid/>
        </w:rPr>
        <w:t>389.</w:t>
      </w:r>
      <w:r>
        <w:rPr>
          <w:rFonts w:hint="eastAsia"/>
          <w:snapToGrid/>
        </w:rPr>
        <w:t xml:space="preserve">  </w:t>
      </w:r>
      <w:r>
        <w:rPr>
          <w:rFonts w:hint="eastAsia"/>
          <w:snapToGrid/>
        </w:rPr>
        <w:t>《刑法典》中区分两种情况：</w:t>
      </w:r>
      <w:r>
        <w:rPr>
          <w:rFonts w:hint="eastAsia"/>
          <w:snapToGrid/>
        </w:rPr>
        <w:t>(</w:t>
      </w:r>
      <w:r>
        <w:rPr>
          <w:snapToGrid/>
        </w:rPr>
        <w:t>a</w:t>
      </w:r>
      <w:r>
        <w:rPr>
          <w:rFonts w:hint="eastAsia"/>
          <w:snapToGrid/>
        </w:rPr>
        <w:t xml:space="preserve">) </w:t>
      </w:r>
      <w:r>
        <w:rPr>
          <w:rFonts w:hint="eastAsia"/>
          <w:snapToGrid/>
        </w:rPr>
        <w:t>对于</w:t>
      </w:r>
      <w:r>
        <w:rPr>
          <w:snapToGrid/>
        </w:rPr>
        <w:t>16</w:t>
      </w:r>
      <w:r>
        <w:rPr>
          <w:rFonts w:hint="eastAsia"/>
          <w:snapToGrid/>
        </w:rPr>
        <w:t>岁以下的儿童完全免除刑事责任。</w:t>
      </w:r>
      <w:r>
        <w:rPr>
          <w:rStyle w:val="FootnoteReference"/>
          <w:snapToGrid/>
        </w:rPr>
        <w:footnoteReference w:id="172"/>
      </w:r>
      <w:r>
        <w:rPr>
          <w:snapToGrid/>
        </w:rPr>
        <w:t xml:space="preserve"> </w:t>
      </w:r>
      <w:r>
        <w:rPr>
          <w:rFonts w:hint="eastAsia"/>
          <w:snapToGrid/>
        </w:rPr>
        <w:t>根据这项法律</w:t>
      </w:r>
      <w:r>
        <w:rPr>
          <w:snapToGrid/>
        </w:rPr>
        <w:t>，</w:t>
      </w:r>
      <w:r>
        <w:rPr>
          <w:rStyle w:val="FootnoteReference"/>
          <w:snapToGrid/>
        </w:rPr>
        <w:footnoteReference w:id="173"/>
      </w:r>
      <w:r>
        <w:rPr>
          <w:snapToGrid/>
        </w:rPr>
        <w:t xml:space="preserve"> </w:t>
      </w:r>
      <w:r>
        <w:rPr>
          <w:rFonts w:hint="eastAsia"/>
          <w:snapToGrid/>
        </w:rPr>
        <w:t>必须明确驳回对任何这一年龄的人所提出的申诉，但是这一案例可转交给少年法院，少年法院可以采取任何法律规定的拘留措施；</w:t>
      </w:r>
      <w:r>
        <w:rPr>
          <w:rStyle w:val="FootnoteReference"/>
          <w:snapToGrid/>
        </w:rPr>
        <w:footnoteReference w:id="174"/>
      </w:r>
      <w:r>
        <w:rPr>
          <w:snapToGrid/>
        </w:rPr>
        <w:t xml:space="preserve"> </w:t>
      </w:r>
      <w:r>
        <w:rPr>
          <w:rFonts w:hint="eastAsia"/>
          <w:snapToGrid/>
        </w:rPr>
        <w:t>(</w:t>
      </w:r>
      <w:r>
        <w:rPr>
          <w:snapToGrid/>
        </w:rPr>
        <w:t>b</w:t>
      </w:r>
      <w:r>
        <w:rPr>
          <w:rFonts w:hint="eastAsia"/>
          <w:snapToGrid/>
        </w:rPr>
        <w:t xml:space="preserve">) </w:t>
      </w:r>
      <w:r>
        <w:rPr>
          <w:rFonts w:hint="eastAsia"/>
          <w:snapToGrid/>
        </w:rPr>
        <w:t>对于</w:t>
      </w:r>
      <w:r>
        <w:rPr>
          <w:snapToGrid/>
        </w:rPr>
        <w:t>16</w:t>
      </w:r>
      <w:r>
        <w:rPr>
          <w:rFonts w:hint="eastAsia"/>
          <w:snapToGrid/>
        </w:rPr>
        <w:t>岁以上、</w:t>
      </w:r>
      <w:r>
        <w:rPr>
          <w:snapToGrid/>
        </w:rPr>
        <w:t>18</w:t>
      </w:r>
      <w:r>
        <w:rPr>
          <w:rFonts w:hint="eastAsia"/>
          <w:snapToGrid/>
        </w:rPr>
        <w:t>岁以下的青少年可有条件地免除刑事责任。这一年龄的人一般可免除刑事责任，</w:t>
      </w:r>
      <w:r>
        <w:rPr>
          <w:rStyle w:val="FootnoteReference"/>
          <w:snapToGrid/>
        </w:rPr>
        <w:footnoteReference w:id="175"/>
      </w:r>
      <w:r>
        <w:rPr>
          <w:snapToGrid/>
        </w:rPr>
        <w:t xml:space="preserve"> </w:t>
      </w:r>
      <w:r>
        <w:rPr>
          <w:rFonts w:hint="eastAsia"/>
          <w:snapToGrid/>
        </w:rPr>
        <w:t>但如果少年法院认为他们是在有适当判断能力的情况下犯法的则为例外。但是如果法院判定他们是在没有适当判断能力的情况下犯法的，</w:t>
      </w:r>
      <w:r>
        <w:rPr>
          <w:rStyle w:val="FootnoteReference"/>
          <w:bCs/>
          <w:snapToGrid/>
          <w:szCs w:val="24"/>
        </w:rPr>
        <w:footnoteReference w:id="176"/>
      </w:r>
      <w:r>
        <w:rPr>
          <w:rFonts w:hint="eastAsia"/>
          <w:bCs/>
          <w:snapToGrid/>
          <w:color w:val="000000"/>
          <w:szCs w:val="24"/>
        </w:rPr>
        <w:t xml:space="preserve"> </w:t>
      </w:r>
      <w:r>
        <w:rPr>
          <w:rFonts w:hint="eastAsia"/>
          <w:snapToGrid/>
        </w:rPr>
        <w:t>则申诉必须明确驳</w:t>
      </w:r>
      <w:r>
        <w:rPr>
          <w:rFonts w:hint="eastAsia"/>
          <w:snapToGrid/>
        </w:rPr>
        <w:t>回，其先决条件与</w:t>
      </w:r>
      <w:r>
        <w:rPr>
          <w:snapToGrid/>
        </w:rPr>
        <w:t>16</w:t>
      </w:r>
      <w:r>
        <w:rPr>
          <w:rFonts w:hint="eastAsia"/>
          <w:snapToGrid/>
        </w:rPr>
        <w:t>岁以下少年的规定相同。</w:t>
      </w:r>
    </w:p>
    <w:p w:rsidR="00000000" w:rsidRDefault="009C1C61">
      <w:pPr>
        <w:pStyle w:val="Heading4"/>
        <w:rPr>
          <w:rFonts w:ascii="Time New Roman" w:eastAsia="SimHei" w:hAnsi="Time New Roman"/>
          <w:u w:val="none"/>
        </w:rPr>
      </w:pPr>
      <w:r>
        <w:rPr>
          <w:rFonts w:ascii="Time New Roman" w:eastAsia="SimHei" w:hAnsi="Time New Roman" w:hint="eastAsia"/>
          <w:u w:val="none"/>
        </w:rPr>
        <w:t>家庭援助与保护的形式</w:t>
      </w:r>
    </w:p>
    <w:p w:rsidR="00000000" w:rsidRDefault="009C1C61">
      <w:pPr>
        <w:pStyle w:val="Heading4"/>
        <w:rPr>
          <w:rFonts w:ascii="Time New Roman" w:eastAsia="SimHei" w:hAnsi="Time New Roman"/>
          <w:u w:val="none"/>
        </w:rPr>
      </w:pPr>
      <w:r>
        <w:rPr>
          <w:rFonts w:ascii="Time New Roman" w:eastAsia="SimHei" w:hAnsi="Time New Roman" w:hint="eastAsia"/>
          <w:u w:val="none"/>
        </w:rPr>
        <w:t>在自主和完全同意的情况下缔结姻缘的权利</w:t>
      </w:r>
    </w:p>
    <w:p w:rsidR="00000000" w:rsidRDefault="009C1C61">
      <w:pPr>
        <w:spacing w:after="320"/>
        <w:rPr>
          <w:rFonts w:hint="eastAsia"/>
          <w:snapToGrid/>
          <w:color w:val="000000"/>
          <w:szCs w:val="24"/>
        </w:rPr>
      </w:pPr>
      <w:r>
        <w:rPr>
          <w:rFonts w:hint="eastAsia"/>
          <w:snapToGrid/>
        </w:rPr>
        <w:tab/>
      </w:r>
      <w:r>
        <w:rPr>
          <w:snapToGrid/>
        </w:rPr>
        <w:t>390.</w:t>
      </w:r>
      <w:r>
        <w:rPr>
          <w:rFonts w:hint="eastAsia"/>
          <w:snapToGrid/>
        </w:rPr>
        <w:t xml:space="preserve">  </w:t>
      </w:r>
      <w:r>
        <w:rPr>
          <w:rFonts w:hint="eastAsia"/>
          <w:snapToGrid/>
        </w:rPr>
        <w:t>在智利婚姻的基础是缔结姻缘的双方自主同意的原则。这个原则已郑重载入《民法典》，对智利都适用的《公民权利和政治权利国际公约》</w:t>
      </w:r>
      <w:r>
        <w:rPr>
          <w:rStyle w:val="FootnoteReference"/>
          <w:snapToGrid/>
        </w:rPr>
        <w:footnoteReference w:id="177"/>
      </w:r>
      <w:r>
        <w:rPr>
          <w:snapToGrid/>
        </w:rPr>
        <w:t xml:space="preserve"> </w:t>
      </w:r>
      <w:r>
        <w:rPr>
          <w:rFonts w:hint="eastAsia"/>
          <w:snapToGrid/>
        </w:rPr>
        <w:t>及《美洲人权公约》</w:t>
      </w:r>
      <w:r>
        <w:rPr>
          <w:rStyle w:val="FootnoteReference"/>
          <w:snapToGrid/>
        </w:rPr>
        <w:footnoteReference w:id="178"/>
      </w:r>
      <w:r>
        <w:rPr>
          <w:snapToGrid/>
        </w:rPr>
        <w:t xml:space="preserve"> </w:t>
      </w:r>
      <w:r>
        <w:rPr>
          <w:rFonts w:hint="eastAsia"/>
          <w:snapToGrid/>
        </w:rPr>
        <w:t>也载有这项原则。</w:t>
      </w:r>
    </w:p>
    <w:p w:rsidR="00000000" w:rsidRDefault="009C1C61">
      <w:pPr>
        <w:pStyle w:val="Heading4"/>
        <w:rPr>
          <w:rFonts w:ascii="Time New Roman" w:eastAsia="SimHei" w:hAnsi="Time New Roman"/>
          <w:u w:val="none"/>
        </w:rPr>
      </w:pPr>
      <w:r>
        <w:rPr>
          <w:rFonts w:ascii="Time New Roman" w:eastAsia="SimHei" w:hAnsi="Time New Roman" w:hint="eastAsia"/>
          <w:u w:val="none"/>
        </w:rPr>
        <w:t>建立家庭权</w:t>
      </w:r>
    </w:p>
    <w:p w:rsidR="00000000" w:rsidRDefault="009C1C61">
      <w:pPr>
        <w:spacing w:after="320"/>
        <w:rPr>
          <w:rFonts w:hint="eastAsia"/>
          <w:snapToGrid/>
        </w:rPr>
      </w:pPr>
      <w:r>
        <w:rPr>
          <w:rFonts w:hint="eastAsia"/>
          <w:snapToGrid/>
        </w:rPr>
        <w:tab/>
      </w:r>
      <w:r>
        <w:rPr>
          <w:snapToGrid/>
        </w:rPr>
        <w:t>391.</w:t>
      </w:r>
      <w:r>
        <w:rPr>
          <w:rFonts w:hint="eastAsia"/>
          <w:snapToGrid/>
        </w:rPr>
        <w:t xml:space="preserve">  </w:t>
      </w:r>
      <w:r>
        <w:rPr>
          <w:rFonts w:hint="eastAsia"/>
          <w:snapToGrid/>
        </w:rPr>
        <w:t>这项权利已在《宪法》中有所表述，《宪法》认为家庭是最基本的社会单位。</w:t>
      </w:r>
      <w:r>
        <w:rPr>
          <w:rStyle w:val="FootnoteReference"/>
          <w:snapToGrid/>
        </w:rPr>
        <w:footnoteReference w:id="179"/>
      </w:r>
      <w:r>
        <w:rPr>
          <w:snapToGrid/>
        </w:rPr>
        <w:t xml:space="preserve"> </w:t>
      </w:r>
      <w:r>
        <w:rPr>
          <w:rFonts w:hint="eastAsia"/>
          <w:snapToGrid/>
        </w:rPr>
        <w:t>这项宪定规则要求国家</w:t>
      </w:r>
      <w:r>
        <w:rPr>
          <w:rFonts w:ascii="Time New Roman" w:eastAsia="SimHei" w:hAnsi="Time New Roman" w:hint="eastAsia"/>
        </w:rPr>
        <w:t>“</w:t>
      </w:r>
      <w:r>
        <w:rPr>
          <w:rFonts w:hint="eastAsia"/>
          <w:snapToGrid/>
        </w:rPr>
        <w:t>保护、扶植并巩固家庭。</w:t>
      </w:r>
      <w:r>
        <w:rPr>
          <w:rFonts w:ascii="Time New Roman" w:eastAsia="SimHei" w:hAnsi="Time New Roman" w:hint="eastAsia"/>
        </w:rPr>
        <w:t>”</w:t>
      </w:r>
      <w:r>
        <w:rPr>
          <w:rStyle w:val="FootnoteReference"/>
          <w:snapToGrid/>
        </w:rPr>
        <w:footnoteReference w:id="180"/>
      </w:r>
      <w:r>
        <w:rPr>
          <w:rFonts w:ascii="Time New Roman" w:eastAsia="SimHei" w:hAnsi="Time New Roman"/>
        </w:rPr>
        <w:t xml:space="preserve"> </w:t>
      </w:r>
      <w:r>
        <w:rPr>
          <w:rFonts w:hint="eastAsia"/>
          <w:snapToGrid/>
        </w:rPr>
        <w:t>这项条文并确立了一整套旨在保护和巩固家庭的规定。《宪法》保护个人及其家庭的声誉</w:t>
      </w:r>
      <w:r>
        <w:rPr>
          <w:rFonts w:hint="eastAsia"/>
          <w:snapToGrid/>
        </w:rPr>
        <w:t>；</w:t>
      </w:r>
      <w:r>
        <w:rPr>
          <w:rStyle w:val="FootnoteReference"/>
          <w:snapToGrid/>
        </w:rPr>
        <w:footnoteReference w:id="181"/>
      </w:r>
      <w:r>
        <w:rPr>
          <w:snapToGrid/>
        </w:rPr>
        <w:t xml:space="preserve"> </w:t>
      </w:r>
      <w:r>
        <w:rPr>
          <w:rFonts w:hint="eastAsia"/>
          <w:snapToGrid/>
        </w:rPr>
        <w:t>免除被告宣誓作对其直系亲属不利的证词的义务；</w:t>
      </w:r>
      <w:r>
        <w:rPr>
          <w:rStyle w:val="FootnoteReference"/>
          <w:snapToGrid/>
        </w:rPr>
        <w:footnoteReference w:id="182"/>
      </w:r>
      <w:r>
        <w:rPr>
          <w:snapToGrid/>
        </w:rPr>
        <w:t xml:space="preserve"> </w:t>
      </w:r>
      <w:r>
        <w:rPr>
          <w:rFonts w:hint="eastAsia"/>
          <w:snapToGrid/>
        </w:rPr>
        <w:t>并赋予父母教育其子女的优先权利，</w:t>
      </w:r>
      <w:r>
        <w:rPr>
          <w:rStyle w:val="FootnoteReference"/>
          <w:bCs/>
          <w:snapToGrid/>
          <w:szCs w:val="24"/>
        </w:rPr>
        <w:footnoteReference w:id="183"/>
      </w:r>
      <w:r>
        <w:rPr>
          <w:rFonts w:hint="eastAsia"/>
          <w:bCs/>
          <w:snapToGrid/>
          <w:color w:val="000000"/>
          <w:szCs w:val="24"/>
        </w:rPr>
        <w:t xml:space="preserve"> </w:t>
      </w:r>
      <w:r>
        <w:rPr>
          <w:rFonts w:hint="eastAsia"/>
          <w:snapToGrid/>
        </w:rPr>
        <w:t>同时还保障其为子女选择学校的权利。</w:t>
      </w:r>
      <w:r>
        <w:rPr>
          <w:rStyle w:val="FootnoteReference"/>
          <w:snapToGrid/>
        </w:rPr>
        <w:footnoteReference w:id="184"/>
      </w:r>
      <w:r>
        <w:rPr>
          <w:rFonts w:hint="eastAsia"/>
          <w:snapToGrid/>
        </w:rPr>
        <w:tab/>
      </w:r>
    </w:p>
    <w:p w:rsidR="00000000" w:rsidRDefault="009C1C61">
      <w:pPr>
        <w:spacing w:after="320"/>
        <w:rPr>
          <w:rFonts w:hint="eastAsia"/>
          <w:snapToGrid/>
          <w:color w:val="000000"/>
          <w:szCs w:val="24"/>
        </w:rPr>
      </w:pPr>
      <w:r>
        <w:rPr>
          <w:rFonts w:hint="eastAsia"/>
          <w:snapToGrid/>
        </w:rPr>
        <w:tab/>
      </w:r>
      <w:r>
        <w:rPr>
          <w:snapToGrid/>
        </w:rPr>
        <w:t>392.</w:t>
      </w:r>
      <w:r>
        <w:rPr>
          <w:rFonts w:hint="eastAsia"/>
          <w:snapToGrid/>
        </w:rPr>
        <w:t xml:space="preserve">  </w:t>
      </w:r>
      <w:r>
        <w:rPr>
          <w:rFonts w:hint="eastAsia"/>
          <w:snapToGrid/>
        </w:rPr>
        <w:t>整个</w:t>
      </w:r>
      <w:r>
        <w:rPr>
          <w:snapToGrid/>
        </w:rPr>
        <w:t>1990</w:t>
      </w:r>
      <w:r>
        <w:rPr>
          <w:rFonts w:hint="eastAsia"/>
          <w:snapToGrid/>
        </w:rPr>
        <w:t>年代里草拟了一系列法案，</w:t>
      </w:r>
      <w:r>
        <w:rPr>
          <w:rStyle w:val="FootnoteReference"/>
          <w:snapToGrid/>
        </w:rPr>
        <w:footnoteReference w:id="185"/>
      </w:r>
      <w:r>
        <w:rPr>
          <w:rFonts w:hint="eastAsia"/>
          <w:snapToGrid/>
        </w:rPr>
        <w:t xml:space="preserve"> </w:t>
      </w:r>
      <w:r>
        <w:rPr>
          <w:rFonts w:hint="eastAsia"/>
          <w:snapToGrid/>
        </w:rPr>
        <w:t>使智利有关儿童与家庭的法律符合国际规则，尤其是符合于</w:t>
      </w:r>
      <w:r>
        <w:rPr>
          <w:snapToGrid/>
        </w:rPr>
        <w:t>1990</w:t>
      </w:r>
      <w:r>
        <w:rPr>
          <w:rFonts w:hint="eastAsia"/>
          <w:snapToGrid/>
        </w:rPr>
        <w:t>年</w:t>
      </w:r>
      <w:r>
        <w:rPr>
          <w:snapToGrid/>
        </w:rPr>
        <w:t>9</w:t>
      </w:r>
      <w:r>
        <w:rPr>
          <w:rFonts w:hint="eastAsia"/>
          <w:snapToGrid/>
        </w:rPr>
        <w:t>月</w:t>
      </w:r>
      <w:r>
        <w:rPr>
          <w:snapToGrid/>
        </w:rPr>
        <w:t>27</w:t>
      </w:r>
      <w:r>
        <w:rPr>
          <w:rFonts w:hint="eastAsia"/>
          <w:snapToGrid/>
        </w:rPr>
        <w:t>日在智利生效的《儿童权利公约》。</w:t>
      </w:r>
    </w:p>
    <w:p w:rsidR="00000000" w:rsidRDefault="009C1C61">
      <w:pPr>
        <w:pStyle w:val="Heading4"/>
        <w:rPr>
          <w:rFonts w:ascii="Time New Roman" w:eastAsia="SimHei" w:hAnsi="Time New Roman"/>
          <w:u w:val="none"/>
        </w:rPr>
      </w:pPr>
      <w:r>
        <w:rPr>
          <w:rFonts w:ascii="Time New Roman" w:eastAsia="SimHei" w:hAnsi="Time New Roman" w:hint="eastAsia"/>
          <w:u w:val="none"/>
        </w:rPr>
        <w:t>有利于建立家庭、维护、加强和保护家庭的措施</w:t>
      </w:r>
    </w:p>
    <w:p w:rsidR="00000000" w:rsidRDefault="009C1C61">
      <w:pPr>
        <w:pStyle w:val="Heading4"/>
        <w:rPr>
          <w:rFonts w:ascii="Time New Roman" w:eastAsia="SimHei" w:hAnsi="Time New Roman"/>
          <w:u w:val="none"/>
        </w:rPr>
      </w:pPr>
      <w:r>
        <w:rPr>
          <w:rFonts w:ascii="Time New Roman" w:eastAsia="SimHei" w:hAnsi="Time New Roman" w:hint="eastAsia"/>
          <w:u w:val="none"/>
        </w:rPr>
        <w:t>父母培养和教育子女的责任</w:t>
      </w:r>
    </w:p>
    <w:p w:rsidR="00000000" w:rsidRDefault="009C1C61">
      <w:pPr>
        <w:spacing w:after="320"/>
        <w:rPr>
          <w:snapToGrid/>
        </w:rPr>
      </w:pPr>
      <w:r>
        <w:rPr>
          <w:rFonts w:hint="eastAsia"/>
          <w:snapToGrid/>
        </w:rPr>
        <w:tab/>
      </w:r>
      <w:r>
        <w:rPr>
          <w:snapToGrid/>
        </w:rPr>
        <w:t>393.</w:t>
      </w:r>
      <w:r>
        <w:rPr>
          <w:rFonts w:hint="eastAsia"/>
          <w:snapToGrid/>
        </w:rPr>
        <w:t xml:space="preserve">  </w:t>
      </w:r>
      <w:r>
        <w:rPr>
          <w:rFonts w:hint="eastAsia"/>
          <w:snapToGrid/>
        </w:rPr>
        <w:t>根据《儿童权利公约》第</w:t>
      </w:r>
      <w:r>
        <w:rPr>
          <w:snapToGrid/>
        </w:rPr>
        <w:t>18</w:t>
      </w:r>
      <w:r>
        <w:rPr>
          <w:rFonts w:hint="eastAsia"/>
          <w:snapToGrid/>
        </w:rPr>
        <w:t>条，缔约国必须尽力保证下列原则得到遵守：即父母双方对子女的培养和成长负有共同责任。由这项义务产生的责任是，缔约国必</w:t>
      </w:r>
      <w:r>
        <w:rPr>
          <w:rFonts w:hint="eastAsia"/>
          <w:snapToGrid/>
        </w:rPr>
        <w:t>须采取有效措施，保证在经济上保护家庭，同时特别顾及家庭中儿童的利益。智利批准了一项法律，确立并规定父母具有拥有财产的权利和义务，并确立了家庭财产的概念，据此进一步加强了我国法律拟将规定的儿童权利。</w:t>
      </w:r>
      <w:r>
        <w:rPr>
          <w:rStyle w:val="FootnoteReference"/>
          <w:snapToGrid/>
        </w:rPr>
        <w:footnoteReference w:id="186"/>
      </w:r>
    </w:p>
    <w:p w:rsidR="00000000" w:rsidRDefault="009C1C61">
      <w:pPr>
        <w:pStyle w:val="Heading4"/>
        <w:rPr>
          <w:rFonts w:ascii="Time New Roman" w:eastAsia="SimHei" w:hAnsi="Time New Roman"/>
          <w:u w:val="none"/>
        </w:rPr>
      </w:pPr>
      <w:r>
        <w:rPr>
          <w:rFonts w:ascii="Time New Roman" w:eastAsia="SimHei" w:hAnsi="Time New Roman" w:hint="eastAsia"/>
          <w:u w:val="none"/>
        </w:rPr>
        <w:t>承认父母与子女可以完全平等、一视同仁地行使各项社会权利</w:t>
      </w:r>
    </w:p>
    <w:p w:rsidR="00000000" w:rsidRDefault="009C1C61">
      <w:pPr>
        <w:spacing w:after="320"/>
        <w:rPr>
          <w:rFonts w:hint="eastAsia"/>
          <w:snapToGrid/>
          <w:color w:val="000000"/>
          <w:szCs w:val="24"/>
        </w:rPr>
      </w:pPr>
      <w:r>
        <w:rPr>
          <w:rFonts w:hint="eastAsia"/>
          <w:snapToGrid/>
        </w:rPr>
        <w:tab/>
      </w:r>
      <w:r>
        <w:rPr>
          <w:snapToGrid/>
        </w:rPr>
        <w:t>394.</w:t>
      </w:r>
      <w:r>
        <w:rPr>
          <w:rFonts w:hint="eastAsia"/>
          <w:snapToGrid/>
        </w:rPr>
        <w:t xml:space="preserve">  </w:t>
      </w:r>
      <w:r>
        <w:rPr>
          <w:rFonts w:hint="eastAsia"/>
          <w:snapToGrid/>
        </w:rPr>
        <w:t>上文提到的《宗亲法》对现行法律中关于宗亲关系的规定作了重大改动，其中加入了承认父母与子女的主要社会权利的内容。新的法律承认父母对其子女的责任，</w:t>
      </w:r>
      <w:r>
        <w:rPr>
          <w:rStyle w:val="FootnoteReference"/>
          <w:snapToGrid/>
        </w:rPr>
        <w:footnoteReference w:id="187"/>
      </w:r>
      <w:r>
        <w:rPr>
          <w:rFonts w:hint="eastAsia"/>
          <w:snapToGrid/>
        </w:rPr>
        <w:t xml:space="preserve"> </w:t>
      </w:r>
      <w:r>
        <w:rPr>
          <w:rFonts w:hint="eastAsia"/>
          <w:snapToGrid/>
        </w:rPr>
        <w:t>以及子女在行使自己权利方面和对父母的责任方面互相平等的地位，同时又确立了社会有责任保护所有儿童，</w:t>
      </w:r>
      <w:r>
        <w:rPr>
          <w:rFonts w:hint="eastAsia"/>
          <w:snapToGrid/>
        </w:rPr>
        <w:t>而不应区分儿童是否婚生的情况。这项法律的主要目的是使儿童在宗亲关系权利方面具有平等地位，从而取消婚生与私生子女之间的区别，同时建立了一种基于自由调查原则的快速的亲子鉴定制度，允许使用任何法院认可的证据。该项法律同时对于家长权威的体制作了重大改动，以此来克服家庭内一般由母亲行使的监护权和完全由父亲掌握的家长权之间的矛盾。现在的一般规则是，家长权是一项必须由父母双方共同行使的权利。</w:t>
      </w:r>
    </w:p>
    <w:p w:rsidR="00000000" w:rsidRDefault="009C1C61">
      <w:pPr>
        <w:pStyle w:val="Heading4"/>
        <w:rPr>
          <w:rFonts w:ascii="Time New Roman" w:eastAsia="SimHei" w:hAnsi="Time New Roman"/>
          <w:u w:val="none"/>
        </w:rPr>
      </w:pPr>
      <w:r>
        <w:rPr>
          <w:rFonts w:ascii="Time New Roman" w:eastAsia="SimHei" w:hAnsi="Time New Roman" w:hint="eastAsia"/>
          <w:u w:val="none"/>
        </w:rPr>
        <w:t>儿童的家庭权</w:t>
      </w:r>
    </w:p>
    <w:p w:rsidR="00000000" w:rsidRDefault="009C1C61">
      <w:pPr>
        <w:pStyle w:val="Heading4"/>
        <w:rPr>
          <w:rFonts w:ascii="Time New Roman" w:eastAsia="SimHei" w:hAnsi="Time New Roman"/>
          <w:u w:val="none"/>
        </w:rPr>
      </w:pPr>
      <w:r>
        <w:rPr>
          <w:rFonts w:ascii="Time New Roman" w:eastAsia="SimHei" w:hAnsi="Time New Roman" w:hint="eastAsia"/>
          <w:u w:val="none"/>
        </w:rPr>
        <w:t>领养法</w:t>
      </w:r>
    </w:p>
    <w:p w:rsidR="00000000" w:rsidRDefault="009C1C61">
      <w:pPr>
        <w:rPr>
          <w:rFonts w:hint="eastAsia"/>
          <w:snapToGrid/>
          <w:color w:val="000000"/>
          <w:szCs w:val="24"/>
        </w:rPr>
      </w:pPr>
      <w:r>
        <w:rPr>
          <w:rFonts w:hint="eastAsia"/>
          <w:snapToGrid/>
        </w:rPr>
        <w:tab/>
      </w:r>
      <w:r>
        <w:rPr>
          <w:snapToGrid/>
        </w:rPr>
        <w:t>395.</w:t>
      </w:r>
      <w:r>
        <w:rPr>
          <w:rFonts w:hint="eastAsia"/>
          <w:snapToGrid/>
        </w:rPr>
        <w:t xml:space="preserve">  </w:t>
      </w:r>
      <w:r>
        <w:rPr>
          <w:rFonts w:hint="eastAsia"/>
          <w:snapToGrid/>
        </w:rPr>
        <w:t>《儿童权利公约》于</w:t>
      </w:r>
      <w:r>
        <w:rPr>
          <w:snapToGrid/>
        </w:rPr>
        <w:t>1990</w:t>
      </w:r>
      <w:r>
        <w:rPr>
          <w:rFonts w:hint="eastAsia"/>
          <w:snapToGrid/>
        </w:rPr>
        <w:t>年</w:t>
      </w:r>
      <w:r>
        <w:rPr>
          <w:snapToGrid/>
        </w:rPr>
        <w:t>8</w:t>
      </w:r>
      <w:r>
        <w:rPr>
          <w:rFonts w:hint="eastAsia"/>
          <w:snapToGrid/>
        </w:rPr>
        <w:t>月</w:t>
      </w:r>
      <w:r>
        <w:rPr>
          <w:snapToGrid/>
        </w:rPr>
        <w:t>24</w:t>
      </w:r>
      <w:r>
        <w:rPr>
          <w:rFonts w:hint="eastAsia"/>
          <w:snapToGrid/>
        </w:rPr>
        <w:t>日在智利生效。《公约》的一项规定是，关于儿童的国内法必须与</w:t>
      </w:r>
      <w:r>
        <w:rPr>
          <w:rFonts w:hint="eastAsia"/>
          <w:snapToGrid/>
        </w:rPr>
        <w:t>《公约》相一致。</w:t>
      </w:r>
      <w:r>
        <w:rPr>
          <w:snapToGrid/>
        </w:rPr>
        <w:t>1999</w:t>
      </w:r>
      <w:r>
        <w:rPr>
          <w:rFonts w:hint="eastAsia"/>
          <w:snapToGrid/>
        </w:rPr>
        <w:t>年，智利通过了一项法律，对该国的所有领养程序作了规定。</w:t>
      </w:r>
      <w:r>
        <w:rPr>
          <w:rStyle w:val="FootnoteReference"/>
          <w:snapToGrid/>
        </w:rPr>
        <w:footnoteReference w:id="188"/>
      </w:r>
      <w:r>
        <w:rPr>
          <w:rFonts w:hint="eastAsia"/>
          <w:snapToGrid/>
        </w:rPr>
        <w:t xml:space="preserve"> </w:t>
      </w:r>
      <w:r>
        <w:rPr>
          <w:rFonts w:hint="eastAsia"/>
          <w:snapToGrid/>
        </w:rPr>
        <w:t>这项法律吸收了《公约》中确立的所有基本原则，例如儿童的最佳利益、</w:t>
      </w:r>
      <w:r>
        <w:rPr>
          <w:rStyle w:val="FootnoteReference"/>
          <w:snapToGrid/>
        </w:rPr>
        <w:footnoteReference w:id="189"/>
      </w:r>
      <w:r>
        <w:rPr>
          <w:rFonts w:hint="eastAsia"/>
          <w:snapToGrid/>
        </w:rPr>
        <w:t xml:space="preserve"> </w:t>
      </w:r>
      <w:r>
        <w:rPr>
          <w:rFonts w:hint="eastAsia"/>
          <w:snapToGrid/>
        </w:rPr>
        <w:t>儿童发表其意见的权利、</w:t>
      </w:r>
      <w:r>
        <w:rPr>
          <w:rStyle w:val="FootnoteReference"/>
          <w:snapToGrid/>
        </w:rPr>
        <w:footnoteReference w:id="190"/>
      </w:r>
      <w:r>
        <w:rPr>
          <w:rFonts w:hint="eastAsia"/>
          <w:snapToGrid/>
        </w:rPr>
        <w:t xml:space="preserve"> </w:t>
      </w:r>
      <w:r>
        <w:rPr>
          <w:rFonts w:hint="eastAsia"/>
          <w:snapToGrid/>
        </w:rPr>
        <w:t>以及对领养和亲生家庭予以适当考虑，等等。</w:t>
      </w:r>
      <w:r>
        <w:rPr>
          <w:rStyle w:val="FootnoteReference"/>
          <w:snapToGrid/>
        </w:rPr>
        <w:footnoteReference w:id="191"/>
      </w:r>
      <w:r>
        <w:rPr>
          <w:rFonts w:hint="eastAsia"/>
          <w:snapToGrid/>
        </w:rPr>
        <w:t xml:space="preserve"> </w:t>
      </w:r>
      <w:r>
        <w:rPr>
          <w:rFonts w:hint="eastAsia"/>
          <w:snapToGrid/>
        </w:rPr>
        <w:t>该项法律重申了《公约》第</w:t>
      </w:r>
      <w:r>
        <w:rPr>
          <w:snapToGrid/>
        </w:rPr>
        <w:t>21</w:t>
      </w:r>
      <w:r>
        <w:rPr>
          <w:rFonts w:hint="eastAsia"/>
          <w:snapToGrid/>
        </w:rPr>
        <w:t>条的全部内容，尤其是领养儿童必须得到有关主管当局批准的原则，在智利，这一当局就是依照现行法律审理案件的法院。</w:t>
      </w:r>
      <w:r>
        <w:rPr>
          <w:rStyle w:val="FootnoteReference"/>
          <w:snapToGrid/>
          <w:szCs w:val="24"/>
        </w:rPr>
        <w:footnoteReference w:id="192"/>
      </w:r>
    </w:p>
    <w:p w:rsidR="00000000" w:rsidRDefault="009C1C61">
      <w:pPr>
        <w:rPr>
          <w:snapToGrid/>
        </w:rPr>
      </w:pPr>
      <w:r>
        <w:rPr>
          <w:rFonts w:hint="eastAsia"/>
          <w:snapToGrid/>
        </w:rPr>
        <w:tab/>
      </w:r>
      <w:r>
        <w:rPr>
          <w:snapToGrid/>
        </w:rPr>
        <w:t>396.</w:t>
      </w:r>
      <w:r>
        <w:rPr>
          <w:rFonts w:hint="eastAsia"/>
          <w:snapToGrid/>
        </w:rPr>
        <w:t xml:space="preserve">  </w:t>
      </w:r>
      <w:r>
        <w:rPr>
          <w:rFonts w:hint="eastAsia"/>
          <w:snapToGrid/>
        </w:rPr>
        <w:t>新的法律不再将领养分成不同种类。现在只有简单领养一种，其程序较为复杂，分两个阶段，但总的效果是使儿童获得成为子女的条件，得到这种关系意味的</w:t>
      </w:r>
      <w:r>
        <w:rPr>
          <w:rFonts w:hint="eastAsia"/>
          <w:snapToGrid/>
        </w:rPr>
        <w:t>一切。可以回顾，以前的制度</w:t>
      </w:r>
      <w:r>
        <w:rPr>
          <w:rStyle w:val="FootnoteReference"/>
          <w:snapToGrid/>
        </w:rPr>
        <w:footnoteReference w:id="193"/>
      </w:r>
      <w:r>
        <w:rPr>
          <w:rFonts w:hint="eastAsia"/>
          <w:snapToGrid/>
        </w:rPr>
        <w:t xml:space="preserve"> </w:t>
      </w:r>
      <w:r>
        <w:rPr>
          <w:rFonts w:hint="eastAsia"/>
          <w:snapToGrid/>
        </w:rPr>
        <w:t>承认两种领养方式：简单领养和完整领养。按当时行使的法律，只有后一种领养方式才使儿童具有子女的地位。这一改动反映出智利的一种趋势，就是力图消除法律中对各种人作任意歧视的因由。自新的法律生效以来，亲生子女和领养子女之间不再有任何法律上的区别。领养中的每一程序都必须经过两种不同阶段。在这之前的程序是在青少年法院里由保护儿童的机构参与进行的，其最终结果是法院作出裁决，确定儿童是否适于领养。在程序的这一阶段里，由于家庭血缘关系可能出现的残疾状况、或者是否确定有过被遗弃的情况，凡此种种的问</w:t>
      </w:r>
      <w:r>
        <w:rPr>
          <w:rFonts w:hint="eastAsia"/>
          <w:snapToGrid/>
        </w:rPr>
        <w:t>题都必须加以解决。程序的第二阶段只有在第一阶段全部完成以后才能开始，就是领养儿童的实际申请过程。这一阶段必须在主管监护儿童事务的青少年法院里进行。这一程序并不是诉讼性质的，其目的是要通过一项最后裁决来完成领养过程，经由这项裁决，申请领养的父母和宣布适合领养的子女就可以结合成一个家庭。</w:t>
      </w:r>
    </w:p>
    <w:p w:rsidR="00000000" w:rsidRDefault="009C1C61">
      <w:pPr>
        <w:rPr>
          <w:snapToGrid/>
        </w:rPr>
      </w:pPr>
      <w:r>
        <w:rPr>
          <w:rFonts w:hint="eastAsia"/>
          <w:snapToGrid/>
        </w:rPr>
        <w:tab/>
      </w:r>
      <w:r>
        <w:rPr>
          <w:snapToGrid/>
        </w:rPr>
        <w:t>397.</w:t>
      </w:r>
      <w:r>
        <w:rPr>
          <w:rFonts w:hint="eastAsia"/>
          <w:snapToGrid/>
        </w:rPr>
        <w:t xml:space="preserve">  </w:t>
      </w:r>
      <w:r>
        <w:rPr>
          <w:rFonts w:hint="eastAsia"/>
          <w:snapToGrid/>
        </w:rPr>
        <w:t>法律中所作的另一项重大变动是对于</w:t>
      </w:r>
      <w:r>
        <w:rPr>
          <w:snapToGrid/>
        </w:rPr>
        <w:t>"</w:t>
      </w:r>
      <w:r>
        <w:rPr>
          <w:rFonts w:hint="eastAsia"/>
          <w:snapToGrid/>
        </w:rPr>
        <w:t>国际领养</w:t>
      </w:r>
      <w:r>
        <w:rPr>
          <w:snapToGrid/>
        </w:rPr>
        <w:t>"</w:t>
      </w:r>
      <w:r>
        <w:rPr>
          <w:rFonts w:hint="eastAsia"/>
          <w:snapToGrid/>
        </w:rPr>
        <w:t>的处理办法。在以前的制度中，在智利进行的领养程序只涉及居住在智利、而且在领养之后将继续居住在智利的人。对于领养后不留在智利的儿童，法律认为，只要得到监护权就可以离开智利</w:t>
      </w:r>
      <w:r>
        <w:rPr>
          <w:rFonts w:hint="eastAsia"/>
          <w:snapToGrid/>
        </w:rPr>
        <w:t>，但其后还须核准领养目的</w:t>
      </w:r>
      <w:r>
        <w:rPr>
          <w:rFonts w:hint="eastAsia"/>
          <w:snapToGrid/>
        </w:rPr>
        <w:t>(</w:t>
      </w:r>
      <w:r>
        <w:rPr>
          <w:rFonts w:hint="eastAsia"/>
          <w:snapToGrid/>
        </w:rPr>
        <w:t>两项许可均通过法院裁定</w:t>
      </w:r>
      <w:r>
        <w:rPr>
          <w:rFonts w:hint="eastAsia"/>
          <w:snapToGrid/>
        </w:rPr>
        <w:t>)</w:t>
      </w:r>
      <w:r>
        <w:rPr>
          <w:rFonts w:hint="eastAsia"/>
          <w:snapToGrid/>
        </w:rPr>
        <w:t>。领养本身发生在最后定居国。改革以前，这些领养完全是在国外进行的，对于领养程序的结果，往往得不到可靠的资料。现行的制度将居住在智利的申请人</w:t>
      </w:r>
      <w:r>
        <w:rPr>
          <w:rFonts w:hint="eastAsia"/>
          <w:snapToGrid/>
        </w:rPr>
        <w:t>(</w:t>
      </w:r>
      <w:r>
        <w:rPr>
          <w:rFonts w:hint="eastAsia"/>
          <w:snapToGrid/>
        </w:rPr>
        <w:t>未来的领养父母</w:t>
      </w:r>
      <w:r>
        <w:rPr>
          <w:rFonts w:hint="eastAsia"/>
          <w:snapToGrid/>
        </w:rPr>
        <w:t>)</w:t>
      </w:r>
      <w:r>
        <w:rPr>
          <w:rFonts w:hint="eastAsia"/>
          <w:snapToGrid/>
        </w:rPr>
        <w:t>与居住在国外的申请人两者之间加以区分。两种情况都需要在领养前作出适合领养子女的声明，而领养程序本身则在智利进行并完成。这就是说，居住在国外的人是在智利经过法院裁决取得领养子女的父母地位的，然后，登入民事登记册中，注明领养程序所涉的儿童。必须指出，这些领养程序的形式是按申请人的居住地，而不是其国籍来决定的。</w:t>
      </w:r>
    </w:p>
    <w:p w:rsidR="00000000" w:rsidRDefault="009C1C61">
      <w:pPr>
        <w:rPr>
          <w:rFonts w:hint="eastAsia"/>
          <w:snapToGrid/>
          <w:color w:val="000000"/>
          <w:spacing w:val="8"/>
          <w:szCs w:val="24"/>
        </w:rPr>
      </w:pPr>
      <w:r>
        <w:rPr>
          <w:rFonts w:hint="eastAsia"/>
          <w:snapToGrid/>
          <w:spacing w:val="8"/>
        </w:rPr>
        <w:tab/>
      </w:r>
      <w:r>
        <w:rPr>
          <w:snapToGrid/>
          <w:spacing w:val="8"/>
        </w:rPr>
        <w:t>398.</w:t>
      </w:r>
      <w:r>
        <w:rPr>
          <w:rFonts w:hint="eastAsia"/>
          <w:snapToGrid/>
          <w:spacing w:val="8"/>
        </w:rPr>
        <w:t xml:space="preserve">  </w:t>
      </w:r>
      <w:r>
        <w:rPr>
          <w:snapToGrid/>
          <w:spacing w:val="8"/>
        </w:rPr>
        <w:t>1989</w:t>
      </w:r>
      <w:r>
        <w:rPr>
          <w:rFonts w:hint="eastAsia"/>
          <w:snapToGrid/>
          <w:spacing w:val="8"/>
        </w:rPr>
        <w:t>年</w:t>
      </w:r>
      <w:r>
        <w:rPr>
          <w:snapToGrid/>
          <w:spacing w:val="8"/>
        </w:rPr>
        <w:t>11</w:t>
      </w:r>
      <w:r>
        <w:rPr>
          <w:rFonts w:hint="eastAsia"/>
          <w:snapToGrid/>
          <w:spacing w:val="8"/>
        </w:rPr>
        <w:t>月</w:t>
      </w:r>
      <w:r>
        <w:rPr>
          <w:snapToGrid/>
          <w:spacing w:val="8"/>
        </w:rPr>
        <w:t>1</w:t>
      </w:r>
      <w:r>
        <w:rPr>
          <w:rFonts w:hint="eastAsia"/>
          <w:snapToGrid/>
          <w:spacing w:val="8"/>
        </w:rPr>
        <w:t>日以来，智利通过了《关于在跨国收养方面保护儿童和进行合作的海牙公约》，该项《公约》的目的是要协调签署《公约》的不同国家之间的领养程序，以防止贩卖儿童，并为保护儿童的程序提供最佳和最完整的保障。全国未成年人服务署是负责国内领养的国家机构，也是负责国际领养的中央主管机构。</w:t>
      </w:r>
    </w:p>
    <w:p w:rsidR="00000000" w:rsidRDefault="009C1C61">
      <w:pPr>
        <w:spacing w:after="320"/>
        <w:rPr>
          <w:rFonts w:hint="eastAsia"/>
          <w:snapToGrid/>
          <w:color w:val="000000"/>
          <w:szCs w:val="24"/>
        </w:rPr>
      </w:pPr>
      <w:r>
        <w:rPr>
          <w:rFonts w:hint="eastAsia"/>
          <w:snapToGrid/>
        </w:rPr>
        <w:tab/>
      </w:r>
      <w:r>
        <w:rPr>
          <w:snapToGrid/>
        </w:rPr>
        <w:t>399.</w:t>
      </w:r>
      <w:r>
        <w:rPr>
          <w:rFonts w:hint="eastAsia"/>
          <w:snapToGrid/>
        </w:rPr>
        <w:t xml:space="preserve">  </w:t>
      </w:r>
      <w:r>
        <w:rPr>
          <w:rFonts w:hint="eastAsia"/>
          <w:snapToGrid/>
        </w:rPr>
        <w:t>《领养法》的另一方面是它提供了领养程序的多种专业技术支助。根据新的儿童问题法律</w:t>
      </w:r>
      <w:r>
        <w:rPr>
          <w:rFonts w:hint="eastAsia"/>
          <w:snapToGrid/>
        </w:rPr>
        <w:t>(</w:t>
      </w:r>
      <w:r>
        <w:rPr>
          <w:rFonts w:hint="eastAsia"/>
          <w:snapToGrid/>
        </w:rPr>
        <w:t>这项新法认为儿童应当有其本身的权利，而不只是保护的对象</w:t>
      </w:r>
      <w:r>
        <w:rPr>
          <w:rFonts w:hint="eastAsia"/>
          <w:snapToGrid/>
        </w:rPr>
        <w:t>)</w:t>
      </w:r>
      <w:r>
        <w:rPr>
          <w:rFonts w:hint="eastAsia"/>
          <w:snapToGrid/>
        </w:rPr>
        <w:t>确定，所有领养的目的都是要为儿童找到适当的家庭，而不是为家</w:t>
      </w:r>
      <w:r>
        <w:rPr>
          <w:rFonts w:hint="eastAsia"/>
          <w:snapToGrid/>
        </w:rPr>
        <w:t>庭找到适当的儿童。未成年人服务署及其附属机构负责实施《领养方案》，根据这项方案，向被领养儿童的亲生父母家庭、希望领养儿童的家庭和被领养儿童本身提供咨询。这些方案的一项主要目标是要对领养申请人进行评估，以便确定他们是否适合当未来的父母。这项评估需要对未来父母的心智、身体、道德和心理方面进行审查，而对未来父母的专业分析是由一组律师、心理学家和社会工作者进行的。</w:t>
      </w:r>
    </w:p>
    <w:p w:rsidR="00000000" w:rsidRDefault="009C1C61">
      <w:pPr>
        <w:pStyle w:val="Heading4"/>
        <w:rPr>
          <w:rFonts w:ascii="Time New Roman" w:eastAsia="SimHei" w:hAnsi="Time New Roman"/>
          <w:u w:val="none"/>
        </w:rPr>
      </w:pPr>
      <w:r>
        <w:rPr>
          <w:rFonts w:ascii="Time New Roman" w:eastAsia="SimHei" w:hAnsi="Time New Roman" w:hint="eastAsia"/>
          <w:u w:val="none"/>
        </w:rPr>
        <w:t>家庭法院</w:t>
      </w:r>
    </w:p>
    <w:p w:rsidR="00000000" w:rsidRDefault="009C1C61">
      <w:pPr>
        <w:rPr>
          <w:rFonts w:hint="eastAsia"/>
          <w:snapToGrid/>
          <w:color w:val="000000"/>
          <w:szCs w:val="24"/>
        </w:rPr>
      </w:pPr>
      <w:r>
        <w:rPr>
          <w:rFonts w:hint="eastAsia"/>
          <w:snapToGrid/>
        </w:rPr>
        <w:tab/>
      </w:r>
      <w:r>
        <w:rPr>
          <w:snapToGrid/>
        </w:rPr>
        <w:t>400.</w:t>
      </w:r>
      <w:r>
        <w:rPr>
          <w:rFonts w:hint="eastAsia"/>
          <w:snapToGrid/>
        </w:rPr>
        <w:t xml:space="preserve">  </w:t>
      </w:r>
      <w:r>
        <w:rPr>
          <w:rFonts w:hint="eastAsia"/>
          <w:snapToGrid/>
        </w:rPr>
        <w:t>近年来，家庭的结构发生了重大变化。但是智利的家庭立法未能跟上这些变化，被认为</w:t>
      </w:r>
      <w:r>
        <w:rPr>
          <w:snapToGrid/>
        </w:rPr>
        <w:t>"</w:t>
      </w:r>
      <w:r>
        <w:rPr>
          <w:rFonts w:hint="eastAsia"/>
          <w:snapToGrid/>
        </w:rPr>
        <w:t>只能管辖一个世纪以前的家庭</w:t>
      </w:r>
      <w:r>
        <w:rPr>
          <w:snapToGrid/>
        </w:rPr>
        <w:t>"</w:t>
      </w:r>
      <w:r>
        <w:rPr>
          <w:rFonts w:hint="eastAsia"/>
          <w:snapToGrid/>
        </w:rPr>
        <w:t>。为此，国家得出结论，</w:t>
      </w:r>
      <w:r>
        <w:rPr>
          <w:rFonts w:hint="eastAsia"/>
          <w:snapToGrid/>
        </w:rPr>
        <w:t>有必要建立家庭法院，以此来行使国家和社会解决有关家庭问题的责任。</w:t>
      </w:r>
    </w:p>
    <w:p w:rsidR="00000000" w:rsidRDefault="009C1C61">
      <w:pPr>
        <w:spacing w:after="320"/>
        <w:rPr>
          <w:rFonts w:hint="eastAsia"/>
          <w:snapToGrid/>
          <w:color w:val="000000"/>
          <w:szCs w:val="24"/>
        </w:rPr>
      </w:pPr>
      <w:r>
        <w:rPr>
          <w:rFonts w:hint="eastAsia"/>
          <w:snapToGrid/>
        </w:rPr>
        <w:tab/>
      </w:r>
      <w:r>
        <w:rPr>
          <w:snapToGrid/>
        </w:rPr>
        <w:t>401.</w:t>
      </w:r>
      <w:r>
        <w:rPr>
          <w:rFonts w:hint="eastAsia"/>
          <w:snapToGrid/>
        </w:rPr>
        <w:t xml:space="preserve">  </w:t>
      </w:r>
      <w:r>
        <w:rPr>
          <w:rFonts w:hint="eastAsia"/>
          <w:snapToGrid/>
        </w:rPr>
        <w:t>家庭法院可达到两项主要目标，</w:t>
      </w:r>
      <w:r>
        <w:rPr>
          <w:rFonts w:hint="eastAsia"/>
          <w:snapToGrid/>
        </w:rPr>
        <w:t>(</w:t>
      </w:r>
      <w:r>
        <w:rPr>
          <w:snapToGrid/>
        </w:rPr>
        <w:t>a</w:t>
      </w:r>
      <w:r>
        <w:rPr>
          <w:rFonts w:hint="eastAsia"/>
          <w:snapToGrid/>
        </w:rPr>
        <w:t xml:space="preserve">) </w:t>
      </w:r>
      <w:r>
        <w:rPr>
          <w:rFonts w:hint="eastAsia"/>
          <w:snapToGrid/>
        </w:rPr>
        <w:t>涉及家庭管辖的目标</w:t>
      </w:r>
      <w:r>
        <w:rPr>
          <w:rFonts w:hint="eastAsia"/>
          <w:snapToGrid/>
        </w:rPr>
        <w:t>(</w:t>
      </w:r>
      <w:r>
        <w:rPr>
          <w:rFonts w:hint="eastAsia"/>
          <w:snapToGrid/>
        </w:rPr>
        <w:t>家庭冲突处理的缓解作用、专业化和完整性</w:t>
      </w:r>
      <w:r>
        <w:rPr>
          <w:rFonts w:hint="eastAsia"/>
          <w:snapToGrid/>
        </w:rPr>
        <w:t>)</w:t>
      </w:r>
      <w:r>
        <w:rPr>
          <w:rFonts w:hint="eastAsia"/>
          <w:snapToGrid/>
        </w:rPr>
        <w:t>；</w:t>
      </w:r>
      <w:r>
        <w:rPr>
          <w:rFonts w:hint="eastAsia"/>
          <w:snapToGrid/>
        </w:rPr>
        <w:t>(</w:t>
      </w:r>
      <w:r>
        <w:rPr>
          <w:snapToGrid/>
        </w:rPr>
        <w:t>b</w:t>
      </w:r>
      <w:r>
        <w:rPr>
          <w:rFonts w:hint="eastAsia"/>
          <w:snapToGrid/>
        </w:rPr>
        <w:t xml:space="preserve">) </w:t>
      </w:r>
      <w:r>
        <w:rPr>
          <w:rFonts w:hint="eastAsia"/>
          <w:snapToGrid/>
        </w:rPr>
        <w:t>旨在便利司法工作的创新措施。在初步阶段，建议逐渐地使青少年法院适应新的法律，其方法是采用口头、灵活和集中的程序，并且以调解的原则为基础。这些法院将有权处理涉及家庭的所有情事，以便保证不同的法院不致采用不同的程序。将优先考虑不经过诉讼解决家庭问题，鼓励家庭内部和睦友爱。在法院必须采用的诉讼程序中推出了调解措施，作为解决冲突的办</w:t>
      </w:r>
      <w:r>
        <w:rPr>
          <w:rFonts w:hint="eastAsia"/>
          <w:snapToGrid/>
        </w:rPr>
        <w:t>法。新的体制将受到有关调解制度的特别立法的约束，这一立法将附入家庭法院的立法律。为建立家庭法院，还需要批准两项法律草案</w:t>
      </w:r>
      <w:r>
        <w:rPr>
          <w:snapToGrid/>
        </w:rPr>
        <w:t>：</w:t>
      </w:r>
      <w:r>
        <w:rPr>
          <w:rFonts w:hint="eastAsia"/>
          <w:snapToGrid/>
        </w:rPr>
        <w:t>一项是拟议的宪定《组织法》，规定家庭法院的组织和权利；另一项法案对儿童与青少年的地位作出规定，这就意味着将对智利儿童法作全面的变动。</w:t>
      </w:r>
    </w:p>
    <w:p w:rsidR="00000000" w:rsidRDefault="009C1C61">
      <w:pPr>
        <w:pStyle w:val="Heading4"/>
        <w:rPr>
          <w:rFonts w:ascii="Time New Roman" w:eastAsia="SimHei" w:hAnsi="Time New Roman"/>
          <w:u w:val="none"/>
        </w:rPr>
      </w:pPr>
      <w:r>
        <w:rPr>
          <w:rFonts w:ascii="Time New Roman" w:eastAsia="SimHei" w:hAnsi="Time New Roman" w:hint="eastAsia"/>
          <w:u w:val="none"/>
        </w:rPr>
        <w:t>暴力罪行受害人的护理单位</w:t>
      </w:r>
    </w:p>
    <w:p w:rsidR="00000000" w:rsidRDefault="009C1C61">
      <w:pPr>
        <w:spacing w:after="320"/>
        <w:rPr>
          <w:rFonts w:hint="eastAsia"/>
          <w:snapToGrid/>
          <w:color w:val="000000"/>
          <w:szCs w:val="24"/>
        </w:rPr>
      </w:pPr>
      <w:r>
        <w:rPr>
          <w:rFonts w:hint="eastAsia"/>
          <w:snapToGrid/>
        </w:rPr>
        <w:tab/>
      </w:r>
      <w:r>
        <w:rPr>
          <w:snapToGrid/>
        </w:rPr>
        <w:t>402.</w:t>
      </w:r>
      <w:r>
        <w:rPr>
          <w:rFonts w:hint="eastAsia"/>
          <w:snapToGrid/>
        </w:rPr>
        <w:t xml:space="preserve">  </w:t>
      </w:r>
      <w:r>
        <w:rPr>
          <w:rFonts w:hint="eastAsia"/>
          <w:snapToGrid/>
        </w:rPr>
        <w:t>由司法部经管的暴力罪行受害人的护理单位是一项社区方案，完全免费，为遭受到暴力罪行侵害而经济资源有限的受害人及其家庭谋利益。这些单位满足保护暴力性质的严重罪行受害人的需要，因为在过去，发生的这些罪行之后，没有能向受害人提</w:t>
      </w:r>
      <w:r>
        <w:rPr>
          <w:rFonts w:hint="eastAsia"/>
          <w:snapToGrid/>
        </w:rPr>
        <w:t>供赔偿的服务。这些单位是根据与各市政府签署的协议而建立的。</w:t>
      </w:r>
      <w:r>
        <w:rPr>
          <w:snapToGrid/>
        </w:rPr>
        <w:t>1994</w:t>
      </w:r>
      <w:r>
        <w:rPr>
          <w:rFonts w:hint="eastAsia"/>
          <w:snapToGrid/>
        </w:rPr>
        <w:t>年</w:t>
      </w:r>
      <w:r>
        <w:rPr>
          <w:snapToGrid/>
        </w:rPr>
        <w:t>3</w:t>
      </w:r>
      <w:r>
        <w:rPr>
          <w:rFonts w:hint="eastAsia"/>
          <w:snapToGrid/>
        </w:rPr>
        <w:t>月，在圣地亚哥大都会地区的</w:t>
      </w:r>
      <w:r>
        <w:rPr>
          <w:snapToGrid/>
        </w:rPr>
        <w:t>La Pintana</w:t>
      </w:r>
      <w:r>
        <w:rPr>
          <w:rFonts w:hint="eastAsia"/>
          <w:snapToGrid/>
        </w:rPr>
        <w:t>区建立了第一个单位。根据这单位的活动情况，以及其他市区对于这单位的兴趣，又在大都市地区的下列四个区建立了这些单位：</w:t>
      </w:r>
      <w:r>
        <w:rPr>
          <w:snapToGrid/>
        </w:rPr>
        <w:t>El Bosque</w:t>
      </w:r>
      <w:r>
        <w:rPr>
          <w:rFonts w:hint="eastAsia"/>
          <w:snapToGrid/>
        </w:rPr>
        <w:t>(</w:t>
      </w:r>
      <w:r>
        <w:rPr>
          <w:snapToGrid/>
        </w:rPr>
        <w:t>1996</w:t>
      </w:r>
      <w:r>
        <w:rPr>
          <w:rFonts w:hint="eastAsia"/>
          <w:snapToGrid/>
        </w:rPr>
        <w:t>年</w:t>
      </w:r>
      <w:r>
        <w:rPr>
          <w:snapToGrid/>
        </w:rPr>
        <w:t>12</w:t>
      </w:r>
      <w:r>
        <w:rPr>
          <w:rFonts w:hint="eastAsia"/>
          <w:snapToGrid/>
        </w:rPr>
        <w:t>月</w:t>
      </w:r>
      <w:r>
        <w:rPr>
          <w:snapToGrid/>
        </w:rPr>
        <w:t>26</w:t>
      </w:r>
      <w:r>
        <w:rPr>
          <w:rFonts w:hint="eastAsia"/>
          <w:snapToGrid/>
        </w:rPr>
        <w:t>日</w:t>
      </w:r>
      <w:r>
        <w:rPr>
          <w:rFonts w:hint="eastAsia"/>
          <w:snapToGrid/>
        </w:rPr>
        <w:t>)</w:t>
      </w:r>
      <w:r>
        <w:rPr>
          <w:rFonts w:hint="eastAsia"/>
          <w:snapToGrid/>
        </w:rPr>
        <w:t>、</w:t>
      </w:r>
      <w:r>
        <w:rPr>
          <w:snapToGrid/>
        </w:rPr>
        <w:t>Cerro Navia</w:t>
      </w:r>
      <w:r>
        <w:rPr>
          <w:rFonts w:hint="eastAsia"/>
          <w:snapToGrid/>
        </w:rPr>
        <w:t>(</w:t>
      </w:r>
      <w:r>
        <w:rPr>
          <w:snapToGrid/>
        </w:rPr>
        <w:t>1997</w:t>
      </w:r>
      <w:r>
        <w:rPr>
          <w:rFonts w:hint="eastAsia"/>
          <w:snapToGrid/>
        </w:rPr>
        <w:t>年</w:t>
      </w:r>
      <w:r>
        <w:rPr>
          <w:snapToGrid/>
        </w:rPr>
        <w:t>4</w:t>
      </w:r>
      <w:r>
        <w:rPr>
          <w:rFonts w:hint="eastAsia"/>
          <w:snapToGrid/>
        </w:rPr>
        <w:t>月</w:t>
      </w:r>
      <w:r>
        <w:rPr>
          <w:snapToGrid/>
        </w:rPr>
        <w:t>1</w:t>
      </w:r>
      <w:r>
        <w:rPr>
          <w:rFonts w:hint="eastAsia"/>
          <w:snapToGrid/>
        </w:rPr>
        <w:t>日</w:t>
      </w:r>
      <w:r>
        <w:rPr>
          <w:rFonts w:hint="eastAsia"/>
          <w:snapToGrid/>
        </w:rPr>
        <w:t>)</w:t>
      </w:r>
      <w:r>
        <w:rPr>
          <w:rFonts w:hint="eastAsia"/>
          <w:snapToGrid/>
        </w:rPr>
        <w:t>、</w:t>
      </w:r>
      <w:r>
        <w:rPr>
          <w:snapToGrid/>
        </w:rPr>
        <w:t>Penalolen</w:t>
      </w:r>
      <w:r>
        <w:rPr>
          <w:rFonts w:hint="eastAsia"/>
          <w:snapToGrid/>
        </w:rPr>
        <w:t>(</w:t>
      </w:r>
      <w:r>
        <w:rPr>
          <w:snapToGrid/>
        </w:rPr>
        <w:t>1998</w:t>
      </w:r>
      <w:r>
        <w:rPr>
          <w:rFonts w:hint="eastAsia"/>
          <w:snapToGrid/>
        </w:rPr>
        <w:t>年</w:t>
      </w:r>
      <w:r>
        <w:rPr>
          <w:snapToGrid/>
        </w:rPr>
        <w:t>4</w:t>
      </w:r>
      <w:r>
        <w:rPr>
          <w:rFonts w:hint="eastAsia"/>
          <w:snapToGrid/>
        </w:rPr>
        <w:t>月</w:t>
      </w:r>
      <w:r>
        <w:rPr>
          <w:snapToGrid/>
        </w:rPr>
        <w:t>13</w:t>
      </w:r>
      <w:r>
        <w:rPr>
          <w:rFonts w:hint="eastAsia"/>
          <w:snapToGrid/>
        </w:rPr>
        <w:t>日</w:t>
      </w:r>
      <w:r>
        <w:rPr>
          <w:rFonts w:hint="eastAsia"/>
          <w:snapToGrid/>
        </w:rPr>
        <w:t>)</w:t>
      </w:r>
      <w:r>
        <w:rPr>
          <w:rFonts w:hint="eastAsia"/>
          <w:snapToGrid/>
        </w:rPr>
        <w:t>和</w:t>
      </w:r>
      <w:r>
        <w:rPr>
          <w:snapToGrid/>
        </w:rPr>
        <w:t>La Granja</w:t>
      </w:r>
      <w:r>
        <w:rPr>
          <w:rFonts w:hint="eastAsia"/>
          <w:snapToGrid/>
        </w:rPr>
        <w:t>(</w:t>
      </w:r>
      <w:r>
        <w:rPr>
          <w:snapToGrid/>
        </w:rPr>
        <w:t>1999</w:t>
      </w:r>
      <w:r>
        <w:rPr>
          <w:rFonts w:hint="eastAsia"/>
          <w:snapToGrid/>
        </w:rPr>
        <w:t>年</w:t>
      </w:r>
      <w:r>
        <w:rPr>
          <w:snapToGrid/>
        </w:rPr>
        <w:t>3</w:t>
      </w:r>
      <w:r>
        <w:rPr>
          <w:rFonts w:hint="eastAsia"/>
          <w:snapToGrid/>
        </w:rPr>
        <w:t>月</w:t>
      </w:r>
      <w:r>
        <w:rPr>
          <w:snapToGrid/>
        </w:rPr>
        <w:t>15</w:t>
      </w:r>
      <w:r>
        <w:rPr>
          <w:rFonts w:hint="eastAsia"/>
          <w:snapToGrid/>
        </w:rPr>
        <w:t>日</w:t>
      </w:r>
      <w:r>
        <w:rPr>
          <w:rFonts w:hint="eastAsia"/>
          <w:snapToGrid/>
        </w:rPr>
        <w:t>)</w:t>
      </w:r>
      <w:r>
        <w:rPr>
          <w:rFonts w:hint="eastAsia"/>
          <w:snapToGrid/>
        </w:rPr>
        <w:t>。这些单位开展了一些对社区有益的活动：它们建立并维持受害人支助网络，参与初级和二级防范活动，进行宣传并鼓</w:t>
      </w:r>
      <w:r>
        <w:rPr>
          <w:rFonts w:hint="eastAsia"/>
          <w:snapToGrid/>
        </w:rPr>
        <w:t>励社区处理有共性的问题。这些单位所处理的重要罪行包括：抢劫、杀人、殴打、性侵害</w:t>
      </w:r>
      <w:r>
        <w:rPr>
          <w:rFonts w:hint="eastAsia"/>
          <w:snapToGrid/>
        </w:rPr>
        <w:t>(</w:t>
      </w:r>
      <w:r>
        <w:rPr>
          <w:rFonts w:hint="eastAsia"/>
          <w:snapToGrid/>
        </w:rPr>
        <w:t>强奸、乱伦和侮辱性虐待</w:t>
      </w:r>
      <w:r>
        <w:rPr>
          <w:rFonts w:hint="eastAsia"/>
          <w:snapToGrid/>
        </w:rPr>
        <w:t>)</w:t>
      </w:r>
      <w:r>
        <w:rPr>
          <w:rFonts w:hint="eastAsia"/>
          <w:snapToGrid/>
        </w:rPr>
        <w:t>、家庭暴力和虐待儿童、构成罪行的行为、准罪行殴打行为和准罪行杀人行为。建立护理受害人的这些单位反映出国家对于社区内受害人境况的关注。在这方面，官方对于公共场所的不安全改变了态度。其方式已有所改变，已经从心理、社会而不完全是从政治或司法角度来看待问题，同时并试图向罪行的受害者提供支助和保护。</w:t>
      </w:r>
    </w:p>
    <w:p w:rsidR="00000000" w:rsidRDefault="009C1C61">
      <w:pPr>
        <w:pStyle w:val="Heading4"/>
        <w:rPr>
          <w:rFonts w:ascii="Time New Roman" w:eastAsia="SimHei" w:hAnsi="Time New Roman"/>
          <w:u w:val="none"/>
        </w:rPr>
      </w:pPr>
      <w:r>
        <w:rPr>
          <w:rFonts w:ascii="Time New Roman" w:eastAsia="SimHei" w:hAnsi="Time New Roman" w:hint="eastAsia"/>
          <w:u w:val="none"/>
        </w:rPr>
        <w:t>产妇的保护</w:t>
      </w:r>
    </w:p>
    <w:p w:rsidR="00000000" w:rsidRDefault="009C1C61">
      <w:pPr>
        <w:spacing w:after="320"/>
        <w:rPr>
          <w:bCs/>
          <w:snapToGrid/>
          <w:szCs w:val="24"/>
        </w:rPr>
      </w:pPr>
      <w:r>
        <w:rPr>
          <w:rFonts w:hint="eastAsia"/>
          <w:snapToGrid/>
        </w:rPr>
        <w:tab/>
      </w:r>
      <w:r>
        <w:rPr>
          <w:snapToGrid/>
        </w:rPr>
        <w:t>403.</w:t>
      </w:r>
      <w:r>
        <w:rPr>
          <w:rFonts w:hint="eastAsia"/>
          <w:snapToGrid/>
        </w:rPr>
        <w:t xml:space="preserve">  </w:t>
      </w:r>
      <w:r>
        <w:rPr>
          <w:snapToGrid/>
        </w:rPr>
        <w:t>1990</w:t>
      </w:r>
      <w:r>
        <w:rPr>
          <w:rFonts w:hint="eastAsia"/>
          <w:snapToGrid/>
        </w:rPr>
        <w:t>年代开始之前，智利就一直努力降低产妇和婴儿死亡率，故此，一般的健康和产妇指标令人满</w:t>
      </w:r>
      <w:r>
        <w:rPr>
          <w:rFonts w:hint="eastAsia"/>
          <w:snapToGrid/>
        </w:rPr>
        <w:t>意。智利一直有通过医院来提供医务护理的传统，而现在这一护理的形式是基本保健方案。在整个</w:t>
      </w:r>
      <w:r>
        <w:rPr>
          <w:snapToGrid/>
        </w:rPr>
        <w:t>90</w:t>
      </w:r>
      <w:r>
        <w:rPr>
          <w:rFonts w:hint="eastAsia"/>
          <w:snapToGrid/>
        </w:rPr>
        <w:t>年代里，涉及产妇的各类指标持续改进。</w:t>
      </w:r>
      <w:r>
        <w:rPr>
          <w:rStyle w:val="FootnoteReference"/>
          <w:bCs/>
          <w:snapToGrid/>
          <w:szCs w:val="24"/>
        </w:rPr>
        <w:footnoteReference w:id="194"/>
      </w:r>
    </w:p>
    <w:p w:rsidR="00000000" w:rsidRDefault="009C1C61">
      <w:pPr>
        <w:pStyle w:val="Heading4"/>
        <w:rPr>
          <w:rFonts w:ascii="Time New Roman" w:eastAsia="SimHei" w:hAnsi="Time New Roman"/>
          <w:u w:val="none"/>
        </w:rPr>
      </w:pPr>
      <w:r>
        <w:rPr>
          <w:rFonts w:ascii="Time New Roman" w:eastAsia="SimHei" w:hAnsi="Time New Roman" w:hint="eastAsia"/>
          <w:u w:val="none"/>
        </w:rPr>
        <w:t>产妇保护规则所涉范围</w:t>
      </w:r>
    </w:p>
    <w:p w:rsidR="00000000" w:rsidRDefault="009C1C61">
      <w:pPr>
        <w:rPr>
          <w:rFonts w:hint="eastAsia"/>
          <w:snapToGrid/>
          <w:color w:val="000000"/>
          <w:szCs w:val="24"/>
        </w:rPr>
      </w:pPr>
      <w:r>
        <w:rPr>
          <w:rFonts w:hint="eastAsia"/>
          <w:snapToGrid/>
        </w:rPr>
        <w:tab/>
      </w:r>
      <w:r>
        <w:rPr>
          <w:snapToGrid/>
        </w:rPr>
        <w:t>404.</w:t>
      </w:r>
      <w:r>
        <w:rPr>
          <w:rFonts w:hint="eastAsia"/>
          <w:snapToGrid/>
        </w:rPr>
        <w:t xml:space="preserve">  </w:t>
      </w:r>
      <w:r>
        <w:rPr>
          <w:rFonts w:hint="eastAsia"/>
          <w:snapToGrid/>
        </w:rPr>
        <w:t>目前的法律中含有一套保护产妇的规则。</w:t>
      </w:r>
      <w:r>
        <w:rPr>
          <w:rStyle w:val="FootnoteReference"/>
          <w:snapToGrid/>
        </w:rPr>
        <w:footnoteReference w:id="195"/>
      </w:r>
      <w:r>
        <w:rPr>
          <w:rFonts w:hint="eastAsia"/>
          <w:snapToGrid/>
        </w:rPr>
        <w:t xml:space="preserve"> </w:t>
      </w:r>
      <w:r>
        <w:rPr>
          <w:rFonts w:hint="eastAsia"/>
          <w:snapToGrid/>
        </w:rPr>
        <w:t>这些规则的目标是：</w:t>
      </w:r>
      <w:r>
        <w:rPr>
          <w:rFonts w:hint="eastAsia"/>
          <w:snapToGrid/>
        </w:rPr>
        <w:t>(</w:t>
      </w:r>
      <w:r>
        <w:rPr>
          <w:snapToGrid/>
        </w:rPr>
        <w:t>a</w:t>
      </w:r>
      <w:r>
        <w:rPr>
          <w:rFonts w:hint="eastAsia"/>
          <w:snapToGrid/>
        </w:rPr>
        <w:t xml:space="preserve">) </w:t>
      </w:r>
      <w:r>
        <w:rPr>
          <w:rFonts w:hint="eastAsia"/>
          <w:snapToGrid/>
        </w:rPr>
        <w:t>维护劳动者，这里指妇女，并通过她们维护家庭生活、从而间接地维护整个社会的利益；</w:t>
      </w:r>
      <w:r>
        <w:rPr>
          <w:rFonts w:hint="eastAsia"/>
          <w:snapToGrid/>
        </w:rPr>
        <w:t>(</w:t>
      </w:r>
      <w:r>
        <w:rPr>
          <w:snapToGrid/>
        </w:rPr>
        <w:t>b</w:t>
      </w:r>
      <w:r>
        <w:rPr>
          <w:rFonts w:hint="eastAsia"/>
          <w:snapToGrid/>
        </w:rPr>
        <w:t xml:space="preserve">) </w:t>
      </w:r>
      <w:r>
        <w:rPr>
          <w:rFonts w:hint="eastAsia"/>
          <w:snapToGrid/>
        </w:rPr>
        <w:t>尽可能地保证男女之间能够平等地选择工作；</w:t>
      </w:r>
      <w:r>
        <w:rPr>
          <w:rFonts w:hint="eastAsia"/>
          <w:snapToGrid/>
        </w:rPr>
        <w:t>(</w:t>
      </w:r>
      <w:r>
        <w:rPr>
          <w:snapToGrid/>
        </w:rPr>
        <w:t>c</w:t>
      </w:r>
      <w:r>
        <w:rPr>
          <w:rFonts w:hint="eastAsia"/>
          <w:snapToGrid/>
        </w:rPr>
        <w:t xml:space="preserve">) </w:t>
      </w:r>
      <w:r>
        <w:rPr>
          <w:rFonts w:hint="eastAsia"/>
          <w:snapToGrid/>
        </w:rPr>
        <w:t>鉴于胎儿和新生儿本身的意义，维护胎儿和新生儿的权利，这也是生育权、儿童喂养和教育权的自然体现。</w:t>
      </w:r>
    </w:p>
    <w:p w:rsidR="00000000" w:rsidRDefault="009C1C61">
      <w:pPr>
        <w:spacing w:after="320"/>
        <w:rPr>
          <w:rFonts w:hint="eastAsia"/>
          <w:snapToGrid/>
          <w:color w:val="000000"/>
          <w:szCs w:val="24"/>
        </w:rPr>
      </w:pPr>
      <w:r>
        <w:rPr>
          <w:rFonts w:hint="eastAsia"/>
          <w:snapToGrid/>
        </w:rPr>
        <w:tab/>
      </w:r>
      <w:r>
        <w:rPr>
          <w:snapToGrid/>
        </w:rPr>
        <w:t>405.</w:t>
      </w:r>
      <w:r>
        <w:rPr>
          <w:rFonts w:hint="eastAsia"/>
          <w:snapToGrid/>
        </w:rPr>
        <w:t xml:space="preserve">  </w:t>
      </w:r>
      <w:r>
        <w:rPr>
          <w:rFonts w:hint="eastAsia"/>
          <w:snapToGrid/>
        </w:rPr>
        <w:t>关于保护产妇的国家法律所涉范围包括</w:t>
      </w:r>
      <w:r>
        <w:rPr>
          <w:snapToGrid/>
        </w:rPr>
        <w:t>"</w:t>
      </w:r>
      <w:r>
        <w:rPr>
          <w:rFonts w:hint="eastAsia"/>
          <w:snapToGrid/>
        </w:rPr>
        <w:t>所有女性劳动者，并明确提到从事家务服务的工作者。根据《劳工法》，</w:t>
      </w:r>
      <w:r>
        <w:rPr>
          <w:rStyle w:val="FootnoteReference"/>
          <w:snapToGrid/>
        </w:rPr>
        <w:footnoteReference w:id="196"/>
      </w:r>
      <w:r>
        <w:rPr>
          <w:rFonts w:hint="eastAsia"/>
          <w:snapToGrid/>
        </w:rPr>
        <w:t xml:space="preserve"> </w:t>
      </w:r>
      <w:r>
        <w:rPr>
          <w:rFonts w:hint="eastAsia"/>
          <w:snapToGrid/>
        </w:rPr>
        <w:t>产妇保护规则也适用于政府公共管理部门、半公共的服务事业，所有工业服务部门、机构、合作社或企业，并适用于矿业、农业和商业服务部门</w:t>
      </w:r>
      <w:r>
        <w:rPr>
          <w:rFonts w:hint="eastAsia"/>
          <w:snapToGrid/>
        </w:rPr>
        <w:t>(</w:t>
      </w:r>
      <w:r>
        <w:rPr>
          <w:rFonts w:hint="eastAsia"/>
          <w:snapToGrid/>
        </w:rPr>
        <w:t>无论是国有的、独立经管的半国有的、市政府所有的或私有的，还是属于公开上市的或者私人经营的公司</w:t>
      </w:r>
      <w:r>
        <w:rPr>
          <w:rFonts w:hint="eastAsia"/>
          <w:snapToGrid/>
        </w:rPr>
        <w:t>)</w:t>
      </w:r>
      <w:r>
        <w:rPr>
          <w:rFonts w:hint="eastAsia"/>
          <w:snapToGrid/>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妇女怀孕期间人身不受侵犯权</w:t>
      </w:r>
    </w:p>
    <w:p w:rsidR="00000000" w:rsidRDefault="009C1C61">
      <w:pPr>
        <w:spacing w:after="320"/>
        <w:rPr>
          <w:rFonts w:hint="eastAsia"/>
          <w:snapToGrid/>
          <w:color w:val="000000"/>
          <w:szCs w:val="24"/>
        </w:rPr>
      </w:pPr>
      <w:r>
        <w:rPr>
          <w:rFonts w:hint="eastAsia"/>
          <w:snapToGrid/>
        </w:rPr>
        <w:tab/>
      </w:r>
      <w:r>
        <w:rPr>
          <w:snapToGrid/>
        </w:rPr>
        <w:t>406.</w:t>
      </w:r>
      <w:r>
        <w:rPr>
          <w:rFonts w:hint="eastAsia"/>
          <w:snapToGrid/>
        </w:rPr>
        <w:t xml:space="preserve">  </w:t>
      </w:r>
      <w:r>
        <w:rPr>
          <w:rFonts w:hint="eastAsia"/>
          <w:snapToGrid/>
        </w:rPr>
        <w:t>根据《劳工法》第</w:t>
      </w:r>
      <w:r>
        <w:rPr>
          <w:snapToGrid/>
        </w:rPr>
        <w:t>202</w:t>
      </w:r>
      <w:r>
        <w:rPr>
          <w:rFonts w:hint="eastAsia"/>
          <w:snapToGrid/>
        </w:rPr>
        <w:t>条，平时受雇从事主管当局认为有害其健康的任务的女工在怀孕期间必须调换到无害其正常怀孕情况的其他岗位，而这一调换不应导致其工资收到损失。该条阐述了特别损害怀</w:t>
      </w:r>
      <w:r>
        <w:rPr>
          <w:rFonts w:hint="eastAsia"/>
          <w:snapToGrid/>
        </w:rPr>
        <w:t>孕妇女健康的职务，其中包括需要提举、拖曳和推动重物的工作；消耗体力、包括需要长时间站立的工作；加班以及主管当局认为不适合于怀孕状况的任何其他工作。</w:t>
      </w:r>
    </w:p>
    <w:p w:rsidR="00000000" w:rsidRDefault="009C1C61">
      <w:pPr>
        <w:pStyle w:val="Heading4"/>
        <w:rPr>
          <w:rFonts w:ascii="Time New Roman" w:eastAsia="SimHei" w:hAnsi="Time New Roman"/>
          <w:u w:val="none"/>
        </w:rPr>
      </w:pPr>
      <w:r>
        <w:rPr>
          <w:rFonts w:ascii="Time New Roman" w:eastAsia="SimHei" w:hAnsi="Time New Roman" w:hint="eastAsia"/>
          <w:u w:val="none"/>
        </w:rPr>
        <w:t>怀孕期间不受歧视的权利</w:t>
      </w:r>
    </w:p>
    <w:p w:rsidR="00000000" w:rsidRDefault="009C1C61">
      <w:pPr>
        <w:spacing w:after="320"/>
        <w:rPr>
          <w:rFonts w:hint="eastAsia"/>
          <w:snapToGrid/>
          <w:color w:val="000000"/>
          <w:szCs w:val="24"/>
        </w:rPr>
      </w:pPr>
      <w:r>
        <w:rPr>
          <w:rFonts w:hint="eastAsia"/>
          <w:snapToGrid/>
        </w:rPr>
        <w:tab/>
      </w:r>
      <w:r>
        <w:rPr>
          <w:snapToGrid/>
        </w:rPr>
        <w:t>407.</w:t>
      </w:r>
      <w:r>
        <w:rPr>
          <w:rFonts w:hint="eastAsia"/>
          <w:snapToGrid/>
        </w:rPr>
        <w:t xml:space="preserve">  </w:t>
      </w:r>
      <w:r>
        <w:rPr>
          <w:rFonts w:hint="eastAsia"/>
          <w:snapToGrid/>
        </w:rPr>
        <w:t>《劳工法》第</w:t>
      </w:r>
      <w:r>
        <w:rPr>
          <w:snapToGrid/>
        </w:rPr>
        <w:t>194</w:t>
      </w:r>
      <w:r>
        <w:rPr>
          <w:rFonts w:hint="eastAsia"/>
          <w:snapToGrid/>
        </w:rPr>
        <w:t>条中新加了一款，</w:t>
      </w:r>
      <w:r>
        <w:rPr>
          <w:rStyle w:val="FootnoteReference"/>
          <w:snapToGrid/>
        </w:rPr>
        <w:footnoteReference w:id="197"/>
      </w:r>
      <w:r>
        <w:rPr>
          <w:rFonts w:hint="eastAsia"/>
          <w:snapToGrid/>
        </w:rPr>
        <w:t xml:space="preserve"> </w:t>
      </w:r>
      <w:r>
        <w:rPr>
          <w:rFonts w:hint="eastAsia"/>
          <w:snapToGrid/>
        </w:rPr>
        <w:t>根据该款，任何雇主不得依据妇女是否怀孕来决定是否雇佣、继续雇佣女工或者准许其签订新的合同，或决定是否提升或调动工作职位，也不得为此而要求出示证明或进行检查，以查明女工是否怀孕。</w:t>
      </w:r>
    </w:p>
    <w:p w:rsidR="00000000" w:rsidRDefault="009C1C61">
      <w:pPr>
        <w:pStyle w:val="Heading4"/>
        <w:rPr>
          <w:rFonts w:ascii="Time New Roman" w:eastAsia="SimHei" w:hAnsi="Time New Roman"/>
          <w:u w:val="none"/>
        </w:rPr>
      </w:pPr>
      <w:r>
        <w:rPr>
          <w:rFonts w:ascii="Time New Roman" w:eastAsia="SimHei" w:hAnsi="Time New Roman" w:hint="eastAsia"/>
          <w:u w:val="none"/>
        </w:rPr>
        <w:t>产</w:t>
      </w:r>
      <w:r>
        <w:rPr>
          <w:rFonts w:ascii="Time New Roman" w:eastAsia="SimHei" w:hAnsi="Time New Roman" w:hint="eastAsia"/>
          <w:u w:val="none"/>
        </w:rPr>
        <w:t xml:space="preserve">  </w:t>
      </w:r>
      <w:r>
        <w:rPr>
          <w:rFonts w:ascii="Time New Roman" w:eastAsia="SimHei" w:hAnsi="Time New Roman" w:hint="eastAsia"/>
          <w:u w:val="none"/>
        </w:rPr>
        <w:t>假</w:t>
      </w:r>
    </w:p>
    <w:p w:rsidR="00000000" w:rsidRDefault="009C1C61">
      <w:pPr>
        <w:rPr>
          <w:rFonts w:hint="eastAsia"/>
          <w:snapToGrid/>
          <w:color w:val="000000"/>
          <w:szCs w:val="24"/>
        </w:rPr>
      </w:pPr>
      <w:r>
        <w:rPr>
          <w:rFonts w:hint="eastAsia"/>
          <w:snapToGrid/>
        </w:rPr>
        <w:tab/>
      </w:r>
      <w:r>
        <w:rPr>
          <w:snapToGrid/>
        </w:rPr>
        <w:t>408.</w:t>
      </w:r>
      <w:r>
        <w:rPr>
          <w:rFonts w:hint="eastAsia"/>
          <w:snapToGrid/>
        </w:rPr>
        <w:t xml:space="preserve">  </w:t>
      </w:r>
      <w:r>
        <w:rPr>
          <w:rFonts w:hint="eastAsia"/>
          <w:snapToGrid/>
        </w:rPr>
        <w:t>产假已正式列入《劳工法》，</w:t>
      </w:r>
      <w:r>
        <w:rPr>
          <w:rStyle w:val="FootnoteReference"/>
          <w:snapToGrid/>
        </w:rPr>
        <w:footnoteReference w:id="198"/>
      </w:r>
      <w:r>
        <w:rPr>
          <w:rFonts w:hint="eastAsia"/>
          <w:snapToGrid/>
        </w:rPr>
        <w:t xml:space="preserve"> </w:t>
      </w:r>
      <w:r>
        <w:rPr>
          <w:rFonts w:hint="eastAsia"/>
          <w:snapToGrid/>
        </w:rPr>
        <w:t>这是女工在产前和产后的特定时间内停工休息的不得取消的权利</w:t>
      </w:r>
      <w:r>
        <w:rPr>
          <w:rFonts w:hint="eastAsia"/>
          <w:snapToGrid/>
        </w:rPr>
        <w:t>。产假期间，女工得到的等同于其正常工资的津贴，同时必须保留工作。这一假期通常称为产前和产后妇产假，分别为分娩前六个星期、分娩后十二个星期，但带有一项附带条件，即在一些情况下，产前产后两段休假及其相应的津贴可以增补：</w:t>
      </w:r>
    </w:p>
    <w:p w:rsidR="00000000" w:rsidRDefault="009C1C61">
      <w:pPr>
        <w:widowControl w:val="0"/>
        <w:numPr>
          <w:ilvl w:val="0"/>
          <w:numId w:val="266"/>
        </w:numPr>
        <w:rPr>
          <w:snapToGrid/>
          <w:color w:val="000000"/>
          <w:szCs w:val="24"/>
        </w:rPr>
      </w:pPr>
      <w:r>
        <w:rPr>
          <w:rFonts w:hint="eastAsia"/>
          <w:snapToGrid/>
          <w:color w:val="000000"/>
          <w:szCs w:val="24"/>
        </w:rPr>
        <w:t>分娩前</w:t>
      </w:r>
    </w:p>
    <w:p w:rsidR="00000000" w:rsidRDefault="009C1C61">
      <w:pPr>
        <w:widowControl w:val="0"/>
        <w:overflowPunct/>
        <w:autoSpaceDE w:val="0"/>
        <w:autoSpaceDN w:val="0"/>
        <w:snapToGrid/>
        <w:ind w:left="2040" w:hanging="465"/>
        <w:jc w:val="left"/>
        <w:rPr>
          <w:rFonts w:hint="eastAsia"/>
          <w:snapToGrid/>
          <w:color w:val="000000"/>
          <w:szCs w:val="24"/>
        </w:rPr>
      </w:pPr>
      <w:r>
        <w:rPr>
          <w:rFonts w:hint="eastAsia"/>
          <w:snapToGrid/>
          <w:color w:val="000000"/>
          <w:szCs w:val="24"/>
        </w:rPr>
        <w:t>(</w:t>
      </w:r>
      <w:r>
        <w:rPr>
          <w:snapToGrid/>
          <w:color w:val="000000"/>
          <w:szCs w:val="24"/>
        </w:rPr>
        <w:t>i</w:t>
      </w:r>
      <w:r>
        <w:rPr>
          <w:rFonts w:hint="eastAsia"/>
          <w:snapToGrid/>
          <w:color w:val="000000"/>
          <w:szCs w:val="24"/>
        </w:rPr>
        <w:t>)</w:t>
      </w:r>
      <w:r>
        <w:rPr>
          <w:rFonts w:hint="eastAsia"/>
          <w:snapToGrid/>
          <w:color w:val="000000"/>
          <w:szCs w:val="24"/>
        </w:rPr>
        <w:tab/>
      </w:r>
      <w:r>
        <w:rPr>
          <w:rFonts w:hint="eastAsia"/>
          <w:snapToGrid/>
          <w:color w:val="000000"/>
          <w:szCs w:val="24"/>
        </w:rPr>
        <w:t>女工从怀胎到产前的初期阶段的任何怀孕期间如果患有与怀孕有关的疾病，应有权享受额外的产前假，延长的具体时间由向其提供预防或治疗性医疗的部门来确定。</w:t>
      </w:r>
      <w:r>
        <w:rPr>
          <w:rStyle w:val="FootnoteReference"/>
          <w:snapToGrid/>
          <w:szCs w:val="24"/>
        </w:rPr>
        <w:footnoteReference w:id="199"/>
      </w:r>
    </w:p>
    <w:p w:rsidR="00000000" w:rsidRDefault="009C1C61">
      <w:pPr>
        <w:widowControl w:val="0"/>
        <w:overflowPunct/>
        <w:autoSpaceDE w:val="0"/>
        <w:autoSpaceDN w:val="0"/>
        <w:snapToGrid/>
        <w:ind w:left="2040" w:hanging="465"/>
        <w:jc w:val="left"/>
        <w:rPr>
          <w:rFonts w:hint="eastAsia"/>
          <w:snapToGrid/>
          <w:color w:val="000000"/>
          <w:szCs w:val="24"/>
        </w:rPr>
      </w:pPr>
      <w:r>
        <w:rPr>
          <w:rFonts w:hint="eastAsia"/>
          <w:snapToGrid/>
          <w:color w:val="000000"/>
          <w:szCs w:val="24"/>
        </w:rPr>
        <w:t>(</w:t>
      </w:r>
      <w:r>
        <w:rPr>
          <w:snapToGrid/>
          <w:color w:val="000000"/>
          <w:szCs w:val="24"/>
        </w:rPr>
        <w:t>ii</w:t>
      </w:r>
      <w:r>
        <w:rPr>
          <w:rFonts w:hint="eastAsia"/>
          <w:snapToGrid/>
          <w:color w:val="000000"/>
          <w:szCs w:val="24"/>
        </w:rPr>
        <w:t>)</w:t>
      </w:r>
      <w:r>
        <w:rPr>
          <w:rFonts w:hint="eastAsia"/>
          <w:snapToGrid/>
          <w:color w:val="000000"/>
          <w:szCs w:val="24"/>
        </w:rPr>
        <w:tab/>
      </w:r>
      <w:r>
        <w:rPr>
          <w:rFonts w:hint="eastAsia"/>
          <w:snapToGrid/>
          <w:color w:val="000000"/>
          <w:szCs w:val="24"/>
        </w:rPr>
        <w:t>如果分娩推迟，产前假应当延长至分娩为止。</w:t>
      </w:r>
      <w:r>
        <w:rPr>
          <w:rStyle w:val="FootnoteReference"/>
          <w:snapToGrid/>
          <w:szCs w:val="24"/>
        </w:rPr>
        <w:footnoteReference w:id="200"/>
      </w:r>
    </w:p>
    <w:p w:rsidR="00000000" w:rsidRDefault="009C1C61">
      <w:pPr>
        <w:widowControl w:val="0"/>
        <w:numPr>
          <w:ilvl w:val="0"/>
          <w:numId w:val="266"/>
        </w:numPr>
        <w:rPr>
          <w:rFonts w:hint="eastAsia"/>
          <w:snapToGrid/>
          <w:color w:val="000000"/>
          <w:szCs w:val="24"/>
        </w:rPr>
      </w:pPr>
      <w:r>
        <w:rPr>
          <w:rFonts w:hint="eastAsia"/>
          <w:snapToGrid/>
          <w:color w:val="000000"/>
          <w:szCs w:val="24"/>
        </w:rPr>
        <w:t>如果女工由于生育而在分娩后患病，其产后假应当延长，延长的具体时间由向其提供预防</w:t>
      </w:r>
      <w:r>
        <w:rPr>
          <w:rFonts w:hint="eastAsia"/>
          <w:snapToGrid/>
          <w:color w:val="000000"/>
          <w:szCs w:val="24"/>
        </w:rPr>
        <w:t>或治疗性医疗的部门来确定。</w:t>
      </w:r>
      <w:r>
        <w:rPr>
          <w:rStyle w:val="FootnoteReference"/>
          <w:snapToGrid/>
        </w:rPr>
        <w:footnoteReference w:id="201"/>
      </w:r>
    </w:p>
    <w:p w:rsidR="00000000" w:rsidRDefault="009C1C61">
      <w:pPr>
        <w:spacing w:after="320"/>
        <w:rPr>
          <w:snapToGrid/>
        </w:rPr>
      </w:pPr>
      <w:r>
        <w:rPr>
          <w:rFonts w:hint="eastAsia"/>
          <w:snapToGrid/>
        </w:rPr>
        <w:tab/>
      </w:r>
      <w:r>
        <w:rPr>
          <w:snapToGrid/>
        </w:rPr>
        <w:t>409.</w:t>
      </w:r>
      <w:r>
        <w:rPr>
          <w:rFonts w:hint="eastAsia"/>
          <w:snapToGrid/>
        </w:rPr>
        <w:t xml:space="preserve">  </w:t>
      </w:r>
      <w:r>
        <w:rPr>
          <w:rFonts w:hint="eastAsia"/>
          <w:snapToGrid/>
        </w:rPr>
        <w:t>按照《劳工法》规定，请产假或请额外产假或延长产假的女工有权取得等同于正常情况下所取得的全部薪酬和福利，其间仅扣除社会保障费和其他相应的法律费用。</w:t>
      </w:r>
      <w:r>
        <w:rPr>
          <w:rStyle w:val="FootnoteReference"/>
          <w:snapToGrid/>
          <w:szCs w:val="24"/>
        </w:rPr>
        <w:footnoteReference w:id="202"/>
      </w:r>
      <w:r>
        <w:rPr>
          <w:rFonts w:hint="eastAsia"/>
          <w:snapToGrid/>
          <w:szCs w:val="24"/>
        </w:rPr>
        <w:t xml:space="preserve"> </w:t>
      </w:r>
      <w:r>
        <w:rPr>
          <w:rFonts w:hint="eastAsia"/>
          <w:snapToGrid/>
        </w:rPr>
        <w:t>根据法律，</w:t>
      </w:r>
      <w:r>
        <w:rPr>
          <w:rStyle w:val="FootnoteReference"/>
          <w:snapToGrid/>
          <w:szCs w:val="24"/>
        </w:rPr>
        <w:footnoteReference w:id="203"/>
      </w:r>
      <w:r>
        <w:rPr>
          <w:rFonts w:hint="eastAsia"/>
          <w:snapToGrid/>
          <w:szCs w:val="24"/>
        </w:rPr>
        <w:t xml:space="preserve"> </w:t>
      </w:r>
      <w:r>
        <w:rPr>
          <w:rFonts w:hint="eastAsia"/>
          <w:snapToGrid/>
        </w:rPr>
        <w:t>如果产妇在分娩期间或在产后假期间死亡，产后假或尚未用尽的产假还可由新生儿的父亲承用，后者还有权取得等同于产妇原应得到的津贴。</w:t>
      </w:r>
      <w:r>
        <w:rPr>
          <w:rStyle w:val="FootnoteReference"/>
          <w:snapToGrid/>
          <w:szCs w:val="24"/>
        </w:rPr>
        <w:footnoteReference w:id="204"/>
      </w:r>
      <w:r>
        <w:rPr>
          <w:rFonts w:hint="eastAsia"/>
          <w:snapToGrid/>
          <w:szCs w:val="24"/>
        </w:rPr>
        <w:t xml:space="preserve"> </w:t>
      </w:r>
      <w:r>
        <w:rPr>
          <w:rFonts w:hint="eastAsia"/>
          <w:snapToGrid/>
        </w:rPr>
        <w:t>《劳工法》第</w:t>
      </w:r>
      <w:r>
        <w:rPr>
          <w:snapToGrid/>
        </w:rPr>
        <w:t>200</w:t>
      </w:r>
      <w:r>
        <w:rPr>
          <w:rFonts w:hint="eastAsia"/>
          <w:snapToGrid/>
        </w:rPr>
        <w:t>条的同一法律还规定，女工或男工如果由法院裁定给予其对未成年人的监护权，或者作为一种保护措施责成其亲自照看儿童，则看护六个月以下儿童的女工或男工可以请十二个星期的</w:t>
      </w:r>
      <w:r>
        <w:rPr>
          <w:rFonts w:hint="eastAsia"/>
          <w:snapToGrid/>
        </w:rPr>
        <w:t>带津贴假期。</w:t>
      </w:r>
    </w:p>
    <w:p w:rsidR="00000000" w:rsidRDefault="009C1C61">
      <w:pPr>
        <w:pStyle w:val="Heading4"/>
        <w:rPr>
          <w:rFonts w:ascii="Time New Roman" w:eastAsia="SimHei" w:hAnsi="Time New Roman"/>
          <w:u w:val="none"/>
        </w:rPr>
      </w:pPr>
      <w:r>
        <w:rPr>
          <w:rFonts w:ascii="Time New Roman" w:eastAsia="SimHei" w:hAnsi="Time New Roman" w:hint="eastAsia"/>
          <w:u w:val="none"/>
        </w:rPr>
        <w:t>产假期间的现金、医疗和其他社会保障福利</w:t>
      </w:r>
    </w:p>
    <w:p w:rsidR="00000000" w:rsidRDefault="009C1C61">
      <w:pPr>
        <w:rPr>
          <w:snapToGrid/>
        </w:rPr>
      </w:pPr>
      <w:r>
        <w:rPr>
          <w:rFonts w:hint="eastAsia"/>
          <w:snapToGrid/>
        </w:rPr>
        <w:tab/>
      </w:r>
      <w:r>
        <w:rPr>
          <w:snapToGrid/>
        </w:rPr>
        <w:t>410.</w:t>
      </w:r>
      <w:r>
        <w:rPr>
          <w:rFonts w:hint="eastAsia"/>
          <w:snapToGrid/>
        </w:rPr>
        <w:t xml:space="preserve">  </w:t>
      </w:r>
      <w:r>
        <w:rPr>
          <w:rFonts w:hint="eastAsia"/>
          <w:snapToGrid/>
        </w:rPr>
        <w:t>属于国卫基金</w:t>
      </w:r>
      <w:r>
        <w:rPr>
          <w:snapToGrid/>
        </w:rPr>
        <w:t>A</w:t>
      </w:r>
      <w:r>
        <w:rPr>
          <w:rFonts w:hint="eastAsia"/>
          <w:snapToGrid/>
        </w:rPr>
        <w:t>组和</w:t>
      </w:r>
      <w:r>
        <w:rPr>
          <w:snapToGrid/>
        </w:rPr>
        <w:t>B</w:t>
      </w:r>
      <w:r>
        <w:rPr>
          <w:rFonts w:hint="eastAsia"/>
          <w:snapToGrid/>
        </w:rPr>
        <w:t>组</w:t>
      </w:r>
      <w:r>
        <w:rPr>
          <w:snapToGrid/>
        </w:rPr>
        <w:t>(</w:t>
      </w:r>
      <w:r>
        <w:rPr>
          <w:rFonts w:hint="eastAsia"/>
          <w:snapToGrid/>
        </w:rPr>
        <w:t>免费保健</w:t>
      </w:r>
      <w:r>
        <w:rPr>
          <w:snapToGrid/>
        </w:rPr>
        <w:t>)</w:t>
      </w:r>
      <w:r>
        <w:rPr>
          <w:rFonts w:hint="eastAsia"/>
          <w:snapToGrid/>
        </w:rPr>
        <w:t>的怀孕妇女，以及国卫基金</w:t>
      </w:r>
      <w:r>
        <w:rPr>
          <w:snapToGrid/>
        </w:rPr>
        <w:t>C</w:t>
      </w:r>
      <w:r>
        <w:rPr>
          <w:rFonts w:hint="eastAsia"/>
          <w:snapToGrid/>
        </w:rPr>
        <w:t>组和</w:t>
      </w:r>
      <w:r>
        <w:rPr>
          <w:snapToGrid/>
        </w:rPr>
        <w:t>D</w:t>
      </w:r>
      <w:r>
        <w:rPr>
          <w:rFonts w:hint="eastAsia"/>
          <w:snapToGrid/>
        </w:rPr>
        <w:t>组</w:t>
      </w:r>
      <w:r>
        <w:rPr>
          <w:snapToGrid/>
        </w:rPr>
        <w:t>(</w:t>
      </w:r>
      <w:r>
        <w:rPr>
          <w:rFonts w:hint="eastAsia"/>
          <w:snapToGrid/>
        </w:rPr>
        <w:t>需付</w:t>
      </w:r>
      <w:r>
        <w:rPr>
          <w:snapToGrid/>
        </w:rPr>
        <w:t>10%</w:t>
      </w:r>
      <w:r>
        <w:rPr>
          <w:rFonts w:hint="eastAsia"/>
          <w:snapToGrid/>
        </w:rPr>
        <w:t>至</w:t>
      </w:r>
      <w:r>
        <w:rPr>
          <w:snapToGrid/>
        </w:rPr>
        <w:t>20%</w:t>
      </w:r>
      <w:r>
        <w:rPr>
          <w:rFonts w:hint="eastAsia"/>
          <w:snapToGrid/>
        </w:rPr>
        <w:t>的费用</w:t>
      </w:r>
      <w:r>
        <w:rPr>
          <w:snapToGrid/>
        </w:rPr>
        <w:t>)</w:t>
      </w:r>
      <w:r>
        <w:rPr>
          <w:rFonts w:hint="eastAsia"/>
          <w:snapToGrid/>
        </w:rPr>
        <w:t>的怀孕妇女所享受的保健福利如下：产前检查、分娩护理、产后检查和食物供给</w:t>
      </w:r>
      <w:r>
        <w:rPr>
          <w:rFonts w:hint="eastAsia"/>
          <w:snapToGrid/>
        </w:rPr>
        <w:t>(</w:t>
      </w:r>
      <w:r>
        <w:rPr>
          <w:rFonts w:hint="eastAsia"/>
          <w:snapToGrid/>
        </w:rPr>
        <w:t>通过向六岁以下儿童及孕妇提供食物的补充食物署补给</w:t>
      </w:r>
      <w:r>
        <w:rPr>
          <w:rFonts w:hint="eastAsia"/>
          <w:snapToGrid/>
        </w:rPr>
        <w:t>)</w:t>
      </w:r>
      <w:r>
        <w:rPr>
          <w:rFonts w:hint="eastAsia"/>
          <w:snapToGrid/>
        </w:rPr>
        <w:t>。</w:t>
      </w:r>
    </w:p>
    <w:p w:rsidR="00000000" w:rsidRDefault="009C1C61">
      <w:pPr>
        <w:rPr>
          <w:snapToGrid/>
        </w:rPr>
      </w:pPr>
      <w:r>
        <w:rPr>
          <w:rFonts w:hint="eastAsia"/>
          <w:snapToGrid/>
        </w:rPr>
        <w:tab/>
      </w:r>
      <w:r>
        <w:rPr>
          <w:snapToGrid/>
        </w:rPr>
        <w:t>411.</w:t>
      </w:r>
      <w:r>
        <w:rPr>
          <w:rFonts w:hint="eastAsia"/>
          <w:snapToGrid/>
        </w:rPr>
        <w:t xml:space="preserve">  </w:t>
      </w:r>
      <w:r>
        <w:rPr>
          <w:rFonts w:hint="eastAsia"/>
          <w:snapToGrid/>
        </w:rPr>
        <w:t>智利是本地区所有国家中认可产假最长的国家：有十八个星期，其中十二个星期必须在产后使用。但是，如果患有与怀孕或分娩有关的疾病，可以额外请假。在这期间，该女工可以领取相当于工作期间工资的</w:t>
      </w:r>
      <w:r>
        <w:rPr>
          <w:snapToGrid/>
        </w:rPr>
        <w:t>100%</w:t>
      </w:r>
      <w:r>
        <w:rPr>
          <w:rFonts w:hint="eastAsia"/>
          <w:snapToGrid/>
        </w:rPr>
        <w:t>的现金补贴，由社会</w:t>
      </w:r>
      <w:r>
        <w:rPr>
          <w:rFonts w:hint="eastAsia"/>
          <w:snapToGrid/>
        </w:rPr>
        <w:t>保障系统支付，仅扣除社会保障费及相应的法律费用。</w:t>
      </w:r>
    </w:p>
    <w:p w:rsidR="00000000" w:rsidRDefault="009C1C61">
      <w:pPr>
        <w:rPr>
          <w:snapToGrid/>
        </w:rPr>
      </w:pPr>
      <w:r>
        <w:rPr>
          <w:rFonts w:hint="eastAsia"/>
          <w:snapToGrid/>
        </w:rPr>
        <w:tab/>
      </w:r>
      <w:r>
        <w:rPr>
          <w:snapToGrid/>
        </w:rPr>
        <w:t>412.</w:t>
      </w:r>
      <w:r>
        <w:rPr>
          <w:rFonts w:hint="eastAsia"/>
          <w:snapToGrid/>
        </w:rPr>
        <w:t xml:space="preserve">  </w:t>
      </w:r>
      <w:r>
        <w:rPr>
          <w:rFonts w:hint="eastAsia"/>
          <w:snapToGrid/>
        </w:rPr>
        <w:t>如上文所述，喂奶期间的女工每一工作日可以休息两次，总计一小时，以便喂奶。喂奶时间算作工作时间，并照付工资，另外还包括往返托儿所的时间。</w:t>
      </w:r>
    </w:p>
    <w:p w:rsidR="00000000" w:rsidRDefault="009C1C61">
      <w:pPr>
        <w:rPr>
          <w:snapToGrid/>
        </w:rPr>
      </w:pPr>
      <w:r>
        <w:rPr>
          <w:rFonts w:hint="eastAsia"/>
          <w:snapToGrid/>
        </w:rPr>
        <w:tab/>
      </w:r>
      <w:r>
        <w:rPr>
          <w:snapToGrid/>
        </w:rPr>
        <w:t>413.</w:t>
      </w:r>
      <w:r>
        <w:rPr>
          <w:rFonts w:hint="eastAsia"/>
          <w:snapToGrid/>
        </w:rPr>
        <w:t xml:space="preserve">  </w:t>
      </w:r>
      <w:r>
        <w:rPr>
          <w:rFonts w:hint="eastAsia"/>
          <w:snapToGrid/>
        </w:rPr>
        <w:t>如果产妇死亡，产后假由父亲承用，可以带薪，但不附带产妇的福利。领养母亲也可以休产假。同样，如果法院裁定给予其对未成年人的监护权，或者作为一种保护措施责成其照看儿童，则看护六个月以下儿童的女工或男工可以领取</w:t>
      </w:r>
      <w:r>
        <w:rPr>
          <w:snapToGrid/>
        </w:rPr>
        <w:t>12</w:t>
      </w:r>
      <w:r>
        <w:rPr>
          <w:rFonts w:hint="eastAsia"/>
          <w:snapToGrid/>
        </w:rPr>
        <w:t>个星期的津贴。</w:t>
      </w:r>
      <w:r>
        <w:rPr>
          <w:rStyle w:val="FootnoteReference"/>
          <w:snapToGrid/>
          <w:szCs w:val="24"/>
        </w:rPr>
        <w:footnoteReference w:id="205"/>
      </w:r>
      <w:r>
        <w:rPr>
          <w:rFonts w:hint="eastAsia"/>
          <w:snapToGrid/>
          <w:szCs w:val="24"/>
        </w:rPr>
        <w:t xml:space="preserve"> </w:t>
      </w:r>
      <w:r>
        <w:rPr>
          <w:rFonts w:hint="eastAsia"/>
          <w:snapToGrid/>
        </w:rPr>
        <w:t>在上班的母亲或父亲恰好获准休假期间或者男工或女工根据前一段所述的条件获准</w:t>
      </w:r>
      <w:r>
        <w:rPr>
          <w:rFonts w:hint="eastAsia"/>
          <w:snapToGrid/>
        </w:rPr>
        <w:t>请假照看儿童期间，如果不到周岁的儿童患有严重疾病，则该名工人在按《劳工法》休假期间有权得到津贴。</w:t>
      </w:r>
    </w:p>
    <w:p w:rsidR="00000000" w:rsidRDefault="009C1C61">
      <w:pPr>
        <w:rPr>
          <w:snapToGrid/>
        </w:rPr>
      </w:pPr>
      <w:r>
        <w:rPr>
          <w:rFonts w:hint="eastAsia"/>
          <w:snapToGrid/>
        </w:rPr>
        <w:tab/>
      </w:r>
      <w:r>
        <w:rPr>
          <w:snapToGrid/>
        </w:rPr>
        <w:t>414.</w:t>
      </w:r>
      <w:r>
        <w:rPr>
          <w:rFonts w:hint="eastAsia"/>
          <w:snapToGrid/>
        </w:rPr>
        <w:t xml:space="preserve">  </w:t>
      </w:r>
      <w:r>
        <w:rPr>
          <w:rFonts w:hint="eastAsia"/>
          <w:snapToGrid/>
        </w:rPr>
        <w:t>前面五段中所提到的津贴的计算方法与其他丧失工作能力津贴相同，其发放条件有专门的规则规定。</w:t>
      </w:r>
      <w:r>
        <w:rPr>
          <w:rStyle w:val="FootnoteReference"/>
          <w:snapToGrid/>
        </w:rPr>
        <w:footnoteReference w:id="206"/>
      </w:r>
    </w:p>
    <w:p w:rsidR="00000000" w:rsidRDefault="009C1C61">
      <w:pPr>
        <w:rPr>
          <w:snapToGrid/>
        </w:rPr>
      </w:pPr>
      <w:r>
        <w:rPr>
          <w:rFonts w:hint="eastAsia"/>
          <w:snapToGrid/>
        </w:rPr>
        <w:tab/>
      </w:r>
      <w:r>
        <w:rPr>
          <w:snapToGrid/>
        </w:rPr>
        <w:t>415.</w:t>
      </w:r>
      <w:r>
        <w:rPr>
          <w:rFonts w:hint="eastAsia"/>
          <w:snapToGrid/>
        </w:rPr>
        <w:t xml:space="preserve">  </w:t>
      </w:r>
      <w:r>
        <w:rPr>
          <w:rFonts w:hint="eastAsia"/>
          <w:snapToGrid/>
        </w:rPr>
        <w:t>对于受雇工作人员，这些津贴应根据离产假开始前最近的三个月内所付薪酬和福利来计算。</w:t>
      </w:r>
      <w:r>
        <w:rPr>
          <w:rStyle w:val="FootnoteReference"/>
          <w:snapToGrid/>
        </w:rPr>
        <w:footnoteReference w:id="207"/>
      </w:r>
      <w:r>
        <w:rPr>
          <w:rFonts w:hint="eastAsia"/>
          <w:snapToGrid/>
        </w:rPr>
        <w:t xml:space="preserve"> </w:t>
      </w:r>
      <w:r>
        <w:rPr>
          <w:rFonts w:hint="eastAsia"/>
          <w:snapToGrid/>
        </w:rPr>
        <w:t>对于无单位独立工作人员，这项津贴将顾及产假开始前六个月里所付保费依据的收入和福利。</w:t>
      </w:r>
      <w:r>
        <w:rPr>
          <w:rStyle w:val="FootnoteReference"/>
          <w:snapToGrid/>
        </w:rPr>
        <w:footnoteReference w:id="208"/>
      </w:r>
    </w:p>
    <w:p w:rsidR="00000000" w:rsidRDefault="009C1C61">
      <w:pPr>
        <w:rPr>
          <w:snapToGrid/>
        </w:rPr>
      </w:pPr>
      <w:r>
        <w:rPr>
          <w:rFonts w:hint="eastAsia"/>
          <w:snapToGrid/>
        </w:rPr>
        <w:tab/>
      </w:r>
      <w:r>
        <w:rPr>
          <w:snapToGrid/>
        </w:rPr>
        <w:t>416.</w:t>
      </w:r>
      <w:r>
        <w:rPr>
          <w:rFonts w:hint="eastAsia"/>
          <w:snapToGrid/>
        </w:rPr>
        <w:t xml:space="preserve">  </w:t>
      </w:r>
      <w:r>
        <w:rPr>
          <w:rFonts w:hint="eastAsia"/>
          <w:snapToGrid/>
        </w:rPr>
        <w:t>根据法律，对于无单位独立女性工作人员，</w:t>
      </w:r>
      <w:r>
        <w:rPr>
          <w:rStyle w:val="FootnoteReference"/>
          <w:snapToGrid/>
        </w:rPr>
        <w:footnoteReference w:id="209"/>
      </w:r>
      <w:r>
        <w:rPr>
          <w:rFonts w:hint="eastAsia"/>
          <w:snapToGrid/>
        </w:rPr>
        <w:t xml:space="preserve"> </w:t>
      </w:r>
      <w:r>
        <w:rPr>
          <w:rFonts w:hint="eastAsia"/>
          <w:snapToGrid/>
        </w:rPr>
        <w:t>每日津贴额不能超过：应税收入，减去社会保险的保费及津贴</w:t>
      </w:r>
      <w:r>
        <w:rPr>
          <w:rFonts w:hint="eastAsia"/>
          <w:snapToGrid/>
        </w:rPr>
        <w:t>(</w:t>
      </w:r>
      <w:r>
        <w:rPr>
          <w:rFonts w:hint="eastAsia"/>
          <w:snapToGrid/>
        </w:rPr>
        <w:t>为领取这笔津</w:t>
      </w:r>
      <w:r>
        <w:rPr>
          <w:rFonts w:hint="eastAsia"/>
          <w:snapToGrid/>
        </w:rPr>
        <w:t>贴，保费已在产假开始前的第八个日历月以前的三个月内付清</w:t>
      </w:r>
      <w:r>
        <w:rPr>
          <w:rFonts w:hint="eastAsia"/>
          <w:snapToGrid/>
        </w:rPr>
        <w:t>)</w:t>
      </w:r>
      <w:r>
        <w:rPr>
          <w:rFonts w:hint="eastAsia"/>
          <w:snapToGrid/>
        </w:rPr>
        <w:t>，除以</w:t>
      </w:r>
      <w:r>
        <w:rPr>
          <w:snapToGrid/>
        </w:rPr>
        <w:t>90,</w:t>
      </w:r>
      <w:r>
        <w:rPr>
          <w:rFonts w:hint="eastAsia"/>
          <w:snapToGrid/>
        </w:rPr>
        <w:t xml:space="preserve"> </w:t>
      </w:r>
      <w:r>
        <w:rPr>
          <w:rFonts w:hint="eastAsia"/>
          <w:snapToGrid/>
        </w:rPr>
        <w:t>加上产假开始之月以前的八个月期间消费者物价指数的总的上升数额，再加上</w:t>
      </w:r>
      <w:r>
        <w:rPr>
          <w:snapToGrid/>
        </w:rPr>
        <w:t>10%</w:t>
      </w:r>
      <w:r>
        <w:rPr>
          <w:rFonts w:hint="eastAsia"/>
          <w:snapToGrid/>
        </w:rPr>
        <w:t>。另有一项条款规定，在计算每日津贴最高数额时所顾及的过去三个月必须属于休假开始之月以前的第七个或第八个月之前的六个月内，而第七还是第八个月的具体确定则按该名工人是受雇用工作人员还是无单位独立工作人员而定；这些月份并不一定要前后相连，但无论如何都必须是最近的几个月份。</w:t>
      </w:r>
    </w:p>
    <w:p w:rsidR="00000000" w:rsidRDefault="009C1C61">
      <w:pPr>
        <w:rPr>
          <w:snapToGrid/>
        </w:rPr>
      </w:pPr>
      <w:r>
        <w:rPr>
          <w:rFonts w:hint="eastAsia"/>
          <w:snapToGrid/>
        </w:rPr>
        <w:tab/>
      </w:r>
      <w:r>
        <w:rPr>
          <w:snapToGrid/>
        </w:rPr>
        <w:t>417.</w:t>
      </w:r>
      <w:r>
        <w:rPr>
          <w:rFonts w:hint="eastAsia"/>
          <w:snapToGrid/>
        </w:rPr>
        <w:t xml:space="preserve">  </w:t>
      </w:r>
      <w:r>
        <w:rPr>
          <w:rFonts w:hint="eastAsia"/>
          <w:snapToGrid/>
        </w:rPr>
        <w:t>现行的法律对于宪定的健康保护权利作了规定，并为保健福利制定了制度，据此，每个孕妇在怀孕</w:t>
      </w:r>
      <w:r>
        <w:rPr>
          <w:rFonts w:hint="eastAsia"/>
          <w:snapToGrid/>
        </w:rPr>
        <w:t>期间以及在产后六个月内均有权得到国家的保护。这项保护包括怀孕和产后期间接受医疗检查。新生儿在六足岁以前有权得到国家的保健护理。</w:t>
      </w:r>
      <w:r>
        <w:rPr>
          <w:rStyle w:val="FootnoteReference"/>
          <w:snapToGrid/>
        </w:rPr>
        <w:footnoteReference w:id="210"/>
      </w:r>
    </w:p>
    <w:p w:rsidR="00000000" w:rsidRDefault="009C1C61">
      <w:pPr>
        <w:spacing w:after="320"/>
        <w:rPr>
          <w:snapToGrid/>
        </w:rPr>
      </w:pPr>
      <w:r>
        <w:rPr>
          <w:rFonts w:hint="eastAsia"/>
          <w:snapToGrid/>
        </w:rPr>
        <w:tab/>
      </w:r>
      <w:r>
        <w:rPr>
          <w:snapToGrid/>
        </w:rPr>
        <w:t>418.</w:t>
      </w:r>
      <w:r>
        <w:rPr>
          <w:rFonts w:hint="eastAsia"/>
          <w:snapToGrid/>
        </w:rPr>
        <w:t xml:space="preserve">  </w:t>
      </w:r>
      <w:r>
        <w:rPr>
          <w:rFonts w:hint="eastAsia"/>
          <w:snapToGrid/>
        </w:rPr>
        <w:t>上述规则并不适用于或只是部分地适用于某些类别的女工，例如按临时合同工、极小企业的女工以及在私人家庭工作的女工。妇女的工作情况很多具有不稳定性质，这就意味着许多妇女无法享受上述福利。</w:t>
      </w:r>
    </w:p>
    <w:p w:rsidR="00000000" w:rsidRDefault="009C1C61">
      <w:pPr>
        <w:pStyle w:val="Heading4"/>
        <w:rPr>
          <w:rFonts w:ascii="Time New Roman" w:eastAsia="SimHei" w:hAnsi="Time New Roman"/>
          <w:u w:val="none"/>
        </w:rPr>
      </w:pPr>
      <w:r>
        <w:rPr>
          <w:rFonts w:ascii="Time New Roman" w:eastAsia="SimHei" w:hAnsi="Time New Roman" w:hint="eastAsia"/>
          <w:u w:val="none"/>
        </w:rPr>
        <w:t>工作保障权</w:t>
      </w:r>
    </w:p>
    <w:p w:rsidR="00000000" w:rsidRDefault="009C1C61">
      <w:pPr>
        <w:rPr>
          <w:snapToGrid/>
        </w:rPr>
      </w:pPr>
      <w:r>
        <w:rPr>
          <w:rFonts w:hint="eastAsia"/>
          <w:snapToGrid/>
        </w:rPr>
        <w:tab/>
      </w:r>
      <w:r>
        <w:rPr>
          <w:snapToGrid/>
        </w:rPr>
        <w:t>419.</w:t>
      </w:r>
      <w:r>
        <w:rPr>
          <w:rFonts w:hint="eastAsia"/>
          <w:snapToGrid/>
        </w:rPr>
        <w:t xml:space="preserve">  </w:t>
      </w:r>
      <w:r>
        <w:rPr>
          <w:rFonts w:hint="eastAsia"/>
          <w:snapToGrid/>
        </w:rPr>
        <w:t>根据《劳工法》第</w:t>
      </w:r>
      <w:r>
        <w:rPr>
          <w:snapToGrid/>
        </w:rPr>
        <w:t>201</w:t>
      </w:r>
      <w:r>
        <w:rPr>
          <w:rFonts w:hint="eastAsia"/>
          <w:snapToGrid/>
        </w:rPr>
        <w:t>条的规定，在整个怀孕期间以及产假结束后一年之内，所有女工都有这项权利，该项权利保障工人的工作稳定性，保证有足够的收入养活和培养子女。根据这</w:t>
      </w:r>
      <w:r>
        <w:rPr>
          <w:rFonts w:hint="eastAsia"/>
          <w:snapToGrid/>
        </w:rPr>
        <w:t>项权利，雇主在没有取得专案法官的事前核准时不得终止就业合同，但法官可以根据《劳工法》第</w:t>
      </w:r>
      <w:r>
        <w:rPr>
          <w:snapToGrid/>
        </w:rPr>
        <w:t>160</w:t>
      </w:r>
      <w:r>
        <w:rPr>
          <w:rFonts w:hint="eastAsia"/>
          <w:snapToGrid/>
        </w:rPr>
        <w:t>条以及该法的第</w:t>
      </w:r>
      <w:r>
        <w:rPr>
          <w:snapToGrid/>
        </w:rPr>
        <w:t>159</w:t>
      </w:r>
      <w:r>
        <w:rPr>
          <w:rFonts w:hint="eastAsia"/>
          <w:snapToGrid/>
        </w:rPr>
        <w:t>条第</w:t>
      </w:r>
      <w:r>
        <w:rPr>
          <w:rFonts w:hint="eastAsia"/>
          <w:snapToGrid/>
        </w:rPr>
        <w:t>4</w:t>
      </w:r>
      <w:r>
        <w:rPr>
          <w:rFonts w:hint="eastAsia"/>
          <w:snapToGrid/>
        </w:rPr>
        <w:t>和第</w:t>
      </w:r>
      <w:r>
        <w:rPr>
          <w:rFonts w:hint="eastAsia"/>
          <w:snapToGrid/>
        </w:rPr>
        <w:t>5</w:t>
      </w:r>
      <w:r>
        <w:rPr>
          <w:rFonts w:hint="eastAsia"/>
          <w:snapToGrid/>
        </w:rPr>
        <w:t>款核准终止合同。</w:t>
      </w:r>
    </w:p>
    <w:p w:rsidR="00000000" w:rsidRDefault="009C1C61">
      <w:pPr>
        <w:rPr>
          <w:snapToGrid/>
        </w:rPr>
      </w:pPr>
      <w:r>
        <w:rPr>
          <w:rFonts w:hint="eastAsia"/>
          <w:snapToGrid/>
        </w:rPr>
        <w:tab/>
      </w:r>
      <w:r>
        <w:rPr>
          <w:snapToGrid/>
        </w:rPr>
        <w:t>420.</w:t>
      </w:r>
      <w:r>
        <w:rPr>
          <w:rFonts w:hint="eastAsia"/>
          <w:snapToGrid/>
        </w:rPr>
        <w:t xml:space="preserve">  </w:t>
      </w:r>
      <w:r>
        <w:rPr>
          <w:rFonts w:hint="eastAsia"/>
          <w:snapToGrid/>
        </w:rPr>
        <w:t>根据这项法律，如果雇主并不了解受产妇保护法保护的职工已经怀孕，而在没有事先得到法官核准的情况下终止女工的就业合同，该名雇主必须恢复女工的工作，并偿付女工缺工时应得的工资。女工只需要提交由医生或助产士提出的证明便可以做到这一点。</w:t>
      </w:r>
    </w:p>
    <w:p w:rsidR="00000000" w:rsidRDefault="009C1C61">
      <w:pPr>
        <w:rPr>
          <w:snapToGrid/>
          <w:spacing w:val="8"/>
        </w:rPr>
      </w:pPr>
      <w:r>
        <w:rPr>
          <w:rFonts w:hint="eastAsia"/>
          <w:snapToGrid/>
          <w:spacing w:val="8"/>
        </w:rPr>
        <w:tab/>
      </w:r>
      <w:r>
        <w:rPr>
          <w:snapToGrid/>
          <w:spacing w:val="8"/>
        </w:rPr>
        <w:t>421.</w:t>
      </w:r>
      <w:r>
        <w:rPr>
          <w:rFonts w:hint="eastAsia"/>
          <w:snapToGrid/>
          <w:spacing w:val="8"/>
        </w:rPr>
        <w:t xml:space="preserve">  </w:t>
      </w:r>
      <w:r>
        <w:rPr>
          <w:rFonts w:hint="eastAsia"/>
          <w:snapToGrid/>
          <w:spacing w:val="8"/>
        </w:rPr>
        <w:t>根据一项有关《劳工法》第</w:t>
      </w:r>
      <w:r>
        <w:rPr>
          <w:snapToGrid/>
          <w:spacing w:val="8"/>
        </w:rPr>
        <w:t>201</w:t>
      </w:r>
      <w:r>
        <w:rPr>
          <w:rFonts w:hint="eastAsia"/>
          <w:snapToGrid/>
          <w:spacing w:val="8"/>
        </w:rPr>
        <w:t>条的通告，</w:t>
      </w:r>
      <w:r>
        <w:rPr>
          <w:rStyle w:val="FootnoteReference"/>
          <w:snapToGrid/>
          <w:spacing w:val="8"/>
          <w:szCs w:val="24"/>
        </w:rPr>
        <w:footnoteReference w:id="211"/>
      </w:r>
      <w:r>
        <w:rPr>
          <w:rFonts w:hint="eastAsia"/>
          <w:snapToGrid/>
          <w:spacing w:val="8"/>
          <w:szCs w:val="24"/>
        </w:rPr>
        <w:t xml:space="preserve"> </w:t>
      </w:r>
      <w:r>
        <w:rPr>
          <w:rFonts w:hint="eastAsia"/>
          <w:snapToGrid/>
          <w:spacing w:val="8"/>
        </w:rPr>
        <w:t>如果产妇死亡，工作保障权便转交给孩子的父亲，有效期从产妇死亡之日到产妇</w:t>
      </w:r>
      <w:r>
        <w:rPr>
          <w:rFonts w:hint="eastAsia"/>
          <w:snapToGrid/>
          <w:spacing w:val="8"/>
        </w:rPr>
        <w:t>原本有权享用的产后假结束后一年为止；将这项权利转交给父亲的做法在《劳工法》第</w:t>
      </w:r>
      <w:r>
        <w:rPr>
          <w:snapToGrid/>
          <w:spacing w:val="8"/>
        </w:rPr>
        <w:t>195</w:t>
      </w:r>
      <w:r>
        <w:rPr>
          <w:rFonts w:hint="eastAsia"/>
          <w:snapToGrid/>
          <w:spacing w:val="8"/>
        </w:rPr>
        <w:t>条第</w:t>
      </w:r>
      <w:r>
        <w:rPr>
          <w:rFonts w:hint="eastAsia"/>
          <w:snapToGrid/>
          <w:spacing w:val="8"/>
        </w:rPr>
        <w:t>2</w:t>
      </w:r>
      <w:r>
        <w:rPr>
          <w:rFonts w:hint="eastAsia"/>
          <w:snapToGrid/>
          <w:spacing w:val="8"/>
        </w:rPr>
        <w:t>款中有明确的规定。如果经法院裁决父亲失去了对孩子的监护权，则也同时失去上述工作保障权。</w:t>
      </w:r>
    </w:p>
    <w:p w:rsidR="00000000" w:rsidRDefault="009C1C61">
      <w:pPr>
        <w:rPr>
          <w:snapToGrid/>
        </w:rPr>
      </w:pPr>
      <w:r>
        <w:rPr>
          <w:rFonts w:hint="eastAsia"/>
          <w:snapToGrid/>
        </w:rPr>
        <w:tab/>
      </w:r>
      <w:r>
        <w:rPr>
          <w:snapToGrid/>
        </w:rPr>
        <w:t>422.</w:t>
      </w:r>
      <w:r>
        <w:rPr>
          <w:rFonts w:hint="eastAsia"/>
          <w:snapToGrid/>
        </w:rPr>
        <w:t xml:space="preserve">  </w:t>
      </w:r>
      <w:r>
        <w:rPr>
          <w:rFonts w:hint="eastAsia"/>
          <w:snapToGrid/>
        </w:rPr>
        <w:t>同样根据上述法律，这项工作保障权也可以转交给依据上述新的《领养法》而向专案法官申请领养儿童的未婚或丧偶男女，但他们必须先得到相关法院所赋予的监护权或亲自照看权。根据法院的有效裁决，对儿童的亲自照看权一旦结束、领养儿童的申请被驳回、或允许领养的裁决无效，则相关的工作保障权也不复有效。</w:t>
      </w:r>
    </w:p>
    <w:p w:rsidR="00000000" w:rsidRDefault="009C1C61">
      <w:pPr>
        <w:spacing w:after="320"/>
        <w:rPr>
          <w:snapToGrid/>
        </w:rPr>
      </w:pPr>
      <w:r>
        <w:rPr>
          <w:rFonts w:hint="eastAsia"/>
          <w:snapToGrid/>
        </w:rPr>
        <w:tab/>
      </w:r>
      <w:r>
        <w:rPr>
          <w:snapToGrid/>
        </w:rPr>
        <w:t>423.</w:t>
      </w:r>
      <w:r>
        <w:rPr>
          <w:rFonts w:hint="eastAsia"/>
          <w:snapToGrid/>
        </w:rPr>
        <w:t xml:space="preserve">  </w:t>
      </w:r>
      <w:r>
        <w:rPr>
          <w:rFonts w:hint="eastAsia"/>
          <w:snapToGrid/>
        </w:rPr>
        <w:t>未经法院事先核准，不得解</w:t>
      </w:r>
      <w:r>
        <w:rPr>
          <w:rFonts w:hint="eastAsia"/>
          <w:snapToGrid/>
        </w:rPr>
        <w:t>雇新的工作保障受益人。如果未经核准而终止其就业合同，因为当时并不了解法官允许该名雇员监护或亲自看护儿童的情况，则解雇决定仍然无效，必须恢复该名雇员的工作。</w:t>
      </w:r>
    </w:p>
    <w:p w:rsidR="00000000" w:rsidRDefault="009C1C61">
      <w:pPr>
        <w:pStyle w:val="Heading4"/>
        <w:rPr>
          <w:rFonts w:ascii="Time New Roman" w:eastAsia="SimHei" w:hAnsi="Time New Roman"/>
          <w:u w:val="none"/>
        </w:rPr>
      </w:pPr>
      <w:r>
        <w:rPr>
          <w:rFonts w:ascii="Time New Roman" w:eastAsia="SimHei" w:hAnsi="Time New Roman" w:hint="eastAsia"/>
          <w:u w:val="none"/>
        </w:rPr>
        <w:t>使用托儿设施权</w:t>
      </w:r>
    </w:p>
    <w:p w:rsidR="00000000" w:rsidRDefault="009C1C61">
      <w:pPr>
        <w:rPr>
          <w:snapToGrid/>
        </w:rPr>
      </w:pPr>
      <w:r>
        <w:rPr>
          <w:rFonts w:hint="eastAsia"/>
          <w:snapToGrid/>
        </w:rPr>
        <w:tab/>
      </w:r>
      <w:r>
        <w:rPr>
          <w:snapToGrid/>
        </w:rPr>
        <w:t>424.</w:t>
      </w:r>
      <w:r>
        <w:rPr>
          <w:rFonts w:hint="eastAsia"/>
          <w:snapToGrid/>
        </w:rPr>
        <w:t xml:space="preserve">  </w:t>
      </w:r>
      <w:r>
        <w:rPr>
          <w:rFonts w:hint="eastAsia"/>
          <w:snapToGrid/>
        </w:rPr>
        <w:t>《劳工法》有一项强制性规定，要求雇用</w:t>
      </w:r>
      <w:r>
        <w:rPr>
          <w:snapToGrid/>
        </w:rPr>
        <w:t>20</w:t>
      </w:r>
      <w:r>
        <w:rPr>
          <w:rFonts w:hint="eastAsia"/>
          <w:snapToGrid/>
        </w:rPr>
        <w:t>名以上任何年龄或婚姻状况的女工的企业必须提供托儿场所，以便女工可以为两岁以下婴儿喂奶或喂食，并在工作时将婴儿放在托儿场所。</w:t>
      </w:r>
      <w:r>
        <w:rPr>
          <w:rStyle w:val="FootnoteReference"/>
          <w:snapToGrid/>
          <w:szCs w:val="24"/>
        </w:rPr>
        <w:footnoteReference w:id="212"/>
      </w:r>
      <w:r>
        <w:rPr>
          <w:rFonts w:hint="eastAsia"/>
          <w:snapToGrid/>
          <w:szCs w:val="24"/>
        </w:rPr>
        <w:t xml:space="preserve"> </w:t>
      </w:r>
      <w:r>
        <w:rPr>
          <w:rFonts w:hint="eastAsia"/>
          <w:snapToGrid/>
        </w:rPr>
        <w:t>为了扩大这项福利所包括的内容，这项法律还强制</w:t>
      </w:r>
      <w:r>
        <w:rPr>
          <w:rFonts w:hint="eastAsia"/>
          <w:snapToGrid/>
          <w:spacing w:val="6"/>
        </w:rPr>
        <w:t>性规定，如果某购物中心或大型购物场所系由雇用</w:t>
      </w:r>
      <w:r>
        <w:rPr>
          <w:snapToGrid/>
          <w:spacing w:val="6"/>
        </w:rPr>
        <w:t>20</w:t>
      </w:r>
      <w:r>
        <w:rPr>
          <w:rFonts w:hint="eastAsia"/>
          <w:snapToGrid/>
          <w:spacing w:val="6"/>
        </w:rPr>
        <w:t>名以上女工的同一家公司管理或与该公司属于同一法人实体，则该购物中心或</w:t>
      </w:r>
      <w:r>
        <w:rPr>
          <w:rFonts w:hint="eastAsia"/>
          <w:snapToGrid/>
          <w:spacing w:val="6"/>
        </w:rPr>
        <w:t>购物场所也必须提供托儿设施。</w:t>
      </w:r>
      <w:r>
        <w:rPr>
          <w:rStyle w:val="FootnoteReference"/>
          <w:snapToGrid/>
        </w:rPr>
        <w:footnoteReference w:id="213"/>
      </w:r>
    </w:p>
    <w:p w:rsidR="00000000" w:rsidRDefault="009C1C61">
      <w:pPr>
        <w:spacing w:after="320"/>
        <w:rPr>
          <w:snapToGrid/>
        </w:rPr>
      </w:pPr>
      <w:r>
        <w:rPr>
          <w:rFonts w:hint="eastAsia"/>
          <w:snapToGrid/>
        </w:rPr>
        <w:tab/>
      </w:r>
      <w:r>
        <w:rPr>
          <w:snapToGrid/>
        </w:rPr>
        <w:t>425.</w:t>
      </w:r>
      <w:r>
        <w:rPr>
          <w:rFonts w:hint="eastAsia"/>
          <w:snapToGrid/>
        </w:rPr>
        <w:t xml:space="preserve">  </w:t>
      </w:r>
      <w:r>
        <w:rPr>
          <w:rFonts w:hint="eastAsia"/>
          <w:snapToGrid/>
        </w:rPr>
        <w:t>在</w:t>
      </w:r>
      <w:r>
        <w:rPr>
          <w:snapToGrid/>
        </w:rPr>
        <w:t>1998</w:t>
      </w:r>
      <w:r>
        <w:rPr>
          <w:rFonts w:hint="eastAsia"/>
          <w:snapToGrid/>
        </w:rPr>
        <w:t>年</w:t>
      </w:r>
      <w:r>
        <w:rPr>
          <w:snapToGrid/>
        </w:rPr>
        <w:t>11</w:t>
      </w:r>
      <w:r>
        <w:rPr>
          <w:rFonts w:hint="eastAsia"/>
          <w:snapToGrid/>
        </w:rPr>
        <w:t>月之前，提供托儿设施的义务只局限于雇用</w:t>
      </w:r>
      <w:r>
        <w:rPr>
          <w:snapToGrid/>
        </w:rPr>
        <w:t>20</w:t>
      </w:r>
      <w:r>
        <w:rPr>
          <w:rFonts w:hint="eastAsia"/>
          <w:snapToGrid/>
        </w:rPr>
        <w:t>名以上女工的企业。</w:t>
      </w:r>
      <w:r>
        <w:rPr>
          <w:snapToGrid/>
        </w:rPr>
        <w:t>98</w:t>
      </w:r>
      <w:r>
        <w:rPr>
          <w:rFonts w:hint="eastAsia"/>
          <w:snapToGrid/>
        </w:rPr>
        <w:t>年</w:t>
      </w:r>
      <w:r>
        <w:rPr>
          <w:snapToGrid/>
        </w:rPr>
        <w:t>11</w:t>
      </w:r>
      <w:r>
        <w:rPr>
          <w:rFonts w:hint="eastAsia"/>
          <w:snapToGrid/>
        </w:rPr>
        <w:t>月修改了法律之后，</w:t>
      </w:r>
      <w:r>
        <w:rPr>
          <w:rStyle w:val="FootnoteReference"/>
          <w:snapToGrid/>
          <w:szCs w:val="24"/>
        </w:rPr>
        <w:footnoteReference w:id="214"/>
      </w:r>
      <w:r>
        <w:rPr>
          <w:rFonts w:hint="eastAsia"/>
          <w:snapToGrid/>
          <w:szCs w:val="24"/>
        </w:rPr>
        <w:t xml:space="preserve"> </w:t>
      </w:r>
      <w:r>
        <w:rPr>
          <w:rFonts w:hint="eastAsia"/>
          <w:snapToGrid/>
        </w:rPr>
        <w:t>这项义务扩大到雇用</w:t>
      </w:r>
      <w:r>
        <w:rPr>
          <w:snapToGrid/>
        </w:rPr>
        <w:t>20</w:t>
      </w:r>
      <w:r>
        <w:rPr>
          <w:rFonts w:hint="eastAsia"/>
          <w:snapToGrid/>
        </w:rPr>
        <w:t>名以上女工的、由同一名称的公司或由同一合法单位所管理的商业中心或售货市场。</w:t>
      </w:r>
      <w:r>
        <w:rPr>
          <w:rStyle w:val="FootnoteReference"/>
          <w:snapToGrid/>
        </w:rPr>
        <w:footnoteReference w:id="215"/>
      </w:r>
    </w:p>
    <w:p w:rsidR="00000000" w:rsidRDefault="009C1C61">
      <w:pPr>
        <w:pStyle w:val="Heading4"/>
        <w:rPr>
          <w:rFonts w:ascii="Time New Roman" w:eastAsia="SimHei" w:hAnsi="Time New Roman"/>
          <w:u w:val="none"/>
        </w:rPr>
      </w:pPr>
      <w:r>
        <w:rPr>
          <w:rFonts w:ascii="Time New Roman" w:eastAsia="SimHei" w:hAnsi="Time New Roman" w:hint="eastAsia"/>
          <w:u w:val="none"/>
        </w:rPr>
        <w:t>妇女上班时间哺婴权</w:t>
      </w:r>
    </w:p>
    <w:p w:rsidR="00000000" w:rsidRDefault="009C1C61">
      <w:pPr>
        <w:spacing w:after="320"/>
        <w:rPr>
          <w:rFonts w:hint="eastAsia"/>
          <w:b/>
          <w:bCs/>
          <w:snapToGrid/>
        </w:rPr>
      </w:pPr>
      <w:r>
        <w:rPr>
          <w:rFonts w:hint="eastAsia"/>
          <w:snapToGrid/>
        </w:rPr>
        <w:tab/>
      </w:r>
      <w:r>
        <w:rPr>
          <w:snapToGrid/>
        </w:rPr>
        <w:t>426.</w:t>
      </w:r>
      <w:r>
        <w:rPr>
          <w:rFonts w:hint="eastAsia"/>
          <w:snapToGrid/>
        </w:rPr>
        <w:t xml:space="preserve">  </w:t>
      </w:r>
      <w:r>
        <w:rPr>
          <w:rFonts w:hint="eastAsia"/>
          <w:snapToGrid/>
        </w:rPr>
        <w:t>《劳工法》允许女工每天停工两次，为不到两周岁的孩子喂奶，但总共</w:t>
      </w:r>
      <w:r>
        <w:rPr>
          <w:rFonts w:hint="eastAsia"/>
          <w:snapToGrid/>
          <w:spacing w:val="6"/>
        </w:rPr>
        <w:t>时间不得超过一小时。</w:t>
      </w:r>
      <w:r>
        <w:rPr>
          <w:rStyle w:val="FootnoteReference"/>
          <w:snapToGrid/>
          <w:szCs w:val="24"/>
        </w:rPr>
        <w:footnoteReference w:id="216"/>
      </w:r>
      <w:r>
        <w:rPr>
          <w:rFonts w:hint="eastAsia"/>
          <w:snapToGrid/>
          <w:spacing w:val="6"/>
          <w:szCs w:val="24"/>
        </w:rPr>
        <w:t xml:space="preserve"> </w:t>
      </w:r>
      <w:r>
        <w:rPr>
          <w:rFonts w:hint="eastAsia"/>
          <w:snapToGrid/>
          <w:spacing w:val="6"/>
        </w:rPr>
        <w:t>就工资的而言，不论薪酬的支付制度如何，这段时间仍算为工作时间。《劳工法》明确规定，停工的时间必须另加母亲往返托儿所的时间。</w:t>
      </w:r>
      <w:r>
        <w:rPr>
          <w:rStyle w:val="FootnoteReference"/>
          <w:snapToGrid/>
          <w:szCs w:val="24"/>
        </w:rPr>
        <w:footnoteReference w:id="217"/>
      </w:r>
      <w:r>
        <w:rPr>
          <w:rFonts w:hint="eastAsia"/>
          <w:snapToGrid/>
          <w:szCs w:val="24"/>
        </w:rPr>
        <w:t xml:space="preserve"> </w:t>
      </w:r>
      <w:r>
        <w:rPr>
          <w:rFonts w:hint="eastAsia"/>
          <w:snapToGrid/>
        </w:rPr>
        <w:t>雇主还有义务</w:t>
      </w:r>
      <w:r>
        <w:rPr>
          <w:rFonts w:hint="eastAsia"/>
          <w:snapToGrid/>
        </w:rPr>
        <w:t>支付职工子女往返托儿所的交通费用以及母亲为喂奶必须往返托儿所的交通费用。</w:t>
      </w:r>
      <w:r>
        <w:rPr>
          <w:rStyle w:val="FootnoteReference"/>
          <w:b w:val="0"/>
          <w:bCs/>
          <w:snapToGrid/>
        </w:rPr>
        <w:footnoteReference w:id="218"/>
      </w:r>
    </w:p>
    <w:p w:rsidR="00000000" w:rsidRDefault="009C1C61">
      <w:pPr>
        <w:pStyle w:val="Heading4"/>
        <w:rPr>
          <w:rFonts w:ascii="Time New Roman" w:eastAsia="SimHei" w:hAnsi="Time New Roman"/>
          <w:u w:val="none"/>
        </w:rPr>
      </w:pPr>
      <w:r>
        <w:rPr>
          <w:rFonts w:ascii="Time New Roman" w:eastAsia="SimHei" w:hAnsi="Time New Roman" w:hint="eastAsia"/>
          <w:u w:val="none"/>
        </w:rPr>
        <w:t>一岁以下儿童得重病时员工请带津贴假的权利</w:t>
      </w:r>
    </w:p>
    <w:p w:rsidR="00000000" w:rsidRDefault="009C1C61">
      <w:pPr>
        <w:spacing w:after="320"/>
        <w:rPr>
          <w:snapToGrid/>
        </w:rPr>
      </w:pPr>
      <w:r>
        <w:rPr>
          <w:rFonts w:hint="eastAsia"/>
          <w:snapToGrid/>
        </w:rPr>
        <w:tab/>
      </w:r>
      <w:r>
        <w:rPr>
          <w:snapToGrid/>
        </w:rPr>
        <w:t>427.</w:t>
      </w:r>
      <w:r>
        <w:rPr>
          <w:rFonts w:hint="eastAsia"/>
          <w:snapToGrid/>
        </w:rPr>
        <w:t xml:space="preserve">  </w:t>
      </w:r>
      <w:r>
        <w:rPr>
          <w:rFonts w:hint="eastAsia"/>
          <w:snapToGrid/>
        </w:rPr>
        <w:t>根据《劳工法》第</w:t>
      </w:r>
      <w:r>
        <w:rPr>
          <w:snapToGrid/>
        </w:rPr>
        <w:t>199</w:t>
      </w:r>
      <w:r>
        <w:rPr>
          <w:rFonts w:hint="eastAsia"/>
          <w:snapToGrid/>
        </w:rPr>
        <w:t>条，如果一岁以下儿童得重病需要护理，其母亲有权请假并领取津贴，津贴额相当于她当时领取的薪酬和津贴总数，但扣除社会保障费及相应的法律费用。在下述情况下，可以允许父亲享受这项权利：</w:t>
      </w:r>
      <w:r>
        <w:rPr>
          <w:rFonts w:hint="eastAsia"/>
          <w:snapToGrid/>
        </w:rPr>
        <w:t>(</w:t>
      </w:r>
      <w:r>
        <w:rPr>
          <w:snapToGrid/>
        </w:rPr>
        <w:t>a</w:t>
      </w:r>
      <w:r>
        <w:rPr>
          <w:rFonts w:hint="eastAsia"/>
          <w:snapToGrid/>
        </w:rPr>
        <w:t>)</w:t>
      </w:r>
      <w:r>
        <w:rPr>
          <w:rFonts w:hint="eastAsia"/>
          <w:snapToGrid/>
        </w:rPr>
        <w:t>如果母亲已经死亡；</w:t>
      </w:r>
      <w:r>
        <w:rPr>
          <w:rFonts w:hint="eastAsia"/>
          <w:snapToGrid/>
        </w:rPr>
        <w:t>(</w:t>
      </w:r>
      <w:r>
        <w:rPr>
          <w:snapToGrid/>
        </w:rPr>
        <w:t>b</w:t>
      </w:r>
      <w:r>
        <w:rPr>
          <w:rFonts w:hint="eastAsia"/>
          <w:snapToGrid/>
        </w:rPr>
        <w:t>)</w:t>
      </w:r>
      <w:r>
        <w:rPr>
          <w:rFonts w:hint="eastAsia"/>
          <w:snapToGrid/>
        </w:rPr>
        <w:t>如果父亲因法院裁决对儿童有监护权；</w:t>
      </w:r>
      <w:r>
        <w:rPr>
          <w:rFonts w:hint="eastAsia"/>
          <w:snapToGrid/>
        </w:rPr>
        <w:t>(</w:t>
      </w:r>
      <w:r>
        <w:rPr>
          <w:snapToGrid/>
        </w:rPr>
        <w:t>c</w:t>
      </w:r>
      <w:r>
        <w:rPr>
          <w:rFonts w:hint="eastAsia"/>
          <w:snapToGrid/>
        </w:rPr>
        <w:t>)</w:t>
      </w:r>
      <w:r>
        <w:rPr>
          <w:rFonts w:hint="eastAsia"/>
          <w:snapToGrid/>
        </w:rPr>
        <w:t>如果父母双方都工作、但母亲决定应由父亲使用这一休假。</w:t>
      </w:r>
      <w:r>
        <w:rPr>
          <w:rStyle w:val="FootnoteReference"/>
          <w:snapToGrid/>
          <w:szCs w:val="24"/>
        </w:rPr>
        <w:footnoteReference w:id="219"/>
      </w:r>
      <w:r>
        <w:rPr>
          <w:rFonts w:hint="eastAsia"/>
          <w:snapToGrid/>
          <w:szCs w:val="24"/>
        </w:rPr>
        <w:t xml:space="preserve"> </w:t>
      </w:r>
      <w:r>
        <w:rPr>
          <w:rFonts w:hint="eastAsia"/>
          <w:snapToGrid/>
        </w:rPr>
        <w:t>这项法律也适用于作为一种保护措施而责成其看护儿童的任何男</w:t>
      </w:r>
      <w:r>
        <w:rPr>
          <w:rFonts w:hint="eastAsia"/>
          <w:snapToGrid/>
        </w:rPr>
        <w:t>女工作人员，同时在适当情况下，相关的福利也可以由该工作人员的配偶享受。</w:t>
      </w:r>
    </w:p>
    <w:p w:rsidR="00000000" w:rsidRDefault="009C1C61">
      <w:pPr>
        <w:pStyle w:val="Heading4"/>
        <w:rPr>
          <w:rFonts w:ascii="Time New Roman" w:eastAsia="SimHei" w:hAnsi="Time New Roman"/>
          <w:u w:val="none"/>
        </w:rPr>
      </w:pPr>
      <w:r>
        <w:rPr>
          <w:rFonts w:ascii="Time New Roman" w:eastAsia="SimHei" w:hAnsi="Time New Roman" w:hint="eastAsia"/>
          <w:u w:val="none"/>
        </w:rPr>
        <w:t>对于</w:t>
      </w:r>
      <w:r>
        <w:rPr>
          <w:rFonts w:ascii="Time New Roman" w:eastAsia="SimHei" w:hAnsi="Time New Roman"/>
          <w:b/>
          <w:u w:val="none"/>
        </w:rPr>
        <w:t>18</w:t>
      </w:r>
      <w:r>
        <w:rPr>
          <w:rFonts w:ascii="Time New Roman" w:eastAsia="SimHei" w:hAnsi="Time New Roman" w:hint="eastAsia"/>
          <w:u w:val="none"/>
        </w:rPr>
        <w:t>岁以下儿童和青少年的保护和援助措施</w:t>
      </w:r>
    </w:p>
    <w:p w:rsidR="00000000" w:rsidRDefault="009C1C61">
      <w:pPr>
        <w:rPr>
          <w:snapToGrid/>
        </w:rPr>
      </w:pPr>
      <w:r>
        <w:rPr>
          <w:rFonts w:hint="eastAsia"/>
          <w:snapToGrid/>
        </w:rPr>
        <w:tab/>
      </w:r>
      <w:r>
        <w:rPr>
          <w:snapToGrid/>
        </w:rPr>
        <w:t>428.</w:t>
      </w:r>
      <w:r>
        <w:rPr>
          <w:rFonts w:hint="eastAsia"/>
          <w:snapToGrid/>
        </w:rPr>
        <w:t xml:space="preserve">  </w:t>
      </w:r>
      <w:r>
        <w:rPr>
          <w:rFonts w:hint="eastAsia"/>
          <w:snapToGrid/>
        </w:rPr>
        <w:t>从属于司法部的全国未成年人服务署</w:t>
      </w:r>
      <w:r>
        <w:rPr>
          <w:rFonts w:hint="eastAsia"/>
          <w:snapToGrid/>
        </w:rPr>
        <w:t xml:space="preserve"> </w:t>
      </w:r>
      <w:r>
        <w:rPr>
          <w:rStyle w:val="FootnoteReference"/>
          <w:snapToGrid/>
          <w:szCs w:val="24"/>
        </w:rPr>
        <w:footnoteReference w:id="220"/>
      </w:r>
      <w:r>
        <w:rPr>
          <w:rFonts w:hint="eastAsia"/>
          <w:snapToGrid/>
          <w:szCs w:val="24"/>
        </w:rPr>
        <w:t xml:space="preserve"> </w:t>
      </w:r>
      <w:r>
        <w:rPr>
          <w:rFonts w:hint="eastAsia"/>
          <w:snapToGrid/>
        </w:rPr>
        <w:t>(</w:t>
      </w:r>
      <w:r>
        <w:rPr>
          <w:snapToGrid/>
        </w:rPr>
        <w:t>Sename</w:t>
      </w:r>
      <w:r>
        <w:rPr>
          <w:rFonts w:hint="eastAsia"/>
          <w:snapToGrid/>
        </w:rPr>
        <w:t>)</w:t>
      </w:r>
      <w:r>
        <w:rPr>
          <w:rFonts w:hint="eastAsia"/>
          <w:snapToGrid/>
        </w:rPr>
        <w:t>是一个行政机构，负责看护和保护其权利受到侵犯的儿童和青少年，增进他们的权利，并帮助犯过罪的年轻人重返社会。这项工作是会同各公共和私营伙伴机构合作通过各专业署开展的。</w:t>
      </w:r>
    </w:p>
    <w:p w:rsidR="00000000" w:rsidRDefault="009C1C61">
      <w:pPr>
        <w:rPr>
          <w:snapToGrid/>
        </w:rPr>
      </w:pPr>
      <w:r>
        <w:rPr>
          <w:rFonts w:hint="eastAsia"/>
          <w:snapToGrid/>
        </w:rPr>
        <w:tab/>
      </w:r>
      <w:r>
        <w:rPr>
          <w:snapToGrid/>
        </w:rPr>
        <w:t>429.</w:t>
      </w:r>
      <w:r>
        <w:rPr>
          <w:rFonts w:hint="eastAsia"/>
          <w:snapToGrid/>
        </w:rPr>
        <w:t xml:space="preserve">  </w:t>
      </w:r>
      <w:r>
        <w:rPr>
          <w:rFonts w:hint="eastAsia"/>
          <w:snapToGrid/>
        </w:rPr>
        <w:t>援助和特别保护制度的基础是非常处境论，根据这种理论，国家起监护人的作用。看护权利遭到侵犯的儿童这一政策借助国家的权力，保障处境非常的儿童的福利，给予</w:t>
      </w:r>
      <w:r>
        <w:rPr>
          <w:rFonts w:hint="eastAsia"/>
          <w:snapToGrid/>
        </w:rPr>
        <w:t>保护。国家的这些权力是通过少年法院、负责援助和保护儿童的警卫和行政机构行使的，可以干预儿童的私人生活及其与家庭的关系。</w:t>
      </w:r>
    </w:p>
    <w:p w:rsidR="00000000" w:rsidRDefault="009C1C61">
      <w:pPr>
        <w:rPr>
          <w:snapToGrid/>
        </w:rPr>
      </w:pPr>
      <w:r>
        <w:rPr>
          <w:rFonts w:hint="eastAsia"/>
          <w:snapToGrid/>
        </w:rPr>
        <w:tab/>
      </w:r>
      <w:r>
        <w:rPr>
          <w:snapToGrid/>
        </w:rPr>
        <w:t>430.</w:t>
      </w:r>
      <w:r>
        <w:rPr>
          <w:rFonts w:hint="eastAsia"/>
          <w:snapToGrid/>
        </w:rPr>
        <w:t xml:space="preserve">  </w:t>
      </w:r>
      <w:r>
        <w:rPr>
          <w:rFonts w:hint="eastAsia"/>
          <w:snapToGrid/>
        </w:rPr>
        <w:t>目前有关儿童的法律强调在家里个别看护儿童，培养和教育儿童，但同时也允许国家有充分的机会通过专门法院进行干预，目前的法律条款引起广泛解释、没有明确的解释这些条款的程序，根据这些条款，专门法院有权使儿童脱离父母，对其加以保护。为符合《儿童权利公约》的要求，达到改革渐进式儿童看护制度的要求，司法部和未成年人服务署目前正在草拟一项有关保护儿童和青少年权益、有关年轻人责任、以及改革上述</w:t>
      </w:r>
      <w:r>
        <w:rPr>
          <w:rFonts w:hint="eastAsia"/>
          <w:snapToGrid/>
        </w:rPr>
        <w:t>两个机构的体制规则的法律草案。其目的是要制定出现代的保护性法律，以便增进和保障批准《儿童权利公约》已予承认的儿童与青少年的各项权利。</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依法予以保护的儿童和青少年</w:t>
      </w:r>
    </w:p>
    <w:p w:rsidR="00000000" w:rsidRDefault="009C1C61">
      <w:pPr>
        <w:rPr>
          <w:snapToGrid/>
        </w:rPr>
      </w:pPr>
      <w:r>
        <w:rPr>
          <w:rFonts w:hint="eastAsia"/>
          <w:snapToGrid/>
        </w:rPr>
        <w:tab/>
      </w:r>
      <w:r>
        <w:rPr>
          <w:snapToGrid/>
        </w:rPr>
        <w:t>431.</w:t>
      </w:r>
      <w:r>
        <w:rPr>
          <w:rFonts w:hint="eastAsia"/>
          <w:snapToGrid/>
        </w:rPr>
        <w:t xml:space="preserve">  </w:t>
      </w:r>
      <w:r>
        <w:rPr>
          <w:rFonts w:hint="eastAsia"/>
          <w:snapToGrid/>
        </w:rPr>
        <w:t>国家根据下列标准对被认为处境非常的儿童和青少年起到监护人的作用：</w:t>
      </w:r>
    </w:p>
    <w:p w:rsidR="00000000" w:rsidRDefault="009C1C61">
      <w:pPr>
        <w:numPr>
          <w:ilvl w:val="0"/>
          <w:numId w:val="267"/>
        </w:numPr>
        <w:rPr>
          <w:snapToGrid/>
        </w:rPr>
      </w:pPr>
      <w:r>
        <w:rPr>
          <w:rFonts w:hint="eastAsia"/>
          <w:snapToGrid/>
        </w:rPr>
        <w:t>父母已无能力监护或者身为孤儿或弃儿因而无法寻求看护的儿童；</w:t>
      </w:r>
    </w:p>
    <w:p w:rsidR="00000000" w:rsidRDefault="009C1C61">
      <w:pPr>
        <w:numPr>
          <w:ilvl w:val="0"/>
          <w:numId w:val="267"/>
        </w:numPr>
        <w:rPr>
          <w:snapToGrid/>
        </w:rPr>
      </w:pPr>
      <w:r>
        <w:rPr>
          <w:rFonts w:hint="eastAsia"/>
          <w:snapToGrid/>
        </w:rPr>
        <w:t>由于遭受虐待或者身心处于危险境地因而照常行使监护权对其构成一种风险或危险</w:t>
      </w:r>
      <w:r>
        <w:rPr>
          <w:rFonts w:hint="eastAsia"/>
          <w:snapToGrid/>
        </w:rPr>
        <w:t>(</w:t>
      </w:r>
      <w:r>
        <w:rPr>
          <w:rFonts w:hint="eastAsia"/>
          <w:snapToGrid/>
        </w:rPr>
        <w:t>错误的监护安排</w:t>
      </w:r>
      <w:r>
        <w:rPr>
          <w:rFonts w:hint="eastAsia"/>
          <w:snapToGrid/>
        </w:rPr>
        <w:t>)</w:t>
      </w:r>
      <w:r>
        <w:rPr>
          <w:rFonts w:hint="eastAsia"/>
          <w:snapToGrid/>
        </w:rPr>
        <w:t>的儿童；</w:t>
      </w:r>
    </w:p>
    <w:p w:rsidR="00000000" w:rsidRDefault="009C1C61">
      <w:pPr>
        <w:numPr>
          <w:ilvl w:val="0"/>
          <w:numId w:val="267"/>
        </w:numPr>
        <w:rPr>
          <w:snapToGrid/>
        </w:rPr>
      </w:pPr>
      <w:r>
        <w:rPr>
          <w:rFonts w:hint="eastAsia"/>
          <w:snapToGrid/>
        </w:rPr>
        <w:t>表现出有不正常的但没有触犯刑法的行为或面临社会风险的儿童；</w:t>
      </w:r>
    </w:p>
    <w:p w:rsidR="00000000" w:rsidRDefault="009C1C61">
      <w:pPr>
        <w:numPr>
          <w:ilvl w:val="0"/>
          <w:numId w:val="267"/>
        </w:numPr>
        <w:spacing w:after="320"/>
        <w:rPr>
          <w:snapToGrid/>
        </w:rPr>
      </w:pPr>
      <w:r>
        <w:rPr>
          <w:rFonts w:hint="eastAsia"/>
          <w:snapToGrid/>
        </w:rPr>
        <w:t>年龄不到</w:t>
      </w:r>
      <w:r>
        <w:rPr>
          <w:snapToGrid/>
        </w:rPr>
        <w:t>16</w:t>
      </w:r>
      <w:r>
        <w:rPr>
          <w:rFonts w:hint="eastAsia"/>
          <w:snapToGrid/>
        </w:rPr>
        <w:t>岁或年龄在</w:t>
      </w:r>
      <w:r>
        <w:rPr>
          <w:snapToGrid/>
        </w:rPr>
        <w:t>16</w:t>
      </w:r>
      <w:r>
        <w:rPr>
          <w:rFonts w:hint="eastAsia"/>
          <w:snapToGrid/>
        </w:rPr>
        <w:t>至</w:t>
      </w:r>
      <w:r>
        <w:rPr>
          <w:snapToGrid/>
        </w:rPr>
        <w:t>18</w:t>
      </w:r>
      <w:r>
        <w:rPr>
          <w:rFonts w:hint="eastAsia"/>
          <w:snapToGrid/>
        </w:rPr>
        <w:t>岁之间的、确定为心</w:t>
      </w:r>
      <w:r>
        <w:rPr>
          <w:rFonts w:hint="eastAsia"/>
          <w:snapToGrid/>
        </w:rPr>
        <w:t>智不全因而无法予以起诉的少年罪犯。</w:t>
      </w:r>
    </w:p>
    <w:p w:rsidR="00000000" w:rsidRDefault="009C1C61">
      <w:pPr>
        <w:pStyle w:val="Heading4"/>
        <w:rPr>
          <w:rFonts w:ascii="Time New Roman" w:eastAsia="SimHei" w:hAnsi="Time New Roman"/>
          <w:u w:val="none"/>
        </w:rPr>
      </w:pPr>
      <w:r>
        <w:rPr>
          <w:rFonts w:ascii="Time New Roman" w:eastAsia="SimHei" w:hAnsi="Time New Roman" w:hint="eastAsia"/>
          <w:u w:val="none"/>
        </w:rPr>
        <w:t>保护措施</w:t>
      </w:r>
    </w:p>
    <w:p w:rsidR="00000000" w:rsidRDefault="009C1C61">
      <w:pPr>
        <w:rPr>
          <w:snapToGrid/>
        </w:rPr>
      </w:pPr>
      <w:r>
        <w:rPr>
          <w:rFonts w:hint="eastAsia"/>
          <w:snapToGrid/>
        </w:rPr>
        <w:tab/>
      </w:r>
      <w:r>
        <w:rPr>
          <w:snapToGrid/>
        </w:rPr>
        <w:t>432.</w:t>
      </w:r>
      <w:r>
        <w:rPr>
          <w:rFonts w:hint="eastAsia"/>
          <w:snapToGrid/>
        </w:rPr>
        <w:t xml:space="preserve">  </w:t>
      </w:r>
      <w:r>
        <w:rPr>
          <w:rFonts w:hint="eastAsia"/>
          <w:snapToGrid/>
        </w:rPr>
        <w:t>对儿童的保护</w:t>
      </w:r>
      <w:r>
        <w:rPr>
          <w:rFonts w:hint="eastAsia"/>
          <w:snapToGrid/>
        </w:rPr>
        <w:t xml:space="preserve"> </w:t>
      </w:r>
      <w:r>
        <w:rPr>
          <w:rStyle w:val="FootnoteReference"/>
          <w:snapToGrid/>
          <w:szCs w:val="24"/>
        </w:rPr>
        <w:footnoteReference w:id="221"/>
      </w:r>
      <w:r>
        <w:rPr>
          <w:rFonts w:hint="eastAsia"/>
          <w:snapToGrid/>
          <w:szCs w:val="24"/>
        </w:rPr>
        <w:t xml:space="preserve"> </w:t>
      </w:r>
      <w:r>
        <w:rPr>
          <w:rFonts w:hint="eastAsia"/>
          <w:snapToGrid/>
        </w:rPr>
        <w:t>主要有赖于少年法院的诉讼，由法院决定处境非常的儿童的前途。法官可以采取下列措施：</w:t>
      </w:r>
    </w:p>
    <w:p w:rsidR="00000000" w:rsidRDefault="009C1C61">
      <w:pPr>
        <w:numPr>
          <w:ilvl w:val="0"/>
          <w:numId w:val="269"/>
        </w:numPr>
        <w:rPr>
          <w:snapToGrid/>
        </w:rPr>
      </w:pPr>
      <w:r>
        <w:rPr>
          <w:rFonts w:hint="eastAsia"/>
          <w:snapToGrid/>
        </w:rPr>
        <w:t>发出警告之后，将未成年人送还其父母、监护人或看护者身边；</w:t>
      </w:r>
    </w:p>
    <w:p w:rsidR="00000000" w:rsidRDefault="009C1C61">
      <w:pPr>
        <w:numPr>
          <w:ilvl w:val="0"/>
          <w:numId w:val="269"/>
        </w:numPr>
        <w:rPr>
          <w:snapToGrid/>
        </w:rPr>
      </w:pPr>
      <w:r>
        <w:rPr>
          <w:rFonts w:hint="eastAsia"/>
          <w:snapToGrid/>
        </w:rPr>
        <w:t>释放受到监督的未成年人；</w:t>
      </w:r>
    </w:p>
    <w:p w:rsidR="00000000" w:rsidRDefault="009C1C61">
      <w:pPr>
        <w:numPr>
          <w:ilvl w:val="0"/>
          <w:numId w:val="269"/>
        </w:numPr>
        <w:rPr>
          <w:snapToGrid/>
        </w:rPr>
      </w:pPr>
      <w:r>
        <w:rPr>
          <w:rFonts w:hint="eastAsia"/>
          <w:snapToGrid/>
        </w:rPr>
        <w:t>将其移送法律所规定的特别教养所，时间依需要而定；</w:t>
      </w:r>
    </w:p>
    <w:p w:rsidR="00000000" w:rsidRDefault="009C1C61">
      <w:pPr>
        <w:numPr>
          <w:ilvl w:val="0"/>
          <w:numId w:val="269"/>
        </w:numPr>
        <w:rPr>
          <w:snapToGrid/>
        </w:rPr>
      </w:pPr>
      <w:r>
        <w:rPr>
          <w:rFonts w:hint="eastAsia"/>
          <w:snapToGrid/>
        </w:rPr>
        <w:t>将儿童交由法官认为能够负责其教育而且愿意的人看护，以便保证儿童可以继续与家人一起生活。</w:t>
      </w:r>
    </w:p>
    <w:p w:rsidR="00000000" w:rsidRDefault="009C1C61">
      <w:pPr>
        <w:rPr>
          <w:snapToGrid/>
        </w:rPr>
      </w:pPr>
      <w:r>
        <w:rPr>
          <w:rFonts w:hint="eastAsia"/>
          <w:snapToGrid/>
        </w:rPr>
        <w:tab/>
      </w:r>
      <w:r>
        <w:rPr>
          <w:snapToGrid/>
        </w:rPr>
        <w:t>433.</w:t>
      </w:r>
      <w:r>
        <w:rPr>
          <w:rFonts w:hint="eastAsia"/>
          <w:snapToGrid/>
        </w:rPr>
        <w:t xml:space="preserve">  </w:t>
      </w:r>
      <w:r>
        <w:rPr>
          <w:rFonts w:hint="eastAsia"/>
          <w:snapToGrid/>
        </w:rPr>
        <w:t>该项法律在正式编制警察</w:t>
      </w:r>
      <w:r>
        <w:rPr>
          <w:rFonts w:hint="eastAsia"/>
          <w:snapToGrid/>
        </w:rPr>
        <w:t>(</w:t>
      </w:r>
      <w:r>
        <w:rPr>
          <w:snapToGrid/>
        </w:rPr>
        <w:t>Carabineros</w:t>
      </w:r>
      <w:r>
        <w:rPr>
          <w:rFonts w:hint="eastAsia"/>
          <w:snapToGrid/>
        </w:rPr>
        <w:t>)</w:t>
      </w:r>
      <w:r>
        <w:rPr>
          <w:rFonts w:hint="eastAsia"/>
          <w:snapToGrid/>
        </w:rPr>
        <w:t>的警察总署内设立了一个特别机构，以便对需要帮助的儿童与青少年起到监护</w:t>
      </w:r>
      <w:r>
        <w:rPr>
          <w:rFonts w:hint="eastAsia"/>
          <w:snapToGrid/>
        </w:rPr>
        <w:t>和保护作用。这一机构称为少年警察署。因为司法制度要求限制受帮助的儿童的权利，法令还对警察在这方面的进退有严格的限制。这些限制的形式有：</w:t>
      </w:r>
    </w:p>
    <w:p w:rsidR="00000000" w:rsidRDefault="009C1C61">
      <w:pPr>
        <w:numPr>
          <w:ilvl w:val="0"/>
          <w:numId w:val="272"/>
        </w:numPr>
        <w:rPr>
          <w:snapToGrid/>
        </w:rPr>
      </w:pPr>
      <w:r>
        <w:rPr>
          <w:rFonts w:hint="eastAsia"/>
          <w:snapToGrid/>
        </w:rPr>
        <w:t>儿童和青少年不能被监禁在非经法律允许的场所；</w:t>
      </w:r>
    </w:p>
    <w:p w:rsidR="00000000" w:rsidRDefault="009C1C61">
      <w:pPr>
        <w:numPr>
          <w:ilvl w:val="0"/>
          <w:numId w:val="272"/>
        </w:numPr>
        <w:rPr>
          <w:snapToGrid/>
        </w:rPr>
      </w:pPr>
      <w:r>
        <w:rPr>
          <w:rFonts w:hint="eastAsia"/>
          <w:snapToGrid/>
        </w:rPr>
        <w:t>警察必须立即将被羁押者交主管法院法办，如果被羁押者无法立即出庭，则至晚不得超过</w:t>
      </w:r>
      <w:r>
        <w:rPr>
          <w:snapToGrid/>
        </w:rPr>
        <w:t>24</w:t>
      </w:r>
      <w:r>
        <w:rPr>
          <w:rFonts w:hint="eastAsia"/>
          <w:snapToGrid/>
        </w:rPr>
        <w:t>小时；</w:t>
      </w:r>
    </w:p>
    <w:p w:rsidR="00000000" w:rsidRDefault="009C1C61">
      <w:pPr>
        <w:numPr>
          <w:ilvl w:val="0"/>
          <w:numId w:val="272"/>
        </w:numPr>
        <w:rPr>
          <w:snapToGrid/>
        </w:rPr>
      </w:pPr>
      <w:r>
        <w:rPr>
          <w:rFonts w:hint="eastAsia"/>
          <w:snapToGrid/>
        </w:rPr>
        <w:t>如果未成年人因轻罪而被捕而且有明确住处、如果他的活动可以查实，或者他保证下一次庭讯出庭，则少年警察署只能传唤未成年人，然后立即释放他。</w:t>
      </w:r>
    </w:p>
    <w:p w:rsidR="00000000" w:rsidRDefault="009C1C61">
      <w:pPr>
        <w:spacing w:after="320"/>
        <w:rPr>
          <w:snapToGrid/>
        </w:rPr>
      </w:pPr>
      <w:r>
        <w:rPr>
          <w:rFonts w:hint="eastAsia"/>
          <w:snapToGrid/>
        </w:rPr>
        <w:tab/>
      </w:r>
      <w:r>
        <w:rPr>
          <w:snapToGrid/>
        </w:rPr>
        <w:t>434.</w:t>
      </w:r>
      <w:r>
        <w:rPr>
          <w:rFonts w:hint="eastAsia"/>
          <w:snapToGrid/>
        </w:rPr>
        <w:t xml:space="preserve">  </w:t>
      </w:r>
      <w:r>
        <w:rPr>
          <w:rFonts w:hint="eastAsia"/>
          <w:snapToGrid/>
        </w:rPr>
        <w:t>如有儿童需要保护，首先向父母或监护人发出通知，然后将儿童送回到他们身边。只有在儿童没有父母</w:t>
      </w:r>
      <w:r>
        <w:rPr>
          <w:rFonts w:hint="eastAsia"/>
          <w:snapToGrid/>
        </w:rPr>
        <w:t>或监护人的情况下，才将其交由法官裁定一项保护措施。最后，法律明确禁止少年警察署将年龄不满</w:t>
      </w:r>
      <w:r>
        <w:rPr>
          <w:snapToGrid/>
        </w:rPr>
        <w:t>18</w:t>
      </w:r>
      <w:r>
        <w:rPr>
          <w:rFonts w:hint="eastAsia"/>
          <w:snapToGrid/>
        </w:rPr>
        <w:t>岁的儿童或青少年与超过这一年龄的被羁押者或囚犯关押在一起。</w:t>
      </w:r>
    </w:p>
    <w:p w:rsidR="00000000" w:rsidRDefault="009C1C61">
      <w:pPr>
        <w:pStyle w:val="Heading4"/>
        <w:rPr>
          <w:rFonts w:ascii="Time New Roman" w:eastAsia="SimHei" w:hAnsi="Time New Roman"/>
          <w:u w:val="none"/>
        </w:rPr>
      </w:pPr>
      <w:r>
        <w:rPr>
          <w:rFonts w:ascii="Time New Roman" w:eastAsia="SimHei" w:hAnsi="Time New Roman" w:hint="eastAsia"/>
          <w:u w:val="none"/>
        </w:rPr>
        <w:t>保护性措施的实施</w:t>
      </w:r>
    </w:p>
    <w:p w:rsidR="00000000" w:rsidRDefault="009C1C61">
      <w:pPr>
        <w:rPr>
          <w:snapToGrid/>
        </w:rPr>
      </w:pPr>
      <w:r>
        <w:rPr>
          <w:rFonts w:hint="eastAsia"/>
          <w:snapToGrid/>
        </w:rPr>
        <w:tab/>
      </w:r>
      <w:r>
        <w:rPr>
          <w:snapToGrid/>
        </w:rPr>
        <w:t>435.</w:t>
      </w:r>
      <w:r>
        <w:rPr>
          <w:rFonts w:hint="eastAsia"/>
          <w:snapToGrid/>
        </w:rPr>
        <w:t xml:space="preserve">  </w:t>
      </w:r>
      <w:r>
        <w:rPr>
          <w:rFonts w:hint="eastAsia"/>
          <w:snapToGrid/>
        </w:rPr>
        <w:t>全国未成年人服务署负责实施一切必要措施，以便帮助和保护处境非常的未成年人。服务署通过公私机构执行这一任务，并为此起到特定的职能，例如资助、管理、监督、鼓励、指导和在技术上协调这些机构的工作。</w:t>
      </w:r>
    </w:p>
    <w:p w:rsidR="00000000" w:rsidRDefault="009C1C61">
      <w:pPr>
        <w:rPr>
          <w:snapToGrid/>
        </w:rPr>
      </w:pPr>
      <w:r>
        <w:rPr>
          <w:rFonts w:hint="eastAsia"/>
          <w:snapToGrid/>
        </w:rPr>
        <w:tab/>
      </w:r>
      <w:r>
        <w:rPr>
          <w:snapToGrid/>
        </w:rPr>
        <w:t>436.</w:t>
      </w:r>
      <w:r>
        <w:rPr>
          <w:rFonts w:hint="eastAsia"/>
          <w:snapToGrid/>
        </w:rPr>
        <w:t xml:space="preserve">  </w:t>
      </w:r>
      <w:r>
        <w:rPr>
          <w:snapToGrid/>
        </w:rPr>
        <w:t>1990</w:t>
      </w:r>
      <w:r>
        <w:rPr>
          <w:rFonts w:hint="eastAsia"/>
          <w:snapToGrid/>
        </w:rPr>
        <w:t>年以来，未成年人服务署为实施《儿童权利公约》作了大量努力。该署根据该项国际条约所载的原则重新确定了自己的任务，目的</w:t>
      </w:r>
      <w:r>
        <w:rPr>
          <w:rFonts w:hint="eastAsia"/>
          <w:snapToGrid/>
        </w:rPr>
        <w:t>在于保证该项《公约》的原则能在智利社会实施。服务署的作用是协调其与公私机构的活动，以便确立和制定旨在保护少年儿童的政策；为发挥这项作用，其目标是要为所开展的活动提供必要的指导。此外，该署还会同社区发起各种项目，通过其各种设施的网络提供一系列机会。</w:t>
      </w:r>
    </w:p>
    <w:p w:rsidR="00000000" w:rsidRDefault="009C1C61">
      <w:pPr>
        <w:spacing w:after="320"/>
        <w:rPr>
          <w:rFonts w:hint="eastAsia"/>
          <w:snapToGrid/>
        </w:rPr>
      </w:pPr>
      <w:r>
        <w:rPr>
          <w:rFonts w:hint="eastAsia"/>
          <w:snapToGrid/>
        </w:rPr>
        <w:tab/>
      </w:r>
      <w:r>
        <w:rPr>
          <w:snapToGrid/>
        </w:rPr>
        <w:t>437.</w:t>
      </w:r>
      <w:r>
        <w:rPr>
          <w:rFonts w:hint="eastAsia"/>
          <w:snapToGrid/>
        </w:rPr>
        <w:t xml:space="preserve">  </w:t>
      </w:r>
      <w:r>
        <w:rPr>
          <w:rFonts w:hint="eastAsia"/>
          <w:snapToGrid/>
        </w:rPr>
        <w:t>未成年人服务署与帮助其工作的机构之间的关系是受到法律约束的。</w:t>
      </w:r>
      <w:r>
        <w:rPr>
          <w:rStyle w:val="FootnoteReference"/>
          <w:snapToGrid/>
        </w:rPr>
        <w:footnoteReference w:id="222"/>
      </w:r>
      <w:r>
        <w:rPr>
          <w:rFonts w:hint="eastAsia"/>
          <w:snapToGrid/>
        </w:rPr>
        <w:t>《政令》规定了各种机构必须提供的援助种类以及这些机构为其援助的每个儿童所能收到的津贴额。根据这一方式，国家应当起到辅助作用，因为国家不直接负责援助有关的人，而是向看护这些人的个人提供支助。</w:t>
      </w:r>
    </w:p>
    <w:p w:rsidR="00000000" w:rsidRDefault="009C1C61">
      <w:pPr>
        <w:pStyle w:val="Heading4"/>
        <w:rPr>
          <w:rFonts w:ascii="Time New Roman" w:eastAsia="SimHei" w:hAnsi="Time New Roman"/>
          <w:u w:val="none"/>
        </w:rPr>
      </w:pPr>
      <w:r>
        <w:rPr>
          <w:rFonts w:ascii="Time New Roman" w:eastAsia="SimHei" w:hAnsi="Time New Roman" w:hint="eastAsia"/>
          <w:u w:val="none"/>
        </w:rPr>
        <w:t>援助制度</w:t>
      </w:r>
    </w:p>
    <w:p w:rsidR="00000000" w:rsidRDefault="009C1C61">
      <w:pPr>
        <w:rPr>
          <w:snapToGrid/>
        </w:rPr>
      </w:pPr>
      <w:r>
        <w:rPr>
          <w:rFonts w:hint="eastAsia"/>
          <w:snapToGrid/>
        </w:rPr>
        <w:tab/>
      </w:r>
      <w:r>
        <w:rPr>
          <w:snapToGrid/>
        </w:rPr>
        <w:t>438.</w:t>
      </w:r>
      <w:r>
        <w:rPr>
          <w:rFonts w:hint="eastAsia"/>
          <w:snapToGrid/>
        </w:rPr>
        <w:t xml:space="preserve">  </w:t>
      </w:r>
      <w:r>
        <w:rPr>
          <w:rFonts w:hint="eastAsia"/>
          <w:snapToGrid/>
        </w:rPr>
        <w:t>这些制度的目的是要向少年法院在依法实施各项措施方面提供一些可选择的不同途径。</w:t>
      </w:r>
      <w:r>
        <w:rPr>
          <w:rStyle w:val="FootnoteReference"/>
          <w:snapToGrid/>
          <w:szCs w:val="24"/>
        </w:rPr>
        <w:footnoteReference w:id="223"/>
      </w:r>
      <w:r>
        <w:rPr>
          <w:rFonts w:hint="eastAsia"/>
          <w:snapToGrid/>
          <w:szCs w:val="24"/>
        </w:rPr>
        <w:t xml:space="preserve"> </w:t>
      </w:r>
      <w:r>
        <w:rPr>
          <w:rFonts w:hint="eastAsia"/>
          <w:snapToGrid/>
        </w:rPr>
        <w:t>这些制度的目的是要解决需要国家特别保护的少年儿童的问题，它可以分为四系列行动：</w:t>
      </w:r>
    </w:p>
    <w:p w:rsidR="00000000" w:rsidRDefault="009C1C61">
      <w:pPr>
        <w:numPr>
          <w:ilvl w:val="0"/>
          <w:numId w:val="274"/>
        </w:numPr>
        <w:rPr>
          <w:snapToGrid/>
        </w:rPr>
      </w:pPr>
      <w:r>
        <w:rPr>
          <w:rFonts w:hint="eastAsia"/>
          <w:snapToGrid/>
        </w:rPr>
        <w:t>观察和诊断系列，由哺乳期婴儿、学龄前儿童和在校儿童的过渡和分配中心组成；</w:t>
      </w:r>
    </w:p>
    <w:p w:rsidR="00000000" w:rsidRDefault="009C1C61">
      <w:pPr>
        <w:numPr>
          <w:ilvl w:val="0"/>
          <w:numId w:val="274"/>
        </w:numPr>
        <w:rPr>
          <w:snapToGrid/>
        </w:rPr>
      </w:pPr>
      <w:r>
        <w:rPr>
          <w:rFonts w:hint="eastAsia"/>
          <w:snapToGrid/>
        </w:rPr>
        <w:t>保护系列，解决寄宿场所，提供简单保护、家庭安置、收容轻度或不严重弱智儿童的机构和收容严重弱智儿童的机构；</w:t>
      </w:r>
    </w:p>
    <w:p w:rsidR="00000000" w:rsidRDefault="009C1C61">
      <w:pPr>
        <w:numPr>
          <w:ilvl w:val="0"/>
          <w:numId w:val="274"/>
        </w:numPr>
        <w:rPr>
          <w:snapToGrid/>
        </w:rPr>
      </w:pPr>
      <w:r>
        <w:rPr>
          <w:rFonts w:hint="eastAsia"/>
          <w:snapToGrid/>
        </w:rPr>
        <w:t>行为康复系列；</w:t>
      </w:r>
    </w:p>
    <w:p w:rsidR="00000000" w:rsidRDefault="009C1C61">
      <w:pPr>
        <w:numPr>
          <w:ilvl w:val="0"/>
          <w:numId w:val="274"/>
        </w:numPr>
        <w:rPr>
          <w:snapToGrid/>
        </w:rPr>
      </w:pPr>
      <w:r>
        <w:rPr>
          <w:rFonts w:hint="eastAsia"/>
          <w:snapToGrid/>
        </w:rPr>
        <w:t>预防系列，工作范围是日托中心、社区中心和青年俱乐部。</w:t>
      </w:r>
    </w:p>
    <w:p w:rsidR="00000000" w:rsidRDefault="009C1C61">
      <w:pPr>
        <w:rPr>
          <w:snapToGrid/>
        </w:rPr>
      </w:pPr>
      <w:r>
        <w:rPr>
          <w:rFonts w:hint="eastAsia"/>
          <w:snapToGrid/>
        </w:rPr>
        <w:tab/>
      </w:r>
      <w:r>
        <w:rPr>
          <w:snapToGrid/>
        </w:rPr>
        <w:t>439.</w:t>
      </w:r>
      <w:r>
        <w:rPr>
          <w:rFonts w:hint="eastAsia"/>
          <w:snapToGrid/>
        </w:rPr>
        <w:t xml:space="preserve">  </w:t>
      </w:r>
      <w:r>
        <w:rPr>
          <w:snapToGrid/>
        </w:rPr>
        <w:t>1991</w:t>
      </w:r>
      <w:r>
        <w:rPr>
          <w:rFonts w:hint="eastAsia"/>
          <w:snapToGrid/>
        </w:rPr>
        <w:t>年起，未成年人服务署启动并资助了一些特别方案，主要是巡</w:t>
      </w:r>
      <w:r>
        <w:rPr>
          <w:rFonts w:hint="eastAsia"/>
          <w:snapToGrid/>
        </w:rPr>
        <w:t>回服务和社区服务方案，从而扩大了帮助受侵权儿童的方案系列。已为如下方面制定了此类方案：巡回诊断、严重虐待和性虐待、吸毒、对儿童和流浪儿童的商业化性剥削，等等。该署还设立了保护儿童权利办事处</w:t>
      </w:r>
      <w:r>
        <w:rPr>
          <w:rFonts w:hint="eastAsia"/>
          <w:snapToGrid/>
        </w:rPr>
        <w:t>(</w:t>
      </w:r>
      <w:r>
        <w:rPr>
          <w:rFonts w:hint="eastAsia"/>
          <w:snapToGrid/>
        </w:rPr>
        <w:t>儿保办</w:t>
      </w:r>
      <w:r>
        <w:rPr>
          <w:rFonts w:hint="eastAsia"/>
          <w:snapToGrid/>
        </w:rPr>
        <w:t>)</w:t>
      </w:r>
      <w:r>
        <w:rPr>
          <w:rFonts w:hint="eastAsia"/>
          <w:snapToGrid/>
        </w:rPr>
        <w:t>。</w:t>
      </w:r>
    </w:p>
    <w:p w:rsidR="00000000" w:rsidRDefault="009C1C61">
      <w:pPr>
        <w:spacing w:after="320"/>
        <w:rPr>
          <w:snapToGrid/>
        </w:rPr>
      </w:pPr>
      <w:r>
        <w:rPr>
          <w:rFonts w:hint="eastAsia"/>
          <w:snapToGrid/>
        </w:rPr>
        <w:tab/>
      </w:r>
      <w:r>
        <w:rPr>
          <w:snapToGrid/>
        </w:rPr>
        <w:t>440.</w:t>
      </w:r>
      <w:r>
        <w:rPr>
          <w:rFonts w:hint="eastAsia"/>
          <w:snapToGrid/>
        </w:rPr>
        <w:t xml:space="preserve">  </w:t>
      </w:r>
      <w:r>
        <w:rPr>
          <w:rFonts w:hint="eastAsia"/>
          <w:snapToGrid/>
        </w:rPr>
        <w:t>儿保办是在地方范围开展工作的，他们所进行的活动旨在充分保护遭到社会排挤或丧失权益的男女儿童的权利。儿保办方案的目标包括：试图在法院帮助解决儿童问题、改善权益遭到侵犯的儿童的收容住所条件、并加强家庭、社会网络和市政服务，以便加强对儿童权利的保护。</w:t>
      </w:r>
    </w:p>
    <w:p w:rsidR="00000000" w:rsidRDefault="009C1C61">
      <w:pPr>
        <w:pStyle w:val="Heading4"/>
        <w:rPr>
          <w:rFonts w:ascii="Time New Roman" w:eastAsia="SimHei" w:hAnsi="Time New Roman"/>
          <w:u w:val="none"/>
        </w:rPr>
      </w:pPr>
      <w:r>
        <w:rPr>
          <w:rFonts w:ascii="Time New Roman" w:eastAsia="SimHei" w:hAnsi="Time New Roman" w:hint="eastAsia"/>
          <w:u w:val="none"/>
        </w:rPr>
        <w:t>观察和诊断系统</w:t>
      </w:r>
    </w:p>
    <w:p w:rsidR="00000000" w:rsidRDefault="009C1C61">
      <w:pPr>
        <w:rPr>
          <w:snapToGrid/>
        </w:rPr>
      </w:pPr>
      <w:r>
        <w:rPr>
          <w:rFonts w:hint="eastAsia"/>
          <w:snapToGrid/>
        </w:rPr>
        <w:tab/>
      </w:r>
      <w:r>
        <w:rPr>
          <w:snapToGrid/>
        </w:rPr>
        <w:t>441.</w:t>
      </w:r>
      <w:r>
        <w:rPr>
          <w:rFonts w:hint="eastAsia"/>
          <w:snapToGrid/>
        </w:rPr>
        <w:t xml:space="preserve">  </w:t>
      </w:r>
      <w:r>
        <w:rPr>
          <w:rFonts w:hint="eastAsia"/>
          <w:snapToGrid/>
        </w:rPr>
        <w:t>这一系统是为处境非常</w:t>
      </w:r>
      <w:r>
        <w:rPr>
          <w:rFonts w:hint="eastAsia"/>
          <w:snapToGrid/>
        </w:rPr>
        <w:t>的儿童提供援助的一个总的切入点，因而必须处理法院所转来的所有未成年人。这一系统分为以下两部分：</w:t>
      </w:r>
    </w:p>
    <w:p w:rsidR="00000000" w:rsidRDefault="009C1C61">
      <w:pPr>
        <w:numPr>
          <w:ilvl w:val="0"/>
          <w:numId w:val="276"/>
        </w:numPr>
        <w:rPr>
          <w:snapToGrid/>
        </w:rPr>
      </w:pPr>
      <w:r>
        <w:rPr>
          <w:rFonts w:hint="eastAsia"/>
          <w:snapToGrid/>
        </w:rPr>
        <w:t>观察和诊断中心，中心接收被判定犯有刑事罪或轻罪的未成年人，他们将留在中心，直至法院通过对其案子作出裁决、并对该未成年人对事物的认识能力作出判断为止。</w:t>
      </w:r>
    </w:p>
    <w:p w:rsidR="00000000" w:rsidRDefault="009C1C61">
      <w:pPr>
        <w:numPr>
          <w:ilvl w:val="0"/>
          <w:numId w:val="276"/>
        </w:numPr>
        <w:rPr>
          <w:snapToGrid/>
        </w:rPr>
      </w:pPr>
      <w:r>
        <w:rPr>
          <w:rFonts w:hint="eastAsia"/>
          <w:snapToGrid/>
        </w:rPr>
        <w:t>过渡和分配中心，其目的是要看护需要诊断、援助和保护的青少年，直到法院裁定采取一种适当措施之时为止。这些中心还收容那些触犯了法律，但不需羁押的青少年。中心是作为寄住设施运作的。</w:t>
      </w:r>
    </w:p>
    <w:p w:rsidR="00000000" w:rsidRDefault="009C1C61">
      <w:pPr>
        <w:rPr>
          <w:snapToGrid/>
        </w:rPr>
      </w:pPr>
      <w:r>
        <w:rPr>
          <w:rFonts w:hint="eastAsia"/>
          <w:snapToGrid/>
        </w:rPr>
        <w:tab/>
      </w:r>
      <w:r>
        <w:rPr>
          <w:snapToGrid/>
        </w:rPr>
        <w:t>442.</w:t>
      </w:r>
      <w:r>
        <w:rPr>
          <w:rFonts w:hint="eastAsia"/>
          <w:snapToGrid/>
        </w:rPr>
        <w:t xml:space="preserve">  </w:t>
      </w:r>
      <w:r>
        <w:rPr>
          <w:rFonts w:hint="eastAsia"/>
          <w:snapToGrid/>
        </w:rPr>
        <w:t>在这个系统中，未成年人服务署对于观察和诊断中心负有直接的行政责任。据此，</w:t>
      </w:r>
      <w:r>
        <w:rPr>
          <w:snapToGrid/>
        </w:rPr>
        <w:t>19</w:t>
      </w:r>
      <w:r>
        <w:rPr>
          <w:snapToGrid/>
        </w:rPr>
        <w:t>99</w:t>
      </w:r>
      <w:r>
        <w:rPr>
          <w:rFonts w:hint="eastAsia"/>
          <w:snapToGrid/>
        </w:rPr>
        <w:t>年，服务署管理的设施共有</w:t>
      </w:r>
      <w:r>
        <w:rPr>
          <w:snapToGrid/>
        </w:rPr>
        <w:t>24</w:t>
      </w:r>
      <w:r>
        <w:rPr>
          <w:rFonts w:hint="eastAsia"/>
          <w:snapToGrid/>
        </w:rPr>
        <w:t>个，既对少年罪犯也对需要援助和保护的儿童进行诊断和行为康复，收容的人数共计</w:t>
      </w:r>
      <w:r>
        <w:rPr>
          <w:snapToGrid/>
        </w:rPr>
        <w:t>1,830</w:t>
      </w:r>
      <w:r>
        <w:rPr>
          <w:rFonts w:hint="eastAsia"/>
          <w:snapToGrid/>
        </w:rPr>
        <w:t>名。</w:t>
      </w:r>
    </w:p>
    <w:p w:rsidR="00000000" w:rsidRDefault="009C1C61">
      <w:pPr>
        <w:spacing w:after="320"/>
        <w:rPr>
          <w:snapToGrid/>
        </w:rPr>
      </w:pPr>
      <w:r>
        <w:rPr>
          <w:rFonts w:hint="eastAsia"/>
          <w:snapToGrid/>
        </w:rPr>
        <w:tab/>
      </w:r>
      <w:r>
        <w:rPr>
          <w:snapToGrid/>
        </w:rPr>
        <w:t>443.</w:t>
      </w:r>
      <w:r>
        <w:rPr>
          <w:rFonts w:hint="eastAsia"/>
          <w:snapToGrid/>
        </w:rPr>
        <w:t xml:space="preserve">  </w:t>
      </w:r>
      <w:r>
        <w:rPr>
          <w:rFonts w:hint="eastAsia"/>
          <w:snapToGrid/>
        </w:rPr>
        <w:t>未成年人服务署通过其诊断系统、特别是通过过渡和分配中心，努力将诊断与住宿两个方面区分开来，后者是作为例外的最后办法来采用的，因而，诊断设施基本上是提供巡回或外出诊断服务。诊断的目的也已经过复核，将更大的侧重点放在确定具体每个儿童的权利受到侵犯的方式和程度。</w:t>
      </w:r>
    </w:p>
    <w:p w:rsidR="00000000" w:rsidRDefault="009C1C61">
      <w:pPr>
        <w:pStyle w:val="Heading4"/>
        <w:rPr>
          <w:rFonts w:ascii="Time New Roman" w:eastAsia="SimHei" w:hAnsi="Time New Roman"/>
          <w:u w:val="none"/>
        </w:rPr>
      </w:pPr>
      <w:r>
        <w:rPr>
          <w:rFonts w:ascii="Time New Roman" w:eastAsia="SimHei" w:hAnsi="Time New Roman" w:hint="eastAsia"/>
          <w:u w:val="none"/>
        </w:rPr>
        <w:t>保护系统</w:t>
      </w:r>
    </w:p>
    <w:p w:rsidR="00000000" w:rsidRDefault="009C1C61">
      <w:pPr>
        <w:rPr>
          <w:snapToGrid/>
        </w:rPr>
      </w:pPr>
      <w:r>
        <w:rPr>
          <w:rFonts w:hint="eastAsia"/>
          <w:snapToGrid/>
        </w:rPr>
        <w:tab/>
      </w:r>
      <w:r>
        <w:rPr>
          <w:snapToGrid/>
        </w:rPr>
        <w:t>444.</w:t>
      </w:r>
      <w:r>
        <w:rPr>
          <w:rFonts w:hint="eastAsia"/>
          <w:snapToGrid/>
        </w:rPr>
        <w:t xml:space="preserve">  </w:t>
      </w:r>
      <w:r>
        <w:rPr>
          <w:rFonts w:hint="eastAsia"/>
          <w:snapToGrid/>
        </w:rPr>
        <w:t>这一系统的服务对象是</w:t>
      </w:r>
      <w:r>
        <w:rPr>
          <w:snapToGrid/>
        </w:rPr>
        <w:t>18</w:t>
      </w:r>
      <w:r>
        <w:rPr>
          <w:rFonts w:hint="eastAsia"/>
          <w:snapToGrid/>
        </w:rPr>
        <w:t>岁以下的儿童，但如果青年正接受高等教育，如果严重弱智、如果他们的权利遭</w:t>
      </w:r>
      <w:r>
        <w:rPr>
          <w:rFonts w:hint="eastAsia"/>
          <w:snapToGrid/>
        </w:rPr>
        <w:t>到严重的侵犯、或如果没有家人或家人丧失照顾能力</w:t>
      </w:r>
      <w:r>
        <w:rPr>
          <w:rFonts w:hint="eastAsia"/>
          <w:snapToGrid/>
        </w:rPr>
        <w:t>(</w:t>
      </w:r>
      <w:r>
        <w:rPr>
          <w:rFonts w:hint="eastAsia"/>
          <w:snapToGrid/>
        </w:rPr>
        <w:t>即没有人照顾和照顾不当</w:t>
      </w:r>
      <w:r>
        <w:rPr>
          <w:rFonts w:hint="eastAsia"/>
          <w:snapToGrid/>
        </w:rPr>
        <w:t>)</w:t>
      </w:r>
      <w:r>
        <w:rPr>
          <w:rFonts w:hint="eastAsia"/>
          <w:snapToGrid/>
        </w:rPr>
        <w:t>，则服务对象可以扩大到</w:t>
      </w:r>
      <w:r>
        <w:rPr>
          <w:snapToGrid/>
        </w:rPr>
        <w:t>24</w:t>
      </w:r>
      <w:r>
        <w:rPr>
          <w:rFonts w:hint="eastAsia"/>
          <w:snapToGrid/>
        </w:rPr>
        <w:t>岁以下的青少年。这项保护制度是通过四种附属的体制来实施的：</w:t>
      </w:r>
    </w:p>
    <w:p w:rsidR="00000000" w:rsidRDefault="009C1C61">
      <w:pPr>
        <w:numPr>
          <w:ilvl w:val="0"/>
          <w:numId w:val="278"/>
        </w:numPr>
        <w:rPr>
          <w:snapToGrid/>
        </w:rPr>
      </w:pPr>
      <w:r>
        <w:rPr>
          <w:rFonts w:hint="eastAsia"/>
          <w:snapToGrid/>
        </w:rPr>
        <w:t>提供简单保护的住宿设施；</w:t>
      </w:r>
    </w:p>
    <w:p w:rsidR="00000000" w:rsidRDefault="009C1C61">
      <w:pPr>
        <w:numPr>
          <w:ilvl w:val="0"/>
          <w:numId w:val="278"/>
        </w:numPr>
        <w:rPr>
          <w:snapToGrid/>
        </w:rPr>
      </w:pPr>
      <w:r>
        <w:rPr>
          <w:rFonts w:hint="eastAsia"/>
          <w:snapToGrid/>
        </w:rPr>
        <w:t>家庭安置；</w:t>
      </w:r>
    </w:p>
    <w:p w:rsidR="00000000" w:rsidRDefault="009C1C61">
      <w:pPr>
        <w:numPr>
          <w:ilvl w:val="0"/>
          <w:numId w:val="278"/>
        </w:numPr>
        <w:rPr>
          <w:snapToGrid/>
        </w:rPr>
      </w:pPr>
      <w:r>
        <w:rPr>
          <w:rFonts w:hint="eastAsia"/>
          <w:snapToGrid/>
        </w:rPr>
        <w:t>保护轻度或不严重弱智儿童的住宿设施；</w:t>
      </w:r>
    </w:p>
    <w:p w:rsidR="00000000" w:rsidRDefault="009C1C61">
      <w:pPr>
        <w:numPr>
          <w:ilvl w:val="0"/>
          <w:numId w:val="278"/>
        </w:numPr>
        <w:rPr>
          <w:snapToGrid/>
        </w:rPr>
      </w:pPr>
      <w:r>
        <w:rPr>
          <w:rFonts w:hint="eastAsia"/>
          <w:snapToGrid/>
        </w:rPr>
        <w:t>收容严重弱智儿童的住宿设施。</w:t>
      </w:r>
    </w:p>
    <w:p w:rsidR="00000000" w:rsidRDefault="009C1C61">
      <w:pPr>
        <w:rPr>
          <w:snapToGrid/>
        </w:rPr>
      </w:pPr>
      <w:r>
        <w:rPr>
          <w:rFonts w:hint="eastAsia"/>
          <w:snapToGrid/>
        </w:rPr>
        <w:tab/>
      </w:r>
      <w:r>
        <w:rPr>
          <w:snapToGrid/>
        </w:rPr>
        <w:t>445.</w:t>
      </w:r>
      <w:r>
        <w:rPr>
          <w:rFonts w:hint="eastAsia"/>
          <w:snapToGrid/>
        </w:rPr>
        <w:t xml:space="preserve">  </w:t>
      </w:r>
      <w:r>
        <w:rPr>
          <w:rFonts w:hint="eastAsia"/>
          <w:snapToGrid/>
        </w:rPr>
        <w:t>这些设施构成了住宿保护系统，保护权利受到严重侵犯、需要将其与家庭环境隔离的儿童。按法律规定</w:t>
      </w:r>
      <w:r>
        <w:rPr>
          <w:rFonts w:hint="eastAsia"/>
          <w:snapToGrid/>
        </w:rPr>
        <w:t xml:space="preserve"> </w:t>
      </w:r>
      <w:r>
        <w:rPr>
          <w:rStyle w:val="FootnoteReference"/>
          <w:snapToGrid/>
          <w:szCs w:val="24"/>
        </w:rPr>
        <w:footnoteReference w:id="224"/>
      </w:r>
      <w:r>
        <w:rPr>
          <w:rFonts w:hint="eastAsia"/>
          <w:snapToGrid/>
          <w:szCs w:val="24"/>
        </w:rPr>
        <w:t xml:space="preserve"> </w:t>
      </w:r>
      <w:r>
        <w:rPr>
          <w:rFonts w:hint="eastAsia"/>
          <w:snapToGrid/>
        </w:rPr>
        <w:t>所建立的这些设施旨在保障有关儿童的福利，并保护其生存和参与的基本权利，并尽快地恢复其在家庭环境里成长和发展的权利。</w:t>
      </w:r>
    </w:p>
    <w:p w:rsidR="00000000" w:rsidRDefault="009C1C61">
      <w:pPr>
        <w:spacing w:after="320"/>
        <w:rPr>
          <w:snapToGrid/>
        </w:rPr>
      </w:pPr>
      <w:r>
        <w:rPr>
          <w:rFonts w:hint="eastAsia"/>
          <w:snapToGrid/>
        </w:rPr>
        <w:tab/>
      </w:r>
      <w:r>
        <w:rPr>
          <w:snapToGrid/>
        </w:rPr>
        <w:t>446.</w:t>
      </w:r>
      <w:r>
        <w:rPr>
          <w:rFonts w:hint="eastAsia"/>
          <w:snapToGrid/>
        </w:rPr>
        <w:t xml:space="preserve">  </w:t>
      </w:r>
      <w:r>
        <w:rPr>
          <w:rFonts w:hint="eastAsia"/>
          <w:snapToGrid/>
        </w:rPr>
        <w:t>在对保护</w:t>
      </w:r>
      <w:r>
        <w:rPr>
          <w:rFonts w:hint="eastAsia"/>
          <w:snapToGrid/>
        </w:rPr>
        <w:t>儿童的现有体制进行改革的基础上，未成年人服务署已开始整顿其住宿保护设施，减少了住宿数量，同时又提供旨在加强家庭背景的不同巡回服务，以便帮助儿童能留在家庭和其社区内。</w:t>
      </w:r>
    </w:p>
    <w:p w:rsidR="00000000" w:rsidRDefault="009C1C61">
      <w:pPr>
        <w:pStyle w:val="Heading4"/>
        <w:rPr>
          <w:rFonts w:ascii="Time New Roman" w:eastAsia="SimHei" w:hAnsi="Time New Roman"/>
          <w:u w:val="none"/>
        </w:rPr>
      </w:pPr>
      <w:r>
        <w:rPr>
          <w:rFonts w:ascii="Time New Roman" w:eastAsia="SimHei" w:hAnsi="Time New Roman" w:hint="eastAsia"/>
          <w:u w:val="none"/>
        </w:rPr>
        <w:t>康复系统</w:t>
      </w:r>
    </w:p>
    <w:p w:rsidR="00000000" w:rsidRDefault="009C1C61">
      <w:pPr>
        <w:rPr>
          <w:snapToGrid/>
        </w:rPr>
      </w:pPr>
      <w:r>
        <w:rPr>
          <w:rFonts w:hint="eastAsia"/>
          <w:snapToGrid/>
        </w:rPr>
        <w:tab/>
      </w:r>
      <w:r>
        <w:rPr>
          <w:snapToGrid/>
        </w:rPr>
        <w:t>447.</w:t>
      </w:r>
      <w:r>
        <w:rPr>
          <w:rFonts w:hint="eastAsia"/>
          <w:snapToGrid/>
        </w:rPr>
        <w:t xml:space="preserve">  </w:t>
      </w:r>
      <w:r>
        <w:rPr>
          <w:rFonts w:hint="eastAsia"/>
          <w:snapToGrid/>
        </w:rPr>
        <w:t>这一系统的对象是触犯法律、但无法予以起诉、或有严重行为问题的儿童和青少年。这一系统通过三个附属的系统运作：</w:t>
      </w:r>
    </w:p>
    <w:p w:rsidR="00000000" w:rsidRDefault="009C1C61">
      <w:pPr>
        <w:numPr>
          <w:ilvl w:val="0"/>
          <w:numId w:val="280"/>
        </w:numPr>
        <w:rPr>
          <w:snapToGrid/>
        </w:rPr>
      </w:pPr>
      <w:r>
        <w:rPr>
          <w:rFonts w:hint="eastAsia"/>
          <w:snapToGrid/>
        </w:rPr>
        <w:t>行为康复收容；</w:t>
      </w:r>
    </w:p>
    <w:p w:rsidR="00000000" w:rsidRDefault="009C1C61">
      <w:pPr>
        <w:numPr>
          <w:ilvl w:val="0"/>
          <w:numId w:val="280"/>
        </w:numPr>
        <w:rPr>
          <w:snapToGrid/>
        </w:rPr>
      </w:pPr>
      <w:r>
        <w:rPr>
          <w:rFonts w:hint="eastAsia"/>
          <w:snapToGrid/>
        </w:rPr>
        <w:t>释放后监督；</w:t>
      </w:r>
    </w:p>
    <w:p w:rsidR="00000000" w:rsidRDefault="009C1C61">
      <w:pPr>
        <w:numPr>
          <w:ilvl w:val="0"/>
          <w:numId w:val="280"/>
        </w:numPr>
        <w:rPr>
          <w:snapToGrid/>
        </w:rPr>
      </w:pPr>
      <w:r>
        <w:rPr>
          <w:rFonts w:hint="eastAsia"/>
          <w:snapToGrid/>
        </w:rPr>
        <w:t>日间行为康复。</w:t>
      </w:r>
    </w:p>
    <w:p w:rsidR="00000000" w:rsidRDefault="009C1C61">
      <w:pPr>
        <w:spacing w:after="320"/>
        <w:rPr>
          <w:snapToGrid/>
        </w:rPr>
      </w:pPr>
      <w:r>
        <w:rPr>
          <w:rFonts w:hint="eastAsia"/>
          <w:snapToGrid/>
        </w:rPr>
        <w:tab/>
      </w:r>
      <w:r>
        <w:rPr>
          <w:rFonts w:hint="eastAsia"/>
          <w:snapToGrid/>
        </w:rPr>
        <w:t>这一系统的目标是促进、指导和支持那些被控触犯刑事法的、经有关法院转来的青少年的重新安置工作。</w:t>
      </w:r>
    </w:p>
    <w:p w:rsidR="00000000" w:rsidRDefault="009C1C61">
      <w:pPr>
        <w:pStyle w:val="Heading4"/>
        <w:rPr>
          <w:rFonts w:ascii="Time New Roman" w:eastAsia="SimHei" w:hAnsi="Time New Roman"/>
          <w:u w:val="none"/>
        </w:rPr>
      </w:pPr>
      <w:r>
        <w:rPr>
          <w:rFonts w:ascii="Time New Roman" w:eastAsia="SimHei" w:hAnsi="Time New Roman" w:hint="eastAsia"/>
          <w:u w:val="none"/>
        </w:rPr>
        <w:t>预防系统</w:t>
      </w:r>
    </w:p>
    <w:p w:rsidR="00000000" w:rsidRDefault="009C1C61">
      <w:pPr>
        <w:rPr>
          <w:snapToGrid/>
        </w:rPr>
      </w:pPr>
      <w:r>
        <w:rPr>
          <w:rFonts w:hint="eastAsia"/>
          <w:snapToGrid/>
        </w:rPr>
        <w:tab/>
      </w:r>
      <w:r>
        <w:rPr>
          <w:snapToGrid/>
        </w:rPr>
        <w:t>448.</w:t>
      </w:r>
      <w:r>
        <w:rPr>
          <w:rFonts w:hint="eastAsia"/>
          <w:snapToGrid/>
        </w:rPr>
        <w:t xml:space="preserve">  </w:t>
      </w:r>
      <w:r>
        <w:rPr>
          <w:rFonts w:hint="eastAsia"/>
          <w:snapToGrid/>
        </w:rPr>
        <w:t>这一体系统的目标在于帮助年龄在</w:t>
      </w:r>
      <w:r>
        <w:rPr>
          <w:snapToGrid/>
        </w:rPr>
        <w:t>18</w:t>
      </w:r>
      <w:r>
        <w:rPr>
          <w:rFonts w:hint="eastAsia"/>
          <w:snapToGrid/>
        </w:rPr>
        <w:t>岁以下、权利遭</w:t>
      </w:r>
      <w:r>
        <w:rPr>
          <w:rFonts w:hint="eastAsia"/>
          <w:snapToGrid/>
        </w:rPr>
        <w:t>受侵犯的青少年及其家庭。预防的形式如下：日间看护中心、社区中心、青年俱乐部、轻度或不严重弱智儿童的日间看护中心，和严重弱智儿童的日间看护中心。</w:t>
      </w:r>
      <w:r>
        <w:rPr>
          <w:rStyle w:val="FootnoteReference"/>
          <w:snapToGrid/>
        </w:rPr>
        <w:footnoteReference w:id="225"/>
      </w:r>
    </w:p>
    <w:p w:rsidR="00000000" w:rsidRDefault="009C1C61">
      <w:pPr>
        <w:spacing w:after="320"/>
        <w:rPr>
          <w:snapToGrid/>
        </w:rPr>
      </w:pPr>
      <w:r>
        <w:rPr>
          <w:rFonts w:hint="eastAsia"/>
          <w:snapToGrid/>
        </w:rPr>
        <w:tab/>
      </w:r>
      <w:r>
        <w:rPr>
          <w:snapToGrid/>
        </w:rPr>
        <w:t>449.</w:t>
      </w:r>
      <w:r>
        <w:rPr>
          <w:rFonts w:hint="eastAsia"/>
          <w:snapToGrid/>
        </w:rPr>
        <w:t xml:space="preserve">  </w:t>
      </w:r>
      <w:r>
        <w:rPr>
          <w:rFonts w:hint="eastAsia"/>
          <w:snapToGrid/>
        </w:rPr>
        <w:t>为儿童与青少年开设并发展了社区中心，着重在社区内增进儿童权利，并为往往来自处条件与机会非常不利的地区的儿童、青少年及其家庭提供技术设施。目前正在研究其他可选择的方式，以便为权利受到侵犯的儿童提供日间看护。</w:t>
      </w:r>
    </w:p>
    <w:p w:rsidR="00000000" w:rsidRDefault="009C1C61">
      <w:pPr>
        <w:pStyle w:val="Heading4"/>
        <w:rPr>
          <w:rFonts w:ascii="Time New Roman" w:eastAsia="SimHei" w:hAnsi="Time New Roman"/>
          <w:u w:val="none"/>
        </w:rPr>
      </w:pPr>
      <w:r>
        <w:rPr>
          <w:rFonts w:ascii="Time New Roman" w:eastAsia="SimHei" w:hAnsi="Time New Roman" w:hint="eastAsia"/>
          <w:u w:val="none"/>
        </w:rPr>
        <w:t>支助方案</w:t>
      </w:r>
    </w:p>
    <w:p w:rsidR="00000000" w:rsidRDefault="009C1C61">
      <w:pPr>
        <w:rPr>
          <w:snapToGrid/>
        </w:rPr>
      </w:pPr>
      <w:r>
        <w:rPr>
          <w:rFonts w:hint="eastAsia"/>
          <w:snapToGrid/>
        </w:rPr>
        <w:tab/>
      </w:r>
      <w:r>
        <w:rPr>
          <w:snapToGrid/>
        </w:rPr>
        <w:t>450.</w:t>
      </w:r>
      <w:r>
        <w:rPr>
          <w:rFonts w:hint="eastAsia"/>
          <w:snapToGrid/>
        </w:rPr>
        <w:t xml:space="preserve">  </w:t>
      </w:r>
      <w:r>
        <w:rPr>
          <w:snapToGrid/>
        </w:rPr>
        <w:t>1991</w:t>
      </w:r>
      <w:r>
        <w:rPr>
          <w:rFonts w:hint="eastAsia"/>
          <w:snapToGrid/>
        </w:rPr>
        <w:t>年起，未成年人服务署经管一项支助方案，以便帮助实施新型的专门从事康复工作的项目，主要处理的问题有：严重虐待、儿童性</w:t>
      </w:r>
      <w:r>
        <w:rPr>
          <w:rFonts w:hint="eastAsia"/>
          <w:snapToGrid/>
        </w:rPr>
        <w:t>虐待、吸毒、对儿童、流浪儿童和童工的商业化性剥削。</w:t>
      </w:r>
    </w:p>
    <w:p w:rsidR="00000000" w:rsidRDefault="009C1C61">
      <w:pPr>
        <w:spacing w:after="320"/>
        <w:rPr>
          <w:snapToGrid/>
        </w:rPr>
      </w:pPr>
      <w:r>
        <w:rPr>
          <w:rFonts w:hint="eastAsia"/>
          <w:snapToGrid/>
        </w:rPr>
        <w:tab/>
      </w:r>
      <w:r>
        <w:rPr>
          <w:snapToGrid/>
        </w:rPr>
        <w:t>451.</w:t>
      </w:r>
      <w:r>
        <w:rPr>
          <w:rFonts w:hint="eastAsia"/>
          <w:snapToGrid/>
        </w:rPr>
        <w:t xml:space="preserve">  </w:t>
      </w:r>
      <w:r>
        <w:rPr>
          <w:rFonts w:hint="eastAsia"/>
          <w:snapToGrid/>
        </w:rPr>
        <w:t>同样值得一提的是，有一项</w:t>
      </w:r>
      <w:r>
        <w:rPr>
          <w:rFonts w:hint="eastAsia"/>
          <w:snapToGrid/>
        </w:rPr>
        <w:t>(</w:t>
      </w:r>
      <w:r>
        <w:rPr>
          <w:rFonts w:hint="eastAsia"/>
          <w:snapToGrid/>
        </w:rPr>
        <w:t>国际和国内</w:t>
      </w:r>
      <w:r>
        <w:rPr>
          <w:rFonts w:hint="eastAsia"/>
          <w:snapToGrid/>
        </w:rPr>
        <w:t>)</w:t>
      </w:r>
      <w:r>
        <w:rPr>
          <w:rFonts w:hint="eastAsia"/>
          <w:snapToGrid/>
        </w:rPr>
        <w:t>领养弃儿的方案，这一点已在上文中讨论过。</w:t>
      </w:r>
    </w:p>
    <w:p w:rsidR="00000000" w:rsidRDefault="009C1C61">
      <w:pPr>
        <w:pStyle w:val="Heading4"/>
        <w:rPr>
          <w:rFonts w:ascii="Time New Roman" w:eastAsia="SimHei" w:hAnsi="Time New Roman"/>
          <w:u w:val="none"/>
        </w:rPr>
      </w:pPr>
      <w:r>
        <w:rPr>
          <w:rFonts w:ascii="Time New Roman" w:eastAsia="SimHei" w:hAnsi="Time New Roman" w:hint="eastAsia"/>
          <w:u w:val="none"/>
        </w:rPr>
        <w:t>童工</w:t>
      </w:r>
    </w:p>
    <w:p w:rsidR="00000000" w:rsidRDefault="009C1C61">
      <w:pPr>
        <w:rPr>
          <w:snapToGrid/>
        </w:rPr>
      </w:pPr>
      <w:r>
        <w:rPr>
          <w:rFonts w:hint="eastAsia"/>
          <w:snapToGrid/>
        </w:rPr>
        <w:tab/>
      </w:r>
      <w:r>
        <w:rPr>
          <w:snapToGrid/>
        </w:rPr>
        <w:t>452.</w:t>
      </w:r>
      <w:r>
        <w:rPr>
          <w:rFonts w:hint="eastAsia"/>
          <w:snapToGrid/>
        </w:rPr>
        <w:t xml:space="preserve">  </w:t>
      </w:r>
      <w:r>
        <w:rPr>
          <w:rFonts w:hint="eastAsia"/>
          <w:snapToGrid/>
          <w:spacing w:val="6"/>
        </w:rPr>
        <w:t>《劳工法》提到</w:t>
      </w:r>
      <w:r>
        <w:rPr>
          <w:rFonts w:ascii="Time New Roman" w:eastAsia="SimHei" w:hAnsi="Time New Roman" w:hint="eastAsia"/>
          <w:spacing w:val="6"/>
        </w:rPr>
        <w:t>“</w:t>
      </w:r>
      <w:r>
        <w:rPr>
          <w:rFonts w:hint="eastAsia"/>
          <w:snapToGrid/>
          <w:spacing w:val="6"/>
        </w:rPr>
        <w:t>妇女和儿童签订合同的能力及关于其做工的规则</w:t>
      </w:r>
      <w:r>
        <w:rPr>
          <w:rFonts w:ascii="Time New Roman" w:eastAsia="SimHei" w:hAnsi="Time New Roman" w:hint="eastAsia"/>
          <w:spacing w:val="6"/>
        </w:rPr>
        <w:t>”</w:t>
      </w:r>
      <w:r>
        <w:rPr>
          <w:rFonts w:hint="eastAsia"/>
          <w:snapToGrid/>
          <w:spacing w:val="6"/>
        </w:rPr>
        <w:t>。</w:t>
      </w:r>
      <w:r>
        <w:rPr>
          <w:rStyle w:val="FootnoteReference"/>
          <w:snapToGrid/>
        </w:rPr>
        <w:footnoteReference w:id="226"/>
      </w:r>
      <w:r>
        <w:rPr>
          <w:rFonts w:hint="eastAsia"/>
          <w:snapToGrid/>
          <w:spacing w:val="6"/>
        </w:rPr>
        <w:t xml:space="preserve"> </w:t>
      </w:r>
      <w:r>
        <w:rPr>
          <w:rFonts w:hint="eastAsia"/>
          <w:snapToGrid/>
        </w:rPr>
        <w:t>该法对于</w:t>
      </w:r>
      <w:r>
        <w:rPr>
          <w:snapToGrid/>
        </w:rPr>
        <w:t>18</w:t>
      </w:r>
      <w:r>
        <w:rPr>
          <w:rFonts w:hint="eastAsia"/>
          <w:snapToGrid/>
        </w:rPr>
        <w:t>岁以下的青少年的学徒合同作出规定。</w:t>
      </w:r>
      <w:r>
        <w:rPr>
          <w:rStyle w:val="FootnoteReference"/>
          <w:snapToGrid/>
          <w:szCs w:val="24"/>
        </w:rPr>
        <w:footnoteReference w:id="227"/>
      </w:r>
      <w:r>
        <w:rPr>
          <w:rFonts w:hint="eastAsia"/>
          <w:snapToGrid/>
          <w:szCs w:val="24"/>
        </w:rPr>
        <w:t xml:space="preserve"> </w:t>
      </w:r>
      <w:r>
        <w:rPr>
          <w:rFonts w:hint="eastAsia"/>
          <w:snapToGrid/>
        </w:rPr>
        <w:t>但是，有很多儿童从事非正式的工作，例如在街头兜售，捡废纸等等，这些儿童没有任何法律保护。</w:t>
      </w:r>
      <w:r>
        <w:rPr>
          <w:snapToGrid/>
        </w:rPr>
        <w:t>1998</w:t>
      </w:r>
      <w:r>
        <w:rPr>
          <w:rFonts w:hint="eastAsia"/>
          <w:snapToGrid/>
        </w:rPr>
        <w:t>年劳工局对大都会地区年龄在</w:t>
      </w:r>
      <w:r>
        <w:rPr>
          <w:rFonts w:hint="eastAsia"/>
          <w:snapToGrid/>
        </w:rPr>
        <w:t>8</w:t>
      </w:r>
      <w:r>
        <w:rPr>
          <w:rFonts w:hint="eastAsia"/>
          <w:snapToGrid/>
        </w:rPr>
        <w:t>岁至</w:t>
      </w:r>
      <w:r>
        <w:rPr>
          <w:snapToGrid/>
        </w:rPr>
        <w:t>18</w:t>
      </w:r>
      <w:r>
        <w:rPr>
          <w:rFonts w:hint="eastAsia"/>
          <w:snapToGrid/>
        </w:rPr>
        <w:t>岁之间的</w:t>
      </w:r>
      <w:r>
        <w:rPr>
          <w:snapToGrid/>
        </w:rPr>
        <w:t>300</w:t>
      </w:r>
      <w:r>
        <w:rPr>
          <w:rFonts w:hint="eastAsia"/>
          <w:snapToGrid/>
        </w:rPr>
        <w:t>名学生开展了一项研究，发现，</w:t>
      </w:r>
      <w:r>
        <w:rPr>
          <w:snapToGrid/>
        </w:rPr>
        <w:t>40.9%</w:t>
      </w:r>
      <w:r>
        <w:rPr>
          <w:rFonts w:hint="eastAsia"/>
          <w:snapToGrid/>
        </w:rPr>
        <w:t>的儿童从事某种工作。</w:t>
      </w:r>
      <w:r>
        <w:rPr>
          <w:rStyle w:val="FootnoteReference"/>
          <w:snapToGrid/>
          <w:szCs w:val="24"/>
        </w:rPr>
        <w:footnoteReference w:id="228"/>
      </w:r>
      <w:r>
        <w:rPr>
          <w:rFonts w:hint="eastAsia"/>
          <w:snapToGrid/>
          <w:szCs w:val="24"/>
        </w:rPr>
        <w:t xml:space="preserve"> </w:t>
      </w:r>
      <w:r>
        <w:rPr>
          <w:snapToGrid/>
        </w:rPr>
        <w:t>1996</w:t>
      </w:r>
      <w:r>
        <w:rPr>
          <w:rFonts w:hint="eastAsia"/>
          <w:snapToGrid/>
        </w:rPr>
        <w:t>年社经特征调查</w:t>
      </w:r>
      <w:r>
        <w:rPr>
          <w:rFonts w:hint="eastAsia"/>
          <w:snapToGrid/>
        </w:rPr>
        <w:t>所取得的数据表明，年龄在</w:t>
      </w:r>
      <w:r>
        <w:rPr>
          <w:snapToGrid/>
        </w:rPr>
        <w:t>6</w:t>
      </w:r>
      <w:r>
        <w:rPr>
          <w:rFonts w:hint="eastAsia"/>
          <w:snapToGrid/>
        </w:rPr>
        <w:t>至</w:t>
      </w:r>
      <w:r>
        <w:rPr>
          <w:snapToGrid/>
        </w:rPr>
        <w:t>14</w:t>
      </w:r>
      <w:r>
        <w:rPr>
          <w:rFonts w:hint="eastAsia"/>
          <w:snapToGrid/>
        </w:rPr>
        <w:t>岁之间的大约</w:t>
      </w:r>
      <w:r>
        <w:rPr>
          <w:snapToGrid/>
        </w:rPr>
        <w:t>47,000</w:t>
      </w:r>
      <w:r>
        <w:rPr>
          <w:rFonts w:hint="eastAsia"/>
          <w:snapToGrid/>
        </w:rPr>
        <w:t>名儿童在调查展开前的三个月内工作过，这相当于全国这一年龄段内所有儿童人口的</w:t>
      </w:r>
      <w:r>
        <w:rPr>
          <w:snapToGrid/>
        </w:rPr>
        <w:t>1.9%</w:t>
      </w:r>
      <w:r>
        <w:rPr>
          <w:rFonts w:hint="eastAsia"/>
          <w:snapToGrid/>
        </w:rPr>
        <w:t>。</w:t>
      </w:r>
    </w:p>
    <w:p w:rsidR="00000000" w:rsidRDefault="009C1C61">
      <w:pPr>
        <w:rPr>
          <w:snapToGrid/>
        </w:rPr>
      </w:pPr>
      <w:r>
        <w:rPr>
          <w:rFonts w:hint="eastAsia"/>
          <w:snapToGrid/>
        </w:rPr>
        <w:tab/>
      </w:r>
      <w:r>
        <w:rPr>
          <w:snapToGrid/>
        </w:rPr>
        <w:t>453.</w:t>
      </w:r>
      <w:r>
        <w:rPr>
          <w:rFonts w:hint="eastAsia"/>
          <w:snapToGrid/>
        </w:rPr>
        <w:t xml:space="preserve">  </w:t>
      </w:r>
      <w:r>
        <w:rPr>
          <w:rFonts w:hint="eastAsia"/>
          <w:snapToGrid/>
        </w:rPr>
        <w:t>关于儿童工作的统计数字，作为反映未成年人服务署网络收容数字的变量，提供的信息能说明问题但是并不充分，因为这些数据说明了儿童做工的情况，但仅仅是在“过早工作”或“街头行业”的名目下的工作情况。尽管这类儿童被进未成年人服务署的经常方案中</w:t>
      </w:r>
      <w:r>
        <w:rPr>
          <w:rFonts w:hint="eastAsia"/>
          <w:snapToGrid/>
        </w:rPr>
        <w:t>(</w:t>
      </w:r>
      <w:r>
        <w:rPr>
          <w:rFonts w:hint="eastAsia"/>
          <w:snapToGrid/>
        </w:rPr>
        <w:t>援助和支助系列</w:t>
      </w:r>
      <w:r>
        <w:rPr>
          <w:rFonts w:hint="eastAsia"/>
          <w:snapToGrid/>
        </w:rPr>
        <w:t>)</w:t>
      </w:r>
      <w:r>
        <w:rPr>
          <w:rFonts w:hint="eastAsia"/>
          <w:snapToGrid/>
        </w:rPr>
        <w:t>，但是对于处理童工问题并没有专门的方案，而且保护措施的对象范围很笼统。</w:t>
      </w:r>
    </w:p>
    <w:p w:rsidR="00000000" w:rsidRDefault="009C1C61">
      <w:pPr>
        <w:rPr>
          <w:snapToGrid/>
          <w:spacing w:val="8"/>
        </w:rPr>
      </w:pPr>
      <w:r>
        <w:rPr>
          <w:rFonts w:hint="eastAsia"/>
          <w:snapToGrid/>
          <w:spacing w:val="8"/>
        </w:rPr>
        <w:tab/>
      </w:r>
      <w:r>
        <w:rPr>
          <w:snapToGrid/>
          <w:spacing w:val="8"/>
        </w:rPr>
        <w:t>454.</w:t>
      </w:r>
      <w:r>
        <w:rPr>
          <w:rFonts w:hint="eastAsia"/>
          <w:snapToGrid/>
          <w:spacing w:val="8"/>
        </w:rPr>
        <w:t xml:space="preserve">  </w:t>
      </w:r>
      <w:r>
        <w:rPr>
          <w:rFonts w:hint="eastAsia"/>
          <w:snapToGrid/>
          <w:spacing w:val="8"/>
        </w:rPr>
        <w:t>历来的趋势是在“过早</w:t>
      </w:r>
      <w:r>
        <w:rPr>
          <w:rFonts w:hint="eastAsia"/>
          <w:snapToGrid/>
          <w:spacing w:val="8"/>
        </w:rPr>
        <w:t>工作”的条目下收进未成年人服务署网络的儿童在减少，由</w:t>
      </w:r>
      <w:r>
        <w:rPr>
          <w:snapToGrid/>
          <w:spacing w:val="8"/>
        </w:rPr>
        <w:t>1997</w:t>
      </w:r>
      <w:r>
        <w:rPr>
          <w:rFonts w:hint="eastAsia"/>
          <w:snapToGrid/>
          <w:spacing w:val="8"/>
        </w:rPr>
        <w:t>年的</w:t>
      </w:r>
      <w:r>
        <w:rPr>
          <w:snapToGrid/>
          <w:spacing w:val="8"/>
        </w:rPr>
        <w:t>3,657</w:t>
      </w:r>
      <w:r>
        <w:rPr>
          <w:rFonts w:hint="eastAsia"/>
          <w:snapToGrid/>
          <w:spacing w:val="8"/>
        </w:rPr>
        <w:t>名儿童减少到</w:t>
      </w:r>
      <w:r>
        <w:rPr>
          <w:snapToGrid/>
          <w:spacing w:val="8"/>
        </w:rPr>
        <w:t>1999</w:t>
      </w:r>
      <w:r>
        <w:rPr>
          <w:rFonts w:hint="eastAsia"/>
          <w:snapToGrid/>
          <w:spacing w:val="8"/>
        </w:rPr>
        <w:t>年的</w:t>
      </w:r>
      <w:r>
        <w:rPr>
          <w:snapToGrid/>
          <w:spacing w:val="8"/>
        </w:rPr>
        <w:t>1,821</w:t>
      </w:r>
      <w:r>
        <w:rPr>
          <w:rFonts w:hint="eastAsia"/>
          <w:snapToGrid/>
          <w:spacing w:val="8"/>
        </w:rPr>
        <w:t>名儿童。但是，“街头行业”类的儿童的情况却有所恶化，其个案由</w:t>
      </w:r>
      <w:r>
        <w:rPr>
          <w:snapToGrid/>
          <w:spacing w:val="8"/>
        </w:rPr>
        <w:t>1997</w:t>
      </w:r>
      <w:r>
        <w:rPr>
          <w:rFonts w:hint="eastAsia"/>
          <w:snapToGrid/>
          <w:spacing w:val="8"/>
        </w:rPr>
        <w:t>年的</w:t>
      </w:r>
      <w:r>
        <w:rPr>
          <w:snapToGrid/>
          <w:spacing w:val="8"/>
        </w:rPr>
        <w:t>32</w:t>
      </w:r>
      <w:r>
        <w:rPr>
          <w:rFonts w:hint="eastAsia"/>
          <w:snapToGrid/>
          <w:spacing w:val="8"/>
        </w:rPr>
        <w:t>件增加到</w:t>
      </w:r>
      <w:r>
        <w:rPr>
          <w:snapToGrid/>
          <w:spacing w:val="8"/>
        </w:rPr>
        <w:t>1999</w:t>
      </w:r>
      <w:r>
        <w:rPr>
          <w:rFonts w:hint="eastAsia"/>
          <w:snapToGrid/>
          <w:spacing w:val="8"/>
        </w:rPr>
        <w:t>年的</w:t>
      </w:r>
      <w:r>
        <w:rPr>
          <w:snapToGrid/>
          <w:spacing w:val="8"/>
        </w:rPr>
        <w:t>236</w:t>
      </w:r>
      <w:r>
        <w:rPr>
          <w:rFonts w:hint="eastAsia"/>
          <w:snapToGrid/>
          <w:spacing w:val="8"/>
        </w:rPr>
        <w:t>件。</w:t>
      </w:r>
      <w:r>
        <w:rPr>
          <w:snapToGrid/>
          <w:spacing w:val="8"/>
        </w:rPr>
        <w:t>1999</w:t>
      </w:r>
      <w:r>
        <w:rPr>
          <w:rFonts w:hint="eastAsia"/>
          <w:snapToGrid/>
          <w:spacing w:val="8"/>
        </w:rPr>
        <w:t>年，按性别统计，从事街头行业的儿童中</w:t>
      </w:r>
      <w:r>
        <w:rPr>
          <w:snapToGrid/>
          <w:spacing w:val="8"/>
        </w:rPr>
        <w:t>18.9%</w:t>
      </w:r>
      <w:r>
        <w:rPr>
          <w:rFonts w:hint="eastAsia"/>
          <w:snapToGrid/>
          <w:spacing w:val="8"/>
        </w:rPr>
        <w:t>为女孩，</w:t>
      </w:r>
      <w:r>
        <w:rPr>
          <w:snapToGrid/>
          <w:spacing w:val="8"/>
        </w:rPr>
        <w:t>81.1%</w:t>
      </w:r>
      <w:r>
        <w:rPr>
          <w:rFonts w:hint="eastAsia"/>
          <w:snapToGrid/>
          <w:spacing w:val="8"/>
        </w:rPr>
        <w:t>为男孩。过早工作的女孩人数稍有增加</w:t>
      </w:r>
      <w:r>
        <w:rPr>
          <w:rFonts w:hint="eastAsia"/>
          <w:snapToGrid/>
          <w:spacing w:val="8"/>
        </w:rPr>
        <w:t>(</w:t>
      </w:r>
      <w:r>
        <w:rPr>
          <w:snapToGrid/>
          <w:spacing w:val="8"/>
        </w:rPr>
        <w:t>1997</w:t>
      </w:r>
      <w:r>
        <w:rPr>
          <w:rFonts w:hint="eastAsia"/>
          <w:snapToGrid/>
          <w:spacing w:val="8"/>
        </w:rPr>
        <w:t>年以来上升将近</w:t>
      </w:r>
      <w:r>
        <w:rPr>
          <w:snapToGrid/>
          <w:spacing w:val="8"/>
        </w:rPr>
        <w:t>4%</w:t>
      </w:r>
      <w:r>
        <w:rPr>
          <w:rFonts w:hint="eastAsia"/>
          <w:snapToGrid/>
          <w:spacing w:val="8"/>
        </w:rPr>
        <w:t>)</w:t>
      </w:r>
      <w:r>
        <w:rPr>
          <w:rFonts w:hint="eastAsia"/>
          <w:snapToGrid/>
          <w:spacing w:val="8"/>
        </w:rPr>
        <w:t>，尽管未成年人服务署按这一名目收进的女孩和女青年人数趋于减少。再将不同的趋向作一比较之后，发现从事“街头行业”的人数增加了，而干“过早工作”的儿童人数有所下降。过</w:t>
      </w:r>
      <w:r>
        <w:rPr>
          <w:rFonts w:hint="eastAsia"/>
          <w:snapToGrid/>
          <w:spacing w:val="8"/>
        </w:rPr>
        <w:t>早工作的青少年往往集中在</w:t>
      </w:r>
      <w:r>
        <w:rPr>
          <w:snapToGrid/>
          <w:spacing w:val="8"/>
        </w:rPr>
        <w:t>16</w:t>
      </w:r>
      <w:r>
        <w:rPr>
          <w:rFonts w:hint="eastAsia"/>
          <w:snapToGrid/>
          <w:spacing w:val="8"/>
        </w:rPr>
        <w:t>岁以上的年龄组</w:t>
      </w:r>
      <w:r>
        <w:rPr>
          <w:rFonts w:hint="eastAsia"/>
          <w:snapToGrid/>
          <w:spacing w:val="8"/>
        </w:rPr>
        <w:t>(</w:t>
      </w:r>
      <w:r>
        <w:rPr>
          <w:snapToGrid/>
          <w:spacing w:val="8"/>
        </w:rPr>
        <w:t>1999</w:t>
      </w:r>
      <w:r>
        <w:rPr>
          <w:rFonts w:hint="eastAsia"/>
          <w:snapToGrid/>
          <w:spacing w:val="8"/>
        </w:rPr>
        <w:t>年为</w:t>
      </w:r>
      <w:r>
        <w:rPr>
          <w:snapToGrid/>
          <w:spacing w:val="8"/>
        </w:rPr>
        <w:t>38%</w:t>
      </w:r>
      <w:r>
        <w:rPr>
          <w:rFonts w:hint="eastAsia"/>
          <w:snapToGrid/>
          <w:spacing w:val="8"/>
        </w:rPr>
        <w:t>)</w:t>
      </w:r>
      <w:r>
        <w:rPr>
          <w:rFonts w:hint="eastAsia"/>
          <w:snapToGrid/>
          <w:spacing w:val="8"/>
        </w:rPr>
        <w:t>，尽管更年幼的年龄组儿童，即</w:t>
      </w:r>
      <w:r>
        <w:rPr>
          <w:snapToGrid/>
          <w:spacing w:val="8"/>
        </w:rPr>
        <w:t>10</w:t>
      </w:r>
      <w:r>
        <w:rPr>
          <w:rFonts w:hint="eastAsia"/>
          <w:snapToGrid/>
          <w:spacing w:val="8"/>
        </w:rPr>
        <w:t>至</w:t>
      </w:r>
      <w:r>
        <w:rPr>
          <w:snapToGrid/>
          <w:spacing w:val="8"/>
        </w:rPr>
        <w:t>12</w:t>
      </w:r>
      <w:r>
        <w:rPr>
          <w:rFonts w:hint="eastAsia"/>
          <w:snapToGrid/>
          <w:spacing w:val="8"/>
        </w:rPr>
        <w:t>岁年龄组和</w:t>
      </w:r>
      <w:r>
        <w:rPr>
          <w:snapToGrid/>
          <w:spacing w:val="8"/>
        </w:rPr>
        <w:t>13</w:t>
      </w:r>
      <w:r>
        <w:rPr>
          <w:rFonts w:hint="eastAsia"/>
          <w:snapToGrid/>
          <w:spacing w:val="8"/>
        </w:rPr>
        <w:t>至</w:t>
      </w:r>
      <w:r>
        <w:rPr>
          <w:snapToGrid/>
          <w:spacing w:val="8"/>
        </w:rPr>
        <w:t>15</w:t>
      </w:r>
      <w:r>
        <w:rPr>
          <w:rFonts w:hint="eastAsia"/>
          <w:snapToGrid/>
          <w:spacing w:val="8"/>
        </w:rPr>
        <w:t>岁年龄组内，干这类工作的人数有增加的趋向。</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关于儿童权利的资料和宣传</w:t>
      </w:r>
    </w:p>
    <w:p w:rsidR="00000000" w:rsidRDefault="009C1C61">
      <w:pPr>
        <w:rPr>
          <w:snapToGrid/>
        </w:rPr>
      </w:pPr>
      <w:r>
        <w:rPr>
          <w:rFonts w:hint="eastAsia"/>
          <w:snapToGrid/>
        </w:rPr>
        <w:tab/>
      </w:r>
      <w:r>
        <w:rPr>
          <w:snapToGrid/>
        </w:rPr>
        <w:t>455.</w:t>
      </w:r>
      <w:r>
        <w:rPr>
          <w:rFonts w:hint="eastAsia"/>
          <w:snapToGrid/>
        </w:rPr>
        <w:t xml:space="preserve">  </w:t>
      </w:r>
      <w:r>
        <w:rPr>
          <w:rFonts w:hint="eastAsia"/>
          <w:snapToGrid/>
        </w:rPr>
        <w:t>主要由司法部和教育部联合开展了一系列宣传《儿童权利公约》的运动。这些运动旨在使一般公众意识到儿童和青少年的权利。这些活动包括：</w:t>
      </w:r>
    </w:p>
    <w:p w:rsidR="00000000" w:rsidRDefault="009C1C61">
      <w:pPr>
        <w:numPr>
          <w:ilvl w:val="0"/>
          <w:numId w:val="282"/>
        </w:numPr>
        <w:rPr>
          <w:snapToGrid/>
        </w:rPr>
      </w:pPr>
      <w:r>
        <w:rPr>
          <w:rFonts w:hint="eastAsia"/>
          <w:snapToGrid/>
        </w:rPr>
        <w:t>教育部颁发了一项政令，指导学生中心的运作，中心应有经民主选举的代表；</w:t>
      </w:r>
    </w:p>
    <w:p w:rsidR="00000000" w:rsidRDefault="009C1C61">
      <w:pPr>
        <w:numPr>
          <w:ilvl w:val="0"/>
          <w:numId w:val="282"/>
        </w:numPr>
        <w:rPr>
          <w:snapToGrid/>
        </w:rPr>
      </w:pPr>
      <w:r>
        <w:rPr>
          <w:rFonts w:hint="eastAsia"/>
          <w:snapToGrid/>
        </w:rPr>
        <w:t>于</w:t>
      </w:r>
      <w:r>
        <w:rPr>
          <w:snapToGrid/>
        </w:rPr>
        <w:t>1994</w:t>
      </w:r>
      <w:r>
        <w:rPr>
          <w:rFonts w:hint="eastAsia"/>
          <w:snapToGrid/>
        </w:rPr>
        <w:t>年开始运作的小学生监察局；</w:t>
      </w:r>
    </w:p>
    <w:p w:rsidR="00000000" w:rsidRDefault="009C1C61">
      <w:pPr>
        <w:numPr>
          <w:ilvl w:val="0"/>
          <w:numId w:val="282"/>
        </w:numPr>
        <w:rPr>
          <w:snapToGrid/>
        </w:rPr>
      </w:pPr>
      <w:r>
        <w:rPr>
          <w:rFonts w:hint="eastAsia"/>
          <w:snapToGrid/>
        </w:rPr>
        <w:t>宗亲关系确定项目，承认在有关儿童监护权的决定中“具有足够识别能力”的儿</w:t>
      </w:r>
      <w:r>
        <w:rPr>
          <w:rFonts w:hint="eastAsia"/>
          <w:snapToGrid/>
        </w:rPr>
        <w:t>童的意见；</w:t>
      </w:r>
    </w:p>
    <w:p w:rsidR="00000000" w:rsidRDefault="009C1C61">
      <w:pPr>
        <w:numPr>
          <w:ilvl w:val="0"/>
          <w:numId w:val="282"/>
        </w:numPr>
        <w:rPr>
          <w:snapToGrid/>
          <w:spacing w:val="6"/>
        </w:rPr>
      </w:pPr>
      <w:r>
        <w:rPr>
          <w:rFonts w:hint="eastAsia"/>
          <w:snapToGrid/>
          <w:spacing w:val="6"/>
        </w:rPr>
        <w:t>批准关于少年之家及福利机构的条例，确定了涉案儿童自由表达意见的权利，而且对儿童已达足够年龄和成熟度的意见，必须加以考虑。</w:t>
      </w:r>
      <w:r>
        <w:rPr>
          <w:rStyle w:val="FootnoteReference"/>
          <w:snapToGrid/>
        </w:rPr>
        <w:footnoteReference w:id="229"/>
      </w:r>
    </w:p>
    <w:p w:rsidR="00000000" w:rsidRDefault="009C1C61">
      <w:pPr>
        <w:rPr>
          <w:snapToGrid/>
        </w:rPr>
      </w:pPr>
      <w:r>
        <w:rPr>
          <w:rFonts w:hint="eastAsia"/>
          <w:snapToGrid/>
        </w:rPr>
        <w:tab/>
      </w:r>
      <w:r>
        <w:rPr>
          <w:snapToGrid/>
        </w:rPr>
        <w:t>456.</w:t>
      </w:r>
      <w:r>
        <w:rPr>
          <w:rFonts w:hint="eastAsia"/>
          <w:snapToGrid/>
        </w:rPr>
        <w:t xml:space="preserve">  </w:t>
      </w:r>
      <w:r>
        <w:rPr>
          <w:rFonts w:hint="eastAsia"/>
          <w:snapToGrid/>
        </w:rPr>
        <w:t>关于儿童在涉及他们的司法和行政诉讼程序中发言的机会，政府当局可以、但是并没有责任征询儿童的意见。根据未成年人法，法院可以根据少年警察署、看护儿童的组织或机构或任何其他人的请求、甚至根据儿童本人的意愿依法行使权力。法院在行使这些权利的过程中，可以下令展开任何“认为适当的程序和调查”。</w:t>
      </w:r>
    </w:p>
    <w:p w:rsidR="00000000" w:rsidRDefault="009C1C61">
      <w:pPr>
        <w:rPr>
          <w:snapToGrid/>
        </w:rPr>
      </w:pPr>
      <w:r>
        <w:rPr>
          <w:rFonts w:hint="eastAsia"/>
          <w:snapToGrid/>
        </w:rPr>
        <w:tab/>
      </w:r>
      <w:r>
        <w:rPr>
          <w:snapToGrid/>
        </w:rPr>
        <w:t>457.</w:t>
      </w:r>
      <w:r>
        <w:rPr>
          <w:rFonts w:hint="eastAsia"/>
          <w:snapToGrid/>
        </w:rPr>
        <w:t xml:space="preserve">  </w:t>
      </w:r>
      <w:r>
        <w:rPr>
          <w:rFonts w:hint="eastAsia"/>
          <w:snapToGrid/>
        </w:rPr>
        <w:t>使家庭和一般公众意识到有必要鼓励儿童行使其权利、表达意见的一些措</w:t>
      </w:r>
      <w:r>
        <w:rPr>
          <w:rFonts w:hint="eastAsia"/>
          <w:snapToGrid/>
        </w:rPr>
        <w:t>施如下：</w:t>
      </w:r>
    </w:p>
    <w:p w:rsidR="00000000" w:rsidRDefault="009C1C61">
      <w:pPr>
        <w:numPr>
          <w:ilvl w:val="0"/>
          <w:numId w:val="284"/>
        </w:numPr>
        <w:rPr>
          <w:snapToGrid/>
        </w:rPr>
      </w:pPr>
      <w:r>
        <w:rPr>
          <w:rFonts w:hint="eastAsia"/>
          <w:snapToGrid/>
        </w:rPr>
        <w:t>在儿童基金会的主持和赞助下、会同代表儿童权益的一批议员，于</w:t>
      </w:r>
      <w:r>
        <w:rPr>
          <w:snapToGrid/>
        </w:rPr>
        <w:t>1997</w:t>
      </w:r>
      <w:r>
        <w:rPr>
          <w:rFonts w:hint="eastAsia"/>
          <w:snapToGrid/>
        </w:rPr>
        <w:t>年在国会举行了儿童权利研讨会。司法部和未成年人服务署参加了研讨会；</w:t>
      </w:r>
    </w:p>
    <w:p w:rsidR="00000000" w:rsidRDefault="009C1C61">
      <w:pPr>
        <w:numPr>
          <w:ilvl w:val="0"/>
          <w:numId w:val="284"/>
        </w:numPr>
        <w:rPr>
          <w:snapToGrid/>
        </w:rPr>
      </w:pPr>
      <w:r>
        <w:rPr>
          <w:rFonts w:hint="eastAsia"/>
          <w:snapToGrid/>
        </w:rPr>
        <w:t>关于法律方面的教学人员，</w:t>
      </w:r>
      <w:r>
        <w:rPr>
          <w:snapToGrid/>
        </w:rPr>
        <w:t>Diego Portales</w:t>
      </w:r>
      <w:r>
        <w:rPr>
          <w:rFonts w:hint="eastAsia"/>
          <w:snapToGrid/>
        </w:rPr>
        <w:t>大学自</w:t>
      </w:r>
      <w:r>
        <w:rPr>
          <w:snapToGrid/>
        </w:rPr>
        <w:t>1997</w:t>
      </w:r>
      <w:r>
        <w:rPr>
          <w:rFonts w:hint="eastAsia"/>
          <w:snapToGrid/>
        </w:rPr>
        <w:t>年以来就为在这一部门工作的专业人士提供研究生课程，《公约》及公共政策中考虑到《公约》的问题一直是课程中一个关键的主题；</w:t>
      </w:r>
    </w:p>
    <w:p w:rsidR="00000000" w:rsidRDefault="009C1C61">
      <w:pPr>
        <w:numPr>
          <w:ilvl w:val="0"/>
          <w:numId w:val="284"/>
        </w:numPr>
        <w:rPr>
          <w:snapToGrid/>
        </w:rPr>
      </w:pPr>
      <w:r>
        <w:rPr>
          <w:rFonts w:hint="eastAsia"/>
          <w:snapToGrid/>
        </w:rPr>
        <w:t>培训法院官员，尤其是社会工作者和法官的司法学院从一开始就开设了有关儿童问题的专门课程，其总目标包括进一步熟悉《儿童权利公约》；</w:t>
      </w:r>
    </w:p>
    <w:p w:rsidR="00000000" w:rsidRDefault="009C1C61">
      <w:pPr>
        <w:numPr>
          <w:ilvl w:val="0"/>
          <w:numId w:val="284"/>
        </w:numPr>
        <w:rPr>
          <w:snapToGrid/>
          <w:lang w:eastAsia="zh-TW"/>
        </w:rPr>
      </w:pPr>
      <w:r>
        <w:rPr>
          <w:rFonts w:hint="eastAsia"/>
          <w:snapToGrid/>
          <w:lang w:eastAsia="zh-TW"/>
        </w:rPr>
        <w:t>由专门从事儿童事务的机构开展宣传教育运动，</w:t>
      </w:r>
      <w:r>
        <w:rPr>
          <w:rFonts w:hint="eastAsia"/>
          <w:snapToGrid/>
        </w:rPr>
        <w:t>宣传</w:t>
      </w:r>
      <w:r>
        <w:rPr>
          <w:rFonts w:hint="eastAsia"/>
          <w:snapToGrid/>
          <w:lang w:eastAsia="zh-TW"/>
        </w:rPr>
        <w:t>防止对儿</w:t>
      </w:r>
      <w:r>
        <w:rPr>
          <w:rFonts w:hint="eastAsia"/>
          <w:snapToGrid/>
          <w:lang w:eastAsia="zh-TW"/>
        </w:rPr>
        <w:t>童的酷刑和其他残忍、不人道或有辱人格的待遇或惩处，这些机构包括，</w:t>
      </w:r>
      <w:r>
        <w:rPr>
          <w:rFonts w:hint="eastAsia"/>
          <w:snapToGrid/>
        </w:rPr>
        <w:t>国家幼儿园</w:t>
      </w:r>
      <w:r>
        <w:rPr>
          <w:rFonts w:hint="eastAsia"/>
          <w:snapToGrid/>
          <w:lang w:eastAsia="zh-TW"/>
        </w:rPr>
        <w:t>委员会</w:t>
      </w:r>
      <w:r>
        <w:rPr>
          <w:rFonts w:hint="eastAsia"/>
          <w:snapToGrid/>
          <w:lang w:eastAsia="zh-TW"/>
        </w:rPr>
        <w:t>(</w:t>
      </w:r>
      <w:r>
        <w:rPr>
          <w:snapToGrid/>
          <w:lang w:eastAsia="zh-TW"/>
        </w:rPr>
        <w:t xml:space="preserve">Junta Nacional de Jardines Infantiles,  </w:t>
      </w:r>
      <w:r>
        <w:rPr>
          <w:rFonts w:hint="eastAsia"/>
          <w:snapToGrid/>
          <w:lang w:eastAsia="zh-TW"/>
        </w:rPr>
        <w:t>简称</w:t>
      </w:r>
      <w:r>
        <w:rPr>
          <w:rFonts w:hint="eastAsia"/>
          <w:snapToGrid/>
        </w:rPr>
        <w:t>“国幼委”</w:t>
      </w:r>
      <w:r>
        <w:rPr>
          <w:rFonts w:hint="eastAsia"/>
          <w:snapToGrid/>
          <w:lang w:eastAsia="zh-TW"/>
        </w:rPr>
        <w:t>)</w:t>
      </w:r>
      <w:r>
        <w:rPr>
          <w:rFonts w:hint="eastAsia"/>
          <w:snapToGrid/>
          <w:lang w:eastAsia="zh-TW"/>
        </w:rPr>
        <w:t>，看护贫穷男女儿童的</w:t>
      </w:r>
      <w:r>
        <w:rPr>
          <w:snapToGrid/>
          <w:lang w:eastAsia="zh-TW"/>
        </w:rPr>
        <w:t>Integra</w:t>
      </w:r>
      <w:r>
        <w:rPr>
          <w:rFonts w:hint="eastAsia"/>
          <w:snapToGrid/>
          <w:lang w:eastAsia="zh-TW"/>
        </w:rPr>
        <w:t>基金会，市儿童方案</w:t>
      </w:r>
      <w:r>
        <w:rPr>
          <w:rFonts w:hint="eastAsia"/>
          <w:snapToGrid/>
        </w:rPr>
        <w:t>署</w:t>
      </w:r>
      <w:r>
        <w:rPr>
          <w:rFonts w:hint="eastAsia"/>
          <w:snapToGrid/>
          <w:lang w:eastAsia="zh-TW"/>
        </w:rPr>
        <w:t>以及未成年人服务</w:t>
      </w:r>
      <w:r>
        <w:rPr>
          <w:rFonts w:hint="eastAsia"/>
          <w:snapToGrid/>
        </w:rPr>
        <w:t>署</w:t>
      </w:r>
      <w:r>
        <w:rPr>
          <w:rFonts w:hint="eastAsia"/>
          <w:snapToGrid/>
          <w:lang w:eastAsia="zh-TW"/>
        </w:rPr>
        <w:t>；</w:t>
      </w:r>
    </w:p>
    <w:p w:rsidR="00000000" w:rsidRDefault="009C1C61">
      <w:pPr>
        <w:numPr>
          <w:ilvl w:val="0"/>
          <w:numId w:val="284"/>
        </w:numPr>
        <w:rPr>
          <w:snapToGrid/>
        </w:rPr>
      </w:pPr>
      <w:r>
        <w:rPr>
          <w:snapToGrid/>
        </w:rPr>
        <w:t>1997</w:t>
      </w:r>
      <w:r>
        <w:rPr>
          <w:rFonts w:hint="eastAsia"/>
          <w:snapToGrid/>
        </w:rPr>
        <w:t>年</w:t>
      </w:r>
      <w:r>
        <w:rPr>
          <w:snapToGrid/>
        </w:rPr>
        <w:t>7</w:t>
      </w:r>
      <w:r>
        <w:rPr>
          <w:rFonts w:hint="eastAsia"/>
          <w:snapToGrid/>
        </w:rPr>
        <w:t>月开展了善待儿童运动。这一运动通过防止虐待儿童区域委员会在全国广为宣传，并利用所有公共媒体</w:t>
      </w:r>
      <w:r>
        <w:rPr>
          <w:rFonts w:hint="eastAsia"/>
          <w:snapToGrid/>
        </w:rPr>
        <w:t>(</w:t>
      </w:r>
      <w:r>
        <w:rPr>
          <w:rFonts w:hint="eastAsia"/>
          <w:snapToGrid/>
        </w:rPr>
        <w:t>报界、电视和电台</w:t>
      </w:r>
      <w:r>
        <w:rPr>
          <w:rFonts w:hint="eastAsia"/>
          <w:snapToGrid/>
        </w:rPr>
        <w:t>)</w:t>
      </w:r>
      <w:r>
        <w:rPr>
          <w:rFonts w:hint="eastAsia"/>
          <w:snapToGrid/>
        </w:rPr>
        <w:t>以及公共场所</w:t>
      </w:r>
      <w:r>
        <w:rPr>
          <w:rFonts w:hint="eastAsia"/>
          <w:snapToGrid/>
        </w:rPr>
        <w:t>(</w:t>
      </w:r>
      <w:r>
        <w:rPr>
          <w:rFonts w:hint="eastAsia"/>
          <w:snapToGrid/>
        </w:rPr>
        <w:t>地铁、医疗中心、购物中心，等等</w:t>
      </w:r>
      <w:r>
        <w:rPr>
          <w:rFonts w:hint="eastAsia"/>
          <w:snapToGrid/>
        </w:rPr>
        <w:t>)</w:t>
      </w:r>
      <w:r>
        <w:rPr>
          <w:rFonts w:hint="eastAsia"/>
          <w:snapToGrid/>
        </w:rPr>
        <w:t>。另外还为这一部门的专业工作人员编写了一些小册子和技术出版物。</w:t>
      </w:r>
    </w:p>
    <w:p w:rsidR="00000000" w:rsidRDefault="009C1C61">
      <w:pPr>
        <w:spacing w:after="320"/>
        <w:rPr>
          <w:snapToGrid/>
        </w:rPr>
      </w:pPr>
      <w:r>
        <w:rPr>
          <w:snapToGrid/>
        </w:rPr>
        <w:tab/>
        <w:t xml:space="preserve">458.  </w:t>
      </w:r>
      <w:r>
        <w:rPr>
          <w:rFonts w:hint="eastAsia"/>
          <w:snapToGrid/>
        </w:rPr>
        <w:t>未成年人服务</w:t>
      </w:r>
      <w:r>
        <w:rPr>
          <w:rFonts w:hint="eastAsia"/>
          <w:snapToGrid/>
        </w:rPr>
        <w:t>署本身还为直接与儿童接触的专业工作人员、接触到儿童并为儿童开展工作的机构、服务部门和设施举办了各种课程，以防止各种类型的虐待。</w:t>
      </w:r>
    </w:p>
    <w:p w:rsidR="00000000" w:rsidRDefault="009C1C61">
      <w:pPr>
        <w:pStyle w:val="Heading4"/>
        <w:rPr>
          <w:rFonts w:ascii="Time New Roman" w:eastAsia="SimHei" w:hAnsi="Time New Roman"/>
          <w:u w:val="none"/>
        </w:rPr>
      </w:pPr>
      <w:r>
        <w:rPr>
          <w:rFonts w:ascii="Time New Roman" w:eastAsia="SimHei" w:hAnsi="Time New Roman" w:hint="eastAsia"/>
          <w:u w:val="none"/>
        </w:rPr>
        <w:t>司法系统的缺点和问题以及对儿童和青少年权益的保护</w:t>
      </w:r>
    </w:p>
    <w:p w:rsidR="00000000" w:rsidRDefault="009C1C61">
      <w:pPr>
        <w:spacing w:after="320"/>
        <w:rPr>
          <w:snapToGrid/>
        </w:rPr>
      </w:pPr>
      <w:r>
        <w:rPr>
          <w:rFonts w:hint="eastAsia"/>
          <w:snapToGrid/>
        </w:rPr>
        <w:tab/>
      </w:r>
      <w:r>
        <w:rPr>
          <w:snapToGrid/>
        </w:rPr>
        <w:t>459.</w:t>
      </w:r>
      <w:r>
        <w:rPr>
          <w:rFonts w:hint="eastAsia"/>
          <w:snapToGrid/>
        </w:rPr>
        <w:t xml:space="preserve">  </w:t>
      </w:r>
      <w:r>
        <w:rPr>
          <w:rFonts w:hint="eastAsia"/>
          <w:snapToGrid/>
        </w:rPr>
        <w:t>尽管在过去十年里取得了进展，儿童的权利在智利仍未得到充分尊重。在社会政策中一般所采取的方法并不完全考虑到儿童的权利，因而这类政策始终未能为所有的儿童造福，并照顾到所有儿童。关于未成年人服务署的法律中所存在的缺点只能通过对司法制度的彻底改革来解决。保护和惩治这两个概念仍然存在一定程度的混淆。福利政策力图弥补基本社会政策的</w:t>
      </w:r>
      <w:r>
        <w:rPr>
          <w:rFonts w:hint="eastAsia"/>
          <w:snapToGrid/>
        </w:rPr>
        <w:t>不足，但是这些政策没有能够为儿童取得平等的机会。对属于社会性质的儿童问题，例如贫穷，保护系统却采用属于司法性质的方式来解决。最后一点是，还不存在专门处理少年罪犯的司法制度。为了处理所有这些问题，现在已经开始对司法制度及对儿童权益的保护进行全面改革。</w:t>
      </w:r>
    </w:p>
    <w:p w:rsidR="00000000" w:rsidRDefault="009C1C61">
      <w:pPr>
        <w:pStyle w:val="Heading4"/>
        <w:rPr>
          <w:rFonts w:ascii="Time New Roman" w:eastAsia="SimHei" w:hAnsi="Time New Roman"/>
          <w:u w:val="none"/>
        </w:rPr>
      </w:pPr>
      <w:r>
        <w:rPr>
          <w:rFonts w:ascii="Time New Roman" w:eastAsia="SimHei" w:hAnsi="Time New Roman" w:hint="eastAsia"/>
          <w:u w:val="none"/>
        </w:rPr>
        <w:t>为补救这些缺点采取的措施</w:t>
      </w:r>
    </w:p>
    <w:p w:rsidR="00000000" w:rsidRDefault="009C1C61">
      <w:pPr>
        <w:pStyle w:val="Heading4"/>
        <w:rPr>
          <w:rFonts w:ascii="Time New Roman" w:eastAsia="SimHei" w:hAnsi="Time New Roman"/>
          <w:u w:val="none"/>
        </w:rPr>
      </w:pPr>
      <w:r>
        <w:rPr>
          <w:rFonts w:ascii="Time New Roman" w:eastAsia="SimHei" w:hAnsi="Time New Roman" w:hint="eastAsia"/>
          <w:u w:val="none"/>
        </w:rPr>
        <w:t>对司法制度的全面改革以及对儿童和青少年权益的保护</w:t>
      </w:r>
    </w:p>
    <w:p w:rsidR="00000000" w:rsidRDefault="009C1C61">
      <w:pPr>
        <w:rPr>
          <w:snapToGrid/>
        </w:rPr>
      </w:pPr>
      <w:r>
        <w:rPr>
          <w:rFonts w:hint="eastAsia"/>
          <w:snapToGrid/>
        </w:rPr>
        <w:tab/>
      </w:r>
      <w:r>
        <w:rPr>
          <w:snapToGrid/>
        </w:rPr>
        <w:t>460.</w:t>
      </w:r>
      <w:r>
        <w:rPr>
          <w:rFonts w:hint="eastAsia"/>
          <w:snapToGrid/>
        </w:rPr>
        <w:t xml:space="preserve">  </w:t>
      </w:r>
      <w:r>
        <w:rPr>
          <w:rFonts w:hint="eastAsia"/>
          <w:snapToGrid/>
        </w:rPr>
        <w:t>智利政府通过未成年人服务署，一直在推动采取一系列法律和机构体系的倡议，以期改进我国的司法制度以及对儿童权益的保护，因为尽管在民主政府统治下已经取得了重大进步，但是许多从事儿</w:t>
      </w:r>
      <w:r>
        <w:rPr>
          <w:rFonts w:hint="eastAsia"/>
          <w:snapToGrid/>
        </w:rPr>
        <w:t>童工作的机构和专业人员仍然深信，需要做的事情还有很多。政府对此的反应是决定对整个儿童看护体制进行深刻的改革，以保证新的体制完全符合《儿童权利公约》中所载的各项要求的所有方面。这项改革是与私营机构合作开展的，这些机构在看护权利受到侵犯的儿童以及少年罪犯的工作中一直与国家进行合作。这项改革的目的是要在智利建立充分保护儿童权利的体制，承认儿童本身有其自己的权利，而不仅仅是福利援助的受益人，它所依据的原则如下：</w:t>
      </w:r>
    </w:p>
    <w:p w:rsidR="00000000" w:rsidRDefault="009C1C61">
      <w:pPr>
        <w:numPr>
          <w:ilvl w:val="0"/>
          <w:numId w:val="286"/>
        </w:numPr>
        <w:rPr>
          <w:snapToGrid/>
        </w:rPr>
      </w:pPr>
      <w:r>
        <w:rPr>
          <w:rFonts w:hint="eastAsia"/>
          <w:snapToGrid/>
        </w:rPr>
        <w:t>承认、加强并鼓励儿童和青少年与家人同住，在家庭中行使其权利，并保证国家对这些政策予以适当支持的优先权；</w:t>
      </w:r>
    </w:p>
    <w:p w:rsidR="00000000" w:rsidRDefault="009C1C61">
      <w:pPr>
        <w:numPr>
          <w:ilvl w:val="0"/>
          <w:numId w:val="286"/>
        </w:numPr>
        <w:rPr>
          <w:snapToGrid/>
        </w:rPr>
      </w:pPr>
      <w:r>
        <w:rPr>
          <w:rFonts w:hint="eastAsia"/>
          <w:snapToGrid/>
        </w:rPr>
        <w:t>处理被指控或被判定犯有不法行为的青少年时适当尊重其尊严和权利，并考虑到保证其成长和融入社会的必要性；</w:t>
      </w:r>
    </w:p>
    <w:p w:rsidR="00000000" w:rsidRDefault="009C1C61">
      <w:pPr>
        <w:numPr>
          <w:ilvl w:val="0"/>
          <w:numId w:val="286"/>
        </w:numPr>
        <w:rPr>
          <w:snapToGrid/>
        </w:rPr>
      </w:pPr>
      <w:r>
        <w:rPr>
          <w:rFonts w:hint="eastAsia"/>
          <w:snapToGrid/>
        </w:rPr>
        <w:t>适当强调跨部门工作的必要性，在这项工作中，国家机构和社区在形成能保证年轻人享受其权利的条件方面可发挥中心作用；</w:t>
      </w:r>
    </w:p>
    <w:p w:rsidR="00000000" w:rsidRDefault="009C1C61">
      <w:pPr>
        <w:numPr>
          <w:ilvl w:val="0"/>
          <w:numId w:val="286"/>
        </w:numPr>
        <w:rPr>
          <w:snapToGrid/>
        </w:rPr>
      </w:pPr>
      <w:r>
        <w:rPr>
          <w:rFonts w:hint="eastAsia"/>
          <w:snapToGrid/>
        </w:rPr>
        <w:t>将地方一级设定为向儿童及其家庭提供全面服务的最适当层次而优先在这一层面上开展工作。</w:t>
      </w:r>
    </w:p>
    <w:p w:rsidR="00000000" w:rsidRDefault="009C1C61">
      <w:pPr>
        <w:rPr>
          <w:snapToGrid/>
        </w:rPr>
      </w:pPr>
      <w:r>
        <w:rPr>
          <w:rFonts w:hint="eastAsia"/>
          <w:snapToGrid/>
        </w:rPr>
        <w:tab/>
      </w:r>
      <w:r>
        <w:rPr>
          <w:snapToGrid/>
        </w:rPr>
        <w:t>461.</w:t>
      </w:r>
      <w:r>
        <w:rPr>
          <w:rFonts w:hint="eastAsia"/>
          <w:snapToGrid/>
        </w:rPr>
        <w:t xml:space="preserve">  </w:t>
      </w:r>
      <w:r>
        <w:rPr>
          <w:rFonts w:hint="eastAsia"/>
          <w:snapToGrid/>
        </w:rPr>
        <w:t>为实施改革，首先需要在机构、立法以及文化方面作一些改变。从体制方面来看，这分别而具体地涉及到各项权利的保护以及年轻人的刑事责任。这种更加专门的方式将依照遭受侵权行为的儿童以及少年罪犯等不同情况而需要不</w:t>
      </w:r>
      <w:r>
        <w:rPr>
          <w:rFonts w:hint="eastAsia"/>
          <w:snapToGrid/>
        </w:rPr>
        <w:t>同的技能、知识、程序和行动计划。</w:t>
      </w:r>
    </w:p>
    <w:p w:rsidR="00000000" w:rsidRDefault="009C1C61">
      <w:pPr>
        <w:rPr>
          <w:snapToGrid/>
        </w:rPr>
      </w:pPr>
      <w:r>
        <w:rPr>
          <w:rFonts w:hint="eastAsia"/>
          <w:snapToGrid/>
        </w:rPr>
        <w:tab/>
      </w:r>
      <w:r>
        <w:rPr>
          <w:snapToGrid/>
        </w:rPr>
        <w:t>462.</w:t>
      </w:r>
      <w:r>
        <w:rPr>
          <w:rFonts w:hint="eastAsia"/>
          <w:snapToGrid/>
        </w:rPr>
        <w:t xml:space="preserve">  </w:t>
      </w:r>
      <w:r>
        <w:rPr>
          <w:rFonts w:hint="eastAsia"/>
          <w:snapToGrid/>
        </w:rPr>
        <w:t>从立法方面来看，需要为保护家庭和为儿童权益而建立一种司法制度，同时还需要建立专门处理少年罪犯的制度。这就意味着需要目前正由司法部和未成年人服务署拟定的以下各项法律：</w:t>
      </w:r>
    </w:p>
    <w:p w:rsidR="00000000" w:rsidRDefault="009C1C61">
      <w:pPr>
        <w:numPr>
          <w:ilvl w:val="0"/>
          <w:numId w:val="287"/>
        </w:numPr>
        <w:rPr>
          <w:snapToGrid/>
        </w:rPr>
      </w:pPr>
      <w:r>
        <w:rPr>
          <w:rFonts w:hint="eastAsia"/>
          <w:snapToGrid/>
        </w:rPr>
        <w:t>《儿童和青少年权益保护法》，其中将包含《儿童权利公约》的所有现行规则；</w:t>
      </w:r>
    </w:p>
    <w:p w:rsidR="00000000" w:rsidRDefault="009C1C61">
      <w:pPr>
        <w:numPr>
          <w:ilvl w:val="0"/>
          <w:numId w:val="287"/>
        </w:numPr>
        <w:rPr>
          <w:snapToGrid/>
        </w:rPr>
      </w:pPr>
      <w:r>
        <w:rPr>
          <w:rFonts w:hint="eastAsia"/>
          <w:snapToGrid/>
        </w:rPr>
        <w:t>一项决定设立全国保护儿童权利服务署的法律，主要针对权益受到侵害的儿童；</w:t>
      </w:r>
    </w:p>
    <w:p w:rsidR="00000000" w:rsidRDefault="009C1C61">
      <w:pPr>
        <w:numPr>
          <w:ilvl w:val="0"/>
          <w:numId w:val="287"/>
        </w:numPr>
        <w:rPr>
          <w:snapToGrid/>
        </w:rPr>
      </w:pPr>
      <w:r>
        <w:rPr>
          <w:rFonts w:hint="eastAsia"/>
          <w:snapToGrid/>
        </w:rPr>
        <w:t>一项建立一个少年犯刑罚执行署的法律；</w:t>
      </w:r>
    </w:p>
    <w:p w:rsidR="00000000" w:rsidRDefault="009C1C61">
      <w:pPr>
        <w:numPr>
          <w:ilvl w:val="0"/>
          <w:numId w:val="287"/>
        </w:numPr>
        <w:rPr>
          <w:snapToGrid/>
        </w:rPr>
      </w:pPr>
      <w:r>
        <w:rPr>
          <w:rFonts w:hint="eastAsia"/>
          <w:snapToGrid/>
        </w:rPr>
        <w:t>少年犯责任法，对</w:t>
      </w:r>
      <w:r>
        <w:rPr>
          <w:snapToGrid/>
        </w:rPr>
        <w:t>14</w:t>
      </w:r>
      <w:r>
        <w:rPr>
          <w:rFonts w:hint="eastAsia"/>
          <w:snapToGrid/>
        </w:rPr>
        <w:t>岁以上的青少年所犯的任何不法行为规定责任，同时按《宪法》和《公约》的规定对其在刑事和诉讼方面提供</w:t>
      </w:r>
      <w:r>
        <w:rPr>
          <w:rFonts w:hint="eastAsia"/>
          <w:snapToGrid/>
        </w:rPr>
        <w:t>保障，保护受害人的权利，量刑适合罪犯年龄，并着重改造自新；</w:t>
      </w:r>
    </w:p>
    <w:p w:rsidR="00000000" w:rsidRDefault="009C1C61">
      <w:pPr>
        <w:numPr>
          <w:ilvl w:val="0"/>
          <w:numId w:val="287"/>
        </w:numPr>
        <w:rPr>
          <w:snapToGrid/>
        </w:rPr>
      </w:pPr>
      <w:r>
        <w:rPr>
          <w:rFonts w:hint="eastAsia"/>
          <w:snapToGrid/>
        </w:rPr>
        <w:t>家庭法院及儿童权利保护法。</w:t>
      </w:r>
    </w:p>
    <w:p w:rsidR="00000000" w:rsidRDefault="009C1C61">
      <w:pPr>
        <w:rPr>
          <w:snapToGrid/>
        </w:rPr>
      </w:pPr>
      <w:r>
        <w:rPr>
          <w:rFonts w:hint="eastAsia"/>
          <w:snapToGrid/>
        </w:rPr>
        <w:tab/>
      </w:r>
      <w:r>
        <w:rPr>
          <w:snapToGrid/>
        </w:rPr>
        <w:t>463.</w:t>
      </w:r>
      <w:r>
        <w:rPr>
          <w:rFonts w:hint="eastAsia"/>
          <w:snapToGrid/>
        </w:rPr>
        <w:t xml:space="preserve">  </w:t>
      </w:r>
      <w:r>
        <w:rPr>
          <w:rFonts w:hint="eastAsia"/>
          <w:snapToGrid/>
        </w:rPr>
        <w:t>从文化方面将努力鼓励公众更积极地参与，尊重和保护儿童的权利、他们在家里和社区生活的权利以及作为有其自身权利的主体而非仅仅作为保护对象来对待。未成年人服务署今后几年的主要任务将包括从目前人数过多的机构里逐渐疏散儿童，这项工作已经开始。与此同时，还制定了家庭重新安置发展方案、改进家庭接纳方案，加强领养工作方案。另外还有一项计划，为无法在看护设施里生活的儿童建立具有家庭气氛的小型收容所。</w:t>
      </w:r>
    </w:p>
    <w:p w:rsidR="00000000" w:rsidRDefault="009C1C61">
      <w:pPr>
        <w:rPr>
          <w:snapToGrid/>
        </w:rPr>
      </w:pPr>
      <w:r>
        <w:rPr>
          <w:rFonts w:hint="eastAsia"/>
          <w:snapToGrid/>
        </w:rPr>
        <w:tab/>
      </w:r>
      <w:r>
        <w:rPr>
          <w:snapToGrid/>
        </w:rPr>
        <w:t>464.</w:t>
      </w:r>
      <w:r>
        <w:rPr>
          <w:rFonts w:hint="eastAsia"/>
          <w:snapToGrid/>
        </w:rPr>
        <w:t xml:space="preserve">  </w:t>
      </w:r>
      <w:r>
        <w:rPr>
          <w:rFonts w:hint="eastAsia"/>
          <w:snapToGrid/>
        </w:rPr>
        <w:t>在改造自新</w:t>
      </w:r>
      <w:r>
        <w:rPr>
          <w:rFonts w:hint="eastAsia"/>
          <w:snapToGrid/>
        </w:rPr>
        <w:t>的工作方面，国家通过未成年人服务署直接经营的中心，正在支持其改造自新工作的地方网络的帮助之下，制定和实施更适宜于青少年需要的新的看护模式。</w:t>
      </w:r>
    </w:p>
    <w:p w:rsidR="00000000" w:rsidRDefault="009C1C61">
      <w:pPr>
        <w:rPr>
          <w:snapToGrid/>
        </w:rPr>
      </w:pPr>
      <w:r>
        <w:rPr>
          <w:rFonts w:hint="eastAsia"/>
          <w:snapToGrid/>
        </w:rPr>
        <w:tab/>
      </w:r>
      <w:r>
        <w:rPr>
          <w:snapToGrid/>
        </w:rPr>
        <w:t>465.</w:t>
      </w:r>
      <w:r>
        <w:rPr>
          <w:rFonts w:hint="eastAsia"/>
          <w:snapToGrid/>
        </w:rPr>
        <w:t xml:space="preserve">  </w:t>
      </w:r>
      <w:r>
        <w:rPr>
          <w:rFonts w:hint="eastAsia"/>
          <w:snapToGrid/>
        </w:rPr>
        <w:t>改革的指导方针遵守了智利所签署的儿童权利方面的各项国际协定，这些协定的宗旨包括：制止对儿童和青少年的社会暴力和虐待、在消除排斥和社会歧视方面取得进展、保证儿童的食物、健康和公费教育达到最低限度的标准、承认各部门之间需要结成战略联盟，以便保证儿童权利得到切实的保护。</w:t>
      </w:r>
    </w:p>
    <w:p w:rsidR="00000000" w:rsidRDefault="009C1C61">
      <w:pPr>
        <w:spacing w:after="320"/>
        <w:rPr>
          <w:snapToGrid/>
        </w:rPr>
      </w:pPr>
      <w:r>
        <w:rPr>
          <w:rFonts w:hint="eastAsia"/>
          <w:snapToGrid/>
        </w:rPr>
        <w:tab/>
      </w:r>
      <w:r>
        <w:rPr>
          <w:snapToGrid/>
        </w:rPr>
        <w:t>466.</w:t>
      </w:r>
      <w:r>
        <w:rPr>
          <w:rFonts w:hint="eastAsia"/>
          <w:snapToGrid/>
        </w:rPr>
        <w:t xml:space="preserve">  </w:t>
      </w:r>
      <w:r>
        <w:rPr>
          <w:rFonts w:hint="eastAsia"/>
          <w:snapToGrid/>
        </w:rPr>
        <w:t>这项改革的目标是要保护遭受严重暴力侵害的儿童的权利，建立保障有效的地方保护机制</w:t>
      </w:r>
      <w:r>
        <w:rPr>
          <w:rFonts w:hint="eastAsia"/>
          <w:snapToGrid/>
        </w:rPr>
        <w:t>，并鼓励家庭发挥更加积极的作用。</w:t>
      </w:r>
    </w:p>
    <w:p w:rsidR="00000000" w:rsidRDefault="009C1C61">
      <w:pPr>
        <w:pStyle w:val="Heading4"/>
        <w:rPr>
          <w:rFonts w:ascii="Time New Roman" w:eastAsia="SimHei" w:hAnsi="Time New Roman"/>
          <w:u w:val="none"/>
        </w:rPr>
      </w:pPr>
      <w:r>
        <w:rPr>
          <w:rFonts w:ascii="Time New Roman" w:eastAsia="SimHei" w:hAnsi="Time New Roman" w:hint="eastAsia"/>
          <w:u w:val="none"/>
        </w:rPr>
        <w:t>通过全国未成年人服务署的协作网建立儿童看护体系的法律草案及其资金筹措</w:t>
      </w:r>
    </w:p>
    <w:p w:rsidR="00000000" w:rsidRDefault="009C1C61">
      <w:pPr>
        <w:rPr>
          <w:snapToGrid/>
        </w:rPr>
      </w:pPr>
      <w:r>
        <w:rPr>
          <w:rFonts w:hint="eastAsia"/>
          <w:snapToGrid/>
        </w:rPr>
        <w:tab/>
      </w:r>
      <w:r>
        <w:rPr>
          <w:snapToGrid/>
        </w:rPr>
        <w:t>467.</w:t>
      </w:r>
      <w:r>
        <w:rPr>
          <w:rFonts w:hint="eastAsia"/>
          <w:snapToGrid/>
        </w:rPr>
        <w:t xml:space="preserve">  </w:t>
      </w:r>
      <w:r>
        <w:rPr>
          <w:rFonts w:hint="eastAsia"/>
          <w:snapToGrid/>
        </w:rPr>
        <w:t>尽管民主政府对法律作了种种变动，儿童和家庭方面仍然迫切需要作出结构方面的改革，例如对儿童保护体系的改革、推出针对青少年的刑事司法制度，改进有关家庭问题的立法。拟议中的法律将改变未成年人服务署的看护体制及其资金筹措方式，使智利在这方面的法律制度符合国际条约，尤其是《儿童权利公约》中所确立的原则和规定。新的法律并将为国家、社会和帮助未成年人服务署看护网的各机构确定新的责任。其依据是实施保护权利受</w:t>
      </w:r>
      <w:r>
        <w:rPr>
          <w:rFonts w:hint="eastAsia"/>
          <w:snapToGrid/>
        </w:rPr>
        <w:t>到侵犯的儿童和青少年以及少年犯的有关政策的五项基本原则：</w:t>
      </w:r>
    </w:p>
    <w:p w:rsidR="00000000" w:rsidRDefault="009C1C61">
      <w:pPr>
        <w:numPr>
          <w:ilvl w:val="0"/>
          <w:numId w:val="289"/>
        </w:numPr>
        <w:rPr>
          <w:snapToGrid/>
        </w:rPr>
      </w:pPr>
      <w:r>
        <w:rPr>
          <w:rFonts w:hint="eastAsia"/>
          <w:snapToGrid/>
        </w:rPr>
        <w:t>包容原则：旨在保证儿童及其家庭能够取得基本社会政策以及补偿性社会政策所提供的福利；</w:t>
      </w:r>
    </w:p>
    <w:p w:rsidR="00000000" w:rsidRDefault="009C1C61">
      <w:pPr>
        <w:numPr>
          <w:ilvl w:val="0"/>
          <w:numId w:val="289"/>
        </w:numPr>
        <w:rPr>
          <w:snapToGrid/>
        </w:rPr>
      </w:pPr>
      <w:r>
        <w:rPr>
          <w:rFonts w:hint="eastAsia"/>
          <w:snapToGrid/>
        </w:rPr>
        <w:t>全面性原则：旨在吸纳并协调公共政策中的部门性资源，以便处理儿童权利受到威胁或侵犯的局面；</w:t>
      </w:r>
    </w:p>
    <w:p w:rsidR="00000000" w:rsidRDefault="009C1C61">
      <w:pPr>
        <w:numPr>
          <w:ilvl w:val="0"/>
          <w:numId w:val="289"/>
        </w:numPr>
        <w:rPr>
          <w:snapToGrid/>
        </w:rPr>
      </w:pPr>
      <w:r>
        <w:rPr>
          <w:rFonts w:hint="eastAsia"/>
          <w:snapToGrid/>
        </w:rPr>
        <w:t>地方重心原则：旨在鼓励区域和市政机构参与管理和使用部门性的及全国未成年人服务署的资源；</w:t>
      </w:r>
    </w:p>
    <w:p w:rsidR="00000000" w:rsidRDefault="009C1C61">
      <w:pPr>
        <w:numPr>
          <w:ilvl w:val="0"/>
          <w:numId w:val="289"/>
        </w:numPr>
        <w:rPr>
          <w:snapToGrid/>
        </w:rPr>
      </w:pPr>
      <w:r>
        <w:rPr>
          <w:rFonts w:hint="eastAsia"/>
          <w:snapToGrid/>
        </w:rPr>
        <w:t>参与原则：旨在承认儿童及其家庭参与管理为解决其问题的各项措施之能力和权利；</w:t>
      </w:r>
    </w:p>
    <w:p w:rsidR="00000000" w:rsidRDefault="009C1C61">
      <w:pPr>
        <w:numPr>
          <w:ilvl w:val="0"/>
          <w:numId w:val="289"/>
        </w:numPr>
        <w:rPr>
          <w:snapToGrid/>
        </w:rPr>
      </w:pPr>
      <w:r>
        <w:rPr>
          <w:rFonts w:hint="eastAsia"/>
          <w:snapToGrid/>
        </w:rPr>
        <w:t>法律保护儿童权利的原则：旨在促进解决儿童与其父母之间、或父母与政府部门之间产生的法律冲突。</w:t>
      </w:r>
    </w:p>
    <w:p w:rsidR="00000000" w:rsidRDefault="009C1C61">
      <w:pPr>
        <w:rPr>
          <w:snapToGrid/>
        </w:rPr>
      </w:pPr>
      <w:r>
        <w:rPr>
          <w:snapToGrid/>
        </w:rPr>
        <w:tab/>
        <w:t xml:space="preserve">468.  </w:t>
      </w:r>
      <w:r>
        <w:rPr>
          <w:rFonts w:hint="eastAsia"/>
          <w:snapToGrid/>
        </w:rPr>
        <w:t>新的法律将</w:t>
      </w:r>
      <w:r>
        <w:rPr>
          <w:rFonts w:hint="eastAsia"/>
          <w:snapToGrid/>
        </w:rPr>
        <w:t>要求政府在目前预算中注入大量资金，这将需要增加</w:t>
      </w:r>
      <w:r>
        <w:rPr>
          <w:snapToGrid/>
        </w:rPr>
        <w:t>84</w:t>
      </w:r>
      <w:r>
        <w:rPr>
          <w:rFonts w:hint="eastAsia"/>
          <w:snapToGrid/>
        </w:rPr>
        <w:t>亿比索</w:t>
      </w:r>
      <w:r>
        <w:rPr>
          <w:rFonts w:hint="eastAsia"/>
          <w:snapToGrid/>
        </w:rPr>
        <w:t>(</w:t>
      </w:r>
      <w:r>
        <w:rPr>
          <w:snapToGrid/>
        </w:rPr>
        <w:t>12,192,634</w:t>
      </w:r>
      <w:r>
        <w:rPr>
          <w:rFonts w:hint="eastAsia"/>
          <w:snapToGrid/>
        </w:rPr>
        <w:t>美元</w:t>
      </w:r>
      <w:r>
        <w:rPr>
          <w:rFonts w:hint="eastAsia"/>
          <w:snapToGrid/>
        </w:rPr>
        <w:t>)</w:t>
      </w:r>
      <w:r>
        <w:rPr>
          <w:rFonts w:hint="eastAsia"/>
          <w:snapToGrid/>
        </w:rPr>
        <w:t>。</w:t>
      </w:r>
      <w:r>
        <w:rPr>
          <w:rStyle w:val="FootnoteReference"/>
          <w:snapToGrid/>
        </w:rPr>
        <w:footnoteReference w:id="230"/>
      </w:r>
    </w:p>
    <w:p w:rsidR="00000000" w:rsidRDefault="009C1C61">
      <w:pPr>
        <w:rPr>
          <w:snapToGrid/>
        </w:rPr>
      </w:pPr>
      <w:r>
        <w:rPr>
          <w:rFonts w:hint="eastAsia"/>
          <w:snapToGrid/>
        </w:rPr>
        <w:tab/>
      </w:r>
      <w:r>
        <w:rPr>
          <w:snapToGrid/>
        </w:rPr>
        <w:t>469.</w:t>
      </w:r>
      <w:r>
        <w:rPr>
          <w:rFonts w:hint="eastAsia"/>
          <w:snapToGrid/>
        </w:rPr>
        <w:t xml:space="preserve">  </w:t>
      </w:r>
      <w:r>
        <w:rPr>
          <w:rFonts w:hint="eastAsia"/>
          <w:snapToGrid/>
        </w:rPr>
        <w:t>通过未成年人服务署网络落实的新的儿童看护模式一方面通过在地方上与基本社会服务部门协调寻找现有的特别资源，将政府对于儿童和青少年权益受到威胁或侵犯的情况所作的各种反应明确区分开来，以便避免未成年人服务署的方案在社会政策的大范围内分散得七零八落。另一方面，为了处理触犯刑事法的问题，已作了努力，制定出依靠避开任何形式羁押的其他措施的方案，这将是今后有关青少年刑事责任问题的各项法律中一项根本内容。</w:t>
      </w:r>
    </w:p>
    <w:p w:rsidR="00000000" w:rsidRDefault="009C1C61">
      <w:pPr>
        <w:rPr>
          <w:snapToGrid/>
        </w:rPr>
      </w:pPr>
      <w:r>
        <w:rPr>
          <w:rFonts w:hint="eastAsia"/>
          <w:snapToGrid/>
        </w:rPr>
        <w:tab/>
      </w:r>
      <w:r>
        <w:rPr>
          <w:snapToGrid/>
        </w:rPr>
        <w:t>470.</w:t>
      </w:r>
      <w:r>
        <w:rPr>
          <w:rFonts w:hint="eastAsia"/>
          <w:snapToGrid/>
        </w:rPr>
        <w:t xml:space="preserve">  </w:t>
      </w:r>
      <w:r>
        <w:rPr>
          <w:rFonts w:hint="eastAsia"/>
          <w:snapToGrid/>
        </w:rPr>
        <w:t>为了应对这些挑战，法律草案根据未成年人服务署所采取的行动作了改变，建立了新的看护方案，成立了保护儿童权利办事处。这些办事处属于技术和运作性质，将努力保证，处于弱势的或其权利受到严重威胁的儿童和青少年以及他们的家庭能够在某个特定方面切实有效地利用社区内现有的各种方案、服务和资源。必要时还应直接提供特别保护。新的法律将设立宿舍和收容所形式的两种新的住宿中心。这种设想是为了避免现有收容所大规模机构化的收容方式。有关方面的主管司法当局在一定的时间范围内将决定是否可以入住新的中心的问题。宿舍</w:t>
      </w:r>
      <w:r>
        <w:rPr>
          <w:rFonts w:hint="eastAsia"/>
          <w:snapToGrid/>
        </w:rPr>
        <w:t>(</w:t>
      </w:r>
      <w:r>
        <w:rPr>
          <w:snapToGrid/>
        </w:rPr>
        <w:t>residencia</w:t>
      </w:r>
      <w:r>
        <w:rPr>
          <w:rFonts w:hint="eastAsia"/>
          <w:snapToGrid/>
        </w:rPr>
        <w:t>)</w:t>
      </w:r>
      <w:r>
        <w:rPr>
          <w:rFonts w:hint="eastAsia"/>
          <w:snapToGrid/>
        </w:rPr>
        <w:t>将</w:t>
      </w:r>
      <w:r>
        <w:rPr>
          <w:rFonts w:hint="eastAsia"/>
          <w:snapToGrid/>
        </w:rPr>
        <w:t>是规模有限的收容中心，目的是向失去家庭的儿童和青少年稳定地提供必要照看环境和社会服务，同时努力保证儿童维持并加强其家庭关系或准备独立生活。收容所</w:t>
      </w:r>
      <w:r>
        <w:rPr>
          <w:rFonts w:hint="eastAsia"/>
          <w:snapToGrid/>
        </w:rPr>
        <w:t>(</w:t>
      </w:r>
      <w:r>
        <w:rPr>
          <w:snapToGrid/>
        </w:rPr>
        <w:t>casa de acogida</w:t>
      </w:r>
      <w:r>
        <w:rPr>
          <w:rFonts w:hint="eastAsia"/>
          <w:snapToGrid/>
        </w:rPr>
        <w:t>)</w:t>
      </w:r>
      <w:r>
        <w:rPr>
          <w:rFonts w:hint="eastAsia"/>
          <w:snapToGrid/>
        </w:rPr>
        <w:t>将提供临时住宿，同时努力使儿童与父母或负责照顾儿童的人团聚或等待法院对其案子作出裁决。</w:t>
      </w:r>
    </w:p>
    <w:p w:rsidR="00000000" w:rsidRDefault="009C1C61">
      <w:pPr>
        <w:rPr>
          <w:snapToGrid/>
        </w:rPr>
      </w:pPr>
      <w:r>
        <w:rPr>
          <w:rFonts w:hint="eastAsia"/>
          <w:snapToGrid/>
        </w:rPr>
        <w:tab/>
      </w:r>
      <w:r>
        <w:rPr>
          <w:snapToGrid/>
        </w:rPr>
        <w:t>471.</w:t>
      </w:r>
      <w:r>
        <w:rPr>
          <w:rFonts w:hint="eastAsia"/>
          <w:snapToGrid/>
        </w:rPr>
        <w:t xml:space="preserve">  </w:t>
      </w:r>
      <w:r>
        <w:rPr>
          <w:rFonts w:hint="eastAsia"/>
          <w:snapToGrid/>
        </w:rPr>
        <w:t>新的法律还争取将未成年人服务署所提供的一系列方案多样化，使之能更适合于应付目前的问题，例如，法律规定可以提供资金，资助儿童权利方面的项目，目标是要提供关于这些权利的培训、宣传和资料，并预先防范威胁到这些权利的情况发生。同时应当更加注</w:t>
      </w:r>
      <w:r>
        <w:rPr>
          <w:rFonts w:hint="eastAsia"/>
          <w:snapToGrid/>
        </w:rPr>
        <w:t>重旨在保护各项权利的方案，放弃传统做法，使此类方案不须再将儿童收进住宿系统进行诊断。可以采取一种部分诊断的办法，可以根据专家的意见，不需要安排儿童入住便可实行，这样也有减少有关司法当局的技术评估工作的作用。</w:t>
      </w:r>
    </w:p>
    <w:p w:rsidR="00000000" w:rsidRDefault="009C1C61">
      <w:pPr>
        <w:rPr>
          <w:snapToGrid/>
        </w:rPr>
      </w:pPr>
      <w:r>
        <w:rPr>
          <w:rFonts w:hint="eastAsia"/>
          <w:snapToGrid/>
        </w:rPr>
        <w:tab/>
      </w:r>
      <w:r>
        <w:rPr>
          <w:snapToGrid/>
        </w:rPr>
        <w:t>472.</w:t>
      </w:r>
      <w:r>
        <w:rPr>
          <w:rFonts w:hint="eastAsia"/>
          <w:snapToGrid/>
        </w:rPr>
        <w:t xml:space="preserve">  </w:t>
      </w:r>
      <w:r>
        <w:rPr>
          <w:rFonts w:hint="eastAsia"/>
          <w:snapToGrid/>
        </w:rPr>
        <w:t>采用这种新的儿童看护模式后，还需要审查向各协作方分配资源的方式，以便消除目前模式给予的不当奖励。将设立一个协作机构名册，将其与各工作方面对资源所提出的申请制度联系起来，同时还建立适当的刑事和申诉程序。</w:t>
      </w:r>
    </w:p>
    <w:p w:rsidR="00000000" w:rsidRDefault="009C1C61">
      <w:pPr>
        <w:spacing w:after="320"/>
        <w:rPr>
          <w:snapToGrid/>
        </w:rPr>
      </w:pPr>
      <w:r>
        <w:rPr>
          <w:rFonts w:hint="eastAsia"/>
          <w:snapToGrid/>
        </w:rPr>
        <w:tab/>
      </w:r>
      <w:r>
        <w:rPr>
          <w:snapToGrid/>
        </w:rPr>
        <w:t>473.</w:t>
      </w:r>
      <w:r>
        <w:rPr>
          <w:rFonts w:hint="eastAsia"/>
          <w:snapToGrid/>
        </w:rPr>
        <w:t xml:space="preserve">  </w:t>
      </w:r>
      <w:r>
        <w:rPr>
          <w:rFonts w:hint="eastAsia"/>
          <w:snapToGrid/>
        </w:rPr>
        <w:t>未成年人服务署的新的评估模式旨在发现实施各系列行动过程中出现的问题。这将是</w:t>
      </w:r>
      <w:r>
        <w:rPr>
          <w:rFonts w:hint="eastAsia"/>
          <w:snapToGrid/>
        </w:rPr>
        <w:t>管理未成年人服务署的主要工具，并将有助于对经常性评价结果的汇编，而这种汇编又转过来成为各种分类法的基础。</w:t>
      </w:r>
    </w:p>
    <w:p w:rsidR="00000000" w:rsidRDefault="009C1C61">
      <w:pPr>
        <w:pStyle w:val="Heading4"/>
        <w:spacing w:after="320"/>
        <w:rPr>
          <w:rFonts w:ascii="Time New Roman" w:eastAsia="SimHei" w:hAnsi="Time New Roman"/>
          <w:u w:val="none"/>
        </w:rPr>
      </w:pPr>
      <w:r>
        <w:rPr>
          <w:rFonts w:ascii="Time New Roman" w:eastAsia="SimHei" w:hAnsi="Time New Roman" w:hint="eastAsia"/>
          <w:u w:val="none"/>
        </w:rPr>
        <w:t>影响到第十条所规定的权利的变动</w:t>
      </w:r>
    </w:p>
    <w:p w:rsidR="00000000" w:rsidRDefault="009C1C61">
      <w:pPr>
        <w:pStyle w:val="Heading4"/>
        <w:rPr>
          <w:rFonts w:ascii="Time New Roman" w:eastAsia="SimHei" w:hAnsi="Time New Roman"/>
          <w:u w:val="none"/>
        </w:rPr>
      </w:pPr>
      <w:r>
        <w:rPr>
          <w:rFonts w:ascii="Time New Roman" w:eastAsia="SimHei" w:hAnsi="Time New Roman" w:hint="eastAsia"/>
          <w:u w:val="none"/>
        </w:rPr>
        <w:t>司法部关于家庭的行政措施</w:t>
      </w:r>
    </w:p>
    <w:p w:rsidR="00000000" w:rsidRDefault="009C1C61">
      <w:pPr>
        <w:pStyle w:val="Heading4"/>
        <w:rPr>
          <w:rFonts w:ascii="Time New Roman" w:eastAsia="SimHei" w:hAnsi="Time New Roman"/>
          <w:u w:val="none"/>
        </w:rPr>
      </w:pPr>
      <w:r>
        <w:rPr>
          <w:rFonts w:ascii="Time New Roman" w:eastAsia="SimHei" w:hAnsi="Time New Roman" w:hint="eastAsia"/>
          <w:u w:val="none"/>
        </w:rPr>
        <w:t>智利防止虐待儿童跨部门委员会</w:t>
      </w:r>
    </w:p>
    <w:p w:rsidR="00000000" w:rsidRDefault="009C1C61">
      <w:pPr>
        <w:rPr>
          <w:snapToGrid/>
        </w:rPr>
      </w:pPr>
      <w:r>
        <w:rPr>
          <w:rFonts w:hint="eastAsia"/>
          <w:snapToGrid/>
        </w:rPr>
        <w:tab/>
      </w:r>
      <w:r>
        <w:rPr>
          <w:snapToGrid/>
        </w:rPr>
        <w:t>474.</w:t>
      </w:r>
      <w:r>
        <w:rPr>
          <w:rFonts w:hint="eastAsia"/>
          <w:snapToGrid/>
        </w:rPr>
        <w:t xml:space="preserve">  </w:t>
      </w:r>
      <w:r>
        <w:rPr>
          <w:rFonts w:hint="eastAsia"/>
          <w:snapToGrid/>
        </w:rPr>
        <w:t>智利防止虐待儿童跨部门委员会是于</w:t>
      </w:r>
      <w:r>
        <w:rPr>
          <w:snapToGrid/>
        </w:rPr>
        <w:t>1995</w:t>
      </w:r>
      <w:r>
        <w:rPr>
          <w:rFonts w:hint="eastAsia"/>
          <w:snapToGrid/>
        </w:rPr>
        <w:t>年设立的。对其规定的任务是：“提出建议，保护儿童不遭受任何形式虐待、暴力、身心伤害或凌辱、忽视以及总的说来有害于儿童生存和成长的所有做法”。</w:t>
      </w:r>
      <w:r>
        <w:rPr>
          <w:rStyle w:val="FootnoteReference"/>
          <w:snapToGrid/>
        </w:rPr>
        <w:footnoteReference w:id="231"/>
      </w:r>
    </w:p>
    <w:p w:rsidR="00000000" w:rsidRDefault="009C1C61">
      <w:pPr>
        <w:spacing w:after="320"/>
        <w:rPr>
          <w:snapToGrid/>
        </w:rPr>
      </w:pPr>
      <w:r>
        <w:rPr>
          <w:rFonts w:hint="eastAsia"/>
          <w:snapToGrid/>
        </w:rPr>
        <w:tab/>
      </w:r>
      <w:r>
        <w:rPr>
          <w:snapToGrid/>
        </w:rPr>
        <w:t>475.</w:t>
      </w:r>
      <w:r>
        <w:rPr>
          <w:rFonts w:hint="eastAsia"/>
          <w:snapToGrid/>
        </w:rPr>
        <w:t xml:space="preserve">  </w:t>
      </w:r>
      <w:r>
        <w:rPr>
          <w:rFonts w:hint="eastAsia"/>
          <w:snapToGrid/>
        </w:rPr>
        <w:t>目前，该委员会由来自以下各部门的代表组成：教育部、内政部、规划与合作部、卫生部、政府行政办公厅、总统府总务</w:t>
      </w:r>
      <w:r>
        <w:rPr>
          <w:rFonts w:hint="eastAsia"/>
          <w:snapToGrid/>
        </w:rPr>
        <w:t>办公厅、经济部、大都会地区部级区域司法秘书处、司法局、全国未成年人服务署、智利正式编制警察署、侦查警察署、社会投资和声援基金、城市儿童捍卫网、</w:t>
      </w:r>
      <w:r>
        <w:rPr>
          <w:snapToGrid/>
        </w:rPr>
        <w:t>Integra</w:t>
      </w:r>
      <w:r>
        <w:rPr>
          <w:rFonts w:hint="eastAsia"/>
          <w:snapToGrid/>
        </w:rPr>
        <w:t>基金会、国家幼儿院委员会</w:t>
      </w:r>
      <w:r>
        <w:rPr>
          <w:rFonts w:hint="eastAsia"/>
          <w:snapToGrid/>
        </w:rPr>
        <w:t>(</w:t>
      </w:r>
      <w:r>
        <w:rPr>
          <w:rFonts w:hint="eastAsia"/>
          <w:snapToGrid/>
        </w:rPr>
        <w:t>国幼委</w:t>
      </w:r>
      <w:r>
        <w:rPr>
          <w:rFonts w:hint="eastAsia"/>
          <w:snapToGrid/>
        </w:rPr>
        <w:t>)</w:t>
      </w:r>
      <w:r>
        <w:rPr>
          <w:rFonts w:hint="eastAsia"/>
          <w:snapToGrid/>
        </w:rPr>
        <w:t>以及家庭基金会。这一专门工作组已经在推动</w:t>
      </w:r>
      <w:r>
        <w:rPr>
          <w:rFonts w:hint="eastAsia"/>
          <w:snapToGrid/>
        </w:rPr>
        <w:t>(</w:t>
      </w:r>
      <w:r>
        <w:rPr>
          <w:rFonts w:hint="eastAsia"/>
          <w:snapToGrid/>
        </w:rPr>
        <w:t>三项全国性预防运动</w:t>
      </w:r>
      <w:r>
        <w:rPr>
          <w:rFonts w:hint="eastAsia"/>
          <w:snapToGrid/>
        </w:rPr>
        <w:t>)</w:t>
      </w:r>
      <w:r>
        <w:rPr>
          <w:rFonts w:hint="eastAsia"/>
          <w:snapToGrid/>
        </w:rPr>
        <w:t>、培训和干预方面承担起重大任务。</w:t>
      </w:r>
    </w:p>
    <w:p w:rsidR="00000000" w:rsidRDefault="009C1C61">
      <w:pPr>
        <w:pStyle w:val="Heading4"/>
        <w:rPr>
          <w:rFonts w:ascii="Time New Roman" w:eastAsia="SimHei" w:hAnsi="Time New Roman"/>
          <w:u w:val="none"/>
        </w:rPr>
      </w:pPr>
      <w:r>
        <w:rPr>
          <w:rFonts w:ascii="Time New Roman" w:eastAsia="SimHei" w:hAnsi="Time New Roman" w:hint="eastAsia"/>
          <w:u w:val="none"/>
        </w:rPr>
        <w:t>对男女儿童的性剥削</w:t>
      </w:r>
    </w:p>
    <w:p w:rsidR="00000000" w:rsidRDefault="009C1C61">
      <w:pPr>
        <w:rPr>
          <w:snapToGrid/>
        </w:rPr>
      </w:pPr>
      <w:r>
        <w:rPr>
          <w:rFonts w:hint="eastAsia"/>
          <w:snapToGrid/>
        </w:rPr>
        <w:tab/>
      </w:r>
      <w:r>
        <w:rPr>
          <w:snapToGrid/>
        </w:rPr>
        <w:t>476.</w:t>
      </w:r>
      <w:r>
        <w:rPr>
          <w:rFonts w:hint="eastAsia"/>
          <w:snapToGrid/>
        </w:rPr>
        <w:t xml:space="preserve">  </w:t>
      </w:r>
      <w:r>
        <w:rPr>
          <w:rFonts w:hint="eastAsia"/>
          <w:snapToGrid/>
        </w:rPr>
        <w:t>根据</w:t>
      </w:r>
      <w:r>
        <w:rPr>
          <w:snapToGrid/>
        </w:rPr>
        <w:t>1999</w:t>
      </w:r>
      <w:r>
        <w:rPr>
          <w:rFonts w:hint="eastAsia"/>
          <w:snapToGrid/>
        </w:rPr>
        <w:t>年</w:t>
      </w:r>
      <w:r>
        <w:rPr>
          <w:snapToGrid/>
        </w:rPr>
        <w:t>8</w:t>
      </w:r>
      <w:r>
        <w:rPr>
          <w:rFonts w:hint="eastAsia"/>
          <w:snapToGrid/>
        </w:rPr>
        <w:t>月举行的第一届关于对儿童和青少年的暴力及商业化性剥削问题全国大会，建立了三个工作委员会。这些委员会由司法部协调，其成员是出席会议的各机构代表</w:t>
      </w:r>
      <w:r>
        <w:rPr>
          <w:rFonts w:hint="eastAsia"/>
          <w:snapToGrid/>
        </w:rPr>
        <w:t>(</w:t>
      </w:r>
      <w:r>
        <w:rPr>
          <w:rFonts w:hint="eastAsia"/>
          <w:snapToGrid/>
        </w:rPr>
        <w:t>非政府组织、从事儿童事务的政府机构</w:t>
      </w:r>
      <w:r>
        <w:rPr>
          <w:rFonts w:hint="eastAsia"/>
          <w:snapToGrid/>
        </w:rPr>
        <w:t>、私营机构、警察、大学等</w:t>
      </w:r>
      <w:r>
        <w:rPr>
          <w:rFonts w:hint="eastAsia"/>
          <w:snapToGrid/>
        </w:rPr>
        <w:t>)</w:t>
      </w:r>
      <w:r>
        <w:rPr>
          <w:rFonts w:hint="eastAsia"/>
          <w:snapToGrid/>
        </w:rPr>
        <w:t>。委员会的目标是要拟定一项应付影响到智利男女儿童的性剥削问题。</w:t>
      </w:r>
    </w:p>
    <w:p w:rsidR="00000000" w:rsidRDefault="009C1C61">
      <w:pPr>
        <w:spacing w:after="320"/>
        <w:ind w:firstLine="510"/>
        <w:rPr>
          <w:snapToGrid/>
        </w:rPr>
      </w:pPr>
      <w:r>
        <w:rPr>
          <w:snapToGrid/>
        </w:rPr>
        <w:t>477.</w:t>
      </w:r>
      <w:r>
        <w:rPr>
          <w:rFonts w:hint="eastAsia"/>
          <w:snapToGrid/>
        </w:rPr>
        <w:t xml:space="preserve">  </w:t>
      </w:r>
      <w:r>
        <w:rPr>
          <w:rFonts w:hint="eastAsia"/>
          <w:snapToGrid/>
        </w:rPr>
        <w:t>这种新的运作方式从社会、法律和犯罪学角度着手，旨在收集有关儿童性交易方面的可靠资料，以便得出受到影响儿童估计数，并取得有关智利的色情作品和涉及儿童的性旅游业的有关数据。其目的是促进有关政策的制定，以推出防止并具体处理的方案，促进新立法的研究，以便防止、分类归纳、并惩处性剥削和性交易方面危害儿童权益的各种形式的行为。</w:t>
      </w:r>
      <w:r>
        <w:rPr>
          <w:snapToGrid/>
        </w:rPr>
        <w:t>2001</w:t>
      </w:r>
      <w:r>
        <w:rPr>
          <w:rFonts w:hint="eastAsia"/>
          <w:snapToGrid/>
        </w:rPr>
        <w:t>年起，未成年人服务署一直在实施一项特别的方案，解决</w:t>
      </w:r>
      <w:r>
        <w:rPr>
          <w:snapToGrid/>
        </w:rPr>
        <w:t>60</w:t>
      </w:r>
      <w:r>
        <w:rPr>
          <w:rFonts w:hint="eastAsia"/>
          <w:snapToGrid/>
        </w:rPr>
        <w:t>名大都会地区儿童的问题，以便愈合</w:t>
      </w:r>
      <w:r>
        <w:rPr>
          <w:rFonts w:hint="eastAsia"/>
          <w:snapToGrid/>
        </w:rPr>
        <w:t>商业化性剥削受害者的心理社会创伤。所得出的一项结论是，在制订这方面的预防和干预方案及政策方面，需要听取受害儿童的意见和观点。</w:t>
      </w:r>
    </w:p>
    <w:p w:rsidR="00000000" w:rsidRDefault="009C1C61">
      <w:pPr>
        <w:pStyle w:val="Heading4"/>
        <w:rPr>
          <w:rFonts w:ascii="Time New Roman" w:eastAsia="SimHei" w:hAnsi="Time New Roman"/>
          <w:u w:val="none"/>
        </w:rPr>
      </w:pPr>
      <w:r>
        <w:rPr>
          <w:rFonts w:ascii="Time New Roman" w:eastAsia="SimHei" w:hAnsi="Time New Roman" w:hint="eastAsia"/>
          <w:u w:val="none"/>
        </w:rPr>
        <w:t>家庭暴力和虐待儿童问题方案以及</w:t>
      </w:r>
      <w:r>
        <w:rPr>
          <w:rFonts w:ascii="Time New Roman" w:eastAsia="SimHei" w:hAnsi="Time New Roman"/>
          <w:b/>
          <w:u w:val="none"/>
        </w:rPr>
        <w:t>800</w:t>
      </w:r>
      <w:r>
        <w:rPr>
          <w:rFonts w:ascii="Time New Roman" w:eastAsia="SimHei" w:hAnsi="Time New Roman"/>
          <w:u w:val="none"/>
        </w:rPr>
        <w:t>-</w:t>
      </w:r>
      <w:r>
        <w:rPr>
          <w:rFonts w:ascii="Time New Roman" w:eastAsia="SimHei" w:hAnsi="Time New Roman"/>
          <w:b/>
          <w:u w:val="none"/>
        </w:rPr>
        <w:t>220040</w:t>
      </w:r>
      <w:r>
        <w:rPr>
          <w:rFonts w:ascii="Time New Roman" w:eastAsia="SimHei" w:hAnsi="Time New Roman" w:hint="eastAsia"/>
          <w:u w:val="none"/>
        </w:rPr>
        <w:t>专线电话</w:t>
      </w:r>
    </w:p>
    <w:p w:rsidR="00000000" w:rsidRDefault="009C1C61">
      <w:pPr>
        <w:spacing w:after="320"/>
        <w:rPr>
          <w:snapToGrid/>
        </w:rPr>
      </w:pPr>
      <w:r>
        <w:rPr>
          <w:rFonts w:hint="eastAsia"/>
          <w:snapToGrid/>
        </w:rPr>
        <w:tab/>
      </w:r>
      <w:r>
        <w:rPr>
          <w:snapToGrid/>
        </w:rPr>
        <w:t>478.</w:t>
      </w:r>
      <w:r>
        <w:rPr>
          <w:rFonts w:hint="eastAsia"/>
          <w:snapToGrid/>
        </w:rPr>
        <w:t xml:space="preserve">  </w:t>
      </w:r>
      <w:r>
        <w:rPr>
          <w:rFonts w:hint="eastAsia"/>
          <w:snapToGrid/>
        </w:rPr>
        <w:t>司法部于</w:t>
      </w:r>
      <w:r>
        <w:rPr>
          <w:snapToGrid/>
        </w:rPr>
        <w:t>1995</w:t>
      </w:r>
      <w:r>
        <w:rPr>
          <w:rFonts w:hint="eastAsia"/>
          <w:snapToGrid/>
        </w:rPr>
        <w:t>年会同智利正式编制警察署、侦查警察署、各区域政府及智利电讯公司合作开始执行这一方案，作为处理家庭暴力和虐待儿童问题这一总任务的一部分。第一个电话专线在大都会地区开设，并在随后几年扩大到其他地区。开设之后，</w:t>
      </w:r>
      <w:r>
        <w:rPr>
          <w:snapToGrid/>
        </w:rPr>
        <w:t>800</w:t>
      </w:r>
      <w:r>
        <w:rPr>
          <w:rFonts w:hint="eastAsia"/>
          <w:snapToGrid/>
        </w:rPr>
        <w:t>电话专线方案开展了一些任务和行动，并对这些任务和行动始终不断地进行评估，加以扩大和改进</w:t>
      </w:r>
      <w:r>
        <w:rPr>
          <w:rFonts w:hint="eastAsia"/>
          <w:snapToGrid/>
        </w:rPr>
        <w:t>。目前，这项方案向暴力和</w:t>
      </w:r>
      <w:r>
        <w:rPr>
          <w:rFonts w:hint="eastAsia"/>
          <w:snapToGrid/>
        </w:rPr>
        <w:t>(</w:t>
      </w:r>
      <w:r>
        <w:rPr>
          <w:rFonts w:hint="eastAsia"/>
          <w:snapToGrid/>
        </w:rPr>
        <w:t>或</w:t>
      </w:r>
      <w:r>
        <w:rPr>
          <w:rFonts w:hint="eastAsia"/>
          <w:snapToGrid/>
        </w:rPr>
        <w:t>)</w:t>
      </w:r>
      <w:r>
        <w:rPr>
          <w:rFonts w:hint="eastAsia"/>
          <w:snapToGrid/>
        </w:rPr>
        <w:t>虐待的儿童受害人提供看护和照顾。专线还接待申诉、提供有关法律方面的信息，同时推荐介绍解决途径，编写区域登记册，对申诉采取后续行动，培训并编写专门材料。从有关的统计数据来看，公开专线</w:t>
      </w:r>
      <w:r>
        <w:rPr>
          <w:snapToGrid/>
        </w:rPr>
        <w:t>800-2</w:t>
      </w:r>
      <w:r>
        <w:rPr>
          <w:rFonts w:hint="eastAsia"/>
          <w:snapToGrid/>
        </w:rPr>
        <w:t>2</w:t>
      </w:r>
      <w:r>
        <w:rPr>
          <w:snapToGrid/>
        </w:rPr>
        <w:t>0040</w:t>
      </w:r>
      <w:r>
        <w:rPr>
          <w:rFonts w:hint="eastAsia"/>
          <w:snapToGrid/>
        </w:rPr>
        <w:t>于</w:t>
      </w:r>
      <w:r>
        <w:rPr>
          <w:snapToGrid/>
        </w:rPr>
        <w:t>1998</w:t>
      </w:r>
      <w:r>
        <w:rPr>
          <w:rFonts w:hint="eastAsia"/>
          <w:snapToGrid/>
        </w:rPr>
        <w:t>年</w:t>
      </w:r>
      <w:r>
        <w:rPr>
          <w:snapToGrid/>
        </w:rPr>
        <w:t>1</w:t>
      </w:r>
      <w:r>
        <w:rPr>
          <w:rFonts w:hint="eastAsia"/>
          <w:snapToGrid/>
        </w:rPr>
        <w:t>月至</w:t>
      </w:r>
      <w:r>
        <w:rPr>
          <w:snapToGrid/>
        </w:rPr>
        <w:t>2000</w:t>
      </w:r>
      <w:r>
        <w:rPr>
          <w:rFonts w:hint="eastAsia"/>
          <w:snapToGrid/>
        </w:rPr>
        <w:t>年</w:t>
      </w:r>
      <w:r>
        <w:rPr>
          <w:snapToGrid/>
        </w:rPr>
        <w:t>5</w:t>
      </w:r>
      <w:r>
        <w:rPr>
          <w:rFonts w:hint="eastAsia"/>
          <w:snapToGrid/>
        </w:rPr>
        <w:t>月</w:t>
      </w:r>
      <w:r>
        <w:rPr>
          <w:snapToGrid/>
        </w:rPr>
        <w:t>31</w:t>
      </w:r>
      <w:r>
        <w:rPr>
          <w:rFonts w:hint="eastAsia"/>
          <w:snapToGrid/>
        </w:rPr>
        <w:t>日在大都会地区处理了总共</w:t>
      </w:r>
      <w:r>
        <w:rPr>
          <w:snapToGrid/>
        </w:rPr>
        <w:t>10,800</w:t>
      </w:r>
      <w:r>
        <w:rPr>
          <w:rFonts w:hint="eastAsia"/>
          <w:snapToGrid/>
        </w:rPr>
        <w:t>个电话，每个月平均</w:t>
      </w:r>
      <w:r>
        <w:rPr>
          <w:snapToGrid/>
        </w:rPr>
        <w:t>425</w:t>
      </w:r>
      <w:r>
        <w:rPr>
          <w:rFonts w:hint="eastAsia"/>
          <w:snapToGrid/>
        </w:rPr>
        <w:t>通电话。</w:t>
      </w:r>
    </w:p>
    <w:p w:rsidR="00000000" w:rsidRDefault="009C1C61">
      <w:pPr>
        <w:pStyle w:val="Heading4"/>
        <w:rPr>
          <w:rFonts w:ascii="Time New Roman" w:eastAsia="SimHei" w:hAnsi="Time New Roman"/>
          <w:u w:val="none"/>
        </w:rPr>
      </w:pPr>
      <w:r>
        <w:rPr>
          <w:rFonts w:ascii="Time New Roman" w:eastAsia="SimHei" w:hAnsi="Time New Roman" w:hint="eastAsia"/>
          <w:u w:val="none"/>
        </w:rPr>
        <w:t>法律援助方案及其所提供的服务</w:t>
      </w:r>
    </w:p>
    <w:p w:rsidR="00000000" w:rsidRDefault="009C1C61">
      <w:pPr>
        <w:rPr>
          <w:snapToGrid/>
        </w:rPr>
      </w:pPr>
      <w:r>
        <w:rPr>
          <w:rFonts w:hint="eastAsia"/>
          <w:snapToGrid/>
        </w:rPr>
        <w:tab/>
      </w:r>
      <w:r>
        <w:rPr>
          <w:snapToGrid/>
        </w:rPr>
        <w:t>479.</w:t>
      </w:r>
      <w:r>
        <w:rPr>
          <w:rFonts w:hint="eastAsia"/>
          <w:snapToGrid/>
        </w:rPr>
        <w:t xml:space="preserve">  </w:t>
      </w:r>
      <w:r>
        <w:rPr>
          <w:snapToGrid/>
        </w:rPr>
        <w:t>1993</w:t>
      </w:r>
      <w:r>
        <w:rPr>
          <w:rFonts w:hint="eastAsia"/>
          <w:snapToGrid/>
        </w:rPr>
        <w:t>年</w:t>
      </w:r>
      <w:r>
        <w:rPr>
          <w:snapToGrid/>
        </w:rPr>
        <w:t>5</w:t>
      </w:r>
      <w:r>
        <w:rPr>
          <w:rFonts w:hint="eastAsia"/>
          <w:snapToGrid/>
        </w:rPr>
        <w:t>月，司法部在各市政府的支持下，发起了</w:t>
      </w:r>
      <w:r>
        <w:rPr>
          <w:rFonts w:ascii="Time New Roman" w:eastAsia="SimHei" w:hAnsi="Time New Roman" w:hint="eastAsia"/>
        </w:rPr>
        <w:t>“</w:t>
      </w:r>
      <w:r>
        <w:rPr>
          <w:rFonts w:hint="eastAsia"/>
          <w:snapToGrid/>
        </w:rPr>
        <w:t>运用司法</w:t>
      </w:r>
      <w:r>
        <w:rPr>
          <w:rFonts w:ascii="Time New Roman" w:eastAsia="SimHei" w:hAnsi="Time New Roman" w:hint="eastAsia"/>
        </w:rPr>
        <w:t>”</w:t>
      </w:r>
      <w:r>
        <w:rPr>
          <w:rFonts w:hint="eastAsia"/>
          <w:snapToGrid/>
        </w:rPr>
        <w:t>的法律援助方案，探索了提供法律援助的一些新的方式。这项方案涉及到法律咨询</w:t>
      </w:r>
      <w:r>
        <w:rPr>
          <w:rFonts w:hint="eastAsia"/>
          <w:snapToGrid/>
        </w:rPr>
        <w:t>官员以及固定和移动信息中心，由律师和社会工作者组成的小组管理，这些人借助计算机化设备，向使用者提供迅速及时的服务。固定的运作单位每天在同一地点接待来访者，而移动单位则在与有关市政府的共同协商选定的不同地点之间移动。</w:t>
      </w:r>
    </w:p>
    <w:p w:rsidR="00000000" w:rsidRDefault="009C1C61">
      <w:pPr>
        <w:rPr>
          <w:snapToGrid/>
        </w:rPr>
      </w:pPr>
      <w:r>
        <w:rPr>
          <w:rFonts w:hint="eastAsia"/>
          <w:snapToGrid/>
        </w:rPr>
        <w:tab/>
      </w:r>
      <w:r>
        <w:rPr>
          <w:snapToGrid/>
        </w:rPr>
        <w:t>480.</w:t>
      </w:r>
      <w:r>
        <w:rPr>
          <w:rFonts w:hint="eastAsia"/>
          <w:snapToGrid/>
        </w:rPr>
        <w:t xml:space="preserve">  </w:t>
      </w:r>
      <w:r>
        <w:rPr>
          <w:rFonts w:hint="eastAsia"/>
          <w:snapToGrid/>
        </w:rPr>
        <w:t>目前的方案涵盖我国的</w:t>
      </w:r>
      <w:r>
        <w:rPr>
          <w:snapToGrid/>
        </w:rPr>
        <w:t>52</w:t>
      </w:r>
      <w:r>
        <w:rPr>
          <w:rFonts w:hint="eastAsia"/>
          <w:snapToGrid/>
        </w:rPr>
        <w:t>个城市：</w:t>
      </w:r>
      <w:r>
        <w:rPr>
          <w:snapToGrid/>
        </w:rPr>
        <w:t>12</w:t>
      </w:r>
      <w:r>
        <w:rPr>
          <w:rFonts w:hint="eastAsia"/>
          <w:snapToGrid/>
        </w:rPr>
        <w:t>个属于大都会地区</w:t>
      </w:r>
      <w:r>
        <w:rPr>
          <w:rFonts w:hint="eastAsia"/>
          <w:snapToGrid/>
        </w:rPr>
        <w:t>(</w:t>
      </w:r>
      <w:r>
        <w:rPr>
          <w:rFonts w:hint="eastAsia"/>
          <w:snapToGrid/>
        </w:rPr>
        <w:t>圣地亚哥和查卡布科</w:t>
      </w:r>
      <w:r>
        <w:rPr>
          <w:rFonts w:hint="eastAsia"/>
          <w:snapToGrid/>
        </w:rPr>
        <w:t>)</w:t>
      </w:r>
      <w:r>
        <w:rPr>
          <w:rFonts w:hint="eastAsia"/>
          <w:snapToGrid/>
        </w:rPr>
        <w:t>、</w:t>
      </w:r>
      <w:r>
        <w:rPr>
          <w:snapToGrid/>
        </w:rPr>
        <w:t>10</w:t>
      </w:r>
      <w:r>
        <w:rPr>
          <w:rFonts w:hint="eastAsia"/>
          <w:snapToGrid/>
        </w:rPr>
        <w:t>个在第八区比奥－比奥</w:t>
      </w:r>
      <w:r>
        <w:rPr>
          <w:rFonts w:hint="eastAsia"/>
          <w:snapToGrid/>
        </w:rPr>
        <w:t>(</w:t>
      </w:r>
      <w:r>
        <w:rPr>
          <w:rFonts w:hint="eastAsia"/>
          <w:snapToGrid/>
        </w:rPr>
        <w:t>阿劳科和康塞普西翁</w:t>
      </w:r>
      <w:r>
        <w:rPr>
          <w:rFonts w:hint="eastAsia"/>
          <w:snapToGrid/>
        </w:rPr>
        <w:t>)</w:t>
      </w:r>
      <w:r>
        <w:rPr>
          <w:rFonts w:hint="eastAsia"/>
          <w:snapToGrid/>
        </w:rPr>
        <w:t>、</w:t>
      </w:r>
      <w:r>
        <w:rPr>
          <w:snapToGrid/>
        </w:rPr>
        <w:t>5</w:t>
      </w:r>
      <w:r>
        <w:rPr>
          <w:rFonts w:hint="eastAsia"/>
          <w:snapToGrid/>
        </w:rPr>
        <w:t>个在第四区科金博</w:t>
      </w:r>
      <w:r>
        <w:rPr>
          <w:rFonts w:hint="eastAsia"/>
          <w:snapToGrid/>
        </w:rPr>
        <w:t>(</w:t>
      </w:r>
      <w:r>
        <w:rPr>
          <w:rFonts w:hint="eastAsia"/>
          <w:snapToGrid/>
        </w:rPr>
        <w:t>里马黎省</w:t>
      </w:r>
      <w:r>
        <w:rPr>
          <w:rFonts w:hint="eastAsia"/>
          <w:snapToGrid/>
        </w:rPr>
        <w:t>)</w:t>
      </w:r>
      <w:r>
        <w:rPr>
          <w:rFonts w:hint="eastAsia"/>
          <w:snapToGrid/>
        </w:rPr>
        <w:t>、九个在第七区茅莱</w:t>
      </w:r>
      <w:r>
        <w:rPr>
          <w:rFonts w:hint="eastAsia"/>
          <w:snapToGrid/>
        </w:rPr>
        <w:t>(</w:t>
      </w:r>
      <w:r>
        <w:rPr>
          <w:rFonts w:hint="eastAsia"/>
          <w:snapToGrid/>
        </w:rPr>
        <w:t>利纳雷斯和考克内斯</w:t>
      </w:r>
      <w:r>
        <w:rPr>
          <w:rFonts w:hint="eastAsia"/>
          <w:snapToGrid/>
        </w:rPr>
        <w:t>)</w:t>
      </w:r>
      <w:r>
        <w:rPr>
          <w:rFonts w:hint="eastAsia"/>
          <w:snapToGrid/>
        </w:rPr>
        <w:t>、</w:t>
      </w:r>
      <w:r>
        <w:rPr>
          <w:snapToGrid/>
        </w:rPr>
        <w:t>7</w:t>
      </w:r>
      <w:r>
        <w:rPr>
          <w:rFonts w:hint="eastAsia"/>
          <w:snapToGrid/>
        </w:rPr>
        <w:t>个在大湖地区的第十区</w:t>
      </w:r>
      <w:r>
        <w:rPr>
          <w:rFonts w:hint="eastAsia"/>
          <w:snapToGrid/>
        </w:rPr>
        <w:t>(</w:t>
      </w:r>
      <w:r>
        <w:rPr>
          <w:rFonts w:hint="eastAsia"/>
          <w:snapToGrid/>
        </w:rPr>
        <w:t>奇洛埃省</w:t>
      </w:r>
      <w:r>
        <w:rPr>
          <w:rFonts w:hint="eastAsia"/>
          <w:snapToGrid/>
        </w:rPr>
        <w:t>)</w:t>
      </w:r>
      <w:r>
        <w:rPr>
          <w:rFonts w:hint="eastAsia"/>
          <w:snapToGrid/>
        </w:rPr>
        <w:t>，以及第二区安托法加斯塔全区。法律援助公司并在我国的</w:t>
      </w:r>
      <w:r>
        <w:rPr>
          <w:rFonts w:hint="eastAsia"/>
          <w:snapToGrid/>
        </w:rPr>
        <w:t>多数城市设有法律咨询事务所。</w:t>
      </w:r>
    </w:p>
    <w:p w:rsidR="00000000" w:rsidRDefault="009C1C61">
      <w:pPr>
        <w:rPr>
          <w:snapToGrid/>
        </w:rPr>
      </w:pPr>
      <w:r>
        <w:rPr>
          <w:rFonts w:hint="eastAsia"/>
          <w:snapToGrid/>
        </w:rPr>
        <w:tab/>
      </w:r>
      <w:r>
        <w:rPr>
          <w:snapToGrid/>
        </w:rPr>
        <w:t>481.</w:t>
      </w:r>
      <w:r>
        <w:rPr>
          <w:rFonts w:hint="eastAsia"/>
          <w:snapToGrid/>
        </w:rPr>
        <w:t xml:space="preserve">  </w:t>
      </w:r>
      <w:r>
        <w:rPr>
          <w:rFonts w:hint="eastAsia"/>
          <w:snapToGrid/>
        </w:rPr>
        <w:t>这项方案提供所有法律和社会事务的信息和指导。服务的目标是帮助社区了解其权利以及有效行使权利的方式。它还帮助不诉诸诉讼，而使用调解等方式来解决冲突。鉴于法律诉讼程序缓慢，许多冲突和争端都是通过双方达成的协议而在法律咨询事务所的帮助下庭外解决的。如果资源有限的人所面临的案子无法通过调解解决而必须提交法院，此人将得到律师的指导，由这位律师接过案子，并逐步引导此人经过各项法庭诉讼程序。</w:t>
      </w:r>
    </w:p>
    <w:p w:rsidR="00000000" w:rsidRDefault="009C1C61">
      <w:pPr>
        <w:rPr>
          <w:snapToGrid/>
        </w:rPr>
      </w:pPr>
      <w:r>
        <w:rPr>
          <w:rFonts w:hint="eastAsia"/>
          <w:snapToGrid/>
        </w:rPr>
        <w:tab/>
      </w:r>
      <w:r>
        <w:rPr>
          <w:snapToGrid/>
        </w:rPr>
        <w:t>482.</w:t>
      </w:r>
      <w:r>
        <w:rPr>
          <w:rFonts w:hint="eastAsia"/>
          <w:snapToGrid/>
        </w:rPr>
        <w:t xml:space="preserve">  </w:t>
      </w:r>
      <w:r>
        <w:rPr>
          <w:rFonts w:hint="eastAsia"/>
          <w:snapToGrid/>
        </w:rPr>
        <w:t>这项方案还开展社区工作，组织教育活动、宣传并倡导各项权利、催生大众意识并</w:t>
      </w:r>
      <w:r>
        <w:rPr>
          <w:rFonts w:hint="eastAsia"/>
          <w:snapToGrid/>
        </w:rPr>
        <w:t>力图防止法律和社会问题的发生。这部分方案是通过交谈、讲习班、研讨会，通过提供信息资料、电台节目和大众资讯及宣传活动开展的。这些活动是经社区团队的倡议而在地方上开展的，它是在与其他机构、地方组织和社区团体的代表协作下，通过支持网络的建立和跨部门工作实施的。</w:t>
      </w:r>
    </w:p>
    <w:p w:rsidR="00000000" w:rsidRDefault="009C1C61">
      <w:pPr>
        <w:rPr>
          <w:rFonts w:hint="eastAsia"/>
          <w:snapToGrid/>
        </w:rPr>
      </w:pPr>
      <w:r>
        <w:rPr>
          <w:rFonts w:hint="eastAsia"/>
          <w:snapToGrid/>
        </w:rPr>
        <w:tab/>
      </w:r>
      <w:r>
        <w:rPr>
          <w:snapToGrid/>
        </w:rPr>
        <w:t>483.</w:t>
      </w:r>
      <w:r>
        <w:rPr>
          <w:rFonts w:hint="eastAsia"/>
          <w:snapToGrid/>
        </w:rPr>
        <w:t xml:space="preserve">  </w:t>
      </w:r>
      <w:r>
        <w:rPr>
          <w:rFonts w:hint="eastAsia"/>
          <w:snapToGrid/>
        </w:rPr>
        <w:t>这项方案还对暴力罪行的受害人提供援助，作为制订战略既满足公共治安的需要又满足司法公正的需要的工作的一部分。已设立由刑事案律师及一名心理学家组成的专门单位，以便帮助违法行为的受害人。这些单位帮助照顾受害人，并在法庭上与全部在大都会地区的品塔那、</w:t>
      </w:r>
      <w:r>
        <w:rPr>
          <w:rFonts w:hint="eastAsia"/>
          <w:snapToGrid/>
        </w:rPr>
        <w:t>埃尔鲍斯克、</w:t>
      </w:r>
      <w:r>
        <w:rPr>
          <w:snapToGrid/>
        </w:rPr>
        <w:t>Cerro Navia</w:t>
      </w:r>
      <w:r>
        <w:rPr>
          <w:rFonts w:hint="eastAsia"/>
          <w:snapToGrid/>
        </w:rPr>
        <w:t>、</w:t>
      </w:r>
      <w:r>
        <w:rPr>
          <w:snapToGrid/>
        </w:rPr>
        <w:t>Penalolen</w:t>
      </w:r>
      <w:r>
        <w:rPr>
          <w:rFonts w:hint="eastAsia"/>
          <w:snapToGrid/>
        </w:rPr>
        <w:t>、格兰哈和</w:t>
      </w:r>
      <w:r>
        <w:rPr>
          <w:snapToGrid/>
        </w:rPr>
        <w:t>Quilicura</w:t>
      </w:r>
      <w:r>
        <w:rPr>
          <w:rFonts w:hint="eastAsia"/>
          <w:snapToGrid/>
        </w:rPr>
        <w:t>的法律咨询事务所协作担任他们的代表。</w:t>
      </w:r>
    </w:p>
    <w:p w:rsidR="00000000" w:rsidRDefault="009C1C61">
      <w:pPr>
        <w:pStyle w:val="Heading3"/>
        <w:spacing w:before="300"/>
      </w:pPr>
      <w:r>
        <w:rPr>
          <w:rFonts w:hint="eastAsia"/>
        </w:rPr>
        <w:t>表</w:t>
      </w:r>
      <w:r>
        <w:t xml:space="preserve"> </w:t>
      </w:r>
      <w:r>
        <w:rPr>
          <w:b/>
          <w:bCs/>
        </w:rPr>
        <w:t xml:space="preserve"> 15</w:t>
      </w:r>
      <w:r>
        <w:rPr>
          <w:b/>
          <w:bCs/>
        </w:rPr>
        <w:br/>
      </w:r>
      <w:r>
        <w:rPr>
          <w:rFonts w:hint="eastAsia"/>
        </w:rPr>
        <w:t>法律援助方案的咨询领域</w:t>
      </w:r>
      <w:r>
        <w:br/>
      </w:r>
      <w:r>
        <w:rPr>
          <w:b/>
        </w:rPr>
        <w:t>1999</w:t>
      </w:r>
      <w:r>
        <w:rPr>
          <w:rFonts w:hint="eastAsia"/>
        </w:rPr>
        <w:t>年</w:t>
      </w:r>
      <w:r>
        <w:rPr>
          <w:b/>
        </w:rPr>
        <w:t>1</w:t>
      </w:r>
      <w:r>
        <w:rPr>
          <w:rFonts w:hint="eastAsia"/>
        </w:rPr>
        <w:t>月至</w:t>
      </w:r>
      <w:r>
        <w:rPr>
          <w:b/>
        </w:rPr>
        <w:t>12</w:t>
      </w:r>
      <w:r>
        <w:rPr>
          <w:rFonts w:hint="eastAsia"/>
        </w:rPr>
        <w:t>月</w:t>
      </w:r>
    </w:p>
    <w:tbl>
      <w:tblPr>
        <w:tblW w:w="958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6" w:type="dxa"/>
          <w:right w:w="56" w:type="dxa"/>
        </w:tblCellMar>
        <w:tblLook w:val="0000" w:firstRow="0" w:lastRow="0" w:firstColumn="0" w:lastColumn="0" w:noHBand="0" w:noVBand="0"/>
      </w:tblPr>
      <w:tblGrid>
        <w:gridCol w:w="1547"/>
        <w:gridCol w:w="893"/>
        <w:gridCol w:w="893"/>
        <w:gridCol w:w="893"/>
        <w:gridCol w:w="893"/>
        <w:gridCol w:w="893"/>
        <w:gridCol w:w="893"/>
        <w:gridCol w:w="893"/>
        <w:gridCol w:w="893"/>
        <w:gridCol w:w="893"/>
      </w:tblGrid>
      <w:tr w:rsidR="00000000">
        <w:tblPrEx>
          <w:tblCellMar>
            <w:top w:w="0" w:type="dxa"/>
            <w:bottom w:w="0" w:type="dxa"/>
          </w:tblCellMar>
        </w:tblPrEx>
        <w:trPr>
          <w:tblHeader/>
          <w:jc w:val="center"/>
        </w:trPr>
        <w:tc>
          <w:tcPr>
            <w:tcW w:w="1547" w:type="dxa"/>
            <w:tcBorders>
              <w:bottom w:val="single" w:sz="8" w:space="0" w:color="auto"/>
            </w:tcBorders>
            <w:vAlign w:val="center"/>
          </w:tcPr>
          <w:p w:rsidR="00000000" w:rsidRDefault="009C1C61">
            <w:pPr>
              <w:pStyle w:val="a2"/>
              <w:rPr>
                <w:noProof/>
                <w:sz w:val="20"/>
              </w:rPr>
            </w:pP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家庭</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住房</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就业</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邻里</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刑事</w:t>
            </w:r>
          </w:p>
        </w:tc>
        <w:tc>
          <w:tcPr>
            <w:tcW w:w="893" w:type="dxa"/>
            <w:tcBorders>
              <w:bottom w:val="single" w:sz="8" w:space="0" w:color="auto"/>
            </w:tcBorders>
            <w:vAlign w:val="center"/>
          </w:tcPr>
          <w:p w:rsidR="00000000" w:rsidRDefault="009C1C61">
            <w:pPr>
              <w:pStyle w:val="a2"/>
              <w:jc w:val="center"/>
              <w:rPr>
                <w:noProof/>
                <w:spacing w:val="-10"/>
                <w:sz w:val="20"/>
              </w:rPr>
            </w:pPr>
            <w:r>
              <w:rPr>
                <w:rFonts w:hint="eastAsia"/>
                <w:snapToGrid/>
                <w:spacing w:val="-10"/>
                <w:sz w:val="20"/>
              </w:rPr>
              <w:t>社会福利</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遗产</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财产</w:t>
            </w:r>
          </w:p>
        </w:tc>
        <w:tc>
          <w:tcPr>
            <w:tcW w:w="893" w:type="dxa"/>
            <w:tcBorders>
              <w:bottom w:val="single" w:sz="8" w:space="0" w:color="auto"/>
            </w:tcBorders>
            <w:vAlign w:val="center"/>
          </w:tcPr>
          <w:p w:rsidR="00000000" w:rsidRDefault="009C1C61">
            <w:pPr>
              <w:pStyle w:val="a2"/>
              <w:jc w:val="center"/>
              <w:rPr>
                <w:noProof/>
                <w:sz w:val="20"/>
              </w:rPr>
            </w:pPr>
            <w:r>
              <w:rPr>
                <w:rFonts w:hint="eastAsia"/>
                <w:snapToGrid/>
                <w:sz w:val="20"/>
              </w:rPr>
              <w:t>总计</w:t>
            </w:r>
          </w:p>
        </w:tc>
      </w:tr>
      <w:tr w:rsidR="00000000">
        <w:tblPrEx>
          <w:tblCellMar>
            <w:top w:w="0" w:type="dxa"/>
            <w:bottom w:w="0" w:type="dxa"/>
          </w:tblCellMar>
        </w:tblPrEx>
        <w:trPr>
          <w:jc w:val="center"/>
        </w:trPr>
        <w:tc>
          <w:tcPr>
            <w:tcW w:w="1547" w:type="dxa"/>
            <w:tcBorders>
              <w:bottom w:val="nil"/>
            </w:tcBorders>
          </w:tcPr>
          <w:p w:rsidR="00000000" w:rsidRDefault="009C1C61">
            <w:pPr>
              <w:pStyle w:val="a2"/>
              <w:ind w:left="57" w:right="57"/>
              <w:jc w:val="left"/>
              <w:rPr>
                <w:noProof/>
                <w:sz w:val="20"/>
              </w:rPr>
            </w:pPr>
            <w:r>
              <w:rPr>
                <w:rFonts w:hint="eastAsia"/>
                <w:snapToGrid/>
                <w:sz w:val="20"/>
              </w:rPr>
              <w:t>安托法加斯塔</w:t>
            </w:r>
          </w:p>
        </w:tc>
        <w:tc>
          <w:tcPr>
            <w:tcW w:w="893" w:type="dxa"/>
            <w:tcBorders>
              <w:bottom w:val="nil"/>
            </w:tcBorders>
          </w:tcPr>
          <w:p w:rsidR="00000000" w:rsidRDefault="009C1C61">
            <w:pPr>
              <w:pStyle w:val="a2"/>
              <w:ind w:right="113"/>
              <w:jc w:val="right"/>
              <w:rPr>
                <w:noProof/>
                <w:sz w:val="20"/>
              </w:rPr>
            </w:pPr>
            <w:r>
              <w:rPr>
                <w:noProof/>
                <w:sz w:val="20"/>
              </w:rPr>
              <w:t>2,567</w:t>
            </w:r>
          </w:p>
        </w:tc>
        <w:tc>
          <w:tcPr>
            <w:tcW w:w="893" w:type="dxa"/>
            <w:tcBorders>
              <w:bottom w:val="nil"/>
            </w:tcBorders>
          </w:tcPr>
          <w:p w:rsidR="00000000" w:rsidRDefault="009C1C61">
            <w:pPr>
              <w:pStyle w:val="a2"/>
              <w:ind w:right="113"/>
              <w:jc w:val="right"/>
              <w:rPr>
                <w:noProof/>
                <w:sz w:val="20"/>
              </w:rPr>
            </w:pPr>
            <w:r>
              <w:rPr>
                <w:noProof/>
                <w:sz w:val="20"/>
              </w:rPr>
              <w:t>1,032</w:t>
            </w:r>
          </w:p>
        </w:tc>
        <w:tc>
          <w:tcPr>
            <w:tcW w:w="893" w:type="dxa"/>
            <w:tcBorders>
              <w:bottom w:val="nil"/>
            </w:tcBorders>
          </w:tcPr>
          <w:p w:rsidR="00000000" w:rsidRDefault="009C1C61">
            <w:pPr>
              <w:pStyle w:val="a2"/>
              <w:ind w:right="113"/>
              <w:jc w:val="right"/>
              <w:rPr>
                <w:noProof/>
                <w:sz w:val="20"/>
              </w:rPr>
            </w:pPr>
            <w:r>
              <w:rPr>
                <w:noProof/>
                <w:sz w:val="20"/>
              </w:rPr>
              <w:t>1,343</w:t>
            </w:r>
          </w:p>
        </w:tc>
        <w:tc>
          <w:tcPr>
            <w:tcW w:w="893" w:type="dxa"/>
            <w:tcBorders>
              <w:bottom w:val="nil"/>
            </w:tcBorders>
          </w:tcPr>
          <w:p w:rsidR="00000000" w:rsidRDefault="009C1C61">
            <w:pPr>
              <w:pStyle w:val="a2"/>
              <w:ind w:right="113"/>
              <w:jc w:val="right"/>
              <w:rPr>
                <w:noProof/>
                <w:sz w:val="20"/>
              </w:rPr>
            </w:pPr>
            <w:r>
              <w:rPr>
                <w:noProof/>
                <w:sz w:val="20"/>
              </w:rPr>
              <w:t>80</w:t>
            </w:r>
          </w:p>
        </w:tc>
        <w:tc>
          <w:tcPr>
            <w:tcW w:w="893" w:type="dxa"/>
            <w:tcBorders>
              <w:bottom w:val="nil"/>
            </w:tcBorders>
          </w:tcPr>
          <w:p w:rsidR="00000000" w:rsidRDefault="009C1C61">
            <w:pPr>
              <w:pStyle w:val="a2"/>
              <w:ind w:right="113"/>
              <w:jc w:val="right"/>
              <w:rPr>
                <w:noProof/>
                <w:sz w:val="20"/>
              </w:rPr>
            </w:pPr>
            <w:r>
              <w:rPr>
                <w:noProof/>
                <w:sz w:val="20"/>
              </w:rPr>
              <w:t>1,067</w:t>
            </w:r>
          </w:p>
        </w:tc>
        <w:tc>
          <w:tcPr>
            <w:tcW w:w="893" w:type="dxa"/>
            <w:tcBorders>
              <w:bottom w:val="nil"/>
            </w:tcBorders>
          </w:tcPr>
          <w:p w:rsidR="00000000" w:rsidRDefault="009C1C61">
            <w:pPr>
              <w:pStyle w:val="a2"/>
              <w:ind w:right="113"/>
              <w:jc w:val="right"/>
              <w:rPr>
                <w:noProof/>
                <w:sz w:val="20"/>
              </w:rPr>
            </w:pPr>
            <w:r>
              <w:rPr>
                <w:noProof/>
                <w:sz w:val="20"/>
              </w:rPr>
              <w:t>312</w:t>
            </w:r>
          </w:p>
        </w:tc>
        <w:tc>
          <w:tcPr>
            <w:tcW w:w="893" w:type="dxa"/>
            <w:tcBorders>
              <w:bottom w:val="nil"/>
            </w:tcBorders>
          </w:tcPr>
          <w:p w:rsidR="00000000" w:rsidRDefault="009C1C61">
            <w:pPr>
              <w:pStyle w:val="a2"/>
              <w:ind w:right="113"/>
              <w:jc w:val="right"/>
              <w:rPr>
                <w:noProof/>
                <w:sz w:val="20"/>
              </w:rPr>
            </w:pPr>
            <w:r>
              <w:rPr>
                <w:noProof/>
                <w:sz w:val="20"/>
              </w:rPr>
              <w:t>1,002</w:t>
            </w:r>
          </w:p>
        </w:tc>
        <w:tc>
          <w:tcPr>
            <w:tcW w:w="893" w:type="dxa"/>
            <w:tcBorders>
              <w:bottom w:val="nil"/>
            </w:tcBorders>
          </w:tcPr>
          <w:p w:rsidR="00000000" w:rsidRDefault="009C1C61">
            <w:pPr>
              <w:pStyle w:val="a2"/>
              <w:ind w:right="113"/>
              <w:jc w:val="right"/>
              <w:rPr>
                <w:noProof/>
                <w:sz w:val="20"/>
              </w:rPr>
            </w:pPr>
            <w:r>
              <w:rPr>
                <w:noProof/>
                <w:sz w:val="20"/>
              </w:rPr>
              <w:t>1,304</w:t>
            </w:r>
          </w:p>
        </w:tc>
        <w:tc>
          <w:tcPr>
            <w:tcW w:w="893" w:type="dxa"/>
            <w:tcBorders>
              <w:bottom w:val="nil"/>
            </w:tcBorders>
          </w:tcPr>
          <w:p w:rsidR="00000000" w:rsidRDefault="009C1C61">
            <w:pPr>
              <w:pStyle w:val="a2"/>
              <w:ind w:right="113"/>
              <w:jc w:val="right"/>
              <w:rPr>
                <w:noProof/>
                <w:sz w:val="20"/>
              </w:rPr>
            </w:pPr>
            <w:r>
              <w:rPr>
                <w:noProof/>
                <w:sz w:val="20"/>
              </w:rPr>
              <w:t>8,707</w:t>
            </w:r>
          </w:p>
        </w:tc>
      </w:tr>
      <w:tr w:rsidR="00000000">
        <w:tblPrEx>
          <w:tblCellMar>
            <w:top w:w="0" w:type="dxa"/>
            <w:bottom w:w="0" w:type="dxa"/>
          </w:tblCellMar>
        </w:tblPrEx>
        <w:trPr>
          <w:jc w:val="center"/>
        </w:trPr>
        <w:tc>
          <w:tcPr>
            <w:tcW w:w="1547" w:type="dxa"/>
            <w:tcBorders>
              <w:top w:val="nil"/>
              <w:bottom w:val="nil"/>
            </w:tcBorders>
          </w:tcPr>
          <w:p w:rsidR="00000000" w:rsidRDefault="009C1C61">
            <w:pPr>
              <w:pStyle w:val="a2"/>
              <w:ind w:left="57" w:right="57"/>
              <w:jc w:val="left"/>
              <w:rPr>
                <w:noProof/>
                <w:sz w:val="20"/>
              </w:rPr>
            </w:pPr>
            <w:r>
              <w:rPr>
                <w:rFonts w:hint="eastAsia"/>
                <w:snapToGrid/>
                <w:sz w:val="20"/>
              </w:rPr>
              <w:t>科金博</w:t>
            </w:r>
          </w:p>
        </w:tc>
        <w:tc>
          <w:tcPr>
            <w:tcW w:w="893" w:type="dxa"/>
            <w:tcBorders>
              <w:top w:val="nil"/>
              <w:bottom w:val="nil"/>
            </w:tcBorders>
          </w:tcPr>
          <w:p w:rsidR="00000000" w:rsidRDefault="009C1C61">
            <w:pPr>
              <w:pStyle w:val="a2"/>
              <w:ind w:right="113"/>
              <w:jc w:val="right"/>
              <w:rPr>
                <w:noProof/>
                <w:sz w:val="20"/>
              </w:rPr>
            </w:pPr>
            <w:r>
              <w:rPr>
                <w:noProof/>
                <w:sz w:val="20"/>
              </w:rPr>
              <w:t>579</w:t>
            </w:r>
          </w:p>
        </w:tc>
        <w:tc>
          <w:tcPr>
            <w:tcW w:w="893" w:type="dxa"/>
            <w:tcBorders>
              <w:top w:val="nil"/>
              <w:bottom w:val="nil"/>
            </w:tcBorders>
          </w:tcPr>
          <w:p w:rsidR="00000000" w:rsidRDefault="009C1C61">
            <w:pPr>
              <w:pStyle w:val="a2"/>
              <w:ind w:right="113"/>
              <w:jc w:val="right"/>
              <w:rPr>
                <w:noProof/>
                <w:sz w:val="20"/>
              </w:rPr>
            </w:pPr>
            <w:r>
              <w:rPr>
                <w:noProof/>
                <w:sz w:val="20"/>
              </w:rPr>
              <w:t>285</w:t>
            </w:r>
          </w:p>
        </w:tc>
        <w:tc>
          <w:tcPr>
            <w:tcW w:w="893" w:type="dxa"/>
            <w:tcBorders>
              <w:top w:val="nil"/>
              <w:bottom w:val="nil"/>
            </w:tcBorders>
          </w:tcPr>
          <w:p w:rsidR="00000000" w:rsidRDefault="009C1C61">
            <w:pPr>
              <w:pStyle w:val="a2"/>
              <w:ind w:right="113"/>
              <w:jc w:val="right"/>
              <w:rPr>
                <w:noProof/>
                <w:sz w:val="20"/>
              </w:rPr>
            </w:pPr>
            <w:r>
              <w:rPr>
                <w:noProof/>
                <w:sz w:val="20"/>
              </w:rPr>
              <w:t>234</w:t>
            </w:r>
          </w:p>
        </w:tc>
        <w:tc>
          <w:tcPr>
            <w:tcW w:w="893" w:type="dxa"/>
            <w:tcBorders>
              <w:top w:val="nil"/>
              <w:bottom w:val="nil"/>
            </w:tcBorders>
          </w:tcPr>
          <w:p w:rsidR="00000000" w:rsidRDefault="009C1C61">
            <w:pPr>
              <w:pStyle w:val="a2"/>
              <w:ind w:right="113"/>
              <w:jc w:val="right"/>
              <w:rPr>
                <w:noProof/>
                <w:sz w:val="20"/>
              </w:rPr>
            </w:pPr>
            <w:r>
              <w:rPr>
                <w:noProof/>
                <w:sz w:val="20"/>
              </w:rPr>
              <w:t>61</w:t>
            </w:r>
          </w:p>
        </w:tc>
        <w:tc>
          <w:tcPr>
            <w:tcW w:w="893" w:type="dxa"/>
            <w:tcBorders>
              <w:top w:val="nil"/>
              <w:bottom w:val="nil"/>
            </w:tcBorders>
          </w:tcPr>
          <w:p w:rsidR="00000000" w:rsidRDefault="009C1C61">
            <w:pPr>
              <w:pStyle w:val="a2"/>
              <w:ind w:right="113"/>
              <w:jc w:val="right"/>
              <w:rPr>
                <w:noProof/>
                <w:sz w:val="20"/>
              </w:rPr>
            </w:pPr>
            <w:r>
              <w:rPr>
                <w:noProof/>
                <w:sz w:val="20"/>
              </w:rPr>
              <w:t>180</w:t>
            </w:r>
          </w:p>
        </w:tc>
        <w:tc>
          <w:tcPr>
            <w:tcW w:w="893" w:type="dxa"/>
            <w:tcBorders>
              <w:top w:val="nil"/>
              <w:bottom w:val="nil"/>
            </w:tcBorders>
          </w:tcPr>
          <w:p w:rsidR="00000000" w:rsidRDefault="009C1C61">
            <w:pPr>
              <w:pStyle w:val="a2"/>
              <w:ind w:right="113"/>
              <w:jc w:val="right"/>
              <w:rPr>
                <w:noProof/>
                <w:sz w:val="20"/>
              </w:rPr>
            </w:pPr>
            <w:r>
              <w:rPr>
                <w:noProof/>
                <w:sz w:val="20"/>
              </w:rPr>
              <w:t>127</w:t>
            </w:r>
          </w:p>
        </w:tc>
        <w:tc>
          <w:tcPr>
            <w:tcW w:w="893" w:type="dxa"/>
            <w:tcBorders>
              <w:top w:val="nil"/>
              <w:bottom w:val="nil"/>
            </w:tcBorders>
          </w:tcPr>
          <w:p w:rsidR="00000000" w:rsidRDefault="009C1C61">
            <w:pPr>
              <w:pStyle w:val="a2"/>
              <w:ind w:right="113"/>
              <w:jc w:val="right"/>
              <w:rPr>
                <w:noProof/>
                <w:sz w:val="20"/>
              </w:rPr>
            </w:pPr>
            <w:r>
              <w:rPr>
                <w:noProof/>
                <w:sz w:val="20"/>
              </w:rPr>
              <w:t>494</w:t>
            </w:r>
          </w:p>
        </w:tc>
        <w:tc>
          <w:tcPr>
            <w:tcW w:w="893" w:type="dxa"/>
            <w:tcBorders>
              <w:top w:val="nil"/>
              <w:bottom w:val="nil"/>
            </w:tcBorders>
          </w:tcPr>
          <w:p w:rsidR="00000000" w:rsidRDefault="009C1C61">
            <w:pPr>
              <w:pStyle w:val="a2"/>
              <w:ind w:right="113"/>
              <w:jc w:val="right"/>
              <w:rPr>
                <w:noProof/>
                <w:sz w:val="20"/>
              </w:rPr>
            </w:pPr>
            <w:r>
              <w:rPr>
                <w:noProof/>
                <w:sz w:val="20"/>
              </w:rPr>
              <w:t>215</w:t>
            </w:r>
          </w:p>
        </w:tc>
        <w:tc>
          <w:tcPr>
            <w:tcW w:w="893" w:type="dxa"/>
            <w:tcBorders>
              <w:top w:val="nil"/>
              <w:bottom w:val="nil"/>
            </w:tcBorders>
          </w:tcPr>
          <w:p w:rsidR="00000000" w:rsidRDefault="009C1C61">
            <w:pPr>
              <w:pStyle w:val="a2"/>
              <w:ind w:right="113"/>
              <w:jc w:val="right"/>
              <w:rPr>
                <w:noProof/>
                <w:sz w:val="20"/>
              </w:rPr>
            </w:pPr>
            <w:r>
              <w:rPr>
                <w:noProof/>
                <w:sz w:val="20"/>
              </w:rPr>
              <w:t>2,175</w:t>
            </w:r>
          </w:p>
        </w:tc>
      </w:tr>
      <w:tr w:rsidR="00000000">
        <w:tblPrEx>
          <w:tblCellMar>
            <w:top w:w="0" w:type="dxa"/>
            <w:bottom w:w="0" w:type="dxa"/>
          </w:tblCellMar>
        </w:tblPrEx>
        <w:trPr>
          <w:jc w:val="center"/>
        </w:trPr>
        <w:tc>
          <w:tcPr>
            <w:tcW w:w="1547" w:type="dxa"/>
            <w:tcBorders>
              <w:top w:val="nil"/>
              <w:bottom w:val="nil"/>
            </w:tcBorders>
          </w:tcPr>
          <w:p w:rsidR="00000000" w:rsidRDefault="009C1C61">
            <w:pPr>
              <w:pStyle w:val="a2"/>
              <w:ind w:left="57" w:right="57"/>
              <w:jc w:val="left"/>
              <w:rPr>
                <w:rFonts w:hint="eastAsia"/>
                <w:noProof/>
                <w:sz w:val="20"/>
              </w:rPr>
            </w:pPr>
            <w:r>
              <w:rPr>
                <w:rFonts w:hint="eastAsia"/>
                <w:snapToGrid/>
                <w:sz w:val="20"/>
              </w:rPr>
              <w:t>茅莱</w:t>
            </w:r>
          </w:p>
        </w:tc>
        <w:tc>
          <w:tcPr>
            <w:tcW w:w="893" w:type="dxa"/>
            <w:tcBorders>
              <w:top w:val="nil"/>
              <w:bottom w:val="nil"/>
            </w:tcBorders>
          </w:tcPr>
          <w:p w:rsidR="00000000" w:rsidRDefault="009C1C61">
            <w:pPr>
              <w:pStyle w:val="a2"/>
              <w:ind w:right="113"/>
              <w:jc w:val="right"/>
              <w:rPr>
                <w:noProof/>
                <w:sz w:val="20"/>
              </w:rPr>
            </w:pPr>
            <w:r>
              <w:rPr>
                <w:noProof/>
                <w:sz w:val="20"/>
              </w:rPr>
              <w:t>3,476</w:t>
            </w:r>
          </w:p>
        </w:tc>
        <w:tc>
          <w:tcPr>
            <w:tcW w:w="893" w:type="dxa"/>
            <w:tcBorders>
              <w:top w:val="nil"/>
              <w:bottom w:val="nil"/>
            </w:tcBorders>
          </w:tcPr>
          <w:p w:rsidR="00000000" w:rsidRDefault="009C1C61">
            <w:pPr>
              <w:pStyle w:val="a2"/>
              <w:ind w:right="113"/>
              <w:jc w:val="right"/>
              <w:rPr>
                <w:noProof/>
                <w:sz w:val="20"/>
              </w:rPr>
            </w:pPr>
            <w:r>
              <w:rPr>
                <w:noProof/>
                <w:sz w:val="20"/>
              </w:rPr>
              <w:t>451</w:t>
            </w:r>
          </w:p>
        </w:tc>
        <w:tc>
          <w:tcPr>
            <w:tcW w:w="893" w:type="dxa"/>
            <w:tcBorders>
              <w:top w:val="nil"/>
              <w:bottom w:val="nil"/>
            </w:tcBorders>
          </w:tcPr>
          <w:p w:rsidR="00000000" w:rsidRDefault="009C1C61">
            <w:pPr>
              <w:pStyle w:val="a2"/>
              <w:ind w:right="113"/>
              <w:jc w:val="right"/>
              <w:rPr>
                <w:noProof/>
                <w:sz w:val="20"/>
              </w:rPr>
            </w:pPr>
            <w:r>
              <w:rPr>
                <w:noProof/>
                <w:sz w:val="20"/>
              </w:rPr>
              <w:t>652</w:t>
            </w:r>
          </w:p>
        </w:tc>
        <w:tc>
          <w:tcPr>
            <w:tcW w:w="893" w:type="dxa"/>
            <w:tcBorders>
              <w:top w:val="nil"/>
              <w:bottom w:val="nil"/>
            </w:tcBorders>
          </w:tcPr>
          <w:p w:rsidR="00000000" w:rsidRDefault="009C1C61">
            <w:pPr>
              <w:pStyle w:val="a2"/>
              <w:ind w:right="113"/>
              <w:jc w:val="right"/>
              <w:rPr>
                <w:noProof/>
                <w:sz w:val="20"/>
              </w:rPr>
            </w:pPr>
            <w:r>
              <w:rPr>
                <w:noProof/>
                <w:sz w:val="20"/>
              </w:rPr>
              <w:t>186</w:t>
            </w:r>
          </w:p>
        </w:tc>
        <w:tc>
          <w:tcPr>
            <w:tcW w:w="893" w:type="dxa"/>
            <w:tcBorders>
              <w:top w:val="nil"/>
              <w:bottom w:val="nil"/>
            </w:tcBorders>
          </w:tcPr>
          <w:p w:rsidR="00000000" w:rsidRDefault="009C1C61">
            <w:pPr>
              <w:pStyle w:val="a2"/>
              <w:ind w:right="113"/>
              <w:jc w:val="right"/>
              <w:rPr>
                <w:noProof/>
                <w:sz w:val="20"/>
              </w:rPr>
            </w:pPr>
            <w:r>
              <w:rPr>
                <w:noProof/>
                <w:sz w:val="20"/>
              </w:rPr>
              <w:t>1,234</w:t>
            </w:r>
          </w:p>
        </w:tc>
        <w:tc>
          <w:tcPr>
            <w:tcW w:w="893" w:type="dxa"/>
            <w:tcBorders>
              <w:top w:val="nil"/>
              <w:bottom w:val="nil"/>
            </w:tcBorders>
          </w:tcPr>
          <w:p w:rsidR="00000000" w:rsidRDefault="009C1C61">
            <w:pPr>
              <w:pStyle w:val="a2"/>
              <w:ind w:right="113"/>
              <w:jc w:val="right"/>
              <w:rPr>
                <w:noProof/>
                <w:sz w:val="20"/>
              </w:rPr>
            </w:pPr>
            <w:r>
              <w:rPr>
                <w:noProof/>
                <w:sz w:val="20"/>
              </w:rPr>
              <w:t>610</w:t>
            </w:r>
          </w:p>
        </w:tc>
        <w:tc>
          <w:tcPr>
            <w:tcW w:w="893" w:type="dxa"/>
            <w:tcBorders>
              <w:top w:val="nil"/>
              <w:bottom w:val="nil"/>
            </w:tcBorders>
          </w:tcPr>
          <w:p w:rsidR="00000000" w:rsidRDefault="009C1C61">
            <w:pPr>
              <w:pStyle w:val="a2"/>
              <w:ind w:right="113"/>
              <w:jc w:val="right"/>
              <w:rPr>
                <w:noProof/>
                <w:sz w:val="20"/>
              </w:rPr>
            </w:pPr>
            <w:r>
              <w:rPr>
                <w:noProof/>
                <w:sz w:val="20"/>
              </w:rPr>
              <w:t>1,021</w:t>
            </w:r>
          </w:p>
        </w:tc>
        <w:tc>
          <w:tcPr>
            <w:tcW w:w="893" w:type="dxa"/>
            <w:tcBorders>
              <w:top w:val="nil"/>
              <w:bottom w:val="nil"/>
            </w:tcBorders>
          </w:tcPr>
          <w:p w:rsidR="00000000" w:rsidRDefault="009C1C61">
            <w:pPr>
              <w:pStyle w:val="a2"/>
              <w:ind w:right="113"/>
              <w:jc w:val="right"/>
              <w:rPr>
                <w:noProof/>
                <w:sz w:val="20"/>
              </w:rPr>
            </w:pPr>
            <w:r>
              <w:rPr>
                <w:noProof/>
                <w:sz w:val="20"/>
              </w:rPr>
              <w:t>1,150</w:t>
            </w:r>
          </w:p>
        </w:tc>
        <w:tc>
          <w:tcPr>
            <w:tcW w:w="893" w:type="dxa"/>
            <w:tcBorders>
              <w:top w:val="nil"/>
              <w:bottom w:val="nil"/>
            </w:tcBorders>
          </w:tcPr>
          <w:p w:rsidR="00000000" w:rsidRDefault="009C1C61">
            <w:pPr>
              <w:pStyle w:val="a2"/>
              <w:ind w:right="113"/>
              <w:jc w:val="right"/>
              <w:rPr>
                <w:noProof/>
                <w:sz w:val="20"/>
              </w:rPr>
            </w:pPr>
            <w:r>
              <w:rPr>
                <w:noProof/>
                <w:sz w:val="20"/>
              </w:rPr>
              <w:t>8,780</w:t>
            </w:r>
          </w:p>
        </w:tc>
      </w:tr>
      <w:tr w:rsidR="00000000">
        <w:tblPrEx>
          <w:tblCellMar>
            <w:top w:w="0" w:type="dxa"/>
            <w:bottom w:w="0" w:type="dxa"/>
          </w:tblCellMar>
        </w:tblPrEx>
        <w:trPr>
          <w:jc w:val="center"/>
        </w:trPr>
        <w:tc>
          <w:tcPr>
            <w:tcW w:w="1547" w:type="dxa"/>
            <w:tcBorders>
              <w:top w:val="nil"/>
              <w:bottom w:val="nil"/>
            </w:tcBorders>
          </w:tcPr>
          <w:p w:rsidR="00000000" w:rsidRDefault="009C1C61">
            <w:pPr>
              <w:pStyle w:val="a2"/>
              <w:ind w:left="57" w:right="57"/>
              <w:jc w:val="left"/>
              <w:rPr>
                <w:noProof/>
                <w:sz w:val="20"/>
              </w:rPr>
            </w:pPr>
            <w:r>
              <w:rPr>
                <w:rFonts w:hint="eastAsia"/>
                <w:snapToGrid/>
                <w:sz w:val="20"/>
              </w:rPr>
              <w:t>比奥－比奥</w:t>
            </w:r>
          </w:p>
        </w:tc>
        <w:tc>
          <w:tcPr>
            <w:tcW w:w="893" w:type="dxa"/>
            <w:tcBorders>
              <w:top w:val="nil"/>
              <w:bottom w:val="nil"/>
            </w:tcBorders>
          </w:tcPr>
          <w:p w:rsidR="00000000" w:rsidRDefault="009C1C61">
            <w:pPr>
              <w:pStyle w:val="a2"/>
              <w:ind w:right="113"/>
              <w:jc w:val="right"/>
              <w:rPr>
                <w:noProof/>
                <w:sz w:val="20"/>
              </w:rPr>
            </w:pPr>
            <w:r>
              <w:rPr>
                <w:noProof/>
                <w:sz w:val="20"/>
              </w:rPr>
              <w:t>4,462</w:t>
            </w:r>
          </w:p>
        </w:tc>
        <w:tc>
          <w:tcPr>
            <w:tcW w:w="893" w:type="dxa"/>
            <w:tcBorders>
              <w:top w:val="nil"/>
              <w:bottom w:val="nil"/>
            </w:tcBorders>
          </w:tcPr>
          <w:p w:rsidR="00000000" w:rsidRDefault="009C1C61">
            <w:pPr>
              <w:pStyle w:val="a2"/>
              <w:ind w:right="113"/>
              <w:jc w:val="right"/>
              <w:rPr>
                <w:noProof/>
                <w:sz w:val="20"/>
              </w:rPr>
            </w:pPr>
            <w:r>
              <w:rPr>
                <w:noProof/>
                <w:sz w:val="20"/>
              </w:rPr>
              <w:t>561</w:t>
            </w:r>
          </w:p>
        </w:tc>
        <w:tc>
          <w:tcPr>
            <w:tcW w:w="893" w:type="dxa"/>
            <w:tcBorders>
              <w:top w:val="nil"/>
              <w:bottom w:val="nil"/>
            </w:tcBorders>
          </w:tcPr>
          <w:p w:rsidR="00000000" w:rsidRDefault="009C1C61">
            <w:pPr>
              <w:pStyle w:val="a2"/>
              <w:ind w:right="113"/>
              <w:jc w:val="right"/>
              <w:rPr>
                <w:noProof/>
                <w:sz w:val="20"/>
              </w:rPr>
            </w:pPr>
            <w:r>
              <w:rPr>
                <w:noProof/>
                <w:sz w:val="20"/>
              </w:rPr>
              <w:t>786</w:t>
            </w:r>
          </w:p>
        </w:tc>
        <w:tc>
          <w:tcPr>
            <w:tcW w:w="893" w:type="dxa"/>
            <w:tcBorders>
              <w:top w:val="nil"/>
              <w:bottom w:val="nil"/>
            </w:tcBorders>
          </w:tcPr>
          <w:p w:rsidR="00000000" w:rsidRDefault="009C1C61">
            <w:pPr>
              <w:pStyle w:val="a2"/>
              <w:ind w:right="113"/>
              <w:jc w:val="right"/>
              <w:rPr>
                <w:noProof/>
                <w:sz w:val="20"/>
              </w:rPr>
            </w:pPr>
            <w:r>
              <w:rPr>
                <w:noProof/>
                <w:sz w:val="20"/>
              </w:rPr>
              <w:t>224</w:t>
            </w:r>
          </w:p>
        </w:tc>
        <w:tc>
          <w:tcPr>
            <w:tcW w:w="893" w:type="dxa"/>
            <w:tcBorders>
              <w:top w:val="nil"/>
              <w:bottom w:val="nil"/>
            </w:tcBorders>
          </w:tcPr>
          <w:p w:rsidR="00000000" w:rsidRDefault="009C1C61">
            <w:pPr>
              <w:pStyle w:val="a2"/>
              <w:ind w:right="113"/>
              <w:jc w:val="right"/>
              <w:rPr>
                <w:noProof/>
                <w:sz w:val="20"/>
              </w:rPr>
            </w:pPr>
            <w:r>
              <w:rPr>
                <w:noProof/>
                <w:sz w:val="20"/>
              </w:rPr>
              <w:t>1,004</w:t>
            </w:r>
          </w:p>
        </w:tc>
        <w:tc>
          <w:tcPr>
            <w:tcW w:w="893" w:type="dxa"/>
            <w:tcBorders>
              <w:top w:val="nil"/>
              <w:bottom w:val="nil"/>
            </w:tcBorders>
          </w:tcPr>
          <w:p w:rsidR="00000000" w:rsidRDefault="009C1C61">
            <w:pPr>
              <w:pStyle w:val="a2"/>
              <w:ind w:right="113"/>
              <w:jc w:val="right"/>
              <w:rPr>
                <w:noProof/>
                <w:sz w:val="20"/>
              </w:rPr>
            </w:pPr>
            <w:r>
              <w:rPr>
                <w:noProof/>
                <w:sz w:val="20"/>
              </w:rPr>
              <w:t>940</w:t>
            </w:r>
          </w:p>
        </w:tc>
        <w:tc>
          <w:tcPr>
            <w:tcW w:w="893" w:type="dxa"/>
            <w:tcBorders>
              <w:top w:val="nil"/>
              <w:bottom w:val="nil"/>
            </w:tcBorders>
          </w:tcPr>
          <w:p w:rsidR="00000000" w:rsidRDefault="009C1C61">
            <w:pPr>
              <w:pStyle w:val="a2"/>
              <w:ind w:right="113"/>
              <w:jc w:val="right"/>
              <w:rPr>
                <w:noProof/>
                <w:sz w:val="20"/>
              </w:rPr>
            </w:pPr>
            <w:r>
              <w:rPr>
                <w:noProof/>
                <w:sz w:val="20"/>
              </w:rPr>
              <w:t>875</w:t>
            </w:r>
          </w:p>
        </w:tc>
        <w:tc>
          <w:tcPr>
            <w:tcW w:w="893" w:type="dxa"/>
            <w:tcBorders>
              <w:top w:val="nil"/>
              <w:bottom w:val="nil"/>
            </w:tcBorders>
          </w:tcPr>
          <w:p w:rsidR="00000000" w:rsidRDefault="009C1C61">
            <w:pPr>
              <w:pStyle w:val="a2"/>
              <w:ind w:right="113"/>
              <w:jc w:val="right"/>
              <w:rPr>
                <w:noProof/>
                <w:sz w:val="20"/>
              </w:rPr>
            </w:pPr>
            <w:r>
              <w:rPr>
                <w:noProof/>
                <w:sz w:val="20"/>
              </w:rPr>
              <w:t>1,024</w:t>
            </w:r>
          </w:p>
        </w:tc>
        <w:tc>
          <w:tcPr>
            <w:tcW w:w="893" w:type="dxa"/>
            <w:tcBorders>
              <w:top w:val="nil"/>
              <w:bottom w:val="nil"/>
            </w:tcBorders>
          </w:tcPr>
          <w:p w:rsidR="00000000" w:rsidRDefault="009C1C61">
            <w:pPr>
              <w:pStyle w:val="a2"/>
              <w:ind w:right="113"/>
              <w:jc w:val="right"/>
              <w:rPr>
                <w:noProof/>
                <w:sz w:val="20"/>
              </w:rPr>
            </w:pPr>
            <w:r>
              <w:rPr>
                <w:noProof/>
                <w:sz w:val="20"/>
              </w:rPr>
              <w:t>9,876</w:t>
            </w:r>
          </w:p>
        </w:tc>
      </w:tr>
      <w:tr w:rsidR="00000000">
        <w:tblPrEx>
          <w:tblCellMar>
            <w:top w:w="0" w:type="dxa"/>
            <w:bottom w:w="0" w:type="dxa"/>
          </w:tblCellMar>
        </w:tblPrEx>
        <w:trPr>
          <w:jc w:val="center"/>
        </w:trPr>
        <w:tc>
          <w:tcPr>
            <w:tcW w:w="1547" w:type="dxa"/>
            <w:tcBorders>
              <w:top w:val="nil"/>
              <w:bottom w:val="nil"/>
            </w:tcBorders>
          </w:tcPr>
          <w:p w:rsidR="00000000" w:rsidRDefault="009C1C61">
            <w:pPr>
              <w:pStyle w:val="a2"/>
              <w:ind w:left="57" w:right="57"/>
              <w:jc w:val="left"/>
              <w:rPr>
                <w:noProof/>
                <w:sz w:val="20"/>
              </w:rPr>
            </w:pPr>
            <w:r>
              <w:rPr>
                <w:rFonts w:hint="eastAsia"/>
                <w:snapToGrid/>
                <w:sz w:val="20"/>
              </w:rPr>
              <w:t>大湖地区</w:t>
            </w:r>
          </w:p>
        </w:tc>
        <w:tc>
          <w:tcPr>
            <w:tcW w:w="893" w:type="dxa"/>
            <w:tcBorders>
              <w:top w:val="nil"/>
              <w:bottom w:val="nil"/>
            </w:tcBorders>
          </w:tcPr>
          <w:p w:rsidR="00000000" w:rsidRDefault="009C1C61">
            <w:pPr>
              <w:pStyle w:val="a2"/>
              <w:ind w:right="113"/>
              <w:jc w:val="right"/>
              <w:rPr>
                <w:noProof/>
                <w:sz w:val="20"/>
              </w:rPr>
            </w:pPr>
            <w:r>
              <w:rPr>
                <w:noProof/>
                <w:sz w:val="20"/>
              </w:rPr>
              <w:t>732</w:t>
            </w:r>
          </w:p>
        </w:tc>
        <w:tc>
          <w:tcPr>
            <w:tcW w:w="893" w:type="dxa"/>
            <w:tcBorders>
              <w:top w:val="nil"/>
              <w:bottom w:val="nil"/>
            </w:tcBorders>
          </w:tcPr>
          <w:p w:rsidR="00000000" w:rsidRDefault="009C1C61">
            <w:pPr>
              <w:pStyle w:val="a2"/>
              <w:ind w:right="113"/>
              <w:jc w:val="right"/>
              <w:rPr>
                <w:noProof/>
                <w:sz w:val="20"/>
              </w:rPr>
            </w:pPr>
            <w:r>
              <w:rPr>
                <w:noProof/>
                <w:sz w:val="20"/>
              </w:rPr>
              <w:t>112</w:t>
            </w:r>
          </w:p>
        </w:tc>
        <w:tc>
          <w:tcPr>
            <w:tcW w:w="893" w:type="dxa"/>
            <w:tcBorders>
              <w:top w:val="nil"/>
              <w:bottom w:val="nil"/>
            </w:tcBorders>
          </w:tcPr>
          <w:p w:rsidR="00000000" w:rsidRDefault="009C1C61">
            <w:pPr>
              <w:pStyle w:val="a2"/>
              <w:ind w:right="113"/>
              <w:jc w:val="right"/>
              <w:rPr>
                <w:noProof/>
                <w:sz w:val="20"/>
              </w:rPr>
            </w:pPr>
            <w:r>
              <w:rPr>
                <w:noProof/>
                <w:sz w:val="20"/>
              </w:rPr>
              <w:t>209</w:t>
            </w:r>
          </w:p>
        </w:tc>
        <w:tc>
          <w:tcPr>
            <w:tcW w:w="893" w:type="dxa"/>
            <w:tcBorders>
              <w:top w:val="nil"/>
              <w:bottom w:val="nil"/>
            </w:tcBorders>
          </w:tcPr>
          <w:p w:rsidR="00000000" w:rsidRDefault="009C1C61">
            <w:pPr>
              <w:pStyle w:val="a2"/>
              <w:ind w:right="113"/>
              <w:jc w:val="right"/>
              <w:rPr>
                <w:noProof/>
                <w:sz w:val="20"/>
              </w:rPr>
            </w:pPr>
            <w:r>
              <w:rPr>
                <w:noProof/>
                <w:sz w:val="20"/>
              </w:rPr>
              <w:t>62</w:t>
            </w:r>
          </w:p>
        </w:tc>
        <w:tc>
          <w:tcPr>
            <w:tcW w:w="893" w:type="dxa"/>
            <w:tcBorders>
              <w:top w:val="nil"/>
              <w:bottom w:val="nil"/>
            </w:tcBorders>
          </w:tcPr>
          <w:p w:rsidR="00000000" w:rsidRDefault="009C1C61">
            <w:pPr>
              <w:pStyle w:val="a2"/>
              <w:ind w:right="113"/>
              <w:jc w:val="right"/>
              <w:rPr>
                <w:noProof/>
                <w:sz w:val="20"/>
              </w:rPr>
            </w:pPr>
            <w:r>
              <w:rPr>
                <w:noProof/>
                <w:sz w:val="20"/>
              </w:rPr>
              <w:t>308</w:t>
            </w:r>
          </w:p>
        </w:tc>
        <w:tc>
          <w:tcPr>
            <w:tcW w:w="893" w:type="dxa"/>
            <w:tcBorders>
              <w:top w:val="nil"/>
              <w:bottom w:val="nil"/>
            </w:tcBorders>
          </w:tcPr>
          <w:p w:rsidR="00000000" w:rsidRDefault="009C1C61">
            <w:pPr>
              <w:pStyle w:val="a2"/>
              <w:ind w:right="113"/>
              <w:jc w:val="right"/>
              <w:rPr>
                <w:noProof/>
                <w:sz w:val="20"/>
              </w:rPr>
            </w:pPr>
            <w:r>
              <w:rPr>
                <w:noProof/>
                <w:sz w:val="20"/>
              </w:rPr>
              <w:t>18</w:t>
            </w:r>
          </w:p>
        </w:tc>
        <w:tc>
          <w:tcPr>
            <w:tcW w:w="893" w:type="dxa"/>
            <w:tcBorders>
              <w:top w:val="nil"/>
              <w:bottom w:val="nil"/>
            </w:tcBorders>
          </w:tcPr>
          <w:p w:rsidR="00000000" w:rsidRDefault="009C1C61">
            <w:pPr>
              <w:pStyle w:val="a2"/>
              <w:ind w:right="113"/>
              <w:jc w:val="right"/>
              <w:rPr>
                <w:noProof/>
                <w:sz w:val="20"/>
              </w:rPr>
            </w:pPr>
            <w:r>
              <w:rPr>
                <w:noProof/>
                <w:sz w:val="20"/>
              </w:rPr>
              <w:t>213</w:t>
            </w:r>
          </w:p>
        </w:tc>
        <w:tc>
          <w:tcPr>
            <w:tcW w:w="893" w:type="dxa"/>
            <w:tcBorders>
              <w:top w:val="nil"/>
              <w:bottom w:val="nil"/>
            </w:tcBorders>
          </w:tcPr>
          <w:p w:rsidR="00000000" w:rsidRDefault="009C1C61">
            <w:pPr>
              <w:pStyle w:val="a2"/>
              <w:ind w:right="113"/>
              <w:jc w:val="right"/>
              <w:rPr>
                <w:noProof/>
                <w:sz w:val="20"/>
              </w:rPr>
            </w:pPr>
            <w:r>
              <w:rPr>
                <w:noProof/>
                <w:sz w:val="20"/>
              </w:rPr>
              <w:t>322</w:t>
            </w:r>
          </w:p>
        </w:tc>
        <w:tc>
          <w:tcPr>
            <w:tcW w:w="893" w:type="dxa"/>
            <w:tcBorders>
              <w:top w:val="nil"/>
              <w:bottom w:val="nil"/>
            </w:tcBorders>
          </w:tcPr>
          <w:p w:rsidR="00000000" w:rsidRDefault="009C1C61">
            <w:pPr>
              <w:pStyle w:val="a2"/>
              <w:ind w:right="113"/>
              <w:jc w:val="right"/>
              <w:rPr>
                <w:noProof/>
                <w:sz w:val="20"/>
              </w:rPr>
            </w:pPr>
            <w:r>
              <w:rPr>
                <w:noProof/>
                <w:sz w:val="20"/>
              </w:rPr>
              <w:t>1,976</w:t>
            </w:r>
          </w:p>
        </w:tc>
      </w:tr>
      <w:tr w:rsidR="00000000">
        <w:tblPrEx>
          <w:tblCellMar>
            <w:top w:w="0" w:type="dxa"/>
            <w:bottom w:w="0" w:type="dxa"/>
          </w:tblCellMar>
        </w:tblPrEx>
        <w:trPr>
          <w:jc w:val="center"/>
        </w:trPr>
        <w:tc>
          <w:tcPr>
            <w:tcW w:w="1547" w:type="dxa"/>
            <w:tcBorders>
              <w:top w:val="nil"/>
              <w:bottom w:val="nil"/>
            </w:tcBorders>
          </w:tcPr>
          <w:p w:rsidR="00000000" w:rsidRDefault="009C1C61">
            <w:pPr>
              <w:pStyle w:val="a2"/>
              <w:ind w:left="57" w:right="57"/>
              <w:jc w:val="left"/>
              <w:rPr>
                <w:noProof/>
                <w:sz w:val="20"/>
              </w:rPr>
            </w:pPr>
            <w:r>
              <w:rPr>
                <w:rFonts w:hint="eastAsia"/>
                <w:snapToGrid/>
                <w:sz w:val="20"/>
              </w:rPr>
              <w:t>大都会地区</w:t>
            </w:r>
          </w:p>
        </w:tc>
        <w:tc>
          <w:tcPr>
            <w:tcW w:w="893" w:type="dxa"/>
            <w:tcBorders>
              <w:top w:val="nil"/>
              <w:bottom w:val="nil"/>
            </w:tcBorders>
          </w:tcPr>
          <w:p w:rsidR="00000000" w:rsidRDefault="009C1C61">
            <w:pPr>
              <w:pStyle w:val="a2"/>
              <w:ind w:right="113"/>
              <w:jc w:val="right"/>
              <w:rPr>
                <w:noProof/>
                <w:sz w:val="20"/>
              </w:rPr>
            </w:pPr>
            <w:r>
              <w:rPr>
                <w:noProof/>
                <w:sz w:val="20"/>
              </w:rPr>
              <w:t>12,698</w:t>
            </w:r>
          </w:p>
        </w:tc>
        <w:tc>
          <w:tcPr>
            <w:tcW w:w="893" w:type="dxa"/>
            <w:tcBorders>
              <w:top w:val="nil"/>
              <w:bottom w:val="nil"/>
            </w:tcBorders>
          </w:tcPr>
          <w:p w:rsidR="00000000" w:rsidRDefault="009C1C61">
            <w:pPr>
              <w:pStyle w:val="a2"/>
              <w:ind w:right="113"/>
              <w:jc w:val="right"/>
              <w:rPr>
                <w:noProof/>
                <w:sz w:val="20"/>
              </w:rPr>
            </w:pPr>
            <w:r>
              <w:rPr>
                <w:noProof/>
                <w:sz w:val="20"/>
              </w:rPr>
              <w:t>3,292</w:t>
            </w:r>
          </w:p>
        </w:tc>
        <w:tc>
          <w:tcPr>
            <w:tcW w:w="893" w:type="dxa"/>
            <w:tcBorders>
              <w:top w:val="nil"/>
              <w:bottom w:val="nil"/>
            </w:tcBorders>
          </w:tcPr>
          <w:p w:rsidR="00000000" w:rsidRDefault="009C1C61">
            <w:pPr>
              <w:pStyle w:val="a2"/>
              <w:ind w:right="113"/>
              <w:jc w:val="right"/>
              <w:rPr>
                <w:noProof/>
                <w:sz w:val="20"/>
              </w:rPr>
            </w:pPr>
            <w:r>
              <w:rPr>
                <w:noProof/>
                <w:sz w:val="20"/>
              </w:rPr>
              <w:t>3,077</w:t>
            </w:r>
          </w:p>
        </w:tc>
        <w:tc>
          <w:tcPr>
            <w:tcW w:w="893" w:type="dxa"/>
            <w:tcBorders>
              <w:top w:val="nil"/>
              <w:bottom w:val="nil"/>
            </w:tcBorders>
          </w:tcPr>
          <w:p w:rsidR="00000000" w:rsidRDefault="009C1C61">
            <w:pPr>
              <w:pStyle w:val="a2"/>
              <w:ind w:right="113"/>
              <w:jc w:val="right"/>
              <w:rPr>
                <w:noProof/>
                <w:sz w:val="20"/>
              </w:rPr>
            </w:pPr>
            <w:r>
              <w:rPr>
                <w:noProof/>
                <w:sz w:val="20"/>
              </w:rPr>
              <w:t>367</w:t>
            </w:r>
          </w:p>
        </w:tc>
        <w:tc>
          <w:tcPr>
            <w:tcW w:w="893" w:type="dxa"/>
            <w:tcBorders>
              <w:top w:val="nil"/>
              <w:bottom w:val="nil"/>
            </w:tcBorders>
          </w:tcPr>
          <w:p w:rsidR="00000000" w:rsidRDefault="009C1C61">
            <w:pPr>
              <w:pStyle w:val="a2"/>
              <w:ind w:right="113"/>
              <w:jc w:val="right"/>
              <w:rPr>
                <w:noProof/>
                <w:sz w:val="20"/>
              </w:rPr>
            </w:pPr>
            <w:r>
              <w:rPr>
                <w:noProof/>
                <w:sz w:val="20"/>
              </w:rPr>
              <w:t>1,527</w:t>
            </w:r>
          </w:p>
        </w:tc>
        <w:tc>
          <w:tcPr>
            <w:tcW w:w="893" w:type="dxa"/>
            <w:tcBorders>
              <w:top w:val="nil"/>
              <w:bottom w:val="nil"/>
            </w:tcBorders>
          </w:tcPr>
          <w:p w:rsidR="00000000" w:rsidRDefault="009C1C61">
            <w:pPr>
              <w:pStyle w:val="a2"/>
              <w:ind w:right="113"/>
              <w:jc w:val="right"/>
              <w:rPr>
                <w:noProof/>
                <w:sz w:val="20"/>
              </w:rPr>
            </w:pPr>
            <w:r>
              <w:rPr>
                <w:noProof/>
                <w:sz w:val="20"/>
              </w:rPr>
              <w:t>539</w:t>
            </w:r>
          </w:p>
        </w:tc>
        <w:tc>
          <w:tcPr>
            <w:tcW w:w="893" w:type="dxa"/>
            <w:tcBorders>
              <w:top w:val="nil"/>
              <w:bottom w:val="nil"/>
            </w:tcBorders>
          </w:tcPr>
          <w:p w:rsidR="00000000" w:rsidRDefault="009C1C61">
            <w:pPr>
              <w:pStyle w:val="a2"/>
              <w:ind w:right="113"/>
              <w:jc w:val="right"/>
              <w:rPr>
                <w:noProof/>
                <w:sz w:val="20"/>
              </w:rPr>
            </w:pPr>
            <w:r>
              <w:rPr>
                <w:noProof/>
                <w:sz w:val="20"/>
              </w:rPr>
              <w:t>3,126</w:t>
            </w:r>
          </w:p>
        </w:tc>
        <w:tc>
          <w:tcPr>
            <w:tcW w:w="893" w:type="dxa"/>
            <w:tcBorders>
              <w:top w:val="nil"/>
              <w:bottom w:val="nil"/>
            </w:tcBorders>
          </w:tcPr>
          <w:p w:rsidR="00000000" w:rsidRDefault="009C1C61">
            <w:pPr>
              <w:pStyle w:val="a2"/>
              <w:ind w:right="113"/>
              <w:jc w:val="right"/>
              <w:rPr>
                <w:noProof/>
                <w:sz w:val="20"/>
              </w:rPr>
            </w:pPr>
            <w:r>
              <w:rPr>
                <w:noProof/>
                <w:sz w:val="20"/>
              </w:rPr>
              <w:t>2,089</w:t>
            </w:r>
          </w:p>
        </w:tc>
        <w:tc>
          <w:tcPr>
            <w:tcW w:w="893" w:type="dxa"/>
            <w:tcBorders>
              <w:top w:val="nil"/>
              <w:bottom w:val="nil"/>
            </w:tcBorders>
          </w:tcPr>
          <w:p w:rsidR="00000000" w:rsidRDefault="009C1C61">
            <w:pPr>
              <w:pStyle w:val="a2"/>
              <w:ind w:right="113"/>
              <w:jc w:val="right"/>
              <w:rPr>
                <w:noProof/>
                <w:sz w:val="20"/>
              </w:rPr>
            </w:pPr>
            <w:r>
              <w:rPr>
                <w:noProof/>
                <w:sz w:val="20"/>
              </w:rPr>
              <w:t>26,715</w:t>
            </w:r>
          </w:p>
        </w:tc>
      </w:tr>
      <w:tr w:rsidR="00000000">
        <w:tblPrEx>
          <w:tblCellMar>
            <w:top w:w="0" w:type="dxa"/>
            <w:bottom w:w="0" w:type="dxa"/>
          </w:tblCellMar>
        </w:tblPrEx>
        <w:trPr>
          <w:jc w:val="center"/>
        </w:trPr>
        <w:tc>
          <w:tcPr>
            <w:tcW w:w="1547" w:type="dxa"/>
            <w:tcBorders>
              <w:top w:val="nil"/>
              <w:bottom w:val="nil"/>
            </w:tcBorders>
          </w:tcPr>
          <w:p w:rsidR="00000000" w:rsidRDefault="009C1C61">
            <w:pPr>
              <w:pStyle w:val="a2"/>
              <w:ind w:left="57" w:right="57"/>
              <w:jc w:val="left"/>
              <w:rPr>
                <w:noProof/>
                <w:sz w:val="20"/>
              </w:rPr>
            </w:pPr>
            <w:r>
              <w:rPr>
                <w:rFonts w:hint="eastAsia"/>
                <w:snapToGrid/>
                <w:sz w:val="20"/>
              </w:rPr>
              <w:t>共计</w:t>
            </w:r>
            <w:r>
              <w:rPr>
                <w:noProof/>
                <w:sz w:val="20"/>
              </w:rPr>
              <w:t xml:space="preserve"> </w:t>
            </w:r>
          </w:p>
        </w:tc>
        <w:tc>
          <w:tcPr>
            <w:tcW w:w="893" w:type="dxa"/>
            <w:tcBorders>
              <w:top w:val="nil"/>
              <w:bottom w:val="nil"/>
            </w:tcBorders>
          </w:tcPr>
          <w:p w:rsidR="00000000" w:rsidRDefault="009C1C61">
            <w:pPr>
              <w:pStyle w:val="a2"/>
              <w:ind w:right="113"/>
              <w:jc w:val="right"/>
              <w:rPr>
                <w:noProof/>
                <w:sz w:val="20"/>
              </w:rPr>
            </w:pPr>
            <w:r>
              <w:rPr>
                <w:noProof/>
                <w:sz w:val="20"/>
              </w:rPr>
              <w:t>24,514</w:t>
            </w:r>
          </w:p>
        </w:tc>
        <w:tc>
          <w:tcPr>
            <w:tcW w:w="893" w:type="dxa"/>
            <w:tcBorders>
              <w:top w:val="nil"/>
              <w:bottom w:val="nil"/>
            </w:tcBorders>
          </w:tcPr>
          <w:p w:rsidR="00000000" w:rsidRDefault="009C1C61">
            <w:pPr>
              <w:pStyle w:val="a2"/>
              <w:ind w:right="113"/>
              <w:jc w:val="right"/>
              <w:rPr>
                <w:noProof/>
                <w:sz w:val="20"/>
              </w:rPr>
            </w:pPr>
            <w:r>
              <w:rPr>
                <w:noProof/>
                <w:sz w:val="20"/>
              </w:rPr>
              <w:t>5,733</w:t>
            </w:r>
          </w:p>
        </w:tc>
        <w:tc>
          <w:tcPr>
            <w:tcW w:w="893" w:type="dxa"/>
            <w:tcBorders>
              <w:top w:val="nil"/>
              <w:bottom w:val="nil"/>
            </w:tcBorders>
          </w:tcPr>
          <w:p w:rsidR="00000000" w:rsidRDefault="009C1C61">
            <w:pPr>
              <w:pStyle w:val="a2"/>
              <w:ind w:right="113"/>
              <w:jc w:val="right"/>
              <w:rPr>
                <w:noProof/>
                <w:sz w:val="20"/>
              </w:rPr>
            </w:pPr>
            <w:r>
              <w:rPr>
                <w:noProof/>
                <w:sz w:val="20"/>
              </w:rPr>
              <w:t>6,301</w:t>
            </w:r>
          </w:p>
        </w:tc>
        <w:tc>
          <w:tcPr>
            <w:tcW w:w="893" w:type="dxa"/>
            <w:tcBorders>
              <w:top w:val="nil"/>
              <w:bottom w:val="nil"/>
            </w:tcBorders>
          </w:tcPr>
          <w:p w:rsidR="00000000" w:rsidRDefault="009C1C61">
            <w:pPr>
              <w:pStyle w:val="a2"/>
              <w:ind w:right="113"/>
              <w:jc w:val="right"/>
              <w:rPr>
                <w:noProof/>
                <w:sz w:val="20"/>
              </w:rPr>
            </w:pPr>
            <w:r>
              <w:rPr>
                <w:noProof/>
                <w:sz w:val="20"/>
              </w:rPr>
              <w:t>980</w:t>
            </w:r>
          </w:p>
        </w:tc>
        <w:tc>
          <w:tcPr>
            <w:tcW w:w="893" w:type="dxa"/>
            <w:tcBorders>
              <w:top w:val="nil"/>
              <w:bottom w:val="nil"/>
            </w:tcBorders>
          </w:tcPr>
          <w:p w:rsidR="00000000" w:rsidRDefault="009C1C61">
            <w:pPr>
              <w:pStyle w:val="a2"/>
              <w:ind w:right="113"/>
              <w:jc w:val="right"/>
              <w:rPr>
                <w:noProof/>
                <w:sz w:val="20"/>
              </w:rPr>
            </w:pPr>
            <w:r>
              <w:rPr>
                <w:noProof/>
                <w:sz w:val="20"/>
              </w:rPr>
              <w:t>5,320</w:t>
            </w:r>
          </w:p>
        </w:tc>
        <w:tc>
          <w:tcPr>
            <w:tcW w:w="893" w:type="dxa"/>
            <w:tcBorders>
              <w:top w:val="nil"/>
              <w:bottom w:val="nil"/>
            </w:tcBorders>
          </w:tcPr>
          <w:p w:rsidR="00000000" w:rsidRDefault="009C1C61">
            <w:pPr>
              <w:pStyle w:val="a2"/>
              <w:ind w:right="113"/>
              <w:jc w:val="right"/>
              <w:rPr>
                <w:noProof/>
                <w:sz w:val="20"/>
              </w:rPr>
            </w:pPr>
            <w:r>
              <w:rPr>
                <w:noProof/>
                <w:sz w:val="20"/>
              </w:rPr>
              <w:t>2,546</w:t>
            </w:r>
          </w:p>
        </w:tc>
        <w:tc>
          <w:tcPr>
            <w:tcW w:w="893" w:type="dxa"/>
            <w:tcBorders>
              <w:top w:val="nil"/>
              <w:bottom w:val="nil"/>
            </w:tcBorders>
          </w:tcPr>
          <w:p w:rsidR="00000000" w:rsidRDefault="009C1C61">
            <w:pPr>
              <w:pStyle w:val="a2"/>
              <w:ind w:right="113"/>
              <w:jc w:val="right"/>
              <w:rPr>
                <w:noProof/>
                <w:sz w:val="20"/>
              </w:rPr>
            </w:pPr>
            <w:r>
              <w:rPr>
                <w:noProof/>
                <w:sz w:val="20"/>
              </w:rPr>
              <w:t>6,731</w:t>
            </w:r>
          </w:p>
        </w:tc>
        <w:tc>
          <w:tcPr>
            <w:tcW w:w="893" w:type="dxa"/>
            <w:tcBorders>
              <w:top w:val="nil"/>
              <w:bottom w:val="nil"/>
            </w:tcBorders>
          </w:tcPr>
          <w:p w:rsidR="00000000" w:rsidRDefault="009C1C61">
            <w:pPr>
              <w:pStyle w:val="a2"/>
              <w:ind w:right="113"/>
              <w:jc w:val="right"/>
              <w:rPr>
                <w:noProof/>
                <w:sz w:val="20"/>
              </w:rPr>
            </w:pPr>
            <w:r>
              <w:rPr>
                <w:noProof/>
                <w:sz w:val="20"/>
              </w:rPr>
              <w:t>6,104</w:t>
            </w:r>
          </w:p>
        </w:tc>
        <w:tc>
          <w:tcPr>
            <w:tcW w:w="893" w:type="dxa"/>
            <w:tcBorders>
              <w:top w:val="nil"/>
              <w:bottom w:val="nil"/>
            </w:tcBorders>
          </w:tcPr>
          <w:p w:rsidR="00000000" w:rsidRDefault="009C1C61">
            <w:pPr>
              <w:pStyle w:val="a2"/>
              <w:ind w:right="113"/>
              <w:jc w:val="right"/>
              <w:rPr>
                <w:noProof/>
                <w:sz w:val="20"/>
              </w:rPr>
            </w:pPr>
            <w:r>
              <w:rPr>
                <w:noProof/>
                <w:sz w:val="20"/>
              </w:rPr>
              <w:t>58,229</w:t>
            </w:r>
          </w:p>
        </w:tc>
      </w:tr>
      <w:tr w:rsidR="00000000">
        <w:tblPrEx>
          <w:tblCellMar>
            <w:top w:w="0" w:type="dxa"/>
            <w:bottom w:w="0" w:type="dxa"/>
          </w:tblCellMar>
        </w:tblPrEx>
        <w:trPr>
          <w:jc w:val="center"/>
        </w:trPr>
        <w:tc>
          <w:tcPr>
            <w:tcW w:w="1547" w:type="dxa"/>
            <w:tcBorders>
              <w:top w:val="nil"/>
            </w:tcBorders>
          </w:tcPr>
          <w:p w:rsidR="00000000" w:rsidRDefault="009C1C61">
            <w:pPr>
              <w:pStyle w:val="a2"/>
              <w:ind w:left="57" w:right="57"/>
              <w:jc w:val="left"/>
              <w:rPr>
                <w:rFonts w:hint="eastAsia"/>
                <w:noProof/>
                <w:sz w:val="20"/>
              </w:rPr>
            </w:pPr>
            <w:r>
              <w:rPr>
                <w:rFonts w:hint="eastAsia"/>
                <w:snapToGrid/>
                <w:sz w:val="20"/>
              </w:rPr>
              <w:t>百分比</w:t>
            </w:r>
          </w:p>
        </w:tc>
        <w:tc>
          <w:tcPr>
            <w:tcW w:w="893" w:type="dxa"/>
            <w:tcBorders>
              <w:top w:val="nil"/>
            </w:tcBorders>
          </w:tcPr>
          <w:p w:rsidR="00000000" w:rsidRDefault="009C1C61">
            <w:pPr>
              <w:pStyle w:val="a2"/>
              <w:ind w:right="113"/>
              <w:jc w:val="right"/>
              <w:rPr>
                <w:noProof/>
                <w:sz w:val="20"/>
              </w:rPr>
            </w:pPr>
            <w:r>
              <w:rPr>
                <w:noProof/>
                <w:sz w:val="20"/>
              </w:rPr>
              <w:t>42.1</w:t>
            </w:r>
          </w:p>
        </w:tc>
        <w:tc>
          <w:tcPr>
            <w:tcW w:w="893" w:type="dxa"/>
            <w:tcBorders>
              <w:top w:val="nil"/>
            </w:tcBorders>
          </w:tcPr>
          <w:p w:rsidR="00000000" w:rsidRDefault="009C1C61">
            <w:pPr>
              <w:pStyle w:val="a2"/>
              <w:ind w:right="113"/>
              <w:jc w:val="right"/>
              <w:rPr>
                <w:noProof/>
                <w:sz w:val="20"/>
              </w:rPr>
            </w:pPr>
            <w:r>
              <w:rPr>
                <w:noProof/>
                <w:sz w:val="20"/>
              </w:rPr>
              <w:t>9.8</w:t>
            </w:r>
          </w:p>
        </w:tc>
        <w:tc>
          <w:tcPr>
            <w:tcW w:w="893" w:type="dxa"/>
            <w:tcBorders>
              <w:top w:val="nil"/>
            </w:tcBorders>
          </w:tcPr>
          <w:p w:rsidR="00000000" w:rsidRDefault="009C1C61">
            <w:pPr>
              <w:pStyle w:val="a2"/>
              <w:ind w:right="113"/>
              <w:jc w:val="right"/>
              <w:rPr>
                <w:noProof/>
                <w:sz w:val="20"/>
              </w:rPr>
            </w:pPr>
            <w:r>
              <w:rPr>
                <w:noProof/>
                <w:sz w:val="20"/>
              </w:rPr>
              <w:t>10.8</w:t>
            </w:r>
          </w:p>
        </w:tc>
        <w:tc>
          <w:tcPr>
            <w:tcW w:w="893" w:type="dxa"/>
            <w:tcBorders>
              <w:top w:val="nil"/>
            </w:tcBorders>
          </w:tcPr>
          <w:p w:rsidR="00000000" w:rsidRDefault="009C1C61">
            <w:pPr>
              <w:pStyle w:val="a2"/>
              <w:ind w:right="113"/>
              <w:jc w:val="right"/>
              <w:rPr>
                <w:noProof/>
                <w:sz w:val="20"/>
              </w:rPr>
            </w:pPr>
            <w:r>
              <w:rPr>
                <w:noProof/>
                <w:sz w:val="20"/>
              </w:rPr>
              <w:t>1.7</w:t>
            </w:r>
          </w:p>
        </w:tc>
        <w:tc>
          <w:tcPr>
            <w:tcW w:w="893" w:type="dxa"/>
            <w:tcBorders>
              <w:top w:val="nil"/>
            </w:tcBorders>
          </w:tcPr>
          <w:p w:rsidR="00000000" w:rsidRDefault="009C1C61">
            <w:pPr>
              <w:pStyle w:val="a2"/>
              <w:ind w:right="113"/>
              <w:jc w:val="right"/>
              <w:rPr>
                <w:noProof/>
                <w:sz w:val="20"/>
              </w:rPr>
            </w:pPr>
            <w:r>
              <w:rPr>
                <w:noProof/>
                <w:sz w:val="20"/>
              </w:rPr>
              <w:t>9.1</w:t>
            </w:r>
          </w:p>
        </w:tc>
        <w:tc>
          <w:tcPr>
            <w:tcW w:w="893" w:type="dxa"/>
            <w:tcBorders>
              <w:top w:val="nil"/>
            </w:tcBorders>
          </w:tcPr>
          <w:p w:rsidR="00000000" w:rsidRDefault="009C1C61">
            <w:pPr>
              <w:pStyle w:val="a2"/>
              <w:ind w:right="113"/>
              <w:jc w:val="right"/>
              <w:rPr>
                <w:noProof/>
                <w:sz w:val="20"/>
              </w:rPr>
            </w:pPr>
            <w:r>
              <w:rPr>
                <w:noProof/>
                <w:sz w:val="20"/>
              </w:rPr>
              <w:t>4.4</w:t>
            </w:r>
          </w:p>
        </w:tc>
        <w:tc>
          <w:tcPr>
            <w:tcW w:w="893" w:type="dxa"/>
            <w:tcBorders>
              <w:top w:val="nil"/>
            </w:tcBorders>
          </w:tcPr>
          <w:p w:rsidR="00000000" w:rsidRDefault="009C1C61">
            <w:pPr>
              <w:pStyle w:val="a2"/>
              <w:ind w:right="113"/>
              <w:jc w:val="right"/>
              <w:rPr>
                <w:noProof/>
                <w:sz w:val="20"/>
              </w:rPr>
            </w:pPr>
            <w:r>
              <w:rPr>
                <w:noProof/>
                <w:sz w:val="20"/>
              </w:rPr>
              <w:t>1</w:t>
            </w:r>
            <w:r>
              <w:rPr>
                <w:noProof/>
                <w:sz w:val="20"/>
              </w:rPr>
              <w:t>1.6</w:t>
            </w:r>
          </w:p>
        </w:tc>
        <w:tc>
          <w:tcPr>
            <w:tcW w:w="893" w:type="dxa"/>
            <w:tcBorders>
              <w:top w:val="nil"/>
            </w:tcBorders>
          </w:tcPr>
          <w:p w:rsidR="00000000" w:rsidRDefault="009C1C61">
            <w:pPr>
              <w:pStyle w:val="a2"/>
              <w:ind w:right="113"/>
              <w:jc w:val="right"/>
              <w:rPr>
                <w:noProof/>
                <w:sz w:val="20"/>
              </w:rPr>
            </w:pPr>
            <w:r>
              <w:rPr>
                <w:noProof/>
                <w:sz w:val="20"/>
              </w:rPr>
              <w:t>10.5</w:t>
            </w:r>
          </w:p>
        </w:tc>
        <w:tc>
          <w:tcPr>
            <w:tcW w:w="893" w:type="dxa"/>
            <w:tcBorders>
              <w:top w:val="nil"/>
            </w:tcBorders>
          </w:tcPr>
          <w:p w:rsidR="00000000" w:rsidRDefault="009C1C61">
            <w:pPr>
              <w:pStyle w:val="a2"/>
              <w:ind w:right="113"/>
              <w:jc w:val="right"/>
              <w:rPr>
                <w:noProof/>
                <w:sz w:val="20"/>
              </w:rPr>
            </w:pPr>
          </w:p>
        </w:tc>
      </w:tr>
    </w:tbl>
    <w:p w:rsidR="00000000" w:rsidRDefault="009C1C61">
      <w:pPr>
        <w:pStyle w:val="EndnoteText"/>
        <w:spacing w:before="160" w:after="320"/>
      </w:pPr>
      <w:r>
        <w:rPr>
          <w:rFonts w:hint="eastAsia"/>
          <w:u w:val="single"/>
        </w:rPr>
        <w:t>资料来源</w:t>
      </w:r>
      <w:r>
        <w:rPr>
          <w:rFonts w:hint="eastAsia"/>
        </w:rPr>
        <w:t>：司法部</w:t>
      </w:r>
    </w:p>
    <w:p w:rsidR="00000000" w:rsidRDefault="009C1C61">
      <w:pPr>
        <w:spacing w:after="320"/>
        <w:rPr>
          <w:snapToGrid/>
        </w:rPr>
      </w:pPr>
      <w:r>
        <w:rPr>
          <w:rFonts w:hint="eastAsia"/>
          <w:snapToGrid/>
        </w:rPr>
        <w:tab/>
      </w:r>
      <w:r>
        <w:rPr>
          <w:snapToGrid/>
        </w:rPr>
        <w:t>484.</w:t>
      </w:r>
      <w:r>
        <w:rPr>
          <w:rFonts w:hint="eastAsia"/>
          <w:snapToGrid/>
        </w:rPr>
        <w:t xml:space="preserve">  </w:t>
      </w:r>
      <w:r>
        <w:rPr>
          <w:rFonts w:hint="eastAsia"/>
          <w:snapToGrid/>
        </w:rPr>
        <w:t>许多法律咨询涉及到家庭法</w:t>
      </w:r>
      <w:r>
        <w:rPr>
          <w:rFonts w:hint="eastAsia"/>
          <w:snapToGrid/>
        </w:rPr>
        <w:t>(</w:t>
      </w:r>
      <w:r>
        <w:rPr>
          <w:rFonts w:hint="eastAsia"/>
          <w:snapToGrid/>
        </w:rPr>
        <w:t>见表</w:t>
      </w:r>
      <w:r>
        <w:rPr>
          <w:snapToGrid/>
        </w:rPr>
        <w:t>15</w:t>
      </w:r>
      <w:r>
        <w:rPr>
          <w:rFonts w:hint="eastAsia"/>
          <w:snapToGrid/>
        </w:rPr>
        <w:t>)</w:t>
      </w:r>
      <w:r>
        <w:rPr>
          <w:rFonts w:hint="eastAsia"/>
          <w:snapToGrid/>
        </w:rPr>
        <w:t>、食物、看护权、探访规则、亲子认定及家庭暴力问题的某个方面。也提供涉及家庭的其他问题的咨询，例如住房方案、有关享受社会福利的指导以及有关遗产继承权的资讯。</w:t>
      </w:r>
    </w:p>
    <w:p w:rsidR="00000000" w:rsidRDefault="009C1C61">
      <w:pPr>
        <w:pStyle w:val="Heading4"/>
        <w:rPr>
          <w:rFonts w:ascii="Time New Roman" w:eastAsia="SimHei" w:hAnsi="Time New Roman"/>
          <w:u w:val="none"/>
        </w:rPr>
      </w:pPr>
      <w:r>
        <w:rPr>
          <w:rFonts w:ascii="Time New Roman" w:eastAsia="SimHei" w:hAnsi="Time New Roman" w:hint="eastAsia"/>
          <w:u w:val="none"/>
        </w:rPr>
        <w:t>智利狱政局</w:t>
      </w:r>
      <w:r>
        <w:rPr>
          <w:rFonts w:ascii="Time New Roman" w:eastAsia="SimHei" w:hAnsi="Time New Roman" w:hint="eastAsia"/>
          <w:u w:val="none"/>
        </w:rPr>
        <w:t>(</w:t>
      </w:r>
      <w:r>
        <w:rPr>
          <w:rFonts w:ascii="Time New Roman" w:eastAsia="SimHei" w:hAnsi="Time New Roman" w:hint="eastAsia"/>
          <w:u w:val="none"/>
        </w:rPr>
        <w:t>监狱部门</w:t>
      </w:r>
      <w:r>
        <w:rPr>
          <w:rFonts w:ascii="Time New Roman" w:eastAsia="SimHei" w:hAnsi="Time New Roman" w:hint="eastAsia"/>
          <w:u w:val="none"/>
        </w:rPr>
        <w:t>)</w:t>
      </w:r>
      <w:r>
        <w:rPr>
          <w:rFonts w:ascii="Time New Roman" w:eastAsia="SimHei" w:hAnsi="Time New Roman" w:hint="eastAsia"/>
          <w:u w:val="none"/>
        </w:rPr>
        <w:t>的“了解你的孩子”方案</w:t>
      </w:r>
    </w:p>
    <w:p w:rsidR="00000000" w:rsidRDefault="009C1C61">
      <w:pPr>
        <w:rPr>
          <w:snapToGrid/>
        </w:rPr>
      </w:pPr>
      <w:r>
        <w:rPr>
          <w:rFonts w:hint="eastAsia"/>
          <w:snapToGrid/>
        </w:rPr>
        <w:tab/>
      </w:r>
      <w:r>
        <w:rPr>
          <w:snapToGrid/>
        </w:rPr>
        <w:t>485.</w:t>
      </w:r>
      <w:r>
        <w:rPr>
          <w:rFonts w:hint="eastAsia"/>
          <w:snapToGrid/>
        </w:rPr>
        <w:t xml:space="preserve">  </w:t>
      </w:r>
      <w:r>
        <w:rPr>
          <w:rFonts w:hint="eastAsia"/>
          <w:snapToGrid/>
        </w:rPr>
        <w:t>根据教育部和司法部</w:t>
      </w:r>
      <w:r>
        <w:rPr>
          <w:snapToGrid/>
        </w:rPr>
        <w:t>1997</w:t>
      </w:r>
      <w:r>
        <w:rPr>
          <w:rFonts w:hint="eastAsia"/>
          <w:snapToGrid/>
        </w:rPr>
        <w:t>年达成的一项协议规定，为被关押在由智利狱政局管理的监狱里的母亲发起一项称为</w:t>
      </w:r>
      <w:r>
        <w:rPr>
          <w:rFonts w:ascii="Time New Roman" w:eastAsia="SimHei" w:hAnsi="Time New Roman" w:hint="eastAsia"/>
        </w:rPr>
        <w:t>“</w:t>
      </w:r>
      <w:r>
        <w:rPr>
          <w:rFonts w:hint="eastAsia"/>
          <w:snapToGrid/>
        </w:rPr>
        <w:t>了解你的孩子</w:t>
      </w:r>
      <w:r>
        <w:rPr>
          <w:rFonts w:ascii="Time New Roman" w:eastAsia="SimHei" w:hAnsi="Time New Roman" w:hint="eastAsia"/>
        </w:rPr>
        <w:t>”</w:t>
      </w:r>
      <w:r>
        <w:rPr>
          <w:rFonts w:hint="eastAsia"/>
          <w:snapToGrid/>
        </w:rPr>
        <w:t>的方案。其目标是要帮助改善母亲被关押的学龄前儿童的身心和社会成长，并通过各项活动加强家庭内</w:t>
      </w:r>
      <w:r>
        <w:rPr>
          <w:rFonts w:hint="eastAsia"/>
          <w:snapToGrid/>
        </w:rPr>
        <w:t>部的关系，在这过程中，父母可以获得帮助其发挥父母作用的指示、价值观念以及行为方式。其目标是要加强母亲、父亲与子女之间的联系</w:t>
      </w:r>
      <w:r>
        <w:rPr>
          <w:rFonts w:hint="eastAsia"/>
          <w:snapToGrid/>
        </w:rPr>
        <w:t>(</w:t>
      </w:r>
      <w:r>
        <w:rPr>
          <w:rFonts w:hint="eastAsia"/>
          <w:snapToGrid/>
        </w:rPr>
        <w:t>无论父母双方是否均被剥夺自由</w:t>
      </w:r>
      <w:r>
        <w:rPr>
          <w:rFonts w:hint="eastAsia"/>
          <w:snapToGrid/>
        </w:rPr>
        <w:t>)</w:t>
      </w:r>
      <w:r>
        <w:rPr>
          <w:rFonts w:hint="eastAsia"/>
          <w:snapToGrid/>
        </w:rPr>
        <w:t>，以此使双方都帮助孩子成长，并帮助在父母的感情发展。</w:t>
      </w:r>
    </w:p>
    <w:p w:rsidR="00000000" w:rsidRDefault="009C1C61">
      <w:pPr>
        <w:rPr>
          <w:snapToGrid/>
        </w:rPr>
      </w:pPr>
      <w:r>
        <w:rPr>
          <w:rFonts w:hint="eastAsia"/>
          <w:snapToGrid/>
        </w:rPr>
        <w:tab/>
      </w:r>
      <w:r>
        <w:rPr>
          <w:snapToGrid/>
        </w:rPr>
        <w:t>486.</w:t>
      </w:r>
      <w:r>
        <w:rPr>
          <w:rFonts w:hint="eastAsia"/>
          <w:snapToGrid/>
        </w:rPr>
        <w:t xml:space="preserve">  </w:t>
      </w:r>
      <w:r>
        <w:rPr>
          <w:rFonts w:hint="eastAsia"/>
          <w:snapToGrid/>
        </w:rPr>
        <w:t>这项方案开始是作为女性监牢里的试点项目发起的。方案发起之后的几年里，参加方案的人数增加很多，因为囚徒为寻求真正的重新回归社会，对于家庭这样重要的问题都有兴趣，而对孩子的问题兴趣更大。对于受监禁的妇女，其子女在帮助其真正承诺洗心革面重新做人方面具有强大的动力。</w:t>
      </w:r>
    </w:p>
    <w:p w:rsidR="00000000" w:rsidRDefault="009C1C61">
      <w:pPr>
        <w:rPr>
          <w:snapToGrid/>
        </w:rPr>
      </w:pPr>
      <w:r>
        <w:rPr>
          <w:rFonts w:hint="eastAsia"/>
          <w:snapToGrid/>
        </w:rPr>
        <w:tab/>
      </w:r>
      <w:r>
        <w:rPr>
          <w:snapToGrid/>
        </w:rPr>
        <w:t>487.</w:t>
      </w:r>
      <w:r>
        <w:rPr>
          <w:rFonts w:hint="eastAsia"/>
          <w:snapToGrid/>
        </w:rPr>
        <w:t xml:space="preserve">  </w:t>
      </w:r>
      <w:r>
        <w:rPr>
          <w:snapToGrid/>
        </w:rPr>
        <w:t>1999</w:t>
      </w:r>
      <w:r>
        <w:rPr>
          <w:rFonts w:hint="eastAsia"/>
          <w:snapToGrid/>
        </w:rPr>
        <w:t>年，这一</w:t>
      </w:r>
      <w:r>
        <w:rPr>
          <w:rFonts w:hint="eastAsia"/>
          <w:snapToGrid/>
        </w:rPr>
        <w:t>项目也将被监禁的父亲包括进来。监狱断定每一个案中囚徒的行为方面，特别是其与子女的关系方面都产生了积极的效果。所使用的方法是积极的、参与性的，要求父母积极地参与孩子的学习过程。方案使用各种好玩的有意思的方式，鼓励父母参与各项活动，以便向其提供表达其感情和想法的机会，例如采用游戏、模拟和扮演的方式，而参与者通过动手和玩耍来学习。这些讲习班的形式是教育性会议，通过对每一个人的教育经历及孩子的社会能力进行集体思考，提供个人和集体学习的机会，并解决家庭问题。</w:t>
      </w:r>
    </w:p>
    <w:p w:rsidR="00000000" w:rsidRDefault="009C1C61">
      <w:pPr>
        <w:spacing w:after="320"/>
        <w:rPr>
          <w:snapToGrid/>
        </w:rPr>
      </w:pPr>
      <w:r>
        <w:rPr>
          <w:rFonts w:hint="eastAsia"/>
          <w:snapToGrid/>
        </w:rPr>
        <w:tab/>
      </w:r>
      <w:r>
        <w:rPr>
          <w:snapToGrid/>
        </w:rPr>
        <w:t>488.</w:t>
      </w:r>
      <w:r>
        <w:rPr>
          <w:rFonts w:hint="eastAsia"/>
          <w:snapToGrid/>
        </w:rPr>
        <w:t xml:space="preserve">  </w:t>
      </w:r>
      <w:r>
        <w:rPr>
          <w:rFonts w:hint="eastAsia"/>
          <w:snapToGrid/>
        </w:rPr>
        <w:t>这项方案目前在我国的十个地区开展</w:t>
      </w:r>
      <w:r>
        <w:rPr>
          <w:rFonts w:hint="eastAsia"/>
          <w:snapToGrid/>
        </w:rPr>
        <w:t>(</w:t>
      </w:r>
      <w:r>
        <w:rPr>
          <w:rFonts w:hint="eastAsia"/>
          <w:snapToGrid/>
        </w:rPr>
        <w:t>第一、二、</w:t>
      </w:r>
      <w:r>
        <w:rPr>
          <w:rFonts w:hint="eastAsia"/>
          <w:snapToGrid/>
        </w:rPr>
        <w:t>四、五、六、七、八、九和大都会地区</w:t>
      </w:r>
      <w:r>
        <w:rPr>
          <w:rFonts w:hint="eastAsia"/>
          <w:snapToGrid/>
        </w:rPr>
        <w:t>)</w:t>
      </w:r>
      <w:r>
        <w:rPr>
          <w:rFonts w:hint="eastAsia"/>
          <w:snapToGrid/>
        </w:rPr>
        <w:t>。</w:t>
      </w:r>
      <w:r>
        <w:rPr>
          <w:snapToGrid/>
        </w:rPr>
        <w:t>1998</w:t>
      </w:r>
      <w:r>
        <w:rPr>
          <w:rFonts w:hint="eastAsia"/>
          <w:snapToGrid/>
        </w:rPr>
        <w:t>年，这项方案在</w:t>
      </w:r>
      <w:r>
        <w:rPr>
          <w:snapToGrid/>
        </w:rPr>
        <w:t>12</w:t>
      </w:r>
      <w:r>
        <w:rPr>
          <w:rFonts w:hint="eastAsia"/>
          <w:snapToGrid/>
        </w:rPr>
        <w:t>个监狱里开展，有</w:t>
      </w:r>
      <w:r>
        <w:rPr>
          <w:snapToGrid/>
        </w:rPr>
        <w:t>168</w:t>
      </w:r>
      <w:r>
        <w:rPr>
          <w:rFonts w:hint="eastAsia"/>
          <w:snapToGrid/>
        </w:rPr>
        <w:t>名妇女参加；</w:t>
      </w:r>
      <w:r>
        <w:rPr>
          <w:snapToGrid/>
        </w:rPr>
        <w:t>1999</w:t>
      </w:r>
      <w:r>
        <w:rPr>
          <w:rFonts w:hint="eastAsia"/>
          <w:snapToGrid/>
        </w:rPr>
        <w:t>年，方案在</w:t>
      </w:r>
      <w:r>
        <w:rPr>
          <w:snapToGrid/>
        </w:rPr>
        <w:t>14</w:t>
      </w:r>
      <w:r>
        <w:rPr>
          <w:rFonts w:hint="eastAsia"/>
          <w:snapToGrid/>
        </w:rPr>
        <w:t>个监狱里开展，有</w:t>
      </w:r>
      <w:r>
        <w:rPr>
          <w:snapToGrid/>
        </w:rPr>
        <w:t>235</w:t>
      </w:r>
      <w:r>
        <w:rPr>
          <w:rFonts w:hint="eastAsia"/>
          <w:snapToGrid/>
        </w:rPr>
        <w:t>名男女参加者；</w:t>
      </w:r>
      <w:r>
        <w:rPr>
          <w:snapToGrid/>
        </w:rPr>
        <w:t>2000</w:t>
      </w:r>
      <w:r>
        <w:rPr>
          <w:rFonts w:hint="eastAsia"/>
          <w:snapToGrid/>
        </w:rPr>
        <w:t>年，方案扩展到</w:t>
      </w:r>
      <w:r>
        <w:rPr>
          <w:snapToGrid/>
        </w:rPr>
        <w:t>16</w:t>
      </w:r>
      <w:r>
        <w:rPr>
          <w:rFonts w:hint="eastAsia"/>
          <w:snapToGrid/>
        </w:rPr>
        <w:t>个监狱，总共有</w:t>
      </w:r>
      <w:r>
        <w:rPr>
          <w:snapToGrid/>
        </w:rPr>
        <w:t>333</w:t>
      </w:r>
      <w:r>
        <w:rPr>
          <w:rFonts w:hint="eastAsia"/>
          <w:snapToGrid/>
        </w:rPr>
        <w:t>名男女参加者。</w:t>
      </w:r>
    </w:p>
    <w:p w:rsidR="00000000" w:rsidRDefault="009C1C61">
      <w:pPr>
        <w:pStyle w:val="Heading4"/>
        <w:rPr>
          <w:rFonts w:ascii="Time New Roman" w:eastAsia="SimHei" w:hAnsi="Time New Roman"/>
          <w:u w:val="none"/>
        </w:rPr>
      </w:pPr>
      <w:r>
        <w:rPr>
          <w:rFonts w:ascii="Time New Roman" w:eastAsia="SimHei" w:hAnsi="Time New Roman" w:hint="eastAsia"/>
          <w:u w:val="none"/>
        </w:rPr>
        <w:t>法律措施</w:t>
      </w:r>
    </w:p>
    <w:p w:rsidR="00000000" w:rsidRDefault="009C1C61">
      <w:pPr>
        <w:spacing w:after="320"/>
        <w:rPr>
          <w:snapToGrid/>
        </w:rPr>
      </w:pPr>
      <w:r>
        <w:rPr>
          <w:rFonts w:hint="eastAsia"/>
          <w:snapToGrid/>
        </w:rPr>
        <w:tab/>
      </w:r>
      <w:r>
        <w:rPr>
          <w:snapToGrid/>
        </w:rPr>
        <w:t>489.</w:t>
      </w:r>
      <w:r>
        <w:rPr>
          <w:rFonts w:hint="eastAsia"/>
          <w:snapToGrid/>
        </w:rPr>
        <w:t xml:space="preserve">  </w:t>
      </w:r>
      <w:r>
        <w:rPr>
          <w:rFonts w:hint="eastAsia"/>
          <w:snapToGrid/>
        </w:rPr>
        <w:t>除了上面几段所提到的法律改革之外，下列措施也影响到《公约》第十条所庄严规定的各项权利。</w:t>
      </w:r>
    </w:p>
    <w:p w:rsidR="00000000" w:rsidRDefault="009C1C61">
      <w:pPr>
        <w:pStyle w:val="Heading4"/>
        <w:rPr>
          <w:rFonts w:ascii="Time New Roman" w:eastAsia="SimHei" w:hAnsi="Time New Roman"/>
          <w:u w:val="none"/>
        </w:rPr>
      </w:pPr>
      <w:r>
        <w:rPr>
          <w:rFonts w:ascii="Time New Roman" w:eastAsia="SimHei" w:hAnsi="Time New Roman" w:hint="eastAsia"/>
          <w:u w:val="none"/>
        </w:rPr>
        <w:t>保护儿童不遭受任何形式的身心伤害或凌辱、忽视、疏慢、虐待和性剥削的各项措施</w:t>
      </w:r>
    </w:p>
    <w:p w:rsidR="00000000" w:rsidRDefault="009C1C61">
      <w:pPr>
        <w:rPr>
          <w:snapToGrid/>
        </w:rPr>
      </w:pPr>
      <w:r>
        <w:rPr>
          <w:rFonts w:hint="eastAsia"/>
          <w:snapToGrid/>
        </w:rPr>
        <w:tab/>
      </w:r>
      <w:r>
        <w:rPr>
          <w:snapToGrid/>
        </w:rPr>
        <w:t>490.</w:t>
      </w:r>
      <w:r>
        <w:rPr>
          <w:rFonts w:hint="eastAsia"/>
          <w:snapToGrid/>
        </w:rPr>
        <w:t xml:space="preserve">  </w:t>
      </w:r>
      <w:r>
        <w:rPr>
          <w:rFonts w:hint="eastAsia"/>
          <w:snapToGrid/>
        </w:rPr>
        <w:t>自</w:t>
      </w:r>
      <w:r>
        <w:rPr>
          <w:snapToGrid/>
        </w:rPr>
        <w:t>1994</w:t>
      </w:r>
      <w:r>
        <w:rPr>
          <w:rFonts w:hint="eastAsia"/>
          <w:snapToGrid/>
        </w:rPr>
        <w:t>年起，通过了一系列法律，惩治对儿童的所有形式的虐待、家庭暴力和对儿童的性剥削。这些</w:t>
      </w:r>
      <w:r>
        <w:rPr>
          <w:rFonts w:hint="eastAsia"/>
          <w:snapToGrid/>
        </w:rPr>
        <w:t>法律旨在认真努力地遵循国际上有关防止和惩处对妇女的暴力、虐待、凌辱和在性方面剥削儿童的行为的各项规则。</w:t>
      </w:r>
      <w:r>
        <w:rPr>
          <w:rStyle w:val="FootnoteReference"/>
          <w:snapToGrid/>
        </w:rPr>
        <w:footnoteReference w:id="232"/>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儿童不被非法转移和阻止回归的权利</w:t>
      </w:r>
      <w:r>
        <w:rPr>
          <w:rFonts w:ascii="Time New Roman" w:eastAsia="SimHei" w:hAnsi="Time New Roman"/>
          <w:u w:val="none"/>
        </w:rPr>
        <w:br/>
      </w:r>
      <w:r>
        <w:rPr>
          <w:rFonts w:ascii="Time New Roman" w:eastAsia="SimHei" w:hAnsi="Time New Roman" w:hint="eastAsia"/>
          <w:u w:val="none"/>
        </w:rPr>
        <w:t>《国际儿童拐骗事件的民事问题公约》</w:t>
      </w:r>
    </w:p>
    <w:p w:rsidR="00000000" w:rsidRDefault="009C1C61">
      <w:pPr>
        <w:spacing w:after="320"/>
        <w:rPr>
          <w:b/>
          <w:bCs/>
          <w:snapToGrid/>
        </w:rPr>
      </w:pPr>
      <w:r>
        <w:rPr>
          <w:rFonts w:hint="eastAsia"/>
          <w:snapToGrid/>
        </w:rPr>
        <w:tab/>
      </w:r>
      <w:r>
        <w:rPr>
          <w:snapToGrid/>
        </w:rPr>
        <w:t>491.</w:t>
      </w:r>
      <w:r>
        <w:rPr>
          <w:rFonts w:hint="eastAsia"/>
          <w:snapToGrid/>
        </w:rPr>
        <w:t xml:space="preserve">  </w:t>
      </w:r>
      <w:r>
        <w:rPr>
          <w:rFonts w:hint="eastAsia"/>
          <w:snapToGrid/>
        </w:rPr>
        <w:t>《儿童权利公约》第</w:t>
      </w:r>
      <w:r>
        <w:rPr>
          <w:snapToGrid/>
        </w:rPr>
        <w:t>11</w:t>
      </w:r>
      <w:r>
        <w:rPr>
          <w:rFonts w:hint="eastAsia"/>
          <w:snapToGrid/>
        </w:rPr>
        <w:t>条规定各缔约国有义务采取措施，必须采取措施，制止将儿童非法转交并阻止其回归的行为。为此，缔约国应促进双边或多边协议的缔结，或加入现有的条约。根据这项承诺，《国际儿童拐骗事件的民事问题公约》于</w:t>
      </w:r>
      <w:r>
        <w:rPr>
          <w:snapToGrid/>
        </w:rPr>
        <w:t>1994</w:t>
      </w:r>
      <w:r>
        <w:rPr>
          <w:rFonts w:hint="eastAsia"/>
          <w:snapToGrid/>
        </w:rPr>
        <w:t>年</w:t>
      </w:r>
      <w:r>
        <w:rPr>
          <w:snapToGrid/>
        </w:rPr>
        <w:t>6</w:t>
      </w:r>
      <w:r>
        <w:rPr>
          <w:rFonts w:hint="eastAsia"/>
          <w:snapToGrid/>
        </w:rPr>
        <w:t>月</w:t>
      </w:r>
      <w:r>
        <w:rPr>
          <w:snapToGrid/>
        </w:rPr>
        <w:t>17</w:t>
      </w:r>
      <w:r>
        <w:rPr>
          <w:rFonts w:hint="eastAsia"/>
          <w:snapToGrid/>
        </w:rPr>
        <w:t>日生效。这项公约在海牙国际私法会议第</w:t>
      </w:r>
      <w:r>
        <w:rPr>
          <w:snapToGrid/>
        </w:rPr>
        <w:t>14</w:t>
      </w:r>
      <w:r>
        <w:rPr>
          <w:rFonts w:hint="eastAsia"/>
          <w:snapToGrid/>
        </w:rPr>
        <w:t>届会议上批准，其目标是要使被不当脱离家庭或扣留的儿童</w:t>
      </w:r>
      <w:r>
        <w:rPr>
          <w:rFonts w:hint="eastAsia"/>
          <w:snapToGrid/>
        </w:rPr>
        <w:t>得以及时回归，并保证切实尊重监护和探望权。司法部最高法院发布一项中命令，指示如何运用和解释这项文书中所载的程序，而最高法院于</w:t>
      </w:r>
      <w:r>
        <w:rPr>
          <w:snapToGrid/>
        </w:rPr>
        <w:t>1998</w:t>
      </w:r>
      <w:r>
        <w:rPr>
          <w:rFonts w:hint="eastAsia"/>
          <w:snapToGrid/>
        </w:rPr>
        <w:t>年</w:t>
      </w:r>
      <w:r>
        <w:rPr>
          <w:snapToGrid/>
        </w:rPr>
        <w:t>11</w:t>
      </w:r>
      <w:r>
        <w:rPr>
          <w:rFonts w:hint="eastAsia"/>
          <w:snapToGrid/>
        </w:rPr>
        <w:t>月</w:t>
      </w:r>
      <w:r>
        <w:rPr>
          <w:snapToGrid/>
        </w:rPr>
        <w:t>3</w:t>
      </w:r>
      <w:r>
        <w:rPr>
          <w:rFonts w:hint="eastAsia"/>
          <w:snapToGrid/>
        </w:rPr>
        <w:t>日适当地采取的这一行动。</w:t>
      </w:r>
    </w:p>
    <w:p w:rsidR="00000000" w:rsidRDefault="009C1C61">
      <w:pPr>
        <w:pStyle w:val="Heading4"/>
        <w:rPr>
          <w:rFonts w:ascii="Time New Roman" w:eastAsia="SimHei" w:hAnsi="Time New Roman"/>
          <w:u w:val="none"/>
        </w:rPr>
      </w:pPr>
      <w:r>
        <w:rPr>
          <w:rFonts w:ascii="Time New Roman" w:eastAsia="SimHei" w:hAnsi="Time New Roman" w:hint="eastAsia"/>
          <w:u w:val="none"/>
        </w:rPr>
        <w:t>身心残疾儿童过上完整生活并积极参与社会的权利</w:t>
      </w:r>
    </w:p>
    <w:p w:rsidR="00000000" w:rsidRDefault="009C1C61">
      <w:pPr>
        <w:spacing w:after="320"/>
        <w:rPr>
          <w:snapToGrid/>
        </w:rPr>
      </w:pPr>
      <w:r>
        <w:rPr>
          <w:rFonts w:hint="eastAsia"/>
          <w:snapToGrid/>
        </w:rPr>
        <w:tab/>
      </w:r>
      <w:r>
        <w:rPr>
          <w:snapToGrid/>
        </w:rPr>
        <w:t>492.</w:t>
      </w:r>
      <w:r>
        <w:rPr>
          <w:rFonts w:hint="eastAsia"/>
          <w:snapToGrid/>
        </w:rPr>
        <w:t xml:space="preserve">  </w:t>
      </w:r>
      <w:r>
        <w:rPr>
          <w:rFonts w:hint="eastAsia"/>
          <w:snapToGrid/>
        </w:rPr>
        <w:t>从</w:t>
      </w:r>
      <w:r>
        <w:rPr>
          <w:snapToGrid/>
        </w:rPr>
        <w:t>1994</w:t>
      </w:r>
      <w:r>
        <w:rPr>
          <w:rFonts w:hint="eastAsia"/>
          <w:snapToGrid/>
        </w:rPr>
        <w:t>年起，陆续推出了以下方面的立法：残疾人充分融入社会；对残疾的界定和诊断；预防、康复和均等机会；全国残疾注册制度，其中包括程序和处罚；新的国家残疾基金会，这一国家机构的目标是向造福残疾人的计划、方案和项目提供全部或部分资金。</w:t>
      </w:r>
      <w:r>
        <w:rPr>
          <w:rStyle w:val="FootnoteReference"/>
          <w:snapToGrid/>
        </w:rPr>
        <w:footnoteReference w:id="233"/>
      </w:r>
    </w:p>
    <w:p w:rsidR="00000000" w:rsidRDefault="009C1C61">
      <w:pPr>
        <w:pStyle w:val="Heading4"/>
        <w:rPr>
          <w:rFonts w:ascii="Time New Roman" w:eastAsia="SimHei" w:hAnsi="Time New Roman"/>
          <w:u w:val="none"/>
        </w:rPr>
      </w:pPr>
      <w:r>
        <w:rPr>
          <w:rFonts w:ascii="Time New Roman" w:eastAsia="SimHei" w:hAnsi="Time New Roman" w:hint="eastAsia"/>
          <w:u w:val="none"/>
        </w:rPr>
        <w:t>国家承认土著民族群体的存在以及这些群体适用自己的</w:t>
      </w:r>
      <w:r>
        <w:rPr>
          <w:rFonts w:ascii="Time New Roman" w:eastAsia="SimHei" w:hAnsi="Time New Roman" w:hint="eastAsia"/>
          <w:u w:val="none"/>
        </w:rPr>
        <w:t>法律，拥有自己的文化生活、宗教和语言的权利</w:t>
      </w:r>
    </w:p>
    <w:p w:rsidR="00000000" w:rsidRDefault="009C1C61">
      <w:pPr>
        <w:rPr>
          <w:snapToGrid/>
        </w:rPr>
      </w:pPr>
      <w:r>
        <w:rPr>
          <w:rFonts w:hint="eastAsia"/>
          <w:snapToGrid/>
        </w:rPr>
        <w:tab/>
      </w:r>
      <w:r>
        <w:rPr>
          <w:snapToGrid/>
        </w:rPr>
        <w:t>493.</w:t>
      </w:r>
      <w:r>
        <w:rPr>
          <w:rFonts w:hint="eastAsia"/>
          <w:snapToGrid/>
        </w:rPr>
        <w:t xml:space="preserve">  </w:t>
      </w:r>
      <w:r>
        <w:rPr>
          <w:snapToGrid/>
        </w:rPr>
        <w:t>1993</w:t>
      </w:r>
      <w:r>
        <w:rPr>
          <w:rFonts w:hint="eastAsia"/>
          <w:snapToGrid/>
        </w:rPr>
        <w:t>年，《土著法》承认生活在我国的土著民族群体的存在，并特地针对国家也针对一般社会规定了必须尊重、促进和保护土著文化及支持土著发展与福利的义务。对土著权利的承认也导致了对少数民族儿童权利的承认，即承认他们有权享用自己的文化，表达并在行动上遵从自己的宗教，并使用自己的语言。这些权利均在《儿童权利公约》第</w:t>
      </w:r>
      <w:r>
        <w:rPr>
          <w:snapToGrid/>
        </w:rPr>
        <w:t>13</w:t>
      </w:r>
      <w:r>
        <w:rPr>
          <w:rFonts w:hint="eastAsia"/>
          <w:snapToGrid/>
        </w:rPr>
        <w:t>条中有明文规定。</w:t>
      </w:r>
      <w:r>
        <w:rPr>
          <w:rStyle w:val="FootnoteReference"/>
          <w:snapToGrid/>
        </w:rPr>
        <w:footnoteReference w:id="234"/>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保护儿童不致非法使用麻醉药品和精神药物、并防止利用儿童非法生产并贩运这类物质的措施</w:t>
      </w:r>
    </w:p>
    <w:p w:rsidR="00000000" w:rsidRDefault="009C1C61">
      <w:pPr>
        <w:spacing w:after="320"/>
        <w:rPr>
          <w:snapToGrid/>
        </w:rPr>
      </w:pPr>
      <w:r>
        <w:rPr>
          <w:rFonts w:hint="eastAsia"/>
          <w:snapToGrid/>
        </w:rPr>
        <w:tab/>
      </w:r>
      <w:r>
        <w:rPr>
          <w:snapToGrid/>
        </w:rPr>
        <w:t>494.</w:t>
      </w:r>
      <w:r>
        <w:rPr>
          <w:rFonts w:hint="eastAsia"/>
          <w:snapToGrid/>
        </w:rPr>
        <w:t xml:space="preserve">  </w:t>
      </w:r>
      <w:r>
        <w:rPr>
          <w:rFonts w:hint="eastAsia"/>
          <w:snapToGrid/>
        </w:rPr>
        <w:t>最近新颁布的一些法律通过修</w:t>
      </w:r>
      <w:r>
        <w:rPr>
          <w:rFonts w:hint="eastAsia"/>
          <w:snapToGrid/>
        </w:rPr>
        <w:t>正以前的法律来惩处非法贩运麻醉药品和精神药物的行为。</w:t>
      </w:r>
      <w:r>
        <w:rPr>
          <w:rStyle w:val="FootnoteReference"/>
          <w:snapToGrid/>
          <w:szCs w:val="24"/>
        </w:rPr>
        <w:footnoteReference w:id="235"/>
      </w:r>
      <w:r>
        <w:rPr>
          <w:rFonts w:hint="eastAsia"/>
          <w:snapToGrid/>
          <w:szCs w:val="24"/>
        </w:rPr>
        <w:t xml:space="preserve"> </w:t>
      </w:r>
      <w:r>
        <w:rPr>
          <w:rFonts w:hint="eastAsia"/>
          <w:snapToGrid/>
        </w:rPr>
        <w:t>对</w:t>
      </w:r>
      <w:r>
        <w:rPr>
          <w:snapToGrid/>
        </w:rPr>
        <w:t>18</w:t>
      </w:r>
      <w:r>
        <w:rPr>
          <w:rFonts w:hint="eastAsia"/>
          <w:snapToGrid/>
        </w:rPr>
        <w:t>岁以下的年轻人作了特别的规定。年龄在</w:t>
      </w:r>
      <w:r>
        <w:rPr>
          <w:snapToGrid/>
        </w:rPr>
        <w:t>18</w:t>
      </w:r>
      <w:r>
        <w:rPr>
          <w:rFonts w:hint="eastAsia"/>
          <w:snapToGrid/>
        </w:rPr>
        <w:t>岁以下、</w:t>
      </w:r>
      <w:r>
        <w:rPr>
          <w:snapToGrid/>
        </w:rPr>
        <w:t>16</w:t>
      </w:r>
      <w:r>
        <w:rPr>
          <w:rFonts w:hint="eastAsia"/>
          <w:snapToGrid/>
        </w:rPr>
        <w:t>岁以上的少年犯须移送少年法院，法院不必申明该少年犯是否知情犯下这一行为，便可以在判决中规定犯人有责任接受预防使用毒品的课程，并参与公益活动。但是，法院依法必须要求进行医务检查，并在某些特定的情况下命令青少年接受医生建议的任何治疗，同时作出必要的安排。</w:t>
      </w:r>
    </w:p>
    <w:p w:rsidR="00000000" w:rsidRDefault="009C1C61">
      <w:pPr>
        <w:pStyle w:val="Heading4"/>
        <w:rPr>
          <w:rFonts w:ascii="Time New Roman" w:eastAsia="SimHei" w:hAnsi="Time New Roman"/>
          <w:u w:val="none"/>
        </w:rPr>
      </w:pPr>
      <w:r>
        <w:rPr>
          <w:rFonts w:ascii="Time New Roman" w:eastAsia="SimHei" w:hAnsi="Time New Roman" w:hint="eastAsia"/>
          <w:u w:val="none"/>
        </w:rPr>
        <w:t>《刑事诉讼法》及《刑事法》有关拘禁和保护公民权利的修正案</w:t>
      </w:r>
      <w:r>
        <w:rPr>
          <w:rFonts w:ascii="Time New Roman" w:eastAsia="SimHei" w:hAnsi="Time New Roman" w:hint="eastAsia"/>
          <w:u w:val="none"/>
        </w:rPr>
        <w:t xml:space="preserve"> </w:t>
      </w:r>
      <w:r>
        <w:rPr>
          <w:rStyle w:val="FootnoteReference"/>
          <w:u w:val="none"/>
        </w:rPr>
        <w:footnoteReference w:id="236"/>
      </w:r>
    </w:p>
    <w:p w:rsidR="00000000" w:rsidRDefault="009C1C61">
      <w:pPr>
        <w:spacing w:after="320"/>
        <w:rPr>
          <w:snapToGrid/>
        </w:rPr>
      </w:pPr>
      <w:r>
        <w:rPr>
          <w:rFonts w:hint="eastAsia"/>
          <w:snapToGrid/>
        </w:rPr>
        <w:tab/>
      </w:r>
      <w:r>
        <w:rPr>
          <w:snapToGrid/>
        </w:rPr>
        <w:t>495.</w:t>
      </w:r>
      <w:r>
        <w:rPr>
          <w:rFonts w:hint="eastAsia"/>
          <w:snapToGrid/>
        </w:rPr>
        <w:t xml:space="preserve">  </w:t>
      </w:r>
      <w:r>
        <w:rPr>
          <w:rFonts w:hint="eastAsia"/>
          <w:snapToGrid/>
        </w:rPr>
        <w:t>通过这些修正案目的是为了防止警察实行所谓“涉嫌拘捕”，即根据相</w:t>
      </w:r>
      <w:r>
        <w:rPr>
          <w:rFonts w:ascii="Time New Roman" w:eastAsia="SimHei" w:hAnsi="Time New Roman" w:hint="eastAsia"/>
          <w:szCs w:val="24"/>
        </w:rPr>
        <w:t>“</w:t>
      </w:r>
      <w:r>
        <w:rPr>
          <w:rFonts w:hint="eastAsia"/>
          <w:snapToGrid/>
        </w:rPr>
        <w:t>貌或衣</w:t>
      </w:r>
      <w:r>
        <w:rPr>
          <w:rFonts w:hint="eastAsia"/>
          <w:snapToGrid/>
        </w:rPr>
        <w:t>着</w:t>
      </w:r>
      <w:r>
        <w:rPr>
          <w:rFonts w:ascii="Time New Roman" w:eastAsia="SimHei" w:hAnsi="Time New Roman" w:hint="eastAsia"/>
          <w:szCs w:val="24"/>
        </w:rPr>
        <w:t>”</w:t>
      </w:r>
      <w:r>
        <w:rPr>
          <w:rFonts w:hint="eastAsia"/>
          <w:snapToGrid/>
        </w:rPr>
        <w:t>来逮捕任何青少年。新的法律取消了这种权利。今天，警察可以从一系列由法律确定的案情来确认犯人，这些案情包括：在犯罪过程中被当场逮捕的犯人、逃避刑法但已被定罪的犯人、越狱在逃的犯人、隐瞒身份或拒绝说明自己身份的人。修正案并规定负责监禁犯人的政府官员有责任确认，被逮捕的每一个人都必须了解其被拘捕的原因及其依法规定的权利。</w:t>
      </w:r>
    </w:p>
    <w:p w:rsidR="00000000" w:rsidRDefault="009C1C61">
      <w:pPr>
        <w:pStyle w:val="Heading4"/>
        <w:rPr>
          <w:rFonts w:ascii="Time New Roman" w:eastAsia="SimHei" w:hAnsi="Time New Roman"/>
          <w:u w:val="none"/>
        </w:rPr>
      </w:pPr>
      <w:r>
        <w:rPr>
          <w:rFonts w:ascii="Time New Roman" w:eastAsia="SimHei" w:hAnsi="Time New Roman" w:hint="eastAsia"/>
          <w:u w:val="none"/>
        </w:rPr>
        <w:t>尊重对基本自由的充分承认以及对被剥夺自由的儿童所作的保障</w:t>
      </w:r>
    </w:p>
    <w:p w:rsidR="00000000" w:rsidRDefault="009C1C61">
      <w:pPr>
        <w:rPr>
          <w:snapToGrid/>
        </w:rPr>
      </w:pPr>
      <w:r>
        <w:rPr>
          <w:rFonts w:hint="eastAsia"/>
          <w:snapToGrid/>
        </w:rPr>
        <w:tab/>
      </w:r>
      <w:r>
        <w:rPr>
          <w:snapToGrid/>
        </w:rPr>
        <w:t>496.</w:t>
      </w:r>
      <w:r>
        <w:rPr>
          <w:rFonts w:hint="eastAsia"/>
          <w:snapToGrid/>
        </w:rPr>
        <w:t xml:space="preserve">  </w:t>
      </w:r>
      <w:r>
        <w:rPr>
          <w:rFonts w:hint="eastAsia"/>
          <w:snapToGrid/>
        </w:rPr>
        <w:t>智利政府的一项优先承诺的工作是要对有关儿童的法律、尤其是对少年犯的法律作全面彻底的改革。在这方面，已经决定采取以下措施</w:t>
      </w:r>
      <w:r>
        <w:rPr>
          <w:rFonts w:hint="eastAsia"/>
          <w:snapToGrid/>
        </w:rPr>
        <w:t>：</w:t>
      </w:r>
    </w:p>
    <w:p w:rsidR="00000000" w:rsidRDefault="009C1C61">
      <w:pPr>
        <w:numPr>
          <w:ilvl w:val="0"/>
          <w:numId w:val="291"/>
        </w:numPr>
        <w:rPr>
          <w:snapToGrid/>
        </w:rPr>
      </w:pPr>
      <w:r>
        <w:rPr>
          <w:rFonts w:hint="eastAsia"/>
          <w:snapToGrid/>
        </w:rPr>
        <w:t>在国家和区域一级设立一个工作组，以便保证所有的儿童与青少年离开成年人的监禁场所；</w:t>
      </w:r>
      <w:r>
        <w:rPr>
          <w:rStyle w:val="FootnoteReference"/>
          <w:snapToGrid/>
        </w:rPr>
        <w:footnoteReference w:id="237"/>
      </w:r>
    </w:p>
    <w:p w:rsidR="00000000" w:rsidRDefault="009C1C61">
      <w:pPr>
        <w:numPr>
          <w:ilvl w:val="0"/>
          <w:numId w:val="291"/>
        </w:numPr>
        <w:rPr>
          <w:snapToGrid/>
        </w:rPr>
      </w:pPr>
      <w:r>
        <w:rPr>
          <w:rFonts w:hint="eastAsia"/>
          <w:snapToGrid/>
        </w:rPr>
        <w:t>建立工作委员会，其责任是要提出如何使少年儿童全部离开成年人监狱的建议，以便提交给其工作直接涉及少年儿童、尤其是少年犯的机构。这些委员会是跨部门的，计划不定期地运作，其主要目标是：“向直接处理非常规状况、并被剥夺自由的未成年人的政府当局提出具体建议，以便避免未成年人被关押在成年人的监禁场所”。</w:t>
      </w:r>
      <w:r>
        <w:rPr>
          <w:rStyle w:val="FootnoteReference"/>
          <w:snapToGrid/>
        </w:rPr>
        <w:footnoteReference w:id="238"/>
      </w:r>
    </w:p>
    <w:p w:rsidR="00000000" w:rsidRDefault="009C1C61">
      <w:pPr>
        <w:numPr>
          <w:ilvl w:val="0"/>
          <w:numId w:val="291"/>
        </w:numPr>
        <w:rPr>
          <w:snapToGrid/>
        </w:rPr>
      </w:pPr>
      <w:r>
        <w:rPr>
          <w:rFonts w:hint="eastAsia"/>
          <w:snapToGrid/>
        </w:rPr>
        <w:t>防止不能受指控的未成年人被关押在监狱。据此，</w:t>
      </w:r>
      <w:r>
        <w:rPr>
          <w:snapToGrid/>
        </w:rPr>
        <w:t>1928</w:t>
      </w:r>
      <w:r>
        <w:rPr>
          <w:rFonts w:hint="eastAsia"/>
          <w:snapToGrid/>
        </w:rPr>
        <w:t>年</w:t>
      </w:r>
      <w:r>
        <w:rPr>
          <w:snapToGrid/>
        </w:rPr>
        <w:t>12</w:t>
      </w:r>
      <w:r>
        <w:rPr>
          <w:rFonts w:hint="eastAsia"/>
          <w:snapToGrid/>
        </w:rPr>
        <w:t>月</w:t>
      </w:r>
      <w:r>
        <w:rPr>
          <w:snapToGrid/>
        </w:rPr>
        <w:t>4</w:t>
      </w:r>
      <w:r>
        <w:rPr>
          <w:rFonts w:hint="eastAsia"/>
          <w:snapToGrid/>
        </w:rPr>
        <w:t>日第</w:t>
      </w:r>
      <w:r>
        <w:rPr>
          <w:snapToGrid/>
        </w:rPr>
        <w:t>2531</w:t>
      </w:r>
      <w:r>
        <w:rPr>
          <w:rFonts w:hint="eastAsia"/>
          <w:snapToGrid/>
        </w:rPr>
        <w:t>号政令第</w:t>
      </w:r>
      <w:r>
        <w:rPr>
          <w:snapToGrid/>
        </w:rPr>
        <w:t>12</w:t>
      </w:r>
      <w:r>
        <w:rPr>
          <w:rFonts w:hint="eastAsia"/>
          <w:snapToGrid/>
        </w:rPr>
        <w:t>条已被废除，该条曾批准了《保护未成年人法的</w:t>
      </w:r>
      <w:r>
        <w:rPr>
          <w:rFonts w:hint="eastAsia"/>
          <w:snapToGrid/>
        </w:rPr>
        <w:t>条例》及其后之修正案。该第</w:t>
      </w:r>
      <w:r>
        <w:rPr>
          <w:snapToGrid/>
        </w:rPr>
        <w:t>12</w:t>
      </w:r>
      <w:r>
        <w:rPr>
          <w:rFonts w:hint="eastAsia"/>
          <w:snapToGrid/>
        </w:rPr>
        <w:t>条规定，“如果不存在未成年人看守所，可分隔出一处特别的监禁区，与惩处机构或监禁中心里由成年人使用的场地完全隔离，而这一特别监禁区应当依照约束未成年人看守所的规则运作”；</w:t>
      </w:r>
      <w:r>
        <w:rPr>
          <w:rStyle w:val="FootnoteReference"/>
          <w:snapToGrid/>
        </w:rPr>
        <w:footnoteReference w:id="239"/>
      </w:r>
    </w:p>
    <w:p w:rsidR="00000000" w:rsidRDefault="009C1C61">
      <w:pPr>
        <w:numPr>
          <w:ilvl w:val="0"/>
          <w:numId w:val="291"/>
        </w:numPr>
        <w:rPr>
          <w:snapToGrid/>
        </w:rPr>
      </w:pPr>
      <w:r>
        <w:rPr>
          <w:rFonts w:hint="eastAsia"/>
          <w:snapToGrid/>
          <w:spacing w:val="12"/>
        </w:rPr>
        <w:t>批准全国未成年人服务处为</w:t>
      </w:r>
      <w:r>
        <w:rPr>
          <w:snapToGrid/>
          <w:spacing w:val="12"/>
        </w:rPr>
        <w:t>18</w:t>
      </w:r>
      <w:r>
        <w:rPr>
          <w:rFonts w:hint="eastAsia"/>
          <w:snapToGrid/>
          <w:spacing w:val="12"/>
        </w:rPr>
        <w:t>岁以下的所有被剥夺自由少年而向监狱部门提供资金。这一规定保证未成年人能得到最有效的看护形式，并消除对</w:t>
      </w:r>
      <w:r>
        <w:rPr>
          <w:snapToGrid/>
          <w:spacing w:val="12"/>
        </w:rPr>
        <w:t>18</w:t>
      </w:r>
      <w:r>
        <w:rPr>
          <w:rFonts w:hint="eastAsia"/>
          <w:snapToGrid/>
          <w:spacing w:val="12"/>
        </w:rPr>
        <w:t>岁以下但被宣布可以起诉的青少年加以任意歧视的行为；</w:t>
      </w:r>
      <w:r>
        <w:rPr>
          <w:rStyle w:val="FootnoteReference"/>
          <w:snapToGrid/>
        </w:rPr>
        <w:footnoteReference w:id="240"/>
      </w:r>
    </w:p>
    <w:p w:rsidR="00000000" w:rsidRDefault="009C1C61">
      <w:pPr>
        <w:numPr>
          <w:ilvl w:val="0"/>
          <w:numId w:val="291"/>
        </w:numPr>
        <w:rPr>
          <w:snapToGrid/>
        </w:rPr>
      </w:pPr>
      <w:r>
        <w:rPr>
          <w:rFonts w:hint="eastAsia"/>
          <w:snapToGrid/>
        </w:rPr>
        <w:t>使所有未成年人脱离监狱。根据这条规则，少年法院不得将任何</w:t>
      </w:r>
      <w:r>
        <w:rPr>
          <w:snapToGrid/>
        </w:rPr>
        <w:t>18</w:t>
      </w:r>
      <w:r>
        <w:rPr>
          <w:rFonts w:hint="eastAsia"/>
          <w:snapToGrid/>
        </w:rPr>
        <w:t>岁以下的未成年人送往成年人监狱，同时，如果“</w:t>
      </w:r>
      <w:r>
        <w:rPr>
          <w:snapToGrid/>
        </w:rPr>
        <w:t>16</w:t>
      </w:r>
      <w:r>
        <w:rPr>
          <w:rFonts w:hint="eastAsia"/>
          <w:snapToGrid/>
        </w:rPr>
        <w:t>岁以上但</w:t>
      </w:r>
      <w:r>
        <w:rPr>
          <w:snapToGrid/>
        </w:rPr>
        <w:t>18</w:t>
      </w:r>
      <w:r>
        <w:rPr>
          <w:rFonts w:hint="eastAsia"/>
          <w:snapToGrid/>
        </w:rPr>
        <w:t>岁岁</w:t>
      </w:r>
      <w:r>
        <w:rPr>
          <w:rFonts w:hint="eastAsia"/>
          <w:snapToGrid/>
        </w:rPr>
        <w:t>以下的青年可以接受是否知情的测验，并确定其在犯下所指控的罪行时是知情的，则在尚未建造专门看押青少年的场所的地方”，青少年在拘押成年人机构内的监禁或守留只限于特别的看守区，必须与关押成年囚徒的场所完全隔离。未成年人看守所</w:t>
      </w:r>
      <w:r>
        <w:rPr>
          <w:rFonts w:hint="eastAsia"/>
          <w:snapToGrid/>
        </w:rPr>
        <w:t>(</w:t>
      </w:r>
      <w:r>
        <w:rPr>
          <w:snapToGrid/>
        </w:rPr>
        <w:t>Casas de Menores</w:t>
      </w:r>
      <w:r>
        <w:rPr>
          <w:rFonts w:hint="eastAsia"/>
          <w:snapToGrid/>
        </w:rPr>
        <w:t>)</w:t>
      </w:r>
      <w:r>
        <w:rPr>
          <w:rFonts w:hint="eastAsia"/>
          <w:snapToGrid/>
        </w:rPr>
        <w:t>提供更多的设备，这种看守所有两种相互完全独立的看守中心：看护在尚未对其作出裁决之前需要整段、护理和保护的未成年人中心；观察与诊断中心。对于不存在观察与诊断中心的地方，根据司法部所颁发的最高政令，共和国总统有权利指定可以接纳未成年人的中心。</w:t>
      </w:r>
      <w:r>
        <w:rPr>
          <w:rStyle w:val="FootnoteReference"/>
          <w:snapToGrid/>
          <w:szCs w:val="24"/>
        </w:rPr>
        <w:footnoteReference w:id="241"/>
      </w:r>
      <w:r>
        <w:rPr>
          <w:rFonts w:hint="eastAsia"/>
          <w:snapToGrid/>
          <w:szCs w:val="24"/>
        </w:rPr>
        <w:t xml:space="preserve"> </w:t>
      </w:r>
      <w:r>
        <w:rPr>
          <w:rFonts w:hint="eastAsia"/>
          <w:snapToGrid/>
        </w:rPr>
        <w:t>而目前根据这项权</w:t>
      </w:r>
      <w:r>
        <w:rPr>
          <w:rFonts w:hint="eastAsia"/>
          <w:snapToGrid/>
        </w:rPr>
        <w:t>力，又颁发了一系列政令。</w:t>
      </w:r>
      <w:r>
        <w:rPr>
          <w:rStyle w:val="FootnoteReference"/>
          <w:snapToGrid/>
        </w:rPr>
        <w:footnoteReference w:id="242"/>
      </w:r>
    </w:p>
    <w:p w:rsidR="00000000" w:rsidRDefault="009C1C61">
      <w:pPr>
        <w:numPr>
          <w:ilvl w:val="0"/>
          <w:numId w:val="291"/>
        </w:numPr>
        <w:spacing w:after="320"/>
        <w:rPr>
          <w:rFonts w:hint="eastAsia"/>
          <w:snapToGrid/>
        </w:rPr>
      </w:pPr>
      <w:r>
        <w:rPr>
          <w:rFonts w:hint="eastAsia"/>
          <w:snapToGrid/>
        </w:rPr>
        <w:t>批准实施有关少年看守所和援助机构的第</w:t>
      </w:r>
      <w:r>
        <w:rPr>
          <w:snapToGrid/>
        </w:rPr>
        <w:t>1661</w:t>
      </w:r>
      <w:r>
        <w:rPr>
          <w:rFonts w:hint="eastAsia"/>
          <w:snapToGrid/>
        </w:rPr>
        <w:t>号法令第四条的规定。该条规定的序言部分指出，政府有责任使法律符合《儿童权利公约》及智利所签署或参与、同时为国际组织批准的所有条约、建议和指示的原则。</w:t>
      </w:r>
      <w:r>
        <w:rPr>
          <w:rStyle w:val="FootnoteReference"/>
          <w:snapToGrid/>
        </w:rPr>
        <w:footnoteReference w:id="243"/>
      </w:r>
    </w:p>
    <w:p w:rsidR="00000000" w:rsidRDefault="009C1C61">
      <w:pPr>
        <w:pStyle w:val="Heading3"/>
        <w:rPr>
          <w:rFonts w:ascii="Time New Roman" w:hAnsi="Time New Roman" w:hint="eastAsia"/>
        </w:rPr>
      </w:pPr>
      <w:r>
        <w:rPr>
          <w:rFonts w:ascii="Time New Roman" w:hAnsi="Time New Roman" w:hint="eastAsia"/>
        </w:rPr>
        <w:t>第十一条</w:t>
      </w:r>
    </w:p>
    <w:p w:rsidR="00000000" w:rsidRDefault="009C1C61">
      <w:pPr>
        <w:pStyle w:val="Heading3"/>
        <w:rPr>
          <w:rFonts w:ascii="Time New Roman" w:hAnsi="Time New Roman" w:hint="eastAsia"/>
        </w:rPr>
      </w:pPr>
      <w:r>
        <w:rPr>
          <w:rFonts w:ascii="Time New Roman" w:hAnsi="Time New Roman" w:hint="eastAsia"/>
        </w:rPr>
        <w:t>获得相当的生活水准的权利</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人口目前生活水准的材料</w:t>
      </w:r>
    </w:p>
    <w:p w:rsidR="00000000" w:rsidRDefault="009C1C61">
      <w:pPr>
        <w:rPr>
          <w:rFonts w:hint="eastAsia"/>
          <w:snapToGrid/>
        </w:rPr>
      </w:pPr>
      <w:r>
        <w:rPr>
          <w:rFonts w:hint="eastAsia"/>
          <w:snapToGrid/>
        </w:rPr>
        <w:tab/>
        <w:t>497.  1990</w:t>
      </w:r>
      <w:r>
        <w:rPr>
          <w:rFonts w:hint="eastAsia"/>
          <w:snapToGrid/>
        </w:rPr>
        <w:t>年代实施的社会政策，更加重视社会投资方案，其目的改善社会基础设施，提高基本社会服务</w:t>
      </w:r>
      <w:r>
        <w:rPr>
          <w:rFonts w:hint="eastAsia"/>
          <w:snapToGrid/>
        </w:rPr>
        <w:t>(</w:t>
      </w:r>
      <w:r>
        <w:rPr>
          <w:rFonts w:hint="eastAsia"/>
          <w:snapToGrid/>
        </w:rPr>
        <w:t>教育、卫生、住房和社会保障</w:t>
      </w:r>
      <w:r>
        <w:rPr>
          <w:rFonts w:hint="eastAsia"/>
          <w:snapToGrid/>
        </w:rPr>
        <w:t>)</w:t>
      </w:r>
      <w:r>
        <w:rPr>
          <w:rFonts w:hint="eastAsia"/>
          <w:snapToGrid/>
        </w:rPr>
        <w:t>的质量，扩大服务范围，使服务更加公平。还努力将援助政策与社会投资方案挂钩。</w:t>
      </w:r>
    </w:p>
    <w:p w:rsidR="00000000" w:rsidRDefault="009C1C61">
      <w:pPr>
        <w:rPr>
          <w:rFonts w:hint="eastAsia"/>
          <w:snapToGrid/>
        </w:rPr>
      </w:pPr>
      <w:r>
        <w:rPr>
          <w:rFonts w:hint="eastAsia"/>
          <w:snapToGrid/>
        </w:rPr>
        <w:tab/>
        <w:t xml:space="preserve">498.  </w:t>
      </w:r>
      <w:r>
        <w:rPr>
          <w:rFonts w:hint="eastAsia"/>
          <w:snapToGrid/>
        </w:rPr>
        <w:t>实施</w:t>
      </w:r>
      <w:r>
        <w:rPr>
          <w:rFonts w:hint="eastAsia"/>
          <w:snapToGrid/>
        </w:rPr>
        <w:t>了重大改革，具体表现是实施了统筹兼顾的跨部门方案，制订了专门救助已经确实需要优先处理的、因环境限制而不能从国家发展中受益的社会群体。</w:t>
      </w:r>
    </w:p>
    <w:p w:rsidR="00000000" w:rsidRDefault="009C1C61">
      <w:pPr>
        <w:rPr>
          <w:rFonts w:hint="eastAsia"/>
          <w:snapToGrid/>
        </w:rPr>
      </w:pPr>
      <w:r>
        <w:rPr>
          <w:rFonts w:hint="eastAsia"/>
          <w:snapToGrid/>
        </w:rPr>
        <w:tab/>
        <w:t>499.  1989</w:t>
      </w:r>
      <w:r>
        <w:rPr>
          <w:rFonts w:hint="eastAsia"/>
          <w:snapToGrid/>
        </w:rPr>
        <w:t>年到</w:t>
      </w:r>
      <w:r>
        <w:rPr>
          <w:rFonts w:hint="eastAsia"/>
          <w:snapToGrid/>
        </w:rPr>
        <w:t>2000</w:t>
      </w:r>
      <w:r>
        <w:rPr>
          <w:rFonts w:hint="eastAsia"/>
          <w:snapToGrid/>
        </w:rPr>
        <w:t>年期间，中央政府用于社会政策的支出增加了</w:t>
      </w:r>
      <w:r>
        <w:rPr>
          <w:rFonts w:hint="eastAsia"/>
          <w:snapToGrid/>
        </w:rPr>
        <w:t>112.</w:t>
      </w:r>
      <w:r>
        <w:rPr>
          <w:snapToGrid/>
        </w:rPr>
        <w:t>4%</w:t>
      </w:r>
      <w:r>
        <w:rPr>
          <w:rFonts w:hint="eastAsia"/>
          <w:snapToGrid/>
        </w:rPr>
        <w:t>，公库则增加了</w:t>
      </w:r>
      <w:r>
        <w:rPr>
          <w:rFonts w:hint="eastAsia"/>
          <w:snapToGrid/>
        </w:rPr>
        <w:t>165.</w:t>
      </w:r>
      <w:r>
        <w:rPr>
          <w:snapToGrid/>
        </w:rPr>
        <w:t>7%</w:t>
      </w:r>
      <w:r>
        <w:rPr>
          <w:rFonts w:hint="eastAsia"/>
          <w:snapToGrid/>
        </w:rPr>
        <w:t>。</w:t>
      </w:r>
      <w:r>
        <w:rPr>
          <w:rFonts w:hint="eastAsia"/>
          <w:snapToGrid/>
        </w:rPr>
        <w:t>2000</w:t>
      </w:r>
      <w:r>
        <w:rPr>
          <w:rFonts w:hint="eastAsia"/>
          <w:snapToGrid/>
        </w:rPr>
        <w:t>年，政府社会部门支出达</w:t>
      </w:r>
      <w:r>
        <w:rPr>
          <w:rFonts w:hint="eastAsia"/>
          <w:snapToGrid/>
        </w:rPr>
        <w:t>1160.</w:t>
      </w:r>
      <w:r>
        <w:rPr>
          <w:snapToGrid/>
        </w:rPr>
        <w:t>5</w:t>
      </w:r>
      <w:r>
        <w:rPr>
          <w:rFonts w:hint="eastAsia"/>
          <w:snapToGrid/>
        </w:rPr>
        <w:t>万美元，财政支出达</w:t>
      </w:r>
      <w:r>
        <w:rPr>
          <w:rFonts w:hint="eastAsia"/>
          <w:snapToGrid/>
        </w:rPr>
        <w:t>9807</w:t>
      </w:r>
      <w:r>
        <w:rPr>
          <w:rFonts w:hint="eastAsia"/>
          <w:snapToGrid/>
        </w:rPr>
        <w:t>万美元</w:t>
      </w:r>
      <w:r>
        <w:rPr>
          <w:rFonts w:hint="eastAsia"/>
          <w:snapToGrid/>
        </w:rPr>
        <w:t>(</w:t>
      </w:r>
      <w:r>
        <w:rPr>
          <w:rFonts w:hint="eastAsia"/>
          <w:snapToGrid/>
        </w:rPr>
        <w:t>见表</w:t>
      </w:r>
      <w:r>
        <w:rPr>
          <w:rFonts w:hint="eastAsia"/>
          <w:snapToGrid/>
        </w:rPr>
        <w:t>16)</w:t>
      </w:r>
    </w:p>
    <w:p w:rsidR="00000000" w:rsidRDefault="009C1C61">
      <w:pPr>
        <w:pStyle w:val="Heading3"/>
        <w:pageBreakBefore/>
        <w:spacing w:before="300" w:after="200"/>
        <w:rPr>
          <w:rFonts w:hint="eastAsia"/>
        </w:rPr>
      </w:pPr>
      <w:r>
        <w:rPr>
          <w:rFonts w:hint="eastAsia"/>
        </w:rPr>
        <w:t>表</w:t>
      </w:r>
      <w:r>
        <w:t xml:space="preserve"> </w:t>
      </w:r>
      <w:r>
        <w:rPr>
          <w:b/>
          <w:bCs/>
        </w:rPr>
        <w:t xml:space="preserve"> </w:t>
      </w:r>
      <w:r>
        <w:rPr>
          <w:rFonts w:hint="eastAsia"/>
          <w:b/>
          <w:bCs/>
        </w:rPr>
        <w:t>16</w:t>
      </w:r>
      <w:r>
        <w:rPr>
          <w:b/>
          <w:bCs/>
        </w:rPr>
        <w:br/>
      </w:r>
      <w:r>
        <w:rPr>
          <w:rFonts w:hint="eastAsia"/>
          <w:b/>
        </w:rPr>
        <w:t>1989</w:t>
      </w:r>
      <w:r>
        <w:rPr>
          <w:rFonts w:hint="eastAsia"/>
        </w:rPr>
        <w:t>－</w:t>
      </w:r>
      <w:r>
        <w:rPr>
          <w:rFonts w:hint="eastAsia"/>
          <w:b/>
        </w:rPr>
        <w:t>2000</w:t>
      </w:r>
      <w:r>
        <w:rPr>
          <w:rFonts w:hint="eastAsia"/>
        </w:rPr>
        <w:t>年用于社会福利</w:t>
      </w:r>
      <w:r>
        <w:rPr>
          <w:rFonts w:hint="eastAsia"/>
        </w:rPr>
        <w:t>*</w:t>
      </w:r>
      <w:r>
        <w:t xml:space="preserve"> </w:t>
      </w:r>
      <w:r>
        <w:rPr>
          <w:rFonts w:hint="eastAsia"/>
        </w:rPr>
        <w:t>的公共支出和财政支出</w:t>
      </w:r>
      <w:r>
        <w:br/>
      </w:r>
      <w:r>
        <w:rPr>
          <w:rFonts w:hint="eastAsia"/>
        </w:rPr>
        <w:t>(</w:t>
      </w:r>
      <w:r>
        <w:rPr>
          <w:rFonts w:hint="eastAsia"/>
        </w:rPr>
        <w:t>按</w:t>
      </w:r>
      <w:r>
        <w:rPr>
          <w:rFonts w:hint="eastAsia"/>
          <w:b/>
        </w:rPr>
        <w:t>2000</w:t>
      </w:r>
      <w:r>
        <w:rPr>
          <w:rFonts w:hint="eastAsia"/>
        </w:rPr>
        <w:t>年价值计算的百万比索</w:t>
      </w:r>
      <w:r>
        <w:rPr>
          <w:rFonts w:hint="eastAsia"/>
        </w:rPr>
        <w:t>)(</w:t>
      </w:r>
      <w:r>
        <w:rPr>
          <w:rFonts w:hint="eastAsia"/>
        </w:rPr>
        <w:t>按</w:t>
      </w:r>
      <w:r>
        <w:rPr>
          <w:rFonts w:hint="eastAsia"/>
          <w:b/>
        </w:rPr>
        <w:t>2000</w:t>
      </w:r>
      <w:r>
        <w:rPr>
          <w:rFonts w:hint="eastAsia"/>
        </w:rPr>
        <w:t>年价值计算的美元</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18"/>
        <w:gridCol w:w="2470"/>
        <w:gridCol w:w="1300"/>
        <w:gridCol w:w="2415"/>
        <w:gridCol w:w="1365"/>
      </w:tblGrid>
      <w:tr w:rsidR="00000000">
        <w:tblPrEx>
          <w:tblCellMar>
            <w:top w:w="0" w:type="dxa"/>
            <w:bottom w:w="0" w:type="dxa"/>
          </w:tblCellMar>
        </w:tblPrEx>
        <w:tc>
          <w:tcPr>
            <w:tcW w:w="1718" w:type="dxa"/>
          </w:tcPr>
          <w:p w:rsidR="00000000" w:rsidRDefault="009C1C61">
            <w:pPr>
              <w:pStyle w:val="a2"/>
              <w:jc w:val="center"/>
              <w:rPr>
                <w:rFonts w:hint="eastAsia"/>
                <w:snapToGrid/>
                <w:sz w:val="20"/>
              </w:rPr>
            </w:pPr>
            <w:r>
              <w:rPr>
                <w:rFonts w:hint="eastAsia"/>
                <w:snapToGrid/>
                <w:sz w:val="20"/>
              </w:rPr>
              <w:t>年</w:t>
            </w:r>
          </w:p>
        </w:tc>
        <w:tc>
          <w:tcPr>
            <w:tcW w:w="2470" w:type="dxa"/>
          </w:tcPr>
          <w:p w:rsidR="00000000" w:rsidRDefault="009C1C61">
            <w:pPr>
              <w:pStyle w:val="a2"/>
              <w:jc w:val="center"/>
              <w:rPr>
                <w:rFonts w:hint="eastAsia"/>
                <w:snapToGrid/>
                <w:sz w:val="20"/>
              </w:rPr>
            </w:pPr>
            <w:r>
              <w:rPr>
                <w:rFonts w:hint="eastAsia"/>
                <w:snapToGrid/>
                <w:sz w:val="20"/>
              </w:rPr>
              <w:t>用于福利的政府支出</w:t>
            </w:r>
          </w:p>
        </w:tc>
        <w:tc>
          <w:tcPr>
            <w:tcW w:w="1300" w:type="dxa"/>
          </w:tcPr>
          <w:p w:rsidR="00000000" w:rsidRDefault="009C1C61">
            <w:pPr>
              <w:pStyle w:val="a2"/>
              <w:jc w:val="center"/>
              <w:rPr>
                <w:rFonts w:hint="eastAsia"/>
                <w:snapToGrid/>
                <w:sz w:val="20"/>
              </w:rPr>
            </w:pPr>
            <w:r>
              <w:rPr>
                <w:rFonts w:hint="eastAsia"/>
                <w:snapToGrid/>
                <w:sz w:val="20"/>
              </w:rPr>
              <w:t>年度变化</w:t>
            </w:r>
          </w:p>
        </w:tc>
        <w:tc>
          <w:tcPr>
            <w:tcW w:w="2415" w:type="dxa"/>
          </w:tcPr>
          <w:p w:rsidR="00000000" w:rsidRDefault="009C1C61">
            <w:pPr>
              <w:pStyle w:val="a2"/>
              <w:ind w:right="113"/>
              <w:jc w:val="center"/>
              <w:rPr>
                <w:rFonts w:hint="eastAsia"/>
                <w:snapToGrid/>
                <w:sz w:val="20"/>
              </w:rPr>
            </w:pPr>
            <w:r>
              <w:rPr>
                <w:rFonts w:hint="eastAsia"/>
                <w:snapToGrid/>
                <w:sz w:val="20"/>
              </w:rPr>
              <w:t>用于福</w:t>
            </w:r>
            <w:r>
              <w:rPr>
                <w:rFonts w:hint="eastAsia"/>
                <w:snapToGrid/>
                <w:sz w:val="20"/>
              </w:rPr>
              <w:t>利的财政支出</w:t>
            </w:r>
          </w:p>
        </w:tc>
        <w:tc>
          <w:tcPr>
            <w:tcW w:w="1365" w:type="dxa"/>
          </w:tcPr>
          <w:p w:rsidR="00000000" w:rsidRDefault="009C1C61">
            <w:pPr>
              <w:pStyle w:val="a2"/>
              <w:jc w:val="center"/>
              <w:rPr>
                <w:rFonts w:hint="eastAsia"/>
                <w:snapToGrid/>
                <w:sz w:val="20"/>
              </w:rPr>
            </w:pPr>
            <w:r>
              <w:rPr>
                <w:rFonts w:hint="eastAsia"/>
                <w:snapToGrid/>
                <w:sz w:val="20"/>
              </w:rPr>
              <w:t>年度变化</w:t>
            </w:r>
          </w:p>
        </w:tc>
      </w:tr>
      <w:tr w:rsidR="00000000">
        <w:tblPrEx>
          <w:tblCellMar>
            <w:top w:w="0" w:type="dxa"/>
            <w:bottom w:w="0" w:type="dxa"/>
          </w:tblCellMar>
        </w:tblPrEx>
        <w:tc>
          <w:tcPr>
            <w:tcW w:w="1718" w:type="dxa"/>
          </w:tcPr>
          <w:p w:rsidR="00000000" w:rsidRDefault="009C1C61">
            <w:pPr>
              <w:pStyle w:val="a2"/>
              <w:jc w:val="center"/>
              <w:rPr>
                <w:rFonts w:hint="eastAsia"/>
                <w:snapToGrid/>
                <w:sz w:val="20"/>
              </w:rPr>
            </w:pPr>
            <w:r>
              <w:rPr>
                <w:rFonts w:hint="eastAsia"/>
                <w:snapToGrid/>
                <w:sz w:val="20"/>
              </w:rPr>
              <w:t>1989</w:t>
            </w:r>
          </w:p>
        </w:tc>
        <w:tc>
          <w:tcPr>
            <w:tcW w:w="2470" w:type="dxa"/>
          </w:tcPr>
          <w:p w:rsidR="00000000" w:rsidRDefault="009C1C61">
            <w:pPr>
              <w:pStyle w:val="a2"/>
              <w:ind w:right="113"/>
              <w:jc w:val="right"/>
              <w:rPr>
                <w:snapToGrid/>
                <w:sz w:val="20"/>
              </w:rPr>
            </w:pPr>
            <w:r>
              <w:rPr>
                <w:rFonts w:hint="eastAsia"/>
                <w:snapToGrid/>
                <w:sz w:val="20"/>
              </w:rPr>
              <w:t>2,</w:t>
            </w:r>
            <w:r>
              <w:rPr>
                <w:snapToGrid/>
                <w:sz w:val="20"/>
              </w:rPr>
              <w:t>948,264</w:t>
            </w:r>
            <w:r>
              <w:rPr>
                <w:rFonts w:hint="eastAsia"/>
                <w:snapToGrid/>
                <w:sz w:val="20"/>
              </w:rPr>
              <w:br/>
            </w:r>
            <w:r>
              <w:rPr>
                <w:snapToGrid/>
                <w:sz w:val="20"/>
              </w:rPr>
              <w:t>(5,464,909,452</w:t>
            </w:r>
            <w:r>
              <w:rPr>
                <w:rFonts w:hint="eastAsia"/>
                <w:snapToGrid/>
                <w:sz w:val="20"/>
              </w:rPr>
              <w:t>美元</w:t>
            </w:r>
            <w:r>
              <w:rPr>
                <w:snapToGrid/>
                <w:sz w:val="20"/>
              </w:rPr>
              <w:t>)</w:t>
            </w:r>
          </w:p>
        </w:tc>
        <w:tc>
          <w:tcPr>
            <w:tcW w:w="1300" w:type="dxa"/>
          </w:tcPr>
          <w:p w:rsidR="00000000" w:rsidRDefault="009C1C61">
            <w:pPr>
              <w:pStyle w:val="a2"/>
              <w:jc w:val="center"/>
              <w:rPr>
                <w:rFonts w:hint="eastAsia"/>
                <w:snapToGrid/>
                <w:sz w:val="20"/>
              </w:rPr>
            </w:pPr>
            <w:r>
              <w:rPr>
                <w:rFonts w:hint="eastAsia"/>
                <w:snapToGrid/>
                <w:sz w:val="20"/>
              </w:rPr>
              <w:t>－</w:t>
            </w:r>
          </w:p>
        </w:tc>
        <w:tc>
          <w:tcPr>
            <w:tcW w:w="2415" w:type="dxa"/>
          </w:tcPr>
          <w:p w:rsidR="00000000" w:rsidRDefault="009C1C61">
            <w:pPr>
              <w:pStyle w:val="a2"/>
              <w:ind w:right="113"/>
              <w:jc w:val="right"/>
              <w:rPr>
                <w:snapToGrid/>
                <w:sz w:val="20"/>
              </w:rPr>
            </w:pPr>
            <w:r>
              <w:rPr>
                <w:snapToGrid/>
                <w:sz w:val="20"/>
              </w:rPr>
              <w:t>2,067,864</w:t>
            </w:r>
            <w:r>
              <w:rPr>
                <w:rFonts w:hint="eastAsia"/>
                <w:snapToGrid/>
                <w:sz w:val="20"/>
              </w:rPr>
              <w:br/>
            </w:r>
            <w:r>
              <w:rPr>
                <w:snapToGrid/>
                <w:sz w:val="20"/>
              </w:rPr>
              <w:t>(3,832,997,831</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rFonts w:hint="eastAsia"/>
                <w:snapToGrid/>
                <w:sz w:val="20"/>
              </w:rPr>
              <w:t>－</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1990</w:t>
            </w:r>
          </w:p>
        </w:tc>
        <w:tc>
          <w:tcPr>
            <w:tcW w:w="2470" w:type="dxa"/>
          </w:tcPr>
          <w:p w:rsidR="00000000" w:rsidRDefault="009C1C61">
            <w:pPr>
              <w:pStyle w:val="a2"/>
              <w:ind w:right="113"/>
              <w:jc w:val="right"/>
              <w:rPr>
                <w:snapToGrid/>
                <w:sz w:val="20"/>
              </w:rPr>
            </w:pPr>
            <w:r>
              <w:rPr>
                <w:snapToGrid/>
                <w:sz w:val="20"/>
              </w:rPr>
              <w:t>2,921,649</w:t>
            </w:r>
            <w:r>
              <w:rPr>
                <w:rFonts w:hint="eastAsia"/>
                <w:snapToGrid/>
                <w:sz w:val="20"/>
              </w:rPr>
              <w:br/>
            </w:r>
            <w:r>
              <w:rPr>
                <w:snapToGrid/>
                <w:sz w:val="20"/>
              </w:rPr>
              <w:t>(5,415,575,821</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rFonts w:hint="eastAsia"/>
                <w:snapToGrid/>
                <w:sz w:val="20"/>
              </w:rPr>
              <w:t>－</w:t>
            </w:r>
            <w:r>
              <w:rPr>
                <w:rFonts w:hint="eastAsia"/>
                <w:snapToGrid/>
                <w:sz w:val="20"/>
              </w:rPr>
              <w:t>0.</w:t>
            </w:r>
            <w:r>
              <w:rPr>
                <w:snapToGrid/>
                <w:sz w:val="20"/>
              </w:rPr>
              <w:t>9</w:t>
            </w:r>
          </w:p>
        </w:tc>
        <w:tc>
          <w:tcPr>
            <w:tcW w:w="2415" w:type="dxa"/>
          </w:tcPr>
          <w:p w:rsidR="00000000" w:rsidRDefault="009C1C61">
            <w:pPr>
              <w:pStyle w:val="a2"/>
              <w:ind w:right="113"/>
              <w:jc w:val="right"/>
              <w:rPr>
                <w:snapToGrid/>
                <w:sz w:val="20"/>
              </w:rPr>
            </w:pPr>
            <w:r>
              <w:rPr>
                <w:snapToGrid/>
                <w:sz w:val="20"/>
              </w:rPr>
              <w:t>2,238,781</w:t>
            </w:r>
            <w:r>
              <w:rPr>
                <w:rFonts w:hint="eastAsia"/>
                <w:snapToGrid/>
                <w:sz w:val="20"/>
              </w:rPr>
              <w:br/>
            </w:r>
            <w:r>
              <w:rPr>
                <w:snapToGrid/>
                <w:sz w:val="20"/>
              </w:rPr>
              <w:t>(4,149,810,005</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8.3</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1991</w:t>
            </w:r>
          </w:p>
        </w:tc>
        <w:tc>
          <w:tcPr>
            <w:tcW w:w="2470" w:type="dxa"/>
          </w:tcPr>
          <w:p w:rsidR="00000000" w:rsidRDefault="009C1C61">
            <w:pPr>
              <w:pStyle w:val="a2"/>
              <w:ind w:right="113"/>
              <w:jc w:val="right"/>
              <w:rPr>
                <w:snapToGrid/>
                <w:sz w:val="20"/>
              </w:rPr>
            </w:pPr>
            <w:r>
              <w:rPr>
                <w:snapToGrid/>
                <w:sz w:val="20"/>
              </w:rPr>
              <w:t>3,189,851</w:t>
            </w:r>
            <w:r>
              <w:rPr>
                <w:rFonts w:hint="eastAsia"/>
                <w:snapToGrid/>
                <w:sz w:val="20"/>
              </w:rPr>
              <w:br/>
            </w:r>
            <w:r>
              <w:rPr>
                <w:snapToGrid/>
                <w:sz w:val="20"/>
              </w:rPr>
              <w:t>(5,912,715,713</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9.2</w:t>
            </w:r>
          </w:p>
        </w:tc>
        <w:tc>
          <w:tcPr>
            <w:tcW w:w="2415" w:type="dxa"/>
          </w:tcPr>
          <w:p w:rsidR="00000000" w:rsidRDefault="009C1C61">
            <w:pPr>
              <w:pStyle w:val="a2"/>
              <w:ind w:right="113"/>
              <w:jc w:val="right"/>
              <w:rPr>
                <w:snapToGrid/>
                <w:sz w:val="20"/>
              </w:rPr>
            </w:pPr>
            <w:r>
              <w:rPr>
                <w:snapToGrid/>
                <w:sz w:val="20"/>
              </w:rPr>
              <w:t>2,491,923</w:t>
            </w:r>
            <w:r>
              <w:rPr>
                <w:rFonts w:hint="eastAsia"/>
                <w:snapToGrid/>
                <w:sz w:val="20"/>
              </w:rPr>
              <w:br/>
            </w:r>
            <w:r>
              <w:rPr>
                <w:snapToGrid/>
                <w:sz w:val="20"/>
              </w:rPr>
              <w:t>(4,619,034,643</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11.3</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1992</w:t>
            </w:r>
          </w:p>
        </w:tc>
        <w:tc>
          <w:tcPr>
            <w:tcW w:w="2470" w:type="dxa"/>
          </w:tcPr>
          <w:p w:rsidR="00000000" w:rsidRDefault="009C1C61">
            <w:pPr>
              <w:pStyle w:val="a2"/>
              <w:ind w:right="113"/>
              <w:jc w:val="right"/>
              <w:rPr>
                <w:snapToGrid/>
                <w:sz w:val="20"/>
              </w:rPr>
            </w:pPr>
            <w:r>
              <w:rPr>
                <w:snapToGrid/>
                <w:sz w:val="20"/>
              </w:rPr>
              <w:t>3,522,841</w:t>
            </w:r>
            <w:r>
              <w:rPr>
                <w:rFonts w:hint="eastAsia"/>
                <w:snapToGrid/>
                <w:sz w:val="20"/>
              </w:rPr>
              <w:br/>
            </w:r>
            <w:r>
              <w:rPr>
                <w:snapToGrid/>
                <w:sz w:val="20"/>
              </w:rPr>
              <w:t>(6,529,946,802</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10</w:t>
            </w:r>
            <w:r>
              <w:rPr>
                <w:snapToGrid/>
                <w:sz w:val="20"/>
              </w:rPr>
              <w:t>.4</w:t>
            </w:r>
          </w:p>
        </w:tc>
        <w:tc>
          <w:tcPr>
            <w:tcW w:w="2415" w:type="dxa"/>
          </w:tcPr>
          <w:p w:rsidR="00000000" w:rsidRDefault="009C1C61">
            <w:pPr>
              <w:pStyle w:val="a2"/>
              <w:ind w:right="113"/>
              <w:jc w:val="right"/>
              <w:rPr>
                <w:snapToGrid/>
                <w:sz w:val="20"/>
              </w:rPr>
            </w:pPr>
            <w:r>
              <w:rPr>
                <w:snapToGrid/>
                <w:sz w:val="20"/>
              </w:rPr>
              <w:t>2,802,180</w:t>
            </w:r>
            <w:r>
              <w:rPr>
                <w:rFonts w:hint="eastAsia"/>
                <w:snapToGrid/>
                <w:sz w:val="20"/>
              </w:rPr>
              <w:br/>
            </w:r>
            <w:r>
              <w:rPr>
                <w:snapToGrid/>
                <w:sz w:val="20"/>
              </w:rPr>
              <w:t>(5,194,127,787</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12.5</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1993</w:t>
            </w:r>
          </w:p>
        </w:tc>
        <w:tc>
          <w:tcPr>
            <w:tcW w:w="2470" w:type="dxa"/>
          </w:tcPr>
          <w:p w:rsidR="00000000" w:rsidRDefault="009C1C61">
            <w:pPr>
              <w:pStyle w:val="a2"/>
              <w:ind w:right="113"/>
              <w:jc w:val="right"/>
              <w:rPr>
                <w:snapToGrid/>
                <w:sz w:val="20"/>
              </w:rPr>
            </w:pPr>
            <w:r>
              <w:rPr>
                <w:snapToGrid/>
                <w:sz w:val="20"/>
              </w:rPr>
              <w:t>3,861,614</w:t>
            </w:r>
            <w:r>
              <w:rPr>
                <w:rFonts w:hint="eastAsia"/>
                <w:snapToGrid/>
                <w:sz w:val="20"/>
              </w:rPr>
              <w:br/>
            </w:r>
            <w:r>
              <w:rPr>
                <w:snapToGrid/>
                <w:sz w:val="20"/>
              </w:rPr>
              <w:t>(7,157,897,273</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9.6</w:t>
            </w:r>
          </w:p>
        </w:tc>
        <w:tc>
          <w:tcPr>
            <w:tcW w:w="2415" w:type="dxa"/>
          </w:tcPr>
          <w:p w:rsidR="00000000" w:rsidRDefault="009C1C61">
            <w:pPr>
              <w:pStyle w:val="a2"/>
              <w:ind w:right="113"/>
              <w:jc w:val="right"/>
              <w:rPr>
                <w:snapToGrid/>
                <w:sz w:val="20"/>
              </w:rPr>
            </w:pPr>
            <w:r>
              <w:rPr>
                <w:snapToGrid/>
                <w:sz w:val="20"/>
              </w:rPr>
              <w:t>3,103,215</w:t>
            </w:r>
            <w:r>
              <w:rPr>
                <w:rFonts w:hint="eastAsia"/>
                <w:snapToGrid/>
                <w:sz w:val="20"/>
              </w:rPr>
              <w:br/>
            </w:r>
            <w:r>
              <w:rPr>
                <w:snapToGrid/>
                <w:sz w:val="20"/>
              </w:rPr>
              <w:t>(5,752,127,008</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10.7</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1994</w:t>
            </w:r>
          </w:p>
        </w:tc>
        <w:tc>
          <w:tcPr>
            <w:tcW w:w="2470" w:type="dxa"/>
          </w:tcPr>
          <w:p w:rsidR="00000000" w:rsidRDefault="009C1C61">
            <w:pPr>
              <w:pStyle w:val="a2"/>
              <w:ind w:right="113"/>
              <w:jc w:val="right"/>
              <w:rPr>
                <w:snapToGrid/>
                <w:sz w:val="20"/>
              </w:rPr>
            </w:pPr>
            <w:r>
              <w:rPr>
                <w:snapToGrid/>
                <w:sz w:val="20"/>
              </w:rPr>
              <w:t>4,097,742</w:t>
            </w:r>
            <w:r>
              <w:rPr>
                <w:rFonts w:hint="eastAsia"/>
                <w:snapToGrid/>
                <w:sz w:val="20"/>
              </w:rPr>
              <w:br/>
            </w:r>
            <w:r>
              <w:rPr>
                <w:snapToGrid/>
                <w:sz w:val="20"/>
              </w:rPr>
              <w:t>(7,595,584,719</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6.1</w:t>
            </w:r>
          </w:p>
        </w:tc>
        <w:tc>
          <w:tcPr>
            <w:tcW w:w="2415" w:type="dxa"/>
          </w:tcPr>
          <w:p w:rsidR="00000000" w:rsidRDefault="009C1C61">
            <w:pPr>
              <w:pStyle w:val="a2"/>
              <w:ind w:right="113"/>
              <w:jc w:val="right"/>
              <w:rPr>
                <w:snapToGrid/>
                <w:sz w:val="20"/>
              </w:rPr>
            </w:pPr>
            <w:r>
              <w:rPr>
                <w:snapToGrid/>
                <w:sz w:val="20"/>
              </w:rPr>
              <w:t>3,330,166</w:t>
            </w:r>
            <w:r>
              <w:rPr>
                <w:rFonts w:hint="eastAsia"/>
                <w:snapToGrid/>
                <w:sz w:val="20"/>
              </w:rPr>
              <w:br/>
            </w:r>
            <w:r>
              <w:rPr>
                <w:snapToGrid/>
                <w:sz w:val="20"/>
              </w:rPr>
              <w:t>(6,172,803,944</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7.3</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1995</w:t>
            </w:r>
          </w:p>
        </w:tc>
        <w:tc>
          <w:tcPr>
            <w:tcW w:w="2470" w:type="dxa"/>
          </w:tcPr>
          <w:p w:rsidR="00000000" w:rsidRDefault="009C1C61">
            <w:pPr>
              <w:pStyle w:val="a2"/>
              <w:ind w:right="113"/>
              <w:jc w:val="right"/>
              <w:rPr>
                <w:snapToGrid/>
                <w:sz w:val="20"/>
              </w:rPr>
            </w:pPr>
            <w:r>
              <w:rPr>
                <w:snapToGrid/>
                <w:sz w:val="20"/>
              </w:rPr>
              <w:t>4,395,121</w:t>
            </w:r>
            <w:r>
              <w:rPr>
                <w:rFonts w:hint="eastAsia"/>
                <w:snapToGrid/>
                <w:sz w:val="20"/>
              </w:rPr>
              <w:br/>
            </w:r>
            <w:r>
              <w:rPr>
                <w:snapToGrid/>
                <w:sz w:val="20"/>
              </w:rPr>
              <w:t>(8,146,807,170</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7.3</w:t>
            </w:r>
          </w:p>
        </w:tc>
        <w:tc>
          <w:tcPr>
            <w:tcW w:w="2415" w:type="dxa"/>
          </w:tcPr>
          <w:p w:rsidR="00000000" w:rsidRDefault="009C1C61">
            <w:pPr>
              <w:pStyle w:val="a2"/>
              <w:ind w:right="113"/>
              <w:jc w:val="right"/>
              <w:rPr>
                <w:snapToGrid/>
                <w:sz w:val="20"/>
              </w:rPr>
            </w:pPr>
            <w:r>
              <w:rPr>
                <w:snapToGrid/>
                <w:sz w:val="20"/>
              </w:rPr>
              <w:t>3,585,940</w:t>
            </w:r>
            <w:r>
              <w:rPr>
                <w:rFonts w:hint="eastAsia"/>
                <w:snapToGrid/>
                <w:sz w:val="20"/>
              </w:rPr>
              <w:br/>
            </w:r>
            <w:r>
              <w:rPr>
                <w:snapToGrid/>
                <w:sz w:val="20"/>
              </w:rPr>
              <w:t>(6,646,907,264</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7.7</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1996</w:t>
            </w:r>
          </w:p>
        </w:tc>
        <w:tc>
          <w:tcPr>
            <w:tcW w:w="2470" w:type="dxa"/>
          </w:tcPr>
          <w:p w:rsidR="00000000" w:rsidRDefault="009C1C61">
            <w:pPr>
              <w:pStyle w:val="a2"/>
              <w:ind w:right="113"/>
              <w:jc w:val="right"/>
              <w:rPr>
                <w:snapToGrid/>
                <w:sz w:val="20"/>
              </w:rPr>
            </w:pPr>
            <w:r>
              <w:rPr>
                <w:snapToGrid/>
                <w:sz w:val="20"/>
              </w:rPr>
              <w:t>4,8</w:t>
            </w:r>
            <w:r>
              <w:rPr>
                <w:snapToGrid/>
                <w:sz w:val="20"/>
              </w:rPr>
              <w:t>20,014</w:t>
            </w:r>
            <w:r>
              <w:rPr>
                <w:rFonts w:hint="eastAsia"/>
                <w:snapToGrid/>
                <w:sz w:val="20"/>
              </w:rPr>
              <w:br/>
            </w:r>
            <w:r>
              <w:rPr>
                <w:snapToGrid/>
                <w:sz w:val="20"/>
              </w:rPr>
              <w:t>(8,934,389,887</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9.7</w:t>
            </w:r>
          </w:p>
        </w:tc>
        <w:tc>
          <w:tcPr>
            <w:tcW w:w="2415" w:type="dxa"/>
          </w:tcPr>
          <w:p w:rsidR="00000000" w:rsidRDefault="009C1C61">
            <w:pPr>
              <w:pStyle w:val="a2"/>
              <w:ind w:right="113"/>
              <w:jc w:val="right"/>
              <w:rPr>
                <w:snapToGrid/>
                <w:sz w:val="20"/>
              </w:rPr>
            </w:pPr>
            <w:r>
              <w:rPr>
                <w:snapToGrid/>
                <w:sz w:val="20"/>
              </w:rPr>
              <w:t>3,983,850</w:t>
            </w:r>
            <w:r>
              <w:rPr>
                <w:rFonts w:hint="eastAsia"/>
                <w:snapToGrid/>
                <w:sz w:val="20"/>
              </w:rPr>
              <w:br/>
            </w:r>
            <w:r>
              <w:rPr>
                <w:snapToGrid/>
                <w:sz w:val="20"/>
              </w:rPr>
              <w:t>(7,384,474,225</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11.1</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1997</w:t>
            </w:r>
          </w:p>
        </w:tc>
        <w:tc>
          <w:tcPr>
            <w:tcW w:w="2470" w:type="dxa"/>
          </w:tcPr>
          <w:p w:rsidR="00000000" w:rsidRDefault="009C1C61">
            <w:pPr>
              <w:pStyle w:val="a2"/>
              <w:ind w:right="113"/>
              <w:jc w:val="right"/>
              <w:rPr>
                <w:snapToGrid/>
                <w:sz w:val="20"/>
              </w:rPr>
            </w:pPr>
            <w:r>
              <w:rPr>
                <w:snapToGrid/>
                <w:sz w:val="20"/>
              </w:rPr>
              <w:t>5,088,343</w:t>
            </w:r>
            <w:r>
              <w:rPr>
                <w:rFonts w:hint="eastAsia"/>
                <w:snapToGrid/>
                <w:sz w:val="20"/>
              </w:rPr>
              <w:br/>
            </w:r>
            <w:r>
              <w:rPr>
                <w:snapToGrid/>
                <w:sz w:val="20"/>
              </w:rPr>
              <w:t>(9,431,765,186</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5.6</w:t>
            </w:r>
          </w:p>
        </w:tc>
        <w:tc>
          <w:tcPr>
            <w:tcW w:w="2415" w:type="dxa"/>
          </w:tcPr>
          <w:p w:rsidR="00000000" w:rsidRDefault="009C1C61">
            <w:pPr>
              <w:pStyle w:val="a2"/>
              <w:ind w:right="113"/>
              <w:jc w:val="right"/>
              <w:rPr>
                <w:snapToGrid/>
                <w:sz w:val="20"/>
              </w:rPr>
            </w:pPr>
            <w:r>
              <w:rPr>
                <w:snapToGrid/>
                <w:sz w:val="20"/>
              </w:rPr>
              <w:t>4,230,936</w:t>
            </w:r>
            <w:r>
              <w:rPr>
                <w:rFonts w:hint="eastAsia"/>
                <w:snapToGrid/>
                <w:sz w:val="20"/>
              </w:rPr>
              <w:br/>
            </w:r>
            <w:r>
              <w:rPr>
                <w:snapToGrid/>
                <w:sz w:val="20"/>
              </w:rPr>
              <w:t>(7,842,473,447</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6.2</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1998</w:t>
            </w:r>
          </w:p>
        </w:tc>
        <w:tc>
          <w:tcPr>
            <w:tcW w:w="2470" w:type="dxa"/>
          </w:tcPr>
          <w:p w:rsidR="00000000" w:rsidRDefault="009C1C61">
            <w:pPr>
              <w:pStyle w:val="a2"/>
              <w:ind w:right="113"/>
              <w:jc w:val="right"/>
              <w:rPr>
                <w:snapToGrid/>
                <w:sz w:val="20"/>
              </w:rPr>
            </w:pPr>
            <w:r>
              <w:rPr>
                <w:snapToGrid/>
                <w:sz w:val="20"/>
              </w:rPr>
              <w:t>5,474,705</w:t>
            </w:r>
            <w:r>
              <w:rPr>
                <w:rFonts w:hint="eastAsia"/>
                <w:snapToGrid/>
                <w:sz w:val="20"/>
              </w:rPr>
              <w:br/>
            </w:r>
            <w:r>
              <w:rPr>
                <w:snapToGrid/>
                <w:sz w:val="20"/>
              </w:rPr>
              <w:t>(10,147,926,746</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7.6</w:t>
            </w:r>
          </w:p>
        </w:tc>
        <w:tc>
          <w:tcPr>
            <w:tcW w:w="2415" w:type="dxa"/>
          </w:tcPr>
          <w:p w:rsidR="00000000" w:rsidRDefault="009C1C61">
            <w:pPr>
              <w:pStyle w:val="a2"/>
              <w:ind w:right="113"/>
              <w:jc w:val="right"/>
              <w:rPr>
                <w:snapToGrid/>
                <w:sz w:val="20"/>
              </w:rPr>
            </w:pPr>
            <w:r>
              <w:rPr>
                <w:snapToGrid/>
                <w:sz w:val="20"/>
              </w:rPr>
              <w:t>4,460,498</w:t>
            </w:r>
            <w:r>
              <w:rPr>
                <w:rFonts w:hint="eastAsia"/>
                <w:snapToGrid/>
                <w:sz w:val="20"/>
              </w:rPr>
              <w:br/>
            </w:r>
            <w:r>
              <w:rPr>
                <w:snapToGrid/>
                <w:sz w:val="20"/>
              </w:rPr>
              <w:t>(8,267,990,138</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5.4</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1999</w:t>
            </w:r>
          </w:p>
        </w:tc>
        <w:tc>
          <w:tcPr>
            <w:tcW w:w="2470" w:type="dxa"/>
          </w:tcPr>
          <w:p w:rsidR="00000000" w:rsidRDefault="009C1C61">
            <w:pPr>
              <w:pStyle w:val="a2"/>
              <w:ind w:right="113"/>
              <w:jc w:val="right"/>
              <w:rPr>
                <w:snapToGrid/>
                <w:sz w:val="20"/>
              </w:rPr>
            </w:pPr>
            <w:r>
              <w:rPr>
                <w:snapToGrid/>
                <w:sz w:val="20"/>
              </w:rPr>
              <w:t>5,901,305</w:t>
            </w:r>
            <w:r>
              <w:rPr>
                <w:rFonts w:hint="eastAsia"/>
                <w:snapToGrid/>
                <w:sz w:val="20"/>
              </w:rPr>
              <w:br/>
            </w:r>
            <w:r>
              <w:rPr>
                <w:snapToGrid/>
                <w:sz w:val="20"/>
              </w:rPr>
              <w:t>(10,938,673,562</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7.8</w:t>
            </w:r>
          </w:p>
        </w:tc>
        <w:tc>
          <w:tcPr>
            <w:tcW w:w="2415" w:type="dxa"/>
          </w:tcPr>
          <w:p w:rsidR="00000000" w:rsidRDefault="009C1C61">
            <w:pPr>
              <w:pStyle w:val="a2"/>
              <w:ind w:right="113"/>
              <w:jc w:val="right"/>
              <w:rPr>
                <w:snapToGrid/>
                <w:sz w:val="20"/>
              </w:rPr>
            </w:pPr>
            <w:r>
              <w:rPr>
                <w:snapToGrid/>
                <w:sz w:val="20"/>
              </w:rPr>
              <w:t>4,951,630</w:t>
            </w:r>
            <w:r>
              <w:rPr>
                <w:rFonts w:hint="eastAsia"/>
                <w:snapToGrid/>
                <w:sz w:val="20"/>
              </w:rPr>
              <w:br/>
            </w:r>
            <w:r>
              <w:rPr>
                <w:snapToGrid/>
                <w:sz w:val="20"/>
              </w:rPr>
              <w:t>(9,1</w:t>
            </w:r>
            <w:r>
              <w:rPr>
                <w:snapToGrid/>
                <w:sz w:val="20"/>
              </w:rPr>
              <w:t>78,353,630</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11.0</w:t>
            </w:r>
          </w:p>
        </w:tc>
      </w:tr>
      <w:tr w:rsidR="00000000">
        <w:tblPrEx>
          <w:tblCellMar>
            <w:top w:w="0" w:type="dxa"/>
            <w:bottom w:w="0" w:type="dxa"/>
          </w:tblCellMar>
        </w:tblPrEx>
        <w:tc>
          <w:tcPr>
            <w:tcW w:w="1718" w:type="dxa"/>
          </w:tcPr>
          <w:p w:rsidR="00000000" w:rsidRDefault="009C1C61">
            <w:pPr>
              <w:pStyle w:val="a2"/>
              <w:jc w:val="center"/>
              <w:rPr>
                <w:snapToGrid/>
                <w:sz w:val="20"/>
              </w:rPr>
            </w:pPr>
            <w:r>
              <w:rPr>
                <w:snapToGrid/>
                <w:sz w:val="20"/>
              </w:rPr>
              <w:t>2000</w:t>
            </w:r>
          </w:p>
        </w:tc>
        <w:tc>
          <w:tcPr>
            <w:tcW w:w="2470" w:type="dxa"/>
          </w:tcPr>
          <w:p w:rsidR="00000000" w:rsidRDefault="009C1C61">
            <w:pPr>
              <w:pStyle w:val="a2"/>
              <w:ind w:right="113"/>
              <w:jc w:val="right"/>
              <w:rPr>
                <w:snapToGrid/>
                <w:sz w:val="20"/>
              </w:rPr>
            </w:pPr>
            <w:r>
              <w:rPr>
                <w:snapToGrid/>
                <w:sz w:val="20"/>
              </w:rPr>
              <w:t>6,260,730</w:t>
            </w:r>
            <w:r>
              <w:rPr>
                <w:rFonts w:hint="eastAsia"/>
                <w:snapToGrid/>
                <w:sz w:val="20"/>
              </w:rPr>
              <w:br/>
            </w:r>
            <w:r>
              <w:rPr>
                <w:snapToGrid/>
                <w:sz w:val="20"/>
              </w:rPr>
              <w:t>(11,604,904,632</w:t>
            </w:r>
            <w:r>
              <w:rPr>
                <w:rFonts w:hint="eastAsia"/>
                <w:snapToGrid/>
                <w:sz w:val="20"/>
              </w:rPr>
              <w:t>美元</w:t>
            </w:r>
            <w:r>
              <w:rPr>
                <w:snapToGrid/>
                <w:sz w:val="20"/>
              </w:rPr>
              <w:t>)</w:t>
            </w:r>
          </w:p>
        </w:tc>
        <w:tc>
          <w:tcPr>
            <w:tcW w:w="1300" w:type="dxa"/>
          </w:tcPr>
          <w:p w:rsidR="00000000" w:rsidRDefault="009C1C61">
            <w:pPr>
              <w:pStyle w:val="a2"/>
              <w:jc w:val="center"/>
              <w:rPr>
                <w:snapToGrid/>
                <w:sz w:val="20"/>
              </w:rPr>
            </w:pPr>
            <w:r>
              <w:rPr>
                <w:snapToGrid/>
                <w:sz w:val="20"/>
              </w:rPr>
              <w:t>6.1</w:t>
            </w:r>
          </w:p>
        </w:tc>
        <w:tc>
          <w:tcPr>
            <w:tcW w:w="2415" w:type="dxa"/>
          </w:tcPr>
          <w:p w:rsidR="00000000" w:rsidRDefault="009C1C61">
            <w:pPr>
              <w:pStyle w:val="a2"/>
              <w:ind w:right="113"/>
              <w:jc w:val="right"/>
              <w:rPr>
                <w:rFonts w:hint="eastAsia"/>
                <w:snapToGrid/>
                <w:sz w:val="20"/>
              </w:rPr>
            </w:pPr>
            <w:r>
              <w:rPr>
                <w:snapToGrid/>
                <w:sz w:val="20"/>
              </w:rPr>
              <w:t>5,290,918</w:t>
            </w:r>
            <w:r>
              <w:rPr>
                <w:rFonts w:hint="eastAsia"/>
                <w:snapToGrid/>
                <w:sz w:val="20"/>
              </w:rPr>
              <w:br/>
            </w:r>
            <w:r>
              <w:rPr>
                <w:snapToGrid/>
                <w:sz w:val="20"/>
              </w:rPr>
              <w:t>(9,807,258,707</w:t>
            </w:r>
            <w:r>
              <w:rPr>
                <w:rFonts w:hint="eastAsia"/>
                <w:snapToGrid/>
                <w:sz w:val="20"/>
              </w:rPr>
              <w:t>美元</w:t>
            </w:r>
            <w:r>
              <w:rPr>
                <w:snapToGrid/>
                <w:sz w:val="20"/>
              </w:rPr>
              <w:t>)</w:t>
            </w:r>
          </w:p>
        </w:tc>
        <w:tc>
          <w:tcPr>
            <w:tcW w:w="1365" w:type="dxa"/>
          </w:tcPr>
          <w:p w:rsidR="00000000" w:rsidRDefault="009C1C61">
            <w:pPr>
              <w:pStyle w:val="a2"/>
              <w:jc w:val="center"/>
              <w:rPr>
                <w:snapToGrid/>
                <w:sz w:val="20"/>
              </w:rPr>
            </w:pPr>
            <w:r>
              <w:rPr>
                <w:snapToGrid/>
                <w:sz w:val="20"/>
              </w:rPr>
              <w:t>6.9</w:t>
            </w:r>
          </w:p>
        </w:tc>
      </w:tr>
      <w:tr w:rsidR="00000000">
        <w:tblPrEx>
          <w:tblCellMar>
            <w:top w:w="0" w:type="dxa"/>
            <w:bottom w:w="0" w:type="dxa"/>
          </w:tblCellMar>
        </w:tblPrEx>
        <w:tc>
          <w:tcPr>
            <w:tcW w:w="1718" w:type="dxa"/>
          </w:tcPr>
          <w:p w:rsidR="00000000" w:rsidRDefault="009C1C61">
            <w:pPr>
              <w:pStyle w:val="a2"/>
              <w:jc w:val="center"/>
              <w:rPr>
                <w:rFonts w:hint="eastAsia"/>
                <w:snapToGrid/>
                <w:sz w:val="20"/>
              </w:rPr>
            </w:pPr>
            <w:r>
              <w:rPr>
                <w:rFonts w:hint="eastAsia"/>
                <w:snapToGrid/>
                <w:sz w:val="20"/>
              </w:rPr>
              <w:t>平均年增长率</w:t>
            </w:r>
            <w:r>
              <w:rPr>
                <w:rFonts w:hint="eastAsia"/>
                <w:snapToGrid/>
                <w:sz w:val="20"/>
              </w:rPr>
              <w:t>(%)</w:t>
            </w:r>
          </w:p>
        </w:tc>
        <w:tc>
          <w:tcPr>
            <w:tcW w:w="2470" w:type="dxa"/>
          </w:tcPr>
          <w:p w:rsidR="00000000" w:rsidRDefault="009C1C61">
            <w:pPr>
              <w:pStyle w:val="a2"/>
              <w:rPr>
                <w:rFonts w:hint="eastAsia"/>
                <w:snapToGrid/>
                <w:sz w:val="20"/>
              </w:rPr>
            </w:pPr>
          </w:p>
        </w:tc>
        <w:tc>
          <w:tcPr>
            <w:tcW w:w="1300" w:type="dxa"/>
          </w:tcPr>
          <w:p w:rsidR="00000000" w:rsidRDefault="009C1C61">
            <w:pPr>
              <w:pStyle w:val="a2"/>
              <w:jc w:val="center"/>
              <w:rPr>
                <w:snapToGrid/>
                <w:sz w:val="20"/>
              </w:rPr>
            </w:pPr>
            <w:r>
              <w:rPr>
                <w:snapToGrid/>
                <w:sz w:val="20"/>
              </w:rPr>
              <w:t>7.1</w:t>
            </w:r>
          </w:p>
        </w:tc>
        <w:tc>
          <w:tcPr>
            <w:tcW w:w="2415" w:type="dxa"/>
          </w:tcPr>
          <w:p w:rsidR="00000000" w:rsidRDefault="009C1C61">
            <w:pPr>
              <w:pStyle w:val="a2"/>
              <w:ind w:right="113"/>
              <w:jc w:val="right"/>
              <w:rPr>
                <w:rFonts w:hint="eastAsia"/>
                <w:snapToGrid/>
                <w:sz w:val="20"/>
              </w:rPr>
            </w:pPr>
          </w:p>
        </w:tc>
        <w:tc>
          <w:tcPr>
            <w:tcW w:w="1365" w:type="dxa"/>
          </w:tcPr>
          <w:p w:rsidR="00000000" w:rsidRDefault="009C1C61">
            <w:pPr>
              <w:pStyle w:val="a2"/>
              <w:jc w:val="center"/>
              <w:rPr>
                <w:snapToGrid/>
                <w:sz w:val="20"/>
              </w:rPr>
            </w:pPr>
            <w:r>
              <w:rPr>
                <w:snapToGrid/>
                <w:sz w:val="20"/>
              </w:rPr>
              <w:t>9.1</w:t>
            </w:r>
          </w:p>
        </w:tc>
      </w:tr>
      <w:tr w:rsidR="00000000">
        <w:tblPrEx>
          <w:tblCellMar>
            <w:top w:w="0" w:type="dxa"/>
            <w:bottom w:w="0" w:type="dxa"/>
          </w:tblCellMar>
        </w:tblPrEx>
        <w:tc>
          <w:tcPr>
            <w:tcW w:w="1718" w:type="dxa"/>
          </w:tcPr>
          <w:p w:rsidR="00000000" w:rsidRDefault="009C1C61">
            <w:pPr>
              <w:pStyle w:val="a2"/>
              <w:jc w:val="center"/>
              <w:rPr>
                <w:rFonts w:hint="eastAsia"/>
                <w:snapToGrid/>
                <w:sz w:val="20"/>
              </w:rPr>
            </w:pPr>
            <w:r>
              <w:rPr>
                <w:rFonts w:hint="eastAsia"/>
                <w:snapToGrid/>
                <w:sz w:val="20"/>
              </w:rPr>
              <w:t>累计增长率</w:t>
            </w:r>
            <w:r>
              <w:rPr>
                <w:rFonts w:hint="eastAsia"/>
                <w:snapToGrid/>
                <w:sz w:val="20"/>
              </w:rPr>
              <w:t>(%)</w:t>
            </w:r>
          </w:p>
        </w:tc>
        <w:tc>
          <w:tcPr>
            <w:tcW w:w="2470" w:type="dxa"/>
          </w:tcPr>
          <w:p w:rsidR="00000000" w:rsidRDefault="009C1C61">
            <w:pPr>
              <w:pStyle w:val="a2"/>
              <w:rPr>
                <w:rFonts w:hint="eastAsia"/>
                <w:snapToGrid/>
                <w:sz w:val="20"/>
              </w:rPr>
            </w:pPr>
          </w:p>
        </w:tc>
        <w:tc>
          <w:tcPr>
            <w:tcW w:w="1300" w:type="dxa"/>
          </w:tcPr>
          <w:p w:rsidR="00000000" w:rsidRDefault="009C1C61">
            <w:pPr>
              <w:pStyle w:val="a2"/>
              <w:jc w:val="center"/>
              <w:rPr>
                <w:snapToGrid/>
                <w:sz w:val="20"/>
              </w:rPr>
            </w:pPr>
            <w:r>
              <w:rPr>
                <w:snapToGrid/>
                <w:sz w:val="20"/>
              </w:rPr>
              <w:t>112.1</w:t>
            </w:r>
          </w:p>
        </w:tc>
        <w:tc>
          <w:tcPr>
            <w:tcW w:w="2415" w:type="dxa"/>
          </w:tcPr>
          <w:p w:rsidR="00000000" w:rsidRDefault="009C1C61">
            <w:pPr>
              <w:pStyle w:val="a2"/>
              <w:ind w:right="113"/>
              <w:jc w:val="right"/>
              <w:rPr>
                <w:rFonts w:hint="eastAsia"/>
                <w:snapToGrid/>
                <w:sz w:val="20"/>
              </w:rPr>
            </w:pPr>
          </w:p>
        </w:tc>
        <w:tc>
          <w:tcPr>
            <w:tcW w:w="1365" w:type="dxa"/>
          </w:tcPr>
          <w:p w:rsidR="00000000" w:rsidRDefault="009C1C61">
            <w:pPr>
              <w:pStyle w:val="a2"/>
              <w:jc w:val="center"/>
              <w:rPr>
                <w:snapToGrid/>
                <w:sz w:val="20"/>
              </w:rPr>
            </w:pPr>
            <w:r>
              <w:rPr>
                <w:snapToGrid/>
                <w:sz w:val="20"/>
              </w:rPr>
              <w:t>165.7</w:t>
            </w:r>
          </w:p>
        </w:tc>
      </w:tr>
    </w:tbl>
    <w:p w:rsidR="00000000" w:rsidRDefault="009C1C61">
      <w:pPr>
        <w:pStyle w:val="FootnoteText"/>
        <w:spacing w:before="240" w:line="240" w:lineRule="auto"/>
        <w:rPr>
          <w:rFonts w:hint="eastAsia"/>
        </w:rPr>
      </w:pPr>
      <w:r>
        <w:rPr>
          <w:rFonts w:hint="eastAsia"/>
          <w:u w:val="single"/>
        </w:rPr>
        <w:t>资料来源</w:t>
      </w:r>
      <w:r>
        <w:rPr>
          <w:rFonts w:hint="eastAsia"/>
        </w:rPr>
        <w:t>：规划与合作部</w:t>
      </w:r>
      <w:r>
        <w:rPr>
          <w:rFonts w:hint="eastAsia"/>
        </w:rPr>
        <w:t>1990</w:t>
      </w:r>
      <w:r>
        <w:rPr>
          <w:rFonts w:hint="eastAsia"/>
        </w:rPr>
        <w:t>－</w:t>
      </w:r>
      <w:r>
        <w:rPr>
          <w:rFonts w:hint="eastAsia"/>
        </w:rPr>
        <w:t>2000</w:t>
      </w:r>
      <w:r>
        <w:rPr>
          <w:rFonts w:hint="eastAsia"/>
        </w:rPr>
        <w:t>年经济社会指标，经济部。</w:t>
      </w:r>
    </w:p>
    <w:p w:rsidR="00000000" w:rsidRDefault="009C1C61">
      <w:pPr>
        <w:pStyle w:val="FootnoteText"/>
        <w:tabs>
          <w:tab w:val="left" w:pos="1820"/>
        </w:tabs>
        <w:spacing w:after="300" w:line="240" w:lineRule="auto"/>
        <w:ind w:left="1820" w:hanging="530"/>
        <w:rPr>
          <w:rFonts w:hint="eastAsia"/>
        </w:rPr>
      </w:pPr>
      <w:r>
        <w:rPr>
          <w:rFonts w:hint="eastAsia"/>
        </w:rPr>
        <w:t>*</w:t>
      </w:r>
      <w:r>
        <w:rPr>
          <w:rFonts w:hint="eastAsia"/>
        </w:rPr>
        <w:tab/>
      </w:r>
      <w:r>
        <w:rPr>
          <w:rFonts w:hint="eastAsia"/>
        </w:rPr>
        <w:t>用于福利的政府支出是中央政府的福利支出。用于福利的财政支出是公库的福利支出。</w:t>
      </w:r>
    </w:p>
    <w:p w:rsidR="00000000" w:rsidRDefault="009C1C61">
      <w:pPr>
        <w:rPr>
          <w:rFonts w:hint="eastAsia"/>
          <w:snapToGrid/>
        </w:rPr>
      </w:pPr>
      <w:r>
        <w:rPr>
          <w:rFonts w:hint="eastAsia"/>
          <w:snapToGrid/>
        </w:rPr>
        <w:tab/>
        <w:t xml:space="preserve">500.  </w:t>
      </w:r>
      <w:r>
        <w:rPr>
          <w:rFonts w:hint="eastAsia"/>
          <w:snapToGrid/>
        </w:rPr>
        <w:t>财政支出为公共福利支出提供的资金，</w:t>
      </w:r>
      <w:r>
        <w:rPr>
          <w:rFonts w:hint="eastAsia"/>
          <w:snapToGrid/>
        </w:rPr>
        <w:t>1996</w:t>
      </w:r>
      <w:r>
        <w:rPr>
          <w:rFonts w:hint="eastAsia"/>
          <w:snapToGrid/>
        </w:rPr>
        <w:t>年为</w:t>
      </w:r>
      <w:r>
        <w:rPr>
          <w:rFonts w:hint="eastAsia"/>
          <w:snapToGrid/>
        </w:rPr>
        <w:t>76.</w:t>
      </w:r>
      <w:r>
        <w:rPr>
          <w:snapToGrid/>
        </w:rPr>
        <w:t>6%</w:t>
      </w:r>
      <w:r>
        <w:rPr>
          <w:rFonts w:hint="eastAsia"/>
          <w:snapToGrid/>
        </w:rPr>
        <w:t>，</w:t>
      </w:r>
      <w:r>
        <w:rPr>
          <w:rFonts w:hint="eastAsia"/>
          <w:snapToGrid/>
        </w:rPr>
        <w:t>1995</w:t>
      </w:r>
      <w:r>
        <w:rPr>
          <w:rFonts w:hint="eastAsia"/>
          <w:snapToGrid/>
        </w:rPr>
        <w:t>年增加到</w:t>
      </w:r>
      <w:r>
        <w:rPr>
          <w:snapToGrid/>
        </w:rPr>
        <w:t>81</w:t>
      </w:r>
      <w:r>
        <w:rPr>
          <w:snapToGrid/>
        </w:rPr>
        <w:t>.6%</w:t>
      </w:r>
      <w:r>
        <w:rPr>
          <w:rFonts w:hint="eastAsia"/>
          <w:snapToGrid/>
        </w:rPr>
        <w:t>，</w:t>
      </w:r>
      <w:r>
        <w:rPr>
          <w:rFonts w:hint="eastAsia"/>
          <w:snapToGrid/>
        </w:rPr>
        <w:t>2000</w:t>
      </w:r>
      <w:r>
        <w:rPr>
          <w:rFonts w:hint="eastAsia"/>
          <w:snapToGrid/>
        </w:rPr>
        <w:t>年又增加到</w:t>
      </w:r>
      <w:r>
        <w:rPr>
          <w:snapToGrid/>
        </w:rPr>
        <w:t>84.5%</w:t>
      </w:r>
      <w:r>
        <w:rPr>
          <w:rFonts w:hint="eastAsia"/>
          <w:snapToGrid/>
        </w:rPr>
        <w:t>。自</w:t>
      </w:r>
      <w:r>
        <w:rPr>
          <w:rFonts w:hint="eastAsia"/>
          <w:snapToGrid/>
        </w:rPr>
        <w:t>1989</w:t>
      </w:r>
      <w:r>
        <w:rPr>
          <w:rFonts w:hint="eastAsia"/>
          <w:snapToGrid/>
        </w:rPr>
        <w:t>年到</w:t>
      </w:r>
      <w:r>
        <w:rPr>
          <w:rFonts w:hint="eastAsia"/>
          <w:snapToGrid/>
        </w:rPr>
        <w:t>2000</w:t>
      </w:r>
      <w:r>
        <w:rPr>
          <w:rFonts w:hint="eastAsia"/>
          <w:snapToGrid/>
        </w:rPr>
        <w:t>年，人均公共福利支出增长了</w:t>
      </w:r>
      <w:r>
        <w:rPr>
          <w:snapToGrid/>
        </w:rPr>
        <w:t>79.8%</w:t>
      </w:r>
      <w:r>
        <w:rPr>
          <w:rFonts w:hint="eastAsia"/>
          <w:snapToGrid/>
        </w:rPr>
        <w:t>，人均财政福利支出增长了</w:t>
      </w:r>
      <w:r>
        <w:rPr>
          <w:snapToGrid/>
        </w:rPr>
        <w:t>116.7%</w:t>
      </w:r>
      <w:r>
        <w:rPr>
          <w:rFonts w:hint="eastAsia"/>
          <w:snapToGrid/>
        </w:rPr>
        <w:t>。</w:t>
      </w:r>
      <w:r>
        <w:rPr>
          <w:rFonts w:hint="eastAsia"/>
          <w:snapToGrid/>
        </w:rPr>
        <w:t>2000</w:t>
      </w:r>
      <w:r>
        <w:rPr>
          <w:rFonts w:hint="eastAsia"/>
          <w:snapToGrid/>
        </w:rPr>
        <w:t>年，人均公共福利支出达</w:t>
      </w:r>
      <w:r>
        <w:rPr>
          <w:rFonts w:hint="eastAsia"/>
          <w:snapToGrid/>
        </w:rPr>
        <w:t>763</w:t>
      </w:r>
      <w:r>
        <w:rPr>
          <w:rFonts w:hint="eastAsia"/>
          <w:snapToGrid/>
        </w:rPr>
        <w:t>美元，人均财政福利支出达</w:t>
      </w:r>
      <w:r>
        <w:rPr>
          <w:rFonts w:hint="eastAsia"/>
          <w:snapToGrid/>
        </w:rPr>
        <w:t>645</w:t>
      </w:r>
      <w:r>
        <w:rPr>
          <w:rFonts w:hint="eastAsia"/>
          <w:snapToGrid/>
        </w:rPr>
        <w:t>美元。</w:t>
      </w:r>
      <w:r>
        <w:rPr>
          <w:rStyle w:val="FootnoteReference"/>
          <w:snapToGrid/>
        </w:rPr>
        <w:footnoteReference w:id="244"/>
      </w:r>
    </w:p>
    <w:p w:rsidR="00000000" w:rsidRDefault="009C1C61">
      <w:pPr>
        <w:rPr>
          <w:rFonts w:hint="eastAsia"/>
          <w:snapToGrid/>
        </w:rPr>
      </w:pPr>
      <w:r>
        <w:rPr>
          <w:rFonts w:hint="eastAsia"/>
          <w:snapToGrid/>
        </w:rPr>
        <w:tab/>
        <w:t>501.  1990</w:t>
      </w:r>
      <w:r>
        <w:rPr>
          <w:rFonts w:hint="eastAsia"/>
          <w:snapToGrid/>
        </w:rPr>
        <w:t>到</w:t>
      </w:r>
      <w:r>
        <w:rPr>
          <w:rFonts w:hint="eastAsia"/>
          <w:snapToGrid/>
        </w:rPr>
        <w:t>2000</w:t>
      </w:r>
      <w:r>
        <w:rPr>
          <w:rFonts w:hint="eastAsia"/>
          <w:snapToGrid/>
        </w:rPr>
        <w:t>年期间，国内生产总值的财政支出部分由</w:t>
      </w:r>
      <w:r>
        <w:rPr>
          <w:rFonts w:hint="eastAsia"/>
          <w:snapToGrid/>
        </w:rPr>
        <w:t>16.</w:t>
      </w:r>
      <w:r>
        <w:rPr>
          <w:snapToGrid/>
        </w:rPr>
        <w:t>4%</w:t>
      </w:r>
      <w:r>
        <w:rPr>
          <w:rFonts w:hint="eastAsia"/>
          <w:snapToGrid/>
        </w:rPr>
        <w:t>增加到</w:t>
      </w:r>
      <w:r>
        <w:rPr>
          <w:snapToGrid/>
        </w:rPr>
        <w:t>20.2%</w:t>
      </w:r>
      <w:r>
        <w:rPr>
          <w:rFonts w:hint="eastAsia"/>
          <w:snapToGrid/>
        </w:rPr>
        <w:t>，国内生产总值的公共支出部分由</w:t>
      </w:r>
      <w:r>
        <w:rPr>
          <w:rFonts w:hint="eastAsia"/>
          <w:snapToGrid/>
        </w:rPr>
        <w:t>21</w:t>
      </w:r>
      <w:r>
        <w:rPr>
          <w:snapToGrid/>
        </w:rPr>
        <w:t>%</w:t>
      </w:r>
      <w:r>
        <w:rPr>
          <w:rFonts w:hint="eastAsia"/>
          <w:snapToGrid/>
        </w:rPr>
        <w:t>增加到</w:t>
      </w:r>
      <w:r>
        <w:rPr>
          <w:rFonts w:hint="eastAsia"/>
          <w:snapToGrid/>
        </w:rPr>
        <w:t>24</w:t>
      </w:r>
      <w:r>
        <w:rPr>
          <w:snapToGrid/>
        </w:rPr>
        <w:t>%</w:t>
      </w:r>
      <w:r>
        <w:rPr>
          <w:rFonts w:hint="eastAsia"/>
          <w:snapToGrid/>
        </w:rPr>
        <w:t>。</w:t>
      </w:r>
      <w:r>
        <w:rPr>
          <w:rFonts w:hint="eastAsia"/>
          <w:snapToGrid/>
        </w:rPr>
        <w:t>2000</w:t>
      </w:r>
      <w:r>
        <w:rPr>
          <w:rFonts w:hint="eastAsia"/>
          <w:snapToGrid/>
        </w:rPr>
        <w:t>年，公共支出和财政支出的福利投入分别占国内生产总值的</w:t>
      </w:r>
      <w:r>
        <w:rPr>
          <w:snapToGrid/>
        </w:rPr>
        <w:t>16.6%</w:t>
      </w:r>
      <w:r>
        <w:rPr>
          <w:rFonts w:hint="eastAsia"/>
          <w:snapToGrid/>
        </w:rPr>
        <w:t>和</w:t>
      </w:r>
      <w:r>
        <w:rPr>
          <w:rFonts w:hint="eastAsia"/>
          <w:snapToGrid/>
        </w:rPr>
        <w:t>14</w:t>
      </w:r>
      <w:r>
        <w:rPr>
          <w:snapToGrid/>
        </w:rPr>
        <w:t>%</w:t>
      </w:r>
      <w:r>
        <w:rPr>
          <w:rFonts w:hint="eastAsia"/>
          <w:snapToGrid/>
        </w:rPr>
        <w:t>，二者均超过了</w:t>
      </w:r>
      <w:r>
        <w:rPr>
          <w:rFonts w:hint="eastAsia"/>
          <w:snapToGrid/>
        </w:rPr>
        <w:t>1999</w:t>
      </w:r>
      <w:r>
        <w:rPr>
          <w:rFonts w:hint="eastAsia"/>
          <w:snapToGrid/>
        </w:rPr>
        <w:t>年记录的数字</w:t>
      </w:r>
      <w:r>
        <w:rPr>
          <w:rFonts w:hint="eastAsia"/>
          <w:snapToGrid/>
        </w:rPr>
        <w:t>(</w:t>
      </w:r>
      <w:r>
        <w:rPr>
          <w:rFonts w:hint="eastAsia"/>
          <w:snapToGrid/>
        </w:rPr>
        <w:t>分别为</w:t>
      </w:r>
      <w:r>
        <w:rPr>
          <w:snapToGrid/>
        </w:rPr>
        <w:t>12.9%</w:t>
      </w:r>
      <w:r>
        <w:rPr>
          <w:rFonts w:hint="eastAsia"/>
          <w:snapToGrid/>
        </w:rPr>
        <w:t>和</w:t>
      </w:r>
      <w:r>
        <w:rPr>
          <w:snapToGrid/>
        </w:rPr>
        <w:t>9.9%</w:t>
      </w:r>
      <w:r>
        <w:rPr>
          <w:rFonts w:hint="eastAsia"/>
          <w:snapToGrid/>
        </w:rPr>
        <w:t>)</w:t>
      </w:r>
      <w:r>
        <w:rPr>
          <w:rFonts w:hint="eastAsia"/>
          <w:snapToGrid/>
        </w:rPr>
        <w:t>。</w:t>
      </w:r>
      <w:r>
        <w:rPr>
          <w:rStyle w:val="FootnoteReference"/>
          <w:snapToGrid/>
        </w:rPr>
        <w:footnoteReference w:id="245"/>
      </w:r>
    </w:p>
    <w:p w:rsidR="00000000" w:rsidRDefault="009C1C61">
      <w:pPr>
        <w:spacing w:after="320"/>
        <w:rPr>
          <w:rFonts w:hint="eastAsia"/>
          <w:snapToGrid/>
        </w:rPr>
      </w:pPr>
      <w:r>
        <w:rPr>
          <w:rFonts w:hint="eastAsia"/>
          <w:snapToGrid/>
        </w:rPr>
        <w:tab/>
        <w:t>502.</w:t>
      </w:r>
      <w:r>
        <w:rPr>
          <w:rFonts w:hint="eastAsia"/>
          <w:snapToGrid/>
        </w:rPr>
        <w:t xml:space="preserve">  </w:t>
      </w:r>
      <w:r>
        <w:rPr>
          <w:rFonts w:hint="eastAsia"/>
          <w:snapToGrid/>
        </w:rPr>
        <w:t>自</w:t>
      </w:r>
      <w:r>
        <w:rPr>
          <w:rFonts w:hint="eastAsia"/>
          <w:snapToGrid/>
        </w:rPr>
        <w:t>1989</w:t>
      </w:r>
      <w:r>
        <w:rPr>
          <w:rFonts w:hint="eastAsia"/>
          <w:snapToGrid/>
        </w:rPr>
        <w:t>到</w:t>
      </w:r>
      <w:r>
        <w:rPr>
          <w:rFonts w:hint="eastAsia"/>
          <w:snapToGrid/>
        </w:rPr>
        <w:t>2000</w:t>
      </w:r>
      <w:r>
        <w:rPr>
          <w:rFonts w:hint="eastAsia"/>
          <w:snapToGrid/>
        </w:rPr>
        <w:t>年，各个福利部门的公共支出和财政支出都增加了。教育、卫生和其他社会投资方案的支出高于平均增长水平，养恤金和货币津贴低于平均增长数</w:t>
      </w:r>
      <w:r>
        <w:rPr>
          <w:rFonts w:hint="eastAsia"/>
          <w:snapToGrid/>
        </w:rPr>
        <w:t>(</w:t>
      </w:r>
      <w:r>
        <w:rPr>
          <w:rFonts w:hint="eastAsia"/>
          <w:snapToGrid/>
        </w:rPr>
        <w:t>见表</w:t>
      </w:r>
      <w:r>
        <w:rPr>
          <w:rFonts w:hint="eastAsia"/>
          <w:snapToGrid/>
        </w:rPr>
        <w:t>17)</w:t>
      </w:r>
      <w:r>
        <w:rPr>
          <w:rFonts w:hint="eastAsia"/>
          <w:snapToGrid/>
        </w:rPr>
        <w:t>。</w:t>
      </w:r>
    </w:p>
    <w:p w:rsidR="00000000" w:rsidRDefault="009C1C61">
      <w:pPr>
        <w:pStyle w:val="Heading3"/>
        <w:spacing w:after="120"/>
        <w:rPr>
          <w:rFonts w:hint="eastAsia"/>
          <w:b/>
          <w:bCs/>
        </w:rPr>
      </w:pPr>
      <w:r>
        <w:rPr>
          <w:rFonts w:hint="eastAsia"/>
        </w:rPr>
        <w:t>表</w:t>
      </w:r>
      <w:r>
        <w:rPr>
          <w:rFonts w:hint="eastAsia"/>
        </w:rPr>
        <w:t xml:space="preserve">  </w:t>
      </w:r>
      <w:r>
        <w:rPr>
          <w:rFonts w:hint="eastAsia"/>
          <w:b/>
          <w:bCs/>
        </w:rPr>
        <w:t>17</w:t>
      </w:r>
    </w:p>
    <w:p w:rsidR="00000000" w:rsidRDefault="009C1C61">
      <w:pPr>
        <w:pStyle w:val="Heading3"/>
        <w:spacing w:after="120"/>
        <w:rPr>
          <w:rFonts w:hint="eastAsia"/>
        </w:rPr>
      </w:pPr>
      <w:r>
        <w:rPr>
          <w:rFonts w:hint="eastAsia"/>
          <w:b/>
        </w:rPr>
        <w:t>1990</w:t>
      </w:r>
      <w:r>
        <w:rPr>
          <w:rFonts w:hint="eastAsia"/>
        </w:rPr>
        <w:t>、</w:t>
      </w:r>
      <w:r>
        <w:rPr>
          <w:rFonts w:hint="eastAsia"/>
          <w:b/>
        </w:rPr>
        <w:t>1995</w:t>
      </w:r>
      <w:r>
        <w:rPr>
          <w:rFonts w:hint="eastAsia"/>
        </w:rPr>
        <w:t>和</w:t>
      </w:r>
      <w:r>
        <w:rPr>
          <w:rFonts w:hint="eastAsia"/>
          <w:b/>
        </w:rPr>
        <w:t>2000</w:t>
      </w:r>
      <w:r>
        <w:rPr>
          <w:rFonts w:hint="eastAsia"/>
        </w:rPr>
        <w:t>年公共福利支出和财政福利支出的</w:t>
      </w:r>
      <w:r>
        <w:br/>
      </w:r>
      <w:r>
        <w:rPr>
          <w:rFonts w:hint="eastAsia"/>
        </w:rPr>
        <w:t>部门结构</w:t>
      </w:r>
      <w:r>
        <w:rPr>
          <w:rFonts w:hint="eastAsia"/>
        </w:rPr>
        <w:t>(</w:t>
      </w:r>
      <w:r>
        <w:rPr>
          <w:rFonts w:hint="eastAsia"/>
        </w:rPr>
        <w:t>百分比</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3"/>
        <w:gridCol w:w="1242"/>
        <w:gridCol w:w="1243"/>
        <w:gridCol w:w="1242"/>
        <w:gridCol w:w="1243"/>
        <w:gridCol w:w="1242"/>
        <w:gridCol w:w="1243"/>
      </w:tblGrid>
      <w:tr w:rsidR="00000000">
        <w:tblPrEx>
          <w:tblCellMar>
            <w:top w:w="0" w:type="dxa"/>
            <w:bottom w:w="0" w:type="dxa"/>
          </w:tblCellMar>
        </w:tblPrEx>
        <w:trPr>
          <w:cantSplit/>
        </w:trPr>
        <w:tc>
          <w:tcPr>
            <w:tcW w:w="1813" w:type="dxa"/>
            <w:vMerge w:val="restart"/>
          </w:tcPr>
          <w:p w:rsidR="00000000" w:rsidRDefault="009C1C61">
            <w:pPr>
              <w:pStyle w:val="a2"/>
              <w:jc w:val="center"/>
              <w:rPr>
                <w:rFonts w:hint="eastAsia"/>
                <w:snapToGrid/>
              </w:rPr>
            </w:pPr>
            <w:r>
              <w:rPr>
                <w:rFonts w:hint="eastAsia"/>
                <w:snapToGrid/>
              </w:rPr>
              <w:t>福利部门</w:t>
            </w:r>
          </w:p>
        </w:tc>
        <w:tc>
          <w:tcPr>
            <w:tcW w:w="3727" w:type="dxa"/>
            <w:gridSpan w:val="3"/>
          </w:tcPr>
          <w:p w:rsidR="00000000" w:rsidRDefault="009C1C61">
            <w:pPr>
              <w:pStyle w:val="a2"/>
              <w:jc w:val="center"/>
              <w:rPr>
                <w:rFonts w:hint="eastAsia"/>
                <w:snapToGrid/>
              </w:rPr>
            </w:pPr>
            <w:r>
              <w:rPr>
                <w:rFonts w:hint="eastAsia"/>
                <w:snapToGrid/>
              </w:rPr>
              <w:t>公共福利支出</w:t>
            </w:r>
          </w:p>
        </w:tc>
        <w:tc>
          <w:tcPr>
            <w:tcW w:w="3728" w:type="dxa"/>
            <w:gridSpan w:val="3"/>
          </w:tcPr>
          <w:p w:rsidR="00000000" w:rsidRDefault="009C1C61">
            <w:pPr>
              <w:pStyle w:val="a2"/>
              <w:jc w:val="center"/>
              <w:rPr>
                <w:rFonts w:hint="eastAsia"/>
                <w:snapToGrid/>
              </w:rPr>
            </w:pPr>
            <w:r>
              <w:rPr>
                <w:rFonts w:hint="eastAsia"/>
                <w:snapToGrid/>
              </w:rPr>
              <w:t>财政福利支出</w:t>
            </w:r>
          </w:p>
        </w:tc>
      </w:tr>
      <w:tr w:rsidR="00000000">
        <w:tblPrEx>
          <w:tblCellMar>
            <w:top w:w="0" w:type="dxa"/>
            <w:bottom w:w="0" w:type="dxa"/>
          </w:tblCellMar>
        </w:tblPrEx>
        <w:trPr>
          <w:cantSplit/>
        </w:trPr>
        <w:tc>
          <w:tcPr>
            <w:tcW w:w="1813" w:type="dxa"/>
            <w:vMerge/>
            <w:tcBorders>
              <w:bottom w:val="single" w:sz="4" w:space="0" w:color="auto"/>
            </w:tcBorders>
          </w:tcPr>
          <w:p w:rsidR="00000000" w:rsidRDefault="009C1C61">
            <w:pPr>
              <w:pStyle w:val="a2"/>
              <w:jc w:val="center"/>
              <w:rPr>
                <w:rFonts w:hint="eastAsia"/>
                <w:snapToGrid/>
              </w:rPr>
            </w:pPr>
          </w:p>
        </w:tc>
        <w:tc>
          <w:tcPr>
            <w:tcW w:w="1242" w:type="dxa"/>
            <w:tcBorders>
              <w:bottom w:val="single" w:sz="4" w:space="0" w:color="auto"/>
            </w:tcBorders>
          </w:tcPr>
          <w:p w:rsidR="00000000" w:rsidRDefault="009C1C61">
            <w:pPr>
              <w:pStyle w:val="a2"/>
              <w:ind w:right="113"/>
              <w:jc w:val="right"/>
              <w:rPr>
                <w:rFonts w:hint="eastAsia"/>
                <w:snapToGrid/>
              </w:rPr>
            </w:pPr>
            <w:r>
              <w:rPr>
                <w:rFonts w:hint="eastAsia"/>
                <w:snapToGrid/>
              </w:rPr>
              <w:t>1990</w:t>
            </w:r>
          </w:p>
        </w:tc>
        <w:tc>
          <w:tcPr>
            <w:tcW w:w="1243" w:type="dxa"/>
            <w:tcBorders>
              <w:bottom w:val="single" w:sz="4" w:space="0" w:color="auto"/>
            </w:tcBorders>
          </w:tcPr>
          <w:p w:rsidR="00000000" w:rsidRDefault="009C1C61">
            <w:pPr>
              <w:pStyle w:val="a2"/>
              <w:ind w:right="113"/>
              <w:jc w:val="right"/>
              <w:rPr>
                <w:rFonts w:hint="eastAsia"/>
                <w:snapToGrid/>
              </w:rPr>
            </w:pPr>
            <w:r>
              <w:rPr>
                <w:rFonts w:hint="eastAsia"/>
                <w:snapToGrid/>
              </w:rPr>
              <w:t>1995</w:t>
            </w:r>
          </w:p>
        </w:tc>
        <w:tc>
          <w:tcPr>
            <w:tcW w:w="1242" w:type="dxa"/>
            <w:tcBorders>
              <w:bottom w:val="single" w:sz="4" w:space="0" w:color="auto"/>
            </w:tcBorders>
          </w:tcPr>
          <w:p w:rsidR="00000000" w:rsidRDefault="009C1C61">
            <w:pPr>
              <w:pStyle w:val="a2"/>
              <w:ind w:right="113"/>
              <w:jc w:val="right"/>
              <w:rPr>
                <w:rFonts w:hint="eastAsia"/>
                <w:snapToGrid/>
              </w:rPr>
            </w:pPr>
            <w:r>
              <w:rPr>
                <w:rFonts w:hint="eastAsia"/>
                <w:snapToGrid/>
              </w:rPr>
              <w:t>2000</w:t>
            </w:r>
          </w:p>
        </w:tc>
        <w:tc>
          <w:tcPr>
            <w:tcW w:w="1243" w:type="dxa"/>
            <w:tcBorders>
              <w:bottom w:val="single" w:sz="4" w:space="0" w:color="auto"/>
            </w:tcBorders>
          </w:tcPr>
          <w:p w:rsidR="00000000" w:rsidRDefault="009C1C61">
            <w:pPr>
              <w:pStyle w:val="a2"/>
              <w:ind w:right="113"/>
              <w:jc w:val="right"/>
              <w:rPr>
                <w:rFonts w:hint="eastAsia"/>
                <w:snapToGrid/>
              </w:rPr>
            </w:pPr>
            <w:r>
              <w:rPr>
                <w:rFonts w:hint="eastAsia"/>
                <w:snapToGrid/>
              </w:rPr>
              <w:t>1990</w:t>
            </w:r>
          </w:p>
        </w:tc>
        <w:tc>
          <w:tcPr>
            <w:tcW w:w="1242" w:type="dxa"/>
            <w:tcBorders>
              <w:bottom w:val="single" w:sz="4" w:space="0" w:color="auto"/>
            </w:tcBorders>
          </w:tcPr>
          <w:p w:rsidR="00000000" w:rsidRDefault="009C1C61">
            <w:pPr>
              <w:pStyle w:val="a2"/>
              <w:ind w:right="113"/>
              <w:jc w:val="right"/>
              <w:rPr>
                <w:rFonts w:hint="eastAsia"/>
                <w:snapToGrid/>
              </w:rPr>
            </w:pPr>
            <w:r>
              <w:rPr>
                <w:rFonts w:hint="eastAsia"/>
                <w:snapToGrid/>
              </w:rPr>
              <w:t>1995</w:t>
            </w:r>
          </w:p>
        </w:tc>
        <w:tc>
          <w:tcPr>
            <w:tcW w:w="1243" w:type="dxa"/>
            <w:tcBorders>
              <w:bottom w:val="single" w:sz="4" w:space="0" w:color="auto"/>
            </w:tcBorders>
          </w:tcPr>
          <w:p w:rsidR="00000000" w:rsidRDefault="009C1C61">
            <w:pPr>
              <w:pStyle w:val="a2"/>
              <w:ind w:right="113"/>
              <w:jc w:val="right"/>
              <w:rPr>
                <w:rFonts w:hint="eastAsia"/>
                <w:snapToGrid/>
              </w:rPr>
            </w:pPr>
            <w:r>
              <w:rPr>
                <w:rFonts w:hint="eastAsia"/>
                <w:snapToGrid/>
              </w:rPr>
              <w:t>2000</w:t>
            </w:r>
          </w:p>
        </w:tc>
      </w:tr>
      <w:tr w:rsidR="00000000">
        <w:tblPrEx>
          <w:tblCellMar>
            <w:top w:w="0" w:type="dxa"/>
            <w:bottom w:w="0" w:type="dxa"/>
          </w:tblCellMar>
        </w:tblPrEx>
        <w:tc>
          <w:tcPr>
            <w:tcW w:w="1813" w:type="dxa"/>
            <w:tcBorders>
              <w:bottom w:val="nil"/>
            </w:tcBorders>
          </w:tcPr>
          <w:p w:rsidR="00000000" w:rsidRDefault="009C1C61">
            <w:pPr>
              <w:pStyle w:val="a2"/>
              <w:jc w:val="center"/>
              <w:rPr>
                <w:rFonts w:hint="eastAsia"/>
                <w:snapToGrid/>
              </w:rPr>
            </w:pPr>
            <w:r>
              <w:rPr>
                <w:rFonts w:hint="eastAsia"/>
                <w:snapToGrid/>
              </w:rPr>
              <w:t>卫生</w:t>
            </w:r>
          </w:p>
        </w:tc>
        <w:tc>
          <w:tcPr>
            <w:tcW w:w="1242" w:type="dxa"/>
            <w:tcBorders>
              <w:bottom w:val="nil"/>
            </w:tcBorders>
          </w:tcPr>
          <w:p w:rsidR="00000000" w:rsidRDefault="009C1C61">
            <w:pPr>
              <w:pStyle w:val="a2"/>
              <w:ind w:right="113"/>
              <w:jc w:val="right"/>
              <w:rPr>
                <w:snapToGrid/>
              </w:rPr>
            </w:pPr>
            <w:r>
              <w:rPr>
                <w:snapToGrid/>
              </w:rPr>
              <w:t>15.3</w:t>
            </w:r>
          </w:p>
        </w:tc>
        <w:tc>
          <w:tcPr>
            <w:tcW w:w="1243" w:type="dxa"/>
            <w:tcBorders>
              <w:bottom w:val="nil"/>
            </w:tcBorders>
          </w:tcPr>
          <w:p w:rsidR="00000000" w:rsidRDefault="009C1C61">
            <w:pPr>
              <w:pStyle w:val="a2"/>
              <w:ind w:right="113"/>
              <w:jc w:val="right"/>
              <w:rPr>
                <w:snapToGrid/>
              </w:rPr>
            </w:pPr>
            <w:r>
              <w:rPr>
                <w:snapToGrid/>
              </w:rPr>
              <w:t>18.0</w:t>
            </w:r>
          </w:p>
        </w:tc>
        <w:tc>
          <w:tcPr>
            <w:tcW w:w="1242" w:type="dxa"/>
            <w:tcBorders>
              <w:bottom w:val="nil"/>
            </w:tcBorders>
          </w:tcPr>
          <w:p w:rsidR="00000000" w:rsidRDefault="009C1C61">
            <w:pPr>
              <w:pStyle w:val="a2"/>
              <w:ind w:right="113"/>
              <w:jc w:val="right"/>
              <w:rPr>
                <w:snapToGrid/>
              </w:rPr>
            </w:pPr>
            <w:r>
              <w:rPr>
                <w:snapToGrid/>
              </w:rPr>
              <w:t>17.6</w:t>
            </w:r>
          </w:p>
        </w:tc>
        <w:tc>
          <w:tcPr>
            <w:tcW w:w="1243" w:type="dxa"/>
            <w:tcBorders>
              <w:bottom w:val="nil"/>
            </w:tcBorders>
          </w:tcPr>
          <w:p w:rsidR="00000000" w:rsidRDefault="009C1C61">
            <w:pPr>
              <w:pStyle w:val="a2"/>
              <w:ind w:right="113"/>
              <w:jc w:val="right"/>
              <w:rPr>
                <w:snapToGrid/>
              </w:rPr>
            </w:pPr>
            <w:r>
              <w:rPr>
                <w:snapToGrid/>
              </w:rPr>
              <w:t>7.5</w:t>
            </w:r>
          </w:p>
        </w:tc>
        <w:tc>
          <w:tcPr>
            <w:tcW w:w="1242" w:type="dxa"/>
            <w:tcBorders>
              <w:bottom w:val="nil"/>
            </w:tcBorders>
          </w:tcPr>
          <w:p w:rsidR="00000000" w:rsidRDefault="009C1C61">
            <w:pPr>
              <w:pStyle w:val="a2"/>
              <w:ind w:right="113"/>
              <w:jc w:val="right"/>
              <w:rPr>
                <w:snapToGrid/>
              </w:rPr>
            </w:pPr>
            <w:r>
              <w:rPr>
                <w:snapToGrid/>
              </w:rPr>
              <w:t>10.2</w:t>
            </w:r>
          </w:p>
        </w:tc>
        <w:tc>
          <w:tcPr>
            <w:tcW w:w="1243" w:type="dxa"/>
            <w:tcBorders>
              <w:bottom w:val="nil"/>
            </w:tcBorders>
          </w:tcPr>
          <w:p w:rsidR="00000000" w:rsidRDefault="009C1C61">
            <w:pPr>
              <w:pStyle w:val="a2"/>
              <w:ind w:right="113"/>
              <w:jc w:val="right"/>
              <w:rPr>
                <w:snapToGrid/>
              </w:rPr>
            </w:pPr>
            <w:r>
              <w:rPr>
                <w:snapToGrid/>
              </w:rPr>
              <w:t>9.6</w:t>
            </w:r>
          </w:p>
        </w:tc>
      </w:tr>
      <w:tr w:rsidR="00000000">
        <w:tblPrEx>
          <w:tblCellMar>
            <w:top w:w="0" w:type="dxa"/>
            <w:bottom w:w="0" w:type="dxa"/>
          </w:tblCellMar>
        </w:tblPrEx>
        <w:tc>
          <w:tcPr>
            <w:tcW w:w="1813" w:type="dxa"/>
            <w:tcBorders>
              <w:top w:val="nil"/>
              <w:bottom w:val="nil"/>
            </w:tcBorders>
          </w:tcPr>
          <w:p w:rsidR="00000000" w:rsidRDefault="009C1C61">
            <w:pPr>
              <w:pStyle w:val="a2"/>
              <w:jc w:val="center"/>
              <w:rPr>
                <w:rFonts w:hint="eastAsia"/>
                <w:snapToGrid/>
              </w:rPr>
            </w:pPr>
            <w:r>
              <w:rPr>
                <w:rFonts w:hint="eastAsia"/>
                <w:snapToGrid/>
              </w:rPr>
              <w:t>住房</w:t>
            </w:r>
          </w:p>
        </w:tc>
        <w:tc>
          <w:tcPr>
            <w:tcW w:w="1242" w:type="dxa"/>
            <w:tcBorders>
              <w:top w:val="nil"/>
              <w:bottom w:val="nil"/>
            </w:tcBorders>
          </w:tcPr>
          <w:p w:rsidR="00000000" w:rsidRDefault="009C1C61">
            <w:pPr>
              <w:pStyle w:val="a2"/>
              <w:ind w:right="113"/>
              <w:jc w:val="right"/>
              <w:rPr>
                <w:snapToGrid/>
              </w:rPr>
            </w:pPr>
            <w:r>
              <w:rPr>
                <w:snapToGrid/>
              </w:rPr>
              <w:t>8.1</w:t>
            </w:r>
          </w:p>
        </w:tc>
        <w:tc>
          <w:tcPr>
            <w:tcW w:w="1243" w:type="dxa"/>
            <w:tcBorders>
              <w:top w:val="nil"/>
              <w:bottom w:val="nil"/>
            </w:tcBorders>
          </w:tcPr>
          <w:p w:rsidR="00000000" w:rsidRDefault="009C1C61">
            <w:pPr>
              <w:pStyle w:val="a2"/>
              <w:ind w:right="113"/>
              <w:jc w:val="right"/>
              <w:rPr>
                <w:snapToGrid/>
              </w:rPr>
            </w:pPr>
            <w:r>
              <w:rPr>
                <w:snapToGrid/>
              </w:rPr>
              <w:t>8.0</w:t>
            </w:r>
          </w:p>
        </w:tc>
        <w:tc>
          <w:tcPr>
            <w:tcW w:w="1242" w:type="dxa"/>
            <w:tcBorders>
              <w:top w:val="nil"/>
              <w:bottom w:val="nil"/>
            </w:tcBorders>
          </w:tcPr>
          <w:p w:rsidR="00000000" w:rsidRDefault="009C1C61">
            <w:pPr>
              <w:pStyle w:val="a2"/>
              <w:ind w:right="113"/>
              <w:jc w:val="right"/>
              <w:rPr>
                <w:snapToGrid/>
              </w:rPr>
            </w:pPr>
            <w:r>
              <w:rPr>
                <w:snapToGrid/>
              </w:rPr>
              <w:t>5.8</w:t>
            </w:r>
          </w:p>
        </w:tc>
        <w:tc>
          <w:tcPr>
            <w:tcW w:w="1243" w:type="dxa"/>
            <w:tcBorders>
              <w:top w:val="nil"/>
              <w:bottom w:val="nil"/>
            </w:tcBorders>
          </w:tcPr>
          <w:p w:rsidR="00000000" w:rsidRDefault="009C1C61">
            <w:pPr>
              <w:pStyle w:val="a2"/>
              <w:ind w:right="113"/>
              <w:jc w:val="right"/>
              <w:rPr>
                <w:snapToGrid/>
              </w:rPr>
            </w:pPr>
            <w:r>
              <w:rPr>
                <w:snapToGrid/>
              </w:rPr>
              <w:t>6.6</w:t>
            </w:r>
          </w:p>
        </w:tc>
        <w:tc>
          <w:tcPr>
            <w:tcW w:w="1242" w:type="dxa"/>
            <w:tcBorders>
              <w:top w:val="nil"/>
              <w:bottom w:val="nil"/>
            </w:tcBorders>
          </w:tcPr>
          <w:p w:rsidR="00000000" w:rsidRDefault="009C1C61">
            <w:pPr>
              <w:pStyle w:val="a2"/>
              <w:ind w:right="113"/>
              <w:jc w:val="right"/>
              <w:rPr>
                <w:snapToGrid/>
              </w:rPr>
            </w:pPr>
            <w:r>
              <w:rPr>
                <w:snapToGrid/>
              </w:rPr>
              <w:t>8.6</w:t>
            </w:r>
          </w:p>
        </w:tc>
        <w:tc>
          <w:tcPr>
            <w:tcW w:w="1243" w:type="dxa"/>
            <w:tcBorders>
              <w:top w:val="nil"/>
              <w:bottom w:val="nil"/>
            </w:tcBorders>
          </w:tcPr>
          <w:p w:rsidR="00000000" w:rsidRDefault="009C1C61">
            <w:pPr>
              <w:pStyle w:val="a2"/>
              <w:ind w:right="113"/>
              <w:jc w:val="right"/>
              <w:rPr>
                <w:snapToGrid/>
              </w:rPr>
            </w:pPr>
            <w:r>
              <w:rPr>
                <w:snapToGrid/>
              </w:rPr>
              <w:t>5.9</w:t>
            </w:r>
          </w:p>
        </w:tc>
      </w:tr>
      <w:tr w:rsidR="00000000">
        <w:tblPrEx>
          <w:tblCellMar>
            <w:top w:w="0" w:type="dxa"/>
            <w:bottom w:w="0" w:type="dxa"/>
          </w:tblCellMar>
        </w:tblPrEx>
        <w:tc>
          <w:tcPr>
            <w:tcW w:w="1813" w:type="dxa"/>
            <w:tcBorders>
              <w:top w:val="nil"/>
              <w:bottom w:val="nil"/>
            </w:tcBorders>
          </w:tcPr>
          <w:p w:rsidR="00000000" w:rsidRDefault="009C1C61">
            <w:pPr>
              <w:pStyle w:val="a2"/>
              <w:jc w:val="center"/>
              <w:rPr>
                <w:rFonts w:hint="eastAsia"/>
                <w:snapToGrid/>
              </w:rPr>
            </w:pPr>
            <w:r>
              <w:rPr>
                <w:rFonts w:hint="eastAsia"/>
                <w:snapToGrid/>
              </w:rPr>
              <w:t>养恤金</w:t>
            </w:r>
          </w:p>
        </w:tc>
        <w:tc>
          <w:tcPr>
            <w:tcW w:w="1242" w:type="dxa"/>
            <w:tcBorders>
              <w:top w:val="nil"/>
              <w:bottom w:val="nil"/>
            </w:tcBorders>
          </w:tcPr>
          <w:p w:rsidR="00000000" w:rsidRDefault="009C1C61">
            <w:pPr>
              <w:pStyle w:val="a2"/>
              <w:ind w:right="113"/>
              <w:jc w:val="right"/>
              <w:rPr>
                <w:snapToGrid/>
              </w:rPr>
            </w:pPr>
            <w:r>
              <w:rPr>
                <w:snapToGrid/>
              </w:rPr>
              <w:t>49.0</w:t>
            </w:r>
          </w:p>
        </w:tc>
        <w:tc>
          <w:tcPr>
            <w:tcW w:w="1243" w:type="dxa"/>
            <w:tcBorders>
              <w:top w:val="nil"/>
              <w:bottom w:val="nil"/>
            </w:tcBorders>
          </w:tcPr>
          <w:p w:rsidR="00000000" w:rsidRDefault="009C1C61">
            <w:pPr>
              <w:pStyle w:val="a2"/>
              <w:ind w:right="113"/>
              <w:jc w:val="right"/>
              <w:rPr>
                <w:snapToGrid/>
              </w:rPr>
            </w:pPr>
            <w:r>
              <w:rPr>
                <w:snapToGrid/>
              </w:rPr>
              <w:t>42.7</w:t>
            </w:r>
          </w:p>
        </w:tc>
        <w:tc>
          <w:tcPr>
            <w:tcW w:w="1242" w:type="dxa"/>
            <w:tcBorders>
              <w:top w:val="nil"/>
              <w:bottom w:val="nil"/>
            </w:tcBorders>
          </w:tcPr>
          <w:p w:rsidR="00000000" w:rsidRDefault="009C1C61">
            <w:pPr>
              <w:pStyle w:val="a2"/>
              <w:ind w:right="113"/>
              <w:jc w:val="right"/>
              <w:rPr>
                <w:snapToGrid/>
              </w:rPr>
            </w:pPr>
            <w:r>
              <w:rPr>
                <w:snapToGrid/>
              </w:rPr>
              <w:t>41.5</w:t>
            </w:r>
          </w:p>
        </w:tc>
        <w:tc>
          <w:tcPr>
            <w:tcW w:w="1243" w:type="dxa"/>
            <w:tcBorders>
              <w:top w:val="nil"/>
              <w:bottom w:val="nil"/>
            </w:tcBorders>
          </w:tcPr>
          <w:p w:rsidR="00000000" w:rsidRDefault="009C1C61">
            <w:pPr>
              <w:pStyle w:val="a2"/>
              <w:ind w:right="113"/>
              <w:jc w:val="right"/>
              <w:rPr>
                <w:snapToGrid/>
              </w:rPr>
            </w:pPr>
            <w:r>
              <w:rPr>
                <w:snapToGrid/>
              </w:rPr>
              <w:t>52.4</w:t>
            </w:r>
          </w:p>
        </w:tc>
        <w:tc>
          <w:tcPr>
            <w:tcW w:w="1242" w:type="dxa"/>
            <w:tcBorders>
              <w:top w:val="nil"/>
              <w:bottom w:val="nil"/>
            </w:tcBorders>
          </w:tcPr>
          <w:p w:rsidR="00000000" w:rsidRDefault="009C1C61">
            <w:pPr>
              <w:pStyle w:val="a2"/>
              <w:ind w:right="113"/>
              <w:jc w:val="right"/>
              <w:rPr>
                <w:snapToGrid/>
              </w:rPr>
            </w:pPr>
            <w:r>
              <w:rPr>
                <w:snapToGrid/>
              </w:rPr>
              <w:t>45.1</w:t>
            </w:r>
          </w:p>
        </w:tc>
        <w:tc>
          <w:tcPr>
            <w:tcW w:w="1243" w:type="dxa"/>
            <w:tcBorders>
              <w:top w:val="nil"/>
              <w:bottom w:val="nil"/>
            </w:tcBorders>
          </w:tcPr>
          <w:p w:rsidR="00000000" w:rsidRDefault="009C1C61">
            <w:pPr>
              <w:pStyle w:val="a2"/>
              <w:ind w:right="113"/>
              <w:jc w:val="right"/>
              <w:rPr>
                <w:snapToGrid/>
              </w:rPr>
            </w:pPr>
            <w:r>
              <w:rPr>
                <w:snapToGrid/>
              </w:rPr>
              <w:t>44.2</w:t>
            </w:r>
          </w:p>
        </w:tc>
      </w:tr>
      <w:tr w:rsidR="00000000">
        <w:tblPrEx>
          <w:tblCellMar>
            <w:top w:w="0" w:type="dxa"/>
            <w:bottom w:w="0" w:type="dxa"/>
          </w:tblCellMar>
        </w:tblPrEx>
        <w:tc>
          <w:tcPr>
            <w:tcW w:w="1813" w:type="dxa"/>
            <w:tcBorders>
              <w:top w:val="nil"/>
              <w:bottom w:val="nil"/>
            </w:tcBorders>
          </w:tcPr>
          <w:p w:rsidR="00000000" w:rsidRDefault="009C1C61">
            <w:pPr>
              <w:pStyle w:val="a2"/>
              <w:jc w:val="center"/>
              <w:rPr>
                <w:rFonts w:hint="eastAsia"/>
                <w:snapToGrid/>
              </w:rPr>
            </w:pPr>
            <w:r>
              <w:rPr>
                <w:rFonts w:hint="eastAsia"/>
                <w:snapToGrid/>
              </w:rPr>
              <w:t>教育</w:t>
            </w:r>
          </w:p>
        </w:tc>
        <w:tc>
          <w:tcPr>
            <w:tcW w:w="1242" w:type="dxa"/>
            <w:tcBorders>
              <w:top w:val="nil"/>
              <w:bottom w:val="nil"/>
            </w:tcBorders>
          </w:tcPr>
          <w:p w:rsidR="00000000" w:rsidRDefault="009C1C61">
            <w:pPr>
              <w:pStyle w:val="a2"/>
              <w:ind w:right="113"/>
              <w:jc w:val="right"/>
              <w:rPr>
                <w:snapToGrid/>
              </w:rPr>
            </w:pPr>
            <w:r>
              <w:rPr>
                <w:snapToGrid/>
              </w:rPr>
              <w:t>19.5</w:t>
            </w:r>
          </w:p>
        </w:tc>
        <w:tc>
          <w:tcPr>
            <w:tcW w:w="1243" w:type="dxa"/>
            <w:tcBorders>
              <w:top w:val="nil"/>
              <w:bottom w:val="nil"/>
            </w:tcBorders>
          </w:tcPr>
          <w:p w:rsidR="00000000" w:rsidRDefault="009C1C61">
            <w:pPr>
              <w:pStyle w:val="a2"/>
              <w:ind w:right="113"/>
              <w:jc w:val="right"/>
              <w:rPr>
                <w:snapToGrid/>
              </w:rPr>
            </w:pPr>
            <w:r>
              <w:rPr>
                <w:snapToGrid/>
              </w:rPr>
              <w:t>22.3</w:t>
            </w:r>
          </w:p>
        </w:tc>
        <w:tc>
          <w:tcPr>
            <w:tcW w:w="1242" w:type="dxa"/>
            <w:tcBorders>
              <w:top w:val="nil"/>
              <w:bottom w:val="nil"/>
            </w:tcBorders>
          </w:tcPr>
          <w:p w:rsidR="00000000" w:rsidRDefault="009C1C61">
            <w:pPr>
              <w:pStyle w:val="a2"/>
              <w:ind w:right="113"/>
              <w:jc w:val="right"/>
              <w:rPr>
                <w:snapToGrid/>
              </w:rPr>
            </w:pPr>
            <w:r>
              <w:rPr>
                <w:snapToGrid/>
              </w:rPr>
              <w:t>25.2</w:t>
            </w:r>
          </w:p>
        </w:tc>
        <w:tc>
          <w:tcPr>
            <w:tcW w:w="1243" w:type="dxa"/>
            <w:tcBorders>
              <w:top w:val="nil"/>
              <w:bottom w:val="nil"/>
            </w:tcBorders>
          </w:tcPr>
          <w:p w:rsidR="00000000" w:rsidRDefault="009C1C61">
            <w:pPr>
              <w:pStyle w:val="a2"/>
              <w:ind w:right="113"/>
              <w:jc w:val="right"/>
              <w:rPr>
                <w:snapToGrid/>
              </w:rPr>
            </w:pPr>
            <w:r>
              <w:rPr>
                <w:snapToGrid/>
              </w:rPr>
              <w:t>25.1</w:t>
            </w:r>
          </w:p>
        </w:tc>
        <w:tc>
          <w:tcPr>
            <w:tcW w:w="1242" w:type="dxa"/>
            <w:tcBorders>
              <w:top w:val="nil"/>
              <w:bottom w:val="nil"/>
            </w:tcBorders>
          </w:tcPr>
          <w:p w:rsidR="00000000" w:rsidRDefault="009C1C61">
            <w:pPr>
              <w:pStyle w:val="a2"/>
              <w:ind w:right="113"/>
              <w:jc w:val="right"/>
              <w:rPr>
                <w:snapToGrid/>
              </w:rPr>
            </w:pPr>
            <w:r>
              <w:rPr>
                <w:snapToGrid/>
              </w:rPr>
              <w:t>26.9</w:t>
            </w:r>
          </w:p>
        </w:tc>
        <w:tc>
          <w:tcPr>
            <w:tcW w:w="1243" w:type="dxa"/>
            <w:tcBorders>
              <w:top w:val="nil"/>
              <w:bottom w:val="nil"/>
            </w:tcBorders>
          </w:tcPr>
          <w:p w:rsidR="00000000" w:rsidRDefault="009C1C61">
            <w:pPr>
              <w:pStyle w:val="a2"/>
              <w:ind w:right="113"/>
              <w:jc w:val="right"/>
              <w:rPr>
                <w:snapToGrid/>
              </w:rPr>
            </w:pPr>
            <w:r>
              <w:rPr>
                <w:snapToGrid/>
              </w:rPr>
              <w:t>29.9</w:t>
            </w:r>
          </w:p>
        </w:tc>
      </w:tr>
      <w:tr w:rsidR="00000000">
        <w:tblPrEx>
          <w:tblCellMar>
            <w:top w:w="0" w:type="dxa"/>
            <w:bottom w:w="0" w:type="dxa"/>
          </w:tblCellMar>
        </w:tblPrEx>
        <w:tc>
          <w:tcPr>
            <w:tcW w:w="1813" w:type="dxa"/>
            <w:tcBorders>
              <w:top w:val="nil"/>
              <w:bottom w:val="nil"/>
            </w:tcBorders>
          </w:tcPr>
          <w:p w:rsidR="00000000" w:rsidRDefault="009C1C61">
            <w:pPr>
              <w:pStyle w:val="a2"/>
              <w:jc w:val="center"/>
              <w:rPr>
                <w:rFonts w:hint="eastAsia"/>
                <w:snapToGrid/>
              </w:rPr>
            </w:pPr>
            <w:r>
              <w:rPr>
                <w:rFonts w:hint="eastAsia"/>
                <w:snapToGrid/>
              </w:rPr>
              <w:t>货币津贴</w:t>
            </w:r>
          </w:p>
        </w:tc>
        <w:tc>
          <w:tcPr>
            <w:tcW w:w="1242" w:type="dxa"/>
            <w:tcBorders>
              <w:top w:val="nil"/>
              <w:bottom w:val="nil"/>
            </w:tcBorders>
          </w:tcPr>
          <w:p w:rsidR="00000000" w:rsidRDefault="009C1C61">
            <w:pPr>
              <w:pStyle w:val="a2"/>
              <w:ind w:right="113"/>
              <w:jc w:val="right"/>
              <w:rPr>
                <w:snapToGrid/>
              </w:rPr>
            </w:pPr>
            <w:r>
              <w:rPr>
                <w:snapToGrid/>
              </w:rPr>
              <w:t>4.6</w:t>
            </w:r>
          </w:p>
        </w:tc>
        <w:tc>
          <w:tcPr>
            <w:tcW w:w="1243" w:type="dxa"/>
            <w:tcBorders>
              <w:top w:val="nil"/>
              <w:bottom w:val="nil"/>
            </w:tcBorders>
          </w:tcPr>
          <w:p w:rsidR="00000000" w:rsidRDefault="009C1C61">
            <w:pPr>
              <w:pStyle w:val="a2"/>
              <w:ind w:right="113"/>
              <w:jc w:val="right"/>
              <w:rPr>
                <w:snapToGrid/>
              </w:rPr>
            </w:pPr>
            <w:r>
              <w:rPr>
                <w:snapToGrid/>
              </w:rPr>
              <w:t>3.9</w:t>
            </w:r>
          </w:p>
        </w:tc>
        <w:tc>
          <w:tcPr>
            <w:tcW w:w="1242" w:type="dxa"/>
            <w:tcBorders>
              <w:top w:val="nil"/>
              <w:bottom w:val="nil"/>
            </w:tcBorders>
          </w:tcPr>
          <w:p w:rsidR="00000000" w:rsidRDefault="009C1C61">
            <w:pPr>
              <w:pStyle w:val="a2"/>
              <w:ind w:right="113"/>
              <w:jc w:val="right"/>
              <w:rPr>
                <w:snapToGrid/>
              </w:rPr>
            </w:pPr>
            <w:r>
              <w:rPr>
                <w:snapToGrid/>
              </w:rPr>
              <w:t>3.9</w:t>
            </w:r>
          </w:p>
        </w:tc>
        <w:tc>
          <w:tcPr>
            <w:tcW w:w="1243" w:type="dxa"/>
            <w:tcBorders>
              <w:top w:val="nil"/>
              <w:bottom w:val="nil"/>
            </w:tcBorders>
          </w:tcPr>
          <w:p w:rsidR="00000000" w:rsidRDefault="009C1C61">
            <w:pPr>
              <w:pStyle w:val="a2"/>
              <w:ind w:right="113"/>
              <w:jc w:val="right"/>
              <w:rPr>
                <w:snapToGrid/>
              </w:rPr>
            </w:pPr>
            <w:r>
              <w:rPr>
                <w:snapToGrid/>
              </w:rPr>
              <w:t>5.9</w:t>
            </w:r>
          </w:p>
        </w:tc>
        <w:tc>
          <w:tcPr>
            <w:tcW w:w="1242" w:type="dxa"/>
            <w:tcBorders>
              <w:top w:val="nil"/>
              <w:bottom w:val="nil"/>
            </w:tcBorders>
          </w:tcPr>
          <w:p w:rsidR="00000000" w:rsidRDefault="009C1C61">
            <w:pPr>
              <w:pStyle w:val="a2"/>
              <w:ind w:right="113"/>
              <w:jc w:val="right"/>
              <w:rPr>
                <w:snapToGrid/>
              </w:rPr>
            </w:pPr>
            <w:r>
              <w:rPr>
                <w:snapToGrid/>
              </w:rPr>
              <w:t>4.8</w:t>
            </w:r>
          </w:p>
        </w:tc>
        <w:tc>
          <w:tcPr>
            <w:tcW w:w="1243" w:type="dxa"/>
            <w:tcBorders>
              <w:top w:val="nil"/>
              <w:bottom w:val="nil"/>
            </w:tcBorders>
          </w:tcPr>
          <w:p w:rsidR="00000000" w:rsidRDefault="009C1C61">
            <w:pPr>
              <w:pStyle w:val="a2"/>
              <w:ind w:right="113"/>
              <w:jc w:val="right"/>
              <w:rPr>
                <w:snapToGrid/>
              </w:rPr>
            </w:pPr>
            <w:r>
              <w:rPr>
                <w:snapToGrid/>
              </w:rPr>
              <w:t>4.7</w:t>
            </w:r>
          </w:p>
        </w:tc>
      </w:tr>
      <w:tr w:rsidR="00000000">
        <w:tblPrEx>
          <w:tblCellMar>
            <w:top w:w="0" w:type="dxa"/>
            <w:bottom w:w="0" w:type="dxa"/>
          </w:tblCellMar>
        </w:tblPrEx>
        <w:tc>
          <w:tcPr>
            <w:tcW w:w="1813" w:type="dxa"/>
            <w:tcBorders>
              <w:top w:val="nil"/>
              <w:bottom w:val="nil"/>
            </w:tcBorders>
          </w:tcPr>
          <w:p w:rsidR="00000000" w:rsidRDefault="009C1C61">
            <w:pPr>
              <w:pStyle w:val="a2"/>
              <w:jc w:val="center"/>
              <w:rPr>
                <w:rFonts w:hint="eastAsia"/>
                <w:snapToGrid/>
              </w:rPr>
            </w:pPr>
            <w:r>
              <w:rPr>
                <w:rFonts w:hint="eastAsia"/>
                <w:snapToGrid/>
              </w:rPr>
              <w:t>其他</w:t>
            </w:r>
            <w:r>
              <w:rPr>
                <w:rFonts w:hint="eastAsia"/>
                <w:snapToGrid/>
              </w:rPr>
              <w:sym w:font="Symbol" w:char="F02A"/>
            </w:r>
          </w:p>
        </w:tc>
        <w:tc>
          <w:tcPr>
            <w:tcW w:w="1242" w:type="dxa"/>
            <w:tcBorders>
              <w:top w:val="nil"/>
              <w:bottom w:val="nil"/>
            </w:tcBorders>
          </w:tcPr>
          <w:p w:rsidR="00000000" w:rsidRDefault="009C1C61">
            <w:pPr>
              <w:pStyle w:val="a2"/>
              <w:ind w:right="113"/>
              <w:jc w:val="right"/>
              <w:rPr>
                <w:snapToGrid/>
              </w:rPr>
            </w:pPr>
            <w:r>
              <w:rPr>
                <w:snapToGrid/>
              </w:rPr>
              <w:t>3.6</w:t>
            </w:r>
          </w:p>
        </w:tc>
        <w:tc>
          <w:tcPr>
            <w:tcW w:w="1243" w:type="dxa"/>
            <w:tcBorders>
              <w:top w:val="nil"/>
              <w:bottom w:val="nil"/>
            </w:tcBorders>
          </w:tcPr>
          <w:p w:rsidR="00000000" w:rsidRDefault="009C1C61">
            <w:pPr>
              <w:pStyle w:val="a2"/>
              <w:ind w:right="113"/>
              <w:jc w:val="right"/>
              <w:rPr>
                <w:snapToGrid/>
              </w:rPr>
            </w:pPr>
            <w:r>
              <w:rPr>
                <w:snapToGrid/>
              </w:rPr>
              <w:t>5.1</w:t>
            </w:r>
          </w:p>
        </w:tc>
        <w:tc>
          <w:tcPr>
            <w:tcW w:w="1242" w:type="dxa"/>
            <w:tcBorders>
              <w:top w:val="nil"/>
              <w:bottom w:val="nil"/>
            </w:tcBorders>
          </w:tcPr>
          <w:p w:rsidR="00000000" w:rsidRDefault="009C1C61">
            <w:pPr>
              <w:pStyle w:val="a2"/>
              <w:ind w:right="113"/>
              <w:jc w:val="right"/>
              <w:rPr>
                <w:snapToGrid/>
              </w:rPr>
            </w:pPr>
            <w:r>
              <w:rPr>
                <w:snapToGrid/>
              </w:rPr>
              <w:t>6.0</w:t>
            </w:r>
          </w:p>
        </w:tc>
        <w:tc>
          <w:tcPr>
            <w:tcW w:w="1243" w:type="dxa"/>
            <w:tcBorders>
              <w:top w:val="nil"/>
              <w:bottom w:val="nil"/>
            </w:tcBorders>
          </w:tcPr>
          <w:p w:rsidR="00000000" w:rsidRDefault="009C1C61">
            <w:pPr>
              <w:pStyle w:val="a2"/>
              <w:ind w:right="113"/>
              <w:jc w:val="right"/>
              <w:rPr>
                <w:snapToGrid/>
              </w:rPr>
            </w:pPr>
            <w:r>
              <w:rPr>
                <w:snapToGrid/>
              </w:rPr>
              <w:t>2.5</w:t>
            </w:r>
          </w:p>
        </w:tc>
        <w:tc>
          <w:tcPr>
            <w:tcW w:w="1242" w:type="dxa"/>
            <w:tcBorders>
              <w:top w:val="nil"/>
              <w:bottom w:val="nil"/>
            </w:tcBorders>
          </w:tcPr>
          <w:p w:rsidR="00000000" w:rsidRDefault="009C1C61">
            <w:pPr>
              <w:pStyle w:val="a2"/>
              <w:ind w:right="113"/>
              <w:jc w:val="right"/>
              <w:rPr>
                <w:snapToGrid/>
              </w:rPr>
            </w:pPr>
            <w:r>
              <w:rPr>
                <w:snapToGrid/>
              </w:rPr>
              <w:t>4.4</w:t>
            </w:r>
          </w:p>
        </w:tc>
        <w:tc>
          <w:tcPr>
            <w:tcW w:w="1243" w:type="dxa"/>
            <w:tcBorders>
              <w:top w:val="nil"/>
              <w:bottom w:val="nil"/>
            </w:tcBorders>
          </w:tcPr>
          <w:p w:rsidR="00000000" w:rsidRDefault="009C1C61">
            <w:pPr>
              <w:pStyle w:val="a2"/>
              <w:ind w:right="113"/>
              <w:jc w:val="right"/>
              <w:rPr>
                <w:snapToGrid/>
              </w:rPr>
            </w:pPr>
            <w:r>
              <w:rPr>
                <w:snapToGrid/>
              </w:rPr>
              <w:t>5.8</w:t>
            </w:r>
          </w:p>
        </w:tc>
      </w:tr>
      <w:tr w:rsidR="00000000">
        <w:tblPrEx>
          <w:tblCellMar>
            <w:top w:w="0" w:type="dxa"/>
            <w:bottom w:w="0" w:type="dxa"/>
          </w:tblCellMar>
        </w:tblPrEx>
        <w:tc>
          <w:tcPr>
            <w:tcW w:w="1813" w:type="dxa"/>
            <w:tcBorders>
              <w:top w:val="nil"/>
            </w:tcBorders>
          </w:tcPr>
          <w:p w:rsidR="00000000" w:rsidRDefault="009C1C61">
            <w:pPr>
              <w:pStyle w:val="a2"/>
              <w:jc w:val="center"/>
              <w:rPr>
                <w:rFonts w:hint="eastAsia"/>
                <w:snapToGrid/>
              </w:rPr>
            </w:pPr>
            <w:r>
              <w:rPr>
                <w:rFonts w:hint="eastAsia"/>
                <w:snapToGrid/>
              </w:rPr>
              <w:t>各福利部门总计</w:t>
            </w:r>
          </w:p>
        </w:tc>
        <w:tc>
          <w:tcPr>
            <w:tcW w:w="1242" w:type="dxa"/>
            <w:tcBorders>
              <w:top w:val="nil"/>
            </w:tcBorders>
          </w:tcPr>
          <w:p w:rsidR="00000000" w:rsidRDefault="009C1C61">
            <w:pPr>
              <w:pStyle w:val="a2"/>
              <w:ind w:right="113"/>
              <w:jc w:val="right"/>
              <w:rPr>
                <w:snapToGrid/>
              </w:rPr>
            </w:pPr>
            <w:r>
              <w:rPr>
                <w:snapToGrid/>
              </w:rPr>
              <w:t>100.0</w:t>
            </w:r>
          </w:p>
        </w:tc>
        <w:tc>
          <w:tcPr>
            <w:tcW w:w="1243" w:type="dxa"/>
            <w:tcBorders>
              <w:top w:val="nil"/>
            </w:tcBorders>
          </w:tcPr>
          <w:p w:rsidR="00000000" w:rsidRDefault="009C1C61">
            <w:pPr>
              <w:pStyle w:val="a2"/>
              <w:ind w:right="113"/>
              <w:jc w:val="right"/>
              <w:rPr>
                <w:snapToGrid/>
              </w:rPr>
            </w:pPr>
            <w:r>
              <w:rPr>
                <w:snapToGrid/>
              </w:rPr>
              <w:t>100.0</w:t>
            </w:r>
          </w:p>
        </w:tc>
        <w:tc>
          <w:tcPr>
            <w:tcW w:w="1242" w:type="dxa"/>
            <w:tcBorders>
              <w:top w:val="nil"/>
            </w:tcBorders>
          </w:tcPr>
          <w:p w:rsidR="00000000" w:rsidRDefault="009C1C61">
            <w:pPr>
              <w:pStyle w:val="a2"/>
              <w:ind w:right="113"/>
              <w:jc w:val="right"/>
              <w:rPr>
                <w:snapToGrid/>
              </w:rPr>
            </w:pPr>
            <w:r>
              <w:rPr>
                <w:snapToGrid/>
              </w:rPr>
              <w:t>100.0</w:t>
            </w:r>
          </w:p>
        </w:tc>
        <w:tc>
          <w:tcPr>
            <w:tcW w:w="1243" w:type="dxa"/>
            <w:tcBorders>
              <w:top w:val="nil"/>
            </w:tcBorders>
          </w:tcPr>
          <w:p w:rsidR="00000000" w:rsidRDefault="009C1C61">
            <w:pPr>
              <w:pStyle w:val="a2"/>
              <w:ind w:right="113"/>
              <w:jc w:val="right"/>
              <w:rPr>
                <w:snapToGrid/>
              </w:rPr>
            </w:pPr>
            <w:r>
              <w:rPr>
                <w:snapToGrid/>
              </w:rPr>
              <w:t>100.0</w:t>
            </w:r>
          </w:p>
        </w:tc>
        <w:tc>
          <w:tcPr>
            <w:tcW w:w="1242" w:type="dxa"/>
            <w:tcBorders>
              <w:top w:val="nil"/>
            </w:tcBorders>
          </w:tcPr>
          <w:p w:rsidR="00000000" w:rsidRDefault="009C1C61">
            <w:pPr>
              <w:pStyle w:val="a2"/>
              <w:ind w:right="113"/>
              <w:jc w:val="right"/>
              <w:rPr>
                <w:snapToGrid/>
              </w:rPr>
            </w:pPr>
            <w:r>
              <w:rPr>
                <w:snapToGrid/>
              </w:rPr>
              <w:t>100.0</w:t>
            </w:r>
          </w:p>
        </w:tc>
        <w:tc>
          <w:tcPr>
            <w:tcW w:w="1243" w:type="dxa"/>
            <w:tcBorders>
              <w:top w:val="nil"/>
            </w:tcBorders>
          </w:tcPr>
          <w:p w:rsidR="00000000" w:rsidRDefault="009C1C61">
            <w:pPr>
              <w:pStyle w:val="a2"/>
              <w:ind w:right="113"/>
              <w:jc w:val="right"/>
              <w:rPr>
                <w:snapToGrid/>
              </w:rPr>
            </w:pPr>
            <w:r>
              <w:rPr>
                <w:snapToGrid/>
              </w:rPr>
              <w:t>100.0</w:t>
            </w:r>
          </w:p>
        </w:tc>
      </w:tr>
    </w:tbl>
    <w:p w:rsidR="00000000" w:rsidRDefault="009C1C61">
      <w:pPr>
        <w:pStyle w:val="FootnoteText"/>
        <w:spacing w:before="180"/>
        <w:ind w:left="1020" w:hanging="510"/>
        <w:rPr>
          <w:rFonts w:hint="eastAsia"/>
          <w:spacing w:val="-6"/>
        </w:rPr>
      </w:pPr>
      <w:r>
        <w:rPr>
          <w:rFonts w:hint="eastAsia"/>
          <w:spacing w:val="-6"/>
          <w:u w:val="single"/>
        </w:rPr>
        <w:t>资料来源</w:t>
      </w:r>
      <w:r>
        <w:rPr>
          <w:rFonts w:hint="eastAsia"/>
          <w:spacing w:val="-6"/>
        </w:rPr>
        <w:t>：根据经济部提供的数据编制，见规划与合作部</w:t>
      </w:r>
      <w:r>
        <w:rPr>
          <w:rFonts w:hint="eastAsia"/>
          <w:spacing w:val="-6"/>
        </w:rPr>
        <w:t>1990 - 2000</w:t>
      </w:r>
      <w:r>
        <w:rPr>
          <w:rFonts w:hint="eastAsia"/>
          <w:spacing w:val="-6"/>
        </w:rPr>
        <w:t>年经济社会指标。</w:t>
      </w:r>
    </w:p>
    <w:p w:rsidR="00000000" w:rsidRDefault="009C1C61">
      <w:pPr>
        <w:pStyle w:val="FootnoteText"/>
        <w:spacing w:after="320" w:line="240" w:lineRule="auto"/>
        <w:ind w:left="1690" w:hanging="390"/>
        <w:rPr>
          <w:rFonts w:hint="eastAsia"/>
        </w:rPr>
      </w:pPr>
      <w:r>
        <w:rPr>
          <w:rFonts w:hint="eastAsia"/>
        </w:rPr>
        <w:sym w:font="Symbol" w:char="F02A"/>
      </w:r>
      <w:r>
        <w:rPr>
          <w:rFonts w:hint="eastAsia"/>
        </w:rPr>
        <w:tab/>
      </w:r>
      <w:r>
        <w:rPr>
          <w:rFonts w:hint="eastAsia"/>
        </w:rPr>
        <w:t>包括由社援投资基金、农发研究所、劳动部、妇女服务署、青年服务署、土发办、残疾基金、</w:t>
      </w:r>
      <w:r>
        <w:rPr>
          <w:rFonts w:hint="eastAsia"/>
        </w:rPr>
        <w:t>INTEGRA</w:t>
      </w:r>
      <w:r>
        <w:t>、</w:t>
      </w:r>
      <w:r>
        <w:rPr>
          <w:rFonts w:hint="eastAsia"/>
        </w:rPr>
        <w:t>提</w:t>
      </w:r>
      <w:r>
        <w:rPr>
          <w:rFonts w:hint="eastAsia"/>
        </w:rPr>
        <w:t>高妇女地位和妇女发展中心、全国保护老年人局、儿童援助局、未成年人服务处及体育娱乐部</w:t>
      </w:r>
      <w:r>
        <w:rPr>
          <w:rFonts w:hint="eastAsia"/>
        </w:rPr>
        <w:t>(</w:t>
      </w:r>
      <w:r>
        <w:rPr>
          <w:rFonts w:hint="eastAsia"/>
        </w:rPr>
        <w:t>见附件</w:t>
      </w:r>
      <w:r>
        <w:rPr>
          <w:rFonts w:hint="eastAsia"/>
        </w:rPr>
        <w:t>1,</w:t>
      </w:r>
      <w:r>
        <w:rPr>
          <w:rFonts w:hint="eastAsia"/>
        </w:rPr>
        <w:t>缩写</w:t>
      </w:r>
      <w:r>
        <w:rPr>
          <w:rFonts w:hint="eastAsia"/>
        </w:rPr>
        <w:t>)</w:t>
      </w:r>
      <w:r>
        <w:rPr>
          <w:rFonts w:hint="eastAsia"/>
        </w:rPr>
        <w:t>等组织实施的优先群体社会投资方案。</w:t>
      </w:r>
    </w:p>
    <w:p w:rsidR="00000000" w:rsidRDefault="009C1C61">
      <w:pPr>
        <w:spacing w:after="320"/>
        <w:rPr>
          <w:rFonts w:hint="eastAsia"/>
          <w:snapToGrid/>
        </w:rPr>
      </w:pPr>
      <w:r>
        <w:rPr>
          <w:rFonts w:hint="eastAsia"/>
          <w:snapToGrid/>
        </w:rPr>
        <w:tab/>
        <w:t xml:space="preserve">503.  </w:t>
      </w:r>
      <w:r>
        <w:rPr>
          <w:rFonts w:hint="eastAsia"/>
          <w:snapToGrid/>
        </w:rPr>
        <w:t>在</w:t>
      </w:r>
      <w:r>
        <w:rPr>
          <w:rFonts w:hint="eastAsia"/>
          <w:snapToGrid/>
        </w:rPr>
        <w:t>1990</w:t>
      </w:r>
      <w:r>
        <w:rPr>
          <w:rFonts w:hint="eastAsia"/>
          <w:snapToGrid/>
        </w:rPr>
        <w:t>－</w:t>
      </w:r>
      <w:r>
        <w:rPr>
          <w:rFonts w:hint="eastAsia"/>
          <w:snapToGrid/>
        </w:rPr>
        <w:t>2000</w:t>
      </w:r>
      <w:r>
        <w:rPr>
          <w:rFonts w:hint="eastAsia"/>
          <w:snapToGrid/>
        </w:rPr>
        <w:t>年期间，福利支出的部门结构根据社会政策的指导方针做了变动，教育、卫生及扶助优先</w:t>
      </w:r>
      <w:r>
        <w:rPr>
          <w:rFonts w:hint="eastAsia"/>
          <w:snapToGrid/>
        </w:rPr>
        <w:t>(</w:t>
      </w:r>
      <w:r>
        <w:rPr>
          <w:rFonts w:hint="eastAsia"/>
          <w:snapToGrid/>
        </w:rPr>
        <w:t>弱势</w:t>
      </w:r>
      <w:r>
        <w:rPr>
          <w:rFonts w:hint="eastAsia"/>
          <w:snapToGrid/>
        </w:rPr>
        <w:t>)</w:t>
      </w:r>
      <w:r>
        <w:rPr>
          <w:rFonts w:hint="eastAsia"/>
          <w:snapToGrid/>
        </w:rPr>
        <w:t>群体的福利新方案的支出比例加大，货币援助津贴相应减少。本国的福利事业取得了显著进展。规划部所做评价表明，</w:t>
      </w:r>
      <w:r>
        <w:rPr>
          <w:rFonts w:hint="eastAsia"/>
          <w:snapToGrid/>
        </w:rPr>
        <w:t>1990</w:t>
      </w:r>
      <w:r>
        <w:rPr>
          <w:rFonts w:hint="eastAsia"/>
          <w:snapToGrid/>
        </w:rPr>
        <w:t>年到</w:t>
      </w:r>
      <w:r>
        <w:rPr>
          <w:rFonts w:hint="eastAsia"/>
          <w:snapToGrid/>
        </w:rPr>
        <w:t>2000</w:t>
      </w:r>
      <w:r>
        <w:rPr>
          <w:rFonts w:hint="eastAsia"/>
          <w:snapToGrid/>
        </w:rPr>
        <w:t>年期间，贫困和赤贫明显减少。然而，自</w:t>
      </w:r>
      <w:r>
        <w:rPr>
          <w:rFonts w:hint="eastAsia"/>
          <w:snapToGrid/>
        </w:rPr>
        <w:t>1996</w:t>
      </w:r>
      <w:r>
        <w:rPr>
          <w:rFonts w:hint="eastAsia"/>
          <w:snapToGrid/>
        </w:rPr>
        <w:t>年以来，这种减少速度，就贫困而言是下降了，就赤贫而言则保持了稳定，本国的就业形势是导致这</w:t>
      </w:r>
      <w:r>
        <w:rPr>
          <w:rFonts w:hint="eastAsia"/>
          <w:snapToGrid/>
        </w:rPr>
        <w:t>种情况的特别原因。</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确定贫困的标准</w:t>
      </w:r>
    </w:p>
    <w:p w:rsidR="00000000" w:rsidRDefault="009C1C61">
      <w:pPr>
        <w:rPr>
          <w:rFonts w:hint="eastAsia"/>
          <w:snapToGrid/>
        </w:rPr>
      </w:pPr>
      <w:r>
        <w:rPr>
          <w:rFonts w:hint="eastAsia"/>
          <w:snapToGrid/>
        </w:rPr>
        <w:tab/>
        <w:t xml:space="preserve">504.  </w:t>
      </w:r>
      <w:r>
        <w:rPr>
          <w:rFonts w:hint="eastAsia"/>
          <w:snapToGrid/>
        </w:rPr>
        <w:t>规划与合作部用于衡量贫困的办法，以对赤贫的衡量为基础，采用了收入法或间接方法。</w:t>
      </w:r>
    </w:p>
    <w:p w:rsidR="00000000" w:rsidRDefault="009C1C61">
      <w:pPr>
        <w:rPr>
          <w:rFonts w:hint="eastAsia"/>
          <w:snapToGrid/>
        </w:rPr>
      </w:pPr>
      <w:r>
        <w:rPr>
          <w:rFonts w:hint="eastAsia"/>
          <w:snapToGrid/>
        </w:rPr>
        <w:tab/>
        <w:t xml:space="preserve">505.  </w:t>
      </w:r>
      <w:r>
        <w:rPr>
          <w:rFonts w:hint="eastAsia"/>
          <w:snapToGrid/>
        </w:rPr>
        <w:t>收入法以贫困线为参照来衡量生活标准。贫困线是指满足家庭基本需要所需基本食物组合的费用。界定贫困的办法，是确定一套基本需要，明确主体为避免出现不如意的情况而必须提供的基本特征。家庭收入不足以满足家人的</w:t>
      </w:r>
      <w:r>
        <w:rPr>
          <w:rFonts w:hint="eastAsia"/>
          <w:snapToGrid/>
        </w:rPr>
        <w:t>(</w:t>
      </w:r>
      <w:r>
        <w:rPr>
          <w:rFonts w:hint="eastAsia"/>
          <w:snapToGrid/>
        </w:rPr>
        <w:t>食物及其他</w:t>
      </w:r>
      <w:r>
        <w:rPr>
          <w:rFonts w:hint="eastAsia"/>
          <w:snapToGrid/>
        </w:rPr>
        <w:t>)</w:t>
      </w:r>
      <w:r>
        <w:rPr>
          <w:rFonts w:hint="eastAsia"/>
          <w:snapToGrid/>
        </w:rPr>
        <w:t>基本需要，就算是家庭处境贫困。如果家庭用尽所有收入仍不能适当地满足其食物需要，就算是家庭赤贫。如果家庭人均收入少于城市地区基本食物组合的价格的两倍，或者说是</w:t>
      </w:r>
      <w:r>
        <w:rPr>
          <w:rFonts w:hint="eastAsia"/>
          <w:snapToGrid/>
        </w:rPr>
        <w:t>农村地区基本食物组合价格的</w:t>
      </w:r>
      <w:r>
        <w:rPr>
          <w:rFonts w:hint="eastAsia"/>
          <w:snapToGrid/>
        </w:rPr>
        <w:t>1.</w:t>
      </w:r>
      <w:r>
        <w:rPr>
          <w:snapToGrid/>
        </w:rPr>
        <w:t>75</w:t>
      </w:r>
      <w:r>
        <w:rPr>
          <w:rFonts w:hint="eastAsia"/>
          <w:snapToGrid/>
        </w:rPr>
        <w:t>倍</w:t>
      </w:r>
      <w:r>
        <w:rPr>
          <w:rFonts w:hint="eastAsia"/>
          <w:snapToGrid/>
        </w:rPr>
        <w:t>(</w:t>
      </w:r>
      <w:r>
        <w:rPr>
          <w:rFonts w:hint="eastAsia"/>
          <w:snapToGrid/>
        </w:rPr>
        <w:t>因为农村地区所花服务费往往少一些</w:t>
      </w:r>
      <w:r>
        <w:rPr>
          <w:rFonts w:hint="eastAsia"/>
          <w:snapToGrid/>
        </w:rPr>
        <w:t>)</w:t>
      </w:r>
      <w:r>
        <w:rPr>
          <w:rFonts w:hint="eastAsia"/>
          <w:snapToGrid/>
        </w:rPr>
        <w:t>，就算是贫困户。如果家庭人均收入低于基本食物组合的价格，就算是家庭赤贫。农村地区的基本食物组合，一般认为，比城市地区的便宜。</w:t>
      </w:r>
    </w:p>
    <w:p w:rsidR="00000000" w:rsidRDefault="009C1C61">
      <w:pPr>
        <w:spacing w:after="320"/>
        <w:rPr>
          <w:rFonts w:hint="eastAsia"/>
          <w:snapToGrid/>
        </w:rPr>
      </w:pPr>
      <w:r>
        <w:rPr>
          <w:rFonts w:hint="eastAsia"/>
          <w:snapToGrid/>
        </w:rPr>
        <w:tab/>
        <w:t>506.  1998</w:t>
      </w:r>
      <w:r>
        <w:rPr>
          <w:rFonts w:hint="eastAsia"/>
          <w:snapToGrid/>
        </w:rPr>
        <w:t>年</w:t>
      </w:r>
      <w:r>
        <w:rPr>
          <w:rFonts w:hint="eastAsia"/>
          <w:snapToGrid/>
        </w:rPr>
        <w:t>11</w:t>
      </w:r>
      <w:r>
        <w:rPr>
          <w:rFonts w:hint="eastAsia"/>
          <w:snapToGrid/>
        </w:rPr>
        <w:t>月，城市地区的贫困线定为</w:t>
      </w:r>
      <w:r>
        <w:rPr>
          <w:rFonts w:hint="eastAsia"/>
          <w:snapToGrid/>
        </w:rPr>
        <w:t>37,</w:t>
      </w:r>
      <w:r>
        <w:rPr>
          <w:snapToGrid/>
        </w:rPr>
        <w:t>889</w:t>
      </w:r>
      <w:r>
        <w:rPr>
          <w:rFonts w:hint="eastAsia"/>
          <w:snapToGrid/>
        </w:rPr>
        <w:t>比索</w:t>
      </w:r>
      <w:r>
        <w:rPr>
          <w:rFonts w:hint="eastAsia"/>
          <w:snapToGrid/>
        </w:rPr>
        <w:t>(81</w:t>
      </w:r>
      <w:r>
        <w:rPr>
          <w:rFonts w:hint="eastAsia"/>
          <w:snapToGrid/>
        </w:rPr>
        <w:t>美元</w:t>
      </w:r>
      <w:r>
        <w:rPr>
          <w:rFonts w:hint="eastAsia"/>
          <w:snapToGrid/>
        </w:rPr>
        <w:t>)</w:t>
      </w:r>
      <w:r>
        <w:rPr>
          <w:snapToGrid/>
        </w:rPr>
        <w:t>，</w:t>
      </w:r>
      <w:r>
        <w:rPr>
          <w:rFonts w:hint="eastAsia"/>
          <w:snapToGrid/>
        </w:rPr>
        <w:t>农村地区定为</w:t>
      </w:r>
      <w:r>
        <w:rPr>
          <w:snapToGrid/>
        </w:rPr>
        <w:t>25,546</w:t>
      </w:r>
      <w:r>
        <w:rPr>
          <w:rFonts w:hint="eastAsia"/>
          <w:snapToGrid/>
        </w:rPr>
        <w:t>比索</w:t>
      </w:r>
      <w:r>
        <w:rPr>
          <w:rFonts w:hint="eastAsia"/>
          <w:snapToGrid/>
        </w:rPr>
        <w:t>(55</w:t>
      </w:r>
      <w:r>
        <w:rPr>
          <w:rFonts w:hint="eastAsia"/>
          <w:snapToGrid/>
        </w:rPr>
        <w:t>美元</w:t>
      </w:r>
      <w:r>
        <w:rPr>
          <w:rFonts w:hint="eastAsia"/>
          <w:snapToGrid/>
        </w:rPr>
        <w:t>)</w:t>
      </w:r>
      <w:r>
        <w:rPr>
          <w:rFonts w:hint="eastAsia"/>
          <w:snapToGrid/>
        </w:rPr>
        <w:t>。城市地区的赤贫线为</w:t>
      </w:r>
      <w:r>
        <w:rPr>
          <w:snapToGrid/>
        </w:rPr>
        <w:t>18,944</w:t>
      </w:r>
      <w:r>
        <w:rPr>
          <w:rFonts w:hint="eastAsia"/>
          <w:snapToGrid/>
        </w:rPr>
        <w:t>比索</w:t>
      </w:r>
      <w:r>
        <w:rPr>
          <w:rFonts w:hint="eastAsia"/>
          <w:snapToGrid/>
        </w:rPr>
        <w:t>(40</w:t>
      </w:r>
      <w:r>
        <w:rPr>
          <w:rFonts w:hint="eastAsia"/>
          <w:snapToGrid/>
        </w:rPr>
        <w:t>美元</w:t>
      </w:r>
      <w:r>
        <w:rPr>
          <w:rFonts w:hint="eastAsia"/>
          <w:snapToGrid/>
        </w:rPr>
        <w:t>)</w:t>
      </w:r>
      <w:r>
        <w:rPr>
          <w:rFonts w:hint="eastAsia"/>
          <w:snapToGrid/>
        </w:rPr>
        <w:t>，农村地区的为</w:t>
      </w:r>
      <w:r>
        <w:rPr>
          <w:snapToGrid/>
        </w:rPr>
        <w:t>14,598</w:t>
      </w:r>
      <w:r>
        <w:rPr>
          <w:rFonts w:hint="eastAsia"/>
          <w:snapToGrid/>
        </w:rPr>
        <w:t>(31</w:t>
      </w:r>
      <w:r>
        <w:rPr>
          <w:rFonts w:hint="eastAsia"/>
          <w:snapToGrid/>
        </w:rPr>
        <w:t>美元</w:t>
      </w:r>
      <w:r>
        <w:rPr>
          <w:rFonts w:hint="eastAsia"/>
          <w:snapToGrid/>
        </w:rPr>
        <w:t>)</w:t>
      </w:r>
      <w:r>
        <w:rPr>
          <w:rFonts w:hint="eastAsia"/>
          <w:snapToGrid/>
        </w:rPr>
        <w:t>。</w:t>
      </w:r>
    </w:p>
    <w:p w:rsidR="00000000" w:rsidRDefault="009C1C61">
      <w:pPr>
        <w:spacing w:after="320"/>
        <w:rPr>
          <w:rFonts w:ascii="Time New Roman" w:eastAsia="SimHei" w:hAnsi="Time New Roman" w:hint="eastAsia"/>
          <w:snapToGrid/>
        </w:rPr>
      </w:pPr>
      <w:r>
        <w:rPr>
          <w:rFonts w:ascii="Time New Roman" w:eastAsia="SimHei" w:hAnsi="Time New Roman" w:hint="eastAsia"/>
          <w:snapToGrid/>
        </w:rPr>
        <w:t>贫穷和赤贫的发生率</w:t>
      </w:r>
    </w:p>
    <w:p w:rsidR="00000000" w:rsidRDefault="009C1C61">
      <w:pPr>
        <w:rPr>
          <w:rFonts w:hint="eastAsia"/>
          <w:snapToGrid/>
        </w:rPr>
      </w:pPr>
      <w:r>
        <w:rPr>
          <w:rFonts w:hint="eastAsia"/>
          <w:snapToGrid/>
        </w:rPr>
        <w:tab/>
        <w:t>507.  2000</w:t>
      </w:r>
      <w:r>
        <w:rPr>
          <w:rFonts w:hint="eastAsia"/>
          <w:snapToGrid/>
        </w:rPr>
        <w:t>年，全国贫困人口近</w:t>
      </w:r>
      <w:r>
        <w:rPr>
          <w:rFonts w:hint="eastAsia"/>
          <w:snapToGrid/>
        </w:rPr>
        <w:t>3,</w:t>
      </w:r>
      <w:r>
        <w:rPr>
          <w:snapToGrid/>
        </w:rPr>
        <w:t>081,000</w:t>
      </w:r>
      <w:r>
        <w:rPr>
          <w:rFonts w:hint="eastAsia"/>
          <w:snapToGrid/>
        </w:rPr>
        <w:t>人，约占人口总数的</w:t>
      </w:r>
      <w:r>
        <w:rPr>
          <w:rFonts w:hint="eastAsia"/>
          <w:snapToGrid/>
        </w:rPr>
        <w:t>20.</w:t>
      </w:r>
      <w:r>
        <w:rPr>
          <w:snapToGrid/>
        </w:rPr>
        <w:t>6%</w:t>
      </w:r>
      <w:r>
        <w:rPr>
          <w:rFonts w:hint="eastAsia"/>
          <w:snapToGrid/>
        </w:rPr>
        <w:t>。生活条件赤贫的人口为</w:t>
      </w:r>
      <w:r>
        <w:rPr>
          <w:rFonts w:hint="eastAsia"/>
          <w:snapToGrid/>
        </w:rPr>
        <w:t>849,</w:t>
      </w:r>
      <w:r>
        <w:rPr>
          <w:snapToGrid/>
        </w:rPr>
        <w:t xml:space="preserve">000 </w:t>
      </w:r>
      <w:r>
        <w:rPr>
          <w:rFonts w:hint="eastAsia"/>
          <w:snapToGrid/>
        </w:rPr>
        <w:t>人，约占人口总数的</w:t>
      </w:r>
      <w:r>
        <w:rPr>
          <w:snapToGrid/>
        </w:rPr>
        <w:t>5.7%</w:t>
      </w:r>
      <w:r>
        <w:rPr>
          <w:rFonts w:hint="eastAsia"/>
          <w:snapToGrid/>
        </w:rPr>
        <w:t>。约有</w:t>
      </w:r>
      <w:r>
        <w:rPr>
          <w:snapToGrid/>
        </w:rPr>
        <w:t>643,000</w:t>
      </w:r>
      <w:r>
        <w:rPr>
          <w:rFonts w:hint="eastAsia"/>
          <w:snapToGrid/>
        </w:rPr>
        <w:t>户，即占总户数</w:t>
      </w:r>
      <w:r>
        <w:rPr>
          <w:snapToGrid/>
        </w:rPr>
        <w:t>16.3%</w:t>
      </w:r>
      <w:r>
        <w:rPr>
          <w:rFonts w:hint="eastAsia"/>
          <w:snapToGrid/>
        </w:rPr>
        <w:t>，生活贫困；其中</w:t>
      </w:r>
      <w:r>
        <w:rPr>
          <w:snapToGrid/>
        </w:rPr>
        <w:t>177,000</w:t>
      </w:r>
      <w:r>
        <w:rPr>
          <w:rFonts w:hint="eastAsia"/>
          <w:snapToGrid/>
        </w:rPr>
        <w:t>户，即占总户数的</w:t>
      </w:r>
      <w:r>
        <w:rPr>
          <w:snapToGrid/>
        </w:rPr>
        <w:t>4.6%</w:t>
      </w:r>
      <w:r>
        <w:rPr>
          <w:rFonts w:hint="eastAsia"/>
          <w:snapToGrid/>
        </w:rPr>
        <w:t>，生活赤贫。</w:t>
      </w:r>
    </w:p>
    <w:p w:rsidR="00000000" w:rsidRDefault="009C1C61">
      <w:pPr>
        <w:pStyle w:val="Heading3"/>
        <w:spacing w:before="300"/>
        <w:rPr>
          <w:rFonts w:hint="eastAsia"/>
        </w:rPr>
      </w:pPr>
      <w:r>
        <w:rPr>
          <w:rFonts w:hint="eastAsia"/>
        </w:rPr>
        <w:t>表</w:t>
      </w:r>
      <w:r>
        <w:rPr>
          <w:rFonts w:hint="eastAsia"/>
        </w:rPr>
        <w:t xml:space="preserve">  </w:t>
      </w:r>
      <w:r>
        <w:rPr>
          <w:rFonts w:hint="eastAsia"/>
          <w:b/>
          <w:bCs/>
        </w:rPr>
        <w:t>18</w:t>
      </w:r>
      <w:r>
        <w:rPr>
          <w:b/>
          <w:bCs/>
        </w:rPr>
        <w:br/>
      </w:r>
      <w:r>
        <w:rPr>
          <w:rFonts w:hint="eastAsia"/>
        </w:rPr>
        <w:t>智利</w:t>
      </w:r>
      <w:r>
        <w:rPr>
          <w:rFonts w:hint="eastAsia"/>
          <w:b/>
          <w:bCs/>
        </w:rPr>
        <w:t>1990</w:t>
      </w:r>
      <w:r>
        <w:rPr>
          <w:rFonts w:hint="eastAsia"/>
          <w:b/>
          <w:bCs/>
        </w:rPr>
        <w:t>－</w:t>
      </w:r>
      <w:r>
        <w:rPr>
          <w:rFonts w:hint="eastAsia"/>
          <w:b/>
          <w:bCs/>
        </w:rPr>
        <w:t>2000</w:t>
      </w:r>
      <w:r>
        <w:rPr>
          <w:rFonts w:hint="eastAsia"/>
        </w:rPr>
        <w:t>年贫困和赤贫</w:t>
      </w:r>
      <w:r>
        <w:rPr>
          <w:rFonts w:hint="eastAsia"/>
        </w:rPr>
        <w:t xml:space="preserve">* </w:t>
      </w:r>
      <w:r>
        <w:rPr>
          <w:rFonts w:hint="eastAsia"/>
        </w:rPr>
        <w:t>趋势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32"/>
        <w:gridCol w:w="1833"/>
        <w:gridCol w:w="1832"/>
        <w:gridCol w:w="1833"/>
        <w:gridCol w:w="1833"/>
      </w:tblGrid>
      <w:tr w:rsidR="00000000">
        <w:tblPrEx>
          <w:tblCellMar>
            <w:top w:w="0" w:type="dxa"/>
            <w:bottom w:w="0" w:type="dxa"/>
          </w:tblCellMar>
        </w:tblPrEx>
        <w:trPr>
          <w:cantSplit/>
        </w:trPr>
        <w:tc>
          <w:tcPr>
            <w:tcW w:w="9163" w:type="dxa"/>
            <w:gridSpan w:val="5"/>
          </w:tcPr>
          <w:p w:rsidR="00000000" w:rsidRDefault="009C1C61">
            <w:pPr>
              <w:pStyle w:val="a2"/>
              <w:jc w:val="center"/>
              <w:rPr>
                <w:rFonts w:hint="eastAsia"/>
                <w:snapToGrid/>
              </w:rPr>
            </w:pPr>
            <w:r>
              <w:rPr>
                <w:rFonts w:hint="eastAsia"/>
                <w:snapToGrid/>
              </w:rPr>
              <w:t>千人和占人口的百分比</w:t>
            </w:r>
            <w:r>
              <w:rPr>
                <w:rFonts w:hint="eastAsia"/>
                <w:snapToGrid/>
              </w:rPr>
              <w:sym w:font="Symbol" w:char="F02A"/>
            </w:r>
            <w:r>
              <w:rPr>
                <w:rFonts w:hint="eastAsia"/>
                <w:snapToGrid/>
              </w:rPr>
              <w:sym w:font="Symbol" w:char="F02A"/>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年</w:t>
            </w:r>
          </w:p>
        </w:tc>
        <w:tc>
          <w:tcPr>
            <w:tcW w:w="1833" w:type="dxa"/>
          </w:tcPr>
          <w:p w:rsidR="00000000" w:rsidRDefault="009C1C61">
            <w:pPr>
              <w:pStyle w:val="a2"/>
              <w:ind w:right="113"/>
              <w:jc w:val="center"/>
              <w:rPr>
                <w:rFonts w:hint="eastAsia"/>
                <w:snapToGrid/>
              </w:rPr>
            </w:pPr>
            <w:r>
              <w:rPr>
                <w:rFonts w:hint="eastAsia"/>
                <w:snapToGrid/>
              </w:rPr>
              <w:t>赤贫</w:t>
            </w:r>
          </w:p>
        </w:tc>
        <w:tc>
          <w:tcPr>
            <w:tcW w:w="1832" w:type="dxa"/>
          </w:tcPr>
          <w:p w:rsidR="00000000" w:rsidRDefault="009C1C61">
            <w:pPr>
              <w:pStyle w:val="a2"/>
              <w:ind w:right="113"/>
              <w:jc w:val="center"/>
              <w:rPr>
                <w:rFonts w:hint="eastAsia"/>
                <w:snapToGrid/>
              </w:rPr>
            </w:pPr>
            <w:r>
              <w:rPr>
                <w:rFonts w:hint="eastAsia"/>
                <w:snapToGrid/>
              </w:rPr>
              <w:t>百分比</w:t>
            </w:r>
          </w:p>
        </w:tc>
        <w:tc>
          <w:tcPr>
            <w:tcW w:w="1833" w:type="dxa"/>
          </w:tcPr>
          <w:p w:rsidR="00000000" w:rsidRDefault="009C1C61">
            <w:pPr>
              <w:pStyle w:val="a2"/>
              <w:ind w:right="113"/>
              <w:jc w:val="center"/>
              <w:rPr>
                <w:rFonts w:hint="eastAsia"/>
                <w:snapToGrid/>
              </w:rPr>
            </w:pPr>
            <w:r>
              <w:rPr>
                <w:rFonts w:hint="eastAsia"/>
                <w:snapToGrid/>
              </w:rPr>
              <w:t>贫困总数</w:t>
            </w:r>
          </w:p>
        </w:tc>
        <w:tc>
          <w:tcPr>
            <w:tcW w:w="1833" w:type="dxa"/>
          </w:tcPr>
          <w:p w:rsidR="00000000" w:rsidRDefault="009C1C61">
            <w:pPr>
              <w:pStyle w:val="a2"/>
              <w:ind w:right="113"/>
              <w:jc w:val="center"/>
              <w:rPr>
                <w:rFonts w:hint="eastAsia"/>
                <w:snapToGrid/>
              </w:rPr>
            </w:pPr>
            <w:r>
              <w:rPr>
                <w:rFonts w:hint="eastAsia"/>
                <w:snapToGrid/>
              </w:rPr>
              <w:t>百分比</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1990</w:t>
            </w:r>
          </w:p>
        </w:tc>
        <w:tc>
          <w:tcPr>
            <w:tcW w:w="1833" w:type="dxa"/>
          </w:tcPr>
          <w:p w:rsidR="00000000" w:rsidRDefault="009C1C61">
            <w:pPr>
              <w:pStyle w:val="a2"/>
              <w:ind w:right="113"/>
              <w:jc w:val="right"/>
              <w:rPr>
                <w:snapToGrid/>
              </w:rPr>
            </w:pPr>
            <w:r>
              <w:rPr>
                <w:snapToGrid/>
              </w:rPr>
              <w:t>1,659.3</w:t>
            </w:r>
          </w:p>
        </w:tc>
        <w:tc>
          <w:tcPr>
            <w:tcW w:w="1832" w:type="dxa"/>
          </w:tcPr>
          <w:p w:rsidR="00000000" w:rsidRDefault="009C1C61">
            <w:pPr>
              <w:pStyle w:val="a2"/>
              <w:ind w:right="113"/>
              <w:jc w:val="right"/>
              <w:rPr>
                <w:snapToGrid/>
              </w:rPr>
            </w:pPr>
            <w:r>
              <w:rPr>
                <w:snapToGrid/>
              </w:rPr>
              <w:t>12.9</w:t>
            </w:r>
          </w:p>
        </w:tc>
        <w:tc>
          <w:tcPr>
            <w:tcW w:w="1833" w:type="dxa"/>
          </w:tcPr>
          <w:p w:rsidR="00000000" w:rsidRDefault="009C1C61">
            <w:pPr>
              <w:pStyle w:val="a2"/>
              <w:ind w:right="113"/>
              <w:jc w:val="right"/>
              <w:rPr>
                <w:snapToGrid/>
              </w:rPr>
            </w:pPr>
            <w:r>
              <w:rPr>
                <w:snapToGrid/>
              </w:rPr>
              <w:t>4,965.6</w:t>
            </w:r>
          </w:p>
        </w:tc>
        <w:tc>
          <w:tcPr>
            <w:tcW w:w="1833" w:type="dxa"/>
          </w:tcPr>
          <w:p w:rsidR="00000000" w:rsidRDefault="009C1C61">
            <w:pPr>
              <w:pStyle w:val="a2"/>
              <w:ind w:right="113"/>
              <w:jc w:val="right"/>
              <w:rPr>
                <w:snapToGrid/>
              </w:rPr>
            </w:pPr>
            <w:r>
              <w:rPr>
                <w:snapToGrid/>
              </w:rPr>
              <w:t>38.6</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1992</w:t>
            </w:r>
          </w:p>
        </w:tc>
        <w:tc>
          <w:tcPr>
            <w:tcW w:w="1833" w:type="dxa"/>
          </w:tcPr>
          <w:p w:rsidR="00000000" w:rsidRDefault="009C1C61">
            <w:pPr>
              <w:pStyle w:val="a2"/>
              <w:ind w:right="113"/>
              <w:jc w:val="right"/>
              <w:rPr>
                <w:snapToGrid/>
              </w:rPr>
            </w:pPr>
            <w:r>
              <w:rPr>
                <w:snapToGrid/>
              </w:rPr>
              <w:t>1,169.3</w:t>
            </w:r>
          </w:p>
        </w:tc>
        <w:tc>
          <w:tcPr>
            <w:tcW w:w="1832" w:type="dxa"/>
          </w:tcPr>
          <w:p w:rsidR="00000000" w:rsidRDefault="009C1C61">
            <w:pPr>
              <w:pStyle w:val="a2"/>
              <w:ind w:right="113"/>
              <w:jc w:val="right"/>
              <w:rPr>
                <w:snapToGrid/>
              </w:rPr>
            </w:pPr>
            <w:r>
              <w:rPr>
                <w:snapToGrid/>
              </w:rPr>
              <w:t>8.8</w:t>
            </w:r>
          </w:p>
        </w:tc>
        <w:tc>
          <w:tcPr>
            <w:tcW w:w="1833" w:type="dxa"/>
          </w:tcPr>
          <w:p w:rsidR="00000000" w:rsidRDefault="009C1C61">
            <w:pPr>
              <w:pStyle w:val="a2"/>
              <w:ind w:right="113"/>
              <w:jc w:val="right"/>
              <w:rPr>
                <w:snapToGrid/>
              </w:rPr>
            </w:pPr>
            <w:r>
              <w:rPr>
                <w:snapToGrid/>
              </w:rPr>
              <w:t>4,331.7</w:t>
            </w:r>
          </w:p>
        </w:tc>
        <w:tc>
          <w:tcPr>
            <w:tcW w:w="1833" w:type="dxa"/>
          </w:tcPr>
          <w:p w:rsidR="00000000" w:rsidRDefault="009C1C61">
            <w:pPr>
              <w:pStyle w:val="a2"/>
              <w:ind w:right="113"/>
              <w:jc w:val="right"/>
              <w:rPr>
                <w:snapToGrid/>
              </w:rPr>
            </w:pPr>
            <w:r>
              <w:rPr>
                <w:snapToGrid/>
              </w:rPr>
              <w:t>32.6</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1994</w:t>
            </w:r>
          </w:p>
        </w:tc>
        <w:tc>
          <w:tcPr>
            <w:tcW w:w="1833" w:type="dxa"/>
          </w:tcPr>
          <w:p w:rsidR="00000000" w:rsidRDefault="009C1C61">
            <w:pPr>
              <w:pStyle w:val="a2"/>
              <w:ind w:right="113"/>
              <w:jc w:val="right"/>
              <w:rPr>
                <w:snapToGrid/>
              </w:rPr>
            </w:pPr>
            <w:r>
              <w:rPr>
                <w:snapToGrid/>
              </w:rPr>
              <w:t>1,036.2</w:t>
            </w:r>
          </w:p>
        </w:tc>
        <w:tc>
          <w:tcPr>
            <w:tcW w:w="1832" w:type="dxa"/>
          </w:tcPr>
          <w:p w:rsidR="00000000" w:rsidRDefault="009C1C61">
            <w:pPr>
              <w:pStyle w:val="a2"/>
              <w:ind w:right="113"/>
              <w:jc w:val="right"/>
              <w:rPr>
                <w:snapToGrid/>
              </w:rPr>
            </w:pPr>
            <w:r>
              <w:rPr>
                <w:snapToGrid/>
              </w:rPr>
              <w:t>7.6</w:t>
            </w:r>
          </w:p>
        </w:tc>
        <w:tc>
          <w:tcPr>
            <w:tcW w:w="1833" w:type="dxa"/>
          </w:tcPr>
          <w:p w:rsidR="00000000" w:rsidRDefault="009C1C61">
            <w:pPr>
              <w:pStyle w:val="a2"/>
              <w:ind w:right="113"/>
              <w:jc w:val="right"/>
              <w:rPr>
                <w:snapToGrid/>
              </w:rPr>
            </w:pPr>
            <w:r>
              <w:rPr>
                <w:snapToGrid/>
              </w:rPr>
              <w:t>3,780.0</w:t>
            </w:r>
          </w:p>
        </w:tc>
        <w:tc>
          <w:tcPr>
            <w:tcW w:w="1833" w:type="dxa"/>
          </w:tcPr>
          <w:p w:rsidR="00000000" w:rsidRDefault="009C1C61">
            <w:pPr>
              <w:pStyle w:val="a2"/>
              <w:ind w:right="113"/>
              <w:jc w:val="right"/>
              <w:rPr>
                <w:snapToGrid/>
              </w:rPr>
            </w:pPr>
            <w:r>
              <w:rPr>
                <w:snapToGrid/>
              </w:rPr>
              <w:t>27.5</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1996</w:t>
            </w:r>
          </w:p>
        </w:tc>
        <w:tc>
          <w:tcPr>
            <w:tcW w:w="1833" w:type="dxa"/>
          </w:tcPr>
          <w:p w:rsidR="00000000" w:rsidRDefault="009C1C61">
            <w:pPr>
              <w:pStyle w:val="a2"/>
              <w:ind w:right="113"/>
              <w:jc w:val="right"/>
              <w:rPr>
                <w:snapToGrid/>
              </w:rPr>
            </w:pPr>
            <w:r>
              <w:rPr>
                <w:snapToGrid/>
              </w:rPr>
              <w:t>813.8</w:t>
            </w:r>
          </w:p>
        </w:tc>
        <w:tc>
          <w:tcPr>
            <w:tcW w:w="1832" w:type="dxa"/>
          </w:tcPr>
          <w:p w:rsidR="00000000" w:rsidRDefault="009C1C61">
            <w:pPr>
              <w:pStyle w:val="a2"/>
              <w:ind w:right="113"/>
              <w:jc w:val="right"/>
              <w:rPr>
                <w:snapToGrid/>
              </w:rPr>
            </w:pPr>
            <w:r>
              <w:rPr>
                <w:snapToGrid/>
              </w:rPr>
              <w:t>5.8</w:t>
            </w:r>
          </w:p>
        </w:tc>
        <w:tc>
          <w:tcPr>
            <w:tcW w:w="1833" w:type="dxa"/>
          </w:tcPr>
          <w:p w:rsidR="00000000" w:rsidRDefault="009C1C61">
            <w:pPr>
              <w:pStyle w:val="a2"/>
              <w:ind w:right="113"/>
              <w:jc w:val="right"/>
              <w:rPr>
                <w:snapToGrid/>
              </w:rPr>
            </w:pPr>
            <w:r>
              <w:rPr>
                <w:snapToGrid/>
              </w:rPr>
              <w:t>3,288.3</w:t>
            </w:r>
          </w:p>
        </w:tc>
        <w:tc>
          <w:tcPr>
            <w:tcW w:w="1833" w:type="dxa"/>
          </w:tcPr>
          <w:p w:rsidR="00000000" w:rsidRDefault="009C1C61">
            <w:pPr>
              <w:pStyle w:val="a2"/>
              <w:ind w:right="113"/>
              <w:jc w:val="right"/>
              <w:rPr>
                <w:snapToGrid/>
              </w:rPr>
            </w:pPr>
            <w:r>
              <w:rPr>
                <w:snapToGrid/>
              </w:rPr>
              <w:t>23.2</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1998</w:t>
            </w:r>
            <w:r>
              <w:rPr>
                <w:rFonts w:hint="eastAsia"/>
                <w:snapToGrid/>
              </w:rPr>
              <w:sym w:font="Symbol" w:char="F02A"/>
            </w:r>
          </w:p>
        </w:tc>
        <w:tc>
          <w:tcPr>
            <w:tcW w:w="1833" w:type="dxa"/>
          </w:tcPr>
          <w:p w:rsidR="00000000" w:rsidRDefault="009C1C61">
            <w:pPr>
              <w:pStyle w:val="a2"/>
              <w:ind w:right="113"/>
              <w:jc w:val="right"/>
              <w:rPr>
                <w:snapToGrid/>
              </w:rPr>
            </w:pPr>
            <w:r>
              <w:rPr>
                <w:snapToGrid/>
              </w:rPr>
              <w:t>820.0</w:t>
            </w:r>
          </w:p>
        </w:tc>
        <w:tc>
          <w:tcPr>
            <w:tcW w:w="1832" w:type="dxa"/>
          </w:tcPr>
          <w:p w:rsidR="00000000" w:rsidRDefault="009C1C61">
            <w:pPr>
              <w:pStyle w:val="a2"/>
              <w:ind w:right="113"/>
              <w:jc w:val="right"/>
              <w:rPr>
                <w:snapToGrid/>
              </w:rPr>
            </w:pPr>
            <w:r>
              <w:rPr>
                <w:snapToGrid/>
              </w:rPr>
              <w:t>5.6</w:t>
            </w:r>
          </w:p>
        </w:tc>
        <w:tc>
          <w:tcPr>
            <w:tcW w:w="1833" w:type="dxa"/>
          </w:tcPr>
          <w:p w:rsidR="00000000" w:rsidRDefault="009C1C61">
            <w:pPr>
              <w:pStyle w:val="a2"/>
              <w:ind w:right="113"/>
              <w:jc w:val="right"/>
              <w:rPr>
                <w:snapToGrid/>
              </w:rPr>
            </w:pPr>
            <w:r>
              <w:rPr>
                <w:snapToGrid/>
              </w:rPr>
              <w:t>3,160.1</w:t>
            </w:r>
          </w:p>
        </w:tc>
        <w:tc>
          <w:tcPr>
            <w:tcW w:w="1833" w:type="dxa"/>
          </w:tcPr>
          <w:p w:rsidR="00000000" w:rsidRDefault="009C1C61">
            <w:pPr>
              <w:pStyle w:val="a2"/>
              <w:ind w:right="113"/>
              <w:jc w:val="right"/>
              <w:rPr>
                <w:snapToGrid/>
              </w:rPr>
            </w:pPr>
            <w:r>
              <w:rPr>
                <w:snapToGrid/>
              </w:rPr>
              <w:t>21.7</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2000</w:t>
            </w:r>
          </w:p>
        </w:tc>
        <w:tc>
          <w:tcPr>
            <w:tcW w:w="1833" w:type="dxa"/>
          </w:tcPr>
          <w:p w:rsidR="00000000" w:rsidRDefault="009C1C61">
            <w:pPr>
              <w:pStyle w:val="a2"/>
              <w:ind w:right="113"/>
              <w:jc w:val="right"/>
              <w:rPr>
                <w:snapToGrid/>
              </w:rPr>
            </w:pPr>
            <w:r>
              <w:rPr>
                <w:snapToGrid/>
              </w:rPr>
              <w:t>849.2</w:t>
            </w:r>
          </w:p>
        </w:tc>
        <w:tc>
          <w:tcPr>
            <w:tcW w:w="1832" w:type="dxa"/>
          </w:tcPr>
          <w:p w:rsidR="00000000" w:rsidRDefault="009C1C61">
            <w:pPr>
              <w:pStyle w:val="a2"/>
              <w:ind w:right="113"/>
              <w:jc w:val="right"/>
              <w:rPr>
                <w:snapToGrid/>
              </w:rPr>
            </w:pPr>
            <w:r>
              <w:rPr>
                <w:snapToGrid/>
              </w:rPr>
              <w:t>5.7</w:t>
            </w:r>
          </w:p>
        </w:tc>
        <w:tc>
          <w:tcPr>
            <w:tcW w:w="1833" w:type="dxa"/>
          </w:tcPr>
          <w:p w:rsidR="00000000" w:rsidRDefault="009C1C61">
            <w:pPr>
              <w:pStyle w:val="a2"/>
              <w:ind w:right="113"/>
              <w:jc w:val="right"/>
              <w:rPr>
                <w:snapToGrid/>
              </w:rPr>
            </w:pPr>
            <w:r>
              <w:rPr>
                <w:snapToGrid/>
              </w:rPr>
              <w:t>3,081.1</w:t>
            </w:r>
          </w:p>
        </w:tc>
        <w:tc>
          <w:tcPr>
            <w:tcW w:w="1833" w:type="dxa"/>
          </w:tcPr>
          <w:p w:rsidR="00000000" w:rsidRDefault="009C1C61">
            <w:pPr>
              <w:pStyle w:val="a2"/>
              <w:ind w:right="113"/>
              <w:jc w:val="right"/>
              <w:rPr>
                <w:snapToGrid/>
              </w:rPr>
            </w:pPr>
            <w:r>
              <w:rPr>
                <w:snapToGrid/>
              </w:rPr>
              <w:t>20.6</w:t>
            </w:r>
          </w:p>
        </w:tc>
      </w:tr>
      <w:tr w:rsidR="00000000">
        <w:tblPrEx>
          <w:tblCellMar>
            <w:top w:w="0" w:type="dxa"/>
            <w:bottom w:w="0" w:type="dxa"/>
          </w:tblCellMar>
        </w:tblPrEx>
        <w:trPr>
          <w:cantSplit/>
        </w:trPr>
        <w:tc>
          <w:tcPr>
            <w:tcW w:w="9163" w:type="dxa"/>
            <w:gridSpan w:val="5"/>
          </w:tcPr>
          <w:p w:rsidR="00000000" w:rsidRDefault="009C1C61">
            <w:pPr>
              <w:pStyle w:val="a2"/>
              <w:jc w:val="center"/>
              <w:rPr>
                <w:rFonts w:hint="eastAsia"/>
                <w:snapToGrid/>
              </w:rPr>
            </w:pPr>
            <w:r>
              <w:rPr>
                <w:rFonts w:hint="eastAsia"/>
                <w:snapToGrid/>
              </w:rPr>
              <w:t>千户和占总户数的百分比</w:t>
            </w:r>
            <w:r>
              <w:rPr>
                <w:rFonts w:hint="eastAsia"/>
                <w:snapToGrid/>
              </w:rPr>
              <w:sym w:font="Symbol" w:char="F02A"/>
            </w:r>
            <w:r>
              <w:rPr>
                <w:rFonts w:hint="eastAsia"/>
                <w:snapToGrid/>
              </w:rPr>
              <w:sym w:font="Symbol" w:char="F02A"/>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1990</w:t>
            </w:r>
          </w:p>
        </w:tc>
        <w:tc>
          <w:tcPr>
            <w:tcW w:w="1833" w:type="dxa"/>
          </w:tcPr>
          <w:p w:rsidR="00000000" w:rsidRDefault="009C1C61">
            <w:pPr>
              <w:pStyle w:val="a2"/>
              <w:ind w:right="113"/>
              <w:jc w:val="right"/>
              <w:rPr>
                <w:snapToGrid/>
              </w:rPr>
            </w:pPr>
            <w:r>
              <w:rPr>
                <w:snapToGrid/>
              </w:rPr>
              <w:t>336.3</w:t>
            </w:r>
          </w:p>
        </w:tc>
        <w:tc>
          <w:tcPr>
            <w:tcW w:w="1832" w:type="dxa"/>
          </w:tcPr>
          <w:p w:rsidR="00000000" w:rsidRDefault="009C1C61">
            <w:pPr>
              <w:pStyle w:val="a2"/>
              <w:ind w:right="113"/>
              <w:jc w:val="right"/>
              <w:rPr>
                <w:snapToGrid/>
              </w:rPr>
            </w:pPr>
            <w:r>
              <w:rPr>
                <w:snapToGrid/>
              </w:rPr>
              <w:t>10.6</w:t>
            </w:r>
          </w:p>
        </w:tc>
        <w:tc>
          <w:tcPr>
            <w:tcW w:w="1833" w:type="dxa"/>
          </w:tcPr>
          <w:p w:rsidR="00000000" w:rsidRDefault="009C1C61">
            <w:pPr>
              <w:pStyle w:val="a2"/>
              <w:ind w:right="113"/>
              <w:jc w:val="right"/>
              <w:rPr>
                <w:snapToGrid/>
              </w:rPr>
            </w:pPr>
            <w:r>
              <w:rPr>
                <w:snapToGrid/>
              </w:rPr>
              <w:t>1,056.5</w:t>
            </w:r>
          </w:p>
        </w:tc>
        <w:tc>
          <w:tcPr>
            <w:tcW w:w="1833" w:type="dxa"/>
          </w:tcPr>
          <w:p w:rsidR="00000000" w:rsidRDefault="009C1C61">
            <w:pPr>
              <w:pStyle w:val="a2"/>
              <w:ind w:right="113"/>
              <w:jc w:val="right"/>
              <w:rPr>
                <w:snapToGrid/>
              </w:rPr>
            </w:pPr>
            <w:r>
              <w:rPr>
                <w:snapToGrid/>
              </w:rPr>
              <w:t>33.3</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1992</w:t>
            </w:r>
          </w:p>
        </w:tc>
        <w:tc>
          <w:tcPr>
            <w:tcW w:w="1833" w:type="dxa"/>
          </w:tcPr>
          <w:p w:rsidR="00000000" w:rsidRDefault="009C1C61">
            <w:pPr>
              <w:pStyle w:val="a2"/>
              <w:ind w:right="113"/>
              <w:jc w:val="right"/>
              <w:rPr>
                <w:snapToGrid/>
              </w:rPr>
            </w:pPr>
            <w:r>
              <w:rPr>
                <w:snapToGrid/>
              </w:rPr>
              <w:t>242.4</w:t>
            </w:r>
          </w:p>
        </w:tc>
        <w:tc>
          <w:tcPr>
            <w:tcW w:w="1832" w:type="dxa"/>
          </w:tcPr>
          <w:p w:rsidR="00000000" w:rsidRDefault="009C1C61">
            <w:pPr>
              <w:pStyle w:val="a2"/>
              <w:ind w:right="113"/>
              <w:jc w:val="right"/>
              <w:rPr>
                <w:snapToGrid/>
              </w:rPr>
            </w:pPr>
            <w:r>
              <w:rPr>
                <w:snapToGrid/>
              </w:rPr>
              <w:t>7.2</w:t>
            </w:r>
          </w:p>
        </w:tc>
        <w:tc>
          <w:tcPr>
            <w:tcW w:w="1833" w:type="dxa"/>
          </w:tcPr>
          <w:p w:rsidR="00000000" w:rsidRDefault="009C1C61">
            <w:pPr>
              <w:pStyle w:val="a2"/>
              <w:ind w:right="113"/>
              <w:jc w:val="right"/>
              <w:rPr>
                <w:snapToGrid/>
              </w:rPr>
            </w:pPr>
            <w:r>
              <w:rPr>
                <w:snapToGrid/>
              </w:rPr>
              <w:t>932.5</w:t>
            </w:r>
          </w:p>
        </w:tc>
        <w:tc>
          <w:tcPr>
            <w:tcW w:w="1833" w:type="dxa"/>
          </w:tcPr>
          <w:p w:rsidR="00000000" w:rsidRDefault="009C1C61">
            <w:pPr>
              <w:pStyle w:val="a2"/>
              <w:ind w:right="113"/>
              <w:jc w:val="right"/>
              <w:rPr>
                <w:snapToGrid/>
              </w:rPr>
            </w:pPr>
            <w:r>
              <w:rPr>
                <w:snapToGrid/>
              </w:rPr>
              <w:t>27.7</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1994</w:t>
            </w:r>
          </w:p>
        </w:tc>
        <w:tc>
          <w:tcPr>
            <w:tcW w:w="1833" w:type="dxa"/>
          </w:tcPr>
          <w:p w:rsidR="00000000" w:rsidRDefault="009C1C61">
            <w:pPr>
              <w:pStyle w:val="a2"/>
              <w:ind w:right="113"/>
              <w:jc w:val="right"/>
              <w:rPr>
                <w:snapToGrid/>
              </w:rPr>
            </w:pPr>
            <w:r>
              <w:rPr>
                <w:snapToGrid/>
              </w:rPr>
              <w:t>219.3</w:t>
            </w:r>
          </w:p>
        </w:tc>
        <w:tc>
          <w:tcPr>
            <w:tcW w:w="1832" w:type="dxa"/>
          </w:tcPr>
          <w:p w:rsidR="00000000" w:rsidRDefault="009C1C61">
            <w:pPr>
              <w:pStyle w:val="a2"/>
              <w:ind w:right="113"/>
              <w:jc w:val="right"/>
              <w:rPr>
                <w:snapToGrid/>
              </w:rPr>
            </w:pPr>
            <w:r>
              <w:rPr>
                <w:snapToGrid/>
              </w:rPr>
              <w:t>6.2</w:t>
            </w:r>
          </w:p>
        </w:tc>
        <w:tc>
          <w:tcPr>
            <w:tcW w:w="1833" w:type="dxa"/>
          </w:tcPr>
          <w:p w:rsidR="00000000" w:rsidRDefault="009C1C61">
            <w:pPr>
              <w:pStyle w:val="a2"/>
              <w:ind w:right="113"/>
              <w:jc w:val="right"/>
              <w:rPr>
                <w:snapToGrid/>
              </w:rPr>
            </w:pPr>
            <w:r>
              <w:rPr>
                <w:snapToGrid/>
              </w:rPr>
              <w:t>820.5</w:t>
            </w:r>
          </w:p>
        </w:tc>
        <w:tc>
          <w:tcPr>
            <w:tcW w:w="1833" w:type="dxa"/>
          </w:tcPr>
          <w:p w:rsidR="00000000" w:rsidRDefault="009C1C61">
            <w:pPr>
              <w:pStyle w:val="a2"/>
              <w:ind w:right="113"/>
              <w:jc w:val="right"/>
              <w:rPr>
                <w:snapToGrid/>
              </w:rPr>
            </w:pPr>
            <w:r>
              <w:rPr>
                <w:snapToGrid/>
              </w:rPr>
              <w:t>23.2</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1996</w:t>
            </w:r>
          </w:p>
        </w:tc>
        <w:tc>
          <w:tcPr>
            <w:tcW w:w="1833" w:type="dxa"/>
          </w:tcPr>
          <w:p w:rsidR="00000000" w:rsidRDefault="009C1C61">
            <w:pPr>
              <w:pStyle w:val="a2"/>
              <w:ind w:right="113"/>
              <w:jc w:val="right"/>
              <w:rPr>
                <w:snapToGrid/>
              </w:rPr>
            </w:pPr>
            <w:r>
              <w:rPr>
                <w:snapToGrid/>
              </w:rPr>
              <w:t>175.8</w:t>
            </w:r>
          </w:p>
        </w:tc>
        <w:tc>
          <w:tcPr>
            <w:tcW w:w="1832" w:type="dxa"/>
          </w:tcPr>
          <w:p w:rsidR="00000000" w:rsidRDefault="009C1C61">
            <w:pPr>
              <w:pStyle w:val="a2"/>
              <w:ind w:right="113"/>
              <w:jc w:val="right"/>
              <w:rPr>
                <w:snapToGrid/>
              </w:rPr>
            </w:pPr>
            <w:r>
              <w:rPr>
                <w:snapToGrid/>
              </w:rPr>
              <w:t>4.9</w:t>
            </w:r>
          </w:p>
        </w:tc>
        <w:tc>
          <w:tcPr>
            <w:tcW w:w="1833" w:type="dxa"/>
          </w:tcPr>
          <w:p w:rsidR="00000000" w:rsidRDefault="009C1C61">
            <w:pPr>
              <w:pStyle w:val="a2"/>
              <w:ind w:right="113"/>
              <w:jc w:val="right"/>
              <w:rPr>
                <w:snapToGrid/>
              </w:rPr>
            </w:pPr>
            <w:r>
              <w:rPr>
                <w:snapToGrid/>
              </w:rPr>
              <w:t>706.8</w:t>
            </w:r>
          </w:p>
        </w:tc>
        <w:tc>
          <w:tcPr>
            <w:tcW w:w="1833" w:type="dxa"/>
          </w:tcPr>
          <w:p w:rsidR="00000000" w:rsidRDefault="009C1C61">
            <w:pPr>
              <w:pStyle w:val="a2"/>
              <w:ind w:right="113"/>
              <w:jc w:val="right"/>
              <w:rPr>
                <w:snapToGrid/>
              </w:rPr>
            </w:pPr>
            <w:r>
              <w:rPr>
                <w:snapToGrid/>
              </w:rPr>
              <w:t>19.7</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1998</w:t>
            </w:r>
          </w:p>
        </w:tc>
        <w:tc>
          <w:tcPr>
            <w:tcW w:w="1833" w:type="dxa"/>
          </w:tcPr>
          <w:p w:rsidR="00000000" w:rsidRDefault="009C1C61">
            <w:pPr>
              <w:pStyle w:val="a2"/>
              <w:ind w:right="113"/>
              <w:jc w:val="right"/>
              <w:rPr>
                <w:snapToGrid/>
              </w:rPr>
            </w:pPr>
            <w:r>
              <w:rPr>
                <w:snapToGrid/>
              </w:rPr>
              <w:t>173.9</w:t>
            </w:r>
          </w:p>
        </w:tc>
        <w:tc>
          <w:tcPr>
            <w:tcW w:w="1832" w:type="dxa"/>
          </w:tcPr>
          <w:p w:rsidR="00000000" w:rsidRDefault="009C1C61">
            <w:pPr>
              <w:pStyle w:val="a2"/>
              <w:ind w:right="113"/>
              <w:jc w:val="right"/>
              <w:rPr>
                <w:snapToGrid/>
              </w:rPr>
            </w:pPr>
            <w:r>
              <w:rPr>
                <w:snapToGrid/>
              </w:rPr>
              <w:t>4.7</w:t>
            </w:r>
          </w:p>
        </w:tc>
        <w:tc>
          <w:tcPr>
            <w:tcW w:w="1833" w:type="dxa"/>
          </w:tcPr>
          <w:p w:rsidR="00000000" w:rsidRDefault="009C1C61">
            <w:pPr>
              <w:pStyle w:val="a2"/>
              <w:ind w:right="113"/>
              <w:jc w:val="right"/>
              <w:rPr>
                <w:snapToGrid/>
              </w:rPr>
            </w:pPr>
            <w:r>
              <w:rPr>
                <w:snapToGrid/>
              </w:rPr>
              <w:t>666.0</w:t>
            </w:r>
          </w:p>
        </w:tc>
        <w:tc>
          <w:tcPr>
            <w:tcW w:w="1833" w:type="dxa"/>
          </w:tcPr>
          <w:p w:rsidR="00000000" w:rsidRDefault="009C1C61">
            <w:pPr>
              <w:pStyle w:val="a2"/>
              <w:ind w:right="113"/>
              <w:jc w:val="right"/>
              <w:rPr>
                <w:snapToGrid/>
              </w:rPr>
            </w:pPr>
            <w:r>
              <w:rPr>
                <w:snapToGrid/>
              </w:rPr>
              <w:t>17.8</w:t>
            </w:r>
          </w:p>
        </w:tc>
      </w:tr>
      <w:tr w:rsidR="00000000">
        <w:tblPrEx>
          <w:tblCellMar>
            <w:top w:w="0" w:type="dxa"/>
            <w:bottom w:w="0" w:type="dxa"/>
          </w:tblCellMar>
        </w:tblPrEx>
        <w:tc>
          <w:tcPr>
            <w:tcW w:w="1832" w:type="dxa"/>
          </w:tcPr>
          <w:p w:rsidR="00000000" w:rsidRDefault="009C1C61">
            <w:pPr>
              <w:pStyle w:val="a2"/>
              <w:ind w:right="113"/>
              <w:jc w:val="center"/>
              <w:rPr>
                <w:rFonts w:hint="eastAsia"/>
                <w:snapToGrid/>
              </w:rPr>
            </w:pPr>
            <w:r>
              <w:rPr>
                <w:rFonts w:hint="eastAsia"/>
                <w:snapToGrid/>
              </w:rPr>
              <w:t>2000</w:t>
            </w:r>
          </w:p>
        </w:tc>
        <w:tc>
          <w:tcPr>
            <w:tcW w:w="1833" w:type="dxa"/>
          </w:tcPr>
          <w:p w:rsidR="00000000" w:rsidRDefault="009C1C61">
            <w:pPr>
              <w:pStyle w:val="a2"/>
              <w:ind w:right="113"/>
              <w:jc w:val="right"/>
              <w:rPr>
                <w:snapToGrid/>
              </w:rPr>
            </w:pPr>
            <w:r>
              <w:rPr>
                <w:snapToGrid/>
              </w:rPr>
              <w:t>177.6</w:t>
            </w:r>
          </w:p>
        </w:tc>
        <w:tc>
          <w:tcPr>
            <w:tcW w:w="1832" w:type="dxa"/>
          </w:tcPr>
          <w:p w:rsidR="00000000" w:rsidRDefault="009C1C61">
            <w:pPr>
              <w:pStyle w:val="a2"/>
              <w:ind w:right="113"/>
              <w:jc w:val="right"/>
              <w:rPr>
                <w:snapToGrid/>
              </w:rPr>
            </w:pPr>
            <w:r>
              <w:rPr>
                <w:snapToGrid/>
              </w:rPr>
              <w:t>4.6</w:t>
            </w:r>
          </w:p>
        </w:tc>
        <w:tc>
          <w:tcPr>
            <w:tcW w:w="1833" w:type="dxa"/>
          </w:tcPr>
          <w:p w:rsidR="00000000" w:rsidRDefault="009C1C61">
            <w:pPr>
              <w:pStyle w:val="a2"/>
              <w:ind w:right="113"/>
              <w:jc w:val="right"/>
              <w:rPr>
                <w:snapToGrid/>
              </w:rPr>
            </w:pPr>
            <w:r>
              <w:rPr>
                <w:snapToGrid/>
              </w:rPr>
              <w:t>643.2</w:t>
            </w:r>
          </w:p>
        </w:tc>
        <w:tc>
          <w:tcPr>
            <w:tcW w:w="1833" w:type="dxa"/>
          </w:tcPr>
          <w:p w:rsidR="00000000" w:rsidRDefault="009C1C61">
            <w:pPr>
              <w:pStyle w:val="a2"/>
              <w:ind w:right="113"/>
              <w:jc w:val="right"/>
              <w:rPr>
                <w:snapToGrid/>
              </w:rPr>
            </w:pPr>
            <w:r>
              <w:rPr>
                <w:snapToGrid/>
              </w:rPr>
              <w:t>16.6</w:t>
            </w:r>
          </w:p>
        </w:tc>
      </w:tr>
    </w:tbl>
    <w:p w:rsidR="00000000" w:rsidRDefault="009C1C61">
      <w:pPr>
        <w:pStyle w:val="FootnoteText"/>
        <w:spacing w:before="120" w:line="240" w:lineRule="auto"/>
        <w:rPr>
          <w:rFonts w:hint="eastAsia"/>
        </w:rPr>
      </w:pPr>
      <w:r>
        <w:rPr>
          <w:rFonts w:hint="eastAsia"/>
          <w:u w:val="single"/>
        </w:rPr>
        <w:t>资料来源</w:t>
      </w:r>
      <w:r>
        <w:rPr>
          <w:rFonts w:hint="eastAsia"/>
        </w:rPr>
        <w:t>：</w:t>
      </w:r>
      <w:r>
        <w:rPr>
          <w:rFonts w:hint="eastAsia"/>
        </w:rPr>
        <w:tab/>
      </w:r>
      <w:r>
        <w:rPr>
          <w:rFonts w:hint="eastAsia"/>
        </w:rPr>
        <w:t>规划与合作部，</w:t>
      </w:r>
      <w:r>
        <w:rPr>
          <w:rFonts w:hint="eastAsia"/>
        </w:rPr>
        <w:t>1990</w:t>
      </w:r>
      <w:r>
        <w:rPr>
          <w:rFonts w:hint="eastAsia"/>
        </w:rPr>
        <w:t>年、</w:t>
      </w:r>
      <w:r>
        <w:rPr>
          <w:rFonts w:hint="eastAsia"/>
        </w:rPr>
        <w:t>1992</w:t>
      </w:r>
      <w:r>
        <w:rPr>
          <w:rFonts w:hint="eastAsia"/>
        </w:rPr>
        <w:t>年、</w:t>
      </w:r>
      <w:r>
        <w:rPr>
          <w:rFonts w:hint="eastAsia"/>
        </w:rPr>
        <w:t>11994</w:t>
      </w:r>
      <w:r>
        <w:rPr>
          <w:rFonts w:hint="eastAsia"/>
        </w:rPr>
        <w:t>年、</w:t>
      </w:r>
      <w:r>
        <w:rPr>
          <w:rFonts w:hint="eastAsia"/>
        </w:rPr>
        <w:t>1996</w:t>
      </w:r>
      <w:r>
        <w:rPr>
          <w:rFonts w:hint="eastAsia"/>
        </w:rPr>
        <w:t>年、</w:t>
      </w:r>
      <w:r>
        <w:rPr>
          <w:rFonts w:hint="eastAsia"/>
        </w:rPr>
        <w:t>1998</w:t>
      </w:r>
      <w:r>
        <w:rPr>
          <w:rFonts w:hint="eastAsia"/>
        </w:rPr>
        <w:t>年及</w:t>
      </w:r>
      <w:r>
        <w:rPr>
          <w:rFonts w:hint="eastAsia"/>
        </w:rPr>
        <w:t>2000</w:t>
      </w:r>
      <w:r>
        <w:rPr>
          <w:rFonts w:hint="eastAsia"/>
        </w:rPr>
        <w:t>年的社经特征调查。</w:t>
      </w:r>
    </w:p>
    <w:p w:rsidR="00000000" w:rsidRDefault="009C1C61">
      <w:pPr>
        <w:pStyle w:val="FootnoteText"/>
        <w:spacing w:line="240" w:lineRule="auto"/>
        <w:ind w:left="1000"/>
        <w:rPr>
          <w:rFonts w:hint="eastAsia"/>
        </w:rPr>
      </w:pPr>
      <w:r>
        <w:rPr>
          <w:rFonts w:hint="eastAsia"/>
        </w:rPr>
        <w:t>*</w:t>
      </w:r>
      <w:r>
        <w:rPr>
          <w:rFonts w:hint="eastAsia"/>
        </w:rPr>
        <w:tab/>
      </w:r>
      <w:r>
        <w:rPr>
          <w:rFonts w:hint="eastAsia"/>
        </w:rPr>
        <w:t>不包括家庭内部服务和有关核心家庭。</w:t>
      </w:r>
    </w:p>
    <w:p w:rsidR="00000000" w:rsidRDefault="009C1C61">
      <w:pPr>
        <w:pStyle w:val="FootnoteText"/>
        <w:spacing w:after="320" w:line="240" w:lineRule="auto"/>
        <w:ind w:left="1000"/>
        <w:rPr>
          <w:rFonts w:hint="eastAsia"/>
          <w:spacing w:val="0"/>
        </w:rPr>
      </w:pPr>
      <w:r>
        <w:rPr>
          <w:rStyle w:val="FootnoteReference"/>
          <w:rFonts w:hint="eastAsia"/>
        </w:rPr>
        <w:t>**</w:t>
      </w:r>
      <w:r>
        <w:rPr>
          <w:rFonts w:hint="eastAsia"/>
        </w:rPr>
        <w:tab/>
      </w:r>
      <w:r>
        <w:rPr>
          <w:rFonts w:hint="eastAsia"/>
          <w:spacing w:val="0"/>
        </w:rPr>
        <w:t>生活贫困的人和居民户的数量与百分比，包括生活赤贫的人和居民户。</w:t>
      </w:r>
    </w:p>
    <w:p w:rsidR="00000000" w:rsidRDefault="009C1C61">
      <w:pPr>
        <w:rPr>
          <w:rFonts w:hint="eastAsia"/>
          <w:snapToGrid/>
        </w:rPr>
      </w:pPr>
      <w:r>
        <w:rPr>
          <w:rFonts w:hint="eastAsia"/>
          <w:snapToGrid/>
        </w:rPr>
        <w:tab/>
        <w:t xml:space="preserve">508.  </w:t>
      </w:r>
      <w:r>
        <w:rPr>
          <w:rFonts w:hint="eastAsia"/>
          <w:snapToGrid/>
        </w:rPr>
        <w:t>在</w:t>
      </w:r>
      <w:r>
        <w:rPr>
          <w:rFonts w:hint="eastAsia"/>
          <w:snapToGrid/>
        </w:rPr>
        <w:t>1990-2000</w:t>
      </w:r>
      <w:r>
        <w:rPr>
          <w:rFonts w:hint="eastAsia"/>
          <w:snapToGrid/>
        </w:rPr>
        <w:t>年</w:t>
      </w:r>
      <w:r>
        <w:rPr>
          <w:rFonts w:hint="eastAsia"/>
          <w:snapToGrid/>
        </w:rPr>
        <w:t>10</w:t>
      </w:r>
      <w:r>
        <w:rPr>
          <w:rFonts w:hint="eastAsia"/>
          <w:snapToGrid/>
        </w:rPr>
        <w:t>年期间，本国把生活贫困人口从</w:t>
      </w:r>
      <w:r>
        <w:rPr>
          <w:rFonts w:hint="eastAsia"/>
          <w:snapToGrid/>
        </w:rPr>
        <w:t>1990</w:t>
      </w:r>
      <w:r>
        <w:rPr>
          <w:rFonts w:hint="eastAsia"/>
          <w:snapToGrid/>
        </w:rPr>
        <w:t>的</w:t>
      </w:r>
      <w:r>
        <w:rPr>
          <w:rFonts w:hint="eastAsia"/>
          <w:snapToGrid/>
        </w:rPr>
        <w:t>38.6%</w:t>
      </w:r>
      <w:r>
        <w:rPr>
          <w:rFonts w:hint="eastAsia"/>
          <w:snapToGrid/>
        </w:rPr>
        <w:t>减少到</w:t>
      </w:r>
      <w:r>
        <w:rPr>
          <w:rFonts w:hint="eastAsia"/>
          <w:snapToGrid/>
        </w:rPr>
        <w:t>2000</w:t>
      </w:r>
      <w:r>
        <w:rPr>
          <w:rFonts w:hint="eastAsia"/>
          <w:snapToGrid/>
        </w:rPr>
        <w:t>年的</w:t>
      </w:r>
      <w:r>
        <w:rPr>
          <w:rFonts w:hint="eastAsia"/>
          <w:snapToGrid/>
        </w:rPr>
        <w:t>20.6</w:t>
      </w:r>
      <w:r>
        <w:rPr>
          <w:snapToGrid/>
        </w:rPr>
        <w:t>%</w:t>
      </w:r>
      <w:r>
        <w:rPr>
          <w:rFonts w:hint="eastAsia"/>
          <w:snapToGrid/>
        </w:rPr>
        <w:t>。同期，赤贫人口也减少了，由</w:t>
      </w:r>
      <w:r>
        <w:rPr>
          <w:snapToGrid/>
        </w:rPr>
        <w:t>12.9%</w:t>
      </w:r>
      <w:r>
        <w:rPr>
          <w:rFonts w:hint="eastAsia"/>
          <w:snapToGrid/>
        </w:rPr>
        <w:t>减少到</w:t>
      </w:r>
      <w:r>
        <w:rPr>
          <w:snapToGrid/>
        </w:rPr>
        <w:t>5.7%</w:t>
      </w:r>
      <w:r>
        <w:rPr>
          <w:rFonts w:hint="eastAsia"/>
          <w:snapToGrid/>
        </w:rPr>
        <w:t>。贫困户由</w:t>
      </w:r>
      <w:r>
        <w:rPr>
          <w:rFonts w:hint="eastAsia"/>
          <w:snapToGrid/>
        </w:rPr>
        <w:t>1990</w:t>
      </w:r>
      <w:r>
        <w:rPr>
          <w:rFonts w:hint="eastAsia"/>
          <w:snapToGrid/>
        </w:rPr>
        <w:t>年的</w:t>
      </w:r>
      <w:r>
        <w:rPr>
          <w:snapToGrid/>
        </w:rPr>
        <w:t>33.3%</w:t>
      </w:r>
      <w:r>
        <w:rPr>
          <w:rFonts w:hint="eastAsia"/>
          <w:snapToGrid/>
        </w:rPr>
        <w:t>下降到</w:t>
      </w:r>
      <w:r>
        <w:rPr>
          <w:rFonts w:hint="eastAsia"/>
          <w:snapToGrid/>
        </w:rPr>
        <w:t>2000</w:t>
      </w:r>
      <w:r>
        <w:rPr>
          <w:rFonts w:hint="eastAsia"/>
          <w:snapToGrid/>
        </w:rPr>
        <w:t>年的</w:t>
      </w:r>
      <w:r>
        <w:rPr>
          <w:snapToGrid/>
        </w:rPr>
        <w:t>16.6%</w:t>
      </w:r>
      <w:r>
        <w:rPr>
          <w:rFonts w:hint="eastAsia"/>
          <w:snapToGrid/>
        </w:rPr>
        <w:t>，同期赤贫户所占百分比由</w:t>
      </w:r>
      <w:r>
        <w:rPr>
          <w:snapToGrid/>
        </w:rPr>
        <w:t>10.6%</w:t>
      </w:r>
      <w:r>
        <w:rPr>
          <w:rFonts w:hint="eastAsia"/>
          <w:snapToGrid/>
        </w:rPr>
        <w:t>下降到</w:t>
      </w:r>
      <w:r>
        <w:rPr>
          <w:snapToGrid/>
        </w:rPr>
        <w:t>4.6%</w:t>
      </w:r>
      <w:r>
        <w:rPr>
          <w:rFonts w:hint="eastAsia"/>
          <w:snapToGrid/>
        </w:rPr>
        <w:t>。这也就</w:t>
      </w:r>
      <w:r>
        <w:rPr>
          <w:rFonts w:hint="eastAsia"/>
          <w:snapToGrid/>
        </w:rPr>
        <w:t>是说，</w:t>
      </w:r>
      <w:r>
        <w:rPr>
          <w:rFonts w:hint="eastAsia"/>
          <w:snapToGrid/>
        </w:rPr>
        <w:t>2000</w:t>
      </w:r>
      <w:r>
        <w:rPr>
          <w:rFonts w:hint="eastAsia"/>
          <w:snapToGrid/>
        </w:rPr>
        <w:t>年贫困人数比十年初少了大约</w:t>
      </w:r>
      <w:r>
        <w:rPr>
          <w:rFonts w:hint="eastAsia"/>
          <w:snapToGrid/>
        </w:rPr>
        <w:t>1,</w:t>
      </w:r>
      <w:r>
        <w:rPr>
          <w:snapToGrid/>
        </w:rPr>
        <w:t>884,000</w:t>
      </w:r>
      <w:r>
        <w:rPr>
          <w:rFonts w:hint="eastAsia"/>
          <w:snapToGrid/>
        </w:rPr>
        <w:t>人。这个数字包括与</w:t>
      </w:r>
      <w:r>
        <w:rPr>
          <w:rFonts w:hint="eastAsia"/>
          <w:snapToGrid/>
        </w:rPr>
        <w:t>1990</w:t>
      </w:r>
      <w:r>
        <w:rPr>
          <w:rFonts w:hint="eastAsia"/>
          <w:snapToGrid/>
        </w:rPr>
        <w:t>年相比生活赤贫人数减少的</w:t>
      </w:r>
      <w:r>
        <w:rPr>
          <w:snapToGrid/>
        </w:rPr>
        <w:t xml:space="preserve"> 810,000</w:t>
      </w:r>
      <w:r>
        <w:rPr>
          <w:rFonts w:hint="eastAsia"/>
          <w:snapToGrid/>
        </w:rPr>
        <w:t>人。与</w:t>
      </w:r>
      <w:r>
        <w:rPr>
          <w:rFonts w:hint="eastAsia"/>
          <w:snapToGrid/>
        </w:rPr>
        <w:t>1990</w:t>
      </w:r>
      <w:r>
        <w:rPr>
          <w:rFonts w:hint="eastAsia"/>
          <w:snapToGrid/>
        </w:rPr>
        <w:t>年相比，</w:t>
      </w:r>
      <w:r>
        <w:rPr>
          <w:rFonts w:hint="eastAsia"/>
          <w:snapToGrid/>
        </w:rPr>
        <w:t>2000</w:t>
      </w:r>
      <w:r>
        <w:rPr>
          <w:rFonts w:hint="eastAsia"/>
          <w:snapToGrid/>
        </w:rPr>
        <w:t>年生活贫困户减少了</w:t>
      </w:r>
      <w:r>
        <w:rPr>
          <w:snapToGrid/>
        </w:rPr>
        <w:t>413,000</w:t>
      </w:r>
      <w:r>
        <w:rPr>
          <w:rFonts w:hint="eastAsia"/>
          <w:snapToGrid/>
        </w:rPr>
        <w:t>户，同期赤贫户减少了</w:t>
      </w:r>
      <w:r>
        <w:rPr>
          <w:snapToGrid/>
        </w:rPr>
        <w:t>159,000</w:t>
      </w:r>
      <w:r>
        <w:rPr>
          <w:rFonts w:hint="eastAsia"/>
          <w:snapToGrid/>
        </w:rPr>
        <w:t>多一点。</w:t>
      </w:r>
    </w:p>
    <w:p w:rsidR="00000000" w:rsidRDefault="009C1C61">
      <w:pPr>
        <w:spacing w:after="320"/>
        <w:rPr>
          <w:rFonts w:hint="eastAsia"/>
          <w:snapToGrid/>
        </w:rPr>
      </w:pPr>
      <w:r>
        <w:rPr>
          <w:rFonts w:hint="eastAsia"/>
          <w:snapToGrid/>
        </w:rPr>
        <w:tab/>
        <w:t xml:space="preserve">509.  </w:t>
      </w:r>
      <w:r>
        <w:rPr>
          <w:rFonts w:hint="eastAsia"/>
          <w:snapToGrid/>
        </w:rPr>
        <w:t>自</w:t>
      </w:r>
      <w:r>
        <w:rPr>
          <w:rFonts w:hint="eastAsia"/>
          <w:snapToGrid/>
        </w:rPr>
        <w:t>1996</w:t>
      </w:r>
      <w:r>
        <w:rPr>
          <w:rFonts w:hint="eastAsia"/>
          <w:snapToGrid/>
        </w:rPr>
        <w:t>年至</w:t>
      </w:r>
      <w:r>
        <w:rPr>
          <w:rFonts w:hint="eastAsia"/>
          <w:snapToGrid/>
        </w:rPr>
        <w:t>2000</w:t>
      </w:r>
      <w:r>
        <w:rPr>
          <w:rFonts w:hint="eastAsia"/>
          <w:snapToGrid/>
        </w:rPr>
        <w:t>年，贫困人口和居民户数量，与十年其他</w:t>
      </w:r>
      <w:r>
        <w:rPr>
          <w:rFonts w:hint="eastAsia"/>
          <w:snapToGrid/>
        </w:rPr>
        <w:t>5</w:t>
      </w:r>
      <w:r>
        <w:rPr>
          <w:rFonts w:hint="eastAsia"/>
          <w:snapToGrid/>
        </w:rPr>
        <w:t>年相比，虽然下降速度放慢了，却仍然保持着下降趋势。同期，赤贫人口和居民户数量则保持相对稳定。</w:t>
      </w:r>
      <w:r>
        <w:rPr>
          <w:rFonts w:hint="eastAsia"/>
          <w:snapToGrid/>
        </w:rPr>
        <w:t>1990</w:t>
      </w:r>
      <w:r>
        <w:rPr>
          <w:rFonts w:hint="eastAsia"/>
          <w:snapToGrid/>
        </w:rPr>
        <w:t>年代贫穷下降之所以平缓，赤贫减少之所以相对停滞，是因为本国自</w:t>
      </w:r>
      <w:r>
        <w:rPr>
          <w:rFonts w:hint="eastAsia"/>
          <w:snapToGrid/>
        </w:rPr>
        <w:t>1998</w:t>
      </w:r>
      <w:r>
        <w:rPr>
          <w:rFonts w:hint="eastAsia"/>
          <w:snapToGrid/>
        </w:rPr>
        <w:t>年第二季度以后经济增长放慢。鉴于衡量贫困</w:t>
      </w:r>
      <w:r>
        <w:rPr>
          <w:rFonts w:hint="eastAsia"/>
          <w:snapToGrid/>
        </w:rPr>
        <w:t>所用办法</w:t>
      </w:r>
      <w:r>
        <w:rPr>
          <w:rFonts w:hint="eastAsia"/>
          <w:snapToGrid/>
          <w:spacing w:val="-40"/>
        </w:rPr>
        <w:t>——</w:t>
      </w:r>
      <w:r>
        <w:rPr>
          <w:rFonts w:hint="eastAsia"/>
          <w:snapToGrid/>
        </w:rPr>
        <w:t>收入法，所做出的估计特别敏感地反映了国家的基本经济状况。</w:t>
      </w:r>
      <w:r>
        <w:rPr>
          <w:rFonts w:hint="eastAsia"/>
          <w:snapToGrid/>
        </w:rPr>
        <w:t>1998</w:t>
      </w:r>
      <w:r>
        <w:rPr>
          <w:rFonts w:hint="eastAsia"/>
          <w:snapToGrid/>
        </w:rPr>
        <w:t>年底，智利因受国际经济危机的间接影响和国内实施支出调整政策的间接影响，经济处境特别困难。</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贫困和赤贫的程度</w:t>
      </w:r>
    </w:p>
    <w:p w:rsidR="00000000" w:rsidRDefault="009C1C61">
      <w:pPr>
        <w:rPr>
          <w:rFonts w:hint="eastAsia"/>
          <w:snapToGrid/>
        </w:rPr>
      </w:pPr>
      <w:r>
        <w:rPr>
          <w:rFonts w:hint="eastAsia"/>
          <w:snapToGrid/>
        </w:rPr>
        <w:tab/>
        <w:t xml:space="preserve">510.  </w:t>
      </w:r>
      <w:r>
        <w:rPr>
          <w:rFonts w:hint="eastAsia"/>
          <w:snapToGrid/>
        </w:rPr>
        <w:t>贫困程度指标，是根据平均收入差距和国际指数</w:t>
      </w:r>
      <w:r>
        <w:rPr>
          <w:rFonts w:hint="eastAsia"/>
          <w:snapToGrid/>
        </w:rPr>
        <w:t>FGT2</w:t>
      </w:r>
      <w:r>
        <w:rPr>
          <w:rFonts w:hint="eastAsia"/>
          <w:snapToGrid/>
        </w:rPr>
        <w:t>测出的，它们表明</w:t>
      </w:r>
      <w:r>
        <w:rPr>
          <w:rFonts w:hint="eastAsia"/>
          <w:snapToGrid/>
        </w:rPr>
        <w:t>1990-2000</w:t>
      </w:r>
      <w:r>
        <w:rPr>
          <w:rFonts w:hint="eastAsia"/>
          <w:snapToGrid/>
        </w:rPr>
        <w:t>年期间贫困程度呈下降趋势。在两种情况下，平均收入差距都跟穷人或赤贫人的平均收入与贫困线或赤贫线之间的差距有关。</w:t>
      </w:r>
      <w:r>
        <w:rPr>
          <w:rFonts w:hint="eastAsia"/>
          <w:snapToGrid/>
        </w:rPr>
        <w:t>FGT2</w:t>
      </w:r>
      <w:r>
        <w:rPr>
          <w:rFonts w:hint="eastAsia"/>
          <w:snapToGrid/>
        </w:rPr>
        <w:t>指数反映了贫困和赤贫之人群体内部的收入差别。</w:t>
      </w:r>
    </w:p>
    <w:p w:rsidR="00000000" w:rsidRDefault="009C1C61">
      <w:pPr>
        <w:spacing w:after="320"/>
        <w:rPr>
          <w:rFonts w:hint="eastAsia"/>
          <w:snapToGrid/>
        </w:rPr>
      </w:pPr>
      <w:r>
        <w:rPr>
          <w:rFonts w:hint="eastAsia"/>
          <w:snapToGrid/>
        </w:rPr>
        <w:tab/>
        <w:t xml:space="preserve">511.  </w:t>
      </w:r>
      <w:r>
        <w:rPr>
          <w:rFonts w:hint="eastAsia"/>
          <w:snapToGrid/>
        </w:rPr>
        <w:t>平均贫困差距由</w:t>
      </w:r>
      <w:r>
        <w:rPr>
          <w:rFonts w:hint="eastAsia"/>
          <w:snapToGrid/>
        </w:rPr>
        <w:t>1990</w:t>
      </w:r>
      <w:r>
        <w:rPr>
          <w:rFonts w:hint="eastAsia"/>
          <w:snapToGrid/>
        </w:rPr>
        <w:t>年的</w:t>
      </w:r>
      <w:r>
        <w:rPr>
          <w:snapToGrid/>
        </w:rPr>
        <w:t>14.8%</w:t>
      </w:r>
      <w:r>
        <w:rPr>
          <w:rFonts w:hint="eastAsia"/>
          <w:snapToGrid/>
        </w:rPr>
        <w:t>缩小到</w:t>
      </w:r>
      <w:r>
        <w:rPr>
          <w:snapToGrid/>
        </w:rPr>
        <w:t>1996</w:t>
      </w:r>
      <w:r>
        <w:rPr>
          <w:rFonts w:hint="eastAsia"/>
          <w:snapToGrid/>
        </w:rPr>
        <w:t>年</w:t>
      </w:r>
      <w:r>
        <w:rPr>
          <w:rFonts w:hint="eastAsia"/>
          <w:snapToGrid/>
        </w:rPr>
        <w:t>的</w:t>
      </w:r>
      <w:r>
        <w:rPr>
          <w:snapToGrid/>
        </w:rPr>
        <w:t>8.9%</w:t>
      </w:r>
      <w:r>
        <w:rPr>
          <w:rFonts w:hint="eastAsia"/>
          <w:snapToGrid/>
        </w:rPr>
        <w:t>，又缩小到</w:t>
      </w:r>
      <w:r>
        <w:rPr>
          <w:rFonts w:hint="eastAsia"/>
          <w:snapToGrid/>
        </w:rPr>
        <w:t>2000</w:t>
      </w:r>
      <w:r>
        <w:rPr>
          <w:rFonts w:hint="eastAsia"/>
          <w:snapToGrid/>
        </w:rPr>
        <w:t>年的</w:t>
      </w:r>
      <w:r>
        <w:rPr>
          <w:snapToGrid/>
        </w:rPr>
        <w:t>7.1%</w:t>
      </w:r>
      <w:r>
        <w:rPr>
          <w:rFonts w:hint="eastAsia"/>
          <w:snapToGrid/>
        </w:rPr>
        <w:t>。就赤贫而言，其差距从</w:t>
      </w:r>
      <w:r>
        <w:rPr>
          <w:rFonts w:hint="eastAsia"/>
          <w:snapToGrid/>
        </w:rPr>
        <w:t>1990</w:t>
      </w:r>
      <w:r>
        <w:rPr>
          <w:rFonts w:hint="eastAsia"/>
          <w:snapToGrid/>
        </w:rPr>
        <w:t>年的</w:t>
      </w:r>
      <w:r>
        <w:rPr>
          <w:rFonts w:hint="eastAsia"/>
          <w:snapToGrid/>
        </w:rPr>
        <w:t>4.</w:t>
      </w:r>
      <w:r>
        <w:rPr>
          <w:snapToGrid/>
        </w:rPr>
        <w:t>3%</w:t>
      </w:r>
      <w:r>
        <w:rPr>
          <w:rFonts w:hint="eastAsia"/>
          <w:snapToGrid/>
        </w:rPr>
        <w:t>缩小到</w:t>
      </w:r>
      <w:r>
        <w:rPr>
          <w:rFonts w:hint="eastAsia"/>
          <w:snapToGrid/>
        </w:rPr>
        <w:t>1996</w:t>
      </w:r>
      <w:r>
        <w:rPr>
          <w:rFonts w:hint="eastAsia"/>
          <w:snapToGrid/>
        </w:rPr>
        <w:t>年的</w:t>
      </w:r>
      <w:r>
        <w:rPr>
          <w:snapToGrid/>
        </w:rPr>
        <w:t>1.9%</w:t>
      </w:r>
      <w:r>
        <w:rPr>
          <w:rFonts w:hint="eastAsia"/>
          <w:snapToGrid/>
        </w:rPr>
        <w:t>，</w:t>
      </w:r>
      <w:r>
        <w:rPr>
          <w:rFonts w:hint="eastAsia"/>
          <w:snapToGrid/>
        </w:rPr>
        <w:t>2000</w:t>
      </w:r>
      <w:r>
        <w:rPr>
          <w:rFonts w:hint="eastAsia"/>
          <w:snapToGrid/>
        </w:rPr>
        <w:t>年又重新拉大到</w:t>
      </w:r>
      <w:r>
        <w:rPr>
          <w:snapToGrid/>
        </w:rPr>
        <w:t>2.1%</w:t>
      </w:r>
      <w:r>
        <w:rPr>
          <w:rFonts w:hint="eastAsia"/>
          <w:snapToGrid/>
        </w:rPr>
        <w:t>。</w:t>
      </w:r>
      <w:r>
        <w:rPr>
          <w:rStyle w:val="FootnoteReference"/>
          <w:snapToGrid/>
        </w:rPr>
        <w:footnoteReference w:id="246"/>
      </w:r>
      <w:r>
        <w:rPr>
          <w:rFonts w:hint="eastAsia"/>
          <w:snapToGrid/>
        </w:rPr>
        <w:t xml:space="preserve"> </w:t>
      </w:r>
      <w:r>
        <w:rPr>
          <w:rFonts w:hint="eastAsia"/>
          <w:snapToGrid/>
        </w:rPr>
        <w:t>在此期间，不仅贫困的发生率降低了，而且贫困程度也降低了，这也就是说，贫困人口的目前收入与贫困线之间的差距或赤贫人口目前的收入与和赤贫线之间的差距缩小了。</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收入分配</w:t>
      </w:r>
    </w:p>
    <w:p w:rsidR="00000000" w:rsidRDefault="009C1C61">
      <w:pPr>
        <w:spacing w:after="320"/>
        <w:rPr>
          <w:rFonts w:hint="eastAsia"/>
          <w:snapToGrid/>
        </w:rPr>
      </w:pPr>
      <w:r>
        <w:rPr>
          <w:snapToGrid/>
        </w:rPr>
        <w:tab/>
      </w:r>
      <w:r>
        <w:rPr>
          <w:rFonts w:hint="eastAsia"/>
          <w:snapToGrid/>
        </w:rPr>
        <w:t>512.</w:t>
      </w:r>
      <w:r>
        <w:rPr>
          <w:snapToGrid/>
        </w:rPr>
        <w:t xml:space="preserve">  </w:t>
      </w:r>
      <w:r>
        <w:rPr>
          <w:rFonts w:hint="eastAsia"/>
          <w:snapToGrid/>
        </w:rPr>
        <w:t>对</w:t>
      </w:r>
      <w:r>
        <w:rPr>
          <w:rFonts w:hint="eastAsia"/>
          <w:snapToGrid/>
        </w:rPr>
        <w:t>1990-2000</w:t>
      </w:r>
      <w:r>
        <w:rPr>
          <w:rFonts w:hint="eastAsia"/>
          <w:snapToGrid/>
        </w:rPr>
        <w:t>年期间居民户的独立收入和货币收入</w:t>
      </w:r>
      <w:r>
        <w:rPr>
          <w:rFonts w:hint="eastAsia"/>
          <w:snapToGrid/>
        </w:rPr>
        <w:t xml:space="preserve"> </w:t>
      </w:r>
      <w:r>
        <w:rPr>
          <w:rStyle w:val="FootnoteReference"/>
          <w:snapToGrid/>
          <w:spacing w:val="10"/>
        </w:rPr>
        <w:footnoteReference w:id="247"/>
      </w:r>
      <w:r>
        <w:rPr>
          <w:snapToGrid/>
        </w:rPr>
        <w:t xml:space="preserve"> </w:t>
      </w:r>
      <w:r>
        <w:rPr>
          <w:rFonts w:hint="eastAsia"/>
          <w:snapToGrid/>
        </w:rPr>
        <w:t>所做分析表明，本国收入高度集中的情况实际仍未改变，分配情况因为低收入户接受了拨款而有所改善。</w:t>
      </w:r>
    </w:p>
    <w:p w:rsidR="00000000" w:rsidRDefault="009C1C61">
      <w:pPr>
        <w:pStyle w:val="Heading3"/>
        <w:pageBreakBefore/>
        <w:rPr>
          <w:rFonts w:hint="eastAsia"/>
        </w:rPr>
      </w:pPr>
      <w:r>
        <w:rPr>
          <w:rFonts w:hint="eastAsia"/>
        </w:rPr>
        <w:t>表</w:t>
      </w:r>
      <w:r>
        <w:rPr>
          <w:rFonts w:hint="eastAsia"/>
        </w:rPr>
        <w:t xml:space="preserve">  </w:t>
      </w:r>
      <w:r>
        <w:rPr>
          <w:rFonts w:hint="eastAsia"/>
          <w:b/>
          <w:bCs/>
        </w:rPr>
        <w:t>19</w:t>
      </w:r>
      <w:r>
        <w:rPr>
          <w:b/>
          <w:bCs/>
        </w:rPr>
        <w:br/>
      </w:r>
      <w:r>
        <w:rPr>
          <w:rFonts w:hint="eastAsia"/>
          <w:b/>
          <w:bCs/>
        </w:rPr>
        <w:t>1990</w:t>
      </w:r>
      <w:r>
        <w:rPr>
          <w:rFonts w:hint="eastAsia"/>
          <w:b/>
          <w:bCs/>
        </w:rPr>
        <w:t>－</w:t>
      </w:r>
      <w:r>
        <w:rPr>
          <w:rFonts w:hint="eastAsia"/>
          <w:b/>
          <w:bCs/>
        </w:rPr>
        <w:t>2000</w:t>
      </w:r>
      <w:r>
        <w:rPr>
          <w:rFonts w:hint="eastAsia"/>
        </w:rPr>
        <w:t>年智利</w:t>
      </w:r>
      <w:r>
        <w:rPr>
          <w:rFonts w:hint="eastAsia"/>
        </w:rPr>
        <w:t>独立收入和货币收入分布情况</w:t>
      </w:r>
      <w:r>
        <w:rPr>
          <w:rFonts w:hint="eastAsia"/>
        </w:rPr>
        <w:sym w:font="Symbol" w:char="F02A"/>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4"/>
        <w:gridCol w:w="1310"/>
        <w:gridCol w:w="1311"/>
        <w:gridCol w:w="1311"/>
        <w:gridCol w:w="1310"/>
        <w:gridCol w:w="1311"/>
        <w:gridCol w:w="1311"/>
      </w:tblGrid>
      <w:tr w:rsidR="00000000">
        <w:tblPrEx>
          <w:tblCellMar>
            <w:top w:w="0" w:type="dxa"/>
            <w:bottom w:w="0" w:type="dxa"/>
          </w:tblCellMar>
        </w:tblPrEx>
        <w:trPr>
          <w:cantSplit/>
        </w:trPr>
        <w:tc>
          <w:tcPr>
            <w:tcW w:w="1194" w:type="dxa"/>
            <w:vMerge w:val="restart"/>
          </w:tcPr>
          <w:p w:rsidR="00000000" w:rsidRDefault="009C1C61">
            <w:pPr>
              <w:pStyle w:val="a2"/>
              <w:rPr>
                <w:rFonts w:hint="eastAsia"/>
                <w:snapToGrid/>
              </w:rPr>
            </w:pPr>
          </w:p>
        </w:tc>
        <w:tc>
          <w:tcPr>
            <w:tcW w:w="1310" w:type="dxa"/>
          </w:tcPr>
          <w:p w:rsidR="00000000" w:rsidRDefault="009C1C61">
            <w:pPr>
              <w:pStyle w:val="a2"/>
              <w:jc w:val="center"/>
              <w:rPr>
                <w:rFonts w:hint="eastAsia"/>
                <w:snapToGrid/>
              </w:rPr>
            </w:pPr>
            <w:r>
              <w:rPr>
                <w:rFonts w:hint="eastAsia"/>
                <w:snapToGrid/>
              </w:rPr>
              <w:t>1990</w:t>
            </w:r>
          </w:p>
        </w:tc>
        <w:tc>
          <w:tcPr>
            <w:tcW w:w="1311" w:type="dxa"/>
          </w:tcPr>
          <w:p w:rsidR="00000000" w:rsidRDefault="009C1C61">
            <w:pPr>
              <w:pStyle w:val="a2"/>
              <w:jc w:val="center"/>
              <w:rPr>
                <w:rFonts w:hint="eastAsia"/>
                <w:snapToGrid/>
              </w:rPr>
            </w:pPr>
            <w:r>
              <w:rPr>
                <w:rFonts w:hint="eastAsia"/>
                <w:snapToGrid/>
              </w:rPr>
              <w:t>1992</w:t>
            </w:r>
          </w:p>
        </w:tc>
        <w:tc>
          <w:tcPr>
            <w:tcW w:w="1311" w:type="dxa"/>
          </w:tcPr>
          <w:p w:rsidR="00000000" w:rsidRDefault="009C1C61">
            <w:pPr>
              <w:pStyle w:val="a2"/>
              <w:jc w:val="center"/>
              <w:rPr>
                <w:rFonts w:hint="eastAsia"/>
                <w:snapToGrid/>
              </w:rPr>
            </w:pPr>
            <w:r>
              <w:rPr>
                <w:rFonts w:hint="eastAsia"/>
                <w:snapToGrid/>
              </w:rPr>
              <w:t>1994</w:t>
            </w:r>
          </w:p>
        </w:tc>
        <w:tc>
          <w:tcPr>
            <w:tcW w:w="1310" w:type="dxa"/>
          </w:tcPr>
          <w:p w:rsidR="00000000" w:rsidRDefault="009C1C61">
            <w:pPr>
              <w:pStyle w:val="a2"/>
              <w:jc w:val="center"/>
              <w:rPr>
                <w:rFonts w:hint="eastAsia"/>
                <w:snapToGrid/>
              </w:rPr>
            </w:pPr>
            <w:r>
              <w:rPr>
                <w:rFonts w:hint="eastAsia"/>
                <w:snapToGrid/>
              </w:rPr>
              <w:t>1996</w:t>
            </w:r>
          </w:p>
        </w:tc>
        <w:tc>
          <w:tcPr>
            <w:tcW w:w="1311" w:type="dxa"/>
          </w:tcPr>
          <w:p w:rsidR="00000000" w:rsidRDefault="009C1C61">
            <w:pPr>
              <w:pStyle w:val="a2"/>
              <w:jc w:val="center"/>
              <w:rPr>
                <w:rFonts w:hint="eastAsia"/>
                <w:snapToGrid/>
              </w:rPr>
            </w:pPr>
            <w:r>
              <w:rPr>
                <w:rFonts w:hint="eastAsia"/>
                <w:snapToGrid/>
              </w:rPr>
              <w:t>1998</w:t>
            </w:r>
          </w:p>
        </w:tc>
        <w:tc>
          <w:tcPr>
            <w:tcW w:w="1311" w:type="dxa"/>
          </w:tcPr>
          <w:p w:rsidR="00000000" w:rsidRDefault="009C1C61">
            <w:pPr>
              <w:pStyle w:val="a2"/>
              <w:jc w:val="center"/>
              <w:rPr>
                <w:rFonts w:hint="eastAsia"/>
                <w:snapToGrid/>
              </w:rPr>
            </w:pPr>
            <w:r>
              <w:rPr>
                <w:rFonts w:hint="eastAsia"/>
                <w:snapToGrid/>
              </w:rPr>
              <w:t>2000</w:t>
            </w:r>
          </w:p>
        </w:tc>
      </w:tr>
      <w:tr w:rsidR="00000000">
        <w:tblPrEx>
          <w:tblCellMar>
            <w:top w:w="0" w:type="dxa"/>
            <w:bottom w:w="0" w:type="dxa"/>
          </w:tblCellMar>
        </w:tblPrEx>
        <w:trPr>
          <w:cantSplit/>
        </w:trPr>
        <w:tc>
          <w:tcPr>
            <w:tcW w:w="1194" w:type="dxa"/>
            <w:vMerge/>
          </w:tcPr>
          <w:p w:rsidR="00000000" w:rsidRDefault="009C1C61">
            <w:pPr>
              <w:pStyle w:val="a2"/>
              <w:rPr>
                <w:rFonts w:hint="eastAsia"/>
                <w:snapToGrid/>
              </w:rPr>
            </w:pPr>
          </w:p>
        </w:tc>
        <w:tc>
          <w:tcPr>
            <w:tcW w:w="7864" w:type="dxa"/>
            <w:gridSpan w:val="6"/>
          </w:tcPr>
          <w:p w:rsidR="00000000" w:rsidRDefault="009C1C61">
            <w:pPr>
              <w:pStyle w:val="a2"/>
              <w:jc w:val="center"/>
              <w:rPr>
                <w:rFonts w:hint="eastAsia"/>
                <w:snapToGrid/>
              </w:rPr>
            </w:pPr>
            <w:r>
              <w:rPr>
                <w:rFonts w:hint="eastAsia"/>
                <w:snapToGrid/>
              </w:rPr>
              <w:t>独立收入</w:t>
            </w:r>
          </w:p>
        </w:tc>
      </w:tr>
      <w:tr w:rsidR="00000000">
        <w:tblPrEx>
          <w:tblCellMar>
            <w:top w:w="0" w:type="dxa"/>
            <w:bottom w:w="0" w:type="dxa"/>
          </w:tblCellMar>
        </w:tblPrEx>
        <w:tc>
          <w:tcPr>
            <w:tcW w:w="1194" w:type="dxa"/>
          </w:tcPr>
          <w:p w:rsidR="00000000" w:rsidRDefault="009C1C61">
            <w:pPr>
              <w:pStyle w:val="a2"/>
              <w:rPr>
                <w:rFonts w:hint="eastAsia"/>
                <w:snapToGrid/>
              </w:rPr>
            </w:pPr>
            <w:r>
              <w:rPr>
                <w:rFonts w:hint="eastAsia"/>
                <w:snapToGrid/>
              </w:rPr>
              <w:t>20</w:t>
            </w:r>
            <w:r>
              <w:rPr>
                <w:snapToGrid/>
              </w:rPr>
              <w:t>/</w:t>
            </w:r>
            <w:r>
              <w:rPr>
                <w:rFonts w:hint="eastAsia"/>
                <w:snapToGrid/>
              </w:rPr>
              <w:t>20</w:t>
            </w:r>
            <w:r>
              <w:rPr>
                <w:rFonts w:hint="eastAsia"/>
                <w:snapToGrid/>
              </w:rPr>
              <w:t>指数</w:t>
            </w:r>
          </w:p>
        </w:tc>
        <w:tc>
          <w:tcPr>
            <w:tcW w:w="1310" w:type="dxa"/>
          </w:tcPr>
          <w:p w:rsidR="00000000" w:rsidRDefault="009C1C61">
            <w:pPr>
              <w:pStyle w:val="a2"/>
              <w:ind w:right="113"/>
              <w:jc w:val="right"/>
              <w:rPr>
                <w:snapToGrid/>
              </w:rPr>
            </w:pPr>
            <w:r>
              <w:rPr>
                <w:snapToGrid/>
              </w:rPr>
              <w:t>14.0</w:t>
            </w:r>
          </w:p>
        </w:tc>
        <w:tc>
          <w:tcPr>
            <w:tcW w:w="1311" w:type="dxa"/>
          </w:tcPr>
          <w:p w:rsidR="00000000" w:rsidRDefault="009C1C61">
            <w:pPr>
              <w:pStyle w:val="a2"/>
              <w:ind w:right="113"/>
              <w:jc w:val="right"/>
              <w:rPr>
                <w:snapToGrid/>
              </w:rPr>
            </w:pPr>
            <w:r>
              <w:rPr>
                <w:snapToGrid/>
              </w:rPr>
              <w:t>13.2</w:t>
            </w:r>
          </w:p>
        </w:tc>
        <w:tc>
          <w:tcPr>
            <w:tcW w:w="1311" w:type="dxa"/>
          </w:tcPr>
          <w:p w:rsidR="00000000" w:rsidRDefault="009C1C61">
            <w:pPr>
              <w:pStyle w:val="a2"/>
              <w:ind w:right="113"/>
              <w:jc w:val="right"/>
              <w:rPr>
                <w:snapToGrid/>
              </w:rPr>
            </w:pPr>
            <w:r>
              <w:rPr>
                <w:snapToGrid/>
              </w:rPr>
              <w:t>14.3</w:t>
            </w:r>
          </w:p>
        </w:tc>
        <w:tc>
          <w:tcPr>
            <w:tcW w:w="1310" w:type="dxa"/>
          </w:tcPr>
          <w:p w:rsidR="00000000" w:rsidRDefault="009C1C61">
            <w:pPr>
              <w:pStyle w:val="a2"/>
              <w:ind w:right="113"/>
              <w:jc w:val="right"/>
              <w:rPr>
                <w:snapToGrid/>
              </w:rPr>
            </w:pPr>
            <w:r>
              <w:rPr>
                <w:snapToGrid/>
              </w:rPr>
              <w:t>14.6</w:t>
            </w:r>
          </w:p>
        </w:tc>
        <w:tc>
          <w:tcPr>
            <w:tcW w:w="1311" w:type="dxa"/>
          </w:tcPr>
          <w:p w:rsidR="00000000" w:rsidRDefault="009C1C61">
            <w:pPr>
              <w:pStyle w:val="a2"/>
              <w:ind w:right="113"/>
              <w:jc w:val="right"/>
              <w:rPr>
                <w:snapToGrid/>
              </w:rPr>
            </w:pPr>
            <w:r>
              <w:rPr>
                <w:snapToGrid/>
              </w:rPr>
              <w:t>15.5</w:t>
            </w:r>
          </w:p>
        </w:tc>
        <w:tc>
          <w:tcPr>
            <w:tcW w:w="1311" w:type="dxa"/>
          </w:tcPr>
          <w:p w:rsidR="00000000" w:rsidRDefault="009C1C61">
            <w:pPr>
              <w:pStyle w:val="a2"/>
              <w:ind w:right="113"/>
              <w:jc w:val="right"/>
              <w:rPr>
                <w:snapToGrid/>
              </w:rPr>
            </w:pPr>
            <w:r>
              <w:rPr>
                <w:snapToGrid/>
              </w:rPr>
              <w:t>15.3</w:t>
            </w:r>
          </w:p>
        </w:tc>
      </w:tr>
      <w:tr w:rsidR="00000000">
        <w:tblPrEx>
          <w:tblCellMar>
            <w:top w:w="0" w:type="dxa"/>
            <w:bottom w:w="0" w:type="dxa"/>
          </w:tblCellMar>
        </w:tblPrEx>
        <w:tc>
          <w:tcPr>
            <w:tcW w:w="1194" w:type="dxa"/>
          </w:tcPr>
          <w:p w:rsidR="00000000" w:rsidRDefault="009C1C61">
            <w:pPr>
              <w:pStyle w:val="a2"/>
              <w:rPr>
                <w:rFonts w:hint="eastAsia"/>
                <w:snapToGrid/>
              </w:rPr>
            </w:pPr>
            <w:r>
              <w:rPr>
                <w:snapToGrid/>
              </w:rPr>
              <w:t>10/40</w:t>
            </w:r>
            <w:r>
              <w:rPr>
                <w:rFonts w:hint="eastAsia"/>
                <w:snapToGrid/>
              </w:rPr>
              <w:t>指数</w:t>
            </w:r>
          </w:p>
        </w:tc>
        <w:tc>
          <w:tcPr>
            <w:tcW w:w="1310" w:type="dxa"/>
          </w:tcPr>
          <w:p w:rsidR="00000000" w:rsidRDefault="009C1C61">
            <w:pPr>
              <w:pStyle w:val="a2"/>
              <w:ind w:right="113"/>
              <w:jc w:val="right"/>
              <w:rPr>
                <w:snapToGrid/>
              </w:rPr>
            </w:pPr>
            <w:r>
              <w:rPr>
                <w:snapToGrid/>
              </w:rPr>
              <w:t>3.5</w:t>
            </w:r>
          </w:p>
        </w:tc>
        <w:tc>
          <w:tcPr>
            <w:tcW w:w="1311" w:type="dxa"/>
          </w:tcPr>
          <w:p w:rsidR="00000000" w:rsidRDefault="009C1C61">
            <w:pPr>
              <w:pStyle w:val="a2"/>
              <w:ind w:right="113"/>
              <w:jc w:val="right"/>
              <w:rPr>
                <w:snapToGrid/>
              </w:rPr>
            </w:pPr>
            <w:r>
              <w:rPr>
                <w:snapToGrid/>
              </w:rPr>
              <w:t>3.3</w:t>
            </w:r>
          </w:p>
        </w:tc>
        <w:tc>
          <w:tcPr>
            <w:tcW w:w="1311" w:type="dxa"/>
          </w:tcPr>
          <w:p w:rsidR="00000000" w:rsidRDefault="009C1C61">
            <w:pPr>
              <w:pStyle w:val="a2"/>
              <w:ind w:right="113"/>
              <w:jc w:val="right"/>
              <w:rPr>
                <w:snapToGrid/>
              </w:rPr>
            </w:pPr>
            <w:r>
              <w:rPr>
                <w:snapToGrid/>
              </w:rPr>
              <w:t>3.5</w:t>
            </w:r>
          </w:p>
        </w:tc>
        <w:tc>
          <w:tcPr>
            <w:tcW w:w="1310" w:type="dxa"/>
          </w:tcPr>
          <w:p w:rsidR="00000000" w:rsidRDefault="009C1C61">
            <w:pPr>
              <w:pStyle w:val="a2"/>
              <w:ind w:right="113"/>
              <w:jc w:val="right"/>
              <w:rPr>
                <w:snapToGrid/>
              </w:rPr>
            </w:pPr>
            <w:r>
              <w:rPr>
                <w:snapToGrid/>
              </w:rPr>
              <w:t>3.5</w:t>
            </w:r>
          </w:p>
        </w:tc>
        <w:tc>
          <w:tcPr>
            <w:tcW w:w="1311" w:type="dxa"/>
          </w:tcPr>
          <w:p w:rsidR="00000000" w:rsidRDefault="009C1C61">
            <w:pPr>
              <w:pStyle w:val="a2"/>
              <w:ind w:right="113"/>
              <w:jc w:val="right"/>
              <w:rPr>
                <w:snapToGrid/>
              </w:rPr>
            </w:pPr>
            <w:r>
              <w:rPr>
                <w:snapToGrid/>
              </w:rPr>
              <w:t>3.5</w:t>
            </w:r>
          </w:p>
        </w:tc>
        <w:tc>
          <w:tcPr>
            <w:tcW w:w="1311" w:type="dxa"/>
          </w:tcPr>
          <w:p w:rsidR="00000000" w:rsidRDefault="009C1C61">
            <w:pPr>
              <w:pStyle w:val="a2"/>
              <w:ind w:right="113"/>
              <w:jc w:val="right"/>
              <w:rPr>
                <w:snapToGrid/>
              </w:rPr>
            </w:pPr>
            <w:r>
              <w:rPr>
                <w:snapToGrid/>
              </w:rPr>
              <w:t>3.6</w:t>
            </w:r>
          </w:p>
        </w:tc>
      </w:tr>
      <w:tr w:rsidR="00000000">
        <w:tblPrEx>
          <w:tblCellMar>
            <w:top w:w="0" w:type="dxa"/>
            <w:bottom w:w="0" w:type="dxa"/>
          </w:tblCellMar>
        </w:tblPrEx>
        <w:tc>
          <w:tcPr>
            <w:tcW w:w="1194" w:type="dxa"/>
          </w:tcPr>
          <w:p w:rsidR="00000000" w:rsidRDefault="009C1C61">
            <w:pPr>
              <w:pStyle w:val="a2"/>
              <w:rPr>
                <w:rFonts w:hint="eastAsia"/>
                <w:snapToGrid/>
              </w:rPr>
            </w:pPr>
            <w:r>
              <w:rPr>
                <w:snapToGrid/>
              </w:rPr>
              <w:t>吉尼</w:t>
            </w:r>
            <w:r>
              <w:rPr>
                <w:rFonts w:hint="eastAsia"/>
                <w:snapToGrid/>
              </w:rPr>
              <w:t>系数</w:t>
            </w:r>
          </w:p>
        </w:tc>
        <w:tc>
          <w:tcPr>
            <w:tcW w:w="1310" w:type="dxa"/>
          </w:tcPr>
          <w:p w:rsidR="00000000" w:rsidRDefault="009C1C61">
            <w:pPr>
              <w:pStyle w:val="a2"/>
              <w:ind w:right="113"/>
              <w:jc w:val="right"/>
              <w:rPr>
                <w:snapToGrid/>
              </w:rPr>
            </w:pPr>
            <w:r>
              <w:rPr>
                <w:snapToGrid/>
              </w:rPr>
              <w:t>0.58</w:t>
            </w:r>
          </w:p>
        </w:tc>
        <w:tc>
          <w:tcPr>
            <w:tcW w:w="1311" w:type="dxa"/>
          </w:tcPr>
          <w:p w:rsidR="00000000" w:rsidRDefault="009C1C61">
            <w:pPr>
              <w:pStyle w:val="a2"/>
              <w:ind w:right="113"/>
              <w:jc w:val="right"/>
              <w:rPr>
                <w:snapToGrid/>
              </w:rPr>
            </w:pPr>
            <w:r>
              <w:rPr>
                <w:snapToGrid/>
              </w:rPr>
              <w:t>0.57</w:t>
            </w:r>
          </w:p>
        </w:tc>
        <w:tc>
          <w:tcPr>
            <w:tcW w:w="1311" w:type="dxa"/>
          </w:tcPr>
          <w:p w:rsidR="00000000" w:rsidRDefault="009C1C61">
            <w:pPr>
              <w:pStyle w:val="a2"/>
              <w:ind w:right="113"/>
              <w:jc w:val="right"/>
              <w:rPr>
                <w:snapToGrid/>
              </w:rPr>
            </w:pPr>
            <w:r>
              <w:rPr>
                <w:snapToGrid/>
              </w:rPr>
              <w:t>0.58</w:t>
            </w:r>
          </w:p>
        </w:tc>
        <w:tc>
          <w:tcPr>
            <w:tcW w:w="1310" w:type="dxa"/>
          </w:tcPr>
          <w:p w:rsidR="00000000" w:rsidRDefault="009C1C61">
            <w:pPr>
              <w:pStyle w:val="a2"/>
              <w:ind w:right="113"/>
              <w:jc w:val="right"/>
              <w:rPr>
                <w:snapToGrid/>
              </w:rPr>
            </w:pPr>
            <w:r>
              <w:rPr>
                <w:snapToGrid/>
              </w:rPr>
              <w:t>0.57</w:t>
            </w:r>
          </w:p>
        </w:tc>
        <w:tc>
          <w:tcPr>
            <w:tcW w:w="1311" w:type="dxa"/>
          </w:tcPr>
          <w:p w:rsidR="00000000" w:rsidRDefault="009C1C61">
            <w:pPr>
              <w:pStyle w:val="a2"/>
              <w:ind w:right="113"/>
              <w:jc w:val="right"/>
              <w:rPr>
                <w:snapToGrid/>
              </w:rPr>
            </w:pPr>
            <w:r>
              <w:rPr>
                <w:snapToGrid/>
              </w:rPr>
              <w:t>0.58</w:t>
            </w:r>
          </w:p>
        </w:tc>
        <w:tc>
          <w:tcPr>
            <w:tcW w:w="1311" w:type="dxa"/>
          </w:tcPr>
          <w:p w:rsidR="00000000" w:rsidRDefault="009C1C61">
            <w:pPr>
              <w:pStyle w:val="a2"/>
              <w:ind w:right="113"/>
              <w:jc w:val="right"/>
              <w:rPr>
                <w:snapToGrid/>
              </w:rPr>
            </w:pPr>
            <w:r>
              <w:rPr>
                <w:snapToGrid/>
              </w:rPr>
              <w:t>58</w:t>
            </w:r>
          </w:p>
        </w:tc>
      </w:tr>
      <w:tr w:rsidR="00000000">
        <w:tblPrEx>
          <w:tblCellMar>
            <w:top w:w="0" w:type="dxa"/>
            <w:bottom w:w="0" w:type="dxa"/>
          </w:tblCellMar>
        </w:tblPrEx>
        <w:trPr>
          <w:cantSplit/>
        </w:trPr>
        <w:tc>
          <w:tcPr>
            <w:tcW w:w="9058" w:type="dxa"/>
            <w:gridSpan w:val="7"/>
          </w:tcPr>
          <w:p w:rsidR="00000000" w:rsidRDefault="009C1C61">
            <w:pPr>
              <w:pStyle w:val="a2"/>
              <w:jc w:val="center"/>
              <w:rPr>
                <w:rFonts w:hint="eastAsia"/>
                <w:snapToGrid/>
              </w:rPr>
            </w:pPr>
            <w:r>
              <w:rPr>
                <w:rFonts w:hint="eastAsia"/>
                <w:snapToGrid/>
              </w:rPr>
              <w:t>货币收入</w:t>
            </w:r>
          </w:p>
        </w:tc>
      </w:tr>
      <w:tr w:rsidR="00000000">
        <w:tblPrEx>
          <w:tblCellMar>
            <w:top w:w="0" w:type="dxa"/>
            <w:bottom w:w="0" w:type="dxa"/>
          </w:tblCellMar>
        </w:tblPrEx>
        <w:tc>
          <w:tcPr>
            <w:tcW w:w="1194" w:type="dxa"/>
          </w:tcPr>
          <w:p w:rsidR="00000000" w:rsidRDefault="009C1C61">
            <w:pPr>
              <w:pStyle w:val="a2"/>
              <w:rPr>
                <w:rFonts w:hint="eastAsia"/>
                <w:snapToGrid/>
              </w:rPr>
            </w:pPr>
            <w:r>
              <w:rPr>
                <w:snapToGrid/>
              </w:rPr>
              <w:t>20/20</w:t>
            </w:r>
            <w:r>
              <w:rPr>
                <w:rFonts w:hint="eastAsia"/>
                <w:snapToGrid/>
              </w:rPr>
              <w:t>指数</w:t>
            </w:r>
          </w:p>
        </w:tc>
        <w:tc>
          <w:tcPr>
            <w:tcW w:w="1310" w:type="dxa"/>
          </w:tcPr>
          <w:p w:rsidR="00000000" w:rsidRDefault="009C1C61">
            <w:pPr>
              <w:pStyle w:val="a2"/>
              <w:ind w:right="113"/>
              <w:jc w:val="right"/>
              <w:rPr>
                <w:snapToGrid/>
              </w:rPr>
            </w:pPr>
            <w:r>
              <w:rPr>
                <w:snapToGrid/>
              </w:rPr>
              <w:t>12.9</w:t>
            </w:r>
          </w:p>
        </w:tc>
        <w:tc>
          <w:tcPr>
            <w:tcW w:w="1311" w:type="dxa"/>
          </w:tcPr>
          <w:p w:rsidR="00000000" w:rsidRDefault="009C1C61">
            <w:pPr>
              <w:pStyle w:val="a2"/>
              <w:ind w:right="113"/>
              <w:jc w:val="right"/>
              <w:rPr>
                <w:snapToGrid/>
              </w:rPr>
            </w:pPr>
            <w:r>
              <w:rPr>
                <w:snapToGrid/>
              </w:rPr>
              <w:t>12.2</w:t>
            </w:r>
          </w:p>
        </w:tc>
        <w:tc>
          <w:tcPr>
            <w:tcW w:w="1311" w:type="dxa"/>
          </w:tcPr>
          <w:p w:rsidR="00000000" w:rsidRDefault="009C1C61">
            <w:pPr>
              <w:pStyle w:val="a2"/>
              <w:ind w:right="113"/>
              <w:jc w:val="right"/>
              <w:rPr>
                <w:snapToGrid/>
              </w:rPr>
            </w:pPr>
            <w:r>
              <w:rPr>
                <w:snapToGrid/>
              </w:rPr>
              <w:t>13.2</w:t>
            </w:r>
          </w:p>
        </w:tc>
        <w:tc>
          <w:tcPr>
            <w:tcW w:w="1310" w:type="dxa"/>
          </w:tcPr>
          <w:p w:rsidR="00000000" w:rsidRDefault="009C1C61">
            <w:pPr>
              <w:pStyle w:val="a2"/>
              <w:ind w:right="113"/>
              <w:jc w:val="right"/>
              <w:rPr>
                <w:snapToGrid/>
              </w:rPr>
            </w:pPr>
            <w:r>
              <w:rPr>
                <w:snapToGrid/>
              </w:rPr>
              <w:t>13.8</w:t>
            </w:r>
          </w:p>
        </w:tc>
        <w:tc>
          <w:tcPr>
            <w:tcW w:w="1311" w:type="dxa"/>
          </w:tcPr>
          <w:p w:rsidR="00000000" w:rsidRDefault="009C1C61">
            <w:pPr>
              <w:pStyle w:val="a2"/>
              <w:ind w:right="113"/>
              <w:jc w:val="right"/>
              <w:rPr>
                <w:snapToGrid/>
              </w:rPr>
            </w:pPr>
            <w:r>
              <w:rPr>
                <w:snapToGrid/>
              </w:rPr>
              <w:t>13.9</w:t>
            </w:r>
          </w:p>
        </w:tc>
        <w:tc>
          <w:tcPr>
            <w:tcW w:w="1311" w:type="dxa"/>
          </w:tcPr>
          <w:p w:rsidR="00000000" w:rsidRDefault="009C1C61">
            <w:pPr>
              <w:pStyle w:val="a2"/>
              <w:ind w:right="113"/>
              <w:jc w:val="right"/>
              <w:rPr>
                <w:snapToGrid/>
              </w:rPr>
            </w:pPr>
            <w:r>
              <w:rPr>
                <w:snapToGrid/>
              </w:rPr>
              <w:t>13.2</w:t>
            </w:r>
          </w:p>
        </w:tc>
      </w:tr>
      <w:tr w:rsidR="00000000">
        <w:tblPrEx>
          <w:tblCellMar>
            <w:top w:w="0" w:type="dxa"/>
            <w:bottom w:w="0" w:type="dxa"/>
          </w:tblCellMar>
        </w:tblPrEx>
        <w:tc>
          <w:tcPr>
            <w:tcW w:w="1194" w:type="dxa"/>
          </w:tcPr>
          <w:p w:rsidR="00000000" w:rsidRDefault="009C1C61">
            <w:pPr>
              <w:pStyle w:val="a2"/>
              <w:rPr>
                <w:rFonts w:hint="eastAsia"/>
                <w:snapToGrid/>
              </w:rPr>
            </w:pPr>
            <w:r>
              <w:rPr>
                <w:snapToGrid/>
              </w:rPr>
              <w:t>10/40</w:t>
            </w:r>
            <w:r>
              <w:rPr>
                <w:rFonts w:hint="eastAsia"/>
                <w:snapToGrid/>
              </w:rPr>
              <w:t>指数</w:t>
            </w:r>
          </w:p>
        </w:tc>
        <w:tc>
          <w:tcPr>
            <w:tcW w:w="1310" w:type="dxa"/>
          </w:tcPr>
          <w:p w:rsidR="00000000" w:rsidRDefault="009C1C61">
            <w:pPr>
              <w:pStyle w:val="a2"/>
              <w:ind w:right="113"/>
              <w:jc w:val="right"/>
              <w:rPr>
                <w:snapToGrid/>
              </w:rPr>
            </w:pPr>
            <w:r>
              <w:rPr>
                <w:snapToGrid/>
              </w:rPr>
              <w:t>3.3</w:t>
            </w:r>
          </w:p>
        </w:tc>
        <w:tc>
          <w:tcPr>
            <w:tcW w:w="1311" w:type="dxa"/>
          </w:tcPr>
          <w:p w:rsidR="00000000" w:rsidRDefault="009C1C61">
            <w:pPr>
              <w:pStyle w:val="a2"/>
              <w:ind w:right="113"/>
              <w:jc w:val="right"/>
              <w:rPr>
                <w:snapToGrid/>
              </w:rPr>
            </w:pPr>
            <w:r>
              <w:rPr>
                <w:snapToGrid/>
              </w:rPr>
              <w:t>3.2</w:t>
            </w:r>
          </w:p>
        </w:tc>
        <w:tc>
          <w:tcPr>
            <w:tcW w:w="1311" w:type="dxa"/>
          </w:tcPr>
          <w:p w:rsidR="00000000" w:rsidRDefault="009C1C61">
            <w:pPr>
              <w:pStyle w:val="a2"/>
              <w:ind w:right="113"/>
              <w:jc w:val="right"/>
              <w:rPr>
                <w:snapToGrid/>
              </w:rPr>
            </w:pPr>
            <w:r>
              <w:rPr>
                <w:snapToGrid/>
              </w:rPr>
              <w:t>3.3</w:t>
            </w:r>
          </w:p>
        </w:tc>
        <w:tc>
          <w:tcPr>
            <w:tcW w:w="1310" w:type="dxa"/>
          </w:tcPr>
          <w:p w:rsidR="00000000" w:rsidRDefault="009C1C61">
            <w:pPr>
              <w:pStyle w:val="a2"/>
              <w:ind w:right="113"/>
              <w:jc w:val="right"/>
              <w:rPr>
                <w:snapToGrid/>
              </w:rPr>
            </w:pPr>
            <w:r>
              <w:rPr>
                <w:snapToGrid/>
              </w:rPr>
              <w:t>3.4</w:t>
            </w:r>
          </w:p>
        </w:tc>
        <w:tc>
          <w:tcPr>
            <w:tcW w:w="1311" w:type="dxa"/>
          </w:tcPr>
          <w:p w:rsidR="00000000" w:rsidRDefault="009C1C61">
            <w:pPr>
              <w:pStyle w:val="a2"/>
              <w:ind w:right="113"/>
              <w:jc w:val="right"/>
              <w:rPr>
                <w:snapToGrid/>
              </w:rPr>
            </w:pPr>
            <w:r>
              <w:rPr>
                <w:snapToGrid/>
              </w:rPr>
              <w:t>3.3</w:t>
            </w:r>
          </w:p>
        </w:tc>
        <w:tc>
          <w:tcPr>
            <w:tcW w:w="1311" w:type="dxa"/>
          </w:tcPr>
          <w:p w:rsidR="00000000" w:rsidRDefault="009C1C61">
            <w:pPr>
              <w:pStyle w:val="a2"/>
              <w:ind w:right="113"/>
              <w:jc w:val="right"/>
              <w:rPr>
                <w:snapToGrid/>
              </w:rPr>
            </w:pPr>
            <w:r>
              <w:rPr>
                <w:snapToGrid/>
              </w:rPr>
              <w:t>3.3</w:t>
            </w:r>
          </w:p>
        </w:tc>
      </w:tr>
      <w:tr w:rsidR="00000000">
        <w:tblPrEx>
          <w:tblCellMar>
            <w:top w:w="0" w:type="dxa"/>
            <w:bottom w:w="0" w:type="dxa"/>
          </w:tblCellMar>
        </w:tblPrEx>
        <w:tc>
          <w:tcPr>
            <w:tcW w:w="1194" w:type="dxa"/>
          </w:tcPr>
          <w:p w:rsidR="00000000" w:rsidRDefault="009C1C61">
            <w:pPr>
              <w:pStyle w:val="a2"/>
              <w:rPr>
                <w:rFonts w:hint="eastAsia"/>
                <w:snapToGrid/>
              </w:rPr>
            </w:pPr>
            <w:r>
              <w:rPr>
                <w:snapToGrid/>
              </w:rPr>
              <w:t>吉尼</w:t>
            </w:r>
            <w:r>
              <w:rPr>
                <w:rFonts w:hint="eastAsia"/>
                <w:snapToGrid/>
              </w:rPr>
              <w:t>系数</w:t>
            </w:r>
          </w:p>
        </w:tc>
        <w:tc>
          <w:tcPr>
            <w:tcW w:w="1310" w:type="dxa"/>
          </w:tcPr>
          <w:p w:rsidR="00000000" w:rsidRDefault="009C1C61">
            <w:pPr>
              <w:pStyle w:val="a2"/>
              <w:ind w:right="113"/>
              <w:jc w:val="right"/>
              <w:rPr>
                <w:snapToGrid/>
              </w:rPr>
            </w:pPr>
            <w:r>
              <w:rPr>
                <w:snapToGrid/>
              </w:rPr>
              <w:t>0.57</w:t>
            </w:r>
          </w:p>
        </w:tc>
        <w:tc>
          <w:tcPr>
            <w:tcW w:w="1311" w:type="dxa"/>
          </w:tcPr>
          <w:p w:rsidR="00000000" w:rsidRDefault="009C1C61">
            <w:pPr>
              <w:pStyle w:val="a2"/>
              <w:ind w:right="113"/>
              <w:jc w:val="right"/>
              <w:rPr>
                <w:snapToGrid/>
              </w:rPr>
            </w:pPr>
            <w:r>
              <w:rPr>
                <w:snapToGrid/>
              </w:rPr>
              <w:t>0.57</w:t>
            </w:r>
          </w:p>
        </w:tc>
        <w:tc>
          <w:tcPr>
            <w:tcW w:w="1311" w:type="dxa"/>
          </w:tcPr>
          <w:p w:rsidR="00000000" w:rsidRDefault="009C1C61">
            <w:pPr>
              <w:pStyle w:val="a2"/>
              <w:ind w:right="113"/>
              <w:jc w:val="right"/>
              <w:rPr>
                <w:snapToGrid/>
              </w:rPr>
            </w:pPr>
            <w:r>
              <w:rPr>
                <w:snapToGrid/>
              </w:rPr>
              <w:t>0.5</w:t>
            </w:r>
            <w:r>
              <w:rPr>
                <w:snapToGrid/>
              </w:rPr>
              <w:t>5</w:t>
            </w:r>
          </w:p>
        </w:tc>
        <w:tc>
          <w:tcPr>
            <w:tcW w:w="1310" w:type="dxa"/>
          </w:tcPr>
          <w:p w:rsidR="00000000" w:rsidRDefault="009C1C61">
            <w:pPr>
              <w:pStyle w:val="a2"/>
              <w:ind w:right="113"/>
              <w:jc w:val="right"/>
              <w:rPr>
                <w:snapToGrid/>
              </w:rPr>
            </w:pPr>
            <w:r>
              <w:rPr>
                <w:snapToGrid/>
              </w:rPr>
              <w:t>0.56</w:t>
            </w:r>
          </w:p>
        </w:tc>
        <w:tc>
          <w:tcPr>
            <w:tcW w:w="1311" w:type="dxa"/>
          </w:tcPr>
          <w:p w:rsidR="00000000" w:rsidRDefault="009C1C61">
            <w:pPr>
              <w:pStyle w:val="a2"/>
              <w:ind w:right="113"/>
              <w:jc w:val="right"/>
              <w:rPr>
                <w:snapToGrid/>
              </w:rPr>
            </w:pPr>
            <w:r>
              <w:rPr>
                <w:snapToGrid/>
              </w:rPr>
              <w:t>0.57</w:t>
            </w:r>
          </w:p>
        </w:tc>
        <w:tc>
          <w:tcPr>
            <w:tcW w:w="1311" w:type="dxa"/>
          </w:tcPr>
          <w:p w:rsidR="00000000" w:rsidRDefault="009C1C61">
            <w:pPr>
              <w:pStyle w:val="a2"/>
              <w:ind w:right="113"/>
              <w:jc w:val="right"/>
              <w:rPr>
                <w:snapToGrid/>
              </w:rPr>
            </w:pPr>
            <w:r>
              <w:rPr>
                <w:snapToGrid/>
              </w:rPr>
              <w:t>57</w:t>
            </w:r>
          </w:p>
        </w:tc>
      </w:tr>
    </w:tbl>
    <w:p w:rsidR="00000000" w:rsidRDefault="009C1C61">
      <w:pPr>
        <w:pStyle w:val="FootnoteText"/>
        <w:spacing w:before="160" w:line="240" w:lineRule="auto"/>
        <w:rPr>
          <w:rFonts w:hint="eastAsia"/>
        </w:rPr>
      </w:pPr>
      <w:r>
        <w:rPr>
          <w:rFonts w:hint="eastAsia"/>
          <w:u w:val="single"/>
        </w:rPr>
        <w:t>资料来源</w:t>
      </w:r>
      <w:r>
        <w:rPr>
          <w:rFonts w:hint="eastAsia"/>
        </w:rPr>
        <w:t>：</w:t>
      </w:r>
      <w:r>
        <w:rPr>
          <w:rFonts w:hint="eastAsia"/>
        </w:rPr>
        <w:tab/>
      </w:r>
      <w:r>
        <w:rPr>
          <w:rFonts w:hint="eastAsia"/>
        </w:rPr>
        <w:t>根据规合部</w:t>
      </w:r>
      <w:r>
        <w:rPr>
          <w:rFonts w:hint="eastAsia"/>
        </w:rPr>
        <w:t>1990</w:t>
      </w:r>
      <w:r>
        <w:rPr>
          <w:rFonts w:hint="eastAsia"/>
        </w:rPr>
        <w:t>－</w:t>
      </w:r>
      <w:r>
        <w:rPr>
          <w:rFonts w:hint="eastAsia"/>
        </w:rPr>
        <w:t>2000</w:t>
      </w:r>
      <w:r>
        <w:rPr>
          <w:rFonts w:hint="eastAsia"/>
        </w:rPr>
        <w:t>年经济和社会指标所载上述年份的社经特征调查材料编制。</w:t>
      </w:r>
    </w:p>
    <w:p w:rsidR="00000000" w:rsidRDefault="009C1C61">
      <w:pPr>
        <w:pStyle w:val="FootnoteText"/>
        <w:spacing w:after="320" w:line="240" w:lineRule="auto"/>
        <w:ind w:left="1000"/>
        <w:rPr>
          <w:rFonts w:hint="eastAsia"/>
        </w:rPr>
      </w:pPr>
      <w:r>
        <w:rPr>
          <w:rFonts w:hint="eastAsia"/>
        </w:rPr>
        <w:t>*</w:t>
      </w:r>
      <w:r>
        <w:tab/>
      </w:r>
      <w:r>
        <w:rPr>
          <w:rFonts w:hint="eastAsia"/>
        </w:rPr>
        <w:t>不包括家庭内部服务和有关核心家庭。</w:t>
      </w:r>
    </w:p>
    <w:p w:rsidR="00000000" w:rsidRDefault="009C1C61">
      <w:pPr>
        <w:rPr>
          <w:rFonts w:hint="eastAsia"/>
          <w:snapToGrid/>
        </w:rPr>
      </w:pPr>
      <w:r>
        <w:rPr>
          <w:snapToGrid/>
        </w:rPr>
        <w:tab/>
      </w:r>
      <w:r>
        <w:rPr>
          <w:rFonts w:hint="eastAsia"/>
          <w:snapToGrid/>
        </w:rPr>
        <w:t>513.</w:t>
      </w:r>
      <w:r>
        <w:rPr>
          <w:snapToGrid/>
        </w:rPr>
        <w:t xml:space="preserve">  </w:t>
      </w:r>
      <w:r>
        <w:rPr>
          <w:rFonts w:hint="eastAsia"/>
          <w:snapToGrid/>
        </w:rPr>
        <w:t>在所审议期间，根据独立收入数据估计出的吉尼系数值，在</w:t>
      </w:r>
      <w:r>
        <w:rPr>
          <w:rFonts w:hint="eastAsia"/>
          <w:snapToGrid/>
        </w:rPr>
        <w:t>0.</w:t>
      </w:r>
      <w:r>
        <w:rPr>
          <w:snapToGrid/>
        </w:rPr>
        <w:t>57</w:t>
      </w:r>
      <w:r>
        <w:rPr>
          <w:rFonts w:hint="eastAsia"/>
          <w:snapToGrid/>
        </w:rPr>
        <w:t>和</w:t>
      </w:r>
      <w:r>
        <w:rPr>
          <w:snapToGrid/>
        </w:rPr>
        <w:t>0.58</w:t>
      </w:r>
      <w:r>
        <w:rPr>
          <w:rFonts w:hint="eastAsia"/>
          <w:snapToGrid/>
        </w:rPr>
        <w:t>之间波动。</w:t>
      </w:r>
      <w:r>
        <w:rPr>
          <w:rFonts w:hint="eastAsia"/>
          <w:snapToGrid/>
        </w:rPr>
        <w:t>20/20</w:t>
      </w:r>
      <w:r>
        <w:rPr>
          <w:rFonts w:hint="eastAsia"/>
          <w:snapToGrid/>
        </w:rPr>
        <w:t>指数表明，</w:t>
      </w:r>
      <w:r>
        <w:rPr>
          <w:rFonts w:hint="eastAsia"/>
          <w:snapToGrid/>
        </w:rPr>
        <w:t>20</w:t>
      </w:r>
      <w:r>
        <w:rPr>
          <w:snapToGrid/>
        </w:rPr>
        <w:t>%</w:t>
      </w:r>
      <w:r>
        <w:rPr>
          <w:rFonts w:hint="eastAsia"/>
          <w:snapToGrid/>
        </w:rPr>
        <w:t>收入最高的居民户，其户均独立收入比</w:t>
      </w:r>
      <w:r>
        <w:rPr>
          <w:rFonts w:hint="eastAsia"/>
          <w:snapToGrid/>
        </w:rPr>
        <w:t>20</w:t>
      </w:r>
      <w:r>
        <w:rPr>
          <w:snapToGrid/>
        </w:rPr>
        <w:t>%</w:t>
      </w:r>
      <w:r>
        <w:rPr>
          <w:rFonts w:hint="eastAsia"/>
          <w:snapToGrid/>
        </w:rPr>
        <w:t>最贫困户的收入高</w:t>
      </w:r>
      <w:r>
        <w:rPr>
          <w:rFonts w:hint="eastAsia"/>
          <w:snapToGrid/>
        </w:rPr>
        <w:t>13.</w:t>
      </w:r>
      <w:r>
        <w:rPr>
          <w:snapToGrid/>
        </w:rPr>
        <w:t>2</w:t>
      </w:r>
      <w:r>
        <w:rPr>
          <w:rFonts w:hint="eastAsia"/>
          <w:snapToGrid/>
        </w:rPr>
        <w:t>至</w:t>
      </w:r>
      <w:r>
        <w:rPr>
          <w:snapToGrid/>
        </w:rPr>
        <w:t>15.3</w:t>
      </w:r>
      <w:r>
        <w:rPr>
          <w:rFonts w:hint="eastAsia"/>
          <w:snapToGrid/>
        </w:rPr>
        <w:t>倍。</w:t>
      </w:r>
      <w:r>
        <w:rPr>
          <w:rFonts w:hint="eastAsia"/>
          <w:snapToGrid/>
        </w:rPr>
        <w:t>10</w:t>
      </w:r>
      <w:r>
        <w:rPr>
          <w:snapToGrid/>
        </w:rPr>
        <w:t>/</w:t>
      </w:r>
      <w:r>
        <w:rPr>
          <w:rFonts w:hint="eastAsia"/>
          <w:snapToGrid/>
        </w:rPr>
        <w:t>40</w:t>
      </w:r>
      <w:r>
        <w:rPr>
          <w:rFonts w:hint="eastAsia"/>
          <w:snapToGrid/>
        </w:rPr>
        <w:t>指数表明，</w:t>
      </w:r>
      <w:r>
        <w:rPr>
          <w:rFonts w:hint="eastAsia"/>
          <w:snapToGrid/>
        </w:rPr>
        <w:t>10</w:t>
      </w:r>
      <w:r>
        <w:rPr>
          <w:snapToGrid/>
        </w:rPr>
        <w:t>%</w:t>
      </w:r>
      <w:r>
        <w:rPr>
          <w:rFonts w:hint="eastAsia"/>
          <w:snapToGrid/>
        </w:rPr>
        <w:t>收入最高的居民户，其户均独立收入是</w:t>
      </w:r>
      <w:r>
        <w:rPr>
          <w:rFonts w:hint="eastAsia"/>
          <w:snapToGrid/>
        </w:rPr>
        <w:t>40</w:t>
      </w:r>
      <w:r>
        <w:rPr>
          <w:snapToGrid/>
        </w:rPr>
        <w:t>%</w:t>
      </w:r>
      <w:r>
        <w:rPr>
          <w:rFonts w:hint="eastAsia"/>
          <w:snapToGrid/>
        </w:rPr>
        <w:t>最穷困户的居民户收入的</w:t>
      </w:r>
      <w:r>
        <w:rPr>
          <w:rFonts w:hint="eastAsia"/>
          <w:snapToGrid/>
        </w:rPr>
        <w:t>3</w:t>
      </w:r>
      <w:r>
        <w:rPr>
          <w:rFonts w:hint="eastAsia"/>
          <w:snapToGrid/>
        </w:rPr>
        <w:t>倍多。</w:t>
      </w:r>
    </w:p>
    <w:p w:rsidR="00000000" w:rsidRDefault="009C1C61">
      <w:pPr>
        <w:rPr>
          <w:rFonts w:hint="eastAsia"/>
          <w:snapToGrid/>
        </w:rPr>
      </w:pPr>
      <w:r>
        <w:rPr>
          <w:snapToGrid/>
        </w:rPr>
        <w:tab/>
      </w:r>
      <w:r>
        <w:rPr>
          <w:rFonts w:hint="eastAsia"/>
          <w:snapToGrid/>
        </w:rPr>
        <w:t>514.</w:t>
      </w:r>
      <w:r>
        <w:rPr>
          <w:snapToGrid/>
        </w:rPr>
        <w:t xml:space="preserve">  </w:t>
      </w:r>
      <w:r>
        <w:rPr>
          <w:rFonts w:hint="eastAsia"/>
          <w:snapToGrid/>
        </w:rPr>
        <w:t>公共部门给低收入户的拨款，单从独立收</w:t>
      </w:r>
      <w:r>
        <w:rPr>
          <w:rFonts w:hint="eastAsia"/>
          <w:snapToGrid/>
        </w:rPr>
        <w:t>入角度来看，改善了整个十年的分配情况，因此最穷困群体和最富群体之间的差距缩小了。吉尼系数，如果单从货币收入角度考虑，因为有了这类拨款，每年都略有提高，独立收入提高</w:t>
      </w:r>
      <w:r>
        <w:rPr>
          <w:snapToGrid/>
        </w:rPr>
        <w:t>0.57</w:t>
      </w:r>
      <w:r>
        <w:rPr>
          <w:rFonts w:hint="eastAsia"/>
          <w:snapToGrid/>
        </w:rPr>
        <w:t>至</w:t>
      </w:r>
      <w:r>
        <w:rPr>
          <w:snapToGrid/>
        </w:rPr>
        <w:t>0.58,</w:t>
      </w:r>
      <w:r>
        <w:rPr>
          <w:rFonts w:hint="eastAsia"/>
          <w:snapToGrid/>
        </w:rPr>
        <w:t>货币收入提高</w:t>
      </w:r>
      <w:r>
        <w:rPr>
          <w:snapToGrid/>
        </w:rPr>
        <w:t>0.56</w:t>
      </w:r>
      <w:r>
        <w:rPr>
          <w:rFonts w:hint="eastAsia"/>
          <w:snapToGrid/>
        </w:rPr>
        <w:t>至</w:t>
      </w:r>
      <w:r>
        <w:rPr>
          <w:snapToGrid/>
        </w:rPr>
        <w:t>0.57</w:t>
      </w:r>
      <w:r>
        <w:rPr>
          <w:rFonts w:hint="eastAsia"/>
          <w:snapToGrid/>
        </w:rPr>
        <w:t>。在</w:t>
      </w:r>
      <w:r>
        <w:rPr>
          <w:rFonts w:hint="eastAsia"/>
          <w:snapToGrid/>
        </w:rPr>
        <w:t>20/20</w:t>
      </w:r>
      <w:r>
        <w:rPr>
          <w:rFonts w:hint="eastAsia"/>
          <w:snapToGrid/>
        </w:rPr>
        <w:t>指数中，如果考虑到低收入户得到的国家拨款，低收入户的收入与最富有户的收入之间的差距也缩小了。独立收入的差距在</w:t>
      </w:r>
      <w:r>
        <w:rPr>
          <w:rFonts w:hint="eastAsia"/>
          <w:snapToGrid/>
        </w:rPr>
        <w:t>13.</w:t>
      </w:r>
      <w:r>
        <w:rPr>
          <w:snapToGrid/>
        </w:rPr>
        <w:t>2</w:t>
      </w:r>
      <w:r>
        <w:rPr>
          <w:rFonts w:hint="eastAsia"/>
          <w:snapToGrid/>
        </w:rPr>
        <w:t>和</w:t>
      </w:r>
      <w:r>
        <w:rPr>
          <w:snapToGrid/>
        </w:rPr>
        <w:t>15.3</w:t>
      </w:r>
      <w:r>
        <w:rPr>
          <w:rFonts w:hint="eastAsia"/>
          <w:snapToGrid/>
        </w:rPr>
        <w:t>之间，货币收入的差距在</w:t>
      </w:r>
      <w:r>
        <w:rPr>
          <w:rFonts w:hint="eastAsia"/>
          <w:snapToGrid/>
        </w:rPr>
        <w:t>12.</w:t>
      </w:r>
      <w:r>
        <w:rPr>
          <w:snapToGrid/>
        </w:rPr>
        <w:t>2</w:t>
      </w:r>
      <w:r>
        <w:rPr>
          <w:rFonts w:hint="eastAsia"/>
          <w:snapToGrid/>
        </w:rPr>
        <w:t>和</w:t>
      </w:r>
      <w:r>
        <w:rPr>
          <w:snapToGrid/>
        </w:rPr>
        <w:t>13.2</w:t>
      </w:r>
      <w:r>
        <w:rPr>
          <w:rFonts w:hint="eastAsia"/>
          <w:snapToGrid/>
        </w:rPr>
        <w:t>之间。就</w:t>
      </w:r>
      <w:r>
        <w:rPr>
          <w:rFonts w:hint="eastAsia"/>
          <w:snapToGrid/>
        </w:rPr>
        <w:t>10</w:t>
      </w:r>
      <w:r>
        <w:rPr>
          <w:snapToGrid/>
        </w:rPr>
        <w:t>/</w:t>
      </w:r>
      <w:r>
        <w:rPr>
          <w:rFonts w:hint="eastAsia"/>
          <w:snapToGrid/>
        </w:rPr>
        <w:t>40</w:t>
      </w:r>
      <w:r>
        <w:rPr>
          <w:rFonts w:hint="eastAsia"/>
          <w:snapToGrid/>
        </w:rPr>
        <w:t>指数来看，独立收入的差距在</w:t>
      </w:r>
      <w:r>
        <w:rPr>
          <w:rFonts w:hint="eastAsia"/>
          <w:snapToGrid/>
        </w:rPr>
        <w:t>3.</w:t>
      </w:r>
      <w:r>
        <w:rPr>
          <w:snapToGrid/>
        </w:rPr>
        <w:t>3</w:t>
      </w:r>
      <w:r>
        <w:rPr>
          <w:rFonts w:hint="eastAsia"/>
          <w:snapToGrid/>
        </w:rPr>
        <w:t>和</w:t>
      </w:r>
      <w:r>
        <w:rPr>
          <w:snapToGrid/>
        </w:rPr>
        <w:t>3.6</w:t>
      </w:r>
      <w:r>
        <w:rPr>
          <w:rFonts w:hint="eastAsia"/>
          <w:snapToGrid/>
        </w:rPr>
        <w:t>之间，货币收入的差距在</w:t>
      </w:r>
      <w:r>
        <w:rPr>
          <w:snapToGrid/>
        </w:rPr>
        <w:t xml:space="preserve"> 3.2</w:t>
      </w:r>
      <w:r>
        <w:rPr>
          <w:rFonts w:hint="eastAsia"/>
          <w:snapToGrid/>
        </w:rPr>
        <w:t>和</w:t>
      </w:r>
      <w:r>
        <w:rPr>
          <w:snapToGrid/>
        </w:rPr>
        <w:t>3.3</w:t>
      </w:r>
      <w:r>
        <w:rPr>
          <w:rFonts w:hint="eastAsia"/>
          <w:snapToGrid/>
        </w:rPr>
        <w:t>之间。</w:t>
      </w:r>
    </w:p>
    <w:p w:rsidR="00000000" w:rsidRDefault="009C1C61">
      <w:pPr>
        <w:rPr>
          <w:rFonts w:hint="eastAsia"/>
          <w:snapToGrid/>
        </w:rPr>
      </w:pPr>
      <w:r>
        <w:rPr>
          <w:snapToGrid/>
        </w:rPr>
        <w:tab/>
      </w:r>
      <w:r>
        <w:rPr>
          <w:rFonts w:hint="eastAsia"/>
          <w:snapToGrid/>
        </w:rPr>
        <w:t>515.</w:t>
      </w:r>
      <w:r>
        <w:rPr>
          <w:snapToGrid/>
        </w:rPr>
        <w:t xml:space="preserve">  </w:t>
      </w:r>
      <w:r>
        <w:rPr>
          <w:rFonts w:hint="eastAsia"/>
          <w:snapToGrid/>
        </w:rPr>
        <w:t>1</w:t>
      </w:r>
      <w:r>
        <w:rPr>
          <w:rFonts w:hint="eastAsia"/>
          <w:snapToGrid/>
        </w:rPr>
        <w:t>998</w:t>
      </w:r>
      <w:r>
        <w:rPr>
          <w:rFonts w:hint="eastAsia"/>
          <w:snapToGrid/>
        </w:rPr>
        <w:t>年，货币补贴对最穷困户平均收入的影响</w:t>
      </w:r>
      <w:r>
        <w:rPr>
          <w:rFonts w:hint="eastAsia"/>
          <w:snapToGrid/>
        </w:rPr>
        <w:t>(</w:t>
      </w:r>
      <w:r>
        <w:rPr>
          <w:rFonts w:hint="eastAsia"/>
          <w:snapToGrid/>
        </w:rPr>
        <w:t>第一个和第十个十分倍数</w:t>
      </w:r>
      <w:r>
        <w:rPr>
          <w:rFonts w:hint="eastAsia"/>
          <w:snapToGrid/>
        </w:rPr>
        <w:t>)</w:t>
      </w:r>
      <w:r>
        <w:rPr>
          <w:rFonts w:hint="eastAsia"/>
          <w:snapToGrid/>
        </w:rPr>
        <w:t>，比大整个十年中所形成的影响都大。因为有了这些拨款，</w:t>
      </w:r>
      <w:r>
        <w:rPr>
          <w:rFonts w:hint="eastAsia"/>
          <w:snapToGrid/>
        </w:rPr>
        <w:t>1996</w:t>
      </w:r>
      <w:r>
        <w:rPr>
          <w:rFonts w:hint="eastAsia"/>
          <w:snapToGrid/>
        </w:rPr>
        <w:t>至</w:t>
      </w:r>
      <w:r>
        <w:rPr>
          <w:rFonts w:hint="eastAsia"/>
          <w:snapToGrid/>
        </w:rPr>
        <w:t>1998</w:t>
      </w:r>
      <w:r>
        <w:rPr>
          <w:rFonts w:hint="eastAsia"/>
          <w:snapToGrid/>
        </w:rPr>
        <w:t>年期间的货币收入分配情况才没有恶化，如果只考虑独立分配，情况也会如此。</w:t>
      </w:r>
    </w:p>
    <w:p w:rsidR="00000000" w:rsidRDefault="009C1C61">
      <w:pPr>
        <w:pStyle w:val="Heading3"/>
        <w:spacing w:before="300" w:after="40" w:line="240" w:lineRule="auto"/>
        <w:rPr>
          <w:rFonts w:hint="eastAsia"/>
          <w:sz w:val="22"/>
          <w:lang w:val="en-GB"/>
        </w:rPr>
      </w:pPr>
      <w:r>
        <w:rPr>
          <w:rFonts w:hint="eastAsia"/>
        </w:rPr>
        <w:t>表</w:t>
      </w:r>
      <w:r>
        <w:rPr>
          <w:rFonts w:hint="eastAsia"/>
        </w:rPr>
        <w:t xml:space="preserve">  </w:t>
      </w:r>
      <w:r>
        <w:rPr>
          <w:rFonts w:hint="eastAsia"/>
          <w:b/>
          <w:bCs/>
        </w:rPr>
        <w:t>20</w:t>
      </w:r>
      <w:r>
        <w:rPr>
          <w:b/>
          <w:bCs/>
        </w:rPr>
        <w:br/>
      </w:r>
      <w:r>
        <w:rPr>
          <w:rFonts w:hint="eastAsia"/>
          <w:b/>
          <w:sz w:val="22"/>
          <w:lang w:val="en-GB"/>
        </w:rPr>
        <w:t>1990</w:t>
      </w:r>
      <w:r>
        <w:rPr>
          <w:rFonts w:hint="eastAsia"/>
          <w:sz w:val="22"/>
          <w:lang w:val="en-GB"/>
        </w:rPr>
        <w:t>－</w:t>
      </w:r>
      <w:r>
        <w:rPr>
          <w:rFonts w:hint="eastAsia"/>
          <w:b/>
          <w:sz w:val="22"/>
          <w:lang w:val="en-GB"/>
        </w:rPr>
        <w:t>1998</w:t>
      </w:r>
      <w:r>
        <w:rPr>
          <w:rFonts w:hint="eastAsia"/>
          <w:sz w:val="22"/>
          <w:lang w:val="en-GB"/>
        </w:rPr>
        <w:t>年按智利居民户人均独立收入的</w:t>
      </w:r>
      <w:r>
        <w:rPr>
          <w:rFonts w:hint="eastAsia"/>
          <w:sz w:val="22"/>
          <w:lang w:val="en-GB"/>
        </w:rPr>
        <w:t xml:space="preserve"> </w:t>
      </w:r>
      <w:r>
        <w:rPr>
          <w:rFonts w:hint="eastAsia"/>
          <w:sz w:val="22"/>
          <w:lang w:val="en-GB"/>
        </w:rPr>
        <w:sym w:font="Symbol" w:char="F02A"/>
      </w:r>
      <w:r>
        <w:rPr>
          <w:sz w:val="22"/>
          <w:lang w:val="en-GB"/>
        </w:rPr>
        <w:br/>
      </w:r>
      <w:r>
        <w:rPr>
          <w:rFonts w:hint="eastAsia"/>
          <w:sz w:val="22"/>
          <w:lang w:val="en-GB"/>
        </w:rPr>
        <w:t>十等分层分列的户均独立收入和货币收入</w:t>
      </w:r>
      <w:r>
        <w:rPr>
          <w:sz w:val="22"/>
          <w:lang w:val="en-GB"/>
        </w:rPr>
        <w:br/>
      </w:r>
      <w:r>
        <w:rPr>
          <w:rFonts w:hint="eastAsia"/>
          <w:b/>
          <w:sz w:val="22"/>
          <w:lang w:val="en-GB"/>
        </w:rPr>
        <w:t>1998</w:t>
      </w:r>
      <w:r>
        <w:rPr>
          <w:rFonts w:hint="eastAsia"/>
          <w:sz w:val="22"/>
          <w:lang w:val="en-GB"/>
        </w:rPr>
        <w:t>年</w:t>
      </w:r>
      <w:r>
        <w:rPr>
          <w:rFonts w:hint="eastAsia"/>
          <w:b/>
          <w:sz w:val="22"/>
          <w:lang w:val="en-GB"/>
        </w:rPr>
        <w:t>11</w:t>
      </w:r>
      <w:r>
        <w:rPr>
          <w:rFonts w:hint="eastAsia"/>
          <w:sz w:val="22"/>
          <w:lang w:val="en-GB"/>
        </w:rPr>
        <w:t>月</w:t>
      </w:r>
      <w:r>
        <w:rPr>
          <w:rFonts w:hint="eastAsia"/>
          <w:sz w:val="22"/>
          <w:lang w:val="en-GB"/>
        </w:rPr>
        <w:t xml:space="preserve">  </w:t>
      </w:r>
      <w:r>
        <w:rPr>
          <w:rFonts w:hint="eastAsia"/>
          <w:sz w:val="22"/>
          <w:lang w:val="en-GB"/>
        </w:rPr>
        <w:t>比索</w:t>
      </w:r>
      <w:r>
        <w:rPr>
          <w:rFonts w:hint="eastAsia"/>
          <w:sz w:val="22"/>
          <w:lang w:val="en-GB"/>
        </w:rPr>
        <w:t>(</w:t>
      </w:r>
      <w:r>
        <w:rPr>
          <w:rFonts w:hint="eastAsia"/>
          <w:b/>
          <w:sz w:val="22"/>
          <w:lang w:val="en-GB"/>
        </w:rPr>
        <w:t>1998</w:t>
      </w:r>
      <w:r>
        <w:rPr>
          <w:rFonts w:hint="eastAsia"/>
          <w:sz w:val="22"/>
          <w:lang w:val="en-GB"/>
        </w:rPr>
        <w:t>年</w:t>
      </w:r>
      <w:r>
        <w:rPr>
          <w:rFonts w:hint="eastAsia"/>
          <w:b/>
          <w:sz w:val="22"/>
          <w:lang w:val="en-GB"/>
        </w:rPr>
        <w:t>11</w:t>
      </w:r>
      <w:r>
        <w:rPr>
          <w:rFonts w:hint="eastAsia"/>
          <w:sz w:val="22"/>
          <w:lang w:val="en-GB"/>
        </w:rPr>
        <w:t>月美元</w:t>
      </w:r>
      <w:r>
        <w:rPr>
          <w:rFonts w:hint="eastAsia"/>
          <w:sz w:val="22"/>
          <w:lang w:val="en-GB"/>
        </w:rPr>
        <w:t>)</w:t>
      </w:r>
    </w:p>
    <w:tbl>
      <w:tblPr>
        <w:tblW w:w="0" w:type="auto"/>
        <w:jc w:val="center"/>
        <w:tblInd w:w="-5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497"/>
        <w:gridCol w:w="1498"/>
        <w:gridCol w:w="1498"/>
        <w:gridCol w:w="1497"/>
        <w:gridCol w:w="1498"/>
        <w:gridCol w:w="1498"/>
      </w:tblGrid>
      <w:tr w:rsidR="00000000">
        <w:tblPrEx>
          <w:tblCellMar>
            <w:top w:w="0" w:type="dxa"/>
            <w:bottom w:w="0" w:type="dxa"/>
          </w:tblCellMar>
        </w:tblPrEx>
        <w:trPr>
          <w:tblHeader/>
          <w:jc w:val="center"/>
        </w:trPr>
        <w:tc>
          <w:tcPr>
            <w:tcW w:w="1497" w:type="dxa"/>
          </w:tcPr>
          <w:p w:rsidR="00000000" w:rsidRDefault="009C1C61">
            <w:pPr>
              <w:pStyle w:val="a2"/>
              <w:spacing w:line="220" w:lineRule="exact"/>
              <w:jc w:val="center"/>
              <w:rPr>
                <w:noProof/>
                <w:snapToGrid/>
              </w:rPr>
            </w:pPr>
            <w:r>
              <w:rPr>
                <w:rFonts w:hint="eastAsia"/>
                <w:noProof/>
                <w:snapToGrid/>
              </w:rPr>
              <w:t>十等分层</w:t>
            </w:r>
            <w:r>
              <w:rPr>
                <w:noProof/>
                <w:snapToGrid/>
              </w:rPr>
              <w:t>**</w:t>
            </w:r>
          </w:p>
        </w:tc>
        <w:tc>
          <w:tcPr>
            <w:tcW w:w="1498" w:type="dxa"/>
          </w:tcPr>
          <w:p w:rsidR="00000000" w:rsidRDefault="009C1C61">
            <w:pPr>
              <w:pStyle w:val="a2"/>
              <w:spacing w:line="220" w:lineRule="exact"/>
              <w:jc w:val="center"/>
              <w:rPr>
                <w:noProof/>
                <w:snapToGrid/>
              </w:rPr>
            </w:pPr>
            <w:r>
              <w:rPr>
                <w:noProof/>
                <w:snapToGrid/>
              </w:rPr>
              <w:t>1990</w:t>
            </w:r>
          </w:p>
        </w:tc>
        <w:tc>
          <w:tcPr>
            <w:tcW w:w="1498" w:type="dxa"/>
          </w:tcPr>
          <w:p w:rsidR="00000000" w:rsidRDefault="009C1C61">
            <w:pPr>
              <w:pStyle w:val="a2"/>
              <w:spacing w:line="220" w:lineRule="exact"/>
              <w:jc w:val="center"/>
              <w:rPr>
                <w:noProof/>
                <w:snapToGrid/>
              </w:rPr>
            </w:pPr>
            <w:r>
              <w:rPr>
                <w:noProof/>
                <w:snapToGrid/>
              </w:rPr>
              <w:t>1992</w:t>
            </w:r>
          </w:p>
        </w:tc>
        <w:tc>
          <w:tcPr>
            <w:tcW w:w="1497" w:type="dxa"/>
          </w:tcPr>
          <w:p w:rsidR="00000000" w:rsidRDefault="009C1C61">
            <w:pPr>
              <w:pStyle w:val="a2"/>
              <w:spacing w:line="220" w:lineRule="exact"/>
              <w:jc w:val="center"/>
              <w:rPr>
                <w:noProof/>
                <w:snapToGrid/>
              </w:rPr>
            </w:pPr>
            <w:r>
              <w:rPr>
                <w:noProof/>
                <w:snapToGrid/>
              </w:rPr>
              <w:t>1994</w:t>
            </w:r>
          </w:p>
        </w:tc>
        <w:tc>
          <w:tcPr>
            <w:tcW w:w="1498" w:type="dxa"/>
          </w:tcPr>
          <w:p w:rsidR="00000000" w:rsidRDefault="009C1C61">
            <w:pPr>
              <w:pStyle w:val="a2"/>
              <w:spacing w:line="220" w:lineRule="exact"/>
              <w:jc w:val="center"/>
              <w:rPr>
                <w:noProof/>
                <w:snapToGrid/>
              </w:rPr>
            </w:pPr>
            <w:r>
              <w:rPr>
                <w:noProof/>
                <w:snapToGrid/>
              </w:rPr>
              <w:t>1996</w:t>
            </w:r>
          </w:p>
        </w:tc>
        <w:tc>
          <w:tcPr>
            <w:tcW w:w="1498" w:type="dxa"/>
          </w:tcPr>
          <w:p w:rsidR="00000000" w:rsidRDefault="009C1C61">
            <w:pPr>
              <w:pStyle w:val="a2"/>
              <w:spacing w:line="220" w:lineRule="exact"/>
              <w:jc w:val="center"/>
              <w:rPr>
                <w:noProof/>
                <w:snapToGrid/>
              </w:rPr>
            </w:pPr>
            <w:r>
              <w:rPr>
                <w:noProof/>
                <w:snapToGrid/>
              </w:rPr>
              <w:t>1998</w:t>
            </w:r>
          </w:p>
        </w:tc>
      </w:tr>
      <w:tr w:rsidR="00000000">
        <w:tblPrEx>
          <w:tblCellMar>
            <w:top w:w="0" w:type="dxa"/>
            <w:bottom w:w="0" w:type="dxa"/>
          </w:tblCellMar>
        </w:tblPrEx>
        <w:trPr>
          <w:cantSplit/>
          <w:jc w:val="center"/>
        </w:trPr>
        <w:tc>
          <w:tcPr>
            <w:tcW w:w="8986" w:type="dxa"/>
            <w:gridSpan w:val="6"/>
          </w:tcPr>
          <w:p w:rsidR="00000000" w:rsidRDefault="009C1C61">
            <w:pPr>
              <w:pStyle w:val="a2"/>
              <w:spacing w:line="220" w:lineRule="exact"/>
              <w:jc w:val="center"/>
              <w:rPr>
                <w:rFonts w:hint="eastAsia"/>
                <w:noProof/>
                <w:snapToGrid/>
              </w:rPr>
            </w:pPr>
            <w:r>
              <w:rPr>
                <w:rFonts w:hint="eastAsia"/>
                <w:noProof/>
                <w:snapToGrid/>
              </w:rPr>
              <w:t>独立收入</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1</w:t>
            </w:r>
          </w:p>
        </w:tc>
        <w:tc>
          <w:tcPr>
            <w:tcW w:w="1498" w:type="dxa"/>
          </w:tcPr>
          <w:p w:rsidR="00000000" w:rsidRDefault="009C1C61">
            <w:pPr>
              <w:pStyle w:val="a2"/>
              <w:spacing w:line="220" w:lineRule="exact"/>
              <w:ind w:right="113"/>
              <w:jc w:val="right"/>
              <w:rPr>
                <w:noProof/>
                <w:snapToGrid/>
              </w:rPr>
            </w:pPr>
            <w:r>
              <w:rPr>
                <w:noProof/>
                <w:snapToGrid/>
              </w:rPr>
              <w:t>44,761</w:t>
            </w:r>
            <w:r>
              <w:rPr>
                <w:noProof/>
                <w:snapToGrid/>
              </w:rPr>
              <w:br/>
              <w:t>(96.6)</w:t>
            </w:r>
          </w:p>
        </w:tc>
        <w:tc>
          <w:tcPr>
            <w:tcW w:w="1498" w:type="dxa"/>
          </w:tcPr>
          <w:p w:rsidR="00000000" w:rsidRDefault="009C1C61">
            <w:pPr>
              <w:pStyle w:val="a2"/>
              <w:spacing w:line="220" w:lineRule="exact"/>
              <w:ind w:right="113"/>
              <w:jc w:val="right"/>
              <w:rPr>
                <w:noProof/>
                <w:snapToGrid/>
              </w:rPr>
            </w:pPr>
            <w:r>
              <w:rPr>
                <w:noProof/>
                <w:snapToGrid/>
              </w:rPr>
              <w:t>54,999</w:t>
            </w:r>
            <w:r>
              <w:rPr>
                <w:noProof/>
                <w:snapToGrid/>
              </w:rPr>
              <w:br/>
              <w:t>(118.7)</w:t>
            </w:r>
          </w:p>
        </w:tc>
        <w:tc>
          <w:tcPr>
            <w:tcW w:w="1497" w:type="dxa"/>
          </w:tcPr>
          <w:p w:rsidR="00000000" w:rsidRDefault="009C1C61">
            <w:pPr>
              <w:pStyle w:val="a2"/>
              <w:spacing w:line="220" w:lineRule="exact"/>
              <w:ind w:right="113"/>
              <w:jc w:val="right"/>
              <w:rPr>
                <w:noProof/>
                <w:snapToGrid/>
              </w:rPr>
            </w:pPr>
            <w:r>
              <w:rPr>
                <w:noProof/>
                <w:snapToGrid/>
              </w:rPr>
              <w:t>52,17</w:t>
            </w:r>
            <w:r>
              <w:rPr>
                <w:noProof/>
                <w:snapToGrid/>
              </w:rPr>
              <w:t>7</w:t>
            </w:r>
            <w:r>
              <w:rPr>
                <w:noProof/>
                <w:snapToGrid/>
              </w:rPr>
              <w:br/>
              <w:t>(112.6)</w:t>
            </w:r>
          </w:p>
        </w:tc>
        <w:tc>
          <w:tcPr>
            <w:tcW w:w="1498" w:type="dxa"/>
          </w:tcPr>
          <w:p w:rsidR="00000000" w:rsidRDefault="009C1C61">
            <w:pPr>
              <w:pStyle w:val="a2"/>
              <w:spacing w:line="220" w:lineRule="exact"/>
              <w:ind w:right="113"/>
              <w:jc w:val="right"/>
              <w:rPr>
                <w:noProof/>
                <w:snapToGrid/>
              </w:rPr>
            </w:pPr>
            <w:r>
              <w:rPr>
                <w:noProof/>
                <w:snapToGrid/>
              </w:rPr>
              <w:t>55,358</w:t>
            </w:r>
            <w:r>
              <w:rPr>
                <w:noProof/>
                <w:snapToGrid/>
              </w:rPr>
              <w:br/>
              <w:t>(119.4)</w:t>
            </w:r>
          </w:p>
        </w:tc>
        <w:tc>
          <w:tcPr>
            <w:tcW w:w="1498" w:type="dxa"/>
          </w:tcPr>
          <w:p w:rsidR="00000000" w:rsidRDefault="009C1C61">
            <w:pPr>
              <w:pStyle w:val="a2"/>
              <w:spacing w:line="220" w:lineRule="exact"/>
              <w:ind w:right="113"/>
              <w:jc w:val="right"/>
              <w:rPr>
                <w:noProof/>
                <w:snapToGrid/>
              </w:rPr>
            </w:pPr>
            <w:r>
              <w:rPr>
                <w:noProof/>
                <w:snapToGrid/>
              </w:rPr>
              <w:t>55,022</w:t>
            </w:r>
            <w:r>
              <w:rPr>
                <w:noProof/>
                <w:snapToGrid/>
              </w:rPr>
              <w:br/>
              <w:t xml:space="preserve">(118.7) </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2</w:t>
            </w:r>
          </w:p>
        </w:tc>
        <w:tc>
          <w:tcPr>
            <w:tcW w:w="1498" w:type="dxa"/>
          </w:tcPr>
          <w:p w:rsidR="00000000" w:rsidRDefault="009C1C61">
            <w:pPr>
              <w:pStyle w:val="a2"/>
              <w:spacing w:line="220" w:lineRule="exact"/>
              <w:ind w:right="113"/>
              <w:jc w:val="right"/>
              <w:rPr>
                <w:noProof/>
                <w:snapToGrid/>
              </w:rPr>
            </w:pPr>
            <w:r>
              <w:rPr>
                <w:noProof/>
                <w:snapToGrid/>
              </w:rPr>
              <w:t>86,633</w:t>
            </w:r>
            <w:r>
              <w:rPr>
                <w:noProof/>
                <w:snapToGrid/>
              </w:rPr>
              <w:br/>
              <w:t>(186.9)</w:t>
            </w:r>
          </w:p>
        </w:tc>
        <w:tc>
          <w:tcPr>
            <w:tcW w:w="1498" w:type="dxa"/>
          </w:tcPr>
          <w:p w:rsidR="00000000" w:rsidRDefault="009C1C61">
            <w:pPr>
              <w:pStyle w:val="a2"/>
              <w:spacing w:line="220" w:lineRule="exact"/>
              <w:ind w:right="113"/>
              <w:jc w:val="right"/>
              <w:rPr>
                <w:noProof/>
                <w:snapToGrid/>
              </w:rPr>
            </w:pPr>
            <w:r>
              <w:rPr>
                <w:noProof/>
                <w:snapToGrid/>
              </w:rPr>
              <w:t>101,647</w:t>
            </w:r>
            <w:r>
              <w:rPr>
                <w:noProof/>
                <w:snapToGrid/>
              </w:rPr>
              <w:br/>
              <w:t>(219.4)</w:t>
            </w:r>
          </w:p>
        </w:tc>
        <w:tc>
          <w:tcPr>
            <w:tcW w:w="1497" w:type="dxa"/>
          </w:tcPr>
          <w:p w:rsidR="00000000" w:rsidRDefault="009C1C61">
            <w:pPr>
              <w:pStyle w:val="a2"/>
              <w:spacing w:line="220" w:lineRule="exact"/>
              <w:ind w:right="113"/>
              <w:jc w:val="right"/>
              <w:rPr>
                <w:noProof/>
                <w:snapToGrid/>
              </w:rPr>
            </w:pPr>
            <w:r>
              <w:rPr>
                <w:noProof/>
                <w:snapToGrid/>
              </w:rPr>
              <w:t>106,117</w:t>
            </w:r>
            <w:r>
              <w:rPr>
                <w:noProof/>
                <w:snapToGrid/>
              </w:rPr>
              <w:br/>
              <w:t>(229.0)</w:t>
            </w:r>
          </w:p>
        </w:tc>
        <w:tc>
          <w:tcPr>
            <w:tcW w:w="1498" w:type="dxa"/>
          </w:tcPr>
          <w:p w:rsidR="00000000" w:rsidRDefault="009C1C61">
            <w:pPr>
              <w:pStyle w:val="a2"/>
              <w:spacing w:line="220" w:lineRule="exact"/>
              <w:ind w:right="113"/>
              <w:jc w:val="right"/>
              <w:rPr>
                <w:noProof/>
                <w:snapToGrid/>
              </w:rPr>
            </w:pPr>
            <w:r>
              <w:rPr>
                <w:noProof/>
                <w:snapToGrid/>
              </w:rPr>
              <w:t>114,103</w:t>
            </w:r>
            <w:r>
              <w:rPr>
                <w:noProof/>
                <w:snapToGrid/>
              </w:rPr>
              <w:br/>
              <w:t>(246.2)</w:t>
            </w:r>
          </w:p>
        </w:tc>
        <w:tc>
          <w:tcPr>
            <w:tcW w:w="1498" w:type="dxa"/>
          </w:tcPr>
          <w:p w:rsidR="00000000" w:rsidRDefault="009C1C61">
            <w:pPr>
              <w:pStyle w:val="a2"/>
              <w:spacing w:line="220" w:lineRule="exact"/>
              <w:ind w:right="113"/>
              <w:jc w:val="right"/>
              <w:rPr>
                <w:noProof/>
                <w:snapToGrid/>
              </w:rPr>
            </w:pPr>
            <w:r>
              <w:rPr>
                <w:noProof/>
                <w:snapToGrid/>
              </w:rPr>
              <w:t>118,207</w:t>
            </w:r>
            <w:r>
              <w:rPr>
                <w:noProof/>
                <w:snapToGrid/>
              </w:rPr>
              <w:br/>
              <w:t>(255.1)</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3</w:t>
            </w:r>
          </w:p>
        </w:tc>
        <w:tc>
          <w:tcPr>
            <w:tcW w:w="1498" w:type="dxa"/>
          </w:tcPr>
          <w:p w:rsidR="00000000" w:rsidRDefault="009C1C61">
            <w:pPr>
              <w:pStyle w:val="a2"/>
              <w:spacing w:line="220" w:lineRule="exact"/>
              <w:ind w:right="113"/>
              <w:jc w:val="right"/>
              <w:rPr>
                <w:noProof/>
                <w:snapToGrid/>
              </w:rPr>
            </w:pPr>
            <w:r>
              <w:rPr>
                <w:noProof/>
                <w:snapToGrid/>
              </w:rPr>
              <w:t>115,126</w:t>
            </w:r>
            <w:r>
              <w:rPr>
                <w:noProof/>
                <w:snapToGrid/>
              </w:rPr>
              <w:br/>
              <w:t>(248.4)</w:t>
            </w:r>
          </w:p>
        </w:tc>
        <w:tc>
          <w:tcPr>
            <w:tcW w:w="1498" w:type="dxa"/>
          </w:tcPr>
          <w:p w:rsidR="00000000" w:rsidRDefault="009C1C61">
            <w:pPr>
              <w:pStyle w:val="a2"/>
              <w:spacing w:line="220" w:lineRule="exact"/>
              <w:ind w:right="113"/>
              <w:jc w:val="right"/>
              <w:rPr>
                <w:noProof/>
                <w:snapToGrid/>
              </w:rPr>
            </w:pPr>
            <w:r>
              <w:rPr>
                <w:noProof/>
                <w:snapToGrid/>
              </w:rPr>
              <w:t>132,704</w:t>
            </w:r>
            <w:r>
              <w:rPr>
                <w:noProof/>
                <w:snapToGrid/>
              </w:rPr>
              <w:br/>
              <w:t>(286.4)</w:t>
            </w:r>
          </w:p>
        </w:tc>
        <w:tc>
          <w:tcPr>
            <w:tcW w:w="1497" w:type="dxa"/>
          </w:tcPr>
          <w:p w:rsidR="00000000" w:rsidRDefault="009C1C61">
            <w:pPr>
              <w:pStyle w:val="a2"/>
              <w:spacing w:line="220" w:lineRule="exact"/>
              <w:ind w:right="113"/>
              <w:jc w:val="right"/>
              <w:rPr>
                <w:noProof/>
                <w:snapToGrid/>
              </w:rPr>
            </w:pPr>
            <w:r>
              <w:rPr>
                <w:noProof/>
                <w:snapToGrid/>
              </w:rPr>
              <w:t>137,174</w:t>
            </w:r>
            <w:r>
              <w:rPr>
                <w:noProof/>
                <w:snapToGrid/>
              </w:rPr>
              <w:br/>
              <w:t>(296.0)</w:t>
            </w:r>
          </w:p>
        </w:tc>
        <w:tc>
          <w:tcPr>
            <w:tcW w:w="1498" w:type="dxa"/>
          </w:tcPr>
          <w:p w:rsidR="00000000" w:rsidRDefault="009C1C61">
            <w:pPr>
              <w:pStyle w:val="a2"/>
              <w:spacing w:line="220" w:lineRule="exact"/>
              <w:ind w:right="113"/>
              <w:jc w:val="right"/>
              <w:rPr>
                <w:noProof/>
                <w:snapToGrid/>
              </w:rPr>
            </w:pPr>
            <w:r>
              <w:rPr>
                <w:noProof/>
                <w:snapToGrid/>
              </w:rPr>
              <w:t>154,410</w:t>
            </w:r>
            <w:r>
              <w:rPr>
                <w:noProof/>
                <w:snapToGrid/>
              </w:rPr>
              <w:br/>
              <w:t>(333.2)</w:t>
            </w:r>
          </w:p>
        </w:tc>
        <w:tc>
          <w:tcPr>
            <w:tcW w:w="1498" w:type="dxa"/>
          </w:tcPr>
          <w:p w:rsidR="00000000" w:rsidRDefault="009C1C61">
            <w:pPr>
              <w:pStyle w:val="a2"/>
              <w:spacing w:line="220" w:lineRule="exact"/>
              <w:ind w:right="113"/>
              <w:jc w:val="right"/>
              <w:rPr>
                <w:noProof/>
                <w:snapToGrid/>
              </w:rPr>
            </w:pPr>
            <w:r>
              <w:rPr>
                <w:noProof/>
                <w:snapToGrid/>
              </w:rPr>
              <w:t>161,589</w:t>
            </w:r>
            <w:r>
              <w:rPr>
                <w:noProof/>
                <w:snapToGrid/>
              </w:rPr>
              <w:br/>
              <w:t>(348.7)</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4</w:t>
            </w:r>
          </w:p>
        </w:tc>
        <w:tc>
          <w:tcPr>
            <w:tcW w:w="1498" w:type="dxa"/>
          </w:tcPr>
          <w:p w:rsidR="00000000" w:rsidRDefault="009C1C61">
            <w:pPr>
              <w:pStyle w:val="a2"/>
              <w:spacing w:line="220" w:lineRule="exact"/>
              <w:ind w:right="113"/>
              <w:jc w:val="right"/>
              <w:rPr>
                <w:noProof/>
                <w:snapToGrid/>
              </w:rPr>
            </w:pPr>
            <w:r>
              <w:rPr>
                <w:noProof/>
                <w:snapToGrid/>
              </w:rPr>
              <w:t>141,172</w:t>
            </w:r>
            <w:r>
              <w:rPr>
                <w:noProof/>
                <w:snapToGrid/>
              </w:rPr>
              <w:br/>
              <w:t>(304.7)</w:t>
            </w:r>
          </w:p>
        </w:tc>
        <w:tc>
          <w:tcPr>
            <w:tcW w:w="1498" w:type="dxa"/>
          </w:tcPr>
          <w:p w:rsidR="00000000" w:rsidRDefault="009C1C61">
            <w:pPr>
              <w:pStyle w:val="a2"/>
              <w:spacing w:line="220" w:lineRule="exact"/>
              <w:ind w:right="113"/>
              <w:jc w:val="right"/>
              <w:rPr>
                <w:noProof/>
                <w:snapToGrid/>
              </w:rPr>
            </w:pPr>
            <w:r>
              <w:rPr>
                <w:noProof/>
                <w:snapToGrid/>
              </w:rPr>
              <w:t>167,850</w:t>
            </w:r>
            <w:r>
              <w:rPr>
                <w:noProof/>
                <w:snapToGrid/>
              </w:rPr>
              <w:br/>
              <w:t>(362.2)</w:t>
            </w:r>
          </w:p>
        </w:tc>
        <w:tc>
          <w:tcPr>
            <w:tcW w:w="1497" w:type="dxa"/>
          </w:tcPr>
          <w:p w:rsidR="00000000" w:rsidRDefault="009C1C61">
            <w:pPr>
              <w:pStyle w:val="a2"/>
              <w:spacing w:line="220" w:lineRule="exact"/>
              <w:ind w:right="113"/>
              <w:jc w:val="right"/>
              <w:rPr>
                <w:noProof/>
                <w:snapToGrid/>
              </w:rPr>
            </w:pPr>
            <w:r>
              <w:rPr>
                <w:noProof/>
                <w:snapToGrid/>
              </w:rPr>
              <w:t>176,070</w:t>
            </w:r>
            <w:r>
              <w:rPr>
                <w:noProof/>
                <w:snapToGrid/>
              </w:rPr>
              <w:br/>
              <w:t>(380.0)</w:t>
            </w:r>
          </w:p>
        </w:tc>
        <w:tc>
          <w:tcPr>
            <w:tcW w:w="1498" w:type="dxa"/>
          </w:tcPr>
          <w:p w:rsidR="00000000" w:rsidRDefault="009C1C61">
            <w:pPr>
              <w:pStyle w:val="a2"/>
              <w:spacing w:line="220" w:lineRule="exact"/>
              <w:ind w:right="113"/>
              <w:jc w:val="right"/>
              <w:rPr>
                <w:noProof/>
                <w:snapToGrid/>
              </w:rPr>
            </w:pPr>
            <w:r>
              <w:rPr>
                <w:noProof/>
                <w:snapToGrid/>
              </w:rPr>
              <w:t>197,886</w:t>
            </w:r>
            <w:r>
              <w:rPr>
                <w:noProof/>
                <w:snapToGrid/>
              </w:rPr>
              <w:br/>
              <w:t>(427.1)</w:t>
            </w:r>
          </w:p>
        </w:tc>
        <w:tc>
          <w:tcPr>
            <w:tcW w:w="1498" w:type="dxa"/>
          </w:tcPr>
          <w:p w:rsidR="00000000" w:rsidRDefault="009C1C61">
            <w:pPr>
              <w:pStyle w:val="a2"/>
              <w:spacing w:line="220" w:lineRule="exact"/>
              <w:ind w:right="113"/>
              <w:jc w:val="right"/>
              <w:rPr>
                <w:noProof/>
                <w:snapToGrid/>
              </w:rPr>
            </w:pPr>
            <w:r>
              <w:rPr>
                <w:noProof/>
                <w:snapToGrid/>
              </w:rPr>
              <w:t>211,501</w:t>
            </w:r>
            <w:r>
              <w:rPr>
                <w:noProof/>
                <w:snapToGrid/>
              </w:rPr>
              <w:br/>
              <w:t>(456.5)</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5</w:t>
            </w:r>
          </w:p>
        </w:tc>
        <w:tc>
          <w:tcPr>
            <w:tcW w:w="1498" w:type="dxa"/>
          </w:tcPr>
          <w:p w:rsidR="00000000" w:rsidRDefault="009C1C61">
            <w:pPr>
              <w:pStyle w:val="a2"/>
              <w:spacing w:line="220" w:lineRule="exact"/>
              <w:ind w:right="113"/>
              <w:jc w:val="right"/>
              <w:rPr>
                <w:noProof/>
                <w:snapToGrid/>
              </w:rPr>
            </w:pPr>
            <w:r>
              <w:rPr>
                <w:noProof/>
                <w:snapToGrid/>
              </w:rPr>
              <w:t>171,148</w:t>
            </w:r>
            <w:r>
              <w:rPr>
                <w:noProof/>
                <w:snapToGrid/>
              </w:rPr>
              <w:br/>
              <w:t>(369.4)</w:t>
            </w:r>
          </w:p>
        </w:tc>
        <w:tc>
          <w:tcPr>
            <w:tcW w:w="1498" w:type="dxa"/>
          </w:tcPr>
          <w:p w:rsidR="00000000" w:rsidRDefault="009C1C61">
            <w:pPr>
              <w:pStyle w:val="a2"/>
              <w:spacing w:line="220" w:lineRule="exact"/>
              <w:ind w:right="113"/>
              <w:jc w:val="right"/>
              <w:rPr>
                <w:noProof/>
                <w:snapToGrid/>
              </w:rPr>
            </w:pPr>
            <w:r>
              <w:rPr>
                <w:noProof/>
                <w:snapToGrid/>
              </w:rPr>
              <w:t>202,628</w:t>
            </w:r>
            <w:r>
              <w:rPr>
                <w:noProof/>
                <w:snapToGrid/>
              </w:rPr>
              <w:br/>
              <w:t>(437.3)</w:t>
            </w:r>
          </w:p>
        </w:tc>
        <w:tc>
          <w:tcPr>
            <w:tcW w:w="1497" w:type="dxa"/>
          </w:tcPr>
          <w:p w:rsidR="00000000" w:rsidRDefault="009C1C61">
            <w:pPr>
              <w:pStyle w:val="a2"/>
              <w:spacing w:line="220" w:lineRule="exact"/>
              <w:ind w:right="113"/>
              <w:jc w:val="right"/>
              <w:rPr>
                <w:noProof/>
                <w:snapToGrid/>
              </w:rPr>
            </w:pPr>
            <w:r>
              <w:rPr>
                <w:noProof/>
                <w:snapToGrid/>
              </w:rPr>
              <w:t>213,870</w:t>
            </w:r>
            <w:r>
              <w:rPr>
                <w:noProof/>
                <w:snapToGrid/>
              </w:rPr>
              <w:br/>
              <w:t>(461.6)</w:t>
            </w:r>
          </w:p>
        </w:tc>
        <w:tc>
          <w:tcPr>
            <w:tcW w:w="1498" w:type="dxa"/>
          </w:tcPr>
          <w:p w:rsidR="00000000" w:rsidRDefault="009C1C61">
            <w:pPr>
              <w:pStyle w:val="a2"/>
              <w:spacing w:line="220" w:lineRule="exact"/>
              <w:ind w:right="113"/>
              <w:jc w:val="right"/>
              <w:rPr>
                <w:noProof/>
                <w:snapToGrid/>
              </w:rPr>
            </w:pPr>
            <w:r>
              <w:rPr>
                <w:noProof/>
                <w:snapToGrid/>
              </w:rPr>
              <w:t>239,563 (517.0)</w:t>
            </w:r>
          </w:p>
        </w:tc>
        <w:tc>
          <w:tcPr>
            <w:tcW w:w="1498" w:type="dxa"/>
          </w:tcPr>
          <w:p w:rsidR="00000000" w:rsidRDefault="009C1C61">
            <w:pPr>
              <w:pStyle w:val="a2"/>
              <w:spacing w:line="220" w:lineRule="exact"/>
              <w:ind w:right="113"/>
              <w:jc w:val="right"/>
              <w:rPr>
                <w:noProof/>
                <w:snapToGrid/>
              </w:rPr>
            </w:pPr>
            <w:r>
              <w:rPr>
                <w:noProof/>
                <w:snapToGrid/>
              </w:rPr>
              <w:t>248,160</w:t>
            </w:r>
            <w:r>
              <w:rPr>
                <w:noProof/>
                <w:snapToGrid/>
              </w:rPr>
              <w:br/>
              <w:t>(535.6)</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6</w:t>
            </w:r>
          </w:p>
        </w:tc>
        <w:tc>
          <w:tcPr>
            <w:tcW w:w="1498" w:type="dxa"/>
          </w:tcPr>
          <w:p w:rsidR="00000000" w:rsidRDefault="009C1C61">
            <w:pPr>
              <w:pStyle w:val="a2"/>
              <w:spacing w:line="220" w:lineRule="exact"/>
              <w:ind w:right="113"/>
              <w:jc w:val="right"/>
              <w:rPr>
                <w:noProof/>
                <w:snapToGrid/>
              </w:rPr>
            </w:pPr>
            <w:r>
              <w:rPr>
                <w:noProof/>
                <w:snapToGrid/>
              </w:rPr>
              <w:t>218,167</w:t>
            </w:r>
            <w:r>
              <w:rPr>
                <w:noProof/>
                <w:snapToGrid/>
              </w:rPr>
              <w:br/>
              <w:t>(470.9)</w:t>
            </w:r>
          </w:p>
        </w:tc>
        <w:tc>
          <w:tcPr>
            <w:tcW w:w="1498" w:type="dxa"/>
          </w:tcPr>
          <w:p w:rsidR="00000000" w:rsidRDefault="009C1C61">
            <w:pPr>
              <w:pStyle w:val="a2"/>
              <w:spacing w:line="220" w:lineRule="exact"/>
              <w:ind w:right="113"/>
              <w:jc w:val="right"/>
              <w:rPr>
                <w:noProof/>
                <w:snapToGrid/>
              </w:rPr>
            </w:pPr>
            <w:r>
              <w:rPr>
                <w:noProof/>
                <w:snapToGrid/>
              </w:rPr>
              <w:t>238,130</w:t>
            </w:r>
            <w:r>
              <w:rPr>
                <w:noProof/>
                <w:snapToGrid/>
              </w:rPr>
              <w:br/>
              <w:t>(513.9)</w:t>
            </w:r>
          </w:p>
        </w:tc>
        <w:tc>
          <w:tcPr>
            <w:tcW w:w="1497" w:type="dxa"/>
          </w:tcPr>
          <w:p w:rsidR="00000000" w:rsidRDefault="009C1C61">
            <w:pPr>
              <w:pStyle w:val="a2"/>
              <w:spacing w:line="220" w:lineRule="exact"/>
              <w:ind w:right="113"/>
              <w:jc w:val="right"/>
              <w:rPr>
                <w:noProof/>
                <w:snapToGrid/>
              </w:rPr>
            </w:pPr>
            <w:r>
              <w:rPr>
                <w:noProof/>
                <w:snapToGrid/>
              </w:rPr>
              <w:t>245,800</w:t>
            </w:r>
            <w:r>
              <w:rPr>
                <w:noProof/>
                <w:snapToGrid/>
              </w:rPr>
              <w:br/>
              <w:t xml:space="preserve">(530.5) </w:t>
            </w:r>
          </w:p>
        </w:tc>
        <w:tc>
          <w:tcPr>
            <w:tcW w:w="1498" w:type="dxa"/>
          </w:tcPr>
          <w:p w:rsidR="00000000" w:rsidRDefault="009C1C61">
            <w:pPr>
              <w:pStyle w:val="a2"/>
              <w:spacing w:line="220" w:lineRule="exact"/>
              <w:ind w:right="113"/>
              <w:jc w:val="right"/>
              <w:rPr>
                <w:noProof/>
                <w:snapToGrid/>
              </w:rPr>
            </w:pPr>
            <w:r>
              <w:rPr>
                <w:noProof/>
                <w:snapToGrid/>
              </w:rPr>
              <w:t>278,799</w:t>
            </w:r>
            <w:r>
              <w:rPr>
                <w:noProof/>
                <w:snapToGrid/>
              </w:rPr>
              <w:br/>
              <w:t xml:space="preserve">(601.7) </w:t>
            </w:r>
          </w:p>
        </w:tc>
        <w:tc>
          <w:tcPr>
            <w:tcW w:w="1498" w:type="dxa"/>
          </w:tcPr>
          <w:p w:rsidR="00000000" w:rsidRDefault="009C1C61">
            <w:pPr>
              <w:pStyle w:val="a2"/>
              <w:spacing w:line="220" w:lineRule="exact"/>
              <w:ind w:right="113"/>
              <w:jc w:val="right"/>
              <w:rPr>
                <w:noProof/>
                <w:snapToGrid/>
              </w:rPr>
            </w:pPr>
            <w:r>
              <w:rPr>
                <w:noProof/>
                <w:snapToGrid/>
              </w:rPr>
              <w:t>297,758</w:t>
            </w:r>
            <w:r>
              <w:rPr>
                <w:noProof/>
                <w:snapToGrid/>
              </w:rPr>
              <w:br/>
              <w:t xml:space="preserve">(642.6) </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7</w:t>
            </w:r>
          </w:p>
        </w:tc>
        <w:tc>
          <w:tcPr>
            <w:tcW w:w="1498" w:type="dxa"/>
          </w:tcPr>
          <w:p w:rsidR="00000000" w:rsidRDefault="009C1C61">
            <w:pPr>
              <w:pStyle w:val="a2"/>
              <w:spacing w:line="220" w:lineRule="exact"/>
              <w:ind w:right="113"/>
              <w:jc w:val="right"/>
              <w:rPr>
                <w:noProof/>
                <w:snapToGrid/>
              </w:rPr>
            </w:pPr>
            <w:r>
              <w:rPr>
                <w:noProof/>
                <w:snapToGrid/>
              </w:rPr>
              <w:t>247,865</w:t>
            </w:r>
            <w:r>
              <w:rPr>
                <w:noProof/>
                <w:snapToGrid/>
              </w:rPr>
              <w:br/>
              <w:t>(535.0)</w:t>
            </w:r>
          </w:p>
        </w:tc>
        <w:tc>
          <w:tcPr>
            <w:tcW w:w="1498" w:type="dxa"/>
          </w:tcPr>
          <w:p w:rsidR="00000000" w:rsidRDefault="009C1C61">
            <w:pPr>
              <w:pStyle w:val="a2"/>
              <w:spacing w:line="220" w:lineRule="exact"/>
              <w:ind w:right="113"/>
              <w:jc w:val="right"/>
              <w:rPr>
                <w:noProof/>
                <w:snapToGrid/>
              </w:rPr>
            </w:pPr>
            <w:r>
              <w:rPr>
                <w:noProof/>
                <w:snapToGrid/>
              </w:rPr>
              <w:t>291,514</w:t>
            </w:r>
            <w:r>
              <w:rPr>
                <w:noProof/>
                <w:snapToGrid/>
              </w:rPr>
              <w:br/>
              <w:t xml:space="preserve">(629.2) </w:t>
            </w:r>
          </w:p>
        </w:tc>
        <w:tc>
          <w:tcPr>
            <w:tcW w:w="1497" w:type="dxa"/>
          </w:tcPr>
          <w:p w:rsidR="00000000" w:rsidRDefault="009C1C61">
            <w:pPr>
              <w:pStyle w:val="a2"/>
              <w:spacing w:line="220" w:lineRule="exact"/>
              <w:ind w:right="113"/>
              <w:jc w:val="right"/>
              <w:rPr>
                <w:noProof/>
                <w:snapToGrid/>
              </w:rPr>
            </w:pPr>
            <w:r>
              <w:rPr>
                <w:noProof/>
                <w:snapToGrid/>
              </w:rPr>
              <w:t>311,491</w:t>
            </w:r>
            <w:r>
              <w:rPr>
                <w:noProof/>
                <w:snapToGrid/>
              </w:rPr>
              <w:br/>
              <w:t xml:space="preserve">(672.3) </w:t>
            </w:r>
          </w:p>
        </w:tc>
        <w:tc>
          <w:tcPr>
            <w:tcW w:w="1498" w:type="dxa"/>
          </w:tcPr>
          <w:p w:rsidR="00000000" w:rsidRDefault="009C1C61">
            <w:pPr>
              <w:pStyle w:val="a2"/>
              <w:spacing w:line="220" w:lineRule="exact"/>
              <w:ind w:right="113"/>
              <w:jc w:val="right"/>
              <w:rPr>
                <w:noProof/>
                <w:snapToGrid/>
              </w:rPr>
            </w:pPr>
            <w:r>
              <w:rPr>
                <w:noProof/>
                <w:snapToGrid/>
              </w:rPr>
              <w:t>3</w:t>
            </w:r>
            <w:r>
              <w:rPr>
                <w:noProof/>
                <w:snapToGrid/>
              </w:rPr>
              <w:t>59,322</w:t>
            </w:r>
            <w:r>
              <w:rPr>
                <w:noProof/>
                <w:snapToGrid/>
              </w:rPr>
              <w:br/>
              <w:t xml:space="preserve">(775.5) </w:t>
            </w:r>
          </w:p>
        </w:tc>
        <w:tc>
          <w:tcPr>
            <w:tcW w:w="1498" w:type="dxa"/>
          </w:tcPr>
          <w:p w:rsidR="00000000" w:rsidRDefault="009C1C61">
            <w:pPr>
              <w:pStyle w:val="a2"/>
              <w:spacing w:line="220" w:lineRule="exact"/>
              <w:ind w:right="113"/>
              <w:jc w:val="right"/>
              <w:rPr>
                <w:noProof/>
                <w:snapToGrid/>
              </w:rPr>
            </w:pPr>
            <w:r>
              <w:rPr>
                <w:noProof/>
                <w:snapToGrid/>
              </w:rPr>
              <w:t>386,380</w:t>
            </w:r>
            <w:r>
              <w:rPr>
                <w:noProof/>
                <w:snapToGrid/>
              </w:rPr>
              <w:br/>
              <w:t xml:space="preserve">(833.9) </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8</w:t>
            </w:r>
          </w:p>
        </w:tc>
        <w:tc>
          <w:tcPr>
            <w:tcW w:w="1498" w:type="dxa"/>
          </w:tcPr>
          <w:p w:rsidR="00000000" w:rsidRDefault="009C1C61">
            <w:pPr>
              <w:pStyle w:val="a2"/>
              <w:spacing w:line="220" w:lineRule="exact"/>
              <w:ind w:right="113"/>
              <w:jc w:val="right"/>
              <w:rPr>
                <w:noProof/>
                <w:snapToGrid/>
              </w:rPr>
            </w:pPr>
            <w:r>
              <w:rPr>
                <w:noProof/>
                <w:snapToGrid/>
              </w:rPr>
              <w:t>327,331</w:t>
            </w:r>
            <w:r>
              <w:rPr>
                <w:noProof/>
                <w:snapToGrid/>
              </w:rPr>
              <w:br/>
              <w:t>(706.5)</w:t>
            </w:r>
          </w:p>
        </w:tc>
        <w:tc>
          <w:tcPr>
            <w:tcW w:w="1498" w:type="dxa"/>
          </w:tcPr>
          <w:p w:rsidR="00000000" w:rsidRDefault="009C1C61">
            <w:pPr>
              <w:pStyle w:val="a2"/>
              <w:spacing w:line="220" w:lineRule="exact"/>
              <w:ind w:right="113"/>
              <w:jc w:val="right"/>
              <w:rPr>
                <w:noProof/>
                <w:snapToGrid/>
              </w:rPr>
            </w:pPr>
            <w:r>
              <w:rPr>
                <w:noProof/>
                <w:snapToGrid/>
              </w:rPr>
              <w:t>377,086</w:t>
            </w:r>
            <w:r>
              <w:rPr>
                <w:noProof/>
                <w:snapToGrid/>
              </w:rPr>
              <w:br/>
              <w:t xml:space="preserve">(813.9) </w:t>
            </w:r>
          </w:p>
        </w:tc>
        <w:tc>
          <w:tcPr>
            <w:tcW w:w="1497" w:type="dxa"/>
          </w:tcPr>
          <w:p w:rsidR="00000000" w:rsidRDefault="009C1C61">
            <w:pPr>
              <w:pStyle w:val="a2"/>
              <w:spacing w:line="220" w:lineRule="exact"/>
              <w:ind w:right="113"/>
              <w:jc w:val="right"/>
              <w:rPr>
                <w:noProof/>
                <w:snapToGrid/>
              </w:rPr>
            </w:pPr>
            <w:r>
              <w:rPr>
                <w:noProof/>
                <w:snapToGrid/>
              </w:rPr>
              <w:t>408,597</w:t>
            </w:r>
            <w:r>
              <w:rPr>
                <w:noProof/>
                <w:snapToGrid/>
              </w:rPr>
              <w:br/>
              <w:t xml:space="preserve">(881.9) </w:t>
            </w:r>
          </w:p>
        </w:tc>
        <w:tc>
          <w:tcPr>
            <w:tcW w:w="1498" w:type="dxa"/>
          </w:tcPr>
          <w:p w:rsidR="00000000" w:rsidRDefault="009C1C61">
            <w:pPr>
              <w:pStyle w:val="a2"/>
              <w:spacing w:line="220" w:lineRule="exact"/>
              <w:ind w:right="113"/>
              <w:jc w:val="right"/>
              <w:rPr>
                <w:noProof/>
                <w:snapToGrid/>
              </w:rPr>
            </w:pPr>
            <w:r>
              <w:rPr>
                <w:noProof/>
                <w:snapToGrid/>
              </w:rPr>
              <w:t>486,649</w:t>
            </w:r>
            <w:r>
              <w:rPr>
                <w:noProof/>
                <w:snapToGrid/>
              </w:rPr>
              <w:br/>
              <w:t xml:space="preserve">(1,050.4) </w:t>
            </w:r>
          </w:p>
        </w:tc>
        <w:tc>
          <w:tcPr>
            <w:tcW w:w="1498" w:type="dxa"/>
          </w:tcPr>
          <w:p w:rsidR="00000000" w:rsidRDefault="009C1C61">
            <w:pPr>
              <w:pStyle w:val="a2"/>
              <w:spacing w:line="220" w:lineRule="exact"/>
              <w:ind w:right="113"/>
              <w:jc w:val="right"/>
              <w:rPr>
                <w:noProof/>
                <w:snapToGrid/>
              </w:rPr>
            </w:pPr>
            <w:r>
              <w:rPr>
                <w:noProof/>
                <w:snapToGrid/>
              </w:rPr>
              <w:t>511,626</w:t>
            </w:r>
            <w:r>
              <w:rPr>
                <w:noProof/>
                <w:snapToGrid/>
              </w:rPr>
              <w:br/>
              <w:t xml:space="preserve">(1,104.3) </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9</w:t>
            </w:r>
          </w:p>
        </w:tc>
        <w:tc>
          <w:tcPr>
            <w:tcW w:w="1498" w:type="dxa"/>
          </w:tcPr>
          <w:p w:rsidR="00000000" w:rsidRDefault="009C1C61">
            <w:pPr>
              <w:pStyle w:val="a2"/>
              <w:spacing w:line="220" w:lineRule="exact"/>
              <w:ind w:right="113"/>
              <w:jc w:val="right"/>
              <w:rPr>
                <w:noProof/>
                <w:snapToGrid/>
              </w:rPr>
            </w:pPr>
            <w:r>
              <w:rPr>
                <w:noProof/>
                <w:snapToGrid/>
              </w:rPr>
              <w:t>481,865</w:t>
            </w:r>
            <w:r>
              <w:rPr>
                <w:noProof/>
                <w:snapToGrid/>
              </w:rPr>
              <w:br/>
              <w:t>(1,040.0)</w:t>
            </w:r>
          </w:p>
        </w:tc>
        <w:tc>
          <w:tcPr>
            <w:tcW w:w="1498" w:type="dxa"/>
          </w:tcPr>
          <w:p w:rsidR="00000000" w:rsidRDefault="009C1C61">
            <w:pPr>
              <w:pStyle w:val="a2"/>
              <w:spacing w:line="220" w:lineRule="exact"/>
              <w:ind w:right="113"/>
              <w:jc w:val="right"/>
              <w:rPr>
                <w:noProof/>
                <w:snapToGrid/>
              </w:rPr>
            </w:pPr>
            <w:r>
              <w:rPr>
                <w:noProof/>
                <w:snapToGrid/>
              </w:rPr>
              <w:t>533,848</w:t>
            </w:r>
            <w:r>
              <w:rPr>
                <w:noProof/>
                <w:snapToGrid/>
              </w:rPr>
              <w:br/>
              <w:t xml:space="preserve">(1,152.2) </w:t>
            </w:r>
          </w:p>
        </w:tc>
        <w:tc>
          <w:tcPr>
            <w:tcW w:w="1497" w:type="dxa"/>
          </w:tcPr>
          <w:p w:rsidR="00000000" w:rsidRDefault="009C1C61">
            <w:pPr>
              <w:pStyle w:val="a2"/>
              <w:spacing w:line="220" w:lineRule="exact"/>
              <w:ind w:right="113"/>
              <w:jc w:val="right"/>
              <w:rPr>
                <w:noProof/>
                <w:snapToGrid/>
              </w:rPr>
            </w:pPr>
            <w:r>
              <w:rPr>
                <w:noProof/>
                <w:snapToGrid/>
              </w:rPr>
              <w:t>596,134</w:t>
            </w:r>
            <w:r>
              <w:rPr>
                <w:noProof/>
                <w:snapToGrid/>
              </w:rPr>
              <w:br/>
              <w:t xml:space="preserve">(1,286.7) </w:t>
            </w:r>
          </w:p>
        </w:tc>
        <w:tc>
          <w:tcPr>
            <w:tcW w:w="1498" w:type="dxa"/>
          </w:tcPr>
          <w:p w:rsidR="00000000" w:rsidRDefault="009C1C61">
            <w:pPr>
              <w:pStyle w:val="a2"/>
              <w:spacing w:line="220" w:lineRule="exact"/>
              <w:ind w:right="113"/>
              <w:jc w:val="right"/>
              <w:rPr>
                <w:noProof/>
                <w:snapToGrid/>
              </w:rPr>
            </w:pPr>
            <w:r>
              <w:rPr>
                <w:noProof/>
                <w:snapToGrid/>
              </w:rPr>
              <w:t>682,019</w:t>
            </w:r>
            <w:r>
              <w:rPr>
                <w:noProof/>
                <w:snapToGrid/>
              </w:rPr>
              <w:br/>
              <w:t xml:space="preserve">(1,472.0) </w:t>
            </w:r>
          </w:p>
        </w:tc>
        <w:tc>
          <w:tcPr>
            <w:tcW w:w="1498" w:type="dxa"/>
          </w:tcPr>
          <w:p w:rsidR="00000000" w:rsidRDefault="009C1C61">
            <w:pPr>
              <w:pStyle w:val="a2"/>
              <w:spacing w:line="220" w:lineRule="exact"/>
              <w:ind w:right="113"/>
              <w:jc w:val="right"/>
              <w:rPr>
                <w:noProof/>
                <w:snapToGrid/>
              </w:rPr>
            </w:pPr>
            <w:r>
              <w:rPr>
                <w:noProof/>
                <w:snapToGrid/>
              </w:rPr>
              <w:t>748,488</w:t>
            </w:r>
            <w:r>
              <w:rPr>
                <w:noProof/>
                <w:snapToGrid/>
              </w:rPr>
              <w:br/>
              <w:t xml:space="preserve">(1,615.5) </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10</w:t>
            </w:r>
          </w:p>
        </w:tc>
        <w:tc>
          <w:tcPr>
            <w:tcW w:w="1498" w:type="dxa"/>
          </w:tcPr>
          <w:p w:rsidR="00000000" w:rsidRDefault="009C1C61">
            <w:pPr>
              <w:pStyle w:val="a2"/>
              <w:spacing w:line="220" w:lineRule="exact"/>
              <w:ind w:right="113"/>
              <w:jc w:val="right"/>
              <w:rPr>
                <w:noProof/>
                <w:snapToGrid/>
              </w:rPr>
            </w:pPr>
            <w:r>
              <w:rPr>
                <w:noProof/>
                <w:snapToGrid/>
              </w:rPr>
              <w:t>1,337,199</w:t>
            </w:r>
            <w:r>
              <w:rPr>
                <w:noProof/>
                <w:snapToGrid/>
              </w:rPr>
              <w:br/>
              <w:t>(2,886.2)</w:t>
            </w:r>
          </w:p>
        </w:tc>
        <w:tc>
          <w:tcPr>
            <w:tcW w:w="1498" w:type="dxa"/>
          </w:tcPr>
          <w:p w:rsidR="00000000" w:rsidRDefault="009C1C61">
            <w:pPr>
              <w:pStyle w:val="a2"/>
              <w:spacing w:line="220" w:lineRule="exact"/>
              <w:ind w:right="113"/>
              <w:jc w:val="right"/>
              <w:rPr>
                <w:noProof/>
                <w:snapToGrid/>
              </w:rPr>
            </w:pPr>
            <w:r>
              <w:rPr>
                <w:noProof/>
                <w:snapToGrid/>
              </w:rPr>
              <w:t>1,515,170</w:t>
            </w:r>
            <w:r>
              <w:rPr>
                <w:noProof/>
                <w:snapToGrid/>
              </w:rPr>
              <w:br/>
              <w:t>(</w:t>
            </w:r>
            <w:r>
              <w:rPr>
                <w:noProof/>
                <w:snapToGrid/>
              </w:rPr>
              <w:t xml:space="preserve">3,270.3) </w:t>
            </w:r>
          </w:p>
        </w:tc>
        <w:tc>
          <w:tcPr>
            <w:tcW w:w="1497" w:type="dxa"/>
          </w:tcPr>
          <w:p w:rsidR="00000000" w:rsidRDefault="009C1C61">
            <w:pPr>
              <w:pStyle w:val="a2"/>
              <w:spacing w:line="220" w:lineRule="exact"/>
              <w:ind w:right="113"/>
              <w:jc w:val="right"/>
              <w:rPr>
                <w:noProof/>
                <w:snapToGrid/>
              </w:rPr>
            </w:pPr>
            <w:r>
              <w:rPr>
                <w:noProof/>
                <w:snapToGrid/>
              </w:rPr>
              <w:t>1,618,338</w:t>
            </w:r>
            <w:r>
              <w:rPr>
                <w:noProof/>
                <w:snapToGrid/>
              </w:rPr>
              <w:br/>
              <w:t xml:space="preserve">(3,493.0) </w:t>
            </w:r>
          </w:p>
        </w:tc>
        <w:tc>
          <w:tcPr>
            <w:tcW w:w="1498" w:type="dxa"/>
          </w:tcPr>
          <w:p w:rsidR="00000000" w:rsidRDefault="009C1C61">
            <w:pPr>
              <w:pStyle w:val="a2"/>
              <w:spacing w:line="220" w:lineRule="exact"/>
              <w:ind w:right="113"/>
              <w:jc w:val="right"/>
              <w:rPr>
                <w:noProof/>
                <w:snapToGrid/>
              </w:rPr>
            </w:pPr>
            <w:r>
              <w:rPr>
                <w:noProof/>
                <w:snapToGrid/>
              </w:rPr>
              <w:t>1,833,098</w:t>
            </w:r>
            <w:r>
              <w:rPr>
                <w:noProof/>
                <w:snapToGrid/>
              </w:rPr>
              <w:br/>
              <w:t xml:space="preserve">(3,956.6) </w:t>
            </w:r>
          </w:p>
        </w:tc>
        <w:tc>
          <w:tcPr>
            <w:tcW w:w="1498" w:type="dxa"/>
          </w:tcPr>
          <w:p w:rsidR="00000000" w:rsidRDefault="009C1C61">
            <w:pPr>
              <w:pStyle w:val="a2"/>
              <w:spacing w:line="220" w:lineRule="exact"/>
              <w:ind w:right="113"/>
              <w:jc w:val="right"/>
              <w:rPr>
                <w:noProof/>
                <w:snapToGrid/>
              </w:rPr>
            </w:pPr>
            <w:r>
              <w:rPr>
                <w:noProof/>
                <w:snapToGrid/>
              </w:rPr>
              <w:t>1,928,392</w:t>
            </w:r>
            <w:r>
              <w:rPr>
                <w:noProof/>
                <w:snapToGrid/>
              </w:rPr>
              <w:br/>
              <w:t xml:space="preserve">(4,162.3) </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rFonts w:hint="eastAsia"/>
                <w:noProof/>
                <w:snapToGrid/>
              </w:rPr>
            </w:pPr>
            <w:r>
              <w:rPr>
                <w:rFonts w:hint="eastAsia"/>
                <w:noProof/>
                <w:snapToGrid/>
              </w:rPr>
              <w:t>总计</w:t>
            </w:r>
          </w:p>
        </w:tc>
        <w:tc>
          <w:tcPr>
            <w:tcW w:w="1498" w:type="dxa"/>
          </w:tcPr>
          <w:p w:rsidR="00000000" w:rsidRDefault="009C1C61">
            <w:pPr>
              <w:pStyle w:val="a2"/>
              <w:spacing w:line="220" w:lineRule="exact"/>
              <w:ind w:right="113"/>
              <w:jc w:val="right"/>
              <w:rPr>
                <w:noProof/>
                <w:snapToGrid/>
              </w:rPr>
            </w:pPr>
            <w:r>
              <w:rPr>
                <w:noProof/>
                <w:snapToGrid/>
              </w:rPr>
              <w:t>317,139</w:t>
            </w:r>
            <w:r>
              <w:rPr>
                <w:noProof/>
                <w:snapToGrid/>
              </w:rPr>
              <w:br/>
              <w:t>(684.5)</w:t>
            </w:r>
          </w:p>
        </w:tc>
        <w:tc>
          <w:tcPr>
            <w:tcW w:w="1498" w:type="dxa"/>
          </w:tcPr>
          <w:p w:rsidR="00000000" w:rsidRDefault="009C1C61">
            <w:pPr>
              <w:pStyle w:val="a2"/>
              <w:spacing w:line="220" w:lineRule="exact"/>
              <w:ind w:right="113"/>
              <w:jc w:val="right"/>
              <w:rPr>
                <w:noProof/>
                <w:snapToGrid/>
              </w:rPr>
            </w:pPr>
            <w:r>
              <w:rPr>
                <w:noProof/>
                <w:snapToGrid/>
              </w:rPr>
              <w:t>361,547</w:t>
            </w:r>
            <w:r>
              <w:rPr>
                <w:noProof/>
                <w:snapToGrid/>
              </w:rPr>
              <w:br/>
              <w:t>(780.3)</w:t>
            </w:r>
          </w:p>
        </w:tc>
        <w:tc>
          <w:tcPr>
            <w:tcW w:w="1497" w:type="dxa"/>
          </w:tcPr>
          <w:p w:rsidR="00000000" w:rsidRDefault="009C1C61">
            <w:pPr>
              <w:pStyle w:val="a2"/>
              <w:spacing w:line="220" w:lineRule="exact"/>
              <w:ind w:right="113"/>
              <w:jc w:val="right"/>
              <w:rPr>
                <w:noProof/>
                <w:snapToGrid/>
              </w:rPr>
            </w:pPr>
            <w:r>
              <w:rPr>
                <w:noProof/>
                <w:snapToGrid/>
              </w:rPr>
              <w:t>386,619</w:t>
            </w:r>
            <w:r>
              <w:rPr>
                <w:noProof/>
                <w:snapToGrid/>
              </w:rPr>
              <w:br/>
              <w:t>(834.4)</w:t>
            </w:r>
          </w:p>
        </w:tc>
        <w:tc>
          <w:tcPr>
            <w:tcW w:w="1498" w:type="dxa"/>
          </w:tcPr>
          <w:p w:rsidR="00000000" w:rsidRDefault="009C1C61">
            <w:pPr>
              <w:pStyle w:val="a2"/>
              <w:spacing w:line="220" w:lineRule="exact"/>
              <w:ind w:right="113"/>
              <w:jc w:val="right"/>
              <w:rPr>
                <w:noProof/>
                <w:snapToGrid/>
              </w:rPr>
            </w:pPr>
            <w:r>
              <w:rPr>
                <w:noProof/>
                <w:snapToGrid/>
              </w:rPr>
              <w:t>440,175</w:t>
            </w:r>
            <w:r>
              <w:rPr>
                <w:noProof/>
                <w:snapToGrid/>
              </w:rPr>
              <w:br/>
              <w:t>(950.0)</w:t>
            </w:r>
          </w:p>
        </w:tc>
        <w:tc>
          <w:tcPr>
            <w:tcW w:w="1498" w:type="dxa"/>
          </w:tcPr>
          <w:p w:rsidR="00000000" w:rsidRDefault="009C1C61">
            <w:pPr>
              <w:pStyle w:val="a2"/>
              <w:spacing w:line="220" w:lineRule="exact"/>
              <w:ind w:right="113"/>
              <w:jc w:val="right"/>
              <w:rPr>
                <w:noProof/>
                <w:snapToGrid/>
              </w:rPr>
            </w:pPr>
            <w:r>
              <w:rPr>
                <w:noProof/>
                <w:snapToGrid/>
              </w:rPr>
              <w:t>466,589</w:t>
            </w:r>
            <w:r>
              <w:rPr>
                <w:noProof/>
                <w:snapToGrid/>
              </w:rPr>
              <w:br/>
              <w:t>(1,007.1)</w:t>
            </w:r>
          </w:p>
        </w:tc>
      </w:tr>
      <w:tr w:rsidR="00000000">
        <w:tblPrEx>
          <w:tblCellMar>
            <w:top w:w="0" w:type="dxa"/>
            <w:bottom w:w="0" w:type="dxa"/>
          </w:tblCellMar>
        </w:tblPrEx>
        <w:trPr>
          <w:jc w:val="center"/>
        </w:trPr>
        <w:tc>
          <w:tcPr>
            <w:tcW w:w="8986" w:type="dxa"/>
            <w:gridSpan w:val="6"/>
          </w:tcPr>
          <w:p w:rsidR="00000000" w:rsidRDefault="009C1C61">
            <w:pPr>
              <w:pStyle w:val="a2"/>
              <w:spacing w:line="220" w:lineRule="exact"/>
              <w:ind w:right="113"/>
              <w:jc w:val="center"/>
              <w:rPr>
                <w:rFonts w:hint="eastAsia"/>
                <w:noProof/>
                <w:snapToGrid/>
              </w:rPr>
            </w:pPr>
            <w:r>
              <w:rPr>
                <w:rFonts w:hint="eastAsia"/>
                <w:noProof/>
                <w:snapToGrid/>
              </w:rPr>
              <w:t>货币收入</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1</w:t>
            </w:r>
          </w:p>
        </w:tc>
        <w:tc>
          <w:tcPr>
            <w:tcW w:w="1498" w:type="dxa"/>
          </w:tcPr>
          <w:p w:rsidR="00000000" w:rsidRDefault="009C1C61">
            <w:pPr>
              <w:pStyle w:val="a2"/>
              <w:spacing w:line="220" w:lineRule="exact"/>
              <w:ind w:right="113"/>
              <w:jc w:val="right"/>
              <w:rPr>
                <w:noProof/>
                <w:snapToGrid/>
              </w:rPr>
            </w:pPr>
            <w:r>
              <w:rPr>
                <w:noProof/>
                <w:snapToGrid/>
              </w:rPr>
              <w:t>50,365</w:t>
            </w:r>
            <w:r>
              <w:rPr>
                <w:noProof/>
                <w:snapToGrid/>
              </w:rPr>
              <w:br/>
              <w:t>(108.7)</w:t>
            </w:r>
          </w:p>
        </w:tc>
        <w:tc>
          <w:tcPr>
            <w:tcW w:w="1498" w:type="dxa"/>
          </w:tcPr>
          <w:p w:rsidR="00000000" w:rsidRDefault="009C1C61">
            <w:pPr>
              <w:pStyle w:val="a2"/>
              <w:spacing w:line="220" w:lineRule="exact"/>
              <w:ind w:right="113"/>
              <w:jc w:val="right"/>
              <w:rPr>
                <w:noProof/>
                <w:snapToGrid/>
              </w:rPr>
            </w:pPr>
            <w:r>
              <w:rPr>
                <w:noProof/>
                <w:snapToGrid/>
              </w:rPr>
              <w:t>61,280</w:t>
            </w:r>
            <w:r>
              <w:rPr>
                <w:noProof/>
                <w:snapToGrid/>
              </w:rPr>
              <w:br/>
              <w:t>(132.2)</w:t>
            </w:r>
          </w:p>
        </w:tc>
        <w:tc>
          <w:tcPr>
            <w:tcW w:w="1497" w:type="dxa"/>
          </w:tcPr>
          <w:p w:rsidR="00000000" w:rsidRDefault="009C1C61">
            <w:pPr>
              <w:pStyle w:val="a2"/>
              <w:spacing w:line="220" w:lineRule="exact"/>
              <w:ind w:right="113"/>
              <w:jc w:val="right"/>
              <w:rPr>
                <w:noProof/>
                <w:snapToGrid/>
              </w:rPr>
            </w:pPr>
            <w:r>
              <w:rPr>
                <w:noProof/>
                <w:snapToGrid/>
              </w:rPr>
              <w:t>58,262</w:t>
            </w:r>
            <w:r>
              <w:rPr>
                <w:noProof/>
                <w:snapToGrid/>
              </w:rPr>
              <w:br/>
              <w:t>(125.7)</w:t>
            </w:r>
          </w:p>
        </w:tc>
        <w:tc>
          <w:tcPr>
            <w:tcW w:w="1498" w:type="dxa"/>
          </w:tcPr>
          <w:p w:rsidR="00000000" w:rsidRDefault="009C1C61">
            <w:pPr>
              <w:pStyle w:val="a2"/>
              <w:spacing w:line="220" w:lineRule="exact"/>
              <w:ind w:right="113"/>
              <w:jc w:val="right"/>
              <w:rPr>
                <w:noProof/>
                <w:snapToGrid/>
              </w:rPr>
            </w:pPr>
            <w:r>
              <w:rPr>
                <w:noProof/>
                <w:snapToGrid/>
              </w:rPr>
              <w:t>63,940</w:t>
            </w:r>
            <w:r>
              <w:rPr>
                <w:noProof/>
                <w:snapToGrid/>
              </w:rPr>
              <w:br/>
              <w:t>(138.1)</w:t>
            </w:r>
          </w:p>
        </w:tc>
        <w:tc>
          <w:tcPr>
            <w:tcW w:w="1498" w:type="dxa"/>
          </w:tcPr>
          <w:p w:rsidR="00000000" w:rsidRDefault="009C1C61">
            <w:pPr>
              <w:pStyle w:val="a2"/>
              <w:spacing w:line="220" w:lineRule="exact"/>
              <w:ind w:right="113"/>
              <w:jc w:val="right"/>
              <w:rPr>
                <w:noProof/>
                <w:snapToGrid/>
              </w:rPr>
            </w:pPr>
            <w:r>
              <w:rPr>
                <w:noProof/>
                <w:snapToGrid/>
              </w:rPr>
              <w:t>67,343</w:t>
            </w:r>
            <w:r>
              <w:rPr>
                <w:noProof/>
                <w:snapToGrid/>
              </w:rPr>
              <w:br/>
              <w:t>(145.3)</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2</w:t>
            </w:r>
          </w:p>
        </w:tc>
        <w:tc>
          <w:tcPr>
            <w:tcW w:w="1498" w:type="dxa"/>
          </w:tcPr>
          <w:p w:rsidR="00000000" w:rsidRDefault="009C1C61">
            <w:pPr>
              <w:pStyle w:val="a2"/>
              <w:spacing w:line="220" w:lineRule="exact"/>
              <w:ind w:right="113"/>
              <w:jc w:val="right"/>
              <w:rPr>
                <w:noProof/>
                <w:snapToGrid/>
              </w:rPr>
            </w:pPr>
            <w:r>
              <w:rPr>
                <w:noProof/>
                <w:snapToGrid/>
              </w:rPr>
              <w:t>90,758</w:t>
            </w:r>
            <w:r>
              <w:rPr>
                <w:noProof/>
                <w:snapToGrid/>
              </w:rPr>
              <w:br/>
              <w:t>(195.8)</w:t>
            </w:r>
          </w:p>
        </w:tc>
        <w:tc>
          <w:tcPr>
            <w:tcW w:w="1498" w:type="dxa"/>
          </w:tcPr>
          <w:p w:rsidR="00000000" w:rsidRDefault="009C1C61">
            <w:pPr>
              <w:pStyle w:val="a2"/>
              <w:spacing w:line="220" w:lineRule="exact"/>
              <w:ind w:right="113"/>
              <w:jc w:val="right"/>
              <w:rPr>
                <w:noProof/>
                <w:snapToGrid/>
              </w:rPr>
            </w:pPr>
            <w:r>
              <w:rPr>
                <w:noProof/>
                <w:snapToGrid/>
              </w:rPr>
              <w:t>106,421</w:t>
            </w:r>
            <w:r>
              <w:rPr>
                <w:noProof/>
                <w:snapToGrid/>
              </w:rPr>
              <w:br/>
              <w:t>(229.7)</w:t>
            </w:r>
          </w:p>
        </w:tc>
        <w:tc>
          <w:tcPr>
            <w:tcW w:w="1497" w:type="dxa"/>
          </w:tcPr>
          <w:p w:rsidR="00000000" w:rsidRDefault="009C1C61">
            <w:pPr>
              <w:pStyle w:val="a2"/>
              <w:spacing w:line="220" w:lineRule="exact"/>
              <w:ind w:right="113"/>
              <w:jc w:val="right"/>
              <w:rPr>
                <w:noProof/>
                <w:snapToGrid/>
              </w:rPr>
            </w:pPr>
            <w:r>
              <w:rPr>
                <w:noProof/>
                <w:snapToGrid/>
              </w:rPr>
              <w:t>110,642</w:t>
            </w:r>
            <w:r>
              <w:rPr>
                <w:noProof/>
                <w:snapToGrid/>
              </w:rPr>
              <w:br/>
              <w:t>(238.8)</w:t>
            </w:r>
          </w:p>
        </w:tc>
        <w:tc>
          <w:tcPr>
            <w:tcW w:w="1498" w:type="dxa"/>
          </w:tcPr>
          <w:p w:rsidR="00000000" w:rsidRDefault="009C1C61">
            <w:pPr>
              <w:pStyle w:val="a2"/>
              <w:spacing w:line="220" w:lineRule="exact"/>
              <w:ind w:right="113"/>
              <w:jc w:val="right"/>
              <w:rPr>
                <w:noProof/>
                <w:snapToGrid/>
              </w:rPr>
            </w:pPr>
            <w:r>
              <w:rPr>
                <w:noProof/>
                <w:snapToGrid/>
              </w:rPr>
              <w:t>120,700</w:t>
            </w:r>
            <w:r>
              <w:rPr>
                <w:noProof/>
                <w:snapToGrid/>
              </w:rPr>
              <w:br/>
              <w:t>(260.5)</w:t>
            </w:r>
          </w:p>
        </w:tc>
        <w:tc>
          <w:tcPr>
            <w:tcW w:w="1498" w:type="dxa"/>
          </w:tcPr>
          <w:p w:rsidR="00000000" w:rsidRDefault="009C1C61">
            <w:pPr>
              <w:pStyle w:val="a2"/>
              <w:spacing w:line="220" w:lineRule="exact"/>
              <w:ind w:right="113"/>
              <w:jc w:val="right"/>
              <w:rPr>
                <w:noProof/>
                <w:snapToGrid/>
              </w:rPr>
            </w:pPr>
            <w:r>
              <w:rPr>
                <w:noProof/>
                <w:snapToGrid/>
              </w:rPr>
              <w:t>126,246</w:t>
            </w:r>
            <w:r>
              <w:rPr>
                <w:noProof/>
                <w:snapToGrid/>
              </w:rPr>
              <w:br/>
              <w:t>(272.4)</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3</w:t>
            </w:r>
          </w:p>
        </w:tc>
        <w:tc>
          <w:tcPr>
            <w:tcW w:w="1498" w:type="dxa"/>
          </w:tcPr>
          <w:p w:rsidR="00000000" w:rsidRDefault="009C1C61">
            <w:pPr>
              <w:pStyle w:val="a2"/>
              <w:spacing w:line="220" w:lineRule="exact"/>
              <w:ind w:right="113"/>
              <w:jc w:val="right"/>
              <w:rPr>
                <w:noProof/>
                <w:snapToGrid/>
              </w:rPr>
            </w:pPr>
            <w:r>
              <w:rPr>
                <w:noProof/>
                <w:snapToGrid/>
              </w:rPr>
              <w:t>11</w:t>
            </w:r>
            <w:r>
              <w:rPr>
                <w:noProof/>
                <w:snapToGrid/>
              </w:rPr>
              <w:t>8,616</w:t>
            </w:r>
            <w:r>
              <w:rPr>
                <w:noProof/>
                <w:snapToGrid/>
              </w:rPr>
              <w:br/>
              <w:t>(256.0)</w:t>
            </w:r>
          </w:p>
        </w:tc>
        <w:tc>
          <w:tcPr>
            <w:tcW w:w="1498" w:type="dxa"/>
          </w:tcPr>
          <w:p w:rsidR="00000000" w:rsidRDefault="009C1C61">
            <w:pPr>
              <w:pStyle w:val="a2"/>
              <w:spacing w:line="220" w:lineRule="exact"/>
              <w:ind w:right="113"/>
              <w:jc w:val="right"/>
              <w:rPr>
                <w:noProof/>
                <w:snapToGrid/>
              </w:rPr>
            </w:pPr>
            <w:r>
              <w:rPr>
                <w:noProof/>
                <w:snapToGrid/>
              </w:rPr>
              <w:t>136,910</w:t>
            </w:r>
            <w:r>
              <w:rPr>
                <w:noProof/>
                <w:snapToGrid/>
              </w:rPr>
              <w:br/>
              <w:t>(295.5)</w:t>
            </w:r>
          </w:p>
        </w:tc>
        <w:tc>
          <w:tcPr>
            <w:tcW w:w="1497" w:type="dxa"/>
          </w:tcPr>
          <w:p w:rsidR="00000000" w:rsidRDefault="009C1C61">
            <w:pPr>
              <w:pStyle w:val="a2"/>
              <w:spacing w:line="220" w:lineRule="exact"/>
              <w:ind w:right="113"/>
              <w:jc w:val="right"/>
              <w:rPr>
                <w:noProof/>
                <w:snapToGrid/>
              </w:rPr>
            </w:pPr>
            <w:r>
              <w:rPr>
                <w:noProof/>
                <w:snapToGrid/>
              </w:rPr>
              <w:t>141,145</w:t>
            </w:r>
            <w:r>
              <w:rPr>
                <w:noProof/>
                <w:snapToGrid/>
              </w:rPr>
              <w:br/>
              <w:t>(304.6)</w:t>
            </w:r>
          </w:p>
        </w:tc>
        <w:tc>
          <w:tcPr>
            <w:tcW w:w="1498" w:type="dxa"/>
          </w:tcPr>
          <w:p w:rsidR="00000000" w:rsidRDefault="009C1C61">
            <w:pPr>
              <w:pStyle w:val="a2"/>
              <w:spacing w:line="220" w:lineRule="exact"/>
              <w:ind w:right="113"/>
              <w:jc w:val="right"/>
              <w:rPr>
                <w:noProof/>
                <w:snapToGrid/>
              </w:rPr>
            </w:pPr>
            <w:r>
              <w:rPr>
                <w:noProof/>
                <w:snapToGrid/>
              </w:rPr>
              <w:t>160,792</w:t>
            </w:r>
            <w:r>
              <w:rPr>
                <w:noProof/>
                <w:snapToGrid/>
              </w:rPr>
              <w:br/>
              <w:t>(347.0)</w:t>
            </w:r>
          </w:p>
        </w:tc>
        <w:tc>
          <w:tcPr>
            <w:tcW w:w="1498" w:type="dxa"/>
          </w:tcPr>
          <w:p w:rsidR="00000000" w:rsidRDefault="009C1C61">
            <w:pPr>
              <w:pStyle w:val="a2"/>
              <w:spacing w:line="220" w:lineRule="exact"/>
              <w:ind w:right="113"/>
              <w:jc w:val="right"/>
              <w:rPr>
                <w:noProof/>
                <w:snapToGrid/>
              </w:rPr>
            </w:pPr>
            <w:r>
              <w:rPr>
                <w:noProof/>
                <w:snapToGrid/>
              </w:rPr>
              <w:t>168,276</w:t>
            </w:r>
            <w:r>
              <w:rPr>
                <w:noProof/>
                <w:snapToGrid/>
              </w:rPr>
              <w:br/>
              <w:t>(363.2)</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4</w:t>
            </w:r>
          </w:p>
        </w:tc>
        <w:tc>
          <w:tcPr>
            <w:tcW w:w="1498" w:type="dxa"/>
          </w:tcPr>
          <w:p w:rsidR="00000000" w:rsidRDefault="009C1C61">
            <w:pPr>
              <w:pStyle w:val="a2"/>
              <w:spacing w:line="220" w:lineRule="exact"/>
              <w:ind w:right="113"/>
              <w:jc w:val="right"/>
              <w:rPr>
                <w:noProof/>
                <w:snapToGrid/>
              </w:rPr>
            </w:pPr>
            <w:r>
              <w:rPr>
                <w:noProof/>
                <w:snapToGrid/>
              </w:rPr>
              <w:t>144,584</w:t>
            </w:r>
            <w:r>
              <w:rPr>
                <w:noProof/>
                <w:snapToGrid/>
              </w:rPr>
              <w:br/>
              <w:t>(312.0)</w:t>
            </w:r>
          </w:p>
        </w:tc>
        <w:tc>
          <w:tcPr>
            <w:tcW w:w="1498" w:type="dxa"/>
          </w:tcPr>
          <w:p w:rsidR="00000000" w:rsidRDefault="009C1C61">
            <w:pPr>
              <w:pStyle w:val="a2"/>
              <w:spacing w:line="220" w:lineRule="exact"/>
              <w:ind w:right="113"/>
              <w:jc w:val="right"/>
              <w:rPr>
                <w:noProof/>
                <w:snapToGrid/>
              </w:rPr>
            </w:pPr>
            <w:r>
              <w:rPr>
                <w:noProof/>
                <w:snapToGrid/>
              </w:rPr>
              <w:t>171,586</w:t>
            </w:r>
            <w:r>
              <w:rPr>
                <w:noProof/>
                <w:snapToGrid/>
              </w:rPr>
              <w:br/>
              <w:t>(370.3)</w:t>
            </w:r>
          </w:p>
        </w:tc>
        <w:tc>
          <w:tcPr>
            <w:tcW w:w="1497" w:type="dxa"/>
          </w:tcPr>
          <w:p w:rsidR="00000000" w:rsidRDefault="009C1C61">
            <w:pPr>
              <w:pStyle w:val="a2"/>
              <w:spacing w:line="220" w:lineRule="exact"/>
              <w:ind w:right="113"/>
              <w:jc w:val="right"/>
              <w:rPr>
                <w:noProof/>
                <w:snapToGrid/>
              </w:rPr>
            </w:pPr>
            <w:r>
              <w:rPr>
                <w:noProof/>
                <w:snapToGrid/>
              </w:rPr>
              <w:t>179,266</w:t>
            </w:r>
            <w:r>
              <w:rPr>
                <w:noProof/>
                <w:snapToGrid/>
              </w:rPr>
              <w:br/>
              <w:t>(386.9)</w:t>
            </w:r>
          </w:p>
        </w:tc>
        <w:tc>
          <w:tcPr>
            <w:tcW w:w="1498" w:type="dxa"/>
          </w:tcPr>
          <w:p w:rsidR="00000000" w:rsidRDefault="009C1C61">
            <w:pPr>
              <w:pStyle w:val="a2"/>
              <w:spacing w:line="220" w:lineRule="exact"/>
              <w:ind w:right="113"/>
              <w:jc w:val="right"/>
              <w:rPr>
                <w:noProof/>
                <w:snapToGrid/>
              </w:rPr>
            </w:pPr>
            <w:r>
              <w:rPr>
                <w:noProof/>
                <w:snapToGrid/>
              </w:rPr>
              <w:t>203,194</w:t>
            </w:r>
            <w:r>
              <w:rPr>
                <w:noProof/>
                <w:snapToGrid/>
              </w:rPr>
              <w:br/>
              <w:t>(438.5)</w:t>
            </w:r>
          </w:p>
        </w:tc>
        <w:tc>
          <w:tcPr>
            <w:tcW w:w="1498" w:type="dxa"/>
          </w:tcPr>
          <w:p w:rsidR="00000000" w:rsidRDefault="009C1C61">
            <w:pPr>
              <w:pStyle w:val="a2"/>
              <w:spacing w:line="220" w:lineRule="exact"/>
              <w:ind w:right="113"/>
              <w:jc w:val="right"/>
              <w:rPr>
                <w:noProof/>
                <w:snapToGrid/>
              </w:rPr>
            </w:pPr>
            <w:r>
              <w:rPr>
                <w:noProof/>
                <w:snapToGrid/>
              </w:rPr>
              <w:t>216,486</w:t>
            </w:r>
            <w:r>
              <w:rPr>
                <w:noProof/>
                <w:snapToGrid/>
              </w:rPr>
              <w:br/>
              <w:t>(467.2)</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5</w:t>
            </w:r>
          </w:p>
        </w:tc>
        <w:tc>
          <w:tcPr>
            <w:tcW w:w="1498" w:type="dxa"/>
          </w:tcPr>
          <w:p w:rsidR="00000000" w:rsidRDefault="009C1C61">
            <w:pPr>
              <w:pStyle w:val="a2"/>
              <w:spacing w:line="220" w:lineRule="exact"/>
              <w:ind w:right="113"/>
              <w:jc w:val="right"/>
              <w:rPr>
                <w:noProof/>
                <w:snapToGrid/>
              </w:rPr>
            </w:pPr>
            <w:r>
              <w:rPr>
                <w:noProof/>
                <w:snapToGrid/>
              </w:rPr>
              <w:t>173,902</w:t>
            </w:r>
            <w:r>
              <w:rPr>
                <w:noProof/>
                <w:snapToGrid/>
              </w:rPr>
              <w:br/>
              <w:t>(375.3)</w:t>
            </w:r>
          </w:p>
        </w:tc>
        <w:tc>
          <w:tcPr>
            <w:tcW w:w="1498" w:type="dxa"/>
          </w:tcPr>
          <w:p w:rsidR="00000000" w:rsidRDefault="009C1C61">
            <w:pPr>
              <w:pStyle w:val="a2"/>
              <w:spacing w:line="220" w:lineRule="exact"/>
              <w:ind w:right="113"/>
              <w:jc w:val="right"/>
              <w:rPr>
                <w:noProof/>
                <w:snapToGrid/>
              </w:rPr>
            </w:pPr>
            <w:r>
              <w:rPr>
                <w:noProof/>
                <w:snapToGrid/>
              </w:rPr>
              <w:t>205,654</w:t>
            </w:r>
            <w:r>
              <w:rPr>
                <w:noProof/>
                <w:snapToGrid/>
              </w:rPr>
              <w:br/>
              <w:t>(443.8)</w:t>
            </w:r>
          </w:p>
        </w:tc>
        <w:tc>
          <w:tcPr>
            <w:tcW w:w="1497" w:type="dxa"/>
          </w:tcPr>
          <w:p w:rsidR="00000000" w:rsidRDefault="009C1C61">
            <w:pPr>
              <w:pStyle w:val="a2"/>
              <w:spacing w:line="220" w:lineRule="exact"/>
              <w:ind w:right="113"/>
              <w:jc w:val="right"/>
              <w:rPr>
                <w:noProof/>
                <w:snapToGrid/>
              </w:rPr>
            </w:pPr>
            <w:r>
              <w:rPr>
                <w:noProof/>
                <w:snapToGrid/>
              </w:rPr>
              <w:t>216,563</w:t>
            </w:r>
            <w:r>
              <w:rPr>
                <w:noProof/>
                <w:snapToGrid/>
              </w:rPr>
              <w:br/>
              <w:t>(467.4)</w:t>
            </w:r>
          </w:p>
        </w:tc>
        <w:tc>
          <w:tcPr>
            <w:tcW w:w="1498" w:type="dxa"/>
          </w:tcPr>
          <w:p w:rsidR="00000000" w:rsidRDefault="009C1C61">
            <w:pPr>
              <w:pStyle w:val="a2"/>
              <w:spacing w:line="220" w:lineRule="exact"/>
              <w:ind w:right="113"/>
              <w:jc w:val="right"/>
              <w:rPr>
                <w:noProof/>
                <w:snapToGrid/>
              </w:rPr>
            </w:pPr>
            <w:r>
              <w:rPr>
                <w:noProof/>
                <w:snapToGrid/>
              </w:rPr>
              <w:t>244,451</w:t>
            </w:r>
            <w:r>
              <w:rPr>
                <w:noProof/>
                <w:snapToGrid/>
              </w:rPr>
              <w:br/>
              <w:t>(527.6)</w:t>
            </w:r>
          </w:p>
        </w:tc>
        <w:tc>
          <w:tcPr>
            <w:tcW w:w="1498" w:type="dxa"/>
          </w:tcPr>
          <w:p w:rsidR="00000000" w:rsidRDefault="009C1C61">
            <w:pPr>
              <w:pStyle w:val="a2"/>
              <w:spacing w:line="220" w:lineRule="exact"/>
              <w:ind w:right="113"/>
              <w:jc w:val="right"/>
              <w:rPr>
                <w:noProof/>
                <w:snapToGrid/>
              </w:rPr>
            </w:pPr>
            <w:r>
              <w:rPr>
                <w:noProof/>
                <w:snapToGrid/>
              </w:rPr>
              <w:t>252,104</w:t>
            </w:r>
            <w:r>
              <w:rPr>
                <w:noProof/>
                <w:snapToGrid/>
              </w:rPr>
              <w:br/>
              <w:t>(544.1)</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6</w:t>
            </w:r>
          </w:p>
        </w:tc>
        <w:tc>
          <w:tcPr>
            <w:tcW w:w="1498" w:type="dxa"/>
          </w:tcPr>
          <w:p w:rsidR="00000000" w:rsidRDefault="009C1C61">
            <w:pPr>
              <w:pStyle w:val="a2"/>
              <w:spacing w:line="220" w:lineRule="exact"/>
              <w:ind w:right="113"/>
              <w:jc w:val="right"/>
              <w:rPr>
                <w:noProof/>
                <w:snapToGrid/>
              </w:rPr>
            </w:pPr>
            <w:r>
              <w:rPr>
                <w:noProof/>
                <w:snapToGrid/>
              </w:rPr>
              <w:t>220,717</w:t>
            </w:r>
            <w:r>
              <w:rPr>
                <w:noProof/>
                <w:snapToGrid/>
              </w:rPr>
              <w:br/>
              <w:t>(</w:t>
            </w:r>
            <w:r>
              <w:rPr>
                <w:noProof/>
                <w:snapToGrid/>
              </w:rPr>
              <w:t>476.4)</w:t>
            </w:r>
          </w:p>
        </w:tc>
        <w:tc>
          <w:tcPr>
            <w:tcW w:w="1498" w:type="dxa"/>
          </w:tcPr>
          <w:p w:rsidR="00000000" w:rsidRDefault="009C1C61">
            <w:pPr>
              <w:pStyle w:val="a2"/>
              <w:spacing w:line="220" w:lineRule="exact"/>
              <w:ind w:right="113"/>
              <w:jc w:val="right"/>
              <w:rPr>
                <w:noProof/>
                <w:snapToGrid/>
              </w:rPr>
            </w:pPr>
            <w:r>
              <w:rPr>
                <w:noProof/>
                <w:snapToGrid/>
              </w:rPr>
              <w:t>240,544</w:t>
            </w:r>
            <w:r>
              <w:rPr>
                <w:noProof/>
                <w:snapToGrid/>
              </w:rPr>
              <w:br/>
              <w:t>(519.2)</w:t>
            </w:r>
          </w:p>
        </w:tc>
        <w:tc>
          <w:tcPr>
            <w:tcW w:w="1497" w:type="dxa"/>
          </w:tcPr>
          <w:p w:rsidR="00000000" w:rsidRDefault="009C1C61">
            <w:pPr>
              <w:pStyle w:val="a2"/>
              <w:spacing w:line="220" w:lineRule="exact"/>
              <w:ind w:right="113"/>
              <w:jc w:val="right"/>
              <w:rPr>
                <w:noProof/>
                <w:snapToGrid/>
              </w:rPr>
            </w:pPr>
            <w:r>
              <w:rPr>
                <w:noProof/>
                <w:snapToGrid/>
              </w:rPr>
              <w:t>247,858</w:t>
            </w:r>
            <w:r>
              <w:rPr>
                <w:noProof/>
                <w:snapToGrid/>
              </w:rPr>
              <w:br/>
              <w:t>(534.9)</w:t>
            </w:r>
          </w:p>
        </w:tc>
        <w:tc>
          <w:tcPr>
            <w:tcW w:w="1498" w:type="dxa"/>
          </w:tcPr>
          <w:p w:rsidR="00000000" w:rsidRDefault="009C1C61">
            <w:pPr>
              <w:pStyle w:val="a2"/>
              <w:spacing w:line="220" w:lineRule="exact"/>
              <w:ind w:right="113"/>
              <w:jc w:val="right"/>
              <w:rPr>
                <w:noProof/>
                <w:snapToGrid/>
              </w:rPr>
            </w:pPr>
            <w:r>
              <w:rPr>
                <w:noProof/>
                <w:snapToGrid/>
              </w:rPr>
              <w:t>282,572</w:t>
            </w:r>
            <w:r>
              <w:rPr>
                <w:noProof/>
                <w:snapToGrid/>
              </w:rPr>
              <w:br/>
              <w:t>(609.9)</w:t>
            </w:r>
          </w:p>
        </w:tc>
        <w:tc>
          <w:tcPr>
            <w:tcW w:w="1498" w:type="dxa"/>
          </w:tcPr>
          <w:p w:rsidR="00000000" w:rsidRDefault="009C1C61">
            <w:pPr>
              <w:pStyle w:val="a2"/>
              <w:spacing w:line="220" w:lineRule="exact"/>
              <w:ind w:right="113"/>
              <w:jc w:val="right"/>
              <w:rPr>
                <w:noProof/>
                <w:snapToGrid/>
              </w:rPr>
            </w:pPr>
            <w:r>
              <w:rPr>
                <w:noProof/>
                <w:snapToGrid/>
              </w:rPr>
              <w:t>300,857</w:t>
            </w:r>
            <w:r>
              <w:rPr>
                <w:noProof/>
                <w:snapToGrid/>
              </w:rPr>
              <w:br/>
              <w:t>(649.3)</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7</w:t>
            </w:r>
          </w:p>
        </w:tc>
        <w:tc>
          <w:tcPr>
            <w:tcW w:w="1498" w:type="dxa"/>
          </w:tcPr>
          <w:p w:rsidR="00000000" w:rsidRDefault="009C1C61">
            <w:pPr>
              <w:pStyle w:val="a2"/>
              <w:spacing w:line="220" w:lineRule="exact"/>
              <w:ind w:right="113"/>
              <w:jc w:val="right"/>
              <w:rPr>
                <w:noProof/>
                <w:snapToGrid/>
              </w:rPr>
            </w:pPr>
            <w:r>
              <w:rPr>
                <w:noProof/>
                <w:snapToGrid/>
              </w:rPr>
              <w:t>250,049</w:t>
            </w:r>
            <w:r>
              <w:rPr>
                <w:noProof/>
                <w:snapToGrid/>
              </w:rPr>
              <w:br/>
              <w:t>(539.7)</w:t>
            </w:r>
          </w:p>
        </w:tc>
        <w:tc>
          <w:tcPr>
            <w:tcW w:w="1498" w:type="dxa"/>
          </w:tcPr>
          <w:p w:rsidR="00000000" w:rsidRDefault="009C1C61">
            <w:pPr>
              <w:pStyle w:val="a2"/>
              <w:spacing w:line="220" w:lineRule="exact"/>
              <w:ind w:right="113"/>
              <w:jc w:val="right"/>
              <w:rPr>
                <w:noProof/>
                <w:snapToGrid/>
              </w:rPr>
            </w:pPr>
            <w:r>
              <w:rPr>
                <w:noProof/>
                <w:snapToGrid/>
              </w:rPr>
              <w:t>293,403</w:t>
            </w:r>
            <w:r>
              <w:rPr>
                <w:noProof/>
                <w:snapToGrid/>
              </w:rPr>
              <w:br/>
              <w:t>(633.2)</w:t>
            </w:r>
          </w:p>
        </w:tc>
        <w:tc>
          <w:tcPr>
            <w:tcW w:w="1497" w:type="dxa"/>
          </w:tcPr>
          <w:p w:rsidR="00000000" w:rsidRDefault="009C1C61">
            <w:pPr>
              <w:pStyle w:val="a2"/>
              <w:spacing w:line="220" w:lineRule="exact"/>
              <w:ind w:right="113"/>
              <w:jc w:val="right"/>
              <w:rPr>
                <w:noProof/>
                <w:snapToGrid/>
              </w:rPr>
            </w:pPr>
            <w:r>
              <w:rPr>
                <w:noProof/>
                <w:snapToGrid/>
              </w:rPr>
              <w:t>313,423</w:t>
            </w:r>
            <w:r>
              <w:rPr>
                <w:noProof/>
                <w:snapToGrid/>
              </w:rPr>
              <w:br/>
              <w:t>(676.5)</w:t>
            </w:r>
          </w:p>
        </w:tc>
        <w:tc>
          <w:tcPr>
            <w:tcW w:w="1498" w:type="dxa"/>
          </w:tcPr>
          <w:p w:rsidR="00000000" w:rsidRDefault="009C1C61">
            <w:pPr>
              <w:pStyle w:val="a2"/>
              <w:spacing w:line="220" w:lineRule="exact"/>
              <w:ind w:right="113"/>
              <w:jc w:val="right"/>
              <w:rPr>
                <w:noProof/>
                <w:snapToGrid/>
              </w:rPr>
            </w:pPr>
            <w:r>
              <w:rPr>
                <w:noProof/>
                <w:snapToGrid/>
              </w:rPr>
              <w:t>362,120</w:t>
            </w:r>
            <w:r>
              <w:rPr>
                <w:noProof/>
                <w:snapToGrid/>
              </w:rPr>
              <w:br/>
              <w:t>(781.6)</w:t>
            </w:r>
          </w:p>
        </w:tc>
        <w:tc>
          <w:tcPr>
            <w:tcW w:w="1498" w:type="dxa"/>
          </w:tcPr>
          <w:p w:rsidR="00000000" w:rsidRDefault="009C1C61">
            <w:pPr>
              <w:pStyle w:val="a2"/>
              <w:spacing w:line="220" w:lineRule="exact"/>
              <w:ind w:right="113"/>
              <w:jc w:val="right"/>
              <w:rPr>
                <w:noProof/>
                <w:snapToGrid/>
              </w:rPr>
            </w:pPr>
            <w:r>
              <w:rPr>
                <w:noProof/>
                <w:snapToGrid/>
              </w:rPr>
              <w:t>388,614</w:t>
            </w:r>
            <w:r>
              <w:rPr>
                <w:noProof/>
                <w:snapToGrid/>
              </w:rPr>
              <w:br/>
              <w:t>(838.8)</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8</w:t>
            </w:r>
          </w:p>
        </w:tc>
        <w:tc>
          <w:tcPr>
            <w:tcW w:w="1498" w:type="dxa"/>
          </w:tcPr>
          <w:p w:rsidR="00000000" w:rsidRDefault="009C1C61">
            <w:pPr>
              <w:pStyle w:val="a2"/>
              <w:spacing w:line="220" w:lineRule="exact"/>
              <w:ind w:right="113"/>
              <w:jc w:val="right"/>
              <w:rPr>
                <w:noProof/>
                <w:snapToGrid/>
              </w:rPr>
            </w:pPr>
            <w:r>
              <w:rPr>
                <w:noProof/>
                <w:snapToGrid/>
              </w:rPr>
              <w:t>329,149</w:t>
            </w:r>
            <w:r>
              <w:rPr>
                <w:noProof/>
                <w:snapToGrid/>
              </w:rPr>
              <w:br/>
              <w:t>(710.4)</w:t>
            </w:r>
          </w:p>
        </w:tc>
        <w:tc>
          <w:tcPr>
            <w:tcW w:w="1498" w:type="dxa"/>
          </w:tcPr>
          <w:p w:rsidR="00000000" w:rsidRDefault="009C1C61">
            <w:pPr>
              <w:pStyle w:val="a2"/>
              <w:spacing w:line="220" w:lineRule="exact"/>
              <w:ind w:right="113"/>
              <w:jc w:val="right"/>
              <w:rPr>
                <w:noProof/>
                <w:snapToGrid/>
              </w:rPr>
            </w:pPr>
            <w:r>
              <w:rPr>
                <w:noProof/>
                <w:snapToGrid/>
              </w:rPr>
              <w:t>378,852</w:t>
            </w:r>
            <w:r>
              <w:rPr>
                <w:noProof/>
                <w:snapToGrid/>
              </w:rPr>
              <w:br/>
              <w:t>(817.7)</w:t>
            </w:r>
          </w:p>
        </w:tc>
        <w:tc>
          <w:tcPr>
            <w:tcW w:w="1497" w:type="dxa"/>
          </w:tcPr>
          <w:p w:rsidR="00000000" w:rsidRDefault="009C1C61">
            <w:pPr>
              <w:pStyle w:val="a2"/>
              <w:spacing w:line="220" w:lineRule="exact"/>
              <w:ind w:right="113"/>
              <w:jc w:val="right"/>
              <w:rPr>
                <w:noProof/>
                <w:snapToGrid/>
              </w:rPr>
            </w:pPr>
            <w:r>
              <w:rPr>
                <w:noProof/>
                <w:snapToGrid/>
              </w:rPr>
              <w:t>409,978</w:t>
            </w:r>
            <w:r>
              <w:rPr>
                <w:noProof/>
                <w:snapToGrid/>
              </w:rPr>
              <w:br/>
              <w:t>(884.9)</w:t>
            </w:r>
          </w:p>
        </w:tc>
        <w:tc>
          <w:tcPr>
            <w:tcW w:w="1498" w:type="dxa"/>
          </w:tcPr>
          <w:p w:rsidR="00000000" w:rsidRDefault="009C1C61">
            <w:pPr>
              <w:pStyle w:val="a2"/>
              <w:spacing w:line="220" w:lineRule="exact"/>
              <w:ind w:right="113"/>
              <w:jc w:val="right"/>
              <w:rPr>
                <w:noProof/>
                <w:snapToGrid/>
              </w:rPr>
            </w:pPr>
            <w:r>
              <w:rPr>
                <w:noProof/>
                <w:snapToGrid/>
              </w:rPr>
              <w:t>488,697</w:t>
            </w:r>
            <w:r>
              <w:rPr>
                <w:noProof/>
                <w:snapToGrid/>
              </w:rPr>
              <w:br/>
              <w:t>(1,054.8)</w:t>
            </w:r>
          </w:p>
        </w:tc>
        <w:tc>
          <w:tcPr>
            <w:tcW w:w="1498" w:type="dxa"/>
          </w:tcPr>
          <w:p w:rsidR="00000000" w:rsidRDefault="009C1C61">
            <w:pPr>
              <w:pStyle w:val="a2"/>
              <w:spacing w:line="220" w:lineRule="exact"/>
              <w:ind w:right="113"/>
              <w:jc w:val="right"/>
              <w:rPr>
                <w:noProof/>
                <w:snapToGrid/>
              </w:rPr>
            </w:pPr>
            <w:r>
              <w:rPr>
                <w:noProof/>
                <w:snapToGrid/>
              </w:rPr>
              <w:t>513,111</w:t>
            </w:r>
            <w:r>
              <w:rPr>
                <w:noProof/>
                <w:snapToGrid/>
              </w:rPr>
              <w:br/>
              <w:t>(1,107.5)</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9</w:t>
            </w:r>
          </w:p>
        </w:tc>
        <w:tc>
          <w:tcPr>
            <w:tcW w:w="1498" w:type="dxa"/>
          </w:tcPr>
          <w:p w:rsidR="00000000" w:rsidRDefault="009C1C61">
            <w:pPr>
              <w:pStyle w:val="a2"/>
              <w:spacing w:line="220" w:lineRule="exact"/>
              <w:ind w:right="113"/>
              <w:jc w:val="right"/>
              <w:rPr>
                <w:noProof/>
                <w:snapToGrid/>
              </w:rPr>
            </w:pPr>
            <w:r>
              <w:rPr>
                <w:noProof/>
                <w:snapToGrid/>
              </w:rPr>
              <w:t>483,446</w:t>
            </w:r>
            <w:r>
              <w:rPr>
                <w:noProof/>
                <w:snapToGrid/>
              </w:rPr>
              <w:br/>
              <w:t>(1,0</w:t>
            </w:r>
            <w:r>
              <w:rPr>
                <w:noProof/>
                <w:snapToGrid/>
              </w:rPr>
              <w:t>43.4)</w:t>
            </w:r>
          </w:p>
        </w:tc>
        <w:tc>
          <w:tcPr>
            <w:tcW w:w="1498" w:type="dxa"/>
          </w:tcPr>
          <w:p w:rsidR="00000000" w:rsidRDefault="009C1C61">
            <w:pPr>
              <w:pStyle w:val="a2"/>
              <w:spacing w:line="220" w:lineRule="exact"/>
              <w:ind w:right="113"/>
              <w:jc w:val="right"/>
              <w:rPr>
                <w:noProof/>
                <w:snapToGrid/>
              </w:rPr>
            </w:pPr>
            <w:r>
              <w:rPr>
                <w:noProof/>
                <w:snapToGrid/>
              </w:rPr>
              <w:t>535,102</w:t>
            </w:r>
            <w:r>
              <w:rPr>
                <w:noProof/>
                <w:snapToGrid/>
              </w:rPr>
              <w:br/>
              <w:t>(1,154.9)</w:t>
            </w:r>
          </w:p>
        </w:tc>
        <w:tc>
          <w:tcPr>
            <w:tcW w:w="1497" w:type="dxa"/>
          </w:tcPr>
          <w:p w:rsidR="00000000" w:rsidRDefault="009C1C61">
            <w:pPr>
              <w:pStyle w:val="a2"/>
              <w:spacing w:line="220" w:lineRule="exact"/>
              <w:ind w:right="113"/>
              <w:jc w:val="right"/>
              <w:rPr>
                <w:noProof/>
                <w:snapToGrid/>
              </w:rPr>
            </w:pPr>
            <w:r>
              <w:rPr>
                <w:noProof/>
                <w:snapToGrid/>
              </w:rPr>
              <w:t>597,197</w:t>
            </w:r>
            <w:r>
              <w:rPr>
                <w:noProof/>
                <w:snapToGrid/>
              </w:rPr>
              <w:br/>
              <w:t>(1,289.0)</w:t>
            </w:r>
          </w:p>
        </w:tc>
        <w:tc>
          <w:tcPr>
            <w:tcW w:w="1498" w:type="dxa"/>
          </w:tcPr>
          <w:p w:rsidR="00000000" w:rsidRDefault="009C1C61">
            <w:pPr>
              <w:pStyle w:val="a2"/>
              <w:spacing w:line="220" w:lineRule="exact"/>
              <w:ind w:right="113"/>
              <w:jc w:val="right"/>
              <w:rPr>
                <w:noProof/>
                <w:snapToGrid/>
              </w:rPr>
            </w:pPr>
            <w:r>
              <w:rPr>
                <w:noProof/>
                <w:snapToGrid/>
              </w:rPr>
              <w:t>683,143</w:t>
            </w:r>
            <w:r>
              <w:rPr>
                <w:noProof/>
                <w:snapToGrid/>
              </w:rPr>
              <w:br/>
              <w:t>(1,474.5)</w:t>
            </w:r>
          </w:p>
        </w:tc>
        <w:tc>
          <w:tcPr>
            <w:tcW w:w="1498" w:type="dxa"/>
          </w:tcPr>
          <w:p w:rsidR="00000000" w:rsidRDefault="009C1C61">
            <w:pPr>
              <w:pStyle w:val="a2"/>
              <w:spacing w:line="220" w:lineRule="exact"/>
              <w:ind w:right="113"/>
              <w:jc w:val="right"/>
              <w:rPr>
                <w:noProof/>
                <w:snapToGrid/>
              </w:rPr>
            </w:pPr>
            <w:r>
              <w:rPr>
                <w:noProof/>
                <w:snapToGrid/>
              </w:rPr>
              <w:t>749,409</w:t>
            </w:r>
            <w:r>
              <w:rPr>
                <w:noProof/>
                <w:snapToGrid/>
              </w:rPr>
              <w:br/>
              <w:t>(1,617.5)</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noProof/>
                <w:snapToGrid/>
              </w:rPr>
            </w:pPr>
            <w:r>
              <w:rPr>
                <w:noProof/>
                <w:snapToGrid/>
              </w:rPr>
              <w:t>10</w:t>
            </w:r>
          </w:p>
        </w:tc>
        <w:tc>
          <w:tcPr>
            <w:tcW w:w="1498" w:type="dxa"/>
          </w:tcPr>
          <w:p w:rsidR="00000000" w:rsidRDefault="009C1C61">
            <w:pPr>
              <w:pStyle w:val="a2"/>
              <w:spacing w:line="220" w:lineRule="exact"/>
              <w:ind w:right="113"/>
              <w:jc w:val="right"/>
              <w:rPr>
                <w:noProof/>
                <w:snapToGrid/>
              </w:rPr>
            </w:pPr>
            <w:r>
              <w:rPr>
                <w:noProof/>
                <w:snapToGrid/>
              </w:rPr>
              <w:t>1,338,540</w:t>
            </w:r>
            <w:r>
              <w:rPr>
                <w:noProof/>
                <w:snapToGrid/>
              </w:rPr>
              <w:br/>
              <w:t>(2,889.1)</w:t>
            </w:r>
          </w:p>
        </w:tc>
        <w:tc>
          <w:tcPr>
            <w:tcW w:w="1498" w:type="dxa"/>
          </w:tcPr>
          <w:p w:rsidR="00000000" w:rsidRDefault="009C1C61">
            <w:pPr>
              <w:pStyle w:val="a2"/>
              <w:spacing w:line="220" w:lineRule="exact"/>
              <w:ind w:right="113"/>
              <w:jc w:val="right"/>
              <w:rPr>
                <w:noProof/>
                <w:snapToGrid/>
              </w:rPr>
            </w:pPr>
            <w:r>
              <w:rPr>
                <w:noProof/>
                <w:snapToGrid/>
              </w:rPr>
              <w:t>1,516,171</w:t>
            </w:r>
            <w:r>
              <w:rPr>
                <w:noProof/>
                <w:snapToGrid/>
              </w:rPr>
              <w:br/>
              <w:t>(3,272.5)</w:t>
            </w:r>
          </w:p>
        </w:tc>
        <w:tc>
          <w:tcPr>
            <w:tcW w:w="1497" w:type="dxa"/>
          </w:tcPr>
          <w:p w:rsidR="00000000" w:rsidRDefault="009C1C61">
            <w:pPr>
              <w:pStyle w:val="a2"/>
              <w:spacing w:line="220" w:lineRule="exact"/>
              <w:ind w:right="113"/>
              <w:jc w:val="right"/>
              <w:rPr>
                <w:noProof/>
                <w:snapToGrid/>
              </w:rPr>
            </w:pPr>
            <w:r>
              <w:rPr>
                <w:noProof/>
                <w:snapToGrid/>
              </w:rPr>
              <w:t>1,618,820</w:t>
            </w:r>
            <w:r>
              <w:rPr>
                <w:noProof/>
                <w:snapToGrid/>
              </w:rPr>
              <w:br/>
              <w:t>(3,494.1)</w:t>
            </w:r>
          </w:p>
        </w:tc>
        <w:tc>
          <w:tcPr>
            <w:tcW w:w="1498" w:type="dxa"/>
          </w:tcPr>
          <w:p w:rsidR="00000000" w:rsidRDefault="009C1C61">
            <w:pPr>
              <w:pStyle w:val="a2"/>
              <w:spacing w:line="220" w:lineRule="exact"/>
              <w:ind w:right="113"/>
              <w:jc w:val="right"/>
              <w:rPr>
                <w:noProof/>
                <w:snapToGrid/>
              </w:rPr>
            </w:pPr>
            <w:r>
              <w:rPr>
                <w:noProof/>
                <w:snapToGrid/>
              </w:rPr>
              <w:t>1,833,669</w:t>
            </w:r>
            <w:r>
              <w:rPr>
                <w:noProof/>
                <w:snapToGrid/>
              </w:rPr>
              <w:br/>
              <w:t>(3,957.8)</w:t>
            </w:r>
          </w:p>
        </w:tc>
        <w:tc>
          <w:tcPr>
            <w:tcW w:w="1498" w:type="dxa"/>
          </w:tcPr>
          <w:p w:rsidR="00000000" w:rsidRDefault="009C1C61">
            <w:pPr>
              <w:pStyle w:val="a2"/>
              <w:spacing w:line="220" w:lineRule="exact"/>
              <w:ind w:right="113"/>
              <w:jc w:val="right"/>
              <w:rPr>
                <w:noProof/>
                <w:snapToGrid/>
              </w:rPr>
            </w:pPr>
            <w:r>
              <w:rPr>
                <w:noProof/>
                <w:snapToGrid/>
              </w:rPr>
              <w:t>1,928,768</w:t>
            </w:r>
            <w:r>
              <w:rPr>
                <w:noProof/>
                <w:snapToGrid/>
              </w:rPr>
              <w:br/>
              <w:t>(4,163.1)</w:t>
            </w:r>
          </w:p>
        </w:tc>
      </w:tr>
      <w:tr w:rsidR="00000000">
        <w:tblPrEx>
          <w:tblCellMar>
            <w:top w:w="0" w:type="dxa"/>
            <w:bottom w:w="0" w:type="dxa"/>
          </w:tblCellMar>
        </w:tblPrEx>
        <w:trPr>
          <w:jc w:val="center"/>
        </w:trPr>
        <w:tc>
          <w:tcPr>
            <w:tcW w:w="1497" w:type="dxa"/>
          </w:tcPr>
          <w:p w:rsidR="00000000" w:rsidRDefault="009C1C61">
            <w:pPr>
              <w:pStyle w:val="a2"/>
              <w:spacing w:line="220" w:lineRule="exact"/>
              <w:ind w:right="113"/>
              <w:jc w:val="center"/>
              <w:rPr>
                <w:rFonts w:hint="eastAsia"/>
                <w:noProof/>
                <w:snapToGrid/>
              </w:rPr>
            </w:pPr>
            <w:r>
              <w:rPr>
                <w:rFonts w:hint="eastAsia"/>
                <w:noProof/>
                <w:snapToGrid/>
              </w:rPr>
              <w:t>总计</w:t>
            </w:r>
          </w:p>
        </w:tc>
        <w:tc>
          <w:tcPr>
            <w:tcW w:w="1498" w:type="dxa"/>
          </w:tcPr>
          <w:p w:rsidR="00000000" w:rsidRDefault="009C1C61">
            <w:pPr>
              <w:pStyle w:val="a2"/>
              <w:spacing w:line="220" w:lineRule="exact"/>
              <w:ind w:right="113"/>
              <w:jc w:val="right"/>
              <w:rPr>
                <w:noProof/>
                <w:snapToGrid/>
              </w:rPr>
            </w:pPr>
            <w:r>
              <w:rPr>
                <w:noProof/>
                <w:snapToGrid/>
              </w:rPr>
              <w:t>320,025</w:t>
            </w:r>
            <w:r>
              <w:rPr>
                <w:noProof/>
                <w:snapToGrid/>
              </w:rPr>
              <w:br/>
              <w:t>(690.7)</w:t>
            </w:r>
          </w:p>
        </w:tc>
        <w:tc>
          <w:tcPr>
            <w:tcW w:w="1498" w:type="dxa"/>
          </w:tcPr>
          <w:p w:rsidR="00000000" w:rsidRDefault="009C1C61">
            <w:pPr>
              <w:pStyle w:val="a2"/>
              <w:spacing w:line="220" w:lineRule="exact"/>
              <w:ind w:right="113"/>
              <w:jc w:val="right"/>
              <w:rPr>
                <w:noProof/>
                <w:snapToGrid/>
              </w:rPr>
            </w:pPr>
            <w:r>
              <w:rPr>
                <w:noProof/>
                <w:snapToGrid/>
              </w:rPr>
              <w:t>364,582</w:t>
            </w:r>
            <w:r>
              <w:rPr>
                <w:noProof/>
                <w:snapToGrid/>
              </w:rPr>
              <w:br/>
              <w:t>(786.9)</w:t>
            </w:r>
          </w:p>
        </w:tc>
        <w:tc>
          <w:tcPr>
            <w:tcW w:w="1497" w:type="dxa"/>
          </w:tcPr>
          <w:p w:rsidR="00000000" w:rsidRDefault="009C1C61">
            <w:pPr>
              <w:pStyle w:val="a2"/>
              <w:spacing w:line="220" w:lineRule="exact"/>
              <w:ind w:right="113"/>
              <w:jc w:val="right"/>
              <w:rPr>
                <w:noProof/>
                <w:snapToGrid/>
              </w:rPr>
            </w:pPr>
            <w:r>
              <w:rPr>
                <w:noProof/>
                <w:snapToGrid/>
              </w:rPr>
              <w:t>389,358</w:t>
            </w:r>
            <w:r>
              <w:rPr>
                <w:noProof/>
                <w:snapToGrid/>
              </w:rPr>
              <w:br/>
              <w:t>(840.4)</w:t>
            </w:r>
          </w:p>
        </w:tc>
        <w:tc>
          <w:tcPr>
            <w:tcW w:w="1498" w:type="dxa"/>
          </w:tcPr>
          <w:p w:rsidR="00000000" w:rsidRDefault="009C1C61">
            <w:pPr>
              <w:pStyle w:val="a2"/>
              <w:spacing w:line="220" w:lineRule="exact"/>
              <w:ind w:right="113"/>
              <w:jc w:val="right"/>
              <w:rPr>
                <w:noProof/>
                <w:snapToGrid/>
              </w:rPr>
            </w:pPr>
            <w:r>
              <w:rPr>
                <w:noProof/>
                <w:snapToGrid/>
              </w:rPr>
              <w:t>444,382</w:t>
            </w:r>
            <w:r>
              <w:rPr>
                <w:noProof/>
                <w:snapToGrid/>
              </w:rPr>
              <w:br/>
              <w:t>(959.1)</w:t>
            </w:r>
          </w:p>
        </w:tc>
        <w:tc>
          <w:tcPr>
            <w:tcW w:w="1498" w:type="dxa"/>
          </w:tcPr>
          <w:p w:rsidR="00000000" w:rsidRDefault="009C1C61">
            <w:pPr>
              <w:pStyle w:val="a2"/>
              <w:spacing w:line="220" w:lineRule="exact"/>
              <w:ind w:right="113"/>
              <w:jc w:val="right"/>
              <w:rPr>
                <w:noProof/>
                <w:snapToGrid/>
              </w:rPr>
            </w:pPr>
            <w:r>
              <w:rPr>
                <w:noProof/>
                <w:snapToGrid/>
              </w:rPr>
              <w:t>471,00</w:t>
            </w:r>
            <w:r>
              <w:rPr>
                <w:noProof/>
                <w:snapToGrid/>
              </w:rPr>
              <w:t>5</w:t>
            </w:r>
            <w:r>
              <w:rPr>
                <w:noProof/>
                <w:snapToGrid/>
              </w:rPr>
              <w:br/>
              <w:t>(1,016.6)</w:t>
            </w:r>
          </w:p>
        </w:tc>
      </w:tr>
    </w:tbl>
    <w:p w:rsidR="00000000" w:rsidRDefault="009C1C61">
      <w:pPr>
        <w:pStyle w:val="FootnoteText"/>
        <w:spacing w:before="160" w:line="220" w:lineRule="exact"/>
        <w:ind w:left="2041" w:hanging="1530"/>
        <w:rPr>
          <w:rFonts w:hint="eastAsia"/>
          <w:sz w:val="20"/>
        </w:rPr>
      </w:pPr>
      <w:r>
        <w:rPr>
          <w:rFonts w:hint="eastAsia"/>
          <w:sz w:val="20"/>
          <w:u w:val="single"/>
        </w:rPr>
        <w:t>资料来源</w:t>
      </w:r>
      <w:r>
        <w:rPr>
          <w:rFonts w:hint="eastAsia"/>
          <w:sz w:val="20"/>
        </w:rPr>
        <w:t>：</w:t>
      </w:r>
      <w:r>
        <w:rPr>
          <w:rFonts w:hint="eastAsia"/>
          <w:sz w:val="20"/>
        </w:rPr>
        <w:tab/>
      </w:r>
      <w:r>
        <w:rPr>
          <w:rFonts w:hint="eastAsia"/>
          <w:sz w:val="20"/>
        </w:rPr>
        <w:t>规合部，</w:t>
      </w:r>
      <w:r>
        <w:rPr>
          <w:rFonts w:hint="eastAsia"/>
          <w:sz w:val="20"/>
        </w:rPr>
        <w:t>1990</w:t>
      </w:r>
      <w:r>
        <w:rPr>
          <w:rFonts w:hint="eastAsia"/>
          <w:sz w:val="20"/>
        </w:rPr>
        <w:t>年、</w:t>
      </w:r>
      <w:r>
        <w:rPr>
          <w:rFonts w:hint="eastAsia"/>
          <w:sz w:val="20"/>
        </w:rPr>
        <w:t>1992</w:t>
      </w:r>
      <w:r>
        <w:rPr>
          <w:rFonts w:hint="eastAsia"/>
          <w:sz w:val="20"/>
        </w:rPr>
        <w:t>年、</w:t>
      </w:r>
      <w:r>
        <w:rPr>
          <w:rFonts w:hint="eastAsia"/>
          <w:sz w:val="20"/>
        </w:rPr>
        <w:t>1994</w:t>
      </w:r>
      <w:r>
        <w:rPr>
          <w:rFonts w:hint="eastAsia"/>
          <w:sz w:val="20"/>
        </w:rPr>
        <w:t>年、</w:t>
      </w:r>
      <w:r>
        <w:rPr>
          <w:rFonts w:hint="eastAsia"/>
          <w:sz w:val="20"/>
        </w:rPr>
        <w:t>1996</w:t>
      </w:r>
      <w:r>
        <w:rPr>
          <w:rFonts w:hint="eastAsia"/>
          <w:sz w:val="20"/>
        </w:rPr>
        <w:t>年和</w:t>
      </w:r>
      <w:r>
        <w:rPr>
          <w:rFonts w:hint="eastAsia"/>
          <w:sz w:val="20"/>
        </w:rPr>
        <w:t>1998</w:t>
      </w:r>
      <w:r>
        <w:rPr>
          <w:rFonts w:hint="eastAsia"/>
          <w:sz w:val="20"/>
        </w:rPr>
        <w:t>年社经特征调查。</w:t>
      </w:r>
    </w:p>
    <w:p w:rsidR="00000000" w:rsidRDefault="009C1C61">
      <w:pPr>
        <w:pStyle w:val="FootnoteText"/>
        <w:spacing w:line="220" w:lineRule="exact"/>
        <w:ind w:left="2041" w:hanging="790"/>
        <w:rPr>
          <w:rFonts w:hint="eastAsia"/>
          <w:sz w:val="20"/>
        </w:rPr>
      </w:pPr>
      <w:r>
        <w:rPr>
          <w:rFonts w:hint="eastAsia"/>
          <w:sz w:val="20"/>
        </w:rPr>
        <w:sym w:font="Symbol" w:char="F02A"/>
      </w:r>
      <w:r>
        <w:rPr>
          <w:rFonts w:hint="eastAsia"/>
          <w:sz w:val="20"/>
        </w:rPr>
        <w:tab/>
      </w:r>
      <w:r>
        <w:rPr>
          <w:rFonts w:hint="eastAsia"/>
          <w:sz w:val="20"/>
        </w:rPr>
        <w:t>不包括家庭内部服务和有关核心家庭。</w:t>
      </w:r>
    </w:p>
    <w:p w:rsidR="00000000" w:rsidRDefault="009C1C61">
      <w:pPr>
        <w:pStyle w:val="FootnoteText"/>
        <w:spacing w:after="180" w:line="220" w:lineRule="exact"/>
        <w:ind w:left="2041" w:hanging="790"/>
        <w:rPr>
          <w:rFonts w:hint="eastAsia"/>
          <w:sz w:val="20"/>
        </w:rPr>
      </w:pPr>
      <w:r>
        <w:rPr>
          <w:rFonts w:hint="eastAsia"/>
          <w:sz w:val="20"/>
        </w:rPr>
        <w:sym w:font="Symbol" w:char="F02A"/>
      </w:r>
      <w:r>
        <w:rPr>
          <w:rFonts w:hint="eastAsia"/>
          <w:sz w:val="20"/>
        </w:rPr>
        <w:sym w:font="Symbol" w:char="F02A"/>
      </w:r>
      <w:r>
        <w:rPr>
          <w:rFonts w:hint="eastAsia"/>
          <w:sz w:val="20"/>
        </w:rPr>
        <w:tab/>
      </w:r>
      <w:r>
        <w:rPr>
          <w:rFonts w:hint="eastAsia"/>
          <w:sz w:val="20"/>
        </w:rPr>
        <w:t>基于居民户人均独立收入的十等分层。</w:t>
      </w:r>
    </w:p>
    <w:p w:rsidR="00000000" w:rsidRDefault="009C1C61">
      <w:pPr>
        <w:spacing w:line="312" w:lineRule="auto"/>
        <w:rPr>
          <w:rFonts w:hint="eastAsia"/>
          <w:snapToGrid/>
        </w:rPr>
      </w:pPr>
      <w:r>
        <w:rPr>
          <w:rFonts w:hint="eastAsia"/>
          <w:snapToGrid/>
        </w:rPr>
        <w:tab/>
        <w:t xml:space="preserve">516.  </w:t>
      </w:r>
      <w:r>
        <w:rPr>
          <w:rFonts w:hint="eastAsia"/>
          <w:snapToGrid/>
        </w:rPr>
        <w:t>从表</w:t>
      </w:r>
      <w:r>
        <w:rPr>
          <w:rFonts w:hint="eastAsia"/>
          <w:snapToGrid/>
        </w:rPr>
        <w:t>20</w:t>
      </w:r>
      <w:r>
        <w:rPr>
          <w:rFonts w:hint="eastAsia"/>
          <w:snapToGrid/>
        </w:rPr>
        <w:t>可以看出，十等分层中前</w:t>
      </w:r>
      <w:r>
        <w:rPr>
          <w:rFonts w:hint="eastAsia"/>
          <w:snapToGrid/>
        </w:rPr>
        <w:t>7</w:t>
      </w:r>
      <w:r>
        <w:rPr>
          <w:rFonts w:hint="eastAsia"/>
          <w:snapToGrid/>
        </w:rPr>
        <w:t>层的每户月均独立收入和货币收入，都低于整个人口的平均收入。换句话说，本国</w:t>
      </w:r>
      <w:r>
        <w:rPr>
          <w:rFonts w:hint="eastAsia"/>
          <w:snapToGrid/>
        </w:rPr>
        <w:t>70</w:t>
      </w:r>
      <w:r>
        <w:rPr>
          <w:snapToGrid/>
        </w:rPr>
        <w:t>%</w:t>
      </w:r>
      <w:r>
        <w:rPr>
          <w:rFonts w:hint="eastAsia"/>
          <w:snapToGrid/>
        </w:rPr>
        <w:t>的居民户，收入低于总体平均收入。如果考虑到十等分层各层所占的百分比，在整个十年内，这些差别，虽然从绝对角度看是拉大了，可实际上仍然没变。如果把十等分层的第一层与第十层的实际户均收入加以比</w:t>
      </w:r>
      <w:r>
        <w:rPr>
          <w:rFonts w:hint="eastAsia"/>
          <w:snapToGrid/>
        </w:rPr>
        <w:t>较，就会发现，其差别从</w:t>
      </w:r>
      <w:r>
        <w:rPr>
          <w:rFonts w:hint="eastAsia"/>
          <w:snapToGrid/>
        </w:rPr>
        <w:t>1990</w:t>
      </w:r>
      <w:r>
        <w:rPr>
          <w:rFonts w:hint="eastAsia"/>
          <w:snapToGrid/>
        </w:rPr>
        <w:t>年的</w:t>
      </w:r>
      <w:r>
        <w:rPr>
          <w:snapToGrid/>
        </w:rPr>
        <w:t>1,292,438</w:t>
      </w:r>
      <w:r>
        <w:rPr>
          <w:rFonts w:hint="eastAsia"/>
          <w:snapToGrid/>
        </w:rPr>
        <w:t>比索</w:t>
      </w:r>
      <w:r>
        <w:rPr>
          <w:snapToGrid/>
        </w:rPr>
        <w:t>(2.789.6</w:t>
      </w:r>
      <w:r>
        <w:rPr>
          <w:rFonts w:hint="eastAsia"/>
          <w:snapToGrid/>
        </w:rPr>
        <w:t>美元</w:t>
      </w:r>
      <w:r>
        <w:rPr>
          <w:snapToGrid/>
        </w:rPr>
        <w:t>)</w:t>
      </w:r>
      <w:r>
        <w:rPr>
          <w:rFonts w:hint="eastAsia"/>
          <w:snapToGrid/>
        </w:rPr>
        <w:t>扩大到</w:t>
      </w:r>
      <w:r>
        <w:rPr>
          <w:rFonts w:hint="eastAsia"/>
          <w:snapToGrid/>
        </w:rPr>
        <w:t>1998</w:t>
      </w:r>
      <w:r>
        <w:rPr>
          <w:rFonts w:hint="eastAsia"/>
          <w:snapToGrid/>
        </w:rPr>
        <w:t>年的</w:t>
      </w:r>
      <w:r>
        <w:rPr>
          <w:snapToGrid/>
        </w:rPr>
        <w:t>1,873,370</w:t>
      </w:r>
      <w:r>
        <w:rPr>
          <w:rFonts w:hint="eastAsia"/>
          <w:snapToGrid/>
        </w:rPr>
        <w:t>比索</w:t>
      </w:r>
      <w:r>
        <w:rPr>
          <w:snapToGrid/>
        </w:rPr>
        <w:t>(4,043.6</w:t>
      </w:r>
      <w:r>
        <w:rPr>
          <w:rFonts w:hint="eastAsia"/>
          <w:snapToGrid/>
        </w:rPr>
        <w:t>美元</w:t>
      </w:r>
      <w:r>
        <w:rPr>
          <w:snapToGrid/>
        </w:rPr>
        <w:t>)</w:t>
      </w:r>
      <w:r>
        <w:rPr>
          <w:rFonts w:hint="eastAsia"/>
          <w:snapToGrid/>
        </w:rPr>
        <w:t>。</w:t>
      </w:r>
    </w:p>
    <w:p w:rsidR="00000000" w:rsidRDefault="009C1C61">
      <w:pPr>
        <w:spacing w:line="312" w:lineRule="auto"/>
        <w:rPr>
          <w:rFonts w:hint="eastAsia"/>
          <w:snapToGrid/>
        </w:rPr>
      </w:pPr>
      <w:r>
        <w:rPr>
          <w:rFonts w:hint="eastAsia"/>
          <w:snapToGrid/>
        </w:rPr>
        <w:tab/>
        <w:t xml:space="preserve">517.  </w:t>
      </w:r>
      <w:r>
        <w:rPr>
          <w:rFonts w:hint="eastAsia"/>
          <w:snapToGrid/>
        </w:rPr>
        <w:t>从该表中还可以看出，因国家所发补助金，低收入户的收入增加相当大，因为此种补助金具有缩小最穷困户和最富有户每月平均收入的作用。</w:t>
      </w:r>
      <w:r>
        <w:rPr>
          <w:rFonts w:hint="eastAsia"/>
          <w:snapToGrid/>
        </w:rPr>
        <w:t>1998</w:t>
      </w:r>
      <w:r>
        <w:rPr>
          <w:rFonts w:hint="eastAsia"/>
          <w:snapToGrid/>
        </w:rPr>
        <w:t>年，最贫困者的每月平均收入由</w:t>
      </w:r>
      <w:r>
        <w:rPr>
          <w:rFonts w:hint="eastAsia"/>
          <w:snapToGrid/>
        </w:rPr>
        <w:t>55,</w:t>
      </w:r>
      <w:r>
        <w:rPr>
          <w:snapToGrid/>
        </w:rPr>
        <w:t>022</w:t>
      </w:r>
      <w:r>
        <w:rPr>
          <w:rFonts w:hint="eastAsia"/>
          <w:snapToGrid/>
        </w:rPr>
        <w:t>比索</w:t>
      </w:r>
      <w:r>
        <w:rPr>
          <w:snapToGrid/>
        </w:rPr>
        <w:t xml:space="preserve"> (118.7</w:t>
      </w:r>
      <w:r>
        <w:rPr>
          <w:rFonts w:hint="eastAsia"/>
          <w:snapToGrid/>
        </w:rPr>
        <w:t>美元</w:t>
      </w:r>
      <w:r>
        <w:rPr>
          <w:snapToGrid/>
        </w:rPr>
        <w:t>)</w:t>
      </w:r>
      <w:r>
        <w:rPr>
          <w:rFonts w:hint="eastAsia"/>
          <w:snapToGrid/>
        </w:rPr>
        <w:t>增加到</w:t>
      </w:r>
      <w:r>
        <w:rPr>
          <w:snapToGrid/>
        </w:rPr>
        <w:t>67,343</w:t>
      </w:r>
      <w:r>
        <w:rPr>
          <w:rFonts w:hint="eastAsia"/>
          <w:snapToGrid/>
        </w:rPr>
        <w:t>比索</w:t>
      </w:r>
      <w:r>
        <w:rPr>
          <w:rFonts w:hint="eastAsia"/>
          <w:snapToGrid/>
        </w:rPr>
        <w:t>(145.</w:t>
      </w:r>
      <w:r>
        <w:rPr>
          <w:snapToGrid/>
        </w:rPr>
        <w:t>3</w:t>
      </w:r>
      <w:r>
        <w:rPr>
          <w:rFonts w:hint="eastAsia"/>
          <w:snapToGrid/>
        </w:rPr>
        <w:t>美元</w:t>
      </w:r>
      <w:r>
        <w:rPr>
          <w:rFonts w:hint="eastAsia"/>
          <w:snapToGrid/>
        </w:rPr>
        <w:t>)</w:t>
      </w:r>
      <w:r>
        <w:rPr>
          <w:rFonts w:hint="eastAsia"/>
          <w:snapToGrid/>
        </w:rPr>
        <w:t>，十等分层第二层的每月户均收入由</w:t>
      </w:r>
      <w:r>
        <w:rPr>
          <w:snapToGrid/>
        </w:rPr>
        <w:t>118,207</w:t>
      </w:r>
      <w:r>
        <w:rPr>
          <w:rFonts w:hint="eastAsia"/>
          <w:snapToGrid/>
        </w:rPr>
        <w:t>比索</w:t>
      </w:r>
      <w:r>
        <w:rPr>
          <w:snapToGrid/>
        </w:rPr>
        <w:t>(255.1</w:t>
      </w:r>
      <w:r>
        <w:rPr>
          <w:rFonts w:hint="eastAsia"/>
          <w:snapToGrid/>
        </w:rPr>
        <w:t>美元</w:t>
      </w:r>
      <w:r>
        <w:rPr>
          <w:snapToGrid/>
        </w:rPr>
        <w:t>)</w:t>
      </w:r>
      <w:r>
        <w:rPr>
          <w:rFonts w:hint="eastAsia"/>
          <w:snapToGrid/>
        </w:rPr>
        <w:t>增加到</w:t>
      </w:r>
      <w:r>
        <w:rPr>
          <w:snapToGrid/>
        </w:rPr>
        <w:t>126,246</w:t>
      </w:r>
      <w:r>
        <w:rPr>
          <w:rFonts w:hint="eastAsia"/>
          <w:snapToGrid/>
        </w:rPr>
        <w:t>比索</w:t>
      </w:r>
      <w:r>
        <w:rPr>
          <w:snapToGrid/>
        </w:rPr>
        <w:t>(272.4</w:t>
      </w:r>
      <w:r>
        <w:rPr>
          <w:rFonts w:hint="eastAsia"/>
          <w:snapToGrid/>
        </w:rPr>
        <w:t>美元</w:t>
      </w:r>
      <w:r>
        <w:rPr>
          <w:snapToGrid/>
        </w:rPr>
        <w:t>)</w:t>
      </w:r>
      <w:r>
        <w:rPr>
          <w:rFonts w:hint="eastAsia"/>
          <w:snapToGrid/>
        </w:rPr>
        <w:t>。这一增</w:t>
      </w:r>
      <w:r>
        <w:rPr>
          <w:rFonts w:hint="eastAsia"/>
          <w:snapToGrid/>
        </w:rPr>
        <w:t>长从本国所面临的艰难的经济形势来看就特别显著，创下了整个十年增幅最大的纪录。</w:t>
      </w:r>
    </w:p>
    <w:p w:rsidR="00000000" w:rsidRDefault="009C1C61">
      <w:pPr>
        <w:pStyle w:val="Heading3"/>
        <w:spacing w:before="120" w:after="60" w:line="240" w:lineRule="auto"/>
        <w:rPr>
          <w:sz w:val="22"/>
        </w:rPr>
      </w:pPr>
      <w:r>
        <w:rPr>
          <w:rFonts w:hint="eastAsia"/>
          <w:b/>
          <w:bCs/>
        </w:rPr>
        <w:t>表</w:t>
      </w:r>
      <w:r>
        <w:rPr>
          <w:rFonts w:hint="eastAsia"/>
          <w:b/>
          <w:bCs/>
        </w:rPr>
        <w:t xml:space="preserve">  </w:t>
      </w:r>
      <w:r>
        <w:rPr>
          <w:b/>
          <w:bCs/>
        </w:rPr>
        <w:t>21</w:t>
      </w:r>
      <w:r>
        <w:rPr>
          <w:rFonts w:hint="eastAsia"/>
          <w:b/>
          <w:bCs/>
        </w:rPr>
        <w:br/>
      </w:r>
      <w:r>
        <w:rPr>
          <w:b/>
          <w:bCs/>
          <w:sz w:val="22"/>
        </w:rPr>
        <w:t>1990</w:t>
      </w:r>
      <w:r>
        <w:rPr>
          <w:b/>
          <w:bCs/>
          <w:sz w:val="22"/>
        </w:rPr>
        <w:noBreakHyphen/>
        <w:t>1998</w:t>
      </w:r>
      <w:r>
        <w:rPr>
          <w:rFonts w:hint="eastAsia"/>
          <w:sz w:val="22"/>
        </w:rPr>
        <w:t>年按智利居民户人均独立收入的</w:t>
      </w:r>
      <w:r>
        <w:rPr>
          <w:rFonts w:hint="eastAsia"/>
          <w:sz w:val="22"/>
        </w:rPr>
        <w:t xml:space="preserve"> </w:t>
      </w:r>
      <w:r>
        <w:rPr>
          <w:rFonts w:hint="eastAsia"/>
          <w:sz w:val="22"/>
        </w:rPr>
        <w:sym w:font="Symbol" w:char="F02A"/>
      </w:r>
      <w:r>
        <w:rPr>
          <w:sz w:val="22"/>
        </w:rPr>
        <w:br/>
      </w:r>
      <w:r>
        <w:rPr>
          <w:rFonts w:hint="eastAsia"/>
          <w:sz w:val="22"/>
        </w:rPr>
        <w:t>十等分层列出的户均独立收入和货币收入的变化</w:t>
      </w:r>
      <w:r>
        <w:rPr>
          <w:sz w:val="22"/>
        </w:rPr>
        <w:br/>
        <w:t>(</w:t>
      </w:r>
      <w:r>
        <w:rPr>
          <w:rFonts w:hint="eastAsia"/>
          <w:sz w:val="22"/>
        </w:rPr>
        <w:t>百分比</w:t>
      </w:r>
      <w:r>
        <w:rPr>
          <w:sz w:val="22"/>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501"/>
        <w:gridCol w:w="1501"/>
        <w:gridCol w:w="1502"/>
        <w:gridCol w:w="1501"/>
        <w:gridCol w:w="1501"/>
        <w:gridCol w:w="1502"/>
      </w:tblGrid>
      <w:tr w:rsidR="00000000">
        <w:tblPrEx>
          <w:tblCellMar>
            <w:top w:w="0" w:type="dxa"/>
            <w:bottom w:w="0" w:type="dxa"/>
          </w:tblCellMar>
        </w:tblPrEx>
        <w:trPr>
          <w:jc w:val="center"/>
        </w:trPr>
        <w:tc>
          <w:tcPr>
            <w:tcW w:w="9008" w:type="dxa"/>
            <w:gridSpan w:val="6"/>
          </w:tcPr>
          <w:p w:rsidR="00000000" w:rsidRDefault="009C1C61">
            <w:pPr>
              <w:pStyle w:val="a2"/>
              <w:spacing w:line="220" w:lineRule="exact"/>
              <w:jc w:val="center"/>
              <w:rPr>
                <w:rFonts w:hint="eastAsia"/>
                <w:noProof/>
                <w:snapToGrid/>
              </w:rPr>
            </w:pPr>
            <w:r>
              <w:rPr>
                <w:rFonts w:hint="eastAsia"/>
                <w:noProof/>
                <w:snapToGrid/>
              </w:rPr>
              <w:t>独立收入</w:t>
            </w:r>
          </w:p>
        </w:tc>
      </w:tr>
      <w:tr w:rsidR="00000000">
        <w:tblPrEx>
          <w:tblCellMar>
            <w:top w:w="0" w:type="dxa"/>
            <w:bottom w:w="0" w:type="dxa"/>
          </w:tblCellMar>
        </w:tblPrEx>
        <w:trPr>
          <w:jc w:val="center"/>
        </w:trPr>
        <w:tc>
          <w:tcPr>
            <w:tcW w:w="1501" w:type="dxa"/>
          </w:tcPr>
          <w:p w:rsidR="00000000" w:rsidRDefault="009C1C61">
            <w:pPr>
              <w:pStyle w:val="a2"/>
              <w:spacing w:line="220" w:lineRule="exact"/>
              <w:jc w:val="center"/>
              <w:rPr>
                <w:noProof/>
                <w:snapToGrid/>
              </w:rPr>
            </w:pPr>
            <w:r>
              <w:rPr>
                <w:rFonts w:hint="eastAsia"/>
                <w:noProof/>
                <w:snapToGrid/>
              </w:rPr>
              <w:t>十等分层</w:t>
            </w:r>
            <w:r>
              <w:rPr>
                <w:noProof/>
                <w:snapToGrid/>
              </w:rPr>
              <w:t>**</w:t>
            </w:r>
          </w:p>
        </w:tc>
        <w:tc>
          <w:tcPr>
            <w:tcW w:w="1501" w:type="dxa"/>
          </w:tcPr>
          <w:p w:rsidR="00000000" w:rsidRDefault="009C1C61">
            <w:pPr>
              <w:pStyle w:val="a2"/>
              <w:spacing w:line="220" w:lineRule="exact"/>
              <w:jc w:val="center"/>
              <w:rPr>
                <w:noProof/>
                <w:snapToGrid/>
              </w:rPr>
            </w:pPr>
            <w:r>
              <w:rPr>
                <w:noProof/>
                <w:snapToGrid/>
              </w:rPr>
              <w:t>1990-1992</w:t>
            </w:r>
          </w:p>
        </w:tc>
        <w:tc>
          <w:tcPr>
            <w:tcW w:w="1502" w:type="dxa"/>
          </w:tcPr>
          <w:p w:rsidR="00000000" w:rsidRDefault="009C1C61">
            <w:pPr>
              <w:pStyle w:val="a2"/>
              <w:spacing w:line="220" w:lineRule="exact"/>
              <w:jc w:val="center"/>
              <w:rPr>
                <w:noProof/>
                <w:snapToGrid/>
              </w:rPr>
            </w:pPr>
            <w:r>
              <w:rPr>
                <w:noProof/>
                <w:snapToGrid/>
              </w:rPr>
              <w:t>1992-1994</w:t>
            </w:r>
          </w:p>
        </w:tc>
        <w:tc>
          <w:tcPr>
            <w:tcW w:w="1501" w:type="dxa"/>
          </w:tcPr>
          <w:p w:rsidR="00000000" w:rsidRDefault="009C1C61">
            <w:pPr>
              <w:pStyle w:val="a2"/>
              <w:spacing w:line="220" w:lineRule="exact"/>
              <w:jc w:val="center"/>
              <w:rPr>
                <w:noProof/>
                <w:snapToGrid/>
              </w:rPr>
            </w:pPr>
            <w:r>
              <w:rPr>
                <w:noProof/>
                <w:snapToGrid/>
              </w:rPr>
              <w:t>1994-1996</w:t>
            </w:r>
          </w:p>
        </w:tc>
        <w:tc>
          <w:tcPr>
            <w:tcW w:w="1501" w:type="dxa"/>
          </w:tcPr>
          <w:p w:rsidR="00000000" w:rsidRDefault="009C1C61">
            <w:pPr>
              <w:pStyle w:val="a2"/>
              <w:spacing w:line="220" w:lineRule="exact"/>
              <w:jc w:val="center"/>
              <w:rPr>
                <w:noProof/>
                <w:snapToGrid/>
              </w:rPr>
            </w:pPr>
            <w:r>
              <w:rPr>
                <w:noProof/>
                <w:snapToGrid/>
              </w:rPr>
              <w:t>1996-1998</w:t>
            </w:r>
          </w:p>
        </w:tc>
        <w:tc>
          <w:tcPr>
            <w:tcW w:w="1502" w:type="dxa"/>
          </w:tcPr>
          <w:p w:rsidR="00000000" w:rsidRDefault="009C1C61">
            <w:pPr>
              <w:pStyle w:val="a2"/>
              <w:spacing w:line="220" w:lineRule="exact"/>
              <w:jc w:val="center"/>
              <w:rPr>
                <w:noProof/>
                <w:snapToGrid/>
              </w:rPr>
            </w:pPr>
            <w:r>
              <w:rPr>
                <w:noProof/>
                <w:snapToGrid/>
              </w:rPr>
              <w:t>1990-1998</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1</w:t>
            </w:r>
          </w:p>
        </w:tc>
        <w:tc>
          <w:tcPr>
            <w:tcW w:w="1501" w:type="dxa"/>
          </w:tcPr>
          <w:p w:rsidR="00000000" w:rsidRDefault="009C1C61">
            <w:pPr>
              <w:pStyle w:val="a2"/>
              <w:spacing w:line="220" w:lineRule="exact"/>
              <w:ind w:right="113"/>
              <w:jc w:val="right"/>
              <w:rPr>
                <w:noProof/>
                <w:snapToGrid/>
              </w:rPr>
            </w:pPr>
            <w:r>
              <w:rPr>
                <w:noProof/>
                <w:snapToGrid/>
              </w:rPr>
              <w:t>22.9</w:t>
            </w:r>
          </w:p>
        </w:tc>
        <w:tc>
          <w:tcPr>
            <w:tcW w:w="1502" w:type="dxa"/>
          </w:tcPr>
          <w:p w:rsidR="00000000" w:rsidRDefault="009C1C61">
            <w:pPr>
              <w:pStyle w:val="a2"/>
              <w:spacing w:line="220" w:lineRule="exact"/>
              <w:ind w:right="113"/>
              <w:jc w:val="right"/>
              <w:rPr>
                <w:noProof/>
                <w:snapToGrid/>
              </w:rPr>
            </w:pPr>
            <w:r>
              <w:rPr>
                <w:noProof/>
                <w:snapToGrid/>
              </w:rPr>
              <w:t>–5.1</w:t>
            </w:r>
          </w:p>
        </w:tc>
        <w:tc>
          <w:tcPr>
            <w:tcW w:w="1501" w:type="dxa"/>
          </w:tcPr>
          <w:p w:rsidR="00000000" w:rsidRDefault="009C1C61">
            <w:pPr>
              <w:pStyle w:val="a2"/>
              <w:spacing w:line="220" w:lineRule="exact"/>
              <w:ind w:right="113"/>
              <w:jc w:val="right"/>
              <w:rPr>
                <w:noProof/>
                <w:snapToGrid/>
              </w:rPr>
            </w:pPr>
            <w:r>
              <w:rPr>
                <w:noProof/>
                <w:snapToGrid/>
              </w:rPr>
              <w:t>6.1</w:t>
            </w:r>
          </w:p>
        </w:tc>
        <w:tc>
          <w:tcPr>
            <w:tcW w:w="1501" w:type="dxa"/>
          </w:tcPr>
          <w:p w:rsidR="00000000" w:rsidRDefault="009C1C61">
            <w:pPr>
              <w:pStyle w:val="a2"/>
              <w:spacing w:line="220" w:lineRule="exact"/>
              <w:ind w:right="113"/>
              <w:jc w:val="right"/>
              <w:rPr>
                <w:noProof/>
                <w:snapToGrid/>
              </w:rPr>
            </w:pPr>
            <w:r>
              <w:rPr>
                <w:noProof/>
                <w:snapToGrid/>
              </w:rPr>
              <w:t>–0.6</w:t>
            </w:r>
          </w:p>
        </w:tc>
        <w:tc>
          <w:tcPr>
            <w:tcW w:w="1502" w:type="dxa"/>
          </w:tcPr>
          <w:p w:rsidR="00000000" w:rsidRDefault="009C1C61">
            <w:pPr>
              <w:pStyle w:val="a2"/>
              <w:spacing w:line="220" w:lineRule="exact"/>
              <w:ind w:right="113"/>
              <w:jc w:val="right"/>
              <w:rPr>
                <w:noProof/>
                <w:snapToGrid/>
              </w:rPr>
            </w:pPr>
            <w:r>
              <w:rPr>
                <w:noProof/>
                <w:snapToGrid/>
              </w:rPr>
              <w:t>22.9</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2</w:t>
            </w:r>
          </w:p>
        </w:tc>
        <w:tc>
          <w:tcPr>
            <w:tcW w:w="1501" w:type="dxa"/>
          </w:tcPr>
          <w:p w:rsidR="00000000" w:rsidRDefault="009C1C61">
            <w:pPr>
              <w:pStyle w:val="a2"/>
              <w:spacing w:line="220" w:lineRule="exact"/>
              <w:ind w:right="113"/>
              <w:jc w:val="right"/>
              <w:rPr>
                <w:noProof/>
                <w:snapToGrid/>
              </w:rPr>
            </w:pPr>
            <w:r>
              <w:rPr>
                <w:noProof/>
                <w:snapToGrid/>
              </w:rPr>
              <w:t>17.3</w:t>
            </w:r>
          </w:p>
        </w:tc>
        <w:tc>
          <w:tcPr>
            <w:tcW w:w="1502" w:type="dxa"/>
          </w:tcPr>
          <w:p w:rsidR="00000000" w:rsidRDefault="009C1C61">
            <w:pPr>
              <w:pStyle w:val="a2"/>
              <w:spacing w:line="220" w:lineRule="exact"/>
              <w:ind w:right="113"/>
              <w:jc w:val="right"/>
              <w:rPr>
                <w:noProof/>
                <w:snapToGrid/>
              </w:rPr>
            </w:pPr>
            <w:r>
              <w:rPr>
                <w:noProof/>
                <w:snapToGrid/>
              </w:rPr>
              <w:t>4.4</w:t>
            </w:r>
          </w:p>
        </w:tc>
        <w:tc>
          <w:tcPr>
            <w:tcW w:w="1501" w:type="dxa"/>
          </w:tcPr>
          <w:p w:rsidR="00000000" w:rsidRDefault="009C1C61">
            <w:pPr>
              <w:pStyle w:val="a2"/>
              <w:spacing w:line="220" w:lineRule="exact"/>
              <w:ind w:right="113"/>
              <w:jc w:val="right"/>
              <w:rPr>
                <w:noProof/>
                <w:snapToGrid/>
              </w:rPr>
            </w:pPr>
            <w:r>
              <w:rPr>
                <w:noProof/>
                <w:snapToGrid/>
              </w:rPr>
              <w:t>7.5</w:t>
            </w:r>
          </w:p>
        </w:tc>
        <w:tc>
          <w:tcPr>
            <w:tcW w:w="1501" w:type="dxa"/>
          </w:tcPr>
          <w:p w:rsidR="00000000" w:rsidRDefault="009C1C61">
            <w:pPr>
              <w:pStyle w:val="a2"/>
              <w:spacing w:line="220" w:lineRule="exact"/>
              <w:ind w:right="113"/>
              <w:jc w:val="right"/>
              <w:rPr>
                <w:noProof/>
                <w:snapToGrid/>
              </w:rPr>
            </w:pPr>
            <w:r>
              <w:rPr>
                <w:noProof/>
                <w:snapToGrid/>
              </w:rPr>
              <w:t>3.6</w:t>
            </w:r>
          </w:p>
        </w:tc>
        <w:tc>
          <w:tcPr>
            <w:tcW w:w="1502" w:type="dxa"/>
          </w:tcPr>
          <w:p w:rsidR="00000000" w:rsidRDefault="009C1C61">
            <w:pPr>
              <w:pStyle w:val="a2"/>
              <w:spacing w:line="220" w:lineRule="exact"/>
              <w:ind w:right="113"/>
              <w:jc w:val="right"/>
              <w:rPr>
                <w:noProof/>
                <w:snapToGrid/>
              </w:rPr>
            </w:pPr>
            <w:r>
              <w:rPr>
                <w:noProof/>
                <w:snapToGrid/>
              </w:rPr>
              <w:t>36.4</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3</w:t>
            </w:r>
          </w:p>
        </w:tc>
        <w:tc>
          <w:tcPr>
            <w:tcW w:w="1501" w:type="dxa"/>
          </w:tcPr>
          <w:p w:rsidR="00000000" w:rsidRDefault="009C1C61">
            <w:pPr>
              <w:pStyle w:val="a2"/>
              <w:spacing w:line="220" w:lineRule="exact"/>
              <w:ind w:right="113"/>
              <w:jc w:val="right"/>
              <w:rPr>
                <w:noProof/>
                <w:snapToGrid/>
              </w:rPr>
            </w:pPr>
            <w:r>
              <w:rPr>
                <w:noProof/>
                <w:snapToGrid/>
              </w:rPr>
              <w:t>15.3</w:t>
            </w:r>
          </w:p>
        </w:tc>
        <w:tc>
          <w:tcPr>
            <w:tcW w:w="1502" w:type="dxa"/>
          </w:tcPr>
          <w:p w:rsidR="00000000" w:rsidRDefault="009C1C61">
            <w:pPr>
              <w:pStyle w:val="a2"/>
              <w:spacing w:line="220" w:lineRule="exact"/>
              <w:ind w:right="113"/>
              <w:jc w:val="right"/>
              <w:rPr>
                <w:noProof/>
                <w:snapToGrid/>
              </w:rPr>
            </w:pPr>
            <w:r>
              <w:rPr>
                <w:noProof/>
                <w:snapToGrid/>
              </w:rPr>
              <w:t>3.4</w:t>
            </w:r>
          </w:p>
        </w:tc>
        <w:tc>
          <w:tcPr>
            <w:tcW w:w="1501" w:type="dxa"/>
          </w:tcPr>
          <w:p w:rsidR="00000000" w:rsidRDefault="009C1C61">
            <w:pPr>
              <w:pStyle w:val="a2"/>
              <w:spacing w:line="220" w:lineRule="exact"/>
              <w:ind w:right="113"/>
              <w:jc w:val="right"/>
              <w:rPr>
                <w:noProof/>
                <w:snapToGrid/>
              </w:rPr>
            </w:pPr>
            <w:r>
              <w:rPr>
                <w:noProof/>
                <w:snapToGrid/>
              </w:rPr>
              <w:t>12.6</w:t>
            </w:r>
          </w:p>
        </w:tc>
        <w:tc>
          <w:tcPr>
            <w:tcW w:w="1501" w:type="dxa"/>
          </w:tcPr>
          <w:p w:rsidR="00000000" w:rsidRDefault="009C1C61">
            <w:pPr>
              <w:pStyle w:val="a2"/>
              <w:spacing w:line="220" w:lineRule="exact"/>
              <w:ind w:right="113"/>
              <w:jc w:val="right"/>
              <w:rPr>
                <w:noProof/>
                <w:snapToGrid/>
              </w:rPr>
            </w:pPr>
            <w:r>
              <w:rPr>
                <w:noProof/>
                <w:snapToGrid/>
              </w:rPr>
              <w:t>4.6</w:t>
            </w:r>
          </w:p>
        </w:tc>
        <w:tc>
          <w:tcPr>
            <w:tcW w:w="1502" w:type="dxa"/>
          </w:tcPr>
          <w:p w:rsidR="00000000" w:rsidRDefault="009C1C61">
            <w:pPr>
              <w:pStyle w:val="a2"/>
              <w:spacing w:line="220" w:lineRule="exact"/>
              <w:ind w:right="113"/>
              <w:jc w:val="right"/>
              <w:rPr>
                <w:noProof/>
                <w:snapToGrid/>
              </w:rPr>
            </w:pPr>
            <w:r>
              <w:rPr>
                <w:noProof/>
                <w:snapToGrid/>
              </w:rPr>
              <w:t>40.4</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4</w:t>
            </w:r>
          </w:p>
        </w:tc>
        <w:tc>
          <w:tcPr>
            <w:tcW w:w="1501" w:type="dxa"/>
          </w:tcPr>
          <w:p w:rsidR="00000000" w:rsidRDefault="009C1C61">
            <w:pPr>
              <w:pStyle w:val="a2"/>
              <w:spacing w:line="220" w:lineRule="exact"/>
              <w:ind w:right="113"/>
              <w:jc w:val="right"/>
              <w:rPr>
                <w:noProof/>
                <w:snapToGrid/>
              </w:rPr>
            </w:pPr>
            <w:r>
              <w:rPr>
                <w:noProof/>
                <w:snapToGrid/>
              </w:rPr>
              <w:t>18.9</w:t>
            </w:r>
          </w:p>
        </w:tc>
        <w:tc>
          <w:tcPr>
            <w:tcW w:w="1502" w:type="dxa"/>
          </w:tcPr>
          <w:p w:rsidR="00000000" w:rsidRDefault="009C1C61">
            <w:pPr>
              <w:pStyle w:val="a2"/>
              <w:spacing w:line="220" w:lineRule="exact"/>
              <w:ind w:right="113"/>
              <w:jc w:val="right"/>
              <w:rPr>
                <w:noProof/>
                <w:snapToGrid/>
              </w:rPr>
            </w:pPr>
            <w:r>
              <w:rPr>
                <w:noProof/>
                <w:snapToGrid/>
              </w:rPr>
              <w:t>4.9</w:t>
            </w:r>
          </w:p>
        </w:tc>
        <w:tc>
          <w:tcPr>
            <w:tcW w:w="1501" w:type="dxa"/>
          </w:tcPr>
          <w:p w:rsidR="00000000" w:rsidRDefault="009C1C61">
            <w:pPr>
              <w:pStyle w:val="a2"/>
              <w:spacing w:line="220" w:lineRule="exact"/>
              <w:ind w:right="113"/>
              <w:jc w:val="right"/>
              <w:rPr>
                <w:noProof/>
                <w:snapToGrid/>
              </w:rPr>
            </w:pPr>
            <w:r>
              <w:rPr>
                <w:noProof/>
                <w:snapToGrid/>
              </w:rPr>
              <w:t>12.4</w:t>
            </w:r>
          </w:p>
        </w:tc>
        <w:tc>
          <w:tcPr>
            <w:tcW w:w="1501" w:type="dxa"/>
          </w:tcPr>
          <w:p w:rsidR="00000000" w:rsidRDefault="009C1C61">
            <w:pPr>
              <w:pStyle w:val="a2"/>
              <w:spacing w:line="220" w:lineRule="exact"/>
              <w:ind w:right="113"/>
              <w:jc w:val="right"/>
              <w:rPr>
                <w:noProof/>
                <w:snapToGrid/>
              </w:rPr>
            </w:pPr>
            <w:r>
              <w:rPr>
                <w:noProof/>
                <w:snapToGrid/>
              </w:rPr>
              <w:t>6.9</w:t>
            </w:r>
          </w:p>
        </w:tc>
        <w:tc>
          <w:tcPr>
            <w:tcW w:w="1502" w:type="dxa"/>
          </w:tcPr>
          <w:p w:rsidR="00000000" w:rsidRDefault="009C1C61">
            <w:pPr>
              <w:pStyle w:val="a2"/>
              <w:spacing w:line="220" w:lineRule="exact"/>
              <w:ind w:right="113"/>
              <w:jc w:val="right"/>
              <w:rPr>
                <w:noProof/>
                <w:snapToGrid/>
              </w:rPr>
            </w:pPr>
            <w:r>
              <w:rPr>
                <w:noProof/>
                <w:snapToGrid/>
              </w:rPr>
              <w:t>49.8</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5</w:t>
            </w:r>
          </w:p>
        </w:tc>
        <w:tc>
          <w:tcPr>
            <w:tcW w:w="1501" w:type="dxa"/>
          </w:tcPr>
          <w:p w:rsidR="00000000" w:rsidRDefault="009C1C61">
            <w:pPr>
              <w:pStyle w:val="a2"/>
              <w:spacing w:line="220" w:lineRule="exact"/>
              <w:ind w:right="113"/>
              <w:jc w:val="right"/>
              <w:rPr>
                <w:noProof/>
                <w:snapToGrid/>
              </w:rPr>
            </w:pPr>
            <w:r>
              <w:rPr>
                <w:noProof/>
                <w:snapToGrid/>
              </w:rPr>
              <w:t>18.4</w:t>
            </w:r>
          </w:p>
        </w:tc>
        <w:tc>
          <w:tcPr>
            <w:tcW w:w="1502" w:type="dxa"/>
          </w:tcPr>
          <w:p w:rsidR="00000000" w:rsidRDefault="009C1C61">
            <w:pPr>
              <w:pStyle w:val="a2"/>
              <w:spacing w:line="220" w:lineRule="exact"/>
              <w:ind w:right="113"/>
              <w:jc w:val="right"/>
              <w:rPr>
                <w:noProof/>
                <w:snapToGrid/>
              </w:rPr>
            </w:pPr>
            <w:r>
              <w:rPr>
                <w:noProof/>
                <w:snapToGrid/>
              </w:rPr>
              <w:t>5.5</w:t>
            </w:r>
          </w:p>
        </w:tc>
        <w:tc>
          <w:tcPr>
            <w:tcW w:w="1501" w:type="dxa"/>
          </w:tcPr>
          <w:p w:rsidR="00000000" w:rsidRDefault="009C1C61">
            <w:pPr>
              <w:pStyle w:val="a2"/>
              <w:spacing w:line="220" w:lineRule="exact"/>
              <w:ind w:right="113"/>
              <w:jc w:val="right"/>
              <w:rPr>
                <w:noProof/>
                <w:snapToGrid/>
              </w:rPr>
            </w:pPr>
            <w:r>
              <w:rPr>
                <w:noProof/>
                <w:snapToGrid/>
              </w:rPr>
              <w:t>12</w:t>
            </w:r>
          </w:p>
        </w:tc>
        <w:tc>
          <w:tcPr>
            <w:tcW w:w="1501" w:type="dxa"/>
          </w:tcPr>
          <w:p w:rsidR="00000000" w:rsidRDefault="009C1C61">
            <w:pPr>
              <w:pStyle w:val="a2"/>
              <w:spacing w:line="220" w:lineRule="exact"/>
              <w:ind w:right="113"/>
              <w:jc w:val="right"/>
              <w:rPr>
                <w:noProof/>
                <w:snapToGrid/>
              </w:rPr>
            </w:pPr>
            <w:r>
              <w:rPr>
                <w:noProof/>
                <w:snapToGrid/>
              </w:rPr>
              <w:t>3.6</w:t>
            </w:r>
          </w:p>
        </w:tc>
        <w:tc>
          <w:tcPr>
            <w:tcW w:w="1502" w:type="dxa"/>
          </w:tcPr>
          <w:p w:rsidR="00000000" w:rsidRDefault="009C1C61">
            <w:pPr>
              <w:pStyle w:val="a2"/>
              <w:spacing w:line="220" w:lineRule="exact"/>
              <w:ind w:right="113"/>
              <w:jc w:val="right"/>
              <w:rPr>
                <w:noProof/>
                <w:snapToGrid/>
              </w:rPr>
            </w:pPr>
            <w:r>
              <w:rPr>
                <w:noProof/>
                <w:snapToGrid/>
              </w:rPr>
              <w:t>45</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6</w:t>
            </w:r>
          </w:p>
        </w:tc>
        <w:tc>
          <w:tcPr>
            <w:tcW w:w="1501" w:type="dxa"/>
          </w:tcPr>
          <w:p w:rsidR="00000000" w:rsidRDefault="009C1C61">
            <w:pPr>
              <w:pStyle w:val="a2"/>
              <w:spacing w:line="220" w:lineRule="exact"/>
              <w:ind w:right="113"/>
              <w:jc w:val="right"/>
              <w:rPr>
                <w:noProof/>
                <w:snapToGrid/>
              </w:rPr>
            </w:pPr>
            <w:r>
              <w:rPr>
                <w:noProof/>
                <w:snapToGrid/>
              </w:rPr>
              <w:t>9.2</w:t>
            </w:r>
          </w:p>
        </w:tc>
        <w:tc>
          <w:tcPr>
            <w:tcW w:w="1502" w:type="dxa"/>
          </w:tcPr>
          <w:p w:rsidR="00000000" w:rsidRDefault="009C1C61">
            <w:pPr>
              <w:pStyle w:val="a2"/>
              <w:spacing w:line="220" w:lineRule="exact"/>
              <w:ind w:right="113"/>
              <w:jc w:val="right"/>
              <w:rPr>
                <w:noProof/>
                <w:snapToGrid/>
              </w:rPr>
            </w:pPr>
            <w:r>
              <w:rPr>
                <w:noProof/>
                <w:snapToGrid/>
              </w:rPr>
              <w:t>3.2</w:t>
            </w:r>
          </w:p>
        </w:tc>
        <w:tc>
          <w:tcPr>
            <w:tcW w:w="1501" w:type="dxa"/>
          </w:tcPr>
          <w:p w:rsidR="00000000" w:rsidRDefault="009C1C61">
            <w:pPr>
              <w:pStyle w:val="a2"/>
              <w:spacing w:line="220" w:lineRule="exact"/>
              <w:ind w:right="113"/>
              <w:jc w:val="right"/>
              <w:rPr>
                <w:noProof/>
                <w:snapToGrid/>
              </w:rPr>
            </w:pPr>
            <w:r>
              <w:rPr>
                <w:noProof/>
                <w:snapToGrid/>
              </w:rPr>
              <w:t>13.4</w:t>
            </w:r>
          </w:p>
        </w:tc>
        <w:tc>
          <w:tcPr>
            <w:tcW w:w="1501" w:type="dxa"/>
          </w:tcPr>
          <w:p w:rsidR="00000000" w:rsidRDefault="009C1C61">
            <w:pPr>
              <w:pStyle w:val="a2"/>
              <w:spacing w:line="220" w:lineRule="exact"/>
              <w:ind w:right="113"/>
              <w:jc w:val="right"/>
              <w:rPr>
                <w:noProof/>
                <w:snapToGrid/>
              </w:rPr>
            </w:pPr>
            <w:r>
              <w:rPr>
                <w:noProof/>
                <w:snapToGrid/>
              </w:rPr>
              <w:t>6.8</w:t>
            </w:r>
          </w:p>
        </w:tc>
        <w:tc>
          <w:tcPr>
            <w:tcW w:w="1502" w:type="dxa"/>
          </w:tcPr>
          <w:p w:rsidR="00000000" w:rsidRDefault="009C1C61">
            <w:pPr>
              <w:pStyle w:val="a2"/>
              <w:spacing w:line="220" w:lineRule="exact"/>
              <w:ind w:right="113"/>
              <w:jc w:val="right"/>
              <w:rPr>
                <w:noProof/>
                <w:snapToGrid/>
              </w:rPr>
            </w:pPr>
            <w:r>
              <w:rPr>
                <w:noProof/>
                <w:snapToGrid/>
              </w:rPr>
              <w:t>36.5</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7</w:t>
            </w:r>
          </w:p>
        </w:tc>
        <w:tc>
          <w:tcPr>
            <w:tcW w:w="1501" w:type="dxa"/>
          </w:tcPr>
          <w:p w:rsidR="00000000" w:rsidRDefault="009C1C61">
            <w:pPr>
              <w:pStyle w:val="a2"/>
              <w:spacing w:line="220" w:lineRule="exact"/>
              <w:ind w:right="113"/>
              <w:jc w:val="right"/>
              <w:rPr>
                <w:noProof/>
                <w:snapToGrid/>
              </w:rPr>
            </w:pPr>
            <w:r>
              <w:rPr>
                <w:noProof/>
                <w:snapToGrid/>
              </w:rPr>
              <w:t>17.6</w:t>
            </w:r>
          </w:p>
        </w:tc>
        <w:tc>
          <w:tcPr>
            <w:tcW w:w="1502" w:type="dxa"/>
          </w:tcPr>
          <w:p w:rsidR="00000000" w:rsidRDefault="009C1C61">
            <w:pPr>
              <w:pStyle w:val="a2"/>
              <w:spacing w:line="220" w:lineRule="exact"/>
              <w:ind w:right="113"/>
              <w:jc w:val="right"/>
              <w:rPr>
                <w:noProof/>
                <w:snapToGrid/>
              </w:rPr>
            </w:pPr>
            <w:r>
              <w:rPr>
                <w:noProof/>
                <w:snapToGrid/>
              </w:rPr>
              <w:t>6.9</w:t>
            </w:r>
          </w:p>
        </w:tc>
        <w:tc>
          <w:tcPr>
            <w:tcW w:w="1501" w:type="dxa"/>
          </w:tcPr>
          <w:p w:rsidR="00000000" w:rsidRDefault="009C1C61">
            <w:pPr>
              <w:pStyle w:val="a2"/>
              <w:spacing w:line="220" w:lineRule="exact"/>
              <w:ind w:right="113"/>
              <w:jc w:val="right"/>
              <w:rPr>
                <w:noProof/>
                <w:snapToGrid/>
              </w:rPr>
            </w:pPr>
            <w:r>
              <w:rPr>
                <w:noProof/>
                <w:snapToGrid/>
              </w:rPr>
              <w:t>15.4</w:t>
            </w:r>
          </w:p>
        </w:tc>
        <w:tc>
          <w:tcPr>
            <w:tcW w:w="1501" w:type="dxa"/>
          </w:tcPr>
          <w:p w:rsidR="00000000" w:rsidRDefault="009C1C61">
            <w:pPr>
              <w:pStyle w:val="a2"/>
              <w:spacing w:line="220" w:lineRule="exact"/>
              <w:ind w:right="113"/>
              <w:jc w:val="right"/>
              <w:rPr>
                <w:noProof/>
                <w:snapToGrid/>
              </w:rPr>
            </w:pPr>
            <w:r>
              <w:rPr>
                <w:noProof/>
                <w:snapToGrid/>
              </w:rPr>
              <w:t>7.5</w:t>
            </w:r>
          </w:p>
        </w:tc>
        <w:tc>
          <w:tcPr>
            <w:tcW w:w="1502" w:type="dxa"/>
          </w:tcPr>
          <w:p w:rsidR="00000000" w:rsidRDefault="009C1C61">
            <w:pPr>
              <w:pStyle w:val="a2"/>
              <w:spacing w:line="220" w:lineRule="exact"/>
              <w:ind w:right="113"/>
              <w:jc w:val="right"/>
              <w:rPr>
                <w:noProof/>
                <w:snapToGrid/>
              </w:rPr>
            </w:pPr>
            <w:r>
              <w:rPr>
                <w:noProof/>
                <w:snapToGrid/>
              </w:rPr>
              <w:t>55.9</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8</w:t>
            </w:r>
          </w:p>
        </w:tc>
        <w:tc>
          <w:tcPr>
            <w:tcW w:w="1501" w:type="dxa"/>
          </w:tcPr>
          <w:p w:rsidR="00000000" w:rsidRDefault="009C1C61">
            <w:pPr>
              <w:pStyle w:val="a2"/>
              <w:spacing w:line="220" w:lineRule="exact"/>
              <w:ind w:right="113"/>
              <w:jc w:val="right"/>
              <w:rPr>
                <w:noProof/>
                <w:snapToGrid/>
              </w:rPr>
            </w:pPr>
            <w:r>
              <w:rPr>
                <w:noProof/>
                <w:snapToGrid/>
              </w:rPr>
              <w:t>15.2</w:t>
            </w:r>
          </w:p>
        </w:tc>
        <w:tc>
          <w:tcPr>
            <w:tcW w:w="1502" w:type="dxa"/>
          </w:tcPr>
          <w:p w:rsidR="00000000" w:rsidRDefault="009C1C61">
            <w:pPr>
              <w:pStyle w:val="a2"/>
              <w:spacing w:line="220" w:lineRule="exact"/>
              <w:ind w:right="113"/>
              <w:jc w:val="right"/>
              <w:rPr>
                <w:noProof/>
                <w:snapToGrid/>
              </w:rPr>
            </w:pPr>
            <w:r>
              <w:rPr>
                <w:noProof/>
                <w:snapToGrid/>
              </w:rPr>
              <w:t>8.4</w:t>
            </w:r>
          </w:p>
        </w:tc>
        <w:tc>
          <w:tcPr>
            <w:tcW w:w="1501" w:type="dxa"/>
          </w:tcPr>
          <w:p w:rsidR="00000000" w:rsidRDefault="009C1C61">
            <w:pPr>
              <w:pStyle w:val="a2"/>
              <w:spacing w:line="220" w:lineRule="exact"/>
              <w:ind w:right="113"/>
              <w:jc w:val="right"/>
              <w:rPr>
                <w:noProof/>
                <w:snapToGrid/>
              </w:rPr>
            </w:pPr>
            <w:r>
              <w:rPr>
                <w:noProof/>
                <w:snapToGrid/>
              </w:rPr>
              <w:t>19.1</w:t>
            </w:r>
          </w:p>
        </w:tc>
        <w:tc>
          <w:tcPr>
            <w:tcW w:w="1501" w:type="dxa"/>
          </w:tcPr>
          <w:p w:rsidR="00000000" w:rsidRDefault="009C1C61">
            <w:pPr>
              <w:pStyle w:val="a2"/>
              <w:spacing w:line="220" w:lineRule="exact"/>
              <w:ind w:right="113"/>
              <w:jc w:val="right"/>
              <w:rPr>
                <w:noProof/>
                <w:snapToGrid/>
              </w:rPr>
            </w:pPr>
            <w:r>
              <w:rPr>
                <w:noProof/>
                <w:snapToGrid/>
              </w:rPr>
              <w:t>5.1</w:t>
            </w:r>
          </w:p>
        </w:tc>
        <w:tc>
          <w:tcPr>
            <w:tcW w:w="1502" w:type="dxa"/>
          </w:tcPr>
          <w:p w:rsidR="00000000" w:rsidRDefault="009C1C61">
            <w:pPr>
              <w:pStyle w:val="a2"/>
              <w:spacing w:line="220" w:lineRule="exact"/>
              <w:ind w:right="113"/>
              <w:jc w:val="right"/>
              <w:rPr>
                <w:noProof/>
                <w:snapToGrid/>
              </w:rPr>
            </w:pPr>
            <w:r>
              <w:rPr>
                <w:noProof/>
                <w:snapToGrid/>
              </w:rPr>
              <w:t>56.3</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9</w:t>
            </w:r>
          </w:p>
        </w:tc>
        <w:tc>
          <w:tcPr>
            <w:tcW w:w="1501" w:type="dxa"/>
          </w:tcPr>
          <w:p w:rsidR="00000000" w:rsidRDefault="009C1C61">
            <w:pPr>
              <w:pStyle w:val="a2"/>
              <w:spacing w:line="220" w:lineRule="exact"/>
              <w:ind w:right="113"/>
              <w:jc w:val="right"/>
              <w:rPr>
                <w:noProof/>
                <w:snapToGrid/>
              </w:rPr>
            </w:pPr>
            <w:r>
              <w:rPr>
                <w:noProof/>
                <w:snapToGrid/>
              </w:rPr>
              <w:t>10.8</w:t>
            </w:r>
          </w:p>
        </w:tc>
        <w:tc>
          <w:tcPr>
            <w:tcW w:w="1502" w:type="dxa"/>
          </w:tcPr>
          <w:p w:rsidR="00000000" w:rsidRDefault="009C1C61">
            <w:pPr>
              <w:pStyle w:val="a2"/>
              <w:spacing w:line="220" w:lineRule="exact"/>
              <w:ind w:right="113"/>
              <w:jc w:val="right"/>
              <w:rPr>
                <w:noProof/>
                <w:snapToGrid/>
              </w:rPr>
            </w:pPr>
            <w:r>
              <w:rPr>
                <w:noProof/>
                <w:snapToGrid/>
              </w:rPr>
              <w:t>11.7</w:t>
            </w:r>
          </w:p>
        </w:tc>
        <w:tc>
          <w:tcPr>
            <w:tcW w:w="1501" w:type="dxa"/>
          </w:tcPr>
          <w:p w:rsidR="00000000" w:rsidRDefault="009C1C61">
            <w:pPr>
              <w:pStyle w:val="a2"/>
              <w:spacing w:line="220" w:lineRule="exact"/>
              <w:ind w:right="113"/>
              <w:jc w:val="right"/>
              <w:rPr>
                <w:noProof/>
                <w:snapToGrid/>
              </w:rPr>
            </w:pPr>
            <w:r>
              <w:rPr>
                <w:noProof/>
                <w:snapToGrid/>
              </w:rPr>
              <w:t>14.4</w:t>
            </w:r>
          </w:p>
        </w:tc>
        <w:tc>
          <w:tcPr>
            <w:tcW w:w="1501" w:type="dxa"/>
          </w:tcPr>
          <w:p w:rsidR="00000000" w:rsidRDefault="009C1C61">
            <w:pPr>
              <w:pStyle w:val="a2"/>
              <w:spacing w:line="220" w:lineRule="exact"/>
              <w:ind w:right="113"/>
              <w:jc w:val="right"/>
              <w:rPr>
                <w:noProof/>
                <w:snapToGrid/>
              </w:rPr>
            </w:pPr>
            <w:r>
              <w:rPr>
                <w:noProof/>
                <w:snapToGrid/>
              </w:rPr>
              <w:t>9.7</w:t>
            </w:r>
          </w:p>
        </w:tc>
        <w:tc>
          <w:tcPr>
            <w:tcW w:w="1502" w:type="dxa"/>
          </w:tcPr>
          <w:p w:rsidR="00000000" w:rsidRDefault="009C1C61">
            <w:pPr>
              <w:pStyle w:val="a2"/>
              <w:spacing w:line="220" w:lineRule="exact"/>
              <w:ind w:right="113"/>
              <w:jc w:val="right"/>
              <w:rPr>
                <w:noProof/>
                <w:snapToGrid/>
              </w:rPr>
            </w:pPr>
            <w:r>
              <w:rPr>
                <w:noProof/>
                <w:snapToGrid/>
              </w:rPr>
              <w:t>55.3</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10</w:t>
            </w:r>
          </w:p>
        </w:tc>
        <w:tc>
          <w:tcPr>
            <w:tcW w:w="1501" w:type="dxa"/>
          </w:tcPr>
          <w:p w:rsidR="00000000" w:rsidRDefault="009C1C61">
            <w:pPr>
              <w:pStyle w:val="a2"/>
              <w:spacing w:line="220" w:lineRule="exact"/>
              <w:ind w:right="113"/>
              <w:jc w:val="right"/>
              <w:rPr>
                <w:noProof/>
                <w:snapToGrid/>
              </w:rPr>
            </w:pPr>
            <w:r>
              <w:rPr>
                <w:noProof/>
                <w:snapToGrid/>
              </w:rPr>
              <w:t>13.3</w:t>
            </w:r>
          </w:p>
        </w:tc>
        <w:tc>
          <w:tcPr>
            <w:tcW w:w="1502" w:type="dxa"/>
          </w:tcPr>
          <w:p w:rsidR="00000000" w:rsidRDefault="009C1C61">
            <w:pPr>
              <w:pStyle w:val="a2"/>
              <w:spacing w:line="220" w:lineRule="exact"/>
              <w:ind w:right="113"/>
              <w:jc w:val="right"/>
              <w:rPr>
                <w:noProof/>
                <w:snapToGrid/>
              </w:rPr>
            </w:pPr>
            <w:r>
              <w:rPr>
                <w:noProof/>
                <w:snapToGrid/>
              </w:rPr>
              <w:t>6.8</w:t>
            </w:r>
          </w:p>
        </w:tc>
        <w:tc>
          <w:tcPr>
            <w:tcW w:w="1501" w:type="dxa"/>
          </w:tcPr>
          <w:p w:rsidR="00000000" w:rsidRDefault="009C1C61">
            <w:pPr>
              <w:pStyle w:val="a2"/>
              <w:spacing w:line="220" w:lineRule="exact"/>
              <w:ind w:right="113"/>
              <w:jc w:val="right"/>
              <w:rPr>
                <w:noProof/>
                <w:snapToGrid/>
              </w:rPr>
            </w:pPr>
            <w:r>
              <w:rPr>
                <w:noProof/>
                <w:snapToGrid/>
              </w:rPr>
              <w:t>13.3</w:t>
            </w:r>
          </w:p>
        </w:tc>
        <w:tc>
          <w:tcPr>
            <w:tcW w:w="1501" w:type="dxa"/>
          </w:tcPr>
          <w:p w:rsidR="00000000" w:rsidRDefault="009C1C61">
            <w:pPr>
              <w:pStyle w:val="a2"/>
              <w:spacing w:line="220" w:lineRule="exact"/>
              <w:ind w:right="113"/>
              <w:jc w:val="right"/>
              <w:rPr>
                <w:noProof/>
                <w:snapToGrid/>
              </w:rPr>
            </w:pPr>
            <w:r>
              <w:rPr>
                <w:noProof/>
                <w:snapToGrid/>
              </w:rPr>
              <w:t>5.2</w:t>
            </w:r>
          </w:p>
        </w:tc>
        <w:tc>
          <w:tcPr>
            <w:tcW w:w="1502" w:type="dxa"/>
          </w:tcPr>
          <w:p w:rsidR="00000000" w:rsidRDefault="009C1C61">
            <w:pPr>
              <w:pStyle w:val="a2"/>
              <w:spacing w:line="220" w:lineRule="exact"/>
              <w:ind w:right="113"/>
              <w:jc w:val="right"/>
              <w:rPr>
                <w:noProof/>
                <w:snapToGrid/>
              </w:rPr>
            </w:pPr>
            <w:r>
              <w:rPr>
                <w:noProof/>
                <w:snapToGrid/>
              </w:rPr>
              <w:t>44.2</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rFonts w:hint="eastAsia"/>
                <w:noProof/>
                <w:snapToGrid/>
              </w:rPr>
            </w:pPr>
            <w:r>
              <w:rPr>
                <w:rFonts w:hint="eastAsia"/>
                <w:noProof/>
                <w:snapToGrid/>
              </w:rPr>
              <w:t>共计</w:t>
            </w:r>
          </w:p>
        </w:tc>
        <w:tc>
          <w:tcPr>
            <w:tcW w:w="1501" w:type="dxa"/>
          </w:tcPr>
          <w:p w:rsidR="00000000" w:rsidRDefault="009C1C61">
            <w:pPr>
              <w:pStyle w:val="a2"/>
              <w:spacing w:line="220" w:lineRule="exact"/>
              <w:ind w:right="113"/>
              <w:jc w:val="right"/>
              <w:rPr>
                <w:noProof/>
                <w:snapToGrid/>
              </w:rPr>
            </w:pPr>
            <w:r>
              <w:rPr>
                <w:noProof/>
                <w:snapToGrid/>
              </w:rPr>
              <w:t>14</w:t>
            </w:r>
          </w:p>
        </w:tc>
        <w:tc>
          <w:tcPr>
            <w:tcW w:w="1502" w:type="dxa"/>
          </w:tcPr>
          <w:p w:rsidR="00000000" w:rsidRDefault="009C1C61">
            <w:pPr>
              <w:pStyle w:val="a2"/>
              <w:spacing w:line="220" w:lineRule="exact"/>
              <w:ind w:right="113"/>
              <w:jc w:val="right"/>
              <w:rPr>
                <w:noProof/>
                <w:snapToGrid/>
              </w:rPr>
            </w:pPr>
            <w:r>
              <w:rPr>
                <w:noProof/>
                <w:snapToGrid/>
              </w:rPr>
              <w:t>6.9</w:t>
            </w:r>
          </w:p>
        </w:tc>
        <w:tc>
          <w:tcPr>
            <w:tcW w:w="1501" w:type="dxa"/>
          </w:tcPr>
          <w:p w:rsidR="00000000" w:rsidRDefault="009C1C61">
            <w:pPr>
              <w:pStyle w:val="a2"/>
              <w:spacing w:line="220" w:lineRule="exact"/>
              <w:ind w:right="113"/>
              <w:jc w:val="right"/>
              <w:rPr>
                <w:noProof/>
                <w:snapToGrid/>
              </w:rPr>
            </w:pPr>
            <w:r>
              <w:rPr>
                <w:noProof/>
                <w:snapToGrid/>
              </w:rPr>
              <w:t>13.9</w:t>
            </w:r>
          </w:p>
        </w:tc>
        <w:tc>
          <w:tcPr>
            <w:tcW w:w="1501" w:type="dxa"/>
          </w:tcPr>
          <w:p w:rsidR="00000000" w:rsidRDefault="009C1C61">
            <w:pPr>
              <w:pStyle w:val="a2"/>
              <w:spacing w:line="220" w:lineRule="exact"/>
              <w:ind w:right="113"/>
              <w:jc w:val="right"/>
              <w:rPr>
                <w:noProof/>
                <w:snapToGrid/>
              </w:rPr>
            </w:pPr>
            <w:r>
              <w:rPr>
                <w:noProof/>
                <w:snapToGrid/>
              </w:rPr>
              <w:t>6</w:t>
            </w:r>
          </w:p>
        </w:tc>
        <w:tc>
          <w:tcPr>
            <w:tcW w:w="1502" w:type="dxa"/>
          </w:tcPr>
          <w:p w:rsidR="00000000" w:rsidRDefault="009C1C61">
            <w:pPr>
              <w:pStyle w:val="a2"/>
              <w:spacing w:line="220" w:lineRule="exact"/>
              <w:ind w:right="113"/>
              <w:jc w:val="right"/>
              <w:rPr>
                <w:noProof/>
                <w:snapToGrid/>
              </w:rPr>
            </w:pPr>
            <w:r>
              <w:rPr>
                <w:noProof/>
                <w:snapToGrid/>
              </w:rPr>
              <w:t>47.1</w:t>
            </w:r>
          </w:p>
        </w:tc>
      </w:tr>
      <w:tr w:rsidR="00000000">
        <w:tblPrEx>
          <w:tblCellMar>
            <w:top w:w="0" w:type="dxa"/>
            <w:bottom w:w="0" w:type="dxa"/>
          </w:tblCellMar>
        </w:tblPrEx>
        <w:trPr>
          <w:jc w:val="center"/>
        </w:trPr>
        <w:tc>
          <w:tcPr>
            <w:tcW w:w="9008" w:type="dxa"/>
            <w:gridSpan w:val="6"/>
          </w:tcPr>
          <w:p w:rsidR="00000000" w:rsidRDefault="009C1C61">
            <w:pPr>
              <w:pStyle w:val="a2"/>
              <w:spacing w:line="220" w:lineRule="exact"/>
              <w:jc w:val="center"/>
              <w:rPr>
                <w:rFonts w:hint="eastAsia"/>
                <w:noProof/>
                <w:snapToGrid/>
              </w:rPr>
            </w:pPr>
            <w:r>
              <w:rPr>
                <w:rFonts w:hint="eastAsia"/>
                <w:noProof/>
                <w:snapToGrid/>
              </w:rPr>
              <w:t>货币收入</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1</w:t>
            </w:r>
          </w:p>
        </w:tc>
        <w:tc>
          <w:tcPr>
            <w:tcW w:w="1501" w:type="dxa"/>
          </w:tcPr>
          <w:p w:rsidR="00000000" w:rsidRDefault="009C1C61">
            <w:pPr>
              <w:pStyle w:val="a2"/>
              <w:spacing w:line="220" w:lineRule="exact"/>
              <w:ind w:right="113"/>
              <w:jc w:val="right"/>
              <w:rPr>
                <w:noProof/>
                <w:snapToGrid/>
              </w:rPr>
            </w:pPr>
            <w:r>
              <w:rPr>
                <w:noProof/>
                <w:snapToGrid/>
              </w:rPr>
              <w:t>21.7</w:t>
            </w:r>
          </w:p>
        </w:tc>
        <w:tc>
          <w:tcPr>
            <w:tcW w:w="1502" w:type="dxa"/>
          </w:tcPr>
          <w:p w:rsidR="00000000" w:rsidRDefault="009C1C61">
            <w:pPr>
              <w:pStyle w:val="a2"/>
              <w:spacing w:line="220" w:lineRule="exact"/>
              <w:ind w:right="113"/>
              <w:jc w:val="right"/>
              <w:rPr>
                <w:noProof/>
                <w:snapToGrid/>
              </w:rPr>
            </w:pPr>
            <w:r>
              <w:rPr>
                <w:noProof/>
                <w:snapToGrid/>
              </w:rPr>
              <w:t>–4.9</w:t>
            </w:r>
          </w:p>
        </w:tc>
        <w:tc>
          <w:tcPr>
            <w:tcW w:w="1501" w:type="dxa"/>
          </w:tcPr>
          <w:p w:rsidR="00000000" w:rsidRDefault="009C1C61">
            <w:pPr>
              <w:pStyle w:val="a2"/>
              <w:spacing w:line="220" w:lineRule="exact"/>
              <w:ind w:right="113"/>
              <w:jc w:val="right"/>
              <w:rPr>
                <w:noProof/>
                <w:snapToGrid/>
              </w:rPr>
            </w:pPr>
            <w:r>
              <w:rPr>
                <w:noProof/>
                <w:snapToGrid/>
              </w:rPr>
              <w:t>9.7</w:t>
            </w:r>
          </w:p>
        </w:tc>
        <w:tc>
          <w:tcPr>
            <w:tcW w:w="1501" w:type="dxa"/>
          </w:tcPr>
          <w:p w:rsidR="00000000" w:rsidRDefault="009C1C61">
            <w:pPr>
              <w:pStyle w:val="a2"/>
              <w:spacing w:line="220" w:lineRule="exact"/>
              <w:ind w:right="113"/>
              <w:jc w:val="right"/>
              <w:rPr>
                <w:noProof/>
                <w:snapToGrid/>
              </w:rPr>
            </w:pPr>
            <w:r>
              <w:rPr>
                <w:noProof/>
                <w:snapToGrid/>
              </w:rPr>
              <w:t>5.3</w:t>
            </w:r>
          </w:p>
        </w:tc>
        <w:tc>
          <w:tcPr>
            <w:tcW w:w="1502" w:type="dxa"/>
          </w:tcPr>
          <w:p w:rsidR="00000000" w:rsidRDefault="009C1C61">
            <w:pPr>
              <w:pStyle w:val="a2"/>
              <w:spacing w:line="220" w:lineRule="exact"/>
              <w:ind w:right="113"/>
              <w:jc w:val="right"/>
              <w:rPr>
                <w:noProof/>
                <w:snapToGrid/>
              </w:rPr>
            </w:pPr>
            <w:r>
              <w:rPr>
                <w:noProof/>
                <w:snapToGrid/>
              </w:rPr>
              <w:t>33.7</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2</w:t>
            </w:r>
          </w:p>
        </w:tc>
        <w:tc>
          <w:tcPr>
            <w:tcW w:w="1501" w:type="dxa"/>
          </w:tcPr>
          <w:p w:rsidR="00000000" w:rsidRDefault="009C1C61">
            <w:pPr>
              <w:pStyle w:val="a2"/>
              <w:spacing w:line="220" w:lineRule="exact"/>
              <w:ind w:right="113"/>
              <w:jc w:val="right"/>
              <w:rPr>
                <w:noProof/>
                <w:snapToGrid/>
              </w:rPr>
            </w:pPr>
            <w:r>
              <w:rPr>
                <w:noProof/>
                <w:snapToGrid/>
              </w:rPr>
              <w:t>17.3</w:t>
            </w:r>
          </w:p>
        </w:tc>
        <w:tc>
          <w:tcPr>
            <w:tcW w:w="1502" w:type="dxa"/>
          </w:tcPr>
          <w:p w:rsidR="00000000" w:rsidRDefault="009C1C61">
            <w:pPr>
              <w:pStyle w:val="a2"/>
              <w:spacing w:line="220" w:lineRule="exact"/>
              <w:ind w:right="113"/>
              <w:jc w:val="right"/>
              <w:rPr>
                <w:noProof/>
                <w:snapToGrid/>
              </w:rPr>
            </w:pPr>
            <w:r>
              <w:rPr>
                <w:noProof/>
                <w:snapToGrid/>
              </w:rPr>
              <w:t>4</w:t>
            </w:r>
          </w:p>
        </w:tc>
        <w:tc>
          <w:tcPr>
            <w:tcW w:w="1501" w:type="dxa"/>
          </w:tcPr>
          <w:p w:rsidR="00000000" w:rsidRDefault="009C1C61">
            <w:pPr>
              <w:pStyle w:val="a2"/>
              <w:spacing w:line="220" w:lineRule="exact"/>
              <w:ind w:right="113"/>
              <w:jc w:val="right"/>
              <w:rPr>
                <w:noProof/>
                <w:snapToGrid/>
              </w:rPr>
            </w:pPr>
            <w:r>
              <w:rPr>
                <w:noProof/>
                <w:snapToGrid/>
              </w:rPr>
              <w:t>9.1</w:t>
            </w:r>
          </w:p>
        </w:tc>
        <w:tc>
          <w:tcPr>
            <w:tcW w:w="1501" w:type="dxa"/>
          </w:tcPr>
          <w:p w:rsidR="00000000" w:rsidRDefault="009C1C61">
            <w:pPr>
              <w:pStyle w:val="a2"/>
              <w:spacing w:line="220" w:lineRule="exact"/>
              <w:ind w:right="113"/>
              <w:jc w:val="right"/>
              <w:rPr>
                <w:noProof/>
                <w:snapToGrid/>
              </w:rPr>
            </w:pPr>
            <w:r>
              <w:rPr>
                <w:noProof/>
                <w:snapToGrid/>
              </w:rPr>
              <w:t>4.6</w:t>
            </w:r>
          </w:p>
        </w:tc>
        <w:tc>
          <w:tcPr>
            <w:tcW w:w="1502" w:type="dxa"/>
          </w:tcPr>
          <w:p w:rsidR="00000000" w:rsidRDefault="009C1C61">
            <w:pPr>
              <w:pStyle w:val="a2"/>
              <w:spacing w:line="220" w:lineRule="exact"/>
              <w:ind w:right="113"/>
              <w:jc w:val="right"/>
              <w:rPr>
                <w:noProof/>
                <w:snapToGrid/>
              </w:rPr>
            </w:pPr>
            <w:r>
              <w:rPr>
                <w:noProof/>
                <w:snapToGrid/>
              </w:rPr>
              <w:t>39.1</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3</w:t>
            </w:r>
          </w:p>
        </w:tc>
        <w:tc>
          <w:tcPr>
            <w:tcW w:w="1501" w:type="dxa"/>
          </w:tcPr>
          <w:p w:rsidR="00000000" w:rsidRDefault="009C1C61">
            <w:pPr>
              <w:pStyle w:val="a2"/>
              <w:spacing w:line="220" w:lineRule="exact"/>
              <w:ind w:right="113"/>
              <w:jc w:val="right"/>
              <w:rPr>
                <w:noProof/>
                <w:snapToGrid/>
              </w:rPr>
            </w:pPr>
            <w:r>
              <w:rPr>
                <w:noProof/>
                <w:snapToGrid/>
              </w:rPr>
              <w:t>15.4</w:t>
            </w:r>
          </w:p>
        </w:tc>
        <w:tc>
          <w:tcPr>
            <w:tcW w:w="1502" w:type="dxa"/>
          </w:tcPr>
          <w:p w:rsidR="00000000" w:rsidRDefault="009C1C61">
            <w:pPr>
              <w:pStyle w:val="a2"/>
              <w:spacing w:line="220" w:lineRule="exact"/>
              <w:ind w:right="113"/>
              <w:jc w:val="right"/>
              <w:rPr>
                <w:noProof/>
                <w:snapToGrid/>
              </w:rPr>
            </w:pPr>
            <w:r>
              <w:rPr>
                <w:noProof/>
                <w:snapToGrid/>
              </w:rPr>
              <w:t>3.1</w:t>
            </w:r>
          </w:p>
        </w:tc>
        <w:tc>
          <w:tcPr>
            <w:tcW w:w="1501" w:type="dxa"/>
          </w:tcPr>
          <w:p w:rsidR="00000000" w:rsidRDefault="009C1C61">
            <w:pPr>
              <w:pStyle w:val="a2"/>
              <w:spacing w:line="220" w:lineRule="exact"/>
              <w:ind w:right="113"/>
              <w:jc w:val="right"/>
              <w:rPr>
                <w:noProof/>
                <w:snapToGrid/>
              </w:rPr>
            </w:pPr>
            <w:r>
              <w:rPr>
                <w:noProof/>
                <w:snapToGrid/>
              </w:rPr>
              <w:t>13.</w:t>
            </w:r>
            <w:r>
              <w:rPr>
                <w:noProof/>
                <w:snapToGrid/>
              </w:rPr>
              <w:t>9</w:t>
            </w:r>
          </w:p>
        </w:tc>
        <w:tc>
          <w:tcPr>
            <w:tcW w:w="1501" w:type="dxa"/>
          </w:tcPr>
          <w:p w:rsidR="00000000" w:rsidRDefault="009C1C61">
            <w:pPr>
              <w:pStyle w:val="a2"/>
              <w:spacing w:line="220" w:lineRule="exact"/>
              <w:ind w:right="113"/>
              <w:jc w:val="right"/>
              <w:rPr>
                <w:noProof/>
                <w:snapToGrid/>
              </w:rPr>
            </w:pPr>
            <w:r>
              <w:rPr>
                <w:noProof/>
                <w:snapToGrid/>
              </w:rPr>
              <w:t>4.7</w:t>
            </w:r>
          </w:p>
        </w:tc>
        <w:tc>
          <w:tcPr>
            <w:tcW w:w="1502" w:type="dxa"/>
          </w:tcPr>
          <w:p w:rsidR="00000000" w:rsidRDefault="009C1C61">
            <w:pPr>
              <w:pStyle w:val="a2"/>
              <w:spacing w:line="220" w:lineRule="exact"/>
              <w:ind w:right="113"/>
              <w:jc w:val="right"/>
              <w:rPr>
                <w:noProof/>
                <w:snapToGrid/>
              </w:rPr>
            </w:pPr>
            <w:r>
              <w:rPr>
                <w:noProof/>
                <w:snapToGrid/>
              </w:rPr>
              <w:t>41.9</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4</w:t>
            </w:r>
          </w:p>
        </w:tc>
        <w:tc>
          <w:tcPr>
            <w:tcW w:w="1501" w:type="dxa"/>
          </w:tcPr>
          <w:p w:rsidR="00000000" w:rsidRDefault="009C1C61">
            <w:pPr>
              <w:pStyle w:val="a2"/>
              <w:spacing w:line="220" w:lineRule="exact"/>
              <w:ind w:right="113"/>
              <w:jc w:val="right"/>
              <w:rPr>
                <w:noProof/>
                <w:snapToGrid/>
              </w:rPr>
            </w:pPr>
            <w:r>
              <w:rPr>
                <w:noProof/>
                <w:snapToGrid/>
              </w:rPr>
              <w:t>18.7</w:t>
            </w:r>
          </w:p>
        </w:tc>
        <w:tc>
          <w:tcPr>
            <w:tcW w:w="1502" w:type="dxa"/>
          </w:tcPr>
          <w:p w:rsidR="00000000" w:rsidRDefault="009C1C61">
            <w:pPr>
              <w:pStyle w:val="a2"/>
              <w:spacing w:line="220" w:lineRule="exact"/>
              <w:ind w:right="113"/>
              <w:jc w:val="right"/>
              <w:rPr>
                <w:noProof/>
                <w:snapToGrid/>
              </w:rPr>
            </w:pPr>
            <w:r>
              <w:rPr>
                <w:noProof/>
                <w:snapToGrid/>
              </w:rPr>
              <w:t>4.5</w:t>
            </w:r>
          </w:p>
        </w:tc>
        <w:tc>
          <w:tcPr>
            <w:tcW w:w="1501" w:type="dxa"/>
          </w:tcPr>
          <w:p w:rsidR="00000000" w:rsidRDefault="009C1C61">
            <w:pPr>
              <w:pStyle w:val="a2"/>
              <w:spacing w:line="220" w:lineRule="exact"/>
              <w:ind w:right="113"/>
              <w:jc w:val="right"/>
              <w:rPr>
                <w:noProof/>
                <w:snapToGrid/>
              </w:rPr>
            </w:pPr>
            <w:r>
              <w:rPr>
                <w:noProof/>
                <w:snapToGrid/>
              </w:rPr>
              <w:t>13.3</w:t>
            </w:r>
          </w:p>
        </w:tc>
        <w:tc>
          <w:tcPr>
            <w:tcW w:w="1501" w:type="dxa"/>
          </w:tcPr>
          <w:p w:rsidR="00000000" w:rsidRDefault="009C1C61">
            <w:pPr>
              <w:pStyle w:val="a2"/>
              <w:spacing w:line="220" w:lineRule="exact"/>
              <w:ind w:right="113"/>
              <w:jc w:val="right"/>
              <w:rPr>
                <w:noProof/>
                <w:snapToGrid/>
              </w:rPr>
            </w:pPr>
            <w:r>
              <w:rPr>
                <w:noProof/>
                <w:snapToGrid/>
              </w:rPr>
              <w:t>6.5</w:t>
            </w:r>
          </w:p>
        </w:tc>
        <w:tc>
          <w:tcPr>
            <w:tcW w:w="1502" w:type="dxa"/>
          </w:tcPr>
          <w:p w:rsidR="00000000" w:rsidRDefault="009C1C61">
            <w:pPr>
              <w:pStyle w:val="a2"/>
              <w:spacing w:line="220" w:lineRule="exact"/>
              <w:ind w:right="113"/>
              <w:jc w:val="right"/>
              <w:rPr>
                <w:noProof/>
                <w:snapToGrid/>
              </w:rPr>
            </w:pPr>
            <w:r>
              <w:rPr>
                <w:noProof/>
                <w:snapToGrid/>
              </w:rPr>
              <w:t>49.7</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5</w:t>
            </w:r>
          </w:p>
        </w:tc>
        <w:tc>
          <w:tcPr>
            <w:tcW w:w="1501" w:type="dxa"/>
          </w:tcPr>
          <w:p w:rsidR="00000000" w:rsidRDefault="009C1C61">
            <w:pPr>
              <w:pStyle w:val="a2"/>
              <w:spacing w:line="220" w:lineRule="exact"/>
              <w:ind w:right="113"/>
              <w:jc w:val="right"/>
              <w:rPr>
                <w:noProof/>
                <w:snapToGrid/>
              </w:rPr>
            </w:pPr>
            <w:r>
              <w:rPr>
                <w:noProof/>
                <w:snapToGrid/>
              </w:rPr>
              <w:t>18.3</w:t>
            </w:r>
          </w:p>
        </w:tc>
        <w:tc>
          <w:tcPr>
            <w:tcW w:w="1502" w:type="dxa"/>
          </w:tcPr>
          <w:p w:rsidR="00000000" w:rsidRDefault="009C1C61">
            <w:pPr>
              <w:pStyle w:val="a2"/>
              <w:spacing w:line="220" w:lineRule="exact"/>
              <w:ind w:right="113"/>
              <w:jc w:val="right"/>
              <w:rPr>
                <w:noProof/>
                <w:snapToGrid/>
              </w:rPr>
            </w:pPr>
            <w:r>
              <w:rPr>
                <w:noProof/>
                <w:snapToGrid/>
              </w:rPr>
              <w:t>5.3</w:t>
            </w:r>
          </w:p>
        </w:tc>
        <w:tc>
          <w:tcPr>
            <w:tcW w:w="1501" w:type="dxa"/>
          </w:tcPr>
          <w:p w:rsidR="00000000" w:rsidRDefault="009C1C61">
            <w:pPr>
              <w:pStyle w:val="a2"/>
              <w:spacing w:line="220" w:lineRule="exact"/>
              <w:ind w:right="113"/>
              <w:jc w:val="right"/>
              <w:rPr>
                <w:noProof/>
                <w:snapToGrid/>
              </w:rPr>
            </w:pPr>
            <w:r>
              <w:rPr>
                <w:noProof/>
                <w:snapToGrid/>
              </w:rPr>
              <w:t>12.9</w:t>
            </w:r>
          </w:p>
        </w:tc>
        <w:tc>
          <w:tcPr>
            <w:tcW w:w="1501" w:type="dxa"/>
          </w:tcPr>
          <w:p w:rsidR="00000000" w:rsidRDefault="009C1C61">
            <w:pPr>
              <w:pStyle w:val="a2"/>
              <w:spacing w:line="220" w:lineRule="exact"/>
              <w:ind w:right="113"/>
              <w:jc w:val="right"/>
              <w:rPr>
                <w:noProof/>
                <w:snapToGrid/>
              </w:rPr>
            </w:pPr>
            <w:r>
              <w:rPr>
                <w:noProof/>
                <w:snapToGrid/>
              </w:rPr>
              <w:t>3.1</w:t>
            </w:r>
          </w:p>
        </w:tc>
        <w:tc>
          <w:tcPr>
            <w:tcW w:w="1502" w:type="dxa"/>
          </w:tcPr>
          <w:p w:rsidR="00000000" w:rsidRDefault="009C1C61">
            <w:pPr>
              <w:pStyle w:val="a2"/>
              <w:spacing w:line="220" w:lineRule="exact"/>
              <w:ind w:right="113"/>
              <w:jc w:val="right"/>
              <w:rPr>
                <w:noProof/>
                <w:snapToGrid/>
              </w:rPr>
            </w:pPr>
            <w:r>
              <w:rPr>
                <w:noProof/>
                <w:snapToGrid/>
              </w:rPr>
              <w:t>45</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6</w:t>
            </w:r>
          </w:p>
        </w:tc>
        <w:tc>
          <w:tcPr>
            <w:tcW w:w="1501" w:type="dxa"/>
          </w:tcPr>
          <w:p w:rsidR="00000000" w:rsidRDefault="009C1C61">
            <w:pPr>
              <w:pStyle w:val="a2"/>
              <w:spacing w:line="220" w:lineRule="exact"/>
              <w:ind w:right="113"/>
              <w:jc w:val="right"/>
              <w:rPr>
                <w:noProof/>
                <w:snapToGrid/>
              </w:rPr>
            </w:pPr>
            <w:r>
              <w:rPr>
                <w:noProof/>
                <w:snapToGrid/>
              </w:rPr>
              <w:t>9</w:t>
            </w:r>
          </w:p>
        </w:tc>
        <w:tc>
          <w:tcPr>
            <w:tcW w:w="1502" w:type="dxa"/>
          </w:tcPr>
          <w:p w:rsidR="00000000" w:rsidRDefault="009C1C61">
            <w:pPr>
              <w:pStyle w:val="a2"/>
              <w:spacing w:line="220" w:lineRule="exact"/>
              <w:ind w:right="113"/>
              <w:jc w:val="right"/>
              <w:rPr>
                <w:noProof/>
                <w:snapToGrid/>
              </w:rPr>
            </w:pPr>
            <w:r>
              <w:rPr>
                <w:noProof/>
                <w:snapToGrid/>
              </w:rPr>
              <w:t>3</w:t>
            </w:r>
          </w:p>
        </w:tc>
        <w:tc>
          <w:tcPr>
            <w:tcW w:w="1501" w:type="dxa"/>
          </w:tcPr>
          <w:p w:rsidR="00000000" w:rsidRDefault="009C1C61">
            <w:pPr>
              <w:pStyle w:val="a2"/>
              <w:spacing w:line="220" w:lineRule="exact"/>
              <w:ind w:right="113"/>
              <w:jc w:val="right"/>
              <w:rPr>
                <w:noProof/>
                <w:snapToGrid/>
              </w:rPr>
            </w:pPr>
            <w:r>
              <w:rPr>
                <w:noProof/>
                <w:snapToGrid/>
              </w:rPr>
              <w:t>14</w:t>
            </w:r>
          </w:p>
        </w:tc>
        <w:tc>
          <w:tcPr>
            <w:tcW w:w="1501" w:type="dxa"/>
          </w:tcPr>
          <w:p w:rsidR="00000000" w:rsidRDefault="009C1C61">
            <w:pPr>
              <w:pStyle w:val="a2"/>
              <w:spacing w:line="220" w:lineRule="exact"/>
              <w:ind w:right="113"/>
              <w:jc w:val="right"/>
              <w:rPr>
                <w:noProof/>
                <w:snapToGrid/>
              </w:rPr>
            </w:pPr>
            <w:r>
              <w:rPr>
                <w:noProof/>
                <w:snapToGrid/>
              </w:rPr>
              <w:t>6.5</w:t>
            </w:r>
          </w:p>
        </w:tc>
        <w:tc>
          <w:tcPr>
            <w:tcW w:w="1502" w:type="dxa"/>
          </w:tcPr>
          <w:p w:rsidR="00000000" w:rsidRDefault="009C1C61">
            <w:pPr>
              <w:pStyle w:val="a2"/>
              <w:spacing w:line="220" w:lineRule="exact"/>
              <w:ind w:right="113"/>
              <w:jc w:val="right"/>
              <w:rPr>
                <w:noProof/>
                <w:snapToGrid/>
              </w:rPr>
            </w:pPr>
            <w:r>
              <w:rPr>
                <w:noProof/>
                <w:snapToGrid/>
              </w:rPr>
              <w:t>36.3</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7</w:t>
            </w:r>
          </w:p>
        </w:tc>
        <w:tc>
          <w:tcPr>
            <w:tcW w:w="1501" w:type="dxa"/>
          </w:tcPr>
          <w:p w:rsidR="00000000" w:rsidRDefault="009C1C61">
            <w:pPr>
              <w:pStyle w:val="a2"/>
              <w:spacing w:line="220" w:lineRule="exact"/>
              <w:ind w:right="113"/>
              <w:jc w:val="right"/>
              <w:rPr>
                <w:noProof/>
                <w:snapToGrid/>
              </w:rPr>
            </w:pPr>
            <w:r>
              <w:rPr>
                <w:noProof/>
                <w:snapToGrid/>
              </w:rPr>
              <w:t>17.3</w:t>
            </w:r>
          </w:p>
        </w:tc>
        <w:tc>
          <w:tcPr>
            <w:tcW w:w="1502" w:type="dxa"/>
          </w:tcPr>
          <w:p w:rsidR="00000000" w:rsidRDefault="009C1C61">
            <w:pPr>
              <w:pStyle w:val="a2"/>
              <w:spacing w:line="220" w:lineRule="exact"/>
              <w:ind w:right="113"/>
              <w:jc w:val="right"/>
              <w:rPr>
                <w:noProof/>
                <w:snapToGrid/>
              </w:rPr>
            </w:pPr>
            <w:r>
              <w:rPr>
                <w:noProof/>
                <w:snapToGrid/>
              </w:rPr>
              <w:t>6.8</w:t>
            </w:r>
          </w:p>
        </w:tc>
        <w:tc>
          <w:tcPr>
            <w:tcW w:w="1501" w:type="dxa"/>
          </w:tcPr>
          <w:p w:rsidR="00000000" w:rsidRDefault="009C1C61">
            <w:pPr>
              <w:pStyle w:val="a2"/>
              <w:spacing w:line="220" w:lineRule="exact"/>
              <w:ind w:right="113"/>
              <w:jc w:val="right"/>
              <w:rPr>
                <w:noProof/>
                <w:snapToGrid/>
              </w:rPr>
            </w:pPr>
            <w:r>
              <w:rPr>
                <w:noProof/>
                <w:snapToGrid/>
              </w:rPr>
              <w:t>15.5</w:t>
            </w:r>
          </w:p>
        </w:tc>
        <w:tc>
          <w:tcPr>
            <w:tcW w:w="1501" w:type="dxa"/>
          </w:tcPr>
          <w:p w:rsidR="00000000" w:rsidRDefault="009C1C61">
            <w:pPr>
              <w:pStyle w:val="a2"/>
              <w:spacing w:line="220" w:lineRule="exact"/>
              <w:ind w:right="113"/>
              <w:jc w:val="right"/>
              <w:rPr>
                <w:noProof/>
                <w:snapToGrid/>
              </w:rPr>
            </w:pPr>
            <w:r>
              <w:rPr>
                <w:noProof/>
                <w:snapToGrid/>
              </w:rPr>
              <w:t>7.3</w:t>
            </w:r>
          </w:p>
        </w:tc>
        <w:tc>
          <w:tcPr>
            <w:tcW w:w="1502" w:type="dxa"/>
          </w:tcPr>
          <w:p w:rsidR="00000000" w:rsidRDefault="009C1C61">
            <w:pPr>
              <w:pStyle w:val="a2"/>
              <w:spacing w:line="220" w:lineRule="exact"/>
              <w:ind w:right="113"/>
              <w:jc w:val="right"/>
              <w:rPr>
                <w:noProof/>
                <w:snapToGrid/>
              </w:rPr>
            </w:pPr>
            <w:r>
              <w:rPr>
                <w:noProof/>
                <w:snapToGrid/>
              </w:rPr>
              <w:t>55.4</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8</w:t>
            </w:r>
          </w:p>
        </w:tc>
        <w:tc>
          <w:tcPr>
            <w:tcW w:w="1501" w:type="dxa"/>
          </w:tcPr>
          <w:p w:rsidR="00000000" w:rsidRDefault="009C1C61">
            <w:pPr>
              <w:pStyle w:val="a2"/>
              <w:spacing w:line="220" w:lineRule="exact"/>
              <w:ind w:right="113"/>
              <w:jc w:val="right"/>
              <w:rPr>
                <w:noProof/>
                <w:snapToGrid/>
              </w:rPr>
            </w:pPr>
            <w:r>
              <w:rPr>
                <w:noProof/>
                <w:snapToGrid/>
              </w:rPr>
              <w:t>15.1</w:t>
            </w:r>
          </w:p>
        </w:tc>
        <w:tc>
          <w:tcPr>
            <w:tcW w:w="1502" w:type="dxa"/>
          </w:tcPr>
          <w:p w:rsidR="00000000" w:rsidRDefault="009C1C61">
            <w:pPr>
              <w:pStyle w:val="a2"/>
              <w:spacing w:line="220" w:lineRule="exact"/>
              <w:ind w:right="113"/>
              <w:jc w:val="right"/>
              <w:rPr>
                <w:noProof/>
                <w:snapToGrid/>
              </w:rPr>
            </w:pPr>
            <w:r>
              <w:rPr>
                <w:noProof/>
                <w:snapToGrid/>
              </w:rPr>
              <w:t>8.2</w:t>
            </w:r>
          </w:p>
        </w:tc>
        <w:tc>
          <w:tcPr>
            <w:tcW w:w="1501" w:type="dxa"/>
          </w:tcPr>
          <w:p w:rsidR="00000000" w:rsidRDefault="009C1C61">
            <w:pPr>
              <w:pStyle w:val="a2"/>
              <w:spacing w:line="220" w:lineRule="exact"/>
              <w:ind w:right="113"/>
              <w:jc w:val="right"/>
              <w:rPr>
                <w:noProof/>
                <w:snapToGrid/>
              </w:rPr>
            </w:pPr>
            <w:r>
              <w:rPr>
                <w:noProof/>
                <w:snapToGrid/>
              </w:rPr>
              <w:t>19.2</w:t>
            </w:r>
          </w:p>
        </w:tc>
        <w:tc>
          <w:tcPr>
            <w:tcW w:w="1501" w:type="dxa"/>
          </w:tcPr>
          <w:p w:rsidR="00000000" w:rsidRDefault="009C1C61">
            <w:pPr>
              <w:pStyle w:val="a2"/>
              <w:spacing w:line="220" w:lineRule="exact"/>
              <w:ind w:right="113"/>
              <w:jc w:val="right"/>
              <w:rPr>
                <w:noProof/>
                <w:snapToGrid/>
              </w:rPr>
            </w:pPr>
            <w:r>
              <w:rPr>
                <w:noProof/>
                <w:snapToGrid/>
              </w:rPr>
              <w:t>5</w:t>
            </w:r>
          </w:p>
        </w:tc>
        <w:tc>
          <w:tcPr>
            <w:tcW w:w="1502" w:type="dxa"/>
          </w:tcPr>
          <w:p w:rsidR="00000000" w:rsidRDefault="009C1C61">
            <w:pPr>
              <w:pStyle w:val="a2"/>
              <w:spacing w:line="220" w:lineRule="exact"/>
              <w:ind w:right="113"/>
              <w:jc w:val="right"/>
              <w:rPr>
                <w:noProof/>
                <w:snapToGrid/>
              </w:rPr>
            </w:pPr>
            <w:r>
              <w:rPr>
                <w:noProof/>
                <w:snapToGrid/>
              </w:rPr>
              <w:t>55.9</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9</w:t>
            </w:r>
          </w:p>
        </w:tc>
        <w:tc>
          <w:tcPr>
            <w:tcW w:w="1501" w:type="dxa"/>
          </w:tcPr>
          <w:p w:rsidR="00000000" w:rsidRDefault="009C1C61">
            <w:pPr>
              <w:pStyle w:val="a2"/>
              <w:spacing w:line="220" w:lineRule="exact"/>
              <w:ind w:right="113"/>
              <w:jc w:val="right"/>
              <w:rPr>
                <w:noProof/>
                <w:snapToGrid/>
              </w:rPr>
            </w:pPr>
            <w:r>
              <w:rPr>
                <w:noProof/>
                <w:snapToGrid/>
              </w:rPr>
              <w:t>10.7</w:t>
            </w:r>
          </w:p>
        </w:tc>
        <w:tc>
          <w:tcPr>
            <w:tcW w:w="1502" w:type="dxa"/>
          </w:tcPr>
          <w:p w:rsidR="00000000" w:rsidRDefault="009C1C61">
            <w:pPr>
              <w:pStyle w:val="a2"/>
              <w:spacing w:line="220" w:lineRule="exact"/>
              <w:ind w:right="113"/>
              <w:jc w:val="right"/>
              <w:rPr>
                <w:noProof/>
                <w:snapToGrid/>
              </w:rPr>
            </w:pPr>
            <w:r>
              <w:rPr>
                <w:noProof/>
                <w:snapToGrid/>
              </w:rPr>
              <w:t>11.6</w:t>
            </w:r>
          </w:p>
        </w:tc>
        <w:tc>
          <w:tcPr>
            <w:tcW w:w="1501" w:type="dxa"/>
          </w:tcPr>
          <w:p w:rsidR="00000000" w:rsidRDefault="009C1C61">
            <w:pPr>
              <w:pStyle w:val="a2"/>
              <w:spacing w:line="220" w:lineRule="exact"/>
              <w:ind w:right="113"/>
              <w:jc w:val="right"/>
              <w:rPr>
                <w:noProof/>
                <w:snapToGrid/>
              </w:rPr>
            </w:pPr>
            <w:r>
              <w:rPr>
                <w:noProof/>
                <w:snapToGrid/>
              </w:rPr>
              <w:t>14.4</w:t>
            </w:r>
          </w:p>
        </w:tc>
        <w:tc>
          <w:tcPr>
            <w:tcW w:w="1501" w:type="dxa"/>
          </w:tcPr>
          <w:p w:rsidR="00000000" w:rsidRDefault="009C1C61">
            <w:pPr>
              <w:pStyle w:val="a2"/>
              <w:spacing w:line="220" w:lineRule="exact"/>
              <w:ind w:right="113"/>
              <w:jc w:val="right"/>
              <w:rPr>
                <w:noProof/>
                <w:snapToGrid/>
              </w:rPr>
            </w:pPr>
            <w:r>
              <w:rPr>
                <w:noProof/>
                <w:snapToGrid/>
              </w:rPr>
              <w:t>9.7</w:t>
            </w:r>
          </w:p>
        </w:tc>
        <w:tc>
          <w:tcPr>
            <w:tcW w:w="1502" w:type="dxa"/>
          </w:tcPr>
          <w:p w:rsidR="00000000" w:rsidRDefault="009C1C61">
            <w:pPr>
              <w:pStyle w:val="a2"/>
              <w:spacing w:line="220" w:lineRule="exact"/>
              <w:ind w:right="113"/>
              <w:jc w:val="right"/>
              <w:rPr>
                <w:noProof/>
                <w:snapToGrid/>
              </w:rPr>
            </w:pPr>
            <w:r>
              <w:rPr>
                <w:noProof/>
                <w:snapToGrid/>
              </w:rPr>
              <w:t>55</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noProof/>
                <w:snapToGrid/>
              </w:rPr>
            </w:pPr>
            <w:r>
              <w:rPr>
                <w:noProof/>
                <w:snapToGrid/>
              </w:rPr>
              <w:t>10</w:t>
            </w:r>
          </w:p>
        </w:tc>
        <w:tc>
          <w:tcPr>
            <w:tcW w:w="1501" w:type="dxa"/>
          </w:tcPr>
          <w:p w:rsidR="00000000" w:rsidRDefault="009C1C61">
            <w:pPr>
              <w:pStyle w:val="a2"/>
              <w:spacing w:line="220" w:lineRule="exact"/>
              <w:ind w:right="113"/>
              <w:jc w:val="right"/>
              <w:rPr>
                <w:noProof/>
                <w:snapToGrid/>
              </w:rPr>
            </w:pPr>
            <w:r>
              <w:rPr>
                <w:noProof/>
                <w:snapToGrid/>
              </w:rPr>
              <w:t>13.3</w:t>
            </w:r>
          </w:p>
        </w:tc>
        <w:tc>
          <w:tcPr>
            <w:tcW w:w="1502" w:type="dxa"/>
          </w:tcPr>
          <w:p w:rsidR="00000000" w:rsidRDefault="009C1C61">
            <w:pPr>
              <w:pStyle w:val="a2"/>
              <w:spacing w:line="220" w:lineRule="exact"/>
              <w:ind w:right="113"/>
              <w:jc w:val="right"/>
              <w:rPr>
                <w:noProof/>
                <w:snapToGrid/>
              </w:rPr>
            </w:pPr>
            <w:r>
              <w:rPr>
                <w:noProof/>
                <w:snapToGrid/>
              </w:rPr>
              <w:t>6.8</w:t>
            </w:r>
          </w:p>
        </w:tc>
        <w:tc>
          <w:tcPr>
            <w:tcW w:w="1501" w:type="dxa"/>
          </w:tcPr>
          <w:p w:rsidR="00000000" w:rsidRDefault="009C1C61">
            <w:pPr>
              <w:pStyle w:val="a2"/>
              <w:spacing w:line="220" w:lineRule="exact"/>
              <w:ind w:right="113"/>
              <w:jc w:val="right"/>
              <w:rPr>
                <w:noProof/>
                <w:snapToGrid/>
              </w:rPr>
            </w:pPr>
            <w:r>
              <w:rPr>
                <w:noProof/>
                <w:snapToGrid/>
              </w:rPr>
              <w:t>13.3</w:t>
            </w:r>
          </w:p>
        </w:tc>
        <w:tc>
          <w:tcPr>
            <w:tcW w:w="1501" w:type="dxa"/>
          </w:tcPr>
          <w:p w:rsidR="00000000" w:rsidRDefault="009C1C61">
            <w:pPr>
              <w:pStyle w:val="a2"/>
              <w:spacing w:line="220" w:lineRule="exact"/>
              <w:ind w:right="113"/>
              <w:jc w:val="right"/>
              <w:rPr>
                <w:noProof/>
                <w:snapToGrid/>
              </w:rPr>
            </w:pPr>
            <w:r>
              <w:rPr>
                <w:noProof/>
                <w:snapToGrid/>
              </w:rPr>
              <w:t>5.2</w:t>
            </w:r>
          </w:p>
        </w:tc>
        <w:tc>
          <w:tcPr>
            <w:tcW w:w="1502" w:type="dxa"/>
          </w:tcPr>
          <w:p w:rsidR="00000000" w:rsidRDefault="009C1C61">
            <w:pPr>
              <w:pStyle w:val="a2"/>
              <w:spacing w:line="220" w:lineRule="exact"/>
              <w:ind w:right="113"/>
              <w:jc w:val="right"/>
              <w:rPr>
                <w:noProof/>
                <w:snapToGrid/>
              </w:rPr>
            </w:pPr>
            <w:r>
              <w:rPr>
                <w:noProof/>
                <w:snapToGrid/>
              </w:rPr>
              <w:t>44.1</w:t>
            </w:r>
          </w:p>
        </w:tc>
      </w:tr>
      <w:tr w:rsidR="00000000">
        <w:tblPrEx>
          <w:tblCellMar>
            <w:top w:w="0" w:type="dxa"/>
            <w:bottom w:w="0" w:type="dxa"/>
          </w:tblCellMar>
        </w:tblPrEx>
        <w:trPr>
          <w:jc w:val="center"/>
        </w:trPr>
        <w:tc>
          <w:tcPr>
            <w:tcW w:w="1501" w:type="dxa"/>
          </w:tcPr>
          <w:p w:rsidR="00000000" w:rsidRDefault="009C1C61">
            <w:pPr>
              <w:pStyle w:val="a2"/>
              <w:spacing w:line="220" w:lineRule="exact"/>
              <w:ind w:right="113"/>
              <w:jc w:val="center"/>
              <w:rPr>
                <w:rFonts w:hint="eastAsia"/>
                <w:noProof/>
                <w:snapToGrid/>
              </w:rPr>
            </w:pPr>
            <w:r>
              <w:rPr>
                <w:rFonts w:hint="eastAsia"/>
                <w:noProof/>
                <w:snapToGrid/>
              </w:rPr>
              <w:t>共计</w:t>
            </w:r>
          </w:p>
        </w:tc>
        <w:tc>
          <w:tcPr>
            <w:tcW w:w="1501" w:type="dxa"/>
          </w:tcPr>
          <w:p w:rsidR="00000000" w:rsidRDefault="009C1C61">
            <w:pPr>
              <w:pStyle w:val="a2"/>
              <w:spacing w:line="220" w:lineRule="exact"/>
              <w:ind w:right="113"/>
              <w:jc w:val="right"/>
              <w:rPr>
                <w:noProof/>
                <w:snapToGrid/>
              </w:rPr>
            </w:pPr>
            <w:r>
              <w:rPr>
                <w:noProof/>
                <w:snapToGrid/>
              </w:rPr>
              <w:t>13.9</w:t>
            </w:r>
          </w:p>
        </w:tc>
        <w:tc>
          <w:tcPr>
            <w:tcW w:w="1502" w:type="dxa"/>
          </w:tcPr>
          <w:p w:rsidR="00000000" w:rsidRDefault="009C1C61">
            <w:pPr>
              <w:pStyle w:val="a2"/>
              <w:spacing w:line="220" w:lineRule="exact"/>
              <w:ind w:right="113"/>
              <w:jc w:val="right"/>
              <w:rPr>
                <w:noProof/>
                <w:snapToGrid/>
              </w:rPr>
            </w:pPr>
            <w:r>
              <w:rPr>
                <w:noProof/>
                <w:snapToGrid/>
              </w:rPr>
              <w:t>6.8</w:t>
            </w:r>
          </w:p>
        </w:tc>
        <w:tc>
          <w:tcPr>
            <w:tcW w:w="1501" w:type="dxa"/>
          </w:tcPr>
          <w:p w:rsidR="00000000" w:rsidRDefault="009C1C61">
            <w:pPr>
              <w:pStyle w:val="a2"/>
              <w:spacing w:line="220" w:lineRule="exact"/>
              <w:ind w:right="113"/>
              <w:jc w:val="right"/>
              <w:rPr>
                <w:noProof/>
                <w:snapToGrid/>
              </w:rPr>
            </w:pPr>
            <w:r>
              <w:rPr>
                <w:noProof/>
                <w:snapToGrid/>
              </w:rPr>
              <w:t>14.1</w:t>
            </w:r>
          </w:p>
        </w:tc>
        <w:tc>
          <w:tcPr>
            <w:tcW w:w="1501" w:type="dxa"/>
          </w:tcPr>
          <w:p w:rsidR="00000000" w:rsidRDefault="009C1C61">
            <w:pPr>
              <w:pStyle w:val="a2"/>
              <w:spacing w:line="220" w:lineRule="exact"/>
              <w:ind w:right="113"/>
              <w:jc w:val="right"/>
              <w:rPr>
                <w:noProof/>
                <w:snapToGrid/>
              </w:rPr>
            </w:pPr>
            <w:r>
              <w:rPr>
                <w:noProof/>
                <w:snapToGrid/>
              </w:rPr>
              <w:t>6</w:t>
            </w:r>
          </w:p>
        </w:tc>
        <w:tc>
          <w:tcPr>
            <w:tcW w:w="1502" w:type="dxa"/>
          </w:tcPr>
          <w:p w:rsidR="00000000" w:rsidRDefault="009C1C61">
            <w:pPr>
              <w:pStyle w:val="a2"/>
              <w:spacing w:line="220" w:lineRule="exact"/>
              <w:ind w:right="113"/>
              <w:jc w:val="right"/>
              <w:rPr>
                <w:noProof/>
                <w:snapToGrid/>
              </w:rPr>
            </w:pPr>
            <w:r>
              <w:rPr>
                <w:noProof/>
                <w:snapToGrid/>
              </w:rPr>
              <w:t>47.2</w:t>
            </w:r>
          </w:p>
        </w:tc>
      </w:tr>
    </w:tbl>
    <w:p w:rsidR="00000000" w:rsidRDefault="009C1C61">
      <w:pPr>
        <w:pStyle w:val="FootnoteText"/>
        <w:spacing w:before="160" w:line="220" w:lineRule="exact"/>
        <w:ind w:left="2041" w:hanging="1530"/>
        <w:rPr>
          <w:rFonts w:hint="eastAsia"/>
          <w:sz w:val="20"/>
        </w:rPr>
      </w:pPr>
      <w:r>
        <w:rPr>
          <w:rFonts w:hint="eastAsia"/>
          <w:sz w:val="20"/>
          <w:u w:val="single"/>
        </w:rPr>
        <w:t>资料来源</w:t>
      </w:r>
      <w:r>
        <w:rPr>
          <w:rFonts w:hint="eastAsia"/>
          <w:sz w:val="20"/>
        </w:rPr>
        <w:t>：规合部，</w:t>
      </w:r>
      <w:r>
        <w:rPr>
          <w:rFonts w:hint="eastAsia"/>
          <w:sz w:val="20"/>
        </w:rPr>
        <w:t>1990</w:t>
      </w:r>
      <w:r>
        <w:rPr>
          <w:rFonts w:hint="eastAsia"/>
          <w:sz w:val="20"/>
        </w:rPr>
        <w:t>年、</w:t>
      </w:r>
      <w:r>
        <w:rPr>
          <w:rFonts w:hint="eastAsia"/>
          <w:sz w:val="20"/>
        </w:rPr>
        <w:t>1992</w:t>
      </w:r>
      <w:r>
        <w:rPr>
          <w:rFonts w:hint="eastAsia"/>
          <w:sz w:val="20"/>
        </w:rPr>
        <w:t>年、</w:t>
      </w:r>
      <w:r>
        <w:rPr>
          <w:rFonts w:hint="eastAsia"/>
          <w:sz w:val="20"/>
        </w:rPr>
        <w:t>1994</w:t>
      </w:r>
      <w:r>
        <w:rPr>
          <w:rFonts w:hint="eastAsia"/>
          <w:sz w:val="20"/>
        </w:rPr>
        <w:t>年、</w:t>
      </w:r>
      <w:r>
        <w:rPr>
          <w:rFonts w:hint="eastAsia"/>
          <w:sz w:val="20"/>
        </w:rPr>
        <w:t>1996</w:t>
      </w:r>
      <w:r>
        <w:rPr>
          <w:rFonts w:hint="eastAsia"/>
          <w:sz w:val="20"/>
        </w:rPr>
        <w:t>年和</w:t>
      </w:r>
      <w:r>
        <w:rPr>
          <w:rFonts w:hint="eastAsia"/>
          <w:sz w:val="20"/>
        </w:rPr>
        <w:t>1998</w:t>
      </w:r>
      <w:r>
        <w:rPr>
          <w:rFonts w:hint="eastAsia"/>
          <w:sz w:val="20"/>
        </w:rPr>
        <w:t>年社经特征调查。</w:t>
      </w:r>
    </w:p>
    <w:p w:rsidR="00000000" w:rsidRDefault="009C1C61">
      <w:pPr>
        <w:pStyle w:val="FootnoteText"/>
        <w:tabs>
          <w:tab w:val="left" w:pos="1610"/>
        </w:tabs>
        <w:spacing w:before="80" w:line="220" w:lineRule="exact"/>
        <w:ind w:left="2041" w:hanging="790"/>
        <w:rPr>
          <w:rFonts w:hint="eastAsia"/>
          <w:sz w:val="20"/>
        </w:rPr>
      </w:pPr>
      <w:r>
        <w:rPr>
          <w:rStyle w:val="FootnoteReference"/>
          <w:rFonts w:hint="eastAsia"/>
        </w:rPr>
        <w:t>*</w:t>
      </w:r>
      <w:r>
        <w:rPr>
          <w:rFonts w:hint="eastAsia"/>
          <w:sz w:val="20"/>
        </w:rPr>
        <w:tab/>
      </w:r>
      <w:r>
        <w:rPr>
          <w:rFonts w:hint="eastAsia"/>
          <w:sz w:val="20"/>
        </w:rPr>
        <w:t>不包括家庭内部服务和有关核心家庭。</w:t>
      </w:r>
    </w:p>
    <w:p w:rsidR="00000000" w:rsidRDefault="009C1C61">
      <w:pPr>
        <w:pStyle w:val="FootnoteText"/>
        <w:tabs>
          <w:tab w:val="left" w:pos="1610"/>
        </w:tabs>
        <w:spacing w:line="220" w:lineRule="exact"/>
        <w:ind w:left="2041" w:hanging="790"/>
        <w:rPr>
          <w:rFonts w:hint="eastAsia"/>
          <w:sz w:val="20"/>
        </w:rPr>
      </w:pPr>
      <w:r>
        <w:rPr>
          <w:rStyle w:val="FootnoteReference"/>
          <w:rFonts w:hint="eastAsia"/>
          <w:sz w:val="20"/>
        </w:rPr>
        <w:t>**</w:t>
      </w:r>
      <w:r>
        <w:rPr>
          <w:rFonts w:hint="eastAsia"/>
          <w:sz w:val="20"/>
        </w:rPr>
        <w:tab/>
      </w:r>
      <w:r>
        <w:rPr>
          <w:rFonts w:hint="eastAsia"/>
          <w:sz w:val="20"/>
        </w:rPr>
        <w:t>基于家庭人均独立收入的十等分层。</w:t>
      </w:r>
    </w:p>
    <w:p w:rsidR="00000000" w:rsidRDefault="009C1C61">
      <w:pPr>
        <w:rPr>
          <w:rFonts w:hint="eastAsia"/>
          <w:snapToGrid/>
        </w:rPr>
      </w:pPr>
      <w:r>
        <w:rPr>
          <w:rFonts w:hint="eastAsia"/>
          <w:snapToGrid/>
        </w:rPr>
        <w:tab/>
        <w:t xml:space="preserve">518.  </w:t>
      </w:r>
      <w:r>
        <w:rPr>
          <w:rFonts w:hint="eastAsia"/>
          <w:snapToGrid/>
        </w:rPr>
        <w:t>从表</w:t>
      </w:r>
      <w:r>
        <w:rPr>
          <w:rFonts w:hint="eastAsia"/>
          <w:snapToGrid/>
        </w:rPr>
        <w:t>21</w:t>
      </w:r>
      <w:r>
        <w:rPr>
          <w:rFonts w:hint="eastAsia"/>
          <w:snapToGrid/>
        </w:rPr>
        <w:t>可以看出，自</w:t>
      </w:r>
      <w:r>
        <w:rPr>
          <w:rFonts w:hint="eastAsia"/>
          <w:snapToGrid/>
        </w:rPr>
        <w:t>1990</w:t>
      </w:r>
      <w:r>
        <w:rPr>
          <w:rFonts w:hint="eastAsia"/>
          <w:snapToGrid/>
        </w:rPr>
        <w:t>年到</w:t>
      </w:r>
      <w:r>
        <w:rPr>
          <w:rFonts w:hint="eastAsia"/>
          <w:snapToGrid/>
        </w:rPr>
        <w:t>1998</w:t>
      </w:r>
      <w:r>
        <w:rPr>
          <w:rFonts w:hint="eastAsia"/>
          <w:snapToGrid/>
        </w:rPr>
        <w:t>年，国民家庭收入平均增长了</w:t>
      </w:r>
      <w:r>
        <w:rPr>
          <w:snapToGrid/>
        </w:rPr>
        <w:t>47.1%</w:t>
      </w:r>
      <w:r>
        <w:rPr>
          <w:snapToGrid/>
        </w:rPr>
        <w:t>。</w:t>
      </w:r>
      <w:r>
        <w:rPr>
          <w:rFonts w:hint="eastAsia"/>
          <w:snapToGrid/>
        </w:rPr>
        <w:t>十年中增长最快的时期为</w:t>
      </w:r>
      <w:r>
        <w:rPr>
          <w:snapToGrid/>
        </w:rPr>
        <w:t>1990</w:t>
      </w:r>
      <w:r>
        <w:rPr>
          <w:snapToGrid/>
        </w:rPr>
        <w:noBreakHyphen/>
        <w:t>1992</w:t>
      </w:r>
      <w:r>
        <w:rPr>
          <w:rFonts w:hint="eastAsia"/>
          <w:snapToGrid/>
        </w:rPr>
        <w:t>年</w:t>
      </w:r>
      <w:r>
        <w:rPr>
          <w:snapToGrid/>
        </w:rPr>
        <w:t xml:space="preserve"> (14%)</w:t>
      </w:r>
      <w:r>
        <w:rPr>
          <w:rFonts w:hint="eastAsia"/>
          <w:snapToGrid/>
        </w:rPr>
        <w:t>和</w:t>
      </w:r>
      <w:r>
        <w:rPr>
          <w:snapToGrid/>
        </w:rPr>
        <w:t>1994</w:t>
      </w:r>
      <w:r>
        <w:rPr>
          <w:snapToGrid/>
        </w:rPr>
        <w:noBreakHyphen/>
        <w:t>1996</w:t>
      </w:r>
      <w:r>
        <w:rPr>
          <w:rFonts w:hint="eastAsia"/>
          <w:snapToGrid/>
        </w:rPr>
        <w:t>年</w:t>
      </w:r>
      <w:r>
        <w:rPr>
          <w:snapToGrid/>
        </w:rPr>
        <w:t xml:space="preserve"> (13.9%)</w:t>
      </w:r>
      <w:r>
        <w:rPr>
          <w:snapToGrid/>
        </w:rPr>
        <w:t>。</w:t>
      </w:r>
      <w:r>
        <w:rPr>
          <w:rFonts w:hint="eastAsia"/>
          <w:snapToGrid/>
        </w:rPr>
        <w:t>从表中还可以看出，在</w:t>
      </w:r>
      <w:r>
        <w:rPr>
          <w:snapToGrid/>
        </w:rPr>
        <w:t>1990</w:t>
      </w:r>
      <w:r>
        <w:rPr>
          <w:rFonts w:hint="eastAsia"/>
          <w:snapToGrid/>
        </w:rPr>
        <w:t>至</w:t>
      </w:r>
      <w:r>
        <w:rPr>
          <w:snapToGrid/>
        </w:rPr>
        <w:t xml:space="preserve"> 1998</w:t>
      </w:r>
      <w:r>
        <w:rPr>
          <w:rFonts w:hint="eastAsia"/>
          <w:snapToGrid/>
        </w:rPr>
        <w:t>年期间，十等分层各层的户均收入，按十等分层和不同分段比较，都有所增加，只是增加速度不同。</w:t>
      </w:r>
    </w:p>
    <w:p w:rsidR="00000000" w:rsidRDefault="009C1C61">
      <w:pPr>
        <w:rPr>
          <w:rFonts w:hint="eastAsia"/>
          <w:snapToGrid/>
        </w:rPr>
      </w:pPr>
      <w:r>
        <w:rPr>
          <w:rFonts w:hint="eastAsia"/>
          <w:snapToGrid/>
        </w:rPr>
        <w:tab/>
      </w:r>
      <w:r>
        <w:rPr>
          <w:snapToGrid/>
        </w:rPr>
        <w:t>519.</w:t>
      </w:r>
      <w:r>
        <w:rPr>
          <w:rFonts w:hint="eastAsia"/>
          <w:snapToGrid/>
        </w:rPr>
        <w:t xml:space="preserve">  </w:t>
      </w:r>
      <w:r>
        <w:rPr>
          <w:rFonts w:hint="eastAsia"/>
          <w:snapToGrid/>
        </w:rPr>
        <w:t>在这个十年阶段中</w:t>
      </w:r>
      <w:r>
        <w:rPr>
          <w:rFonts w:hint="eastAsia"/>
          <w:snapToGrid/>
          <w:lang w:val="en-GB"/>
        </w:rPr>
        <w:t>，</w:t>
      </w:r>
      <w:r>
        <w:rPr>
          <w:rFonts w:hint="eastAsia"/>
          <w:snapToGrid/>
        </w:rPr>
        <w:t>几乎在审议的所有分段中</w:t>
      </w:r>
      <w:r>
        <w:rPr>
          <w:rFonts w:hint="eastAsia"/>
          <w:snapToGrid/>
          <w:lang w:val="en-GB"/>
        </w:rPr>
        <w:t>，十等分层第</w:t>
      </w:r>
      <w:r>
        <w:rPr>
          <w:rFonts w:hint="eastAsia"/>
          <w:snapToGrid/>
          <w:lang w:val="en-GB"/>
        </w:rPr>
        <w:t>7</w:t>
      </w:r>
      <w:r>
        <w:rPr>
          <w:rFonts w:hint="eastAsia"/>
          <w:snapToGrid/>
          <w:lang w:val="en-GB"/>
        </w:rPr>
        <w:t>、第</w:t>
      </w:r>
      <w:r>
        <w:rPr>
          <w:rFonts w:hint="eastAsia"/>
          <w:snapToGrid/>
          <w:lang w:val="en-GB"/>
        </w:rPr>
        <w:t>8</w:t>
      </w:r>
      <w:r>
        <w:rPr>
          <w:rFonts w:hint="eastAsia"/>
          <w:snapToGrid/>
          <w:lang w:val="en-GB"/>
        </w:rPr>
        <w:t>和第</w:t>
      </w:r>
      <w:r>
        <w:rPr>
          <w:rFonts w:hint="eastAsia"/>
          <w:snapToGrid/>
          <w:lang w:val="en-GB"/>
        </w:rPr>
        <w:t>9</w:t>
      </w:r>
      <w:r>
        <w:rPr>
          <w:rFonts w:hint="eastAsia"/>
          <w:snapToGrid/>
          <w:lang w:val="en-GB"/>
        </w:rPr>
        <w:t>层的家庭收入增长最快</w:t>
      </w:r>
      <w:r>
        <w:rPr>
          <w:snapToGrid/>
        </w:rPr>
        <w:t xml:space="preserve"> (</w:t>
      </w:r>
      <w:r>
        <w:rPr>
          <w:rFonts w:hint="eastAsia"/>
          <w:snapToGrid/>
        </w:rPr>
        <w:t>分别为</w:t>
      </w:r>
      <w:r>
        <w:rPr>
          <w:snapToGrid/>
        </w:rPr>
        <w:t>55.9%</w:t>
      </w:r>
      <w:r>
        <w:rPr>
          <w:snapToGrid/>
        </w:rPr>
        <w:t>，</w:t>
      </w:r>
      <w:r>
        <w:rPr>
          <w:snapToGrid/>
        </w:rPr>
        <w:t xml:space="preserve"> 56.3% </w:t>
      </w:r>
      <w:r>
        <w:rPr>
          <w:rFonts w:hint="eastAsia"/>
          <w:snapToGrid/>
        </w:rPr>
        <w:t>和</w:t>
      </w:r>
      <w:r>
        <w:rPr>
          <w:snapToGrid/>
        </w:rPr>
        <w:t xml:space="preserve"> 55.3%)</w:t>
      </w:r>
      <w:r>
        <w:rPr>
          <w:rFonts w:hint="eastAsia"/>
          <w:snapToGrid/>
        </w:rPr>
        <w:t>。在这个十年阶段中，十等分层第</w:t>
      </w:r>
      <w:r>
        <w:rPr>
          <w:rFonts w:hint="eastAsia"/>
          <w:snapToGrid/>
        </w:rPr>
        <w:t>1</w:t>
      </w:r>
      <w:r>
        <w:rPr>
          <w:rFonts w:hint="eastAsia"/>
          <w:snapToGrid/>
        </w:rPr>
        <w:t>层的户均收入增长最慢</w:t>
      </w:r>
      <w:r>
        <w:rPr>
          <w:snapToGrid/>
        </w:rPr>
        <w:t xml:space="preserve"> (22.9%)</w:t>
      </w:r>
      <w:r>
        <w:rPr>
          <w:rFonts w:hint="eastAsia"/>
          <w:snapToGrid/>
        </w:rPr>
        <w:t>，各个分段之间差别相当大。</w:t>
      </w:r>
      <w:r>
        <w:rPr>
          <w:snapToGrid/>
        </w:rPr>
        <w:t>1990</w:t>
      </w:r>
      <w:r>
        <w:rPr>
          <w:rFonts w:hint="eastAsia"/>
          <w:snapToGrid/>
        </w:rPr>
        <w:t>至</w:t>
      </w:r>
      <w:r>
        <w:rPr>
          <w:rFonts w:hint="eastAsia"/>
          <w:snapToGrid/>
          <w:lang w:val="en-GB"/>
        </w:rPr>
        <w:t>1992</w:t>
      </w:r>
      <w:r>
        <w:rPr>
          <w:rFonts w:hint="eastAsia"/>
          <w:snapToGrid/>
          <w:lang w:val="en-GB"/>
        </w:rPr>
        <w:t>年期间，这些家庭的平均收入增长了</w:t>
      </w:r>
      <w:r>
        <w:rPr>
          <w:snapToGrid/>
        </w:rPr>
        <w:t>22.</w:t>
      </w:r>
      <w:r>
        <w:rPr>
          <w:snapToGrid/>
          <w:lang w:val="en-GB"/>
        </w:rPr>
        <w:t>9%</w:t>
      </w:r>
      <w:r>
        <w:rPr>
          <w:rFonts w:hint="eastAsia"/>
          <w:snapToGrid/>
          <w:lang w:val="en-GB"/>
        </w:rPr>
        <w:t>，超过了全国平均水平，也超过了十等分层所有层次的居民户的增长水平；可是，从表中可以看出，在其他三个分段中</w:t>
      </w:r>
      <w:r>
        <w:rPr>
          <w:snapToGrid/>
          <w:lang w:val="en-GB"/>
        </w:rPr>
        <w:t xml:space="preserve"> </w:t>
      </w:r>
      <w:r>
        <w:rPr>
          <w:rFonts w:hint="eastAsia"/>
          <w:snapToGrid/>
          <w:lang w:val="en-GB"/>
        </w:rPr>
        <w:t>，这些家庭的收入增长最慢，在其中两个分段中实际还下降了</w:t>
      </w:r>
      <w:r>
        <w:rPr>
          <w:snapToGrid/>
        </w:rPr>
        <w:t xml:space="preserve"> (1992</w:t>
      </w:r>
      <w:r>
        <w:rPr>
          <w:rFonts w:hint="eastAsia"/>
          <w:snapToGrid/>
        </w:rPr>
        <w:t>至</w:t>
      </w:r>
      <w:r>
        <w:rPr>
          <w:snapToGrid/>
        </w:rPr>
        <w:t>1994</w:t>
      </w:r>
      <w:r>
        <w:rPr>
          <w:rFonts w:hint="eastAsia"/>
          <w:snapToGrid/>
        </w:rPr>
        <w:t>年期间为</w:t>
      </w:r>
      <w:r>
        <w:rPr>
          <w:snapToGrid/>
        </w:rPr>
        <w:t>–5.</w:t>
      </w:r>
      <w:r>
        <w:rPr>
          <w:snapToGrid/>
          <w:lang w:val="en-GB"/>
        </w:rPr>
        <w:t>1%</w:t>
      </w:r>
      <w:r>
        <w:rPr>
          <w:rFonts w:hint="eastAsia"/>
          <w:snapToGrid/>
          <w:lang w:val="en-GB"/>
        </w:rPr>
        <w:t>，</w:t>
      </w:r>
      <w:r>
        <w:rPr>
          <w:snapToGrid/>
          <w:lang w:val="en-GB"/>
        </w:rPr>
        <w:t>1</w:t>
      </w:r>
      <w:r>
        <w:rPr>
          <w:snapToGrid/>
        </w:rPr>
        <w:t>996</w:t>
      </w:r>
      <w:r>
        <w:rPr>
          <w:rFonts w:hint="eastAsia"/>
          <w:snapToGrid/>
        </w:rPr>
        <w:t>至</w:t>
      </w:r>
      <w:r>
        <w:rPr>
          <w:snapToGrid/>
        </w:rPr>
        <w:t>1998</w:t>
      </w:r>
      <w:r>
        <w:rPr>
          <w:rFonts w:hint="eastAsia"/>
          <w:snapToGrid/>
        </w:rPr>
        <w:t>年期间</w:t>
      </w:r>
      <w:r>
        <w:rPr>
          <w:rFonts w:hint="eastAsia"/>
          <w:snapToGrid/>
        </w:rPr>
        <w:t>-</w:t>
      </w:r>
      <w:r>
        <w:rPr>
          <w:snapToGrid/>
        </w:rPr>
        <w:t>0.6%)</w:t>
      </w:r>
      <w:r>
        <w:rPr>
          <w:rFonts w:hint="eastAsia"/>
          <w:snapToGrid/>
        </w:rPr>
        <w:t>。</w:t>
      </w:r>
      <w:r>
        <w:rPr>
          <w:rFonts w:hint="eastAsia"/>
          <w:snapToGrid/>
          <w:lang w:val="en-GB"/>
        </w:rPr>
        <w:t>十等分层第</w:t>
      </w:r>
      <w:r>
        <w:rPr>
          <w:rFonts w:hint="eastAsia"/>
          <w:snapToGrid/>
          <w:lang w:val="en-GB"/>
        </w:rPr>
        <w:t>2</w:t>
      </w:r>
      <w:r>
        <w:rPr>
          <w:rFonts w:hint="eastAsia"/>
          <w:snapToGrid/>
          <w:lang w:val="en-GB"/>
        </w:rPr>
        <w:t>和第</w:t>
      </w:r>
      <w:r>
        <w:rPr>
          <w:rFonts w:hint="eastAsia"/>
          <w:snapToGrid/>
          <w:lang w:val="en-GB"/>
        </w:rPr>
        <w:t>3</w:t>
      </w:r>
      <w:r>
        <w:rPr>
          <w:rFonts w:hint="eastAsia"/>
          <w:snapToGrid/>
          <w:lang w:val="en-GB"/>
        </w:rPr>
        <w:t>层居民户的收入也呈现出了类似趋势。不过，它们的收入在</w:t>
      </w:r>
      <w:r>
        <w:rPr>
          <w:snapToGrid/>
        </w:rPr>
        <w:t>1990</w:t>
      </w:r>
      <w:r>
        <w:rPr>
          <w:rFonts w:hint="eastAsia"/>
          <w:snapToGrid/>
        </w:rPr>
        <w:t>至</w:t>
      </w:r>
      <w:r>
        <w:rPr>
          <w:snapToGrid/>
        </w:rPr>
        <w:t>199</w:t>
      </w:r>
      <w:r>
        <w:rPr>
          <w:snapToGrid/>
        </w:rPr>
        <w:t>8</w:t>
      </w:r>
      <w:r>
        <w:rPr>
          <w:rFonts w:hint="eastAsia"/>
          <w:snapToGrid/>
        </w:rPr>
        <w:t>年期间增长较快，平均分别增长了</w:t>
      </w:r>
      <w:r>
        <w:rPr>
          <w:snapToGrid/>
        </w:rPr>
        <w:t>36.4%</w:t>
      </w:r>
      <w:r>
        <w:rPr>
          <w:rFonts w:hint="eastAsia"/>
          <w:snapToGrid/>
        </w:rPr>
        <w:t>和</w:t>
      </w:r>
      <w:r>
        <w:rPr>
          <w:snapToGrid/>
        </w:rPr>
        <w:t>40.4%</w:t>
      </w:r>
      <w:r>
        <w:rPr>
          <w:rFonts w:hint="eastAsia"/>
          <w:snapToGrid/>
        </w:rPr>
        <w:t>。</w:t>
      </w:r>
    </w:p>
    <w:p w:rsidR="00000000" w:rsidRDefault="009C1C61">
      <w:pPr>
        <w:spacing w:after="320"/>
        <w:rPr>
          <w:rFonts w:hint="eastAsia"/>
          <w:snapToGrid/>
        </w:rPr>
      </w:pPr>
      <w:r>
        <w:rPr>
          <w:rFonts w:hint="eastAsia"/>
          <w:snapToGrid/>
        </w:rPr>
        <w:tab/>
        <w:t xml:space="preserve">520.  </w:t>
      </w:r>
      <w:r>
        <w:rPr>
          <w:rFonts w:hint="eastAsia"/>
          <w:snapToGrid/>
        </w:rPr>
        <w:t>从绝对意义上讲，这些变化反映了不同收入五等分层各层的户均收入实际增长的巨大差别。十等分层第</w:t>
      </w:r>
      <w:r>
        <w:rPr>
          <w:rFonts w:hint="eastAsia"/>
          <w:snapToGrid/>
        </w:rPr>
        <w:t>1</w:t>
      </w:r>
      <w:r>
        <w:rPr>
          <w:rFonts w:hint="eastAsia"/>
          <w:snapToGrid/>
        </w:rPr>
        <w:t>层的增长实际为</w:t>
      </w:r>
      <w:r>
        <w:rPr>
          <w:rFonts w:hint="eastAsia"/>
          <w:snapToGrid/>
        </w:rPr>
        <w:t>1</w:t>
      </w:r>
      <w:r>
        <w:rPr>
          <w:snapToGrid/>
        </w:rPr>
        <w:t>0,261</w:t>
      </w:r>
      <w:r>
        <w:rPr>
          <w:rFonts w:hint="eastAsia"/>
          <w:snapToGrid/>
        </w:rPr>
        <w:t>比索</w:t>
      </w:r>
      <w:r>
        <w:rPr>
          <w:snapToGrid/>
        </w:rPr>
        <w:t>(22.1</w:t>
      </w:r>
      <w:r>
        <w:rPr>
          <w:rFonts w:hint="eastAsia"/>
          <w:snapToGrid/>
        </w:rPr>
        <w:t>美元</w:t>
      </w:r>
      <w:r>
        <w:rPr>
          <w:snapToGrid/>
        </w:rPr>
        <w:t>)</w:t>
      </w:r>
      <w:r>
        <w:rPr>
          <w:rFonts w:hint="eastAsia"/>
          <w:snapToGrid/>
        </w:rPr>
        <w:t>，十等分层第</w:t>
      </w:r>
      <w:r>
        <w:rPr>
          <w:rFonts w:hint="eastAsia"/>
          <w:snapToGrid/>
        </w:rPr>
        <w:t>10</w:t>
      </w:r>
      <w:r>
        <w:rPr>
          <w:rFonts w:hint="eastAsia"/>
          <w:snapToGrid/>
        </w:rPr>
        <w:t>层的增长实际为</w:t>
      </w:r>
      <w:r>
        <w:rPr>
          <w:snapToGrid/>
        </w:rPr>
        <w:t>591,193</w:t>
      </w:r>
      <w:r>
        <w:rPr>
          <w:rFonts w:hint="eastAsia"/>
          <w:snapToGrid/>
        </w:rPr>
        <w:t>比索</w:t>
      </w:r>
      <w:r>
        <w:rPr>
          <w:snapToGrid/>
        </w:rPr>
        <w:t xml:space="preserve"> (1,276</w:t>
      </w:r>
      <w:r>
        <w:rPr>
          <w:rFonts w:hint="eastAsia"/>
          <w:snapToGrid/>
        </w:rPr>
        <w:t>美元</w:t>
      </w:r>
      <w:r>
        <w:rPr>
          <w:snapToGrid/>
        </w:rPr>
        <w:t>)</w:t>
      </w:r>
      <w:r>
        <w:rPr>
          <w:rFonts w:hint="eastAsia"/>
          <w:snapToGrid/>
        </w:rPr>
        <w:t>。</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足够食物权</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我国的食物情况</w:t>
      </w:r>
    </w:p>
    <w:p w:rsidR="00000000" w:rsidRDefault="009C1C61">
      <w:pPr>
        <w:rPr>
          <w:rFonts w:hint="eastAsia"/>
          <w:snapToGrid/>
        </w:rPr>
      </w:pPr>
      <w:r>
        <w:rPr>
          <w:rFonts w:hint="eastAsia"/>
          <w:snapToGrid/>
        </w:rPr>
        <w:tab/>
        <w:t xml:space="preserve">521.  </w:t>
      </w:r>
      <w:r>
        <w:rPr>
          <w:rFonts w:hint="eastAsia"/>
          <w:snapToGrid/>
        </w:rPr>
        <w:t>智利经历了一个人口结构转型和流行病学转型时期，同时了明显经历了一个营养转变过程。过去十年这种转变一直在持续，而且也反映在生物学上最脆弱群体，即</w:t>
      </w:r>
      <w:r>
        <w:rPr>
          <w:rFonts w:hint="eastAsia"/>
          <w:snapToGrid/>
        </w:rPr>
        <w:t>6</w:t>
      </w:r>
      <w:r>
        <w:rPr>
          <w:rFonts w:hint="eastAsia"/>
          <w:snapToGrid/>
        </w:rPr>
        <w:t>岁以下的儿童和低收入孕妇的蛋白质和热量不足问</w:t>
      </w:r>
      <w:r>
        <w:rPr>
          <w:rFonts w:hint="eastAsia"/>
          <w:snapToGrid/>
        </w:rPr>
        <w:t>题稳步得到缓解中。有关这些群体的材料，主要来自有关接受卫生部下属机构的初级保健人口的统计资料。</w:t>
      </w:r>
      <w:r>
        <w:rPr>
          <w:rFonts w:hint="eastAsia"/>
          <w:snapToGrid/>
        </w:rPr>
        <w:t>2001</w:t>
      </w:r>
      <w:r>
        <w:rPr>
          <w:rFonts w:hint="eastAsia"/>
          <w:snapToGrid/>
        </w:rPr>
        <w:t>年，这些统计涉及了大约</w:t>
      </w:r>
      <w:r>
        <w:rPr>
          <w:rFonts w:hint="eastAsia"/>
          <w:snapToGrid/>
        </w:rPr>
        <w:t>89,</w:t>
      </w:r>
      <w:r>
        <w:rPr>
          <w:snapToGrid/>
        </w:rPr>
        <w:t>000</w:t>
      </w:r>
      <w:r>
        <w:rPr>
          <w:rFonts w:hint="eastAsia"/>
          <w:snapToGrid/>
        </w:rPr>
        <w:t>外孕妇，大约</w:t>
      </w:r>
      <w:r>
        <w:rPr>
          <w:rFonts w:hint="eastAsia"/>
          <w:snapToGrid/>
        </w:rPr>
        <w:t>1,</w:t>
      </w:r>
      <w:r>
        <w:rPr>
          <w:snapToGrid/>
        </w:rPr>
        <w:t>050,000</w:t>
      </w:r>
      <w:r>
        <w:rPr>
          <w:rFonts w:hint="eastAsia"/>
          <w:snapToGrid/>
        </w:rPr>
        <w:t>个</w:t>
      </w:r>
      <w:r>
        <w:rPr>
          <w:rFonts w:hint="eastAsia"/>
          <w:snapToGrid/>
        </w:rPr>
        <w:t>6</w:t>
      </w:r>
      <w:r>
        <w:rPr>
          <w:rFonts w:hint="eastAsia"/>
          <w:snapToGrid/>
        </w:rPr>
        <w:t>岁以下的儿童</w:t>
      </w:r>
      <w:r>
        <w:rPr>
          <w:rFonts w:hint="eastAsia"/>
          <w:snapToGrid/>
        </w:rPr>
        <w:t>(</w:t>
      </w:r>
      <w:r>
        <w:rPr>
          <w:rFonts w:hint="eastAsia"/>
          <w:snapToGrid/>
        </w:rPr>
        <w:t>他们占</w:t>
      </w:r>
      <w:r>
        <w:rPr>
          <w:rFonts w:hint="eastAsia"/>
          <w:snapToGrid/>
        </w:rPr>
        <w:t>6</w:t>
      </w:r>
      <w:r>
        <w:rPr>
          <w:rFonts w:hint="eastAsia"/>
          <w:snapToGrid/>
        </w:rPr>
        <w:t>岁以下儿童人口总数的</w:t>
      </w:r>
      <w:r>
        <w:rPr>
          <w:rFonts w:hint="eastAsia"/>
          <w:snapToGrid/>
        </w:rPr>
        <w:t>61</w:t>
      </w:r>
      <w:r>
        <w:rPr>
          <w:snapToGrid/>
        </w:rPr>
        <w:t>%</w:t>
      </w:r>
      <w:r>
        <w:rPr>
          <w:rFonts w:hint="eastAsia"/>
          <w:snapToGrid/>
        </w:rPr>
        <w:t>)</w:t>
      </w:r>
      <w:r>
        <w:rPr>
          <w:rFonts w:hint="eastAsia"/>
          <w:snapToGrid/>
        </w:rPr>
        <w:t>。</w:t>
      </w:r>
    </w:p>
    <w:p w:rsidR="00000000" w:rsidRDefault="009C1C61">
      <w:pPr>
        <w:rPr>
          <w:rFonts w:hint="eastAsia"/>
          <w:snapToGrid/>
        </w:rPr>
      </w:pPr>
      <w:r>
        <w:rPr>
          <w:rFonts w:hint="eastAsia"/>
          <w:snapToGrid/>
        </w:rPr>
        <w:tab/>
        <w:t>522.  1994</w:t>
      </w:r>
      <w:r>
        <w:rPr>
          <w:rFonts w:hint="eastAsia"/>
          <w:snapToGrid/>
        </w:rPr>
        <w:t>年，根据国家卫生统计中心</w:t>
      </w:r>
      <w:r>
        <w:rPr>
          <w:snapToGrid/>
        </w:rPr>
        <w:t>/</w:t>
      </w:r>
      <w:r>
        <w:rPr>
          <w:rFonts w:hint="eastAsia"/>
          <w:snapToGrid/>
        </w:rPr>
        <w:t>世界卫生组织的国际标准，开始监督</w:t>
      </w:r>
      <w:r>
        <w:rPr>
          <w:rFonts w:hint="eastAsia"/>
          <w:snapToGrid/>
        </w:rPr>
        <w:t>6</w:t>
      </w:r>
      <w:r>
        <w:rPr>
          <w:rFonts w:hint="eastAsia"/>
          <w:snapToGrid/>
        </w:rPr>
        <w:t>岁以下儿童的营养状况。那年，用体重</w:t>
      </w:r>
      <w:r>
        <w:rPr>
          <w:snapToGrid/>
        </w:rPr>
        <w:t>/</w:t>
      </w:r>
      <w:r>
        <w:rPr>
          <w:rFonts w:hint="eastAsia"/>
          <w:snapToGrid/>
        </w:rPr>
        <w:t>年龄比衡量，只有</w:t>
      </w:r>
      <w:r>
        <w:rPr>
          <w:rFonts w:hint="eastAsia"/>
          <w:snapToGrid/>
        </w:rPr>
        <w:t>0.</w:t>
      </w:r>
      <w:r>
        <w:rPr>
          <w:snapToGrid/>
        </w:rPr>
        <w:t>9%</w:t>
      </w:r>
      <w:r>
        <w:rPr>
          <w:rFonts w:hint="eastAsia"/>
          <w:snapToGrid/>
        </w:rPr>
        <w:t>的儿童可以归入营养不足，如果以体重</w:t>
      </w:r>
      <w:r>
        <w:rPr>
          <w:snapToGrid/>
        </w:rPr>
        <w:t>/</w:t>
      </w:r>
      <w:r>
        <w:rPr>
          <w:rFonts w:hint="eastAsia"/>
          <w:snapToGrid/>
        </w:rPr>
        <w:t>身材比作为衡量指标，则只有</w:t>
      </w:r>
      <w:r>
        <w:rPr>
          <w:snapToGrid/>
        </w:rPr>
        <w:t>0.3%</w:t>
      </w:r>
      <w:r>
        <w:rPr>
          <w:rFonts w:hint="eastAsia"/>
          <w:snapToGrid/>
        </w:rPr>
        <w:t>的儿童可以营养不足。目前，公共卫生系统中受到监测的</w:t>
      </w:r>
      <w:r>
        <w:rPr>
          <w:rFonts w:hint="eastAsia"/>
          <w:snapToGrid/>
        </w:rPr>
        <w:t>6</w:t>
      </w:r>
      <w:r>
        <w:rPr>
          <w:rFonts w:hint="eastAsia"/>
          <w:snapToGrid/>
        </w:rPr>
        <w:t>岁以下的儿童，估计只有</w:t>
      </w:r>
      <w:r>
        <w:rPr>
          <w:rFonts w:hint="eastAsia"/>
          <w:snapToGrid/>
        </w:rPr>
        <w:t>0</w:t>
      </w:r>
      <w:r>
        <w:rPr>
          <w:rFonts w:hint="eastAsia"/>
          <w:snapToGrid/>
        </w:rPr>
        <w:t>.</w:t>
      </w:r>
      <w:r>
        <w:rPr>
          <w:snapToGrid/>
        </w:rPr>
        <w:t>5%</w:t>
      </w:r>
      <w:r>
        <w:rPr>
          <w:rFonts w:hint="eastAsia"/>
          <w:snapToGrid/>
        </w:rPr>
        <w:t>营养不足，约有</w:t>
      </w:r>
      <w:r>
        <w:rPr>
          <w:snapToGrid/>
        </w:rPr>
        <w:t>3.2%</w:t>
      </w:r>
      <w:r>
        <w:rPr>
          <w:rFonts w:hint="eastAsia"/>
          <w:snapToGrid/>
        </w:rPr>
        <w:t>被认为有营养不足的危险。针对这两个群体实施了一个特殊的监测与补给食品方案。</w:t>
      </w:r>
    </w:p>
    <w:p w:rsidR="00000000" w:rsidRDefault="009C1C61">
      <w:pPr>
        <w:rPr>
          <w:rFonts w:hint="eastAsia"/>
          <w:snapToGrid/>
        </w:rPr>
      </w:pPr>
      <w:r>
        <w:rPr>
          <w:rFonts w:hint="eastAsia"/>
          <w:snapToGrid/>
        </w:rPr>
        <w:tab/>
        <w:t xml:space="preserve">523.  </w:t>
      </w:r>
      <w:r>
        <w:rPr>
          <w:rFonts w:hint="eastAsia"/>
          <w:snapToGrid/>
        </w:rPr>
        <w:t>每年监测在校儿童营养状况所用的数据，是全国学校和奖学金援助委员会收集的数据。该委员会对小学一年级在校儿童进行了人体测量评估。</w:t>
      </w:r>
      <w:r>
        <w:rPr>
          <w:rStyle w:val="FootnoteReference"/>
          <w:snapToGrid/>
        </w:rPr>
        <w:footnoteReference w:id="248"/>
      </w:r>
      <w:r>
        <w:rPr>
          <w:rFonts w:hint="eastAsia"/>
          <w:snapToGrid/>
        </w:rPr>
        <w:t xml:space="preserve"> 1993</w:t>
      </w:r>
      <w:r>
        <w:rPr>
          <w:rFonts w:hint="eastAsia"/>
          <w:snapToGrid/>
        </w:rPr>
        <w:t>年，在这部分人口中，以体重</w:t>
      </w:r>
      <w:r>
        <w:rPr>
          <w:snapToGrid/>
        </w:rPr>
        <w:t>/</w:t>
      </w:r>
      <w:r>
        <w:rPr>
          <w:rFonts w:hint="eastAsia"/>
          <w:snapToGrid/>
        </w:rPr>
        <w:t>年龄比来衡量，只有</w:t>
      </w:r>
      <w:r>
        <w:rPr>
          <w:rFonts w:hint="eastAsia"/>
          <w:snapToGrid/>
        </w:rPr>
        <w:t>3.</w:t>
      </w:r>
      <w:r>
        <w:rPr>
          <w:snapToGrid/>
        </w:rPr>
        <w:t>1%</w:t>
      </w:r>
      <w:r>
        <w:rPr>
          <w:rFonts w:hint="eastAsia"/>
          <w:snapToGrid/>
        </w:rPr>
        <w:t>的儿童未达到卫生组织平均标准的两个标准偏差。若以体重</w:t>
      </w:r>
      <w:r>
        <w:rPr>
          <w:snapToGrid/>
        </w:rPr>
        <w:t>/</w:t>
      </w:r>
      <w:r>
        <w:rPr>
          <w:rFonts w:hint="eastAsia"/>
          <w:snapToGrid/>
        </w:rPr>
        <w:t>身材比来衡量，相应数字分别为</w:t>
      </w:r>
      <w:r>
        <w:rPr>
          <w:rFonts w:hint="eastAsia"/>
          <w:snapToGrid/>
        </w:rPr>
        <w:t>1.</w:t>
      </w:r>
      <w:r>
        <w:rPr>
          <w:snapToGrid/>
        </w:rPr>
        <w:t>9%</w:t>
      </w:r>
      <w:r>
        <w:rPr>
          <w:rFonts w:hint="eastAsia"/>
          <w:snapToGrid/>
        </w:rPr>
        <w:t>和</w:t>
      </w:r>
      <w:r>
        <w:rPr>
          <w:snapToGrid/>
        </w:rPr>
        <w:t>5.9%</w:t>
      </w:r>
      <w:r>
        <w:rPr>
          <w:rFonts w:hint="eastAsia"/>
          <w:snapToGrid/>
        </w:rPr>
        <w:t>。</w:t>
      </w:r>
      <w:r>
        <w:rPr>
          <w:rFonts w:hint="eastAsia"/>
          <w:snapToGrid/>
        </w:rPr>
        <w:t>1999</w:t>
      </w:r>
      <w:r>
        <w:rPr>
          <w:rFonts w:hint="eastAsia"/>
          <w:snapToGrid/>
        </w:rPr>
        <w:t>年，相应数字分别为</w:t>
      </w:r>
      <w:r>
        <w:rPr>
          <w:rFonts w:hint="eastAsia"/>
          <w:snapToGrid/>
        </w:rPr>
        <w:t>2.1</w:t>
      </w:r>
      <w:r>
        <w:rPr>
          <w:snapToGrid/>
        </w:rPr>
        <w:t>%</w:t>
      </w:r>
      <w:r>
        <w:rPr>
          <w:rFonts w:hint="eastAsia"/>
          <w:snapToGrid/>
        </w:rPr>
        <w:t>、</w:t>
      </w:r>
      <w:r>
        <w:rPr>
          <w:rFonts w:hint="eastAsia"/>
          <w:snapToGrid/>
        </w:rPr>
        <w:t>2.6</w:t>
      </w:r>
      <w:r>
        <w:rPr>
          <w:snapToGrid/>
        </w:rPr>
        <w:t>%</w:t>
      </w:r>
      <w:r>
        <w:rPr>
          <w:rFonts w:hint="eastAsia"/>
          <w:snapToGrid/>
        </w:rPr>
        <w:t>和</w:t>
      </w:r>
      <w:r>
        <w:rPr>
          <w:snapToGrid/>
        </w:rPr>
        <w:t>4.</w:t>
      </w:r>
      <w:r>
        <w:rPr>
          <w:rFonts w:hint="eastAsia"/>
          <w:snapToGrid/>
        </w:rPr>
        <w:t>2</w:t>
      </w:r>
      <w:r>
        <w:rPr>
          <w:snapToGrid/>
        </w:rPr>
        <w:t>%</w:t>
      </w:r>
      <w:r>
        <w:rPr>
          <w:rFonts w:hint="eastAsia"/>
          <w:snapToGrid/>
        </w:rPr>
        <w:t>。</w:t>
      </w:r>
    </w:p>
    <w:p w:rsidR="00000000" w:rsidRDefault="009C1C61">
      <w:pPr>
        <w:rPr>
          <w:rFonts w:hint="eastAsia"/>
          <w:snapToGrid/>
        </w:rPr>
      </w:pPr>
      <w:r>
        <w:rPr>
          <w:rFonts w:hint="eastAsia"/>
          <w:snapToGrid/>
        </w:rPr>
        <w:tab/>
        <w:t xml:space="preserve">524.  </w:t>
      </w:r>
      <w:r>
        <w:rPr>
          <w:rFonts w:hint="eastAsia"/>
          <w:snapToGrid/>
        </w:rPr>
        <w:t>至于公共卫生系统中受到监测的孕</w:t>
      </w:r>
      <w:r>
        <w:rPr>
          <w:rFonts w:hint="eastAsia"/>
          <w:snapToGrid/>
        </w:rPr>
        <w:t>妇，</w:t>
      </w:r>
      <w:r>
        <w:rPr>
          <w:rFonts w:hint="eastAsia"/>
          <w:snapToGrid/>
        </w:rPr>
        <w:t>1990</w:t>
      </w:r>
      <w:r>
        <w:rPr>
          <w:rFonts w:hint="eastAsia"/>
          <w:snapToGrid/>
        </w:rPr>
        <w:t>至</w:t>
      </w:r>
      <w:r>
        <w:rPr>
          <w:rFonts w:hint="eastAsia"/>
          <w:snapToGrid/>
        </w:rPr>
        <w:t>2001</w:t>
      </w:r>
      <w:r>
        <w:rPr>
          <w:rFonts w:hint="eastAsia"/>
          <w:snapToGrid/>
        </w:rPr>
        <w:t>年期间，被认为太瘦的孕妇所占百分比由</w:t>
      </w:r>
      <w:r>
        <w:rPr>
          <w:rFonts w:hint="eastAsia"/>
          <w:snapToGrid/>
        </w:rPr>
        <w:t>25</w:t>
      </w:r>
      <w:r>
        <w:rPr>
          <w:snapToGrid/>
        </w:rPr>
        <w:t>%</w:t>
      </w:r>
      <w:r>
        <w:rPr>
          <w:rFonts w:hint="eastAsia"/>
          <w:snapToGrid/>
        </w:rPr>
        <w:t>下降到</w:t>
      </w:r>
      <w:r>
        <w:rPr>
          <w:snapToGrid/>
        </w:rPr>
        <w:t>13.3%</w:t>
      </w:r>
      <w:r>
        <w:rPr>
          <w:rFonts w:hint="eastAsia"/>
          <w:snapToGrid/>
        </w:rPr>
        <w:t>。营养评价所用标准是在智利制订的，目前正在接受审查，因为人们认为这一标准可能高估了体重不足的孕妇的百分比。有不到</w:t>
      </w:r>
      <w:r>
        <w:rPr>
          <w:rFonts w:hint="eastAsia"/>
          <w:snapToGrid/>
        </w:rPr>
        <w:t>6</w:t>
      </w:r>
      <w:r>
        <w:rPr>
          <w:snapToGrid/>
        </w:rPr>
        <w:t>%</w:t>
      </w:r>
      <w:r>
        <w:rPr>
          <w:rFonts w:hint="eastAsia"/>
          <w:snapToGrid/>
        </w:rPr>
        <w:t>的育龄妇女体重指数小于</w:t>
      </w:r>
      <w:r>
        <w:rPr>
          <w:rFonts w:hint="eastAsia"/>
          <w:snapToGrid/>
        </w:rPr>
        <w:t>20,</w:t>
      </w:r>
      <w:r>
        <w:rPr>
          <w:rFonts w:hint="eastAsia"/>
          <w:snapToGrid/>
        </w:rPr>
        <w:t>全国新生婴儿体重不足的只占</w:t>
      </w:r>
      <w:r>
        <w:rPr>
          <w:rFonts w:hint="eastAsia"/>
          <w:snapToGrid/>
        </w:rPr>
        <w:t>5.</w:t>
      </w:r>
      <w:r>
        <w:rPr>
          <w:snapToGrid/>
        </w:rPr>
        <w:t>5%</w:t>
      </w:r>
      <w:r>
        <w:rPr>
          <w:rFonts w:hint="eastAsia"/>
          <w:snapToGrid/>
        </w:rPr>
        <w:t>(</w:t>
      </w:r>
      <w:r>
        <w:rPr>
          <w:rFonts w:hint="eastAsia"/>
          <w:snapToGrid/>
        </w:rPr>
        <w:t>卫生部的统计数据</w:t>
      </w:r>
      <w:r>
        <w:rPr>
          <w:rFonts w:hint="eastAsia"/>
          <w:snapToGrid/>
        </w:rPr>
        <w:t>)</w:t>
      </w:r>
      <w:r>
        <w:rPr>
          <w:rFonts w:hint="eastAsia"/>
          <w:snapToGrid/>
        </w:rPr>
        <w:t>。</w:t>
      </w:r>
    </w:p>
    <w:p w:rsidR="00000000" w:rsidRDefault="009C1C61">
      <w:pPr>
        <w:rPr>
          <w:rFonts w:hint="eastAsia"/>
          <w:snapToGrid/>
        </w:rPr>
      </w:pPr>
      <w:r>
        <w:rPr>
          <w:rFonts w:hint="eastAsia"/>
          <w:snapToGrid/>
        </w:rPr>
        <w:tab/>
        <w:t xml:space="preserve">525.  </w:t>
      </w:r>
      <w:r>
        <w:rPr>
          <w:rFonts w:hint="eastAsia"/>
          <w:snapToGrid/>
        </w:rPr>
        <w:t>在过去十年里，最严重的营养问题都与肥胖有关。实际上，肥胖对各个人口群体的影响越来越大。</w:t>
      </w:r>
      <w:r>
        <w:rPr>
          <w:rFonts w:hint="eastAsia"/>
          <w:snapToGrid/>
        </w:rPr>
        <w:t>1990</w:t>
      </w:r>
      <w:r>
        <w:rPr>
          <w:rFonts w:hint="eastAsia"/>
          <w:snapToGrid/>
        </w:rPr>
        <w:t>年至</w:t>
      </w:r>
      <w:r>
        <w:rPr>
          <w:rFonts w:hint="eastAsia"/>
          <w:snapToGrid/>
        </w:rPr>
        <w:t>2001</w:t>
      </w:r>
      <w:r>
        <w:rPr>
          <w:rFonts w:hint="eastAsia"/>
          <w:snapToGrid/>
        </w:rPr>
        <w:t>年期间，</w:t>
      </w:r>
      <w:r>
        <w:rPr>
          <w:rFonts w:hint="eastAsia"/>
          <w:snapToGrid/>
        </w:rPr>
        <w:t>6</w:t>
      </w:r>
      <w:r>
        <w:rPr>
          <w:rFonts w:hint="eastAsia"/>
          <w:snapToGrid/>
        </w:rPr>
        <w:t>岁以下、被认为肥胖的儿童由</w:t>
      </w:r>
      <w:r>
        <w:rPr>
          <w:snapToGrid/>
        </w:rPr>
        <w:t xml:space="preserve"> 5%</w:t>
      </w:r>
      <w:r>
        <w:rPr>
          <w:rFonts w:hint="eastAsia"/>
          <w:snapToGrid/>
        </w:rPr>
        <w:t>增加到</w:t>
      </w:r>
      <w:r>
        <w:rPr>
          <w:snapToGrid/>
        </w:rPr>
        <w:t>7.4%</w:t>
      </w:r>
      <w:r>
        <w:rPr>
          <w:rFonts w:hint="eastAsia"/>
          <w:snapToGrid/>
        </w:rPr>
        <w:t>。这个年龄组的儿童约有</w:t>
      </w:r>
      <w:r>
        <w:rPr>
          <w:snapToGrid/>
        </w:rPr>
        <w:t xml:space="preserve">15.6% </w:t>
      </w:r>
      <w:r>
        <w:rPr>
          <w:rFonts w:hint="eastAsia"/>
          <w:snapToGrid/>
        </w:rPr>
        <w:t>被认为超重，而在小学</w:t>
      </w:r>
      <w:r>
        <w:rPr>
          <w:rFonts w:hint="eastAsia"/>
          <w:snapToGrid/>
        </w:rPr>
        <w:t>生中，自</w:t>
      </w:r>
      <w:r>
        <w:rPr>
          <w:snapToGrid/>
        </w:rPr>
        <w:t>1986</w:t>
      </w:r>
      <w:r>
        <w:rPr>
          <w:rFonts w:hint="eastAsia"/>
          <w:snapToGrid/>
        </w:rPr>
        <w:t>至</w:t>
      </w:r>
      <w:r>
        <w:rPr>
          <w:snapToGrid/>
        </w:rPr>
        <w:t>1999</w:t>
      </w:r>
      <w:r>
        <w:rPr>
          <w:rFonts w:hint="eastAsia"/>
          <w:snapToGrid/>
        </w:rPr>
        <w:t>年期间，总的说来，肥胖也从</w:t>
      </w:r>
      <w:r>
        <w:rPr>
          <w:snapToGrid/>
        </w:rPr>
        <w:t>5%</w:t>
      </w:r>
      <w:r>
        <w:rPr>
          <w:rFonts w:hint="eastAsia"/>
          <w:snapToGrid/>
        </w:rPr>
        <w:t>增加到</w:t>
      </w:r>
      <w:r>
        <w:rPr>
          <w:snapToGrid/>
        </w:rPr>
        <w:t>14%</w:t>
      </w:r>
      <w:r>
        <w:rPr>
          <w:rFonts w:hint="eastAsia"/>
          <w:snapToGrid/>
        </w:rPr>
        <w:t>。同期超重儿童也从</w:t>
      </w:r>
      <w:r>
        <w:rPr>
          <w:snapToGrid/>
        </w:rPr>
        <w:t>10%</w:t>
      </w:r>
      <w:r>
        <w:rPr>
          <w:rFonts w:hint="eastAsia"/>
          <w:snapToGrid/>
        </w:rPr>
        <w:t>增加到</w:t>
      </w:r>
      <w:r>
        <w:rPr>
          <w:snapToGrid/>
        </w:rPr>
        <w:t>17%</w:t>
      </w:r>
      <w:r>
        <w:rPr>
          <w:rFonts w:hint="eastAsia"/>
          <w:snapToGrid/>
        </w:rPr>
        <w:t>。</w:t>
      </w:r>
      <w:r>
        <w:rPr>
          <w:rFonts w:hint="eastAsia"/>
          <w:snapToGrid/>
        </w:rPr>
        <w:t>2001</w:t>
      </w:r>
      <w:r>
        <w:rPr>
          <w:rFonts w:hint="eastAsia"/>
          <w:snapToGrid/>
        </w:rPr>
        <w:t>年</w:t>
      </w:r>
      <w:r>
        <w:rPr>
          <w:rFonts w:hint="eastAsia"/>
          <w:snapToGrid/>
        </w:rPr>
        <w:t>12</w:t>
      </w:r>
      <w:r>
        <w:rPr>
          <w:rFonts w:hint="eastAsia"/>
          <w:snapToGrid/>
        </w:rPr>
        <w:t>月</w:t>
      </w:r>
      <w:r>
        <w:rPr>
          <w:rFonts w:hint="eastAsia"/>
          <w:snapToGrid/>
        </w:rPr>
        <w:t>89,000</w:t>
      </w:r>
      <w:r>
        <w:rPr>
          <w:rFonts w:hint="eastAsia"/>
          <w:snapToGrid/>
        </w:rPr>
        <w:t>多名受到监测的孕妇，只有</w:t>
      </w:r>
      <w:r>
        <w:rPr>
          <w:snapToGrid/>
        </w:rPr>
        <w:t>21.8%</w:t>
      </w:r>
      <w:r>
        <w:rPr>
          <w:rFonts w:hint="eastAsia"/>
          <w:snapToGrid/>
        </w:rPr>
        <w:t>超重，</w:t>
      </w:r>
      <w:r>
        <w:rPr>
          <w:snapToGrid/>
        </w:rPr>
        <w:t>33.6%</w:t>
      </w:r>
      <w:r>
        <w:rPr>
          <w:rFonts w:hint="eastAsia"/>
          <w:snapToGrid/>
        </w:rPr>
        <w:t>肥胖。这些数字是</w:t>
      </w:r>
      <w:r>
        <w:rPr>
          <w:rFonts w:hint="eastAsia"/>
          <w:snapToGrid/>
        </w:rPr>
        <w:t>13</w:t>
      </w:r>
      <w:r>
        <w:rPr>
          <w:rFonts w:hint="eastAsia"/>
          <w:snapToGrid/>
        </w:rPr>
        <w:t>年前所记录的肥胖数字的</w:t>
      </w:r>
      <w:r>
        <w:rPr>
          <w:rFonts w:hint="eastAsia"/>
          <w:snapToGrid/>
        </w:rPr>
        <w:t>2</w:t>
      </w:r>
      <w:r>
        <w:rPr>
          <w:rFonts w:hint="eastAsia"/>
          <w:snapToGrid/>
        </w:rPr>
        <w:t>倍多。</w:t>
      </w:r>
    </w:p>
    <w:p w:rsidR="00000000" w:rsidRDefault="009C1C61">
      <w:pPr>
        <w:rPr>
          <w:rFonts w:hint="eastAsia"/>
          <w:snapToGrid/>
        </w:rPr>
      </w:pPr>
      <w:r>
        <w:rPr>
          <w:rFonts w:hint="eastAsia"/>
          <w:snapToGrid/>
        </w:rPr>
        <w:tab/>
        <w:t xml:space="preserve">526.  </w:t>
      </w:r>
      <w:r>
        <w:rPr>
          <w:rFonts w:hint="eastAsia"/>
          <w:snapToGrid/>
        </w:rPr>
        <w:t>至于超重感问题，约有</w:t>
      </w:r>
      <w:r>
        <w:rPr>
          <w:snapToGrid/>
        </w:rPr>
        <w:t>26.7%</w:t>
      </w:r>
      <w:r>
        <w:rPr>
          <w:rFonts w:hint="eastAsia"/>
          <w:snapToGrid/>
        </w:rPr>
        <w:t>的男人自认为超重或肥胖</w:t>
      </w:r>
      <w:r>
        <w:rPr>
          <w:snapToGrid/>
        </w:rPr>
        <w:t>，</w:t>
      </w:r>
      <w:r>
        <w:rPr>
          <w:rFonts w:hint="eastAsia"/>
          <w:snapToGrid/>
        </w:rPr>
        <w:t>有</w:t>
      </w:r>
      <w:r>
        <w:rPr>
          <w:snapToGrid/>
        </w:rPr>
        <w:t>38.8%</w:t>
      </w:r>
      <w:r>
        <w:rPr>
          <w:rFonts w:hint="eastAsia"/>
          <w:snapToGrid/>
        </w:rPr>
        <w:t>的女人自认为超重或肥胖。人口中，处于社会经济下层的人有</w:t>
      </w:r>
      <w:r>
        <w:rPr>
          <w:snapToGrid/>
        </w:rPr>
        <w:t>33%</w:t>
      </w:r>
      <w:r>
        <w:rPr>
          <w:rFonts w:hint="eastAsia"/>
          <w:snapToGrid/>
        </w:rPr>
        <w:t>的自认为超重，处于社会经济中层的为</w:t>
      </w:r>
      <w:r>
        <w:rPr>
          <w:snapToGrid/>
        </w:rPr>
        <w:t>34.6%</w:t>
      </w:r>
      <w:r>
        <w:rPr>
          <w:rFonts w:hint="eastAsia"/>
          <w:snapToGrid/>
        </w:rPr>
        <w:t>，处于社会上层的为</w:t>
      </w:r>
      <w:r>
        <w:rPr>
          <w:snapToGrid/>
        </w:rPr>
        <w:t>31.1%</w:t>
      </w:r>
      <w:r>
        <w:rPr>
          <w:rFonts w:hint="eastAsia"/>
          <w:snapToGrid/>
        </w:rPr>
        <w:t>。根据年龄分布，年龄在</w:t>
      </w:r>
      <w:r>
        <w:rPr>
          <w:rFonts w:hint="eastAsia"/>
          <w:snapToGrid/>
        </w:rPr>
        <w:t>15</w:t>
      </w:r>
      <w:r>
        <w:rPr>
          <w:rFonts w:hint="eastAsia"/>
          <w:snapToGrid/>
        </w:rPr>
        <w:t>至</w:t>
      </w:r>
      <w:r>
        <w:rPr>
          <w:rFonts w:hint="eastAsia"/>
          <w:snapToGrid/>
        </w:rPr>
        <w:t>19</w:t>
      </w:r>
      <w:r>
        <w:rPr>
          <w:rFonts w:hint="eastAsia"/>
          <w:snapToGrid/>
        </w:rPr>
        <w:t>岁的人口中有</w:t>
      </w:r>
      <w:r>
        <w:rPr>
          <w:snapToGrid/>
        </w:rPr>
        <w:t>16.7%</w:t>
      </w:r>
      <w:r>
        <w:rPr>
          <w:rFonts w:hint="eastAsia"/>
          <w:snapToGrid/>
        </w:rPr>
        <w:t>的有超重或</w:t>
      </w:r>
      <w:r>
        <w:rPr>
          <w:rFonts w:hint="eastAsia"/>
          <w:snapToGrid/>
        </w:rPr>
        <w:t>肥胖感；</w:t>
      </w:r>
      <w:r>
        <w:rPr>
          <w:rFonts w:hint="eastAsia"/>
          <w:snapToGrid/>
        </w:rPr>
        <w:t>20</w:t>
      </w:r>
      <w:r>
        <w:rPr>
          <w:rFonts w:hint="eastAsia"/>
          <w:snapToGrid/>
        </w:rPr>
        <w:t>－</w:t>
      </w:r>
      <w:r>
        <w:rPr>
          <w:rFonts w:hint="eastAsia"/>
          <w:snapToGrid/>
        </w:rPr>
        <w:t>44</w:t>
      </w:r>
      <w:r>
        <w:rPr>
          <w:rFonts w:hint="eastAsia"/>
          <w:snapToGrid/>
        </w:rPr>
        <w:t>岁年龄组的，有</w:t>
      </w:r>
      <w:r>
        <w:rPr>
          <w:snapToGrid/>
        </w:rPr>
        <w:t>30.8%</w:t>
      </w:r>
      <w:r>
        <w:rPr>
          <w:rFonts w:hint="eastAsia"/>
          <w:snapToGrid/>
        </w:rPr>
        <w:t>；</w:t>
      </w:r>
      <w:r>
        <w:rPr>
          <w:snapToGrid/>
        </w:rPr>
        <w:t xml:space="preserve"> 45</w:t>
      </w:r>
      <w:r>
        <w:rPr>
          <w:snapToGrid/>
        </w:rPr>
        <w:noBreakHyphen/>
        <w:t>64 </w:t>
      </w:r>
      <w:r>
        <w:rPr>
          <w:rFonts w:hint="eastAsia"/>
          <w:snapToGrid/>
        </w:rPr>
        <w:t>岁年龄组的，有</w:t>
      </w:r>
      <w:r>
        <w:rPr>
          <w:snapToGrid/>
        </w:rPr>
        <w:t xml:space="preserve">44.5% </w:t>
      </w:r>
      <w:r>
        <w:rPr>
          <w:rFonts w:hint="eastAsia"/>
          <w:snapToGrid/>
        </w:rPr>
        <w:t>；</w:t>
      </w:r>
      <w:r>
        <w:rPr>
          <w:snapToGrid/>
        </w:rPr>
        <w:t xml:space="preserve">65 </w:t>
      </w:r>
      <w:r>
        <w:rPr>
          <w:rFonts w:hint="eastAsia"/>
          <w:snapToGrid/>
        </w:rPr>
        <w:t>至</w:t>
      </w:r>
      <w:r>
        <w:rPr>
          <w:snapToGrid/>
        </w:rPr>
        <w:t>74</w:t>
      </w:r>
      <w:r>
        <w:rPr>
          <w:rFonts w:hint="eastAsia"/>
          <w:snapToGrid/>
        </w:rPr>
        <w:t>岁的，有</w:t>
      </w:r>
      <w:r>
        <w:rPr>
          <w:snapToGrid/>
        </w:rPr>
        <w:t>33.5%</w:t>
      </w:r>
      <w:r>
        <w:rPr>
          <w:rFonts w:hint="eastAsia"/>
          <w:snapToGrid/>
        </w:rPr>
        <w:t>；</w:t>
      </w:r>
      <w:r>
        <w:rPr>
          <w:rFonts w:hint="eastAsia"/>
          <w:snapToGrid/>
        </w:rPr>
        <w:t>75</w:t>
      </w:r>
      <w:r>
        <w:rPr>
          <w:rFonts w:hint="eastAsia"/>
          <w:snapToGrid/>
        </w:rPr>
        <w:t>岁以上年龄组的，有</w:t>
      </w:r>
      <w:r>
        <w:rPr>
          <w:snapToGrid/>
        </w:rPr>
        <w:t>31.9%</w:t>
      </w:r>
      <w:r>
        <w:rPr>
          <w:rFonts w:hint="eastAsia"/>
          <w:snapToGrid/>
        </w:rPr>
        <w:t>。</w:t>
      </w:r>
    </w:p>
    <w:p w:rsidR="00000000" w:rsidRDefault="009C1C61">
      <w:pPr>
        <w:rPr>
          <w:rFonts w:hint="eastAsia"/>
          <w:snapToGrid/>
        </w:rPr>
      </w:pPr>
      <w:r>
        <w:rPr>
          <w:rFonts w:hint="eastAsia"/>
          <w:snapToGrid/>
        </w:rPr>
        <w:tab/>
        <w:t xml:space="preserve">527.  </w:t>
      </w:r>
      <w:r>
        <w:rPr>
          <w:rFonts w:hint="eastAsia"/>
          <w:snapToGrid/>
        </w:rPr>
        <w:t>有几项研究表明，在社会经济各个群体中，约为</w:t>
      </w:r>
      <w:r>
        <w:rPr>
          <w:rFonts w:hint="eastAsia"/>
          <w:snapToGrid/>
        </w:rPr>
        <w:t>20</w:t>
      </w:r>
      <w:r>
        <w:rPr>
          <w:snapToGrid/>
        </w:rPr>
        <w:t>%</w:t>
      </w:r>
      <w:r>
        <w:rPr>
          <w:rFonts w:hint="eastAsia"/>
          <w:snapToGrid/>
        </w:rPr>
        <w:t>的成年男性肥胖和超重；就成年妇女而言，情况不一，高收入群体中约</w:t>
      </w:r>
      <w:r>
        <w:rPr>
          <w:rFonts w:hint="eastAsia"/>
          <w:snapToGrid/>
        </w:rPr>
        <w:t>20</w:t>
      </w:r>
      <w:r>
        <w:rPr>
          <w:snapToGrid/>
        </w:rPr>
        <w:t>%</w:t>
      </w:r>
      <w:r>
        <w:rPr>
          <w:rFonts w:hint="eastAsia"/>
          <w:snapToGrid/>
        </w:rPr>
        <w:t>的肥胖和超重，低收入群体中几乎有</w:t>
      </w:r>
      <w:r>
        <w:rPr>
          <w:rFonts w:hint="eastAsia"/>
          <w:snapToGrid/>
        </w:rPr>
        <w:t>40</w:t>
      </w:r>
      <w:r>
        <w:rPr>
          <w:snapToGrid/>
        </w:rPr>
        <w:t>%</w:t>
      </w:r>
      <w:r>
        <w:rPr>
          <w:rFonts w:hint="eastAsia"/>
          <w:snapToGrid/>
        </w:rPr>
        <w:t>的肥胖和超重。</w:t>
      </w:r>
    </w:p>
    <w:p w:rsidR="00000000" w:rsidRDefault="009C1C61">
      <w:pPr>
        <w:pStyle w:val="Heading4"/>
        <w:spacing w:before="300"/>
        <w:rPr>
          <w:rFonts w:ascii="Time New Roman" w:eastAsia="SimHei" w:hAnsi="Time New Roman" w:hint="eastAsia"/>
          <w:u w:val="none"/>
        </w:rPr>
      </w:pPr>
      <w:r>
        <w:rPr>
          <w:rFonts w:ascii="Time New Roman" w:eastAsia="SimHei" w:hAnsi="Time New Roman" w:hint="eastAsia"/>
          <w:u w:val="none"/>
        </w:rPr>
        <w:t>保障获得充足营养的措施</w:t>
      </w:r>
    </w:p>
    <w:p w:rsidR="00000000" w:rsidRDefault="009C1C61">
      <w:pPr>
        <w:rPr>
          <w:rFonts w:hint="eastAsia"/>
          <w:snapToGrid/>
          <w:spacing w:val="8"/>
        </w:rPr>
      </w:pPr>
      <w:r>
        <w:rPr>
          <w:rFonts w:hint="eastAsia"/>
          <w:snapToGrid/>
          <w:spacing w:val="8"/>
        </w:rPr>
        <w:tab/>
        <w:t xml:space="preserve">528.  </w:t>
      </w:r>
      <w:r>
        <w:rPr>
          <w:rFonts w:hint="eastAsia"/>
          <w:snapToGrid/>
          <w:spacing w:val="8"/>
        </w:rPr>
        <w:t>食物量不足和食物无保障问题，都影响着穷人。政府</w:t>
      </w:r>
      <w:r>
        <w:rPr>
          <w:rFonts w:hint="eastAsia"/>
          <w:snapToGrid/>
          <w:spacing w:val="8"/>
        </w:rPr>
        <w:t>1990</w:t>
      </w:r>
      <w:r>
        <w:rPr>
          <w:rFonts w:hint="eastAsia"/>
          <w:snapToGrid/>
          <w:spacing w:val="8"/>
        </w:rPr>
        <w:t>年开始实施的福利政策，旨在提高贫困户的生产能力，以此为手段把它们重新纳入国家的社会</w:t>
      </w:r>
      <w:r>
        <w:rPr>
          <w:rFonts w:hint="eastAsia"/>
          <w:snapToGrid/>
          <w:spacing w:val="8"/>
        </w:rPr>
        <w:t>生活中，因为起到那时他们一直被排斥在外。贫困人口有权享受现金补贴</w:t>
      </w:r>
      <w:r>
        <w:rPr>
          <w:snapToGrid/>
          <w:spacing w:val="8"/>
        </w:rPr>
        <w:t xml:space="preserve"> </w:t>
      </w:r>
      <w:r>
        <w:rPr>
          <w:rStyle w:val="FootnoteReference"/>
          <w:snapToGrid/>
          <w:spacing w:val="8"/>
        </w:rPr>
        <w:footnoteReference w:id="249"/>
      </w:r>
      <w:r>
        <w:rPr>
          <w:snapToGrid/>
          <w:spacing w:val="8"/>
        </w:rPr>
        <w:t xml:space="preserve"> </w:t>
      </w:r>
      <w:r>
        <w:rPr>
          <w:rFonts w:hint="eastAsia"/>
          <w:snapToGrid/>
          <w:spacing w:val="8"/>
        </w:rPr>
        <w:t>和食物援助，这是两个向孕妇、乳母</w:t>
      </w:r>
      <w:r>
        <w:rPr>
          <w:rFonts w:hint="eastAsia"/>
          <w:snapToGrid/>
          <w:spacing w:val="8"/>
        </w:rPr>
        <w:t>(</w:t>
      </w:r>
      <w:r>
        <w:rPr>
          <w:rFonts w:hint="eastAsia"/>
          <w:snapToGrid/>
          <w:spacing w:val="8"/>
        </w:rPr>
        <w:t>代母</w:t>
      </w:r>
      <w:r>
        <w:rPr>
          <w:rFonts w:hint="eastAsia"/>
          <w:snapToGrid/>
          <w:spacing w:val="8"/>
        </w:rPr>
        <w:t>)</w:t>
      </w:r>
      <w:r>
        <w:rPr>
          <w:rFonts w:hint="eastAsia"/>
          <w:snapToGrid/>
          <w:spacing w:val="8"/>
        </w:rPr>
        <w:t>、学龄前儿童和小学生发放补给食物的方案。这两个方案已经不间断地实施了几十年，</w:t>
      </w:r>
      <w:r>
        <w:rPr>
          <w:rFonts w:hint="eastAsia"/>
          <w:snapToGrid/>
          <w:spacing w:val="8"/>
        </w:rPr>
        <w:t>1999</w:t>
      </w:r>
      <w:r>
        <w:rPr>
          <w:rFonts w:hint="eastAsia"/>
          <w:snapToGrid/>
          <w:spacing w:val="8"/>
        </w:rPr>
        <w:t>年又增加了一个成人和</w:t>
      </w:r>
      <w:r>
        <w:rPr>
          <w:rFonts w:hint="eastAsia"/>
          <w:snapToGrid/>
          <w:spacing w:val="8"/>
        </w:rPr>
        <w:t>70</w:t>
      </w:r>
      <w:r>
        <w:rPr>
          <w:rFonts w:hint="eastAsia"/>
          <w:snapToGrid/>
          <w:spacing w:val="8"/>
        </w:rPr>
        <w:t>岁以上低收入群体的老人的补给食物方案。在试验阶段，这个方案曾在所选</w:t>
      </w:r>
      <w:r>
        <w:rPr>
          <w:rFonts w:hint="eastAsia"/>
          <w:snapToGrid/>
          <w:spacing w:val="8"/>
        </w:rPr>
        <w:t>87</w:t>
      </w:r>
      <w:r>
        <w:rPr>
          <w:rFonts w:hint="eastAsia"/>
          <w:snapToGrid/>
          <w:spacing w:val="8"/>
        </w:rPr>
        <w:t>个穷人和老人比例很高的中心开办，后来逐步推广到全国其他地方。目前，它覆盖了</w:t>
      </w:r>
      <w:r>
        <w:rPr>
          <w:rFonts w:hint="eastAsia"/>
          <w:snapToGrid/>
          <w:spacing w:val="8"/>
        </w:rPr>
        <w:t>40</w:t>
      </w:r>
      <w:r>
        <w:rPr>
          <w:snapToGrid/>
          <w:spacing w:val="8"/>
        </w:rPr>
        <w:t>%</w:t>
      </w:r>
      <w:r>
        <w:rPr>
          <w:rFonts w:hint="eastAsia"/>
          <w:snapToGrid/>
          <w:spacing w:val="8"/>
        </w:rPr>
        <w:t>的成人。</w:t>
      </w:r>
    </w:p>
    <w:p w:rsidR="00000000" w:rsidRDefault="009C1C61">
      <w:pPr>
        <w:rPr>
          <w:rFonts w:hint="eastAsia"/>
          <w:snapToGrid/>
        </w:rPr>
      </w:pPr>
      <w:r>
        <w:rPr>
          <w:rFonts w:hint="eastAsia"/>
          <w:snapToGrid/>
        </w:rPr>
        <w:tab/>
        <w:t xml:space="preserve">529.  </w:t>
      </w:r>
      <w:r>
        <w:rPr>
          <w:rFonts w:hint="eastAsia"/>
          <w:snapToGrid/>
        </w:rPr>
        <w:t>鉴于智利食物供应充足而稳定，只有能否获得适当营养问题是造成食物无保障的原因，因为营养问题一方面源于收入不足，一方面源于饮</w:t>
      </w:r>
      <w:r>
        <w:rPr>
          <w:rFonts w:hint="eastAsia"/>
          <w:snapToGrid/>
        </w:rPr>
        <w:t>食习惯不良。</w:t>
      </w:r>
    </w:p>
    <w:p w:rsidR="00000000" w:rsidRDefault="009C1C61">
      <w:pPr>
        <w:rPr>
          <w:rFonts w:hint="eastAsia"/>
          <w:snapToGrid/>
          <w:spacing w:val="6"/>
        </w:rPr>
      </w:pPr>
      <w:r>
        <w:rPr>
          <w:rFonts w:hint="eastAsia"/>
          <w:snapToGrid/>
          <w:spacing w:val="6"/>
        </w:rPr>
        <w:tab/>
        <w:t xml:space="preserve">530.  </w:t>
      </w:r>
      <w:r>
        <w:rPr>
          <w:rFonts w:hint="eastAsia"/>
          <w:snapToGrid/>
          <w:spacing w:val="6"/>
        </w:rPr>
        <w:t>由于经济增长，饮食习惯已偏向食用加工食品，即饱和脂肪丰富、热量高的所谓快餐食品。每年人均脂肪消费量从</w:t>
      </w:r>
      <w:r>
        <w:rPr>
          <w:rFonts w:hint="eastAsia"/>
          <w:snapToGrid/>
          <w:spacing w:val="6"/>
        </w:rPr>
        <w:t>1975</w:t>
      </w:r>
      <w:r>
        <w:rPr>
          <w:rFonts w:hint="eastAsia"/>
          <w:snapToGrid/>
          <w:spacing w:val="6"/>
        </w:rPr>
        <w:t>年的</w:t>
      </w:r>
      <w:r>
        <w:rPr>
          <w:rFonts w:hint="eastAsia"/>
          <w:snapToGrid/>
          <w:spacing w:val="6"/>
        </w:rPr>
        <w:t>13.</w:t>
      </w:r>
      <w:r>
        <w:rPr>
          <w:snapToGrid/>
          <w:spacing w:val="6"/>
        </w:rPr>
        <w:t>9</w:t>
      </w:r>
      <w:r>
        <w:rPr>
          <w:rFonts w:hint="eastAsia"/>
          <w:snapToGrid/>
          <w:spacing w:val="6"/>
        </w:rPr>
        <w:t>公斤增加到</w:t>
      </w:r>
      <w:r>
        <w:rPr>
          <w:rFonts w:hint="eastAsia"/>
          <w:snapToGrid/>
          <w:spacing w:val="6"/>
        </w:rPr>
        <w:t>1995</w:t>
      </w:r>
      <w:r>
        <w:rPr>
          <w:rFonts w:hint="eastAsia"/>
          <w:snapToGrid/>
          <w:spacing w:val="6"/>
        </w:rPr>
        <w:t>年的</w:t>
      </w:r>
      <w:r>
        <w:rPr>
          <w:snapToGrid/>
          <w:spacing w:val="6"/>
        </w:rPr>
        <w:t>16.7</w:t>
      </w:r>
      <w:r>
        <w:rPr>
          <w:rFonts w:hint="eastAsia"/>
          <w:snapToGrid/>
          <w:spacing w:val="6"/>
        </w:rPr>
        <w:t>公。同期，每年人均糖消费量由</w:t>
      </w:r>
      <w:r>
        <w:rPr>
          <w:snapToGrid/>
          <w:spacing w:val="6"/>
        </w:rPr>
        <w:t>30.2</w:t>
      </w:r>
      <w:r>
        <w:rPr>
          <w:rFonts w:hint="eastAsia"/>
          <w:snapToGrid/>
          <w:spacing w:val="6"/>
        </w:rPr>
        <w:t>公斤增加到</w:t>
      </w:r>
      <w:r>
        <w:rPr>
          <w:snapToGrid/>
          <w:spacing w:val="6"/>
        </w:rPr>
        <w:t>39.3</w:t>
      </w:r>
      <w:r>
        <w:rPr>
          <w:rFonts w:hint="eastAsia"/>
          <w:snapToGrid/>
          <w:spacing w:val="6"/>
        </w:rPr>
        <w:t>公斤。国民消费趋势表明，肉类</w:t>
      </w:r>
      <w:r>
        <w:rPr>
          <w:rFonts w:hint="eastAsia"/>
          <w:snapToGrid/>
          <w:spacing w:val="6"/>
        </w:rPr>
        <w:t>(</w:t>
      </w:r>
      <w:r>
        <w:rPr>
          <w:rFonts w:hint="eastAsia"/>
          <w:snapToGrid/>
          <w:spacing w:val="6"/>
        </w:rPr>
        <w:t>尤其是猪肉和鸡肉</w:t>
      </w:r>
      <w:r>
        <w:rPr>
          <w:rFonts w:hint="eastAsia"/>
          <w:snapToGrid/>
          <w:spacing w:val="6"/>
        </w:rPr>
        <w:t>)</w:t>
      </w:r>
      <w:r>
        <w:rPr>
          <w:rFonts w:hint="eastAsia"/>
          <w:snapToGrid/>
          <w:spacing w:val="6"/>
        </w:rPr>
        <w:t>消费增加了，鱼类、水果、蔬菜、谷物和豆类消费量却减少了。</w:t>
      </w:r>
      <w:r>
        <w:rPr>
          <w:rStyle w:val="FootnoteReference"/>
          <w:snapToGrid/>
          <w:spacing w:val="6"/>
        </w:rPr>
        <w:footnoteReference w:id="250"/>
      </w:r>
    </w:p>
    <w:p w:rsidR="00000000" w:rsidRDefault="009C1C61">
      <w:pPr>
        <w:rPr>
          <w:rFonts w:hint="eastAsia"/>
          <w:snapToGrid/>
        </w:rPr>
      </w:pPr>
      <w:r>
        <w:rPr>
          <w:rFonts w:hint="eastAsia"/>
          <w:snapToGrid/>
        </w:rPr>
        <w:tab/>
        <w:t>531.  1989</w:t>
      </w:r>
      <w:r>
        <w:rPr>
          <w:rFonts w:hint="eastAsia"/>
          <w:snapToGrid/>
        </w:rPr>
        <w:t>年，政府制订了营养标准，意在减少蛋白质和热量不足及其表现，事实上成了一个获得广泛成功的举措。为减少缺铁性贫血而制订的标准则不然。为了落实这种标准，从</w:t>
      </w:r>
      <w:r>
        <w:rPr>
          <w:rFonts w:hint="eastAsia"/>
          <w:snapToGrid/>
        </w:rPr>
        <w:t>1</w:t>
      </w:r>
      <w:r>
        <w:rPr>
          <w:rFonts w:hint="eastAsia"/>
          <w:snapToGrid/>
        </w:rPr>
        <w:t>998</w:t>
      </w:r>
      <w:r>
        <w:rPr>
          <w:rFonts w:hint="eastAsia"/>
          <w:snapToGrid/>
        </w:rPr>
        <w:t>年起，实施了一项政策，意在增加随卫生部被给食物方案而发放的食物的铁和其他微量营养素，希望把哺乳婴儿和学龄前儿童的缺铁性贫血的流行率由</w:t>
      </w:r>
      <w:r>
        <w:rPr>
          <w:rFonts w:hint="eastAsia"/>
          <w:snapToGrid/>
        </w:rPr>
        <w:t>25</w:t>
      </w:r>
      <w:r>
        <w:rPr>
          <w:snapToGrid/>
        </w:rPr>
        <w:t>%</w:t>
      </w:r>
      <w:r>
        <w:rPr>
          <w:rFonts w:hint="eastAsia"/>
          <w:snapToGrid/>
        </w:rPr>
        <w:t>降到</w:t>
      </w:r>
      <w:r>
        <w:rPr>
          <w:snapToGrid/>
        </w:rPr>
        <w:t>5%</w:t>
      </w:r>
      <w:r>
        <w:rPr>
          <w:rFonts w:hint="eastAsia"/>
          <w:snapToGrid/>
        </w:rPr>
        <w:t>。这一方案普遍适用于</w:t>
      </w:r>
      <w:r>
        <w:rPr>
          <w:rFonts w:hint="eastAsia"/>
          <w:snapToGrid/>
        </w:rPr>
        <w:t>6</w:t>
      </w:r>
      <w:r>
        <w:rPr>
          <w:rFonts w:hint="eastAsia"/>
          <w:snapToGrid/>
        </w:rPr>
        <w:t>岁以下儿童、孕妇和乳母，目前已覆盖这几个群体的</w:t>
      </w:r>
      <w:r>
        <w:rPr>
          <w:rFonts w:hint="eastAsia"/>
          <w:snapToGrid/>
        </w:rPr>
        <w:t>70</w:t>
      </w:r>
      <w:r>
        <w:rPr>
          <w:snapToGrid/>
        </w:rPr>
        <w:t>%</w:t>
      </w:r>
      <w:r>
        <w:rPr>
          <w:rFonts w:hint="eastAsia"/>
          <w:snapToGrid/>
        </w:rPr>
        <w:t>的个人。</w:t>
      </w:r>
    </w:p>
    <w:p w:rsidR="00000000" w:rsidRDefault="009C1C61">
      <w:pPr>
        <w:rPr>
          <w:rFonts w:hint="eastAsia"/>
          <w:snapToGrid/>
        </w:rPr>
      </w:pPr>
      <w:r>
        <w:rPr>
          <w:rFonts w:hint="eastAsia"/>
          <w:snapToGrid/>
        </w:rPr>
        <w:tab/>
        <w:t xml:space="preserve">532.  </w:t>
      </w:r>
      <w:r>
        <w:rPr>
          <w:rFonts w:hint="eastAsia"/>
          <w:snapToGrid/>
        </w:rPr>
        <w:t>全国促进健康委员会，在卫生部的协调下</w:t>
      </w:r>
      <w:r>
        <w:rPr>
          <w:rFonts w:hint="eastAsia"/>
          <w:snapToGrid/>
        </w:rPr>
        <w:t>V</w:t>
      </w:r>
      <w:r>
        <w:rPr>
          <w:snapToGrid/>
        </w:rPr>
        <w:t xml:space="preserve">ida Chile,  </w:t>
      </w:r>
      <w:r>
        <w:rPr>
          <w:rFonts w:hint="eastAsia"/>
          <w:snapToGrid/>
        </w:rPr>
        <w:t>经过与专家和技术人员会议协商，已经制订了影响目标。就肥胖而言，根据政府收集的国家数据，通过了</w:t>
      </w:r>
      <w:r>
        <w:rPr>
          <w:rFonts w:hint="eastAsia"/>
          <w:snapToGrid/>
        </w:rPr>
        <w:t>2001-2006</w:t>
      </w:r>
      <w:r>
        <w:rPr>
          <w:rFonts w:hint="eastAsia"/>
          <w:snapToGrid/>
        </w:rPr>
        <w:t>年</w:t>
      </w:r>
      <w:r>
        <w:rPr>
          <w:rFonts w:hint="eastAsia"/>
          <w:snapToGrid/>
        </w:rPr>
        <w:t>5</w:t>
      </w:r>
      <w:r>
        <w:rPr>
          <w:rFonts w:hint="eastAsia"/>
          <w:snapToGrid/>
        </w:rPr>
        <w:t>年期的下列目标：到</w:t>
      </w:r>
      <w:r>
        <w:rPr>
          <w:rFonts w:hint="eastAsia"/>
          <w:snapToGrid/>
        </w:rPr>
        <w:t>2006</w:t>
      </w:r>
      <w:r>
        <w:rPr>
          <w:rFonts w:hint="eastAsia"/>
          <w:snapToGrid/>
        </w:rPr>
        <w:t>年，使学龄前儿童、小学生和孕妇的肥胖发病率稳定下来；到</w:t>
      </w:r>
      <w:r>
        <w:rPr>
          <w:rFonts w:hint="eastAsia"/>
          <w:snapToGrid/>
        </w:rPr>
        <w:t>200</w:t>
      </w:r>
      <w:r>
        <w:rPr>
          <w:rFonts w:hint="eastAsia"/>
          <w:snapToGrid/>
        </w:rPr>
        <w:t>6</w:t>
      </w:r>
      <w:r>
        <w:rPr>
          <w:rFonts w:hint="eastAsia"/>
          <w:snapToGrid/>
        </w:rPr>
        <w:t>年，将学龄前夕肥胖率降低</w:t>
      </w:r>
      <w:r>
        <w:rPr>
          <w:rFonts w:hint="eastAsia"/>
          <w:snapToGrid/>
        </w:rPr>
        <w:t>3</w:t>
      </w:r>
      <w:r>
        <w:rPr>
          <w:rFonts w:hint="eastAsia"/>
          <w:snapToGrid/>
        </w:rPr>
        <w:t>个百分点；到</w:t>
      </w:r>
      <w:r>
        <w:rPr>
          <w:rFonts w:hint="eastAsia"/>
          <w:snapToGrid/>
        </w:rPr>
        <w:t>2006</w:t>
      </w:r>
      <w:r>
        <w:rPr>
          <w:rFonts w:hint="eastAsia"/>
          <w:snapToGrid/>
        </w:rPr>
        <w:t>年，将小学生和的肥胖率降低</w:t>
      </w:r>
      <w:r>
        <w:rPr>
          <w:rFonts w:hint="eastAsia"/>
          <w:snapToGrid/>
        </w:rPr>
        <w:t>4</w:t>
      </w:r>
      <w:r>
        <w:rPr>
          <w:rFonts w:hint="eastAsia"/>
          <w:snapToGrid/>
        </w:rPr>
        <w:t>个百分点。</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开展培训，传播有关营养基本原则的知识</w:t>
      </w:r>
    </w:p>
    <w:p w:rsidR="00000000" w:rsidRDefault="009C1C61">
      <w:pPr>
        <w:spacing w:after="320"/>
        <w:rPr>
          <w:rFonts w:hint="eastAsia"/>
          <w:snapToGrid/>
        </w:rPr>
      </w:pPr>
      <w:r>
        <w:rPr>
          <w:rFonts w:hint="eastAsia"/>
          <w:snapToGrid/>
        </w:rPr>
        <w:tab/>
        <w:t xml:space="preserve">533.  </w:t>
      </w:r>
      <w:r>
        <w:rPr>
          <w:rFonts w:hint="eastAsia"/>
          <w:snapToGrid/>
        </w:rPr>
        <w:t>考虑到智利的主要营养问题是肥胖和相关疾病，卫生部在其促进健康方案中优先考虑了促进健康饮食习惯。</w:t>
      </w:r>
      <w:r>
        <w:rPr>
          <w:rFonts w:hint="eastAsia"/>
          <w:snapToGrid/>
        </w:rPr>
        <w:t>1996</w:t>
      </w:r>
      <w:r>
        <w:rPr>
          <w:rFonts w:hint="eastAsia"/>
          <w:snapToGrid/>
        </w:rPr>
        <w:t>年，实施此项政策，出版了饮食指南，制订了智利</w:t>
      </w:r>
      <w:r>
        <w:rPr>
          <w:rFonts w:hint="eastAsia"/>
          <w:snapToGrid/>
        </w:rPr>
        <w:t>2</w:t>
      </w:r>
      <w:r>
        <w:rPr>
          <w:rFonts w:hint="eastAsia"/>
          <w:snapToGrid/>
        </w:rPr>
        <w:t>岁以上人口的“食物金字塔”，同时还引入了食品加贴标签制度，并普遍推行。</w:t>
      </w:r>
      <w:r>
        <w:rPr>
          <w:rFonts w:hint="eastAsia"/>
          <w:snapToGrid/>
        </w:rPr>
        <w:t>1999</w:t>
      </w:r>
      <w:r>
        <w:rPr>
          <w:rFonts w:hint="eastAsia"/>
          <w:snapToGrid/>
        </w:rPr>
        <w:t>年，又增加了</w:t>
      </w:r>
      <w:r>
        <w:rPr>
          <w:rFonts w:hint="eastAsia"/>
          <w:snapToGrid/>
        </w:rPr>
        <w:t>18</w:t>
      </w:r>
      <w:r>
        <w:rPr>
          <w:rFonts w:hint="eastAsia"/>
          <w:snapToGrid/>
        </w:rPr>
        <w:t>岁以上成人饮食指南，制订了</w:t>
      </w:r>
      <w:r>
        <w:rPr>
          <w:rFonts w:hint="eastAsia"/>
          <w:snapToGrid/>
        </w:rPr>
        <w:t>2</w:t>
      </w:r>
      <w:r>
        <w:rPr>
          <w:rFonts w:hint="eastAsia"/>
          <w:snapToGrid/>
        </w:rPr>
        <w:t>岁以下儿童饮食标准。在促进健康学校、健康工作场所以及健康城市和社区开展了健康饮食宣传运动。宣传运动的具</w:t>
      </w:r>
      <w:r>
        <w:rPr>
          <w:rFonts w:hint="eastAsia"/>
          <w:snapToGrid/>
        </w:rPr>
        <w:t>体项目包括：健康食品摊位，健康小吃，课间加餐，幼儿园、小学和中学家长讲习班，卫生机构活动与健康饮食方案。</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获得适当住房的权利</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国家的住房状况</w:t>
      </w:r>
    </w:p>
    <w:p w:rsidR="00000000" w:rsidRDefault="009C1C61">
      <w:pPr>
        <w:rPr>
          <w:snapToGrid/>
        </w:rPr>
      </w:pPr>
      <w:r>
        <w:rPr>
          <w:rFonts w:hint="eastAsia"/>
          <w:snapToGrid/>
        </w:rPr>
        <w:tab/>
        <w:t>534.  1990</w:t>
      </w:r>
      <w:r>
        <w:rPr>
          <w:rFonts w:hint="eastAsia"/>
          <w:snapToGrid/>
        </w:rPr>
        <w:t>年代初，智利的住房状况是数量短缺越来越严重</w:t>
      </w:r>
      <w:r>
        <w:rPr>
          <w:snapToGrid/>
        </w:rPr>
        <w:t xml:space="preserve"> </w:t>
      </w:r>
      <w:r>
        <w:rPr>
          <w:rStyle w:val="FootnoteReference"/>
          <w:snapToGrid/>
        </w:rPr>
        <w:footnoteReference w:id="251"/>
      </w:r>
      <w:r>
        <w:rPr>
          <w:snapToGrid/>
        </w:rPr>
        <w:t xml:space="preserve"> </w:t>
      </w:r>
      <w:r>
        <w:rPr>
          <w:rFonts w:hint="eastAsia"/>
          <w:snapToGrid/>
        </w:rPr>
        <w:t>90</w:t>
      </w:r>
      <w:r>
        <w:rPr>
          <w:rFonts w:hint="eastAsia"/>
          <w:snapToGrid/>
        </w:rPr>
        <w:t>多万户没有住房就是其反映。此外，国家住房也出现了严重的质量问题。有近</w:t>
      </w:r>
      <w:r>
        <w:rPr>
          <w:rFonts w:hint="eastAsia"/>
          <w:snapToGrid/>
        </w:rPr>
        <w:t>60</w:t>
      </w:r>
      <w:r>
        <w:rPr>
          <w:rFonts w:hint="eastAsia"/>
          <w:snapToGrid/>
        </w:rPr>
        <w:t>万户住在劣质房屋中。</w:t>
      </w:r>
      <w:r>
        <w:rPr>
          <w:rStyle w:val="FootnoteReference"/>
          <w:snapToGrid/>
        </w:rPr>
        <w:footnoteReference w:id="252"/>
      </w:r>
      <w:r>
        <w:rPr>
          <w:rFonts w:hint="eastAsia"/>
          <w:snapToGrid/>
        </w:rPr>
        <w:t xml:space="preserve"> </w:t>
      </w:r>
      <w:r>
        <w:rPr>
          <w:rFonts w:hint="eastAsia"/>
          <w:snapToGrid/>
        </w:rPr>
        <w:t>最后，现有的救急住房只能满足部分满足全国最穷困户的需要。</w:t>
      </w:r>
    </w:p>
    <w:p w:rsidR="00000000" w:rsidRDefault="009C1C61">
      <w:pPr>
        <w:pStyle w:val="Heading3"/>
        <w:spacing w:before="180" w:after="120"/>
        <w:rPr>
          <w:rFonts w:hint="eastAsia"/>
        </w:rPr>
      </w:pPr>
      <w:r>
        <w:rPr>
          <w:rFonts w:hint="eastAsia"/>
        </w:rPr>
        <w:t>表</w:t>
      </w:r>
      <w:r>
        <w:rPr>
          <w:rFonts w:hint="eastAsia"/>
        </w:rPr>
        <w:t xml:space="preserve"> </w:t>
      </w:r>
      <w:r>
        <w:rPr>
          <w:rFonts w:hint="eastAsia"/>
          <w:b/>
          <w:bCs/>
        </w:rPr>
        <w:t xml:space="preserve"> </w:t>
      </w:r>
      <w:r>
        <w:rPr>
          <w:b/>
          <w:bCs/>
        </w:rPr>
        <w:t>22</w:t>
      </w:r>
      <w:r>
        <w:rPr>
          <w:rFonts w:hint="eastAsia"/>
          <w:b/>
          <w:bCs/>
        </w:rPr>
        <w:br/>
      </w:r>
      <w:r>
        <w:rPr>
          <w:b/>
          <w:bCs/>
        </w:rPr>
        <w:t>1990-2000</w:t>
      </w:r>
      <w:r>
        <w:rPr>
          <w:rFonts w:hint="eastAsia"/>
        </w:rPr>
        <w:t>年住房短缺趋势</w:t>
      </w:r>
    </w:p>
    <w:tbl>
      <w:tblPr>
        <w:tblW w:w="97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036"/>
        <w:gridCol w:w="1050"/>
        <w:gridCol w:w="1050"/>
        <w:gridCol w:w="1050"/>
        <w:gridCol w:w="1050"/>
        <w:gridCol w:w="1050"/>
        <w:gridCol w:w="1469"/>
      </w:tblGrid>
      <w:tr w:rsidR="00000000">
        <w:tblPrEx>
          <w:tblCellMar>
            <w:top w:w="0" w:type="dxa"/>
            <w:bottom w:w="0" w:type="dxa"/>
          </w:tblCellMar>
        </w:tblPrEx>
        <w:trPr>
          <w:jc w:val="center"/>
        </w:trPr>
        <w:tc>
          <w:tcPr>
            <w:tcW w:w="3036" w:type="dxa"/>
            <w:tcBorders>
              <w:bottom w:val="single" w:sz="2" w:space="0" w:color="auto"/>
            </w:tcBorders>
            <w:vAlign w:val="center"/>
          </w:tcPr>
          <w:p w:rsidR="00000000" w:rsidRDefault="009C1C61">
            <w:pPr>
              <w:pStyle w:val="a2"/>
              <w:spacing w:line="220" w:lineRule="exact"/>
              <w:rPr>
                <w:noProof/>
                <w:snapToGrid/>
              </w:rPr>
            </w:pPr>
          </w:p>
        </w:tc>
        <w:tc>
          <w:tcPr>
            <w:tcW w:w="1050" w:type="dxa"/>
            <w:tcBorders>
              <w:bottom w:val="single" w:sz="2" w:space="0" w:color="auto"/>
            </w:tcBorders>
            <w:vAlign w:val="center"/>
          </w:tcPr>
          <w:p w:rsidR="00000000" w:rsidRDefault="009C1C61">
            <w:pPr>
              <w:pStyle w:val="a2"/>
              <w:spacing w:line="220" w:lineRule="exact"/>
              <w:jc w:val="center"/>
              <w:rPr>
                <w:noProof/>
                <w:snapToGrid/>
              </w:rPr>
            </w:pPr>
            <w:r>
              <w:rPr>
                <w:noProof/>
                <w:snapToGrid/>
              </w:rPr>
              <w:t>1990</w:t>
            </w:r>
          </w:p>
        </w:tc>
        <w:tc>
          <w:tcPr>
            <w:tcW w:w="1050" w:type="dxa"/>
            <w:tcBorders>
              <w:bottom w:val="single" w:sz="2" w:space="0" w:color="auto"/>
            </w:tcBorders>
            <w:vAlign w:val="center"/>
          </w:tcPr>
          <w:p w:rsidR="00000000" w:rsidRDefault="009C1C61">
            <w:pPr>
              <w:pStyle w:val="a2"/>
              <w:spacing w:line="220" w:lineRule="exact"/>
              <w:jc w:val="center"/>
              <w:rPr>
                <w:noProof/>
                <w:snapToGrid/>
              </w:rPr>
            </w:pPr>
            <w:r>
              <w:rPr>
                <w:noProof/>
                <w:snapToGrid/>
              </w:rPr>
              <w:t>1992</w:t>
            </w:r>
          </w:p>
        </w:tc>
        <w:tc>
          <w:tcPr>
            <w:tcW w:w="1050" w:type="dxa"/>
            <w:tcBorders>
              <w:bottom w:val="single" w:sz="2" w:space="0" w:color="auto"/>
            </w:tcBorders>
            <w:vAlign w:val="center"/>
          </w:tcPr>
          <w:p w:rsidR="00000000" w:rsidRDefault="009C1C61">
            <w:pPr>
              <w:pStyle w:val="a2"/>
              <w:spacing w:line="220" w:lineRule="exact"/>
              <w:jc w:val="center"/>
              <w:rPr>
                <w:noProof/>
                <w:snapToGrid/>
              </w:rPr>
            </w:pPr>
            <w:r>
              <w:rPr>
                <w:noProof/>
                <w:snapToGrid/>
              </w:rPr>
              <w:t>1996</w:t>
            </w:r>
          </w:p>
        </w:tc>
        <w:tc>
          <w:tcPr>
            <w:tcW w:w="1050" w:type="dxa"/>
            <w:tcBorders>
              <w:bottom w:val="single" w:sz="2" w:space="0" w:color="auto"/>
            </w:tcBorders>
            <w:vAlign w:val="center"/>
          </w:tcPr>
          <w:p w:rsidR="00000000" w:rsidRDefault="009C1C61">
            <w:pPr>
              <w:pStyle w:val="a2"/>
              <w:spacing w:line="220" w:lineRule="exact"/>
              <w:jc w:val="center"/>
              <w:rPr>
                <w:noProof/>
                <w:snapToGrid/>
              </w:rPr>
            </w:pPr>
            <w:r>
              <w:rPr>
                <w:noProof/>
                <w:snapToGrid/>
              </w:rPr>
              <w:t>1998</w:t>
            </w:r>
          </w:p>
        </w:tc>
        <w:tc>
          <w:tcPr>
            <w:tcW w:w="1050" w:type="dxa"/>
            <w:tcBorders>
              <w:bottom w:val="single" w:sz="2" w:space="0" w:color="auto"/>
            </w:tcBorders>
            <w:vAlign w:val="center"/>
          </w:tcPr>
          <w:p w:rsidR="00000000" w:rsidRDefault="009C1C61">
            <w:pPr>
              <w:pStyle w:val="a2"/>
              <w:spacing w:line="220" w:lineRule="exact"/>
              <w:jc w:val="center"/>
              <w:rPr>
                <w:noProof/>
                <w:snapToGrid/>
              </w:rPr>
            </w:pPr>
            <w:r>
              <w:rPr>
                <w:noProof/>
                <w:snapToGrid/>
              </w:rPr>
              <w:t>2000</w:t>
            </w:r>
          </w:p>
        </w:tc>
        <w:tc>
          <w:tcPr>
            <w:tcW w:w="1469" w:type="dxa"/>
            <w:tcBorders>
              <w:bottom w:val="single" w:sz="2" w:space="0" w:color="auto"/>
            </w:tcBorders>
            <w:vAlign w:val="center"/>
          </w:tcPr>
          <w:p w:rsidR="00000000" w:rsidRDefault="009C1C61">
            <w:pPr>
              <w:pStyle w:val="a2"/>
              <w:spacing w:line="220" w:lineRule="exact"/>
              <w:jc w:val="center"/>
              <w:rPr>
                <w:rFonts w:hint="eastAsia"/>
                <w:noProof/>
                <w:snapToGrid/>
              </w:rPr>
            </w:pPr>
            <w:r>
              <w:rPr>
                <w:noProof/>
                <w:snapToGrid/>
              </w:rPr>
              <w:t>1990-2000</w:t>
            </w:r>
          </w:p>
          <w:p w:rsidR="00000000" w:rsidRDefault="009C1C61">
            <w:pPr>
              <w:pStyle w:val="a2"/>
              <w:spacing w:line="220" w:lineRule="exact"/>
              <w:jc w:val="center"/>
              <w:rPr>
                <w:rFonts w:hint="eastAsia"/>
                <w:noProof/>
                <w:snapToGrid/>
              </w:rPr>
            </w:pPr>
            <w:r>
              <w:rPr>
                <w:rFonts w:hint="eastAsia"/>
                <w:noProof/>
                <w:snapToGrid/>
              </w:rPr>
              <w:t>百分比变化</w:t>
            </w:r>
          </w:p>
        </w:tc>
      </w:tr>
      <w:tr w:rsidR="00000000">
        <w:tblPrEx>
          <w:tblCellMar>
            <w:top w:w="0" w:type="dxa"/>
            <w:bottom w:w="0" w:type="dxa"/>
          </w:tblCellMar>
        </w:tblPrEx>
        <w:trPr>
          <w:jc w:val="center"/>
        </w:trPr>
        <w:tc>
          <w:tcPr>
            <w:tcW w:w="3036" w:type="dxa"/>
            <w:tcBorders>
              <w:top w:val="single" w:sz="2" w:space="0" w:color="auto"/>
              <w:bottom w:val="nil"/>
            </w:tcBorders>
            <w:vAlign w:val="bottom"/>
          </w:tcPr>
          <w:p w:rsidR="00000000" w:rsidRDefault="009C1C61">
            <w:pPr>
              <w:pStyle w:val="a2"/>
              <w:spacing w:line="220" w:lineRule="exact"/>
              <w:rPr>
                <w:rFonts w:hint="eastAsia"/>
                <w:noProof/>
                <w:snapToGrid/>
              </w:rPr>
            </w:pPr>
            <w:r>
              <w:rPr>
                <w:rFonts w:hint="eastAsia"/>
                <w:noProof/>
                <w:snapToGrid/>
              </w:rPr>
              <w:t>数量短缺</w:t>
            </w:r>
          </w:p>
        </w:tc>
        <w:tc>
          <w:tcPr>
            <w:tcW w:w="1050" w:type="dxa"/>
            <w:tcBorders>
              <w:top w:val="single" w:sz="2" w:space="0" w:color="auto"/>
              <w:bottom w:val="nil"/>
            </w:tcBorders>
            <w:vAlign w:val="bottom"/>
          </w:tcPr>
          <w:p w:rsidR="00000000" w:rsidRDefault="009C1C61">
            <w:pPr>
              <w:pStyle w:val="a2"/>
              <w:spacing w:line="220" w:lineRule="exact"/>
              <w:ind w:right="113"/>
              <w:jc w:val="right"/>
              <w:rPr>
                <w:noProof/>
                <w:snapToGrid/>
              </w:rPr>
            </w:pPr>
          </w:p>
        </w:tc>
        <w:tc>
          <w:tcPr>
            <w:tcW w:w="1050" w:type="dxa"/>
            <w:tcBorders>
              <w:top w:val="single" w:sz="2" w:space="0" w:color="auto"/>
              <w:bottom w:val="nil"/>
            </w:tcBorders>
            <w:vAlign w:val="bottom"/>
          </w:tcPr>
          <w:p w:rsidR="00000000" w:rsidRDefault="009C1C61">
            <w:pPr>
              <w:pStyle w:val="a2"/>
              <w:spacing w:line="220" w:lineRule="exact"/>
              <w:ind w:right="113"/>
              <w:jc w:val="right"/>
              <w:rPr>
                <w:noProof/>
                <w:snapToGrid/>
              </w:rPr>
            </w:pPr>
          </w:p>
        </w:tc>
        <w:tc>
          <w:tcPr>
            <w:tcW w:w="1050" w:type="dxa"/>
            <w:tcBorders>
              <w:top w:val="single" w:sz="2" w:space="0" w:color="auto"/>
              <w:bottom w:val="nil"/>
            </w:tcBorders>
            <w:vAlign w:val="bottom"/>
          </w:tcPr>
          <w:p w:rsidR="00000000" w:rsidRDefault="009C1C61">
            <w:pPr>
              <w:pStyle w:val="a2"/>
              <w:spacing w:line="220" w:lineRule="exact"/>
              <w:ind w:right="113"/>
              <w:jc w:val="right"/>
              <w:rPr>
                <w:noProof/>
                <w:snapToGrid/>
              </w:rPr>
            </w:pPr>
          </w:p>
        </w:tc>
        <w:tc>
          <w:tcPr>
            <w:tcW w:w="1050" w:type="dxa"/>
            <w:tcBorders>
              <w:top w:val="single" w:sz="2" w:space="0" w:color="auto"/>
              <w:bottom w:val="nil"/>
            </w:tcBorders>
            <w:vAlign w:val="bottom"/>
          </w:tcPr>
          <w:p w:rsidR="00000000" w:rsidRDefault="009C1C61">
            <w:pPr>
              <w:pStyle w:val="a2"/>
              <w:spacing w:line="220" w:lineRule="exact"/>
              <w:ind w:right="113"/>
              <w:jc w:val="right"/>
              <w:rPr>
                <w:noProof/>
                <w:snapToGrid/>
              </w:rPr>
            </w:pPr>
          </w:p>
        </w:tc>
        <w:tc>
          <w:tcPr>
            <w:tcW w:w="1050" w:type="dxa"/>
            <w:tcBorders>
              <w:top w:val="single" w:sz="2" w:space="0" w:color="auto"/>
              <w:bottom w:val="nil"/>
            </w:tcBorders>
            <w:vAlign w:val="bottom"/>
          </w:tcPr>
          <w:p w:rsidR="00000000" w:rsidRDefault="009C1C61">
            <w:pPr>
              <w:pStyle w:val="a2"/>
              <w:spacing w:line="220" w:lineRule="exact"/>
              <w:ind w:right="113"/>
              <w:jc w:val="right"/>
              <w:rPr>
                <w:noProof/>
                <w:snapToGrid/>
              </w:rPr>
            </w:pPr>
          </w:p>
        </w:tc>
        <w:tc>
          <w:tcPr>
            <w:tcW w:w="1469" w:type="dxa"/>
            <w:tcBorders>
              <w:top w:val="single" w:sz="2" w:space="0" w:color="auto"/>
              <w:bottom w:val="nil"/>
            </w:tcBorders>
            <w:vAlign w:val="bottom"/>
          </w:tcPr>
          <w:p w:rsidR="00000000" w:rsidRDefault="009C1C61">
            <w:pPr>
              <w:pStyle w:val="a2"/>
              <w:spacing w:line="220" w:lineRule="exact"/>
              <w:ind w:right="113"/>
              <w:jc w:val="right"/>
              <w:rPr>
                <w:noProof/>
                <w:snapToGrid/>
              </w:rPr>
            </w:pPr>
          </w:p>
        </w:tc>
      </w:tr>
      <w:tr w:rsidR="00000000">
        <w:tblPrEx>
          <w:tblCellMar>
            <w:top w:w="0" w:type="dxa"/>
            <w:bottom w:w="0" w:type="dxa"/>
          </w:tblCellMar>
        </w:tblPrEx>
        <w:trPr>
          <w:jc w:val="center"/>
        </w:trPr>
        <w:tc>
          <w:tcPr>
            <w:tcW w:w="3036" w:type="dxa"/>
            <w:tcBorders>
              <w:top w:val="nil"/>
              <w:bottom w:val="nil"/>
            </w:tcBorders>
            <w:vAlign w:val="bottom"/>
          </w:tcPr>
          <w:p w:rsidR="00000000" w:rsidRDefault="009C1C61">
            <w:pPr>
              <w:pStyle w:val="a2"/>
              <w:spacing w:line="220" w:lineRule="exact"/>
              <w:rPr>
                <w:rFonts w:hint="eastAsia"/>
                <w:noProof/>
                <w:snapToGrid/>
              </w:rPr>
            </w:pPr>
            <w:r>
              <w:rPr>
                <w:noProof/>
                <w:snapToGrid/>
              </w:rPr>
              <w:tab/>
            </w:r>
            <w:r>
              <w:rPr>
                <w:rFonts w:hint="eastAsia"/>
                <w:noProof/>
                <w:snapToGrid/>
              </w:rPr>
              <w:t>大家庭</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918,756</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844,851</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746,190</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758,201</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743,450</w:t>
            </w:r>
          </w:p>
        </w:tc>
        <w:tc>
          <w:tcPr>
            <w:tcW w:w="1469"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–19.0</w:t>
            </w:r>
          </w:p>
        </w:tc>
      </w:tr>
      <w:tr w:rsidR="00000000">
        <w:tblPrEx>
          <w:tblCellMar>
            <w:top w:w="0" w:type="dxa"/>
            <w:bottom w:w="0" w:type="dxa"/>
          </w:tblCellMar>
        </w:tblPrEx>
        <w:trPr>
          <w:jc w:val="center"/>
        </w:trPr>
        <w:tc>
          <w:tcPr>
            <w:tcW w:w="3036" w:type="dxa"/>
            <w:tcBorders>
              <w:top w:val="nil"/>
              <w:bottom w:val="nil"/>
            </w:tcBorders>
            <w:vAlign w:val="bottom"/>
          </w:tcPr>
          <w:p w:rsidR="00000000" w:rsidRDefault="009C1C61">
            <w:pPr>
              <w:pStyle w:val="a2"/>
              <w:spacing w:line="220" w:lineRule="exact"/>
              <w:rPr>
                <w:noProof/>
                <w:snapToGrid/>
              </w:rPr>
            </w:pPr>
            <w:r>
              <w:rPr>
                <w:rFonts w:hint="eastAsia"/>
                <w:noProof/>
                <w:snapToGrid/>
              </w:rPr>
              <w:t>家庭住房短缺</w:t>
            </w:r>
            <w:r>
              <w:rPr>
                <w:noProof/>
                <w:snapToGrid/>
              </w:rPr>
              <w:t>：</w:t>
            </w:r>
          </w:p>
        </w:tc>
        <w:tc>
          <w:tcPr>
            <w:tcW w:w="1050" w:type="dxa"/>
            <w:tcBorders>
              <w:top w:val="nil"/>
              <w:bottom w:val="nil"/>
            </w:tcBorders>
            <w:vAlign w:val="bottom"/>
          </w:tcPr>
          <w:p w:rsidR="00000000" w:rsidRDefault="009C1C61">
            <w:pPr>
              <w:pStyle w:val="a2"/>
              <w:spacing w:line="220" w:lineRule="exact"/>
              <w:ind w:right="113"/>
              <w:jc w:val="right"/>
              <w:rPr>
                <w:noProof/>
                <w:snapToGrid/>
              </w:rPr>
            </w:pPr>
          </w:p>
        </w:tc>
        <w:tc>
          <w:tcPr>
            <w:tcW w:w="1050" w:type="dxa"/>
            <w:tcBorders>
              <w:top w:val="nil"/>
              <w:bottom w:val="nil"/>
            </w:tcBorders>
            <w:vAlign w:val="bottom"/>
          </w:tcPr>
          <w:p w:rsidR="00000000" w:rsidRDefault="009C1C61">
            <w:pPr>
              <w:pStyle w:val="a2"/>
              <w:spacing w:line="220" w:lineRule="exact"/>
              <w:ind w:right="113"/>
              <w:jc w:val="right"/>
              <w:rPr>
                <w:noProof/>
                <w:snapToGrid/>
              </w:rPr>
            </w:pPr>
          </w:p>
        </w:tc>
        <w:tc>
          <w:tcPr>
            <w:tcW w:w="1050" w:type="dxa"/>
            <w:tcBorders>
              <w:top w:val="nil"/>
              <w:bottom w:val="nil"/>
            </w:tcBorders>
            <w:vAlign w:val="bottom"/>
          </w:tcPr>
          <w:p w:rsidR="00000000" w:rsidRDefault="009C1C61">
            <w:pPr>
              <w:pStyle w:val="a2"/>
              <w:spacing w:line="220" w:lineRule="exact"/>
              <w:ind w:right="113"/>
              <w:jc w:val="right"/>
              <w:rPr>
                <w:noProof/>
                <w:snapToGrid/>
              </w:rPr>
            </w:pPr>
          </w:p>
        </w:tc>
        <w:tc>
          <w:tcPr>
            <w:tcW w:w="1050" w:type="dxa"/>
            <w:tcBorders>
              <w:top w:val="nil"/>
              <w:bottom w:val="nil"/>
            </w:tcBorders>
            <w:vAlign w:val="bottom"/>
          </w:tcPr>
          <w:p w:rsidR="00000000" w:rsidRDefault="009C1C61">
            <w:pPr>
              <w:pStyle w:val="a2"/>
              <w:spacing w:line="220" w:lineRule="exact"/>
              <w:ind w:right="113"/>
              <w:jc w:val="right"/>
              <w:rPr>
                <w:noProof/>
                <w:snapToGrid/>
              </w:rPr>
            </w:pPr>
          </w:p>
        </w:tc>
        <w:tc>
          <w:tcPr>
            <w:tcW w:w="1050" w:type="dxa"/>
            <w:tcBorders>
              <w:top w:val="nil"/>
              <w:bottom w:val="nil"/>
            </w:tcBorders>
            <w:vAlign w:val="bottom"/>
          </w:tcPr>
          <w:p w:rsidR="00000000" w:rsidRDefault="009C1C61">
            <w:pPr>
              <w:pStyle w:val="a2"/>
              <w:spacing w:line="220" w:lineRule="exact"/>
              <w:ind w:right="113"/>
              <w:jc w:val="right"/>
              <w:rPr>
                <w:noProof/>
                <w:snapToGrid/>
              </w:rPr>
            </w:pPr>
          </w:p>
        </w:tc>
        <w:tc>
          <w:tcPr>
            <w:tcW w:w="1469" w:type="dxa"/>
            <w:tcBorders>
              <w:top w:val="nil"/>
              <w:bottom w:val="nil"/>
            </w:tcBorders>
            <w:vAlign w:val="bottom"/>
          </w:tcPr>
          <w:p w:rsidR="00000000" w:rsidRDefault="009C1C61">
            <w:pPr>
              <w:pStyle w:val="a2"/>
              <w:spacing w:line="220" w:lineRule="exact"/>
              <w:ind w:right="113"/>
              <w:jc w:val="right"/>
              <w:rPr>
                <w:noProof/>
                <w:snapToGrid/>
              </w:rPr>
            </w:pPr>
          </w:p>
        </w:tc>
      </w:tr>
      <w:tr w:rsidR="00000000">
        <w:tblPrEx>
          <w:tblCellMar>
            <w:top w:w="0" w:type="dxa"/>
            <w:bottom w:w="0" w:type="dxa"/>
          </w:tblCellMar>
        </w:tblPrEx>
        <w:trPr>
          <w:jc w:val="center"/>
        </w:trPr>
        <w:tc>
          <w:tcPr>
            <w:tcW w:w="3036" w:type="dxa"/>
            <w:tcBorders>
              <w:top w:val="nil"/>
              <w:bottom w:val="nil"/>
            </w:tcBorders>
            <w:vAlign w:val="bottom"/>
          </w:tcPr>
          <w:p w:rsidR="00000000" w:rsidRDefault="009C1C61">
            <w:pPr>
              <w:pStyle w:val="a2"/>
              <w:spacing w:line="220" w:lineRule="exact"/>
              <w:rPr>
                <w:rFonts w:hint="eastAsia"/>
                <w:noProof/>
                <w:snapToGrid/>
              </w:rPr>
            </w:pPr>
            <w:r>
              <w:rPr>
                <w:noProof/>
                <w:snapToGrid/>
              </w:rPr>
              <w:tab/>
            </w:r>
            <w:r>
              <w:rPr>
                <w:rFonts w:hint="eastAsia"/>
                <w:noProof/>
                <w:snapToGrid/>
              </w:rPr>
              <w:t>物质便利短缺</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290,340</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242,603</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181,451</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176,274</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159,469</w:t>
            </w:r>
          </w:p>
        </w:tc>
        <w:tc>
          <w:tcPr>
            <w:tcW w:w="1469"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–45.1</w:t>
            </w:r>
          </w:p>
        </w:tc>
      </w:tr>
      <w:tr w:rsidR="00000000">
        <w:tblPrEx>
          <w:tblCellMar>
            <w:top w:w="0" w:type="dxa"/>
            <w:bottom w:w="0" w:type="dxa"/>
          </w:tblCellMar>
        </w:tblPrEx>
        <w:trPr>
          <w:jc w:val="center"/>
        </w:trPr>
        <w:tc>
          <w:tcPr>
            <w:tcW w:w="3036" w:type="dxa"/>
            <w:tcBorders>
              <w:top w:val="nil"/>
              <w:bottom w:val="nil"/>
            </w:tcBorders>
            <w:vAlign w:val="bottom"/>
          </w:tcPr>
          <w:p w:rsidR="00000000" w:rsidRDefault="009C1C61">
            <w:pPr>
              <w:pStyle w:val="a2"/>
              <w:spacing w:line="220" w:lineRule="exact"/>
              <w:rPr>
                <w:rFonts w:hint="eastAsia"/>
                <w:noProof/>
                <w:snapToGrid/>
              </w:rPr>
            </w:pPr>
            <w:r>
              <w:rPr>
                <w:noProof/>
                <w:snapToGrid/>
              </w:rPr>
              <w:tab/>
            </w:r>
            <w:r>
              <w:rPr>
                <w:rFonts w:hint="eastAsia"/>
                <w:noProof/>
                <w:snapToGrid/>
              </w:rPr>
              <w:t>卫生设备短缺</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257,773</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241,590</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248,836</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221,090</w:t>
            </w:r>
          </w:p>
        </w:tc>
        <w:tc>
          <w:tcPr>
            <w:tcW w:w="1050"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200,575</w:t>
            </w:r>
          </w:p>
        </w:tc>
        <w:tc>
          <w:tcPr>
            <w:tcW w:w="1469" w:type="dxa"/>
            <w:tcBorders>
              <w:top w:val="nil"/>
              <w:bottom w:val="nil"/>
            </w:tcBorders>
            <w:vAlign w:val="bottom"/>
          </w:tcPr>
          <w:p w:rsidR="00000000" w:rsidRDefault="009C1C61">
            <w:pPr>
              <w:pStyle w:val="a2"/>
              <w:spacing w:line="220" w:lineRule="exact"/>
              <w:ind w:right="113"/>
              <w:jc w:val="right"/>
              <w:rPr>
                <w:noProof/>
                <w:snapToGrid/>
              </w:rPr>
            </w:pPr>
            <w:r>
              <w:rPr>
                <w:noProof/>
                <w:snapToGrid/>
              </w:rPr>
              <w:t>–22.2</w:t>
            </w:r>
          </w:p>
        </w:tc>
      </w:tr>
      <w:tr w:rsidR="00000000">
        <w:tblPrEx>
          <w:tblCellMar>
            <w:top w:w="0" w:type="dxa"/>
            <w:bottom w:w="0" w:type="dxa"/>
          </w:tblCellMar>
        </w:tblPrEx>
        <w:trPr>
          <w:jc w:val="center"/>
        </w:trPr>
        <w:tc>
          <w:tcPr>
            <w:tcW w:w="3036" w:type="dxa"/>
            <w:tcBorders>
              <w:top w:val="nil"/>
            </w:tcBorders>
            <w:vAlign w:val="bottom"/>
          </w:tcPr>
          <w:p w:rsidR="00000000" w:rsidRDefault="009C1C61">
            <w:pPr>
              <w:pStyle w:val="a2"/>
              <w:spacing w:line="220" w:lineRule="exact"/>
              <w:rPr>
                <w:rFonts w:hint="eastAsia"/>
                <w:noProof/>
                <w:snapToGrid/>
              </w:rPr>
            </w:pPr>
            <w:r>
              <w:rPr>
                <w:noProof/>
                <w:snapToGrid/>
              </w:rPr>
              <w:tab/>
            </w:r>
            <w:r>
              <w:rPr>
                <w:rFonts w:hint="eastAsia"/>
                <w:noProof/>
                <w:snapToGrid/>
              </w:rPr>
              <w:t>物质便利和卫生设备短缺</w:t>
            </w:r>
          </w:p>
        </w:tc>
        <w:tc>
          <w:tcPr>
            <w:tcW w:w="1050" w:type="dxa"/>
            <w:tcBorders>
              <w:top w:val="nil"/>
            </w:tcBorders>
          </w:tcPr>
          <w:p w:rsidR="00000000" w:rsidRDefault="009C1C61">
            <w:pPr>
              <w:pStyle w:val="a2"/>
              <w:spacing w:line="220" w:lineRule="exact"/>
              <w:ind w:right="113"/>
              <w:jc w:val="right"/>
              <w:rPr>
                <w:noProof/>
                <w:snapToGrid/>
              </w:rPr>
            </w:pPr>
            <w:r>
              <w:rPr>
                <w:noProof/>
                <w:snapToGrid/>
              </w:rPr>
              <w:t>118,081</w:t>
            </w:r>
          </w:p>
        </w:tc>
        <w:tc>
          <w:tcPr>
            <w:tcW w:w="1050" w:type="dxa"/>
            <w:tcBorders>
              <w:top w:val="nil"/>
            </w:tcBorders>
          </w:tcPr>
          <w:p w:rsidR="00000000" w:rsidRDefault="009C1C61">
            <w:pPr>
              <w:pStyle w:val="a2"/>
              <w:spacing w:line="220" w:lineRule="exact"/>
              <w:ind w:right="113"/>
              <w:jc w:val="right"/>
              <w:rPr>
                <w:noProof/>
                <w:snapToGrid/>
              </w:rPr>
            </w:pPr>
            <w:r>
              <w:rPr>
                <w:noProof/>
                <w:snapToGrid/>
              </w:rPr>
              <w:t>99,870</w:t>
            </w:r>
          </w:p>
        </w:tc>
        <w:tc>
          <w:tcPr>
            <w:tcW w:w="1050" w:type="dxa"/>
            <w:tcBorders>
              <w:top w:val="nil"/>
            </w:tcBorders>
          </w:tcPr>
          <w:p w:rsidR="00000000" w:rsidRDefault="009C1C61">
            <w:pPr>
              <w:pStyle w:val="a2"/>
              <w:spacing w:line="220" w:lineRule="exact"/>
              <w:ind w:right="113"/>
              <w:jc w:val="right"/>
              <w:rPr>
                <w:noProof/>
                <w:snapToGrid/>
              </w:rPr>
            </w:pPr>
            <w:r>
              <w:rPr>
                <w:noProof/>
                <w:snapToGrid/>
              </w:rPr>
              <w:t>73,240</w:t>
            </w:r>
          </w:p>
        </w:tc>
        <w:tc>
          <w:tcPr>
            <w:tcW w:w="1050" w:type="dxa"/>
            <w:tcBorders>
              <w:top w:val="nil"/>
            </w:tcBorders>
          </w:tcPr>
          <w:p w:rsidR="00000000" w:rsidRDefault="009C1C61">
            <w:pPr>
              <w:pStyle w:val="a2"/>
              <w:spacing w:line="220" w:lineRule="exact"/>
              <w:ind w:right="113"/>
              <w:jc w:val="right"/>
              <w:rPr>
                <w:noProof/>
                <w:snapToGrid/>
              </w:rPr>
            </w:pPr>
            <w:r>
              <w:rPr>
                <w:noProof/>
                <w:snapToGrid/>
              </w:rPr>
              <w:t>62,493</w:t>
            </w:r>
          </w:p>
        </w:tc>
        <w:tc>
          <w:tcPr>
            <w:tcW w:w="1050" w:type="dxa"/>
            <w:tcBorders>
              <w:top w:val="nil"/>
            </w:tcBorders>
          </w:tcPr>
          <w:p w:rsidR="00000000" w:rsidRDefault="009C1C61">
            <w:pPr>
              <w:pStyle w:val="a2"/>
              <w:spacing w:line="220" w:lineRule="exact"/>
              <w:ind w:right="113"/>
              <w:jc w:val="right"/>
              <w:rPr>
                <w:noProof/>
                <w:snapToGrid/>
              </w:rPr>
            </w:pPr>
            <w:r>
              <w:rPr>
                <w:noProof/>
                <w:snapToGrid/>
              </w:rPr>
              <w:t>61,135</w:t>
            </w:r>
          </w:p>
        </w:tc>
        <w:tc>
          <w:tcPr>
            <w:tcW w:w="1469" w:type="dxa"/>
            <w:tcBorders>
              <w:top w:val="nil"/>
            </w:tcBorders>
          </w:tcPr>
          <w:p w:rsidR="00000000" w:rsidRDefault="009C1C61">
            <w:pPr>
              <w:pStyle w:val="a2"/>
              <w:spacing w:line="220" w:lineRule="exact"/>
              <w:ind w:right="113"/>
              <w:jc w:val="right"/>
              <w:rPr>
                <w:noProof/>
                <w:snapToGrid/>
              </w:rPr>
            </w:pPr>
            <w:r>
              <w:rPr>
                <w:noProof/>
                <w:snapToGrid/>
              </w:rPr>
              <w:t>–48.2</w:t>
            </w:r>
          </w:p>
        </w:tc>
      </w:tr>
      <w:tr w:rsidR="00000000">
        <w:tblPrEx>
          <w:tblCellMar>
            <w:top w:w="0" w:type="dxa"/>
            <w:bottom w:w="0" w:type="dxa"/>
          </w:tblCellMar>
        </w:tblPrEx>
        <w:trPr>
          <w:jc w:val="center"/>
        </w:trPr>
        <w:tc>
          <w:tcPr>
            <w:tcW w:w="3036" w:type="dxa"/>
            <w:vAlign w:val="bottom"/>
          </w:tcPr>
          <w:p w:rsidR="00000000" w:rsidRDefault="009C1C61">
            <w:pPr>
              <w:pStyle w:val="a2"/>
              <w:spacing w:before="180" w:after="120" w:line="220" w:lineRule="exact"/>
              <w:rPr>
                <w:rFonts w:hint="eastAsia"/>
                <w:noProof/>
                <w:snapToGrid/>
              </w:rPr>
            </w:pPr>
            <w:r>
              <w:rPr>
                <w:noProof/>
                <w:snapToGrid/>
              </w:rPr>
              <w:tab/>
            </w:r>
            <w:r>
              <w:rPr>
                <w:rFonts w:hint="eastAsia"/>
                <w:noProof/>
                <w:snapToGrid/>
              </w:rPr>
              <w:t>共</w:t>
            </w:r>
            <w:r>
              <w:rPr>
                <w:noProof/>
                <w:snapToGrid/>
              </w:rPr>
              <w:t xml:space="preserve">  </w:t>
            </w:r>
            <w:r>
              <w:rPr>
                <w:rFonts w:hint="eastAsia"/>
                <w:noProof/>
                <w:snapToGrid/>
              </w:rPr>
              <w:t>计</w:t>
            </w:r>
          </w:p>
        </w:tc>
        <w:tc>
          <w:tcPr>
            <w:tcW w:w="1050" w:type="dxa"/>
            <w:vAlign w:val="bottom"/>
          </w:tcPr>
          <w:p w:rsidR="00000000" w:rsidRDefault="009C1C61">
            <w:pPr>
              <w:pStyle w:val="a2"/>
              <w:spacing w:before="180" w:after="120" w:line="220" w:lineRule="exact"/>
              <w:ind w:right="113"/>
              <w:jc w:val="right"/>
              <w:rPr>
                <w:noProof/>
                <w:snapToGrid/>
              </w:rPr>
            </w:pPr>
            <w:r>
              <w:rPr>
                <w:noProof/>
                <w:snapToGrid/>
              </w:rPr>
              <w:t>666,194</w:t>
            </w:r>
          </w:p>
        </w:tc>
        <w:tc>
          <w:tcPr>
            <w:tcW w:w="1050" w:type="dxa"/>
            <w:vAlign w:val="bottom"/>
          </w:tcPr>
          <w:p w:rsidR="00000000" w:rsidRDefault="009C1C61">
            <w:pPr>
              <w:pStyle w:val="a2"/>
              <w:spacing w:before="180" w:after="120" w:line="220" w:lineRule="exact"/>
              <w:ind w:right="113"/>
              <w:jc w:val="right"/>
              <w:rPr>
                <w:noProof/>
                <w:snapToGrid/>
              </w:rPr>
            </w:pPr>
            <w:r>
              <w:rPr>
                <w:noProof/>
                <w:snapToGrid/>
              </w:rPr>
              <w:t>58</w:t>
            </w:r>
            <w:r>
              <w:rPr>
                <w:noProof/>
                <w:snapToGrid/>
              </w:rPr>
              <w:t>4,063</w:t>
            </w:r>
          </w:p>
        </w:tc>
        <w:tc>
          <w:tcPr>
            <w:tcW w:w="1050" w:type="dxa"/>
            <w:vAlign w:val="bottom"/>
          </w:tcPr>
          <w:p w:rsidR="00000000" w:rsidRDefault="009C1C61">
            <w:pPr>
              <w:pStyle w:val="a2"/>
              <w:spacing w:before="180" w:after="120" w:line="220" w:lineRule="exact"/>
              <w:ind w:right="113"/>
              <w:jc w:val="right"/>
              <w:rPr>
                <w:noProof/>
                <w:snapToGrid/>
              </w:rPr>
            </w:pPr>
            <w:r>
              <w:rPr>
                <w:noProof/>
                <w:snapToGrid/>
              </w:rPr>
              <w:t>503,527</w:t>
            </w:r>
          </w:p>
        </w:tc>
        <w:tc>
          <w:tcPr>
            <w:tcW w:w="1050" w:type="dxa"/>
            <w:vAlign w:val="bottom"/>
          </w:tcPr>
          <w:p w:rsidR="00000000" w:rsidRDefault="009C1C61">
            <w:pPr>
              <w:pStyle w:val="a2"/>
              <w:spacing w:before="180" w:after="120" w:line="220" w:lineRule="exact"/>
              <w:ind w:right="113"/>
              <w:jc w:val="right"/>
              <w:rPr>
                <w:noProof/>
                <w:snapToGrid/>
              </w:rPr>
            </w:pPr>
            <w:r>
              <w:rPr>
                <w:noProof/>
                <w:snapToGrid/>
              </w:rPr>
              <w:t>459,857</w:t>
            </w:r>
          </w:p>
        </w:tc>
        <w:tc>
          <w:tcPr>
            <w:tcW w:w="1050" w:type="dxa"/>
            <w:vAlign w:val="bottom"/>
          </w:tcPr>
          <w:p w:rsidR="00000000" w:rsidRDefault="009C1C61">
            <w:pPr>
              <w:pStyle w:val="a2"/>
              <w:spacing w:before="180" w:after="120" w:line="220" w:lineRule="exact"/>
              <w:ind w:right="113"/>
              <w:jc w:val="right"/>
              <w:rPr>
                <w:noProof/>
                <w:snapToGrid/>
              </w:rPr>
            </w:pPr>
            <w:r>
              <w:rPr>
                <w:noProof/>
                <w:snapToGrid/>
              </w:rPr>
              <w:t>421,179</w:t>
            </w:r>
          </w:p>
        </w:tc>
        <w:tc>
          <w:tcPr>
            <w:tcW w:w="1469" w:type="dxa"/>
          </w:tcPr>
          <w:p w:rsidR="00000000" w:rsidRDefault="009C1C61">
            <w:pPr>
              <w:pStyle w:val="a2"/>
              <w:spacing w:before="180" w:after="120" w:line="220" w:lineRule="exact"/>
              <w:ind w:right="113"/>
              <w:jc w:val="right"/>
              <w:rPr>
                <w:noProof/>
                <w:snapToGrid/>
              </w:rPr>
            </w:pPr>
            <w:r>
              <w:rPr>
                <w:noProof/>
                <w:snapToGrid/>
              </w:rPr>
              <w:t>–36.8</w:t>
            </w:r>
          </w:p>
        </w:tc>
      </w:tr>
    </w:tbl>
    <w:p w:rsidR="00000000" w:rsidRDefault="009C1C61">
      <w:pPr>
        <w:pStyle w:val="EndnoteText"/>
        <w:spacing w:before="160" w:after="320" w:line="240" w:lineRule="auto"/>
        <w:rPr>
          <w:rFonts w:hint="eastAsia"/>
          <w:snapToGrid/>
        </w:rPr>
      </w:pPr>
      <w:r>
        <w:rPr>
          <w:rFonts w:hint="eastAsia"/>
          <w:snapToGrid/>
          <w:u w:val="single"/>
        </w:rPr>
        <w:t>资料来源</w:t>
      </w:r>
      <w:r>
        <w:rPr>
          <w:rFonts w:hint="eastAsia"/>
          <w:snapToGrid/>
        </w:rPr>
        <w:t>：规划与合作部，根据住房和城市规划部提供的数据。</w:t>
      </w:r>
    </w:p>
    <w:p w:rsidR="00000000" w:rsidRDefault="009C1C61">
      <w:pPr>
        <w:rPr>
          <w:rFonts w:hint="eastAsia"/>
          <w:snapToGrid/>
        </w:rPr>
      </w:pPr>
      <w:r>
        <w:rPr>
          <w:rFonts w:hint="eastAsia"/>
          <w:snapToGrid/>
        </w:rPr>
        <w:tab/>
        <w:t>535.  1990</w:t>
      </w:r>
      <w:r>
        <w:rPr>
          <w:rFonts w:hint="eastAsia"/>
          <w:snapToGrid/>
        </w:rPr>
        <w:t>至</w:t>
      </w:r>
      <w:r>
        <w:rPr>
          <w:rFonts w:hint="eastAsia"/>
          <w:snapToGrid/>
        </w:rPr>
        <w:t>2000</w:t>
      </w:r>
      <w:r>
        <w:rPr>
          <w:rFonts w:hint="eastAsia"/>
          <w:snapToGrid/>
        </w:rPr>
        <w:t>年期间，各种短缺都减少了。在此期间，家庭的住房条件大为改善，受某种短缺影响的人数也由</w:t>
      </w:r>
      <w:r>
        <w:rPr>
          <w:rFonts w:hint="eastAsia"/>
          <w:snapToGrid/>
        </w:rPr>
        <w:t>53%</w:t>
      </w:r>
      <w:r>
        <w:rPr>
          <w:rFonts w:hint="eastAsia"/>
          <w:snapToGrid/>
        </w:rPr>
        <w:t>降到</w:t>
      </w:r>
      <w:r>
        <w:rPr>
          <w:rFonts w:hint="eastAsia"/>
          <w:snapToGrid/>
        </w:rPr>
        <w:t>37%</w:t>
      </w:r>
      <w:r>
        <w:rPr>
          <w:rFonts w:hint="eastAsia"/>
          <w:snapToGrid/>
        </w:rPr>
        <w:t>。</w:t>
      </w:r>
      <w:r>
        <w:rPr>
          <w:rFonts w:hint="eastAsia"/>
          <w:snapToGrid/>
        </w:rPr>
        <w:t>2000</w:t>
      </w:r>
      <w:r>
        <w:rPr>
          <w:rFonts w:hint="eastAsia"/>
          <w:snapToGrid/>
        </w:rPr>
        <w:t>年，聚居户综合症</w:t>
      </w:r>
      <w:r>
        <w:rPr>
          <w:rFonts w:hint="eastAsia"/>
          <w:snapToGrid/>
        </w:rPr>
        <w:t>(</w:t>
      </w:r>
      <w:r>
        <w:rPr>
          <w:snapToGrid/>
        </w:rPr>
        <w:t>allegamiento</w:t>
      </w:r>
      <w:r>
        <w:rPr>
          <w:rFonts w:hint="eastAsia"/>
          <w:snapToGrid/>
        </w:rPr>
        <w:t>)</w:t>
      </w:r>
      <w:r>
        <w:rPr>
          <w:rFonts w:hint="eastAsia"/>
          <w:snapToGrid/>
        </w:rPr>
        <w:t>只限于大约</w:t>
      </w:r>
      <w:r>
        <w:rPr>
          <w:rFonts w:hint="eastAsia"/>
          <w:snapToGrid/>
        </w:rPr>
        <w:t>30%</w:t>
      </w:r>
      <w:r>
        <w:rPr>
          <w:rFonts w:hint="eastAsia"/>
          <w:snapToGrid/>
        </w:rPr>
        <w:t>的家庭，其中包括没有自己住房的人及合住聚居户住房的人。同年，简陋住房</w:t>
      </w:r>
      <w:r>
        <w:rPr>
          <w:rFonts w:hint="eastAsia"/>
          <w:snapToGrid/>
        </w:rPr>
        <w:t>(</w:t>
      </w:r>
      <w:r>
        <w:rPr>
          <w:rFonts w:hint="eastAsia"/>
          <w:snapToGrid/>
        </w:rPr>
        <w:t>棚屋、经济公寓、条件差或缺乏基本卫生设备的房屋</w:t>
      </w:r>
      <w:r>
        <w:rPr>
          <w:rFonts w:hint="eastAsia"/>
          <w:snapToGrid/>
        </w:rPr>
        <w:t>)</w:t>
      </w:r>
      <w:r>
        <w:rPr>
          <w:rFonts w:hint="eastAsia"/>
          <w:snapToGrid/>
        </w:rPr>
        <w:t>所占比例下降到</w:t>
      </w:r>
      <w:r>
        <w:rPr>
          <w:rFonts w:hint="eastAsia"/>
          <w:snapToGrid/>
        </w:rPr>
        <w:t>10.</w:t>
      </w:r>
      <w:r>
        <w:rPr>
          <w:snapToGrid/>
        </w:rPr>
        <w:t>9%</w:t>
      </w:r>
      <w:r>
        <w:rPr>
          <w:rFonts w:hint="eastAsia"/>
          <w:snapToGrid/>
        </w:rPr>
        <w:t>。</w:t>
      </w:r>
    </w:p>
    <w:p w:rsidR="00000000" w:rsidRDefault="009C1C61">
      <w:pPr>
        <w:rPr>
          <w:rFonts w:hint="eastAsia"/>
          <w:snapToGrid/>
        </w:rPr>
      </w:pPr>
      <w:r>
        <w:rPr>
          <w:rFonts w:hint="eastAsia"/>
          <w:snapToGrid/>
        </w:rPr>
        <w:tab/>
        <w:t xml:space="preserve">536.  </w:t>
      </w:r>
      <w:r>
        <w:rPr>
          <w:rFonts w:hint="eastAsia"/>
          <w:snapToGrid/>
        </w:rPr>
        <w:t>住房政策当前的目标</w:t>
      </w:r>
      <w:r>
        <w:rPr>
          <w:rFonts w:hint="eastAsia"/>
          <w:snapToGrid/>
        </w:rPr>
        <w:t>是：</w:t>
      </w:r>
    </w:p>
    <w:p w:rsidR="00000000" w:rsidRDefault="009C1C61">
      <w:pPr>
        <w:numPr>
          <w:ilvl w:val="0"/>
          <w:numId w:val="292"/>
        </w:numPr>
        <w:spacing w:line="312" w:lineRule="auto"/>
        <w:rPr>
          <w:rFonts w:hint="eastAsia"/>
          <w:snapToGrid/>
        </w:rPr>
      </w:pPr>
      <w:r>
        <w:rPr>
          <w:rFonts w:hint="eastAsia"/>
        </w:rPr>
        <w:t>遏制当前的数量短缺；</w:t>
      </w:r>
    </w:p>
    <w:p w:rsidR="00000000" w:rsidRDefault="009C1C61">
      <w:pPr>
        <w:numPr>
          <w:ilvl w:val="0"/>
          <w:numId w:val="292"/>
        </w:numPr>
        <w:spacing w:line="312" w:lineRule="auto"/>
        <w:rPr>
          <w:rFonts w:hint="eastAsia"/>
          <w:snapToGrid/>
        </w:rPr>
      </w:pPr>
      <w:r>
        <w:rPr>
          <w:rFonts w:hint="eastAsia"/>
          <w:snapToGrid/>
        </w:rPr>
        <w:t>提高住房质量；</w:t>
      </w:r>
    </w:p>
    <w:p w:rsidR="00000000" w:rsidRDefault="009C1C61">
      <w:pPr>
        <w:numPr>
          <w:ilvl w:val="0"/>
          <w:numId w:val="292"/>
        </w:numPr>
        <w:spacing w:line="312" w:lineRule="auto"/>
        <w:rPr>
          <w:rFonts w:hint="eastAsia"/>
          <w:snapToGrid/>
        </w:rPr>
      </w:pPr>
      <w:r>
        <w:rPr>
          <w:rFonts w:hint="eastAsia"/>
          <w:snapToGrid/>
        </w:rPr>
        <w:t>为解决最贫困户住房增拨资源；</w:t>
      </w:r>
    </w:p>
    <w:p w:rsidR="00000000" w:rsidRDefault="009C1C61">
      <w:pPr>
        <w:numPr>
          <w:ilvl w:val="0"/>
          <w:numId w:val="292"/>
        </w:numPr>
        <w:spacing w:line="312" w:lineRule="auto"/>
        <w:rPr>
          <w:rFonts w:hint="eastAsia"/>
          <w:snapToGrid/>
        </w:rPr>
      </w:pPr>
      <w:r>
        <w:rPr>
          <w:rFonts w:hint="eastAsia"/>
          <w:snapToGrid/>
        </w:rPr>
        <w:t>促进城市更均衡的增长和发展；</w:t>
      </w:r>
    </w:p>
    <w:p w:rsidR="00000000" w:rsidRDefault="009C1C61">
      <w:pPr>
        <w:numPr>
          <w:ilvl w:val="0"/>
          <w:numId w:val="292"/>
        </w:numPr>
        <w:spacing w:line="312" w:lineRule="auto"/>
        <w:rPr>
          <w:rFonts w:hint="eastAsia"/>
          <w:snapToGrid/>
        </w:rPr>
      </w:pPr>
      <w:r>
        <w:rPr>
          <w:rFonts w:hint="eastAsia"/>
          <w:snapToGrid/>
        </w:rPr>
        <w:t>制订区域领土发展方案，鼓励农村重整；</w:t>
      </w:r>
    </w:p>
    <w:p w:rsidR="00000000" w:rsidRDefault="009C1C61">
      <w:pPr>
        <w:numPr>
          <w:ilvl w:val="0"/>
          <w:numId w:val="292"/>
        </w:numPr>
        <w:spacing w:line="312" w:lineRule="auto"/>
        <w:rPr>
          <w:rFonts w:hint="eastAsia"/>
          <w:snapToGrid/>
        </w:rPr>
      </w:pPr>
      <w:r>
        <w:rPr>
          <w:rFonts w:hint="eastAsia"/>
          <w:snapToGrid/>
        </w:rPr>
        <w:t>协调现有土地投资资源，改善城镇公寓小套间和生活质量。</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遏制数量短缺的方案与行动</w:t>
      </w:r>
    </w:p>
    <w:p w:rsidR="00000000" w:rsidRDefault="009C1C61">
      <w:pPr>
        <w:rPr>
          <w:rFonts w:hint="eastAsia"/>
          <w:snapToGrid/>
        </w:rPr>
      </w:pPr>
      <w:r>
        <w:rPr>
          <w:snapToGrid/>
        </w:rPr>
        <w:tab/>
      </w:r>
      <w:r>
        <w:rPr>
          <w:rFonts w:hint="eastAsia"/>
          <w:snapToGrid/>
        </w:rPr>
        <w:t xml:space="preserve">537. </w:t>
      </w:r>
      <w:r>
        <w:rPr>
          <w:snapToGrid/>
        </w:rPr>
        <w:t xml:space="preserve"> </w:t>
      </w:r>
      <w:r>
        <w:rPr>
          <w:rFonts w:hint="eastAsia"/>
          <w:snapToGrid/>
        </w:rPr>
        <w:t>1990</w:t>
      </w:r>
      <w:r>
        <w:rPr>
          <w:rFonts w:hint="eastAsia"/>
          <w:snapToGrid/>
        </w:rPr>
        <w:t>至</w:t>
      </w:r>
      <w:r>
        <w:rPr>
          <w:rFonts w:hint="eastAsia"/>
          <w:snapToGrid/>
        </w:rPr>
        <w:t>1996</w:t>
      </w:r>
      <w:r>
        <w:rPr>
          <w:rFonts w:hint="eastAsia"/>
          <w:snapToGrid/>
        </w:rPr>
        <w:t>年期间</w:t>
      </w:r>
      <w:r>
        <w:rPr>
          <w:rFonts w:hint="eastAsia"/>
          <w:snapToGrid/>
        </w:rPr>
        <w:t>(</w:t>
      </w:r>
      <w:r>
        <w:rPr>
          <w:rFonts w:hint="eastAsia"/>
          <w:snapToGrid/>
        </w:rPr>
        <w:t>表</w:t>
      </w:r>
      <w:r>
        <w:rPr>
          <w:rFonts w:hint="eastAsia"/>
          <w:snapToGrid/>
        </w:rPr>
        <w:t>23)</w:t>
      </w:r>
      <w:r>
        <w:rPr>
          <w:rFonts w:hint="eastAsia"/>
          <w:snapToGrid/>
        </w:rPr>
        <w:t>，住房和城市规划部共解决住房问题</w:t>
      </w:r>
      <w:r>
        <w:rPr>
          <w:rFonts w:hint="eastAsia"/>
          <w:snapToGrid/>
        </w:rPr>
        <w:t>630,000</w:t>
      </w:r>
      <w:r>
        <w:rPr>
          <w:rFonts w:hint="eastAsia"/>
          <w:snapToGrid/>
        </w:rPr>
        <w:t>个。这等于每年平均解决住房问题</w:t>
      </w:r>
      <w:r>
        <w:rPr>
          <w:rFonts w:hint="eastAsia"/>
          <w:snapToGrid/>
        </w:rPr>
        <w:t>90,000</w:t>
      </w:r>
      <w:r>
        <w:rPr>
          <w:rFonts w:hint="eastAsia"/>
          <w:snapToGrid/>
        </w:rPr>
        <w:t>个，大大高出了</w:t>
      </w:r>
      <w:r>
        <w:rPr>
          <w:rFonts w:hint="eastAsia"/>
          <w:snapToGrid/>
        </w:rPr>
        <w:t>1984</w:t>
      </w:r>
      <w:r>
        <w:rPr>
          <w:rFonts w:hint="eastAsia"/>
          <w:snapToGrid/>
        </w:rPr>
        <w:t>至</w:t>
      </w:r>
      <w:r>
        <w:rPr>
          <w:rFonts w:hint="eastAsia"/>
          <w:snapToGrid/>
        </w:rPr>
        <w:t>1989</w:t>
      </w:r>
      <w:r>
        <w:rPr>
          <w:rFonts w:hint="eastAsia"/>
          <w:snapToGrid/>
        </w:rPr>
        <w:t>年</w:t>
      </w:r>
      <w:r>
        <w:rPr>
          <w:rFonts w:hint="eastAsia"/>
          <w:snapToGrid/>
        </w:rPr>
        <w:t>6</w:t>
      </w:r>
      <w:r>
        <w:rPr>
          <w:rFonts w:hint="eastAsia"/>
          <w:snapToGrid/>
        </w:rPr>
        <w:t>年期间每年所解决的住房问题的平均数</w:t>
      </w:r>
      <w:r>
        <w:rPr>
          <w:rFonts w:hint="eastAsia"/>
          <w:snapToGrid/>
        </w:rPr>
        <w:t>54,000</w:t>
      </w:r>
      <w:r>
        <w:rPr>
          <w:rFonts w:hint="eastAsia"/>
          <w:snapToGrid/>
        </w:rPr>
        <w:t>个。</w:t>
      </w:r>
    </w:p>
    <w:p w:rsidR="00000000" w:rsidRDefault="009C1C61">
      <w:pPr>
        <w:rPr>
          <w:snapToGrid/>
          <w:spacing w:val="6"/>
        </w:rPr>
      </w:pPr>
      <w:r>
        <w:rPr>
          <w:snapToGrid/>
          <w:spacing w:val="6"/>
        </w:rPr>
        <w:tab/>
      </w:r>
      <w:r>
        <w:rPr>
          <w:rFonts w:hint="eastAsia"/>
          <w:snapToGrid/>
          <w:spacing w:val="6"/>
        </w:rPr>
        <w:t xml:space="preserve">538. </w:t>
      </w:r>
      <w:r>
        <w:rPr>
          <w:snapToGrid/>
          <w:spacing w:val="6"/>
        </w:rPr>
        <w:t xml:space="preserve"> </w:t>
      </w:r>
      <w:r>
        <w:rPr>
          <w:rFonts w:hint="eastAsia"/>
          <w:snapToGrid/>
          <w:spacing w:val="6"/>
        </w:rPr>
        <w:t>1990</w:t>
      </w:r>
      <w:r>
        <w:rPr>
          <w:rFonts w:hint="eastAsia"/>
          <w:snapToGrid/>
          <w:spacing w:val="6"/>
        </w:rPr>
        <w:t>至</w:t>
      </w:r>
      <w:r>
        <w:rPr>
          <w:rFonts w:hint="eastAsia"/>
          <w:snapToGrid/>
          <w:spacing w:val="6"/>
        </w:rPr>
        <w:t>1999</w:t>
      </w:r>
      <w:r>
        <w:rPr>
          <w:rFonts w:hint="eastAsia"/>
          <w:snapToGrid/>
          <w:spacing w:val="6"/>
        </w:rPr>
        <w:t>年期间，解决住房问题共达</w:t>
      </w:r>
      <w:r>
        <w:rPr>
          <w:rFonts w:hint="eastAsia"/>
          <w:snapToGrid/>
          <w:spacing w:val="6"/>
        </w:rPr>
        <w:t>1,076</w:t>
      </w:r>
      <w:r>
        <w:rPr>
          <w:rFonts w:hint="eastAsia"/>
          <w:snapToGrid/>
          <w:spacing w:val="6"/>
        </w:rPr>
        <w:t>,843</w:t>
      </w:r>
      <w:r>
        <w:rPr>
          <w:rFonts w:hint="eastAsia"/>
          <w:snapToGrid/>
          <w:spacing w:val="6"/>
        </w:rPr>
        <w:t>个，每年平均解决</w:t>
      </w:r>
      <w:r>
        <w:rPr>
          <w:rFonts w:hint="eastAsia"/>
          <w:snapToGrid/>
          <w:spacing w:val="6"/>
        </w:rPr>
        <w:t>107,684</w:t>
      </w:r>
      <w:r>
        <w:rPr>
          <w:rFonts w:hint="eastAsia"/>
          <w:snapToGrid/>
          <w:spacing w:val="6"/>
        </w:rPr>
        <w:t>个。基本住房产量共达</w:t>
      </w:r>
      <w:r>
        <w:rPr>
          <w:rFonts w:hint="eastAsia"/>
          <w:snapToGrid/>
          <w:spacing w:val="6"/>
        </w:rPr>
        <w:t>232,505</w:t>
      </w:r>
      <w:r>
        <w:rPr>
          <w:rFonts w:hint="eastAsia"/>
          <w:snapToGrid/>
          <w:spacing w:val="6"/>
        </w:rPr>
        <w:t>单元，第一阶段</w:t>
      </w:r>
      <w:r>
        <w:rPr>
          <w:rFonts w:hint="eastAsia"/>
          <w:noProof/>
          <w:snapToGrid/>
          <w:spacing w:val="6"/>
          <w:sz w:val="22"/>
        </w:rPr>
        <w:t>递进建</w:t>
      </w:r>
      <w:r>
        <w:rPr>
          <w:rFonts w:hint="eastAsia"/>
          <w:snapToGrid/>
          <w:spacing w:val="6"/>
        </w:rPr>
        <w:t>房共达</w:t>
      </w:r>
      <w:r>
        <w:rPr>
          <w:rFonts w:hint="eastAsia"/>
          <w:snapToGrid/>
          <w:spacing w:val="6"/>
        </w:rPr>
        <w:t>42,952</w:t>
      </w:r>
      <w:r>
        <w:rPr>
          <w:rFonts w:hint="eastAsia"/>
          <w:snapToGrid/>
          <w:spacing w:val="6"/>
        </w:rPr>
        <w:t>单元。</w:t>
      </w:r>
    </w:p>
    <w:p w:rsidR="00000000" w:rsidRDefault="009C1C61">
      <w:pPr>
        <w:pStyle w:val="Heading3"/>
        <w:spacing w:before="180" w:after="0"/>
        <w:rPr>
          <w:rFonts w:hint="eastAsia"/>
        </w:rPr>
      </w:pPr>
      <w:r>
        <w:rPr>
          <w:rFonts w:hint="eastAsia"/>
        </w:rPr>
        <w:t>表</w:t>
      </w:r>
      <w:r>
        <w:rPr>
          <w:rFonts w:hint="eastAsia"/>
        </w:rPr>
        <w:t xml:space="preserve">  </w:t>
      </w:r>
      <w:r>
        <w:rPr>
          <w:rFonts w:hint="eastAsia"/>
          <w:b/>
          <w:bCs/>
        </w:rPr>
        <w:t>23</w:t>
      </w:r>
      <w:r>
        <w:rPr>
          <w:b/>
          <w:bCs/>
        </w:rPr>
        <w:br/>
      </w:r>
      <w:r>
        <w:rPr>
          <w:rFonts w:hint="eastAsia"/>
          <w:b/>
          <w:bCs/>
        </w:rPr>
        <w:t>1990-1998</w:t>
      </w:r>
      <w:r>
        <w:rPr>
          <w:rFonts w:hint="eastAsia"/>
        </w:rPr>
        <w:t>年按解决办法分类列出的住房问题解决数量</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17"/>
        <w:gridCol w:w="867"/>
        <w:gridCol w:w="755"/>
        <w:gridCol w:w="811"/>
        <w:gridCol w:w="811"/>
        <w:gridCol w:w="811"/>
        <w:gridCol w:w="811"/>
        <w:gridCol w:w="811"/>
        <w:gridCol w:w="811"/>
        <w:gridCol w:w="817"/>
      </w:tblGrid>
      <w:tr w:rsidR="00000000">
        <w:tblPrEx>
          <w:tblCellMar>
            <w:top w:w="0" w:type="dxa"/>
            <w:bottom w:w="0" w:type="dxa"/>
          </w:tblCellMar>
        </w:tblPrEx>
        <w:trPr>
          <w:jc w:val="center"/>
        </w:trPr>
        <w:tc>
          <w:tcPr>
            <w:tcW w:w="2517" w:type="dxa"/>
            <w:vAlign w:val="bottom"/>
          </w:tcPr>
          <w:p w:rsidR="00000000" w:rsidRDefault="009C1C61">
            <w:pPr>
              <w:pStyle w:val="a2"/>
              <w:spacing w:line="220" w:lineRule="exact"/>
              <w:ind w:left="113"/>
              <w:jc w:val="left"/>
              <w:rPr>
                <w:rFonts w:ascii="Time New Roman" w:eastAsia="SimHei" w:hAnsi="Time New Roman"/>
                <w:bCs/>
                <w:noProof/>
                <w:snapToGrid/>
                <w:sz w:val="18"/>
              </w:rPr>
            </w:pPr>
          </w:p>
        </w:tc>
        <w:tc>
          <w:tcPr>
            <w:tcW w:w="867"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1990</w:t>
            </w:r>
          </w:p>
        </w:tc>
        <w:tc>
          <w:tcPr>
            <w:tcW w:w="755"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1991</w:t>
            </w:r>
          </w:p>
        </w:tc>
        <w:tc>
          <w:tcPr>
            <w:tcW w:w="811"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1992</w:t>
            </w:r>
          </w:p>
        </w:tc>
        <w:tc>
          <w:tcPr>
            <w:tcW w:w="811"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1993</w:t>
            </w:r>
          </w:p>
        </w:tc>
        <w:tc>
          <w:tcPr>
            <w:tcW w:w="811"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1994</w:t>
            </w:r>
          </w:p>
        </w:tc>
        <w:tc>
          <w:tcPr>
            <w:tcW w:w="811"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1995</w:t>
            </w:r>
          </w:p>
        </w:tc>
        <w:tc>
          <w:tcPr>
            <w:tcW w:w="811"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1996</w:t>
            </w:r>
          </w:p>
        </w:tc>
        <w:tc>
          <w:tcPr>
            <w:tcW w:w="811"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1997</w:t>
            </w:r>
          </w:p>
        </w:tc>
        <w:tc>
          <w:tcPr>
            <w:tcW w:w="817" w:type="dxa"/>
            <w:vAlign w:val="bottom"/>
          </w:tcPr>
          <w:p w:rsidR="00000000" w:rsidRDefault="009C1C61">
            <w:pPr>
              <w:pStyle w:val="a2"/>
              <w:spacing w:line="220" w:lineRule="exact"/>
              <w:jc w:val="center"/>
              <w:rPr>
                <w:rFonts w:ascii="Time New Roman" w:eastAsia="SimHei" w:hAnsi="Time New Roman"/>
                <w:bCs/>
                <w:noProof/>
                <w:snapToGrid/>
                <w:sz w:val="18"/>
              </w:rPr>
            </w:pPr>
            <w:r>
              <w:rPr>
                <w:rFonts w:ascii="Time New Roman" w:eastAsia="SimHei" w:hAnsi="Time New Roman"/>
                <w:bCs/>
                <w:noProof/>
                <w:snapToGrid/>
                <w:sz w:val="18"/>
              </w:rPr>
              <w:t>1998</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住房补贴</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24,801</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22,721</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21,213</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21,382</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23,144</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23,325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23,899</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21,972</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20,686</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劳工经济学方案补贴</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14,754</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13,602</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20,838</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16,535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15,259</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w:t>
            </w:r>
            <w:r>
              <w:rPr>
                <w:noProof/>
                <w:snapToGrid/>
                <w:sz w:val="18"/>
              </w:rPr>
              <w:t>5,698</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13,400</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11,587</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10,601</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农村补贴</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6,307</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4,910</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8,353</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7,477</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6,944</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7,539</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5,454</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7,328</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8,155</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基本住房补贴</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753</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2,555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2,198</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2,827</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第一阶段递进建房补贴</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313</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1,116</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2,520</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5,189</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7,039</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7,371</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5,281</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4,727</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第二阶段递进建房补贴</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195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161</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1,581</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1,450</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2,225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2,582</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1,703</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1,217</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基本住房单元</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16,</w:t>
            </w:r>
            <w:r>
              <w:rPr>
                <w:noProof/>
                <w:snapToGrid/>
                <w:sz w:val="18"/>
              </w:rPr>
              <w:t>029</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24,805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22,414</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19,997</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20,070</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17,008</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17,548</w:t>
            </w:r>
          </w:p>
        </w:tc>
        <w:tc>
          <w:tcPr>
            <w:tcW w:w="811" w:type="dxa"/>
            <w:vAlign w:val="bottom"/>
          </w:tcPr>
          <w:p w:rsidR="00000000" w:rsidRDefault="009C1C61">
            <w:pPr>
              <w:pStyle w:val="a2"/>
              <w:spacing w:line="220" w:lineRule="exact"/>
              <w:ind w:right="57"/>
              <w:jc w:val="right"/>
              <w:rPr>
                <w:noProof/>
                <w:snapToGrid/>
                <w:sz w:val="18"/>
              </w:rPr>
            </w:pPr>
            <w:r>
              <w:rPr>
                <w:rFonts w:hint="eastAsia"/>
                <w:noProof/>
                <w:snapToGrid/>
                <w:sz w:val="18"/>
              </w:rPr>
              <w:t>不详</w:t>
            </w:r>
            <w:r>
              <w:rPr>
                <w:noProof/>
                <w:snapToGrid/>
                <w:sz w:val="18"/>
              </w:rPr>
              <w:t>*</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不详</w:t>
            </w:r>
            <w:r>
              <w:rPr>
                <w:noProof/>
                <w:snapToGrid/>
                <w:sz w:val="18"/>
              </w:rPr>
              <w:t>*</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第一阶段递进建房单元</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5,488</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8,053</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3,736</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4,525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2,778</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1,994</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不详</w:t>
            </w:r>
            <w:r>
              <w:rPr>
                <w:noProof/>
                <w:snapToGrid/>
                <w:sz w:val="18"/>
              </w:rPr>
              <w:t>*</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不详</w:t>
            </w:r>
            <w:r>
              <w:rPr>
                <w:noProof/>
                <w:snapToGrid/>
                <w:sz w:val="18"/>
              </w:rPr>
              <w:t>*</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line="220" w:lineRule="exact"/>
              <w:ind w:left="113"/>
              <w:jc w:val="left"/>
              <w:rPr>
                <w:rFonts w:hint="eastAsia"/>
                <w:noProof/>
                <w:snapToGrid/>
                <w:sz w:val="18"/>
              </w:rPr>
            </w:pPr>
            <w:r>
              <w:rPr>
                <w:rFonts w:hint="eastAsia"/>
                <w:noProof/>
                <w:snapToGrid/>
                <w:sz w:val="18"/>
              </w:rPr>
              <w:t>城市有各种服务和居民点改善的地段</w:t>
            </w:r>
          </w:p>
        </w:tc>
        <w:tc>
          <w:tcPr>
            <w:tcW w:w="867" w:type="dxa"/>
            <w:vAlign w:val="bottom"/>
          </w:tcPr>
          <w:p w:rsidR="00000000" w:rsidRDefault="009C1C61">
            <w:pPr>
              <w:pStyle w:val="a2"/>
              <w:spacing w:line="220" w:lineRule="exact"/>
              <w:ind w:right="57"/>
              <w:jc w:val="right"/>
              <w:rPr>
                <w:noProof/>
                <w:snapToGrid/>
                <w:sz w:val="18"/>
              </w:rPr>
            </w:pPr>
            <w:r>
              <w:rPr>
                <w:noProof/>
                <w:snapToGrid/>
                <w:sz w:val="18"/>
              </w:rPr>
              <w:t>20,677</w:t>
            </w:r>
          </w:p>
        </w:tc>
        <w:tc>
          <w:tcPr>
            <w:tcW w:w="755" w:type="dxa"/>
            <w:vAlign w:val="bottom"/>
          </w:tcPr>
          <w:p w:rsidR="00000000" w:rsidRDefault="009C1C61">
            <w:pPr>
              <w:pStyle w:val="a2"/>
              <w:spacing w:line="220" w:lineRule="exact"/>
              <w:ind w:right="57"/>
              <w:jc w:val="right"/>
              <w:rPr>
                <w:noProof/>
                <w:snapToGrid/>
                <w:sz w:val="18"/>
              </w:rPr>
            </w:pPr>
            <w:r>
              <w:rPr>
                <w:noProof/>
                <w:snapToGrid/>
                <w:sz w:val="18"/>
              </w:rPr>
              <w:t>20,979</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15,372</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12,175</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9,556</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16,154</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16,320</w:t>
            </w:r>
          </w:p>
        </w:tc>
        <w:tc>
          <w:tcPr>
            <w:tcW w:w="811" w:type="dxa"/>
            <w:vAlign w:val="bottom"/>
          </w:tcPr>
          <w:p w:rsidR="00000000" w:rsidRDefault="009C1C61">
            <w:pPr>
              <w:pStyle w:val="a2"/>
              <w:spacing w:line="220" w:lineRule="exact"/>
              <w:ind w:right="57"/>
              <w:jc w:val="right"/>
              <w:rPr>
                <w:noProof/>
                <w:snapToGrid/>
                <w:sz w:val="18"/>
              </w:rPr>
            </w:pPr>
            <w:r>
              <w:rPr>
                <w:noProof/>
                <w:snapToGrid/>
                <w:sz w:val="18"/>
              </w:rPr>
              <w:t>不详</w:t>
            </w:r>
            <w:r>
              <w:rPr>
                <w:noProof/>
                <w:snapToGrid/>
                <w:sz w:val="18"/>
              </w:rPr>
              <w:t>*</w:t>
            </w:r>
          </w:p>
        </w:tc>
        <w:tc>
          <w:tcPr>
            <w:tcW w:w="817" w:type="dxa"/>
            <w:vAlign w:val="bottom"/>
          </w:tcPr>
          <w:p w:rsidR="00000000" w:rsidRDefault="009C1C61">
            <w:pPr>
              <w:pStyle w:val="a2"/>
              <w:spacing w:line="220" w:lineRule="exact"/>
              <w:ind w:right="57"/>
              <w:jc w:val="right"/>
              <w:rPr>
                <w:noProof/>
                <w:snapToGrid/>
                <w:sz w:val="18"/>
              </w:rPr>
            </w:pPr>
            <w:r>
              <w:rPr>
                <w:noProof/>
                <w:snapToGrid/>
                <w:sz w:val="18"/>
              </w:rPr>
              <w:t>不详</w:t>
            </w:r>
            <w:r>
              <w:rPr>
                <w:noProof/>
                <w:snapToGrid/>
                <w:sz w:val="18"/>
              </w:rPr>
              <w:t>*</w:t>
            </w:r>
          </w:p>
        </w:tc>
      </w:tr>
      <w:tr w:rsidR="00000000">
        <w:tblPrEx>
          <w:tblCellMar>
            <w:top w:w="0" w:type="dxa"/>
            <w:bottom w:w="0" w:type="dxa"/>
          </w:tblCellMar>
        </w:tblPrEx>
        <w:trPr>
          <w:jc w:val="center"/>
        </w:trPr>
        <w:tc>
          <w:tcPr>
            <w:tcW w:w="2517" w:type="dxa"/>
            <w:shd w:val="clear" w:color="000000" w:fill="auto"/>
            <w:vAlign w:val="bottom"/>
          </w:tcPr>
          <w:p w:rsidR="00000000" w:rsidRDefault="009C1C61">
            <w:pPr>
              <w:pStyle w:val="a2"/>
              <w:spacing w:before="120" w:after="60" w:line="220" w:lineRule="exact"/>
              <w:ind w:left="113"/>
              <w:jc w:val="left"/>
              <w:rPr>
                <w:rFonts w:hint="eastAsia"/>
                <w:noProof/>
                <w:snapToGrid/>
                <w:sz w:val="18"/>
              </w:rPr>
            </w:pPr>
            <w:r>
              <w:rPr>
                <w:noProof/>
                <w:snapToGrid/>
                <w:sz w:val="18"/>
              </w:rPr>
              <w:tab/>
            </w:r>
            <w:r>
              <w:rPr>
                <w:rFonts w:hint="eastAsia"/>
                <w:noProof/>
                <w:snapToGrid/>
                <w:sz w:val="18"/>
              </w:rPr>
              <w:t>共</w:t>
            </w:r>
            <w:r>
              <w:rPr>
                <w:noProof/>
                <w:snapToGrid/>
                <w:sz w:val="18"/>
              </w:rPr>
              <w:t xml:space="preserve">  </w:t>
            </w:r>
            <w:r>
              <w:rPr>
                <w:rFonts w:hint="eastAsia"/>
                <w:noProof/>
                <w:snapToGrid/>
                <w:sz w:val="18"/>
              </w:rPr>
              <w:t>计</w:t>
            </w:r>
          </w:p>
        </w:tc>
        <w:tc>
          <w:tcPr>
            <w:tcW w:w="867" w:type="dxa"/>
            <w:vAlign w:val="bottom"/>
          </w:tcPr>
          <w:p w:rsidR="00000000" w:rsidRDefault="009C1C61">
            <w:pPr>
              <w:pStyle w:val="a2"/>
              <w:spacing w:before="120" w:after="60" w:line="220" w:lineRule="exact"/>
              <w:ind w:right="57"/>
              <w:jc w:val="right"/>
              <w:rPr>
                <w:noProof/>
                <w:snapToGrid/>
                <w:sz w:val="18"/>
              </w:rPr>
            </w:pPr>
            <w:r>
              <w:rPr>
                <w:noProof/>
                <w:snapToGrid/>
                <w:sz w:val="18"/>
              </w:rPr>
              <w:t>82,388</w:t>
            </w:r>
          </w:p>
        </w:tc>
        <w:tc>
          <w:tcPr>
            <w:tcW w:w="755" w:type="dxa"/>
            <w:vAlign w:val="bottom"/>
          </w:tcPr>
          <w:p w:rsidR="00000000" w:rsidRDefault="009C1C61">
            <w:pPr>
              <w:pStyle w:val="a2"/>
              <w:spacing w:before="120" w:after="60" w:line="220" w:lineRule="exact"/>
              <w:ind w:right="57"/>
              <w:jc w:val="right"/>
              <w:rPr>
                <w:noProof/>
                <w:snapToGrid/>
                <w:sz w:val="18"/>
              </w:rPr>
            </w:pPr>
            <w:r>
              <w:rPr>
                <w:noProof/>
                <w:snapToGrid/>
                <w:sz w:val="18"/>
              </w:rPr>
              <w:t>93,013</w:t>
            </w:r>
          </w:p>
        </w:tc>
        <w:tc>
          <w:tcPr>
            <w:tcW w:w="811" w:type="dxa"/>
            <w:vAlign w:val="bottom"/>
          </w:tcPr>
          <w:p w:rsidR="00000000" w:rsidRDefault="009C1C61">
            <w:pPr>
              <w:pStyle w:val="a2"/>
              <w:spacing w:before="120" w:after="60" w:line="220" w:lineRule="exact"/>
              <w:ind w:right="57"/>
              <w:jc w:val="right"/>
              <w:rPr>
                <w:noProof/>
                <w:snapToGrid/>
                <w:sz w:val="18"/>
              </w:rPr>
            </w:pPr>
            <w:r>
              <w:rPr>
                <w:noProof/>
                <w:snapToGrid/>
                <w:sz w:val="18"/>
              </w:rPr>
              <w:t>97,430</w:t>
            </w:r>
          </w:p>
        </w:tc>
        <w:tc>
          <w:tcPr>
            <w:tcW w:w="811" w:type="dxa"/>
            <w:vAlign w:val="bottom"/>
          </w:tcPr>
          <w:p w:rsidR="00000000" w:rsidRDefault="009C1C61">
            <w:pPr>
              <w:pStyle w:val="a2"/>
              <w:spacing w:before="120" w:after="60" w:line="220" w:lineRule="exact"/>
              <w:ind w:right="57"/>
              <w:jc w:val="right"/>
              <w:rPr>
                <w:noProof/>
                <w:snapToGrid/>
                <w:sz w:val="18"/>
              </w:rPr>
            </w:pPr>
            <w:r>
              <w:rPr>
                <w:noProof/>
                <w:snapToGrid/>
                <w:sz w:val="18"/>
              </w:rPr>
              <w:t>85,403</w:t>
            </w:r>
          </w:p>
        </w:tc>
        <w:tc>
          <w:tcPr>
            <w:tcW w:w="811" w:type="dxa"/>
            <w:vAlign w:val="bottom"/>
          </w:tcPr>
          <w:p w:rsidR="00000000" w:rsidRDefault="009C1C61">
            <w:pPr>
              <w:pStyle w:val="a2"/>
              <w:spacing w:before="120" w:after="60" w:line="220" w:lineRule="exact"/>
              <w:ind w:right="57"/>
              <w:jc w:val="right"/>
              <w:rPr>
                <w:noProof/>
                <w:snapToGrid/>
                <w:sz w:val="18"/>
              </w:rPr>
            </w:pPr>
            <w:r>
              <w:rPr>
                <w:noProof/>
                <w:snapToGrid/>
                <w:sz w:val="18"/>
              </w:rPr>
              <w:t>86,137</w:t>
            </w:r>
          </w:p>
        </w:tc>
        <w:tc>
          <w:tcPr>
            <w:tcW w:w="811" w:type="dxa"/>
            <w:vAlign w:val="bottom"/>
          </w:tcPr>
          <w:p w:rsidR="00000000" w:rsidRDefault="009C1C61">
            <w:pPr>
              <w:pStyle w:val="a2"/>
              <w:spacing w:before="120" w:after="60" w:line="220" w:lineRule="exact"/>
              <w:ind w:right="57"/>
              <w:jc w:val="right"/>
              <w:rPr>
                <w:noProof/>
                <w:snapToGrid/>
                <w:sz w:val="18"/>
              </w:rPr>
            </w:pPr>
            <w:r>
              <w:rPr>
                <w:noProof/>
                <w:snapToGrid/>
                <w:sz w:val="18"/>
              </w:rPr>
              <w:t>92,520</w:t>
            </w:r>
          </w:p>
        </w:tc>
        <w:tc>
          <w:tcPr>
            <w:tcW w:w="811" w:type="dxa"/>
            <w:vAlign w:val="bottom"/>
          </w:tcPr>
          <w:p w:rsidR="00000000" w:rsidRDefault="009C1C61">
            <w:pPr>
              <w:pStyle w:val="a2"/>
              <w:spacing w:before="120" w:after="60" w:line="220" w:lineRule="exact"/>
              <w:ind w:right="57"/>
              <w:jc w:val="right"/>
              <w:rPr>
                <w:noProof/>
                <w:snapToGrid/>
                <w:sz w:val="18"/>
              </w:rPr>
            </w:pPr>
            <w:r>
              <w:rPr>
                <w:noProof/>
                <w:snapToGrid/>
                <w:sz w:val="18"/>
              </w:rPr>
              <w:t>91,123</w:t>
            </w:r>
          </w:p>
        </w:tc>
        <w:tc>
          <w:tcPr>
            <w:tcW w:w="811" w:type="dxa"/>
            <w:vAlign w:val="bottom"/>
          </w:tcPr>
          <w:p w:rsidR="00000000" w:rsidRDefault="009C1C61">
            <w:pPr>
              <w:pStyle w:val="a2"/>
              <w:spacing w:before="120" w:after="60" w:line="220" w:lineRule="exact"/>
              <w:ind w:right="57"/>
              <w:jc w:val="right"/>
              <w:rPr>
                <w:noProof/>
                <w:snapToGrid/>
                <w:sz w:val="18"/>
              </w:rPr>
            </w:pPr>
          </w:p>
        </w:tc>
        <w:tc>
          <w:tcPr>
            <w:tcW w:w="817" w:type="dxa"/>
            <w:vAlign w:val="bottom"/>
          </w:tcPr>
          <w:p w:rsidR="00000000" w:rsidRDefault="009C1C61">
            <w:pPr>
              <w:pStyle w:val="a2"/>
              <w:spacing w:before="120" w:after="60" w:line="220" w:lineRule="exact"/>
              <w:ind w:right="57"/>
              <w:jc w:val="right"/>
              <w:rPr>
                <w:noProof/>
                <w:snapToGrid/>
                <w:sz w:val="18"/>
              </w:rPr>
            </w:pPr>
          </w:p>
        </w:tc>
      </w:tr>
    </w:tbl>
    <w:p w:rsidR="00000000" w:rsidRDefault="009C1C61">
      <w:pPr>
        <w:pStyle w:val="EndnoteText"/>
        <w:spacing w:before="120" w:line="240" w:lineRule="auto"/>
        <w:rPr>
          <w:rFonts w:hint="eastAsia"/>
          <w:snapToGrid/>
          <w:sz w:val="20"/>
        </w:rPr>
      </w:pPr>
      <w:r>
        <w:rPr>
          <w:rFonts w:hint="eastAsia"/>
          <w:snapToGrid/>
          <w:sz w:val="20"/>
          <w:u w:val="single"/>
        </w:rPr>
        <w:t>资料来源</w:t>
      </w:r>
      <w:r>
        <w:rPr>
          <w:snapToGrid/>
          <w:sz w:val="20"/>
        </w:rPr>
        <w:t>：</w:t>
      </w:r>
      <w:r>
        <w:rPr>
          <w:rFonts w:hint="eastAsia"/>
          <w:snapToGrid/>
          <w:sz w:val="20"/>
        </w:rPr>
        <w:t>住房和城市规</w:t>
      </w:r>
      <w:r>
        <w:rPr>
          <w:rFonts w:hint="eastAsia"/>
          <w:snapToGrid/>
          <w:sz w:val="20"/>
        </w:rPr>
        <w:t>划部，第</w:t>
      </w:r>
      <w:r>
        <w:rPr>
          <w:snapToGrid/>
          <w:sz w:val="20"/>
        </w:rPr>
        <w:t>36</w:t>
      </w:r>
      <w:r>
        <w:rPr>
          <w:rFonts w:hint="eastAsia"/>
          <w:snapToGrid/>
          <w:sz w:val="20"/>
        </w:rPr>
        <w:t>号统计报告。</w:t>
      </w:r>
    </w:p>
    <w:p w:rsidR="00000000" w:rsidRDefault="009C1C61">
      <w:pPr>
        <w:pStyle w:val="FootnoteText"/>
        <w:tabs>
          <w:tab w:val="left" w:pos="1596"/>
        </w:tabs>
        <w:spacing w:before="60" w:after="320" w:line="240" w:lineRule="auto"/>
        <w:ind w:left="740"/>
        <w:rPr>
          <w:rFonts w:hint="eastAsia"/>
          <w:sz w:val="20"/>
        </w:rPr>
      </w:pPr>
      <w:r>
        <w:rPr>
          <w:sz w:val="20"/>
        </w:rPr>
        <w:t>*</w:t>
      </w:r>
      <w:r>
        <w:rPr>
          <w:sz w:val="20"/>
        </w:rPr>
        <w:tab/>
      </w:r>
      <w:r>
        <w:rPr>
          <w:rFonts w:hint="eastAsia"/>
          <w:sz w:val="20"/>
        </w:rPr>
        <w:t>没有数据。</w:t>
      </w:r>
    </w:p>
    <w:p w:rsidR="00000000" w:rsidRDefault="009C1C61">
      <w:pPr>
        <w:rPr>
          <w:rFonts w:hint="eastAsia"/>
          <w:snapToGrid/>
        </w:rPr>
      </w:pPr>
      <w:r>
        <w:rPr>
          <w:snapToGrid/>
        </w:rPr>
        <w:tab/>
        <w:t xml:space="preserve">539.  </w:t>
      </w:r>
      <w:r>
        <w:rPr>
          <w:rFonts w:hint="eastAsia"/>
          <w:snapToGrid/>
        </w:rPr>
        <w:t>提高住宅质量的方案和行动：</w:t>
      </w:r>
    </w:p>
    <w:p w:rsidR="00000000" w:rsidRDefault="009C1C61">
      <w:pPr>
        <w:numPr>
          <w:ilvl w:val="0"/>
          <w:numId w:val="293"/>
        </w:numPr>
        <w:rPr>
          <w:snapToGrid/>
        </w:rPr>
      </w:pPr>
      <w:r>
        <w:rPr>
          <w:rFonts w:hint="eastAsia"/>
          <w:snapToGrid/>
        </w:rPr>
        <w:t>发起“建筑、扩建和改善”方案，针对目的城市有配套服务地段从前的受益者，使他们能够按基本住房标准装饰自己的住房</w:t>
      </w:r>
      <w:r>
        <w:rPr>
          <w:snapToGrid/>
        </w:rPr>
        <w:t>；</w:t>
      </w:r>
    </w:p>
    <w:p w:rsidR="00000000" w:rsidRDefault="009C1C61">
      <w:pPr>
        <w:numPr>
          <w:ilvl w:val="0"/>
          <w:numId w:val="293"/>
        </w:numPr>
        <w:rPr>
          <w:snapToGrid/>
        </w:rPr>
      </w:pPr>
      <w:r>
        <w:rPr>
          <w:rFonts w:hint="eastAsia"/>
          <w:snapToGrid/>
        </w:rPr>
        <w:t>开始实施“住房改善”方案，目的是根据国家或城市方案修理和扩建</w:t>
      </w:r>
      <w:r>
        <w:rPr>
          <w:rFonts w:hint="eastAsia"/>
          <w:snapToGrid/>
        </w:rPr>
        <w:t>10</w:t>
      </w:r>
      <w:r>
        <w:rPr>
          <w:rFonts w:hint="eastAsia"/>
          <w:snapToGrid/>
        </w:rPr>
        <w:t>年以上的房屋</w:t>
      </w:r>
      <w:r>
        <w:rPr>
          <w:snapToGrid/>
        </w:rPr>
        <w:t>；</w:t>
      </w:r>
    </w:p>
    <w:p w:rsidR="00000000" w:rsidRDefault="009C1C61">
      <w:pPr>
        <w:numPr>
          <w:ilvl w:val="0"/>
          <w:numId w:val="293"/>
        </w:numPr>
        <w:rPr>
          <w:rFonts w:hint="eastAsia"/>
          <w:snapToGrid/>
        </w:rPr>
      </w:pPr>
      <w:r>
        <w:rPr>
          <w:rFonts w:hint="eastAsia"/>
          <w:snapToGrid/>
        </w:rPr>
        <w:t>实施种种提高住房质量的措施，包括开发新型住房；修改《都市规划与建筑条例》规定的标准，使之适应新的技术；采取其他强调承包商建筑工作质量的措施。</w:t>
      </w:r>
    </w:p>
    <w:p w:rsidR="00000000" w:rsidRDefault="009C1C61">
      <w:pPr>
        <w:rPr>
          <w:snapToGrid/>
        </w:rPr>
      </w:pPr>
      <w:r>
        <w:rPr>
          <w:snapToGrid/>
        </w:rPr>
        <w:tab/>
        <w:t xml:space="preserve">540.  </w:t>
      </w:r>
      <w:r>
        <w:rPr>
          <w:rFonts w:hint="eastAsia"/>
          <w:snapToGrid/>
        </w:rPr>
        <w:t>旨在为最贫困户提供救急住房的资源增加方案和行动</w:t>
      </w:r>
      <w:r>
        <w:rPr>
          <w:snapToGrid/>
        </w:rPr>
        <w:t>：</w:t>
      </w:r>
    </w:p>
    <w:p w:rsidR="00000000" w:rsidRDefault="009C1C61">
      <w:pPr>
        <w:numPr>
          <w:ilvl w:val="0"/>
          <w:numId w:val="295"/>
        </w:numPr>
        <w:rPr>
          <w:snapToGrid/>
        </w:rPr>
      </w:pPr>
      <w:r>
        <w:rPr>
          <w:rFonts w:hint="eastAsia"/>
          <w:snapToGrid/>
        </w:rPr>
        <w:t>着手实施“递进建房”方案，分两</w:t>
      </w:r>
      <w:r>
        <w:rPr>
          <w:rFonts w:hint="eastAsia"/>
          <w:snapToGrid/>
        </w:rPr>
        <w:t>阶段落实</w:t>
      </w:r>
      <w:r>
        <w:rPr>
          <w:snapToGrid/>
        </w:rPr>
        <w:t>；</w:t>
      </w:r>
    </w:p>
    <w:p w:rsidR="00000000" w:rsidRDefault="009C1C61">
      <w:pPr>
        <w:numPr>
          <w:ilvl w:val="0"/>
          <w:numId w:val="295"/>
        </w:numPr>
        <w:spacing w:after="240"/>
        <w:rPr>
          <w:snapToGrid/>
          <w:spacing w:val="8"/>
        </w:rPr>
      </w:pPr>
      <w:r>
        <w:rPr>
          <w:rFonts w:hint="eastAsia"/>
          <w:snapToGrid/>
          <w:spacing w:val="8"/>
        </w:rPr>
        <w:t>以补贴的形式实施一种新“基本住房”制度，让受益者能够在市场上自由选择自己的住房，优先考虑占人口</w:t>
      </w:r>
      <w:r>
        <w:rPr>
          <w:rFonts w:hint="eastAsia"/>
          <w:snapToGrid/>
          <w:spacing w:val="8"/>
        </w:rPr>
        <w:t>40%</w:t>
      </w:r>
      <w:r>
        <w:rPr>
          <w:rFonts w:hint="eastAsia"/>
          <w:snapToGrid/>
          <w:spacing w:val="8"/>
        </w:rPr>
        <w:t>的最贫困阶层的家庭的需要。</w:t>
      </w:r>
    </w:p>
    <w:p w:rsidR="00000000" w:rsidRDefault="009C1C61">
      <w:pPr>
        <w:pStyle w:val="Heading4"/>
        <w:rPr>
          <w:rFonts w:ascii="Time New Roman" w:eastAsia="SimHei" w:hAnsi="Time New Roman"/>
          <w:u w:val="none"/>
        </w:rPr>
      </w:pPr>
      <w:r>
        <w:rPr>
          <w:rFonts w:ascii="Time New Roman" w:eastAsia="SimHei" w:hAnsi="Time New Roman" w:hint="eastAsia"/>
          <w:u w:val="none"/>
        </w:rPr>
        <w:t>有关社会上住房条件差的各种群体的详细材料。基本统计材料。</w:t>
      </w:r>
    </w:p>
    <w:p w:rsidR="00000000" w:rsidRDefault="009C1C61">
      <w:pPr>
        <w:rPr>
          <w:snapToGrid/>
          <w:spacing w:val="8"/>
        </w:rPr>
      </w:pPr>
      <w:r>
        <w:rPr>
          <w:snapToGrid/>
          <w:spacing w:val="8"/>
        </w:rPr>
        <w:tab/>
        <w:t xml:space="preserve">541.  </w:t>
      </w:r>
      <w:r>
        <w:rPr>
          <w:rFonts w:hint="eastAsia"/>
          <w:snapToGrid/>
          <w:spacing w:val="8"/>
        </w:rPr>
        <w:t>根据</w:t>
      </w:r>
      <w:r>
        <w:rPr>
          <w:rFonts w:hint="eastAsia"/>
          <w:snapToGrid/>
          <w:spacing w:val="8"/>
        </w:rPr>
        <w:t>1992</w:t>
      </w:r>
      <w:r>
        <w:rPr>
          <w:rFonts w:hint="eastAsia"/>
          <w:snapToGrid/>
          <w:spacing w:val="8"/>
        </w:rPr>
        <w:t>年人口和住房普查结果，</w:t>
      </w:r>
      <w:r>
        <w:rPr>
          <w:rFonts w:hint="eastAsia"/>
          <w:snapToGrid/>
          <w:spacing w:val="8"/>
        </w:rPr>
        <w:t>1992</w:t>
      </w:r>
      <w:r>
        <w:rPr>
          <w:rFonts w:hint="eastAsia"/>
          <w:snapToGrid/>
          <w:spacing w:val="8"/>
        </w:rPr>
        <w:t>年智利共有</w:t>
      </w:r>
      <w:r>
        <w:rPr>
          <w:rFonts w:hint="eastAsia"/>
          <w:snapToGrid/>
          <w:spacing w:val="8"/>
        </w:rPr>
        <w:t>320</w:t>
      </w:r>
      <w:r>
        <w:rPr>
          <w:rFonts w:hint="eastAsia"/>
          <w:snapToGrid/>
          <w:spacing w:val="8"/>
        </w:rPr>
        <w:t>万个个人住所，住着</w:t>
      </w:r>
      <w:r>
        <w:rPr>
          <w:rFonts w:hint="eastAsia"/>
          <w:snapToGrid/>
          <w:spacing w:val="8"/>
        </w:rPr>
        <w:t>1330</w:t>
      </w:r>
      <w:r>
        <w:rPr>
          <w:rFonts w:hint="eastAsia"/>
          <w:snapToGrid/>
          <w:spacing w:val="8"/>
        </w:rPr>
        <w:t>个居民</w:t>
      </w:r>
      <w:r>
        <w:rPr>
          <w:snapToGrid/>
          <w:spacing w:val="8"/>
        </w:rPr>
        <w:t>(</w:t>
      </w:r>
      <w:r>
        <w:rPr>
          <w:rFonts w:hint="eastAsia"/>
          <w:snapToGrid/>
          <w:spacing w:val="8"/>
        </w:rPr>
        <w:t>其中</w:t>
      </w:r>
      <w:r>
        <w:rPr>
          <w:snapToGrid/>
          <w:spacing w:val="8"/>
        </w:rPr>
        <w:t>83.5%</w:t>
      </w:r>
      <w:r>
        <w:rPr>
          <w:rFonts w:hint="eastAsia"/>
          <w:snapToGrid/>
          <w:spacing w:val="8"/>
        </w:rPr>
        <w:t>住在城市地区</w:t>
      </w:r>
      <w:r>
        <w:rPr>
          <w:snapToGrid/>
          <w:spacing w:val="8"/>
        </w:rPr>
        <w:t>)</w:t>
      </w:r>
      <w:r>
        <w:rPr>
          <w:rFonts w:hint="eastAsia"/>
          <w:snapToGrid/>
          <w:spacing w:val="8"/>
        </w:rPr>
        <w:t>。从国家统计局有关建筑许可证的统计材料中不难估计出，至</w:t>
      </w:r>
      <w:r>
        <w:rPr>
          <w:rFonts w:hint="eastAsia"/>
          <w:snapToGrid/>
          <w:spacing w:val="8"/>
        </w:rPr>
        <w:t>1998</w:t>
      </w:r>
      <w:r>
        <w:rPr>
          <w:rFonts w:hint="eastAsia"/>
          <w:snapToGrid/>
          <w:spacing w:val="8"/>
        </w:rPr>
        <w:t>年，住房总量增加到</w:t>
      </w:r>
      <w:r>
        <w:rPr>
          <w:rFonts w:hint="eastAsia"/>
          <w:snapToGrid/>
          <w:spacing w:val="8"/>
        </w:rPr>
        <w:t>400</w:t>
      </w:r>
      <w:r>
        <w:rPr>
          <w:rFonts w:hint="eastAsia"/>
          <w:snapToGrid/>
          <w:spacing w:val="8"/>
        </w:rPr>
        <w:t>万个单元，预计可供</w:t>
      </w:r>
      <w:r>
        <w:rPr>
          <w:rFonts w:hint="eastAsia"/>
          <w:snapToGrid/>
          <w:spacing w:val="8"/>
        </w:rPr>
        <w:t>1480</w:t>
      </w:r>
      <w:r>
        <w:rPr>
          <w:rFonts w:hint="eastAsia"/>
          <w:snapToGrid/>
          <w:spacing w:val="8"/>
        </w:rPr>
        <w:t>万居民居住。这一改善表明，智利在建房活动方面走过了一个成功的十年，国</w:t>
      </w:r>
      <w:r>
        <w:rPr>
          <w:rFonts w:hint="eastAsia"/>
          <w:snapToGrid/>
          <w:spacing w:val="8"/>
        </w:rPr>
        <w:t>家每千名居民永久住房指数在不到</w:t>
      </w:r>
      <w:r>
        <w:rPr>
          <w:rFonts w:hint="eastAsia"/>
          <w:snapToGrid/>
          <w:spacing w:val="8"/>
        </w:rPr>
        <w:t>7</w:t>
      </w:r>
      <w:r>
        <w:rPr>
          <w:rFonts w:hint="eastAsia"/>
          <w:snapToGrid/>
          <w:spacing w:val="8"/>
        </w:rPr>
        <w:t>年的时间里从</w:t>
      </w:r>
      <w:r>
        <w:rPr>
          <w:snapToGrid/>
          <w:spacing w:val="8"/>
        </w:rPr>
        <w:t>238</w:t>
      </w:r>
      <w:r>
        <w:rPr>
          <w:rFonts w:hint="eastAsia"/>
          <w:snapToGrid/>
          <w:spacing w:val="8"/>
        </w:rPr>
        <w:t>增加到</w:t>
      </w:r>
      <w:r>
        <w:rPr>
          <w:snapToGrid/>
          <w:spacing w:val="8"/>
        </w:rPr>
        <w:t>270</w:t>
      </w:r>
      <w:r>
        <w:rPr>
          <w:rFonts w:hint="eastAsia"/>
          <w:snapToGrid/>
          <w:spacing w:val="8"/>
        </w:rPr>
        <w:t>多即是明证。从百分率方面讲，与</w:t>
      </w:r>
      <w:r>
        <w:rPr>
          <w:rFonts w:hint="eastAsia"/>
          <w:snapToGrid/>
          <w:spacing w:val="8"/>
        </w:rPr>
        <w:t>1992</w:t>
      </w:r>
      <w:r>
        <w:rPr>
          <w:rFonts w:hint="eastAsia"/>
          <w:snapToGrid/>
          <w:spacing w:val="8"/>
        </w:rPr>
        <w:t>年相比，至</w:t>
      </w:r>
      <w:r>
        <w:rPr>
          <w:rFonts w:hint="eastAsia"/>
          <w:snapToGrid/>
          <w:spacing w:val="8"/>
        </w:rPr>
        <w:t>1998</w:t>
      </w:r>
      <w:r>
        <w:rPr>
          <w:rFonts w:hint="eastAsia"/>
          <w:snapToGrid/>
          <w:spacing w:val="8"/>
        </w:rPr>
        <w:t>年国家住房总量增加了</w:t>
      </w:r>
      <w:r>
        <w:rPr>
          <w:snapToGrid/>
          <w:spacing w:val="8"/>
        </w:rPr>
        <w:t>28% (</w:t>
      </w:r>
      <w:r>
        <w:rPr>
          <w:rFonts w:hint="eastAsia"/>
          <w:snapToGrid/>
          <w:spacing w:val="8"/>
        </w:rPr>
        <w:t>新建住所</w:t>
      </w:r>
      <w:r>
        <w:rPr>
          <w:snapToGrid/>
          <w:spacing w:val="8"/>
        </w:rPr>
        <w:t>886,000</w:t>
      </w:r>
      <w:r>
        <w:rPr>
          <w:rFonts w:hint="eastAsia"/>
          <w:snapToGrid/>
          <w:spacing w:val="8"/>
        </w:rPr>
        <w:t>个</w:t>
      </w:r>
      <w:r>
        <w:rPr>
          <w:snapToGrid/>
          <w:spacing w:val="8"/>
        </w:rPr>
        <w:t>)</w:t>
      </w:r>
      <w:r>
        <w:rPr>
          <w:rFonts w:hint="eastAsia"/>
          <w:snapToGrid/>
          <w:spacing w:val="8"/>
        </w:rPr>
        <w:t>。</w:t>
      </w:r>
    </w:p>
    <w:p w:rsidR="00000000" w:rsidRDefault="009C1C61">
      <w:pPr>
        <w:spacing w:after="240"/>
        <w:rPr>
          <w:noProof/>
          <w:snapToGrid/>
        </w:rPr>
      </w:pPr>
      <w:r>
        <w:rPr>
          <w:snapToGrid/>
        </w:rPr>
        <w:tab/>
        <w:t xml:space="preserve">542.  </w:t>
      </w:r>
      <w:r>
        <w:rPr>
          <w:rFonts w:hint="eastAsia"/>
          <w:snapToGrid/>
        </w:rPr>
        <w:t>住房建造如此多，是因为有了住房和城市规划部的直接方案和补贴，这也是上述趋势的一个关键因素。</w:t>
      </w:r>
      <w:r>
        <w:rPr>
          <w:rFonts w:hint="eastAsia"/>
          <w:snapToGrid/>
        </w:rPr>
        <w:t>1990</w:t>
      </w:r>
      <w:r>
        <w:rPr>
          <w:rFonts w:hint="eastAsia"/>
          <w:snapToGrid/>
        </w:rPr>
        <w:t>至</w:t>
      </w:r>
      <w:r>
        <w:rPr>
          <w:rFonts w:hint="eastAsia"/>
          <w:snapToGrid/>
        </w:rPr>
        <w:t>1998</w:t>
      </w:r>
      <w:r>
        <w:rPr>
          <w:rFonts w:hint="eastAsia"/>
          <w:snapToGrid/>
        </w:rPr>
        <w:t>年期间，该部所实施的建筑工程</w:t>
      </w:r>
      <w:r>
        <w:rPr>
          <w:rFonts w:hint="eastAsia"/>
          <w:snapToGrid/>
        </w:rPr>
        <w:t>(</w:t>
      </w:r>
      <w:r>
        <w:rPr>
          <w:rFonts w:hint="eastAsia"/>
          <w:snapToGrid/>
        </w:rPr>
        <w:t>基本住房和递进建房</w:t>
      </w:r>
      <w:r>
        <w:rPr>
          <w:rFonts w:hint="eastAsia"/>
          <w:snapToGrid/>
        </w:rPr>
        <w:t>)</w:t>
      </w:r>
      <w:r>
        <w:rPr>
          <w:rFonts w:hint="eastAsia"/>
          <w:snapToGrid/>
        </w:rPr>
        <w:t>与所发补贴加起来，公共部门的建房数量达到了</w:t>
      </w:r>
      <w:r>
        <w:rPr>
          <w:noProof/>
          <w:snapToGrid/>
        </w:rPr>
        <w:t>820,365</w:t>
      </w:r>
      <w:r>
        <w:rPr>
          <w:rFonts w:hint="eastAsia"/>
          <w:noProof/>
          <w:snapToGrid/>
        </w:rPr>
        <w:t>单元，其中</w:t>
      </w:r>
      <w:r>
        <w:rPr>
          <w:noProof/>
          <w:snapToGrid/>
        </w:rPr>
        <w:t>659,424</w:t>
      </w:r>
      <w:r>
        <w:rPr>
          <w:rFonts w:hint="eastAsia"/>
          <w:noProof/>
          <w:snapToGrid/>
        </w:rPr>
        <w:t>单元是在</w:t>
      </w:r>
      <w:r>
        <w:rPr>
          <w:noProof/>
          <w:snapToGrid/>
        </w:rPr>
        <w:t>1992</w:t>
      </w:r>
      <w:r>
        <w:rPr>
          <w:rFonts w:hint="eastAsia"/>
          <w:noProof/>
          <w:snapToGrid/>
        </w:rPr>
        <w:t>至</w:t>
      </w:r>
      <w:r>
        <w:rPr>
          <w:noProof/>
          <w:snapToGrid/>
        </w:rPr>
        <w:t>1998</w:t>
      </w:r>
      <w:r>
        <w:rPr>
          <w:rFonts w:hint="eastAsia"/>
          <w:noProof/>
          <w:snapToGrid/>
        </w:rPr>
        <w:t>期间建造的，占用了</w:t>
      </w:r>
      <w:r>
        <w:rPr>
          <w:rFonts w:hint="eastAsia"/>
          <w:noProof/>
          <w:snapToGrid/>
        </w:rPr>
        <w:t>1992</w:t>
      </w:r>
      <w:r>
        <w:rPr>
          <w:rFonts w:hint="eastAsia"/>
          <w:noProof/>
          <w:snapToGrid/>
        </w:rPr>
        <w:t>年普查后时期所发的</w:t>
      </w:r>
      <w:r>
        <w:rPr>
          <w:noProof/>
          <w:snapToGrid/>
        </w:rPr>
        <w:t>74%</w:t>
      </w:r>
      <w:r>
        <w:rPr>
          <w:rFonts w:hint="eastAsia"/>
          <w:noProof/>
          <w:snapToGrid/>
        </w:rPr>
        <w:t>的建房</w:t>
      </w:r>
      <w:r>
        <w:rPr>
          <w:rFonts w:hint="eastAsia"/>
          <w:noProof/>
          <w:snapToGrid/>
        </w:rPr>
        <w:t>许可证。</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无房个人和无房户的数量</w:t>
      </w:r>
    </w:p>
    <w:p w:rsidR="00000000" w:rsidRDefault="009C1C61">
      <w:pPr>
        <w:rPr>
          <w:snapToGrid/>
        </w:rPr>
      </w:pPr>
      <w:r>
        <w:rPr>
          <w:snapToGrid/>
        </w:rPr>
        <w:tab/>
        <w:t xml:space="preserve">543.  </w:t>
      </w:r>
      <w:r>
        <w:rPr>
          <w:rFonts w:hint="eastAsia"/>
          <w:snapToGrid/>
        </w:rPr>
        <w:t>不少居民户无房可住，所以就有了住房短缺问题。住房短缺是指适居住所的数量与满足估计住房需求所需单元数量</w:t>
      </w:r>
      <w:r>
        <w:rPr>
          <w:rFonts w:hint="eastAsia"/>
          <w:snapToGrid/>
        </w:rPr>
        <w:t>(</w:t>
      </w:r>
      <w:r>
        <w:rPr>
          <w:rFonts w:hint="eastAsia"/>
          <w:snapToGrid/>
        </w:rPr>
        <w:t>额外居民户和家庭单元</w:t>
      </w:r>
      <w:r>
        <w:rPr>
          <w:rFonts w:hint="eastAsia"/>
          <w:snapToGrid/>
        </w:rPr>
        <w:t>)</w:t>
      </w:r>
      <w:r>
        <w:rPr>
          <w:rFonts w:hint="eastAsia"/>
          <w:snapToGrid/>
        </w:rPr>
        <w:t>之间时刻存在的差距。从所做的各项研究来看，</w:t>
      </w:r>
      <w:r>
        <w:rPr>
          <w:rFonts w:hint="eastAsia"/>
          <w:snapToGrid/>
        </w:rPr>
        <w:t>1992</w:t>
      </w:r>
      <w:r>
        <w:rPr>
          <w:rFonts w:hint="eastAsia"/>
          <w:snapToGrid/>
        </w:rPr>
        <w:t>年住房缺口达</w:t>
      </w:r>
      <w:r>
        <w:rPr>
          <w:snapToGrid/>
        </w:rPr>
        <w:t>888,681</w:t>
      </w:r>
      <w:r>
        <w:rPr>
          <w:rFonts w:hint="eastAsia"/>
          <w:snapToGrid/>
        </w:rPr>
        <w:t>所。这包括无房户或聚居户所需</w:t>
      </w:r>
      <w:r>
        <w:rPr>
          <w:snapToGrid/>
        </w:rPr>
        <w:t>611,792</w:t>
      </w:r>
      <w:r>
        <w:rPr>
          <w:rFonts w:hint="eastAsia"/>
          <w:snapToGrid/>
        </w:rPr>
        <w:t>个住所及替换半永久住房所需的</w:t>
      </w:r>
      <w:r>
        <w:rPr>
          <w:snapToGrid/>
        </w:rPr>
        <w:t>276,882</w:t>
      </w:r>
      <w:r>
        <w:rPr>
          <w:rFonts w:hint="eastAsia"/>
          <w:snapToGrid/>
        </w:rPr>
        <w:t>个住所。</w:t>
      </w:r>
      <w:r>
        <w:rPr>
          <w:rStyle w:val="FootnoteReference"/>
          <w:snapToGrid/>
        </w:rPr>
        <w:footnoteReference w:id="253"/>
      </w:r>
    </w:p>
    <w:p w:rsidR="00000000" w:rsidRDefault="009C1C61">
      <w:pPr>
        <w:spacing w:after="320"/>
        <w:rPr>
          <w:rFonts w:hint="eastAsia"/>
          <w:snapToGrid/>
        </w:rPr>
      </w:pPr>
      <w:r>
        <w:rPr>
          <w:snapToGrid/>
        </w:rPr>
        <w:tab/>
        <w:t>544.  1990</w:t>
      </w:r>
      <w:r>
        <w:rPr>
          <w:rFonts w:hint="eastAsia"/>
          <w:snapToGrid/>
        </w:rPr>
        <w:t>年代</w:t>
      </w:r>
      <w:r>
        <w:rPr>
          <w:snapToGrid/>
        </w:rPr>
        <w:t>，</w:t>
      </w:r>
      <w:r>
        <w:rPr>
          <w:rFonts w:hint="eastAsia"/>
          <w:snapToGrid/>
        </w:rPr>
        <w:t>智利是拉丁美洲唯一一个成功减少了住房短缺的国家。因为它数年来每年建筑产出都超过了需求增长，因而逐渐缓解了住房短缺。根据住房和城市规划部住房政</w:t>
      </w:r>
      <w:r>
        <w:rPr>
          <w:rFonts w:hint="eastAsia"/>
          <w:snapToGrid/>
        </w:rPr>
        <w:t>策司的数据，至</w:t>
      </w:r>
      <w:r>
        <w:rPr>
          <w:rFonts w:hint="eastAsia"/>
          <w:snapToGrid/>
        </w:rPr>
        <w:t>1998</w:t>
      </w:r>
      <w:r>
        <w:rPr>
          <w:rFonts w:hint="eastAsia"/>
          <w:snapToGrid/>
        </w:rPr>
        <w:t>年，住房缺口已经减少到</w:t>
      </w:r>
      <w:r>
        <w:rPr>
          <w:snapToGrid/>
        </w:rPr>
        <w:t>526,000</w:t>
      </w:r>
      <w:r>
        <w:rPr>
          <w:rFonts w:hint="eastAsia"/>
          <w:snapToGrid/>
        </w:rPr>
        <w:t>至</w:t>
      </w:r>
      <w:r>
        <w:rPr>
          <w:snapToGrid/>
        </w:rPr>
        <w:t xml:space="preserve">631,000 </w:t>
      </w:r>
      <w:r>
        <w:rPr>
          <w:rFonts w:hint="eastAsia"/>
          <w:snapToGrid/>
        </w:rPr>
        <w:t>个单元，每年新增住房需求量为</w:t>
      </w:r>
      <w:r>
        <w:rPr>
          <w:snapToGrid/>
        </w:rPr>
        <w:t>75,000</w:t>
      </w:r>
      <w:r>
        <w:rPr>
          <w:rFonts w:hint="eastAsia"/>
          <w:snapToGrid/>
        </w:rPr>
        <w:t>至</w:t>
      </w:r>
      <w:r>
        <w:rPr>
          <w:snapToGrid/>
        </w:rPr>
        <w:t>90,000</w:t>
      </w:r>
      <w:r>
        <w:rPr>
          <w:rFonts w:hint="eastAsia"/>
          <w:snapToGrid/>
        </w:rPr>
        <w:t>个单元，这是因有更多居民户的形成和替换现有住房需要所致</w:t>
      </w:r>
      <w:r>
        <w:rPr>
          <w:snapToGrid/>
        </w:rPr>
        <w:t>(</w:t>
      </w:r>
      <w:r>
        <w:rPr>
          <w:rFonts w:hint="eastAsia"/>
          <w:snapToGrid/>
        </w:rPr>
        <w:t>见表</w:t>
      </w:r>
      <w:r>
        <w:rPr>
          <w:snapToGrid/>
        </w:rPr>
        <w:t>24)</w:t>
      </w:r>
      <w:r>
        <w:rPr>
          <w:rFonts w:hint="eastAsia"/>
          <w:snapToGrid/>
        </w:rPr>
        <w:t>。</w:t>
      </w:r>
    </w:p>
    <w:p w:rsidR="00000000" w:rsidRDefault="009C1C61">
      <w:pPr>
        <w:pStyle w:val="Heading3"/>
        <w:spacing w:after="160"/>
        <w:rPr>
          <w:rFonts w:hint="eastAsia"/>
        </w:rPr>
      </w:pPr>
      <w:r>
        <w:rPr>
          <w:rFonts w:hint="eastAsia"/>
        </w:rPr>
        <w:t>表</w:t>
      </w:r>
      <w:r>
        <w:t xml:space="preserve"> </w:t>
      </w:r>
      <w:r>
        <w:rPr>
          <w:rFonts w:hint="eastAsia"/>
        </w:rPr>
        <w:t xml:space="preserve"> </w:t>
      </w:r>
      <w:r>
        <w:rPr>
          <w:b/>
          <w:bCs/>
        </w:rPr>
        <w:t>24</w:t>
      </w:r>
      <w:r>
        <w:rPr>
          <w:b/>
          <w:bCs/>
        </w:rPr>
        <w:br/>
        <w:t>1992</w:t>
      </w:r>
      <w:r>
        <w:rPr>
          <w:b/>
          <w:bCs/>
        </w:rPr>
        <w:noBreakHyphen/>
        <w:t>1998</w:t>
      </w:r>
      <w:r>
        <w:rPr>
          <w:rFonts w:hint="eastAsia"/>
        </w:rPr>
        <w:t>智利住房短缺趋势的两种设想的演变情况</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786"/>
        <w:gridCol w:w="1411"/>
        <w:gridCol w:w="1411"/>
        <w:gridCol w:w="1411"/>
        <w:gridCol w:w="1411"/>
        <w:gridCol w:w="1411"/>
        <w:gridCol w:w="1396"/>
      </w:tblGrid>
      <w:tr w:rsidR="00000000">
        <w:tblPrEx>
          <w:tblCellMar>
            <w:top w:w="0" w:type="dxa"/>
            <w:bottom w:w="0" w:type="dxa"/>
          </w:tblCellMar>
        </w:tblPrEx>
        <w:trPr>
          <w:cantSplit/>
          <w:jc w:val="center"/>
        </w:trPr>
        <w:tc>
          <w:tcPr>
            <w:tcW w:w="786" w:type="dxa"/>
            <w:vMerge w:val="restart"/>
            <w:vAlign w:val="center"/>
          </w:tcPr>
          <w:p w:rsidR="00000000" w:rsidRDefault="009C1C61">
            <w:pPr>
              <w:pStyle w:val="a2"/>
              <w:jc w:val="center"/>
              <w:rPr>
                <w:rFonts w:hint="eastAsia"/>
                <w:noProof/>
                <w:snapToGrid/>
              </w:rPr>
            </w:pPr>
            <w:r>
              <w:rPr>
                <w:rFonts w:hint="eastAsia"/>
                <w:noProof/>
                <w:snapToGrid/>
              </w:rPr>
              <w:t>年份</w:t>
            </w:r>
          </w:p>
        </w:tc>
        <w:tc>
          <w:tcPr>
            <w:tcW w:w="1411" w:type="dxa"/>
            <w:vAlign w:val="center"/>
          </w:tcPr>
          <w:p w:rsidR="00000000" w:rsidRDefault="009C1C61">
            <w:pPr>
              <w:pStyle w:val="a2"/>
              <w:jc w:val="center"/>
              <w:rPr>
                <w:rFonts w:hint="eastAsia"/>
                <w:noProof/>
                <w:snapToGrid/>
              </w:rPr>
            </w:pPr>
            <w:r>
              <w:rPr>
                <w:rFonts w:hint="eastAsia"/>
                <w:noProof/>
                <w:snapToGrid/>
              </w:rPr>
              <w:t>初始短缺</w:t>
            </w:r>
          </w:p>
        </w:tc>
        <w:tc>
          <w:tcPr>
            <w:tcW w:w="1411" w:type="dxa"/>
            <w:vAlign w:val="center"/>
          </w:tcPr>
          <w:p w:rsidR="00000000" w:rsidRDefault="009C1C61">
            <w:pPr>
              <w:pStyle w:val="a2"/>
              <w:jc w:val="center"/>
              <w:rPr>
                <w:rFonts w:hint="eastAsia"/>
                <w:noProof/>
                <w:snapToGrid/>
              </w:rPr>
            </w:pPr>
            <w:r>
              <w:rPr>
                <w:rFonts w:hint="eastAsia"/>
                <w:noProof/>
                <w:snapToGrid/>
              </w:rPr>
              <w:t>所造住房单元</w:t>
            </w:r>
          </w:p>
        </w:tc>
        <w:tc>
          <w:tcPr>
            <w:tcW w:w="2822" w:type="dxa"/>
            <w:gridSpan w:val="2"/>
            <w:vAlign w:val="center"/>
          </w:tcPr>
          <w:p w:rsidR="00000000" w:rsidRDefault="009C1C61">
            <w:pPr>
              <w:pStyle w:val="a2"/>
              <w:jc w:val="center"/>
              <w:rPr>
                <w:rFonts w:hint="eastAsia"/>
                <w:noProof/>
                <w:snapToGrid/>
              </w:rPr>
            </w:pPr>
            <w:r>
              <w:rPr>
                <w:rFonts w:hint="eastAsia"/>
                <w:noProof/>
                <w:snapToGrid/>
              </w:rPr>
              <w:t>加剧短缺的住房需求量</w:t>
            </w:r>
          </w:p>
        </w:tc>
        <w:tc>
          <w:tcPr>
            <w:tcW w:w="2807" w:type="dxa"/>
            <w:gridSpan w:val="2"/>
            <w:vAlign w:val="center"/>
          </w:tcPr>
          <w:p w:rsidR="00000000" w:rsidRDefault="009C1C61">
            <w:pPr>
              <w:pStyle w:val="a2"/>
              <w:jc w:val="center"/>
              <w:rPr>
                <w:rFonts w:hint="eastAsia"/>
                <w:noProof/>
                <w:snapToGrid/>
              </w:rPr>
            </w:pPr>
            <w:r>
              <w:rPr>
                <w:rFonts w:hint="eastAsia"/>
                <w:noProof/>
                <w:snapToGrid/>
              </w:rPr>
              <w:t>最终住房短缺</w:t>
            </w:r>
          </w:p>
        </w:tc>
      </w:tr>
      <w:tr w:rsidR="00000000">
        <w:tblPrEx>
          <w:tblCellMar>
            <w:top w:w="0" w:type="dxa"/>
            <w:bottom w:w="0" w:type="dxa"/>
          </w:tblCellMar>
        </w:tblPrEx>
        <w:trPr>
          <w:cantSplit/>
          <w:jc w:val="center"/>
        </w:trPr>
        <w:tc>
          <w:tcPr>
            <w:tcW w:w="786" w:type="dxa"/>
            <w:vMerge/>
            <w:vAlign w:val="center"/>
          </w:tcPr>
          <w:p w:rsidR="00000000" w:rsidRDefault="009C1C61">
            <w:pPr>
              <w:pStyle w:val="a2"/>
              <w:jc w:val="center"/>
              <w:rPr>
                <w:noProof/>
                <w:snapToGrid/>
              </w:rPr>
            </w:pPr>
          </w:p>
        </w:tc>
        <w:tc>
          <w:tcPr>
            <w:tcW w:w="1411" w:type="dxa"/>
            <w:vAlign w:val="center"/>
          </w:tcPr>
          <w:p w:rsidR="00000000" w:rsidRDefault="009C1C61">
            <w:pPr>
              <w:pStyle w:val="a2"/>
              <w:jc w:val="center"/>
              <w:rPr>
                <w:noProof/>
                <w:snapToGrid/>
              </w:rPr>
            </w:pPr>
            <w:r>
              <w:rPr>
                <w:noProof/>
                <w:snapToGrid/>
              </w:rPr>
              <w:t>(1)*</w:t>
            </w:r>
          </w:p>
        </w:tc>
        <w:tc>
          <w:tcPr>
            <w:tcW w:w="1411" w:type="dxa"/>
            <w:vAlign w:val="center"/>
          </w:tcPr>
          <w:p w:rsidR="00000000" w:rsidRDefault="009C1C61">
            <w:pPr>
              <w:pStyle w:val="a2"/>
              <w:jc w:val="center"/>
              <w:rPr>
                <w:noProof/>
                <w:snapToGrid/>
              </w:rPr>
            </w:pPr>
            <w:r>
              <w:rPr>
                <w:noProof/>
                <w:snapToGrid/>
              </w:rPr>
              <w:t>(2)**</w:t>
            </w:r>
          </w:p>
        </w:tc>
        <w:tc>
          <w:tcPr>
            <w:tcW w:w="1411" w:type="dxa"/>
            <w:vAlign w:val="center"/>
          </w:tcPr>
          <w:p w:rsidR="00000000" w:rsidRDefault="009C1C61">
            <w:pPr>
              <w:pStyle w:val="a2"/>
              <w:jc w:val="center"/>
              <w:rPr>
                <w:noProof/>
                <w:snapToGrid/>
              </w:rPr>
            </w:pPr>
            <w:r>
              <w:rPr>
                <w:noProof/>
                <w:snapToGrid/>
              </w:rPr>
              <w:t>(3a)***</w:t>
            </w:r>
          </w:p>
        </w:tc>
        <w:tc>
          <w:tcPr>
            <w:tcW w:w="1411" w:type="dxa"/>
            <w:vAlign w:val="center"/>
          </w:tcPr>
          <w:p w:rsidR="00000000" w:rsidRDefault="009C1C61">
            <w:pPr>
              <w:pStyle w:val="a2"/>
              <w:jc w:val="center"/>
              <w:rPr>
                <w:noProof/>
                <w:snapToGrid/>
              </w:rPr>
            </w:pPr>
            <w:r>
              <w:rPr>
                <w:noProof/>
                <w:snapToGrid/>
              </w:rPr>
              <w:t>(3b)***</w:t>
            </w:r>
          </w:p>
        </w:tc>
        <w:tc>
          <w:tcPr>
            <w:tcW w:w="1411" w:type="dxa"/>
            <w:vAlign w:val="center"/>
          </w:tcPr>
          <w:p w:rsidR="00000000" w:rsidRDefault="009C1C61">
            <w:pPr>
              <w:pStyle w:val="a2"/>
              <w:jc w:val="center"/>
              <w:rPr>
                <w:noProof/>
                <w:snapToGrid/>
              </w:rPr>
            </w:pPr>
            <w:r>
              <w:rPr>
                <w:noProof/>
                <w:snapToGrid/>
              </w:rPr>
              <w:t>(4a)****</w:t>
            </w:r>
          </w:p>
        </w:tc>
        <w:tc>
          <w:tcPr>
            <w:tcW w:w="1396" w:type="dxa"/>
            <w:vAlign w:val="center"/>
          </w:tcPr>
          <w:p w:rsidR="00000000" w:rsidRDefault="009C1C61">
            <w:pPr>
              <w:pStyle w:val="a2"/>
              <w:jc w:val="center"/>
              <w:rPr>
                <w:noProof/>
                <w:snapToGrid/>
              </w:rPr>
            </w:pPr>
            <w:r>
              <w:rPr>
                <w:noProof/>
                <w:snapToGrid/>
              </w:rPr>
              <w:t>(4b)****</w:t>
            </w:r>
          </w:p>
        </w:tc>
      </w:tr>
      <w:tr w:rsidR="00000000">
        <w:tblPrEx>
          <w:tblCellMar>
            <w:top w:w="0" w:type="dxa"/>
            <w:bottom w:w="0" w:type="dxa"/>
          </w:tblCellMar>
        </w:tblPrEx>
        <w:trPr>
          <w:jc w:val="center"/>
        </w:trPr>
        <w:tc>
          <w:tcPr>
            <w:tcW w:w="786" w:type="dxa"/>
          </w:tcPr>
          <w:p w:rsidR="00000000" w:rsidRDefault="009C1C61">
            <w:pPr>
              <w:pStyle w:val="a2"/>
              <w:jc w:val="center"/>
              <w:rPr>
                <w:noProof/>
                <w:snapToGrid/>
              </w:rPr>
            </w:pPr>
            <w:r>
              <w:rPr>
                <w:noProof/>
                <w:snapToGrid/>
              </w:rPr>
              <w:t>1992</w:t>
            </w:r>
          </w:p>
          <w:p w:rsidR="00000000" w:rsidRDefault="009C1C61">
            <w:pPr>
              <w:pStyle w:val="a2"/>
              <w:jc w:val="center"/>
              <w:rPr>
                <w:noProof/>
                <w:snapToGrid/>
              </w:rPr>
            </w:pPr>
            <w:r>
              <w:rPr>
                <w:noProof/>
                <w:snapToGrid/>
              </w:rPr>
              <w:t>1993</w:t>
            </w:r>
          </w:p>
          <w:p w:rsidR="00000000" w:rsidRDefault="009C1C61">
            <w:pPr>
              <w:pStyle w:val="a2"/>
              <w:jc w:val="center"/>
              <w:rPr>
                <w:noProof/>
                <w:snapToGrid/>
              </w:rPr>
            </w:pPr>
            <w:r>
              <w:rPr>
                <w:noProof/>
                <w:snapToGrid/>
              </w:rPr>
              <w:t>1994</w:t>
            </w:r>
          </w:p>
          <w:p w:rsidR="00000000" w:rsidRDefault="009C1C61">
            <w:pPr>
              <w:pStyle w:val="a2"/>
              <w:jc w:val="center"/>
              <w:rPr>
                <w:noProof/>
                <w:snapToGrid/>
              </w:rPr>
            </w:pPr>
            <w:r>
              <w:rPr>
                <w:noProof/>
                <w:snapToGrid/>
              </w:rPr>
              <w:t>1995</w:t>
            </w:r>
          </w:p>
          <w:p w:rsidR="00000000" w:rsidRDefault="009C1C61">
            <w:pPr>
              <w:pStyle w:val="a2"/>
              <w:jc w:val="center"/>
              <w:rPr>
                <w:noProof/>
                <w:snapToGrid/>
              </w:rPr>
            </w:pPr>
            <w:r>
              <w:rPr>
                <w:noProof/>
                <w:snapToGrid/>
              </w:rPr>
              <w:t>1996</w:t>
            </w:r>
          </w:p>
          <w:p w:rsidR="00000000" w:rsidRDefault="009C1C61">
            <w:pPr>
              <w:pStyle w:val="a2"/>
              <w:jc w:val="center"/>
              <w:rPr>
                <w:noProof/>
                <w:snapToGrid/>
              </w:rPr>
            </w:pPr>
            <w:r>
              <w:rPr>
                <w:noProof/>
                <w:snapToGrid/>
              </w:rPr>
              <w:t>1997</w:t>
            </w:r>
          </w:p>
          <w:p w:rsidR="00000000" w:rsidRDefault="009C1C61">
            <w:pPr>
              <w:pStyle w:val="a2"/>
              <w:jc w:val="center"/>
              <w:rPr>
                <w:noProof/>
                <w:snapToGrid/>
              </w:rPr>
            </w:pPr>
            <w:r>
              <w:rPr>
                <w:noProof/>
                <w:snapToGrid/>
              </w:rPr>
              <w:t>1998</w:t>
            </w:r>
          </w:p>
        </w:tc>
        <w:tc>
          <w:tcPr>
            <w:tcW w:w="1411" w:type="dxa"/>
          </w:tcPr>
          <w:p w:rsidR="00000000" w:rsidRDefault="009C1C61">
            <w:pPr>
              <w:pStyle w:val="a2"/>
              <w:ind w:right="113"/>
              <w:jc w:val="right"/>
              <w:rPr>
                <w:noProof/>
                <w:snapToGrid/>
              </w:rPr>
            </w:pPr>
            <w:r>
              <w:rPr>
                <w:noProof/>
                <w:snapToGrid/>
              </w:rPr>
              <w:t>888,68</w:t>
            </w:r>
            <w:r>
              <w:rPr>
                <w:noProof/>
                <w:snapToGrid/>
              </w:rPr>
              <w:t>1 (1)</w:t>
            </w:r>
          </w:p>
          <w:p w:rsidR="00000000" w:rsidRDefault="009C1C61">
            <w:pPr>
              <w:pStyle w:val="a2"/>
              <w:ind w:right="113"/>
              <w:jc w:val="right"/>
              <w:rPr>
                <w:noProof/>
                <w:snapToGrid/>
              </w:rPr>
            </w:pPr>
          </w:p>
        </w:tc>
        <w:tc>
          <w:tcPr>
            <w:tcW w:w="1411" w:type="dxa"/>
          </w:tcPr>
          <w:p w:rsidR="00000000" w:rsidRDefault="009C1C61">
            <w:pPr>
              <w:pStyle w:val="a2"/>
              <w:ind w:right="113"/>
              <w:jc w:val="right"/>
              <w:rPr>
                <w:noProof/>
                <w:snapToGrid/>
              </w:rPr>
            </w:pPr>
            <w:r>
              <w:rPr>
                <w:noProof/>
                <w:snapToGrid/>
              </w:rPr>
              <w:t>108,482</w:t>
            </w:r>
          </w:p>
          <w:p w:rsidR="00000000" w:rsidRDefault="009C1C61">
            <w:pPr>
              <w:pStyle w:val="a2"/>
              <w:ind w:right="113"/>
              <w:jc w:val="right"/>
              <w:rPr>
                <w:noProof/>
                <w:snapToGrid/>
              </w:rPr>
            </w:pPr>
            <w:r>
              <w:rPr>
                <w:noProof/>
                <w:snapToGrid/>
              </w:rPr>
              <w:t>122,062</w:t>
            </w:r>
          </w:p>
          <w:p w:rsidR="00000000" w:rsidRDefault="009C1C61">
            <w:pPr>
              <w:pStyle w:val="a2"/>
              <w:ind w:right="113"/>
              <w:jc w:val="right"/>
              <w:rPr>
                <w:noProof/>
                <w:snapToGrid/>
              </w:rPr>
            </w:pPr>
            <w:r>
              <w:rPr>
                <w:noProof/>
                <w:snapToGrid/>
              </w:rPr>
              <w:t>124,785</w:t>
            </w:r>
          </w:p>
          <w:p w:rsidR="00000000" w:rsidRDefault="009C1C61">
            <w:pPr>
              <w:pStyle w:val="a2"/>
              <w:ind w:right="113"/>
              <w:jc w:val="right"/>
              <w:rPr>
                <w:noProof/>
                <w:snapToGrid/>
              </w:rPr>
            </w:pPr>
            <w:r>
              <w:rPr>
                <w:noProof/>
                <w:snapToGrid/>
              </w:rPr>
              <w:t>135,600</w:t>
            </w:r>
          </w:p>
          <w:p w:rsidR="00000000" w:rsidRDefault="009C1C61">
            <w:pPr>
              <w:pStyle w:val="a2"/>
              <w:ind w:right="113"/>
              <w:jc w:val="right"/>
              <w:rPr>
                <w:noProof/>
                <w:snapToGrid/>
              </w:rPr>
            </w:pPr>
            <w:r>
              <w:rPr>
                <w:noProof/>
                <w:snapToGrid/>
              </w:rPr>
              <w:t>143,823</w:t>
            </w:r>
          </w:p>
          <w:p w:rsidR="00000000" w:rsidRDefault="009C1C61">
            <w:pPr>
              <w:pStyle w:val="a2"/>
              <w:ind w:right="113"/>
              <w:jc w:val="right"/>
              <w:rPr>
                <w:noProof/>
                <w:snapToGrid/>
              </w:rPr>
            </w:pPr>
            <w:r>
              <w:rPr>
                <w:noProof/>
                <w:snapToGrid/>
              </w:rPr>
              <w:t>137,208</w:t>
            </w:r>
          </w:p>
          <w:p w:rsidR="00000000" w:rsidRDefault="009C1C61">
            <w:pPr>
              <w:pStyle w:val="a2"/>
              <w:ind w:right="113"/>
              <w:jc w:val="right"/>
              <w:rPr>
                <w:noProof/>
                <w:snapToGrid/>
              </w:rPr>
            </w:pPr>
            <w:r>
              <w:rPr>
                <w:noProof/>
                <w:snapToGrid/>
              </w:rPr>
              <w:t>115,038</w:t>
            </w:r>
          </w:p>
        </w:tc>
        <w:tc>
          <w:tcPr>
            <w:tcW w:w="1411" w:type="dxa"/>
          </w:tcPr>
          <w:p w:rsidR="00000000" w:rsidRDefault="009C1C61">
            <w:pPr>
              <w:pStyle w:val="a2"/>
              <w:ind w:right="113"/>
              <w:jc w:val="right"/>
              <w:rPr>
                <w:noProof/>
                <w:snapToGrid/>
              </w:rPr>
            </w:pPr>
            <w:r>
              <w:rPr>
                <w:noProof/>
                <w:snapToGrid/>
              </w:rPr>
              <w:t>75,000</w:t>
            </w:r>
          </w:p>
          <w:p w:rsidR="00000000" w:rsidRDefault="009C1C61">
            <w:pPr>
              <w:pStyle w:val="a2"/>
              <w:ind w:right="113"/>
              <w:jc w:val="right"/>
              <w:rPr>
                <w:noProof/>
                <w:snapToGrid/>
              </w:rPr>
            </w:pPr>
            <w:r>
              <w:rPr>
                <w:noProof/>
                <w:snapToGrid/>
              </w:rPr>
              <w:t>75,000</w:t>
            </w:r>
          </w:p>
          <w:p w:rsidR="00000000" w:rsidRDefault="009C1C61">
            <w:pPr>
              <w:pStyle w:val="a2"/>
              <w:ind w:right="113"/>
              <w:jc w:val="right"/>
              <w:rPr>
                <w:noProof/>
                <w:snapToGrid/>
              </w:rPr>
            </w:pPr>
            <w:r>
              <w:rPr>
                <w:noProof/>
                <w:snapToGrid/>
              </w:rPr>
              <w:t>75,000</w:t>
            </w:r>
          </w:p>
          <w:p w:rsidR="00000000" w:rsidRDefault="009C1C61">
            <w:pPr>
              <w:pStyle w:val="a2"/>
              <w:ind w:right="113"/>
              <w:jc w:val="right"/>
              <w:rPr>
                <w:noProof/>
                <w:snapToGrid/>
              </w:rPr>
            </w:pPr>
            <w:r>
              <w:rPr>
                <w:noProof/>
                <w:snapToGrid/>
              </w:rPr>
              <w:t>75,000</w:t>
            </w:r>
          </w:p>
          <w:p w:rsidR="00000000" w:rsidRDefault="009C1C61">
            <w:pPr>
              <w:pStyle w:val="a2"/>
              <w:ind w:right="113"/>
              <w:jc w:val="right"/>
              <w:rPr>
                <w:noProof/>
                <w:snapToGrid/>
              </w:rPr>
            </w:pPr>
            <w:r>
              <w:rPr>
                <w:noProof/>
                <w:snapToGrid/>
              </w:rPr>
              <w:t>75,000</w:t>
            </w:r>
          </w:p>
          <w:p w:rsidR="00000000" w:rsidRDefault="009C1C61">
            <w:pPr>
              <w:pStyle w:val="a2"/>
              <w:ind w:right="113"/>
              <w:jc w:val="right"/>
              <w:rPr>
                <w:noProof/>
                <w:snapToGrid/>
              </w:rPr>
            </w:pPr>
            <w:r>
              <w:rPr>
                <w:noProof/>
                <w:snapToGrid/>
              </w:rPr>
              <w:t>75,000</w:t>
            </w:r>
          </w:p>
          <w:p w:rsidR="00000000" w:rsidRDefault="009C1C61">
            <w:pPr>
              <w:pStyle w:val="a2"/>
              <w:ind w:right="113"/>
              <w:jc w:val="right"/>
              <w:rPr>
                <w:noProof/>
                <w:snapToGrid/>
              </w:rPr>
            </w:pPr>
            <w:r>
              <w:rPr>
                <w:noProof/>
                <w:snapToGrid/>
              </w:rPr>
              <w:t>75,000</w:t>
            </w:r>
          </w:p>
        </w:tc>
        <w:tc>
          <w:tcPr>
            <w:tcW w:w="1411" w:type="dxa"/>
          </w:tcPr>
          <w:p w:rsidR="00000000" w:rsidRDefault="009C1C61">
            <w:pPr>
              <w:pStyle w:val="a2"/>
              <w:ind w:right="113"/>
              <w:jc w:val="right"/>
              <w:rPr>
                <w:noProof/>
                <w:snapToGrid/>
              </w:rPr>
            </w:pPr>
            <w:r>
              <w:rPr>
                <w:noProof/>
                <w:snapToGrid/>
              </w:rPr>
              <w:t>90,000</w:t>
            </w:r>
          </w:p>
          <w:p w:rsidR="00000000" w:rsidRDefault="009C1C61">
            <w:pPr>
              <w:pStyle w:val="a2"/>
              <w:ind w:right="113"/>
              <w:jc w:val="right"/>
              <w:rPr>
                <w:noProof/>
                <w:snapToGrid/>
              </w:rPr>
            </w:pPr>
            <w:r>
              <w:rPr>
                <w:noProof/>
                <w:snapToGrid/>
              </w:rPr>
              <w:t>90,000</w:t>
            </w:r>
          </w:p>
          <w:p w:rsidR="00000000" w:rsidRDefault="009C1C61">
            <w:pPr>
              <w:pStyle w:val="a2"/>
              <w:ind w:right="113"/>
              <w:jc w:val="right"/>
              <w:rPr>
                <w:noProof/>
                <w:snapToGrid/>
              </w:rPr>
            </w:pPr>
            <w:r>
              <w:rPr>
                <w:noProof/>
                <w:snapToGrid/>
              </w:rPr>
              <w:t>90,000</w:t>
            </w:r>
          </w:p>
          <w:p w:rsidR="00000000" w:rsidRDefault="009C1C61">
            <w:pPr>
              <w:pStyle w:val="a2"/>
              <w:ind w:right="113"/>
              <w:jc w:val="right"/>
              <w:rPr>
                <w:noProof/>
                <w:snapToGrid/>
              </w:rPr>
            </w:pPr>
            <w:r>
              <w:rPr>
                <w:noProof/>
                <w:snapToGrid/>
              </w:rPr>
              <w:t>90,000</w:t>
            </w:r>
          </w:p>
          <w:p w:rsidR="00000000" w:rsidRDefault="009C1C61">
            <w:pPr>
              <w:pStyle w:val="a2"/>
              <w:ind w:right="113"/>
              <w:jc w:val="right"/>
              <w:rPr>
                <w:noProof/>
                <w:snapToGrid/>
              </w:rPr>
            </w:pPr>
            <w:r>
              <w:rPr>
                <w:noProof/>
                <w:snapToGrid/>
              </w:rPr>
              <w:t>90,000</w:t>
            </w:r>
          </w:p>
          <w:p w:rsidR="00000000" w:rsidRDefault="009C1C61">
            <w:pPr>
              <w:pStyle w:val="a2"/>
              <w:ind w:right="113"/>
              <w:jc w:val="right"/>
              <w:rPr>
                <w:noProof/>
                <w:snapToGrid/>
              </w:rPr>
            </w:pPr>
            <w:r>
              <w:rPr>
                <w:noProof/>
                <w:snapToGrid/>
              </w:rPr>
              <w:t>90,000</w:t>
            </w:r>
          </w:p>
          <w:p w:rsidR="00000000" w:rsidRDefault="009C1C61">
            <w:pPr>
              <w:pStyle w:val="a2"/>
              <w:ind w:right="113"/>
              <w:jc w:val="right"/>
              <w:rPr>
                <w:noProof/>
                <w:snapToGrid/>
              </w:rPr>
            </w:pPr>
            <w:r>
              <w:rPr>
                <w:noProof/>
                <w:snapToGrid/>
              </w:rPr>
              <w:t>90,000</w:t>
            </w:r>
          </w:p>
        </w:tc>
        <w:tc>
          <w:tcPr>
            <w:tcW w:w="1411" w:type="dxa"/>
          </w:tcPr>
          <w:p w:rsidR="00000000" w:rsidRDefault="009C1C61">
            <w:pPr>
              <w:pStyle w:val="a2"/>
              <w:ind w:right="113"/>
              <w:jc w:val="right"/>
              <w:rPr>
                <w:noProof/>
                <w:snapToGrid/>
              </w:rPr>
            </w:pPr>
            <w:r>
              <w:rPr>
                <w:noProof/>
                <w:snapToGrid/>
              </w:rPr>
              <w:t>855,199</w:t>
            </w:r>
          </w:p>
          <w:p w:rsidR="00000000" w:rsidRDefault="009C1C61">
            <w:pPr>
              <w:pStyle w:val="a2"/>
              <w:ind w:right="113"/>
              <w:jc w:val="right"/>
              <w:rPr>
                <w:noProof/>
                <w:snapToGrid/>
              </w:rPr>
            </w:pPr>
            <w:r>
              <w:rPr>
                <w:noProof/>
                <w:snapToGrid/>
              </w:rPr>
              <w:t>808,137</w:t>
            </w:r>
          </w:p>
          <w:p w:rsidR="00000000" w:rsidRDefault="009C1C61">
            <w:pPr>
              <w:pStyle w:val="a2"/>
              <w:ind w:right="113"/>
              <w:jc w:val="right"/>
              <w:rPr>
                <w:noProof/>
                <w:snapToGrid/>
              </w:rPr>
            </w:pPr>
            <w:r>
              <w:rPr>
                <w:noProof/>
                <w:snapToGrid/>
              </w:rPr>
              <w:t>758,352</w:t>
            </w:r>
          </w:p>
          <w:p w:rsidR="00000000" w:rsidRDefault="009C1C61">
            <w:pPr>
              <w:pStyle w:val="a2"/>
              <w:ind w:right="113"/>
              <w:jc w:val="right"/>
              <w:rPr>
                <w:noProof/>
                <w:snapToGrid/>
              </w:rPr>
            </w:pPr>
            <w:r>
              <w:rPr>
                <w:noProof/>
                <w:snapToGrid/>
              </w:rPr>
              <w:t>697,752</w:t>
            </w:r>
          </w:p>
          <w:p w:rsidR="00000000" w:rsidRDefault="009C1C61">
            <w:pPr>
              <w:pStyle w:val="a2"/>
              <w:ind w:right="113"/>
              <w:jc w:val="right"/>
              <w:rPr>
                <w:noProof/>
                <w:snapToGrid/>
              </w:rPr>
            </w:pPr>
            <w:r>
              <w:rPr>
                <w:noProof/>
                <w:snapToGrid/>
              </w:rPr>
              <w:t>628,929</w:t>
            </w:r>
          </w:p>
          <w:p w:rsidR="00000000" w:rsidRDefault="009C1C61">
            <w:pPr>
              <w:pStyle w:val="a2"/>
              <w:ind w:right="113"/>
              <w:jc w:val="right"/>
              <w:rPr>
                <w:noProof/>
                <w:snapToGrid/>
              </w:rPr>
            </w:pPr>
            <w:r>
              <w:rPr>
                <w:noProof/>
                <w:snapToGrid/>
              </w:rPr>
              <w:t>566,721</w:t>
            </w:r>
          </w:p>
          <w:p w:rsidR="00000000" w:rsidRDefault="009C1C61">
            <w:pPr>
              <w:pStyle w:val="a2"/>
              <w:ind w:right="113"/>
              <w:jc w:val="right"/>
              <w:rPr>
                <w:noProof/>
                <w:snapToGrid/>
              </w:rPr>
            </w:pPr>
            <w:r>
              <w:rPr>
                <w:noProof/>
                <w:snapToGrid/>
              </w:rPr>
              <w:t>526,683</w:t>
            </w:r>
          </w:p>
        </w:tc>
        <w:tc>
          <w:tcPr>
            <w:tcW w:w="1396" w:type="dxa"/>
          </w:tcPr>
          <w:p w:rsidR="00000000" w:rsidRDefault="009C1C61">
            <w:pPr>
              <w:pStyle w:val="a2"/>
              <w:ind w:right="113"/>
              <w:jc w:val="right"/>
              <w:rPr>
                <w:noProof/>
                <w:snapToGrid/>
              </w:rPr>
            </w:pPr>
            <w:r>
              <w:rPr>
                <w:noProof/>
                <w:snapToGrid/>
              </w:rPr>
              <w:t>870,199</w:t>
            </w:r>
          </w:p>
          <w:p w:rsidR="00000000" w:rsidRDefault="009C1C61">
            <w:pPr>
              <w:pStyle w:val="a2"/>
              <w:ind w:right="113"/>
              <w:jc w:val="right"/>
              <w:rPr>
                <w:noProof/>
                <w:snapToGrid/>
              </w:rPr>
            </w:pPr>
            <w:r>
              <w:rPr>
                <w:noProof/>
                <w:snapToGrid/>
              </w:rPr>
              <w:t>838,137</w:t>
            </w:r>
          </w:p>
          <w:p w:rsidR="00000000" w:rsidRDefault="009C1C61">
            <w:pPr>
              <w:pStyle w:val="a2"/>
              <w:ind w:right="113"/>
              <w:jc w:val="right"/>
              <w:rPr>
                <w:noProof/>
                <w:snapToGrid/>
              </w:rPr>
            </w:pPr>
            <w:r>
              <w:rPr>
                <w:noProof/>
                <w:snapToGrid/>
              </w:rPr>
              <w:t>803,352</w:t>
            </w:r>
          </w:p>
          <w:p w:rsidR="00000000" w:rsidRDefault="009C1C61">
            <w:pPr>
              <w:pStyle w:val="a2"/>
              <w:ind w:right="113"/>
              <w:jc w:val="right"/>
              <w:rPr>
                <w:noProof/>
                <w:snapToGrid/>
              </w:rPr>
            </w:pPr>
            <w:r>
              <w:rPr>
                <w:noProof/>
                <w:snapToGrid/>
              </w:rPr>
              <w:t>757,752</w:t>
            </w:r>
          </w:p>
          <w:p w:rsidR="00000000" w:rsidRDefault="009C1C61">
            <w:pPr>
              <w:pStyle w:val="a2"/>
              <w:ind w:right="113"/>
              <w:jc w:val="right"/>
              <w:rPr>
                <w:noProof/>
                <w:snapToGrid/>
              </w:rPr>
            </w:pPr>
            <w:r>
              <w:rPr>
                <w:noProof/>
                <w:snapToGrid/>
              </w:rPr>
              <w:t>703,929</w:t>
            </w:r>
          </w:p>
          <w:p w:rsidR="00000000" w:rsidRDefault="009C1C61">
            <w:pPr>
              <w:pStyle w:val="a2"/>
              <w:ind w:right="113"/>
              <w:jc w:val="right"/>
              <w:rPr>
                <w:noProof/>
                <w:snapToGrid/>
              </w:rPr>
            </w:pPr>
            <w:r>
              <w:rPr>
                <w:noProof/>
                <w:snapToGrid/>
              </w:rPr>
              <w:t>656,721</w:t>
            </w:r>
          </w:p>
          <w:p w:rsidR="00000000" w:rsidRDefault="009C1C61">
            <w:pPr>
              <w:pStyle w:val="a2"/>
              <w:ind w:right="113"/>
              <w:jc w:val="right"/>
              <w:rPr>
                <w:noProof/>
                <w:snapToGrid/>
              </w:rPr>
            </w:pPr>
            <w:r>
              <w:rPr>
                <w:noProof/>
                <w:snapToGrid/>
              </w:rPr>
              <w:t>631,683</w:t>
            </w:r>
          </w:p>
        </w:tc>
      </w:tr>
    </w:tbl>
    <w:p w:rsidR="00000000" w:rsidRDefault="009C1C61">
      <w:pPr>
        <w:pStyle w:val="EndnoteText"/>
        <w:spacing w:before="120" w:line="240" w:lineRule="auto"/>
        <w:ind w:left="1530" w:hanging="1280"/>
        <w:rPr>
          <w:snapToGrid/>
          <w:sz w:val="20"/>
        </w:rPr>
      </w:pPr>
      <w:r>
        <w:rPr>
          <w:rFonts w:hint="eastAsia"/>
          <w:snapToGrid/>
          <w:sz w:val="20"/>
          <w:u w:val="single"/>
        </w:rPr>
        <w:t>资料来源</w:t>
      </w:r>
      <w:r>
        <w:rPr>
          <w:rFonts w:hint="eastAsia"/>
          <w:snapToGrid/>
          <w:sz w:val="20"/>
        </w:rPr>
        <w:t>：住房政策司，基于下列参数：</w:t>
      </w:r>
    </w:p>
    <w:p w:rsidR="00000000" w:rsidRDefault="009C1C61">
      <w:pPr>
        <w:pStyle w:val="EndnoteText"/>
        <w:tabs>
          <w:tab w:val="left" w:pos="1372"/>
        </w:tabs>
        <w:spacing w:line="240" w:lineRule="auto"/>
        <w:ind w:left="1372" w:hanging="622"/>
        <w:rPr>
          <w:snapToGrid/>
          <w:sz w:val="20"/>
        </w:rPr>
      </w:pPr>
      <w:r>
        <w:rPr>
          <w:snapToGrid/>
          <w:sz w:val="20"/>
        </w:rPr>
        <w:t>*</w:t>
      </w:r>
      <w:r>
        <w:rPr>
          <w:snapToGrid/>
          <w:sz w:val="20"/>
        </w:rPr>
        <w:tab/>
      </w:r>
      <w:r>
        <w:rPr>
          <w:rFonts w:hint="eastAsia"/>
          <w:snapToGrid/>
          <w:sz w:val="20"/>
        </w:rPr>
        <w:t>根据</w:t>
      </w:r>
      <w:r>
        <w:rPr>
          <w:rFonts w:hint="eastAsia"/>
          <w:snapToGrid/>
          <w:sz w:val="20"/>
        </w:rPr>
        <w:t>1994</w:t>
      </w:r>
      <w:r>
        <w:rPr>
          <w:rFonts w:hint="eastAsia"/>
          <w:snapToGrid/>
          <w:sz w:val="20"/>
        </w:rPr>
        <w:t>年</w:t>
      </w:r>
      <w:r>
        <w:rPr>
          <w:rFonts w:hint="eastAsia"/>
          <w:snapToGrid/>
          <w:sz w:val="20"/>
        </w:rPr>
        <w:t>6</w:t>
      </w:r>
      <w:r>
        <w:rPr>
          <w:rFonts w:hint="eastAsia"/>
          <w:snapToGrid/>
          <w:sz w:val="20"/>
        </w:rPr>
        <w:t>月第</w:t>
      </w:r>
      <w:r>
        <w:rPr>
          <w:rFonts w:hint="eastAsia"/>
          <w:snapToGrid/>
          <w:sz w:val="20"/>
        </w:rPr>
        <w:t>16/94</w:t>
      </w:r>
      <w:r>
        <w:rPr>
          <w:rFonts w:hint="eastAsia"/>
          <w:snapToGrid/>
          <w:sz w:val="20"/>
        </w:rPr>
        <w:t>号工作文件，大学促进协会</w:t>
      </w:r>
      <w:r>
        <w:rPr>
          <w:rFonts w:hint="eastAsia"/>
          <w:snapToGrid/>
          <w:sz w:val="20"/>
        </w:rPr>
        <w:t>Joan Macdonald</w:t>
      </w:r>
      <w:r>
        <w:rPr>
          <w:rFonts w:hint="eastAsia"/>
          <w:snapToGrid/>
          <w:sz w:val="20"/>
        </w:rPr>
        <w:t>的《还需要多少住房？》所载估计而确定的缺口。</w:t>
      </w:r>
    </w:p>
    <w:p w:rsidR="00000000" w:rsidRDefault="009C1C61">
      <w:pPr>
        <w:pStyle w:val="EndnoteText"/>
        <w:tabs>
          <w:tab w:val="left" w:pos="1372"/>
        </w:tabs>
        <w:spacing w:line="240" w:lineRule="auto"/>
        <w:ind w:left="1372" w:hanging="622"/>
        <w:rPr>
          <w:snapToGrid/>
          <w:sz w:val="20"/>
        </w:rPr>
      </w:pPr>
      <w:r>
        <w:rPr>
          <w:snapToGrid/>
          <w:sz w:val="20"/>
        </w:rPr>
        <w:t>**</w:t>
      </w:r>
      <w:r>
        <w:rPr>
          <w:snapToGrid/>
          <w:sz w:val="20"/>
        </w:rPr>
        <w:tab/>
      </w:r>
      <w:r>
        <w:rPr>
          <w:rFonts w:hint="eastAsia"/>
          <w:snapToGrid/>
          <w:sz w:val="20"/>
        </w:rPr>
        <w:t>公共和私有部门已经获准并开始实施的建筑工程，新工程，统计局经济统计处。</w:t>
      </w:r>
    </w:p>
    <w:p w:rsidR="00000000" w:rsidRDefault="009C1C61">
      <w:pPr>
        <w:pStyle w:val="EndnoteText"/>
        <w:tabs>
          <w:tab w:val="left" w:pos="1372"/>
        </w:tabs>
        <w:spacing w:line="240" w:lineRule="auto"/>
        <w:ind w:left="1372" w:hanging="622"/>
        <w:rPr>
          <w:rFonts w:hint="eastAsia"/>
          <w:snapToGrid/>
          <w:sz w:val="20"/>
        </w:rPr>
      </w:pPr>
      <w:r>
        <w:rPr>
          <w:snapToGrid/>
          <w:sz w:val="20"/>
        </w:rPr>
        <w:t>***</w:t>
      </w:r>
      <w:r>
        <w:rPr>
          <w:snapToGrid/>
          <w:sz w:val="20"/>
        </w:rPr>
        <w:tab/>
        <w:t>(3a)</w:t>
      </w:r>
      <w:r>
        <w:rPr>
          <w:rFonts w:hint="eastAsia"/>
          <w:snapToGrid/>
          <w:sz w:val="20"/>
        </w:rPr>
        <w:t>和</w:t>
      </w:r>
      <w:r>
        <w:rPr>
          <w:snapToGrid/>
          <w:sz w:val="20"/>
        </w:rPr>
        <w:t>(3b)</w:t>
      </w:r>
      <w:r>
        <w:rPr>
          <w:snapToGrid/>
          <w:sz w:val="20"/>
        </w:rPr>
        <w:t>：</w:t>
      </w:r>
      <w:r>
        <w:rPr>
          <w:snapToGrid/>
          <w:sz w:val="20"/>
        </w:rPr>
        <w:t xml:space="preserve"> </w:t>
      </w:r>
      <w:r>
        <w:rPr>
          <w:rFonts w:hint="eastAsia"/>
          <w:snapToGrid/>
          <w:sz w:val="20"/>
        </w:rPr>
        <w:t>根据居民户数量和替换住房数量估计出的所需住房单元。</w:t>
      </w:r>
    </w:p>
    <w:p w:rsidR="00000000" w:rsidRDefault="009C1C61">
      <w:pPr>
        <w:pStyle w:val="EndnoteText"/>
        <w:tabs>
          <w:tab w:val="left" w:pos="1372"/>
        </w:tabs>
        <w:spacing w:after="240" w:line="240" w:lineRule="auto"/>
        <w:ind w:left="1372" w:hanging="622"/>
        <w:rPr>
          <w:rFonts w:hint="eastAsia"/>
          <w:snapToGrid/>
          <w:sz w:val="20"/>
        </w:rPr>
      </w:pPr>
      <w:r>
        <w:rPr>
          <w:snapToGrid/>
          <w:sz w:val="20"/>
        </w:rPr>
        <w:t>****</w:t>
      </w:r>
      <w:r>
        <w:rPr>
          <w:snapToGrid/>
          <w:sz w:val="20"/>
        </w:rPr>
        <w:tab/>
        <w:t>(4a)</w:t>
      </w:r>
      <w:r>
        <w:rPr>
          <w:rFonts w:hint="eastAsia"/>
          <w:snapToGrid/>
          <w:sz w:val="20"/>
        </w:rPr>
        <w:t>和</w:t>
      </w:r>
      <w:r>
        <w:rPr>
          <w:snapToGrid/>
          <w:sz w:val="20"/>
        </w:rPr>
        <w:t>(4b)</w:t>
      </w:r>
      <w:r>
        <w:rPr>
          <w:snapToGrid/>
          <w:sz w:val="20"/>
        </w:rPr>
        <w:t>：</w:t>
      </w:r>
      <w:r>
        <w:rPr>
          <w:snapToGrid/>
          <w:sz w:val="20"/>
        </w:rPr>
        <w:t xml:space="preserve"> </w:t>
      </w:r>
      <w:r>
        <w:rPr>
          <w:rFonts w:hint="eastAsia"/>
          <w:snapToGrid/>
          <w:sz w:val="20"/>
        </w:rPr>
        <w:t>住房短缺估计数。</w:t>
      </w:r>
    </w:p>
    <w:p w:rsidR="00000000" w:rsidRDefault="009C1C61">
      <w:pPr>
        <w:pStyle w:val="Heading4"/>
        <w:rPr>
          <w:rFonts w:ascii="Time New Roman" w:eastAsia="SimHei" w:hAnsi="Time New Roman"/>
          <w:u w:val="none"/>
        </w:rPr>
      </w:pPr>
      <w:r>
        <w:rPr>
          <w:rFonts w:ascii="Time New Roman" w:eastAsia="SimHei" w:hAnsi="Time New Roman" w:hint="eastAsia"/>
          <w:u w:val="none"/>
        </w:rPr>
        <w:t>住在没有基本服务的不合格住房中的个人和居民户的数量</w:t>
      </w:r>
    </w:p>
    <w:p w:rsidR="00000000" w:rsidRDefault="009C1C61">
      <w:pPr>
        <w:rPr>
          <w:snapToGrid/>
        </w:rPr>
      </w:pPr>
      <w:r>
        <w:rPr>
          <w:rFonts w:hint="eastAsia"/>
          <w:snapToGrid/>
        </w:rPr>
        <w:tab/>
      </w:r>
      <w:r>
        <w:rPr>
          <w:snapToGrid/>
        </w:rPr>
        <w:t xml:space="preserve">545. </w:t>
      </w:r>
      <w:r>
        <w:rPr>
          <w:rFonts w:hint="eastAsia"/>
          <w:snapToGrid/>
        </w:rPr>
        <w:t xml:space="preserve"> </w:t>
      </w:r>
      <w:r>
        <w:rPr>
          <w:rFonts w:hint="eastAsia"/>
          <w:snapToGrid/>
        </w:rPr>
        <w:t>规划与合作部社经特征调查的统计材料，是每年根据住房类型系统记录居民</w:t>
      </w:r>
      <w:r>
        <w:rPr>
          <w:rFonts w:hint="eastAsia"/>
          <w:snapToGrid/>
        </w:rPr>
        <w:t>户</w:t>
      </w:r>
      <w:r>
        <w:rPr>
          <w:rFonts w:hint="eastAsia"/>
          <w:snapToGrid/>
        </w:rPr>
        <w:t>(</w:t>
      </w:r>
      <w:r>
        <w:rPr>
          <w:rFonts w:hint="eastAsia"/>
          <w:snapToGrid/>
        </w:rPr>
        <w:t>为此，把居民户界定为一群不管是否有亲属关系而同住同吃的人</w:t>
      </w:r>
      <w:r>
        <w:rPr>
          <w:rFonts w:hint="eastAsia"/>
          <w:snapToGrid/>
        </w:rPr>
        <w:t>)</w:t>
      </w:r>
      <w:r>
        <w:rPr>
          <w:rFonts w:hint="eastAsia"/>
          <w:snapToGrid/>
        </w:rPr>
        <w:t>数量的出版物编制的，每两年在全国收集一回。它们表明了</w:t>
      </w:r>
      <w:r>
        <w:rPr>
          <w:snapToGrid/>
        </w:rPr>
        <w:t>1990</w:t>
      </w:r>
      <w:r>
        <w:rPr>
          <w:rFonts w:hint="eastAsia"/>
          <w:snapToGrid/>
        </w:rPr>
        <w:t>至</w:t>
      </w:r>
      <w:r>
        <w:rPr>
          <w:rFonts w:hint="eastAsia"/>
          <w:snapToGrid/>
        </w:rPr>
        <w:t>19</w:t>
      </w:r>
      <w:r>
        <w:rPr>
          <w:snapToGrid/>
        </w:rPr>
        <w:t>98</w:t>
      </w:r>
      <w:r>
        <w:rPr>
          <w:rFonts w:hint="eastAsia"/>
          <w:snapToGrid/>
        </w:rPr>
        <w:t>年期间所参照的指标趋势。</w:t>
      </w:r>
    </w:p>
    <w:p w:rsidR="00000000" w:rsidRDefault="009C1C61">
      <w:pPr>
        <w:rPr>
          <w:snapToGrid/>
          <w:spacing w:val="6"/>
        </w:rPr>
      </w:pPr>
      <w:r>
        <w:rPr>
          <w:rFonts w:hint="eastAsia"/>
          <w:snapToGrid/>
          <w:spacing w:val="6"/>
        </w:rPr>
        <w:tab/>
      </w:r>
      <w:r>
        <w:rPr>
          <w:snapToGrid/>
          <w:spacing w:val="6"/>
        </w:rPr>
        <w:t xml:space="preserve">546. </w:t>
      </w:r>
      <w:r>
        <w:rPr>
          <w:rFonts w:hint="eastAsia"/>
          <w:snapToGrid/>
          <w:spacing w:val="6"/>
        </w:rPr>
        <w:t xml:space="preserve"> </w:t>
      </w:r>
      <w:r>
        <w:rPr>
          <w:rFonts w:hint="eastAsia"/>
          <w:snapToGrid/>
          <w:spacing w:val="6"/>
        </w:rPr>
        <w:t>虽然贫困户的平均人数与国家的平均数不合，可差别也没有大到使根据全国平均数做出的人口粗略估计失效的地步。人口粗略估计还可以充分可靠地表明整个十年中出现的各种主要趋势。人口结构转型过程在不同社会经济阶层都普遍存在，因此生育率差别的意义也就不那么大了，而且还不要忘记物质和卫生设施极度匮乏问题主要发生在农村地区，因为农村地区居民户由于受迁徙模式的</w:t>
      </w:r>
      <w:r>
        <w:rPr>
          <w:rFonts w:hint="eastAsia"/>
          <w:snapToGrid/>
          <w:spacing w:val="6"/>
        </w:rPr>
        <w:t>影响而规模往往比较小。</w:t>
      </w:r>
    </w:p>
    <w:p w:rsidR="00000000" w:rsidRDefault="009C1C61">
      <w:pPr>
        <w:rPr>
          <w:snapToGrid/>
        </w:rPr>
      </w:pPr>
      <w:r>
        <w:rPr>
          <w:rFonts w:hint="eastAsia"/>
          <w:snapToGrid/>
        </w:rPr>
        <w:tab/>
        <w:t xml:space="preserve">547.  </w:t>
      </w:r>
      <w:r>
        <w:rPr>
          <w:rFonts w:hint="eastAsia"/>
          <w:snapToGrid/>
        </w:rPr>
        <w:t>关于卫生服务问题，据社经特征调查的统计材料来看，</w:t>
      </w:r>
      <w:r>
        <w:rPr>
          <w:snapToGrid/>
        </w:rPr>
        <w:t>1998</w:t>
      </w:r>
      <w:r>
        <w:rPr>
          <w:rFonts w:hint="eastAsia"/>
          <w:snapToGrid/>
        </w:rPr>
        <w:t>年全国登记的住户共有</w:t>
      </w:r>
      <w:r>
        <w:rPr>
          <w:rFonts w:hint="eastAsia"/>
          <w:snapToGrid/>
        </w:rPr>
        <w:t>370</w:t>
      </w:r>
      <w:r>
        <w:rPr>
          <w:rFonts w:hint="eastAsia"/>
          <w:snapToGrid/>
        </w:rPr>
        <w:t>万个，其中</w:t>
      </w:r>
      <w:r>
        <w:rPr>
          <w:snapToGrid/>
        </w:rPr>
        <w:t>653,000</w:t>
      </w:r>
      <w:r>
        <w:rPr>
          <w:rFonts w:hint="eastAsia"/>
          <w:snapToGrid/>
        </w:rPr>
        <w:t>户住在靠粪坑或粪池排放污水或根本没污水排放系统的房屋中</w:t>
      </w:r>
      <w:r>
        <w:rPr>
          <w:snapToGrid/>
        </w:rPr>
        <w:t>(</w:t>
      </w:r>
      <w:r>
        <w:rPr>
          <w:rFonts w:hint="eastAsia"/>
          <w:snapToGrid/>
        </w:rPr>
        <w:t>占全国总数的</w:t>
      </w:r>
      <w:r>
        <w:rPr>
          <w:snapToGrid/>
        </w:rPr>
        <w:t>17%)</w:t>
      </w:r>
      <w:r>
        <w:rPr>
          <w:rFonts w:hint="eastAsia"/>
          <w:snapToGrid/>
        </w:rPr>
        <w:t>。这就是说，与</w:t>
      </w:r>
      <w:r>
        <w:rPr>
          <w:rFonts w:hint="eastAsia"/>
          <w:snapToGrid/>
        </w:rPr>
        <w:t>1990</w:t>
      </w:r>
      <w:r>
        <w:rPr>
          <w:rFonts w:hint="eastAsia"/>
          <w:snapToGrid/>
        </w:rPr>
        <w:t>年相比，累积下降了</w:t>
      </w:r>
      <w:r>
        <w:rPr>
          <w:snapToGrid/>
        </w:rPr>
        <w:t>20%</w:t>
      </w:r>
      <w:r>
        <w:rPr>
          <w:rFonts w:hint="eastAsia"/>
          <w:snapToGrid/>
        </w:rPr>
        <w:t>，而同期有阴沟连接设施的住户去增加了</w:t>
      </w:r>
      <w:r>
        <w:rPr>
          <w:snapToGrid/>
        </w:rPr>
        <w:t>32%</w:t>
      </w:r>
      <w:r>
        <w:rPr>
          <w:rFonts w:hint="eastAsia"/>
          <w:snapToGrid/>
        </w:rPr>
        <w:t>，有化粪池的住户增加了</w:t>
      </w:r>
      <w:r>
        <w:rPr>
          <w:snapToGrid/>
        </w:rPr>
        <w:t>18%(</w:t>
      </w:r>
      <w:r>
        <w:rPr>
          <w:rFonts w:hint="eastAsia"/>
          <w:snapToGrid/>
        </w:rPr>
        <w:t>见表</w:t>
      </w:r>
      <w:r>
        <w:rPr>
          <w:snapToGrid/>
        </w:rPr>
        <w:t>25)</w:t>
      </w:r>
      <w:r>
        <w:rPr>
          <w:rFonts w:hint="eastAsia"/>
          <w:snapToGrid/>
        </w:rPr>
        <w:t>。</w:t>
      </w:r>
    </w:p>
    <w:p w:rsidR="00000000" w:rsidRDefault="009C1C61">
      <w:pPr>
        <w:pStyle w:val="Heading3"/>
        <w:spacing w:before="180" w:after="120"/>
        <w:rPr>
          <w:rFonts w:hint="eastAsia"/>
        </w:rPr>
      </w:pPr>
      <w:r>
        <w:rPr>
          <w:rFonts w:hint="eastAsia"/>
        </w:rPr>
        <w:t>表</w:t>
      </w:r>
      <w:r>
        <w:t xml:space="preserve"> </w:t>
      </w:r>
      <w:r>
        <w:rPr>
          <w:rFonts w:hint="eastAsia"/>
        </w:rPr>
        <w:t xml:space="preserve"> </w:t>
      </w:r>
      <w:r>
        <w:rPr>
          <w:b/>
          <w:bCs/>
        </w:rPr>
        <w:t>25</w:t>
      </w:r>
      <w:r>
        <w:rPr>
          <w:b/>
          <w:bCs/>
        </w:rPr>
        <w:br/>
        <w:t>1990-1998</w:t>
      </w:r>
      <w:r>
        <w:rPr>
          <w:rFonts w:hint="eastAsia"/>
        </w:rPr>
        <w:t>年智利根据住房卫生条件分列的住户数</w:t>
      </w:r>
    </w:p>
    <w:tbl>
      <w:tblPr>
        <w:tblW w:w="958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47"/>
        <w:gridCol w:w="1092"/>
        <w:gridCol w:w="1092"/>
        <w:gridCol w:w="1092"/>
        <w:gridCol w:w="1092"/>
        <w:gridCol w:w="1092"/>
        <w:gridCol w:w="1280"/>
      </w:tblGrid>
      <w:tr w:rsidR="00000000">
        <w:tblPrEx>
          <w:tblCellMar>
            <w:top w:w="0" w:type="dxa"/>
            <w:bottom w:w="0" w:type="dxa"/>
          </w:tblCellMar>
        </w:tblPrEx>
        <w:trPr>
          <w:jc w:val="center"/>
        </w:trPr>
        <w:tc>
          <w:tcPr>
            <w:tcW w:w="2847" w:type="dxa"/>
            <w:vAlign w:val="center"/>
          </w:tcPr>
          <w:p w:rsidR="00000000" w:rsidRDefault="009C1C61">
            <w:pPr>
              <w:pStyle w:val="a2"/>
              <w:jc w:val="center"/>
              <w:rPr>
                <w:rFonts w:hint="eastAsia"/>
                <w:noProof/>
                <w:snapToGrid/>
                <w:sz w:val="18"/>
              </w:rPr>
            </w:pPr>
            <w:r>
              <w:rPr>
                <w:rFonts w:hint="eastAsia"/>
                <w:noProof/>
                <w:snapToGrid/>
                <w:sz w:val="18"/>
              </w:rPr>
              <w:t>排泄物处理</w:t>
            </w:r>
          </w:p>
        </w:tc>
        <w:tc>
          <w:tcPr>
            <w:tcW w:w="1092" w:type="dxa"/>
            <w:vAlign w:val="center"/>
          </w:tcPr>
          <w:p w:rsidR="00000000" w:rsidRDefault="009C1C61">
            <w:pPr>
              <w:pStyle w:val="a2"/>
              <w:jc w:val="center"/>
              <w:rPr>
                <w:noProof/>
                <w:snapToGrid/>
                <w:sz w:val="18"/>
              </w:rPr>
            </w:pPr>
            <w:r>
              <w:rPr>
                <w:noProof/>
                <w:snapToGrid/>
                <w:sz w:val="18"/>
              </w:rPr>
              <w:t>1990</w:t>
            </w:r>
          </w:p>
        </w:tc>
        <w:tc>
          <w:tcPr>
            <w:tcW w:w="1092" w:type="dxa"/>
            <w:vAlign w:val="center"/>
          </w:tcPr>
          <w:p w:rsidR="00000000" w:rsidRDefault="009C1C61">
            <w:pPr>
              <w:pStyle w:val="a2"/>
              <w:jc w:val="center"/>
              <w:rPr>
                <w:noProof/>
                <w:snapToGrid/>
                <w:sz w:val="18"/>
              </w:rPr>
            </w:pPr>
            <w:r>
              <w:rPr>
                <w:noProof/>
                <w:snapToGrid/>
                <w:sz w:val="18"/>
              </w:rPr>
              <w:t>1992</w:t>
            </w:r>
          </w:p>
        </w:tc>
        <w:tc>
          <w:tcPr>
            <w:tcW w:w="1092" w:type="dxa"/>
            <w:vAlign w:val="center"/>
          </w:tcPr>
          <w:p w:rsidR="00000000" w:rsidRDefault="009C1C61">
            <w:pPr>
              <w:pStyle w:val="a2"/>
              <w:jc w:val="center"/>
              <w:rPr>
                <w:noProof/>
                <w:snapToGrid/>
                <w:sz w:val="18"/>
              </w:rPr>
            </w:pPr>
            <w:r>
              <w:rPr>
                <w:noProof/>
                <w:snapToGrid/>
                <w:sz w:val="18"/>
              </w:rPr>
              <w:t>1994</w:t>
            </w:r>
          </w:p>
        </w:tc>
        <w:tc>
          <w:tcPr>
            <w:tcW w:w="1092" w:type="dxa"/>
            <w:vAlign w:val="center"/>
          </w:tcPr>
          <w:p w:rsidR="00000000" w:rsidRDefault="009C1C61">
            <w:pPr>
              <w:pStyle w:val="a2"/>
              <w:jc w:val="center"/>
              <w:rPr>
                <w:noProof/>
                <w:snapToGrid/>
                <w:sz w:val="18"/>
              </w:rPr>
            </w:pPr>
            <w:r>
              <w:rPr>
                <w:noProof/>
                <w:snapToGrid/>
                <w:sz w:val="18"/>
              </w:rPr>
              <w:t>1996</w:t>
            </w:r>
          </w:p>
        </w:tc>
        <w:tc>
          <w:tcPr>
            <w:tcW w:w="1092" w:type="dxa"/>
            <w:vAlign w:val="center"/>
          </w:tcPr>
          <w:p w:rsidR="00000000" w:rsidRDefault="009C1C61">
            <w:pPr>
              <w:pStyle w:val="a2"/>
              <w:jc w:val="center"/>
              <w:rPr>
                <w:noProof/>
                <w:snapToGrid/>
                <w:sz w:val="18"/>
              </w:rPr>
            </w:pPr>
            <w:r>
              <w:rPr>
                <w:noProof/>
                <w:snapToGrid/>
                <w:sz w:val="18"/>
              </w:rPr>
              <w:t>1998</w:t>
            </w:r>
          </w:p>
        </w:tc>
        <w:tc>
          <w:tcPr>
            <w:tcW w:w="1280" w:type="dxa"/>
            <w:vAlign w:val="center"/>
          </w:tcPr>
          <w:p w:rsidR="00000000" w:rsidRDefault="009C1C61">
            <w:pPr>
              <w:pStyle w:val="a2"/>
              <w:jc w:val="center"/>
              <w:rPr>
                <w:rFonts w:hint="eastAsia"/>
                <w:noProof/>
                <w:snapToGrid/>
                <w:sz w:val="18"/>
              </w:rPr>
            </w:pPr>
            <w:r>
              <w:rPr>
                <w:noProof/>
                <w:snapToGrid/>
                <w:sz w:val="18"/>
              </w:rPr>
              <w:t>1990-98</w:t>
            </w:r>
            <w:r>
              <w:rPr>
                <w:rFonts w:hint="eastAsia"/>
                <w:noProof/>
                <w:snapToGrid/>
                <w:sz w:val="18"/>
              </w:rPr>
              <w:br/>
            </w:r>
            <w:r>
              <w:rPr>
                <w:rFonts w:hint="eastAsia"/>
                <w:noProof/>
                <w:snapToGrid/>
                <w:sz w:val="18"/>
              </w:rPr>
              <w:t>百分比变化</w:t>
            </w:r>
          </w:p>
        </w:tc>
      </w:tr>
      <w:tr w:rsidR="00000000">
        <w:tblPrEx>
          <w:tblCellMar>
            <w:top w:w="0" w:type="dxa"/>
            <w:bottom w:w="0" w:type="dxa"/>
          </w:tblCellMar>
        </w:tblPrEx>
        <w:trPr>
          <w:jc w:val="center"/>
        </w:trPr>
        <w:tc>
          <w:tcPr>
            <w:tcW w:w="2847" w:type="dxa"/>
            <w:vAlign w:val="center"/>
          </w:tcPr>
          <w:p w:rsidR="00000000" w:rsidRDefault="009C1C61">
            <w:pPr>
              <w:pStyle w:val="a2"/>
              <w:ind w:left="113"/>
              <w:rPr>
                <w:rFonts w:hint="eastAsia"/>
                <w:noProof/>
                <w:snapToGrid/>
                <w:sz w:val="18"/>
              </w:rPr>
            </w:pPr>
            <w:r>
              <w:rPr>
                <w:rFonts w:hint="eastAsia"/>
                <w:noProof/>
                <w:snapToGrid/>
                <w:sz w:val="18"/>
              </w:rPr>
              <w:t>阴</w:t>
            </w:r>
            <w:r>
              <w:rPr>
                <w:rFonts w:hint="eastAsia"/>
                <w:noProof/>
                <w:snapToGrid/>
                <w:sz w:val="18"/>
              </w:rPr>
              <w:t>沟</w:t>
            </w:r>
          </w:p>
        </w:tc>
        <w:tc>
          <w:tcPr>
            <w:tcW w:w="1092" w:type="dxa"/>
            <w:vAlign w:val="center"/>
          </w:tcPr>
          <w:p w:rsidR="00000000" w:rsidRDefault="009C1C61">
            <w:pPr>
              <w:pStyle w:val="a2"/>
              <w:ind w:right="57"/>
              <w:jc w:val="right"/>
              <w:rPr>
                <w:noProof/>
                <w:snapToGrid/>
                <w:sz w:val="18"/>
              </w:rPr>
            </w:pPr>
            <w:r>
              <w:rPr>
                <w:noProof/>
                <w:snapToGrid/>
                <w:sz w:val="18"/>
              </w:rPr>
              <w:t>2,198,152</w:t>
            </w:r>
          </w:p>
        </w:tc>
        <w:tc>
          <w:tcPr>
            <w:tcW w:w="1092" w:type="dxa"/>
            <w:vAlign w:val="center"/>
          </w:tcPr>
          <w:p w:rsidR="00000000" w:rsidRDefault="009C1C61">
            <w:pPr>
              <w:pStyle w:val="a2"/>
              <w:ind w:right="57"/>
              <w:jc w:val="right"/>
              <w:rPr>
                <w:noProof/>
                <w:snapToGrid/>
                <w:sz w:val="18"/>
              </w:rPr>
            </w:pPr>
            <w:r>
              <w:rPr>
                <w:noProof/>
                <w:snapToGrid/>
                <w:sz w:val="18"/>
              </w:rPr>
              <w:t>2,409,633</w:t>
            </w:r>
          </w:p>
        </w:tc>
        <w:tc>
          <w:tcPr>
            <w:tcW w:w="1092" w:type="dxa"/>
            <w:vAlign w:val="center"/>
          </w:tcPr>
          <w:p w:rsidR="00000000" w:rsidRDefault="009C1C61">
            <w:pPr>
              <w:pStyle w:val="a2"/>
              <w:ind w:right="57"/>
              <w:jc w:val="right"/>
              <w:rPr>
                <w:noProof/>
                <w:snapToGrid/>
                <w:sz w:val="18"/>
              </w:rPr>
            </w:pPr>
            <w:r>
              <w:rPr>
                <w:noProof/>
                <w:snapToGrid/>
                <w:sz w:val="18"/>
              </w:rPr>
              <w:t>2,595,960</w:t>
            </w:r>
          </w:p>
        </w:tc>
        <w:tc>
          <w:tcPr>
            <w:tcW w:w="1092" w:type="dxa"/>
            <w:vAlign w:val="center"/>
          </w:tcPr>
          <w:p w:rsidR="00000000" w:rsidRDefault="009C1C61">
            <w:pPr>
              <w:pStyle w:val="a2"/>
              <w:ind w:right="57"/>
              <w:jc w:val="right"/>
              <w:rPr>
                <w:noProof/>
                <w:snapToGrid/>
                <w:sz w:val="18"/>
              </w:rPr>
            </w:pPr>
            <w:r>
              <w:rPr>
                <w:noProof/>
                <w:snapToGrid/>
                <w:sz w:val="18"/>
              </w:rPr>
              <w:t>2,673,774</w:t>
            </w:r>
          </w:p>
        </w:tc>
        <w:tc>
          <w:tcPr>
            <w:tcW w:w="1092" w:type="dxa"/>
            <w:vAlign w:val="center"/>
          </w:tcPr>
          <w:p w:rsidR="00000000" w:rsidRDefault="009C1C61">
            <w:pPr>
              <w:pStyle w:val="a2"/>
              <w:ind w:right="57"/>
              <w:jc w:val="right"/>
              <w:rPr>
                <w:noProof/>
                <w:snapToGrid/>
                <w:sz w:val="18"/>
              </w:rPr>
            </w:pPr>
            <w:r>
              <w:rPr>
                <w:noProof/>
                <w:snapToGrid/>
                <w:sz w:val="18"/>
              </w:rPr>
              <w:t>2,894,019</w:t>
            </w:r>
          </w:p>
        </w:tc>
        <w:tc>
          <w:tcPr>
            <w:tcW w:w="1280" w:type="dxa"/>
            <w:vAlign w:val="center"/>
          </w:tcPr>
          <w:p w:rsidR="00000000" w:rsidRDefault="009C1C61">
            <w:pPr>
              <w:pStyle w:val="a2"/>
              <w:jc w:val="center"/>
              <w:rPr>
                <w:noProof/>
                <w:snapToGrid/>
                <w:sz w:val="18"/>
              </w:rPr>
            </w:pPr>
            <w:r>
              <w:rPr>
                <w:noProof/>
                <w:snapToGrid/>
                <w:sz w:val="18"/>
              </w:rPr>
              <w:t>31.7</w:t>
            </w:r>
          </w:p>
        </w:tc>
      </w:tr>
      <w:tr w:rsidR="00000000">
        <w:tblPrEx>
          <w:tblCellMar>
            <w:top w:w="0" w:type="dxa"/>
            <w:bottom w:w="0" w:type="dxa"/>
          </w:tblCellMar>
        </w:tblPrEx>
        <w:trPr>
          <w:jc w:val="center"/>
        </w:trPr>
        <w:tc>
          <w:tcPr>
            <w:tcW w:w="2847" w:type="dxa"/>
            <w:vAlign w:val="center"/>
          </w:tcPr>
          <w:p w:rsidR="00000000" w:rsidRDefault="009C1C61">
            <w:pPr>
              <w:pStyle w:val="a2"/>
              <w:ind w:left="113"/>
              <w:rPr>
                <w:rFonts w:hint="eastAsia"/>
                <w:noProof/>
                <w:snapToGrid/>
                <w:sz w:val="18"/>
              </w:rPr>
            </w:pPr>
            <w:r>
              <w:rPr>
                <w:rFonts w:hint="eastAsia"/>
                <w:noProof/>
                <w:snapToGrid/>
                <w:sz w:val="18"/>
              </w:rPr>
              <w:t>化粪池</w:t>
            </w:r>
          </w:p>
        </w:tc>
        <w:tc>
          <w:tcPr>
            <w:tcW w:w="1092" w:type="dxa"/>
            <w:vAlign w:val="center"/>
          </w:tcPr>
          <w:p w:rsidR="00000000" w:rsidRDefault="009C1C61">
            <w:pPr>
              <w:pStyle w:val="a2"/>
              <w:ind w:right="57"/>
              <w:jc w:val="right"/>
              <w:rPr>
                <w:noProof/>
                <w:snapToGrid/>
                <w:sz w:val="18"/>
              </w:rPr>
            </w:pPr>
            <w:r>
              <w:rPr>
                <w:noProof/>
                <w:snapToGrid/>
                <w:sz w:val="18"/>
              </w:rPr>
              <w:t>165,364</w:t>
            </w:r>
          </w:p>
        </w:tc>
        <w:tc>
          <w:tcPr>
            <w:tcW w:w="1092" w:type="dxa"/>
            <w:vAlign w:val="center"/>
          </w:tcPr>
          <w:p w:rsidR="00000000" w:rsidRDefault="009C1C61">
            <w:pPr>
              <w:pStyle w:val="a2"/>
              <w:ind w:right="57"/>
              <w:jc w:val="right"/>
              <w:rPr>
                <w:noProof/>
                <w:snapToGrid/>
                <w:sz w:val="18"/>
              </w:rPr>
            </w:pPr>
            <w:r>
              <w:rPr>
                <w:noProof/>
                <w:snapToGrid/>
                <w:sz w:val="18"/>
              </w:rPr>
              <w:t>137,745</w:t>
            </w:r>
          </w:p>
        </w:tc>
        <w:tc>
          <w:tcPr>
            <w:tcW w:w="1092" w:type="dxa"/>
            <w:vAlign w:val="center"/>
          </w:tcPr>
          <w:p w:rsidR="00000000" w:rsidRDefault="009C1C61">
            <w:pPr>
              <w:pStyle w:val="a2"/>
              <w:ind w:right="57"/>
              <w:jc w:val="right"/>
              <w:rPr>
                <w:noProof/>
                <w:snapToGrid/>
                <w:sz w:val="18"/>
              </w:rPr>
            </w:pPr>
            <w:r>
              <w:rPr>
                <w:noProof/>
                <w:snapToGrid/>
                <w:sz w:val="18"/>
              </w:rPr>
              <w:t>194,729</w:t>
            </w:r>
          </w:p>
        </w:tc>
        <w:tc>
          <w:tcPr>
            <w:tcW w:w="1092" w:type="dxa"/>
            <w:vAlign w:val="center"/>
          </w:tcPr>
          <w:p w:rsidR="00000000" w:rsidRDefault="009C1C61">
            <w:pPr>
              <w:pStyle w:val="a2"/>
              <w:ind w:right="57"/>
              <w:jc w:val="right"/>
              <w:rPr>
                <w:noProof/>
                <w:snapToGrid/>
                <w:sz w:val="18"/>
              </w:rPr>
            </w:pPr>
            <w:r>
              <w:rPr>
                <w:noProof/>
                <w:snapToGrid/>
                <w:sz w:val="18"/>
              </w:rPr>
              <w:t>187,237</w:t>
            </w:r>
          </w:p>
        </w:tc>
        <w:tc>
          <w:tcPr>
            <w:tcW w:w="1092" w:type="dxa"/>
            <w:vAlign w:val="center"/>
          </w:tcPr>
          <w:p w:rsidR="00000000" w:rsidRDefault="009C1C61">
            <w:pPr>
              <w:pStyle w:val="a2"/>
              <w:ind w:right="57"/>
              <w:jc w:val="right"/>
              <w:rPr>
                <w:noProof/>
                <w:snapToGrid/>
                <w:sz w:val="18"/>
              </w:rPr>
            </w:pPr>
            <w:r>
              <w:rPr>
                <w:noProof/>
                <w:snapToGrid/>
                <w:sz w:val="18"/>
              </w:rPr>
              <w:t>195,103</w:t>
            </w:r>
          </w:p>
        </w:tc>
        <w:tc>
          <w:tcPr>
            <w:tcW w:w="1280" w:type="dxa"/>
            <w:vAlign w:val="center"/>
          </w:tcPr>
          <w:p w:rsidR="00000000" w:rsidRDefault="009C1C61">
            <w:pPr>
              <w:pStyle w:val="a2"/>
              <w:jc w:val="center"/>
              <w:rPr>
                <w:noProof/>
                <w:snapToGrid/>
                <w:sz w:val="18"/>
              </w:rPr>
            </w:pPr>
            <w:r>
              <w:rPr>
                <w:noProof/>
                <w:snapToGrid/>
                <w:sz w:val="18"/>
              </w:rPr>
              <w:t>18.0</w:t>
            </w:r>
          </w:p>
        </w:tc>
      </w:tr>
      <w:tr w:rsidR="00000000">
        <w:tblPrEx>
          <w:tblCellMar>
            <w:top w:w="0" w:type="dxa"/>
            <w:bottom w:w="0" w:type="dxa"/>
          </w:tblCellMar>
        </w:tblPrEx>
        <w:trPr>
          <w:jc w:val="center"/>
        </w:trPr>
        <w:tc>
          <w:tcPr>
            <w:tcW w:w="2847" w:type="dxa"/>
            <w:vAlign w:val="center"/>
          </w:tcPr>
          <w:p w:rsidR="00000000" w:rsidRDefault="009C1C61">
            <w:pPr>
              <w:pStyle w:val="a2"/>
              <w:ind w:left="113"/>
              <w:rPr>
                <w:rFonts w:hint="eastAsia"/>
                <w:noProof/>
                <w:snapToGrid/>
                <w:sz w:val="18"/>
              </w:rPr>
            </w:pPr>
            <w:r>
              <w:rPr>
                <w:rFonts w:hint="eastAsia"/>
                <w:noProof/>
                <w:snapToGrid/>
                <w:sz w:val="18"/>
              </w:rPr>
              <w:t>粪坑、粪池、没有排放设备</w:t>
            </w:r>
          </w:p>
        </w:tc>
        <w:tc>
          <w:tcPr>
            <w:tcW w:w="1092" w:type="dxa"/>
            <w:vAlign w:val="center"/>
          </w:tcPr>
          <w:p w:rsidR="00000000" w:rsidRDefault="009C1C61">
            <w:pPr>
              <w:pStyle w:val="a2"/>
              <w:ind w:right="57"/>
              <w:jc w:val="right"/>
              <w:rPr>
                <w:noProof/>
                <w:snapToGrid/>
                <w:sz w:val="18"/>
              </w:rPr>
            </w:pPr>
            <w:r>
              <w:rPr>
                <w:noProof/>
                <w:snapToGrid/>
                <w:sz w:val="18"/>
              </w:rPr>
              <w:t>809,034</w:t>
            </w:r>
          </w:p>
        </w:tc>
        <w:tc>
          <w:tcPr>
            <w:tcW w:w="1092" w:type="dxa"/>
            <w:vAlign w:val="center"/>
          </w:tcPr>
          <w:p w:rsidR="00000000" w:rsidRDefault="009C1C61">
            <w:pPr>
              <w:pStyle w:val="a2"/>
              <w:ind w:right="57"/>
              <w:jc w:val="right"/>
              <w:rPr>
                <w:noProof/>
                <w:snapToGrid/>
                <w:sz w:val="18"/>
              </w:rPr>
            </w:pPr>
            <w:r>
              <w:rPr>
                <w:noProof/>
                <w:snapToGrid/>
                <w:sz w:val="18"/>
              </w:rPr>
              <w:t>819,006</w:t>
            </w:r>
          </w:p>
        </w:tc>
        <w:tc>
          <w:tcPr>
            <w:tcW w:w="1092" w:type="dxa"/>
            <w:vAlign w:val="center"/>
          </w:tcPr>
          <w:p w:rsidR="00000000" w:rsidRDefault="009C1C61">
            <w:pPr>
              <w:pStyle w:val="a2"/>
              <w:ind w:right="57"/>
              <w:jc w:val="right"/>
              <w:rPr>
                <w:noProof/>
                <w:snapToGrid/>
                <w:sz w:val="18"/>
              </w:rPr>
            </w:pPr>
            <w:r>
              <w:rPr>
                <w:noProof/>
                <w:snapToGrid/>
                <w:sz w:val="18"/>
              </w:rPr>
              <w:t>746,085</w:t>
            </w:r>
          </w:p>
        </w:tc>
        <w:tc>
          <w:tcPr>
            <w:tcW w:w="1092" w:type="dxa"/>
            <w:vAlign w:val="center"/>
          </w:tcPr>
          <w:p w:rsidR="00000000" w:rsidRDefault="009C1C61">
            <w:pPr>
              <w:pStyle w:val="a2"/>
              <w:ind w:right="57"/>
              <w:jc w:val="right"/>
              <w:rPr>
                <w:noProof/>
                <w:snapToGrid/>
                <w:sz w:val="18"/>
              </w:rPr>
            </w:pPr>
            <w:r>
              <w:rPr>
                <w:noProof/>
                <w:snapToGrid/>
                <w:sz w:val="18"/>
              </w:rPr>
              <w:t>726,630</w:t>
            </w:r>
          </w:p>
        </w:tc>
        <w:tc>
          <w:tcPr>
            <w:tcW w:w="1092" w:type="dxa"/>
            <w:vAlign w:val="center"/>
          </w:tcPr>
          <w:p w:rsidR="00000000" w:rsidRDefault="009C1C61">
            <w:pPr>
              <w:pStyle w:val="a2"/>
              <w:ind w:right="57"/>
              <w:jc w:val="right"/>
              <w:rPr>
                <w:noProof/>
                <w:snapToGrid/>
                <w:sz w:val="18"/>
              </w:rPr>
            </w:pPr>
            <w:r>
              <w:rPr>
                <w:noProof/>
                <w:snapToGrid/>
                <w:sz w:val="18"/>
              </w:rPr>
              <w:t>653,561</w:t>
            </w:r>
          </w:p>
        </w:tc>
        <w:tc>
          <w:tcPr>
            <w:tcW w:w="1280" w:type="dxa"/>
            <w:vAlign w:val="center"/>
          </w:tcPr>
          <w:p w:rsidR="00000000" w:rsidRDefault="009C1C61">
            <w:pPr>
              <w:pStyle w:val="a2"/>
              <w:jc w:val="center"/>
              <w:rPr>
                <w:noProof/>
                <w:snapToGrid/>
                <w:sz w:val="18"/>
              </w:rPr>
            </w:pPr>
            <w:r>
              <w:rPr>
                <w:noProof/>
                <w:snapToGrid/>
                <w:sz w:val="18"/>
              </w:rPr>
              <w:t>–19.2</w:t>
            </w:r>
          </w:p>
        </w:tc>
      </w:tr>
      <w:tr w:rsidR="00000000">
        <w:tblPrEx>
          <w:tblCellMar>
            <w:top w:w="0" w:type="dxa"/>
            <w:bottom w:w="0" w:type="dxa"/>
          </w:tblCellMar>
        </w:tblPrEx>
        <w:trPr>
          <w:jc w:val="center"/>
        </w:trPr>
        <w:tc>
          <w:tcPr>
            <w:tcW w:w="2847" w:type="dxa"/>
            <w:vAlign w:val="center"/>
          </w:tcPr>
          <w:p w:rsidR="00000000" w:rsidRDefault="009C1C61">
            <w:pPr>
              <w:pStyle w:val="a2"/>
              <w:rPr>
                <w:rFonts w:hint="eastAsia"/>
                <w:noProof/>
                <w:snapToGrid/>
                <w:sz w:val="18"/>
              </w:rPr>
            </w:pPr>
            <w:r>
              <w:rPr>
                <w:noProof/>
                <w:snapToGrid/>
                <w:sz w:val="18"/>
              </w:rPr>
              <w:tab/>
            </w:r>
            <w:r>
              <w:rPr>
                <w:rFonts w:hint="eastAsia"/>
                <w:noProof/>
                <w:snapToGrid/>
                <w:sz w:val="18"/>
              </w:rPr>
              <w:t>共计</w:t>
            </w:r>
          </w:p>
        </w:tc>
        <w:tc>
          <w:tcPr>
            <w:tcW w:w="1092" w:type="dxa"/>
            <w:vAlign w:val="center"/>
          </w:tcPr>
          <w:p w:rsidR="00000000" w:rsidRDefault="009C1C61">
            <w:pPr>
              <w:pStyle w:val="a2"/>
              <w:ind w:right="57"/>
              <w:jc w:val="right"/>
              <w:rPr>
                <w:noProof/>
                <w:snapToGrid/>
                <w:sz w:val="18"/>
              </w:rPr>
            </w:pPr>
            <w:r>
              <w:rPr>
                <w:noProof/>
                <w:snapToGrid/>
                <w:sz w:val="18"/>
              </w:rPr>
              <w:t>3,172,550</w:t>
            </w:r>
          </w:p>
        </w:tc>
        <w:tc>
          <w:tcPr>
            <w:tcW w:w="1092" w:type="dxa"/>
            <w:vAlign w:val="center"/>
          </w:tcPr>
          <w:p w:rsidR="00000000" w:rsidRDefault="009C1C61">
            <w:pPr>
              <w:pStyle w:val="a2"/>
              <w:ind w:right="57"/>
              <w:jc w:val="right"/>
              <w:rPr>
                <w:noProof/>
                <w:snapToGrid/>
                <w:sz w:val="18"/>
              </w:rPr>
            </w:pPr>
            <w:r>
              <w:rPr>
                <w:noProof/>
                <w:snapToGrid/>
                <w:sz w:val="18"/>
              </w:rPr>
              <w:t>3,366,384</w:t>
            </w:r>
          </w:p>
        </w:tc>
        <w:tc>
          <w:tcPr>
            <w:tcW w:w="1092" w:type="dxa"/>
            <w:vAlign w:val="center"/>
          </w:tcPr>
          <w:p w:rsidR="00000000" w:rsidRDefault="009C1C61">
            <w:pPr>
              <w:pStyle w:val="a2"/>
              <w:ind w:right="57"/>
              <w:jc w:val="right"/>
              <w:rPr>
                <w:noProof/>
                <w:snapToGrid/>
                <w:sz w:val="18"/>
              </w:rPr>
            </w:pPr>
            <w:r>
              <w:rPr>
                <w:noProof/>
                <w:snapToGrid/>
                <w:sz w:val="18"/>
              </w:rPr>
              <w:t>3,536,774</w:t>
            </w:r>
          </w:p>
        </w:tc>
        <w:tc>
          <w:tcPr>
            <w:tcW w:w="1092" w:type="dxa"/>
            <w:vAlign w:val="center"/>
          </w:tcPr>
          <w:p w:rsidR="00000000" w:rsidRDefault="009C1C61">
            <w:pPr>
              <w:pStyle w:val="a2"/>
              <w:ind w:right="57"/>
              <w:jc w:val="right"/>
              <w:rPr>
                <w:noProof/>
                <w:snapToGrid/>
                <w:sz w:val="18"/>
              </w:rPr>
            </w:pPr>
            <w:r>
              <w:rPr>
                <w:noProof/>
                <w:snapToGrid/>
                <w:sz w:val="18"/>
              </w:rPr>
              <w:t>3,587,641</w:t>
            </w:r>
          </w:p>
        </w:tc>
        <w:tc>
          <w:tcPr>
            <w:tcW w:w="1092" w:type="dxa"/>
            <w:vAlign w:val="center"/>
          </w:tcPr>
          <w:p w:rsidR="00000000" w:rsidRDefault="009C1C61">
            <w:pPr>
              <w:pStyle w:val="a2"/>
              <w:ind w:right="57"/>
              <w:jc w:val="right"/>
              <w:rPr>
                <w:noProof/>
                <w:snapToGrid/>
                <w:sz w:val="18"/>
              </w:rPr>
            </w:pPr>
            <w:r>
              <w:rPr>
                <w:noProof/>
                <w:snapToGrid/>
                <w:sz w:val="18"/>
              </w:rPr>
              <w:t>3,742,683</w:t>
            </w:r>
          </w:p>
        </w:tc>
        <w:tc>
          <w:tcPr>
            <w:tcW w:w="1280" w:type="dxa"/>
            <w:vAlign w:val="center"/>
          </w:tcPr>
          <w:p w:rsidR="00000000" w:rsidRDefault="009C1C61">
            <w:pPr>
              <w:pStyle w:val="a2"/>
              <w:jc w:val="center"/>
              <w:rPr>
                <w:noProof/>
                <w:snapToGrid/>
                <w:sz w:val="18"/>
              </w:rPr>
            </w:pPr>
            <w:r>
              <w:rPr>
                <w:noProof/>
                <w:snapToGrid/>
                <w:sz w:val="18"/>
              </w:rPr>
              <w:t>18</w:t>
            </w:r>
          </w:p>
        </w:tc>
      </w:tr>
    </w:tbl>
    <w:p w:rsidR="00000000" w:rsidRDefault="009C1C61">
      <w:pPr>
        <w:pStyle w:val="EndnoteText"/>
        <w:spacing w:before="120" w:after="320"/>
        <w:rPr>
          <w:snapToGrid/>
          <w:sz w:val="20"/>
        </w:rPr>
      </w:pPr>
      <w:r>
        <w:rPr>
          <w:rFonts w:hint="eastAsia"/>
          <w:snapToGrid/>
          <w:sz w:val="20"/>
          <w:u w:val="single"/>
        </w:rPr>
        <w:t>资料来源</w:t>
      </w:r>
      <w:r>
        <w:rPr>
          <w:rFonts w:hint="eastAsia"/>
          <w:snapToGrid/>
          <w:sz w:val="20"/>
        </w:rPr>
        <w:t>：规合部，社经特征调查：</w:t>
      </w:r>
      <w:r>
        <w:rPr>
          <w:rFonts w:hint="eastAsia"/>
          <w:snapToGrid/>
          <w:sz w:val="20"/>
        </w:rPr>
        <w:t>1987-1998</w:t>
      </w:r>
      <w:r>
        <w:rPr>
          <w:rFonts w:hint="eastAsia"/>
          <w:snapToGrid/>
          <w:sz w:val="20"/>
        </w:rPr>
        <w:t>年模块系列</w:t>
      </w:r>
      <w:r>
        <w:rPr>
          <w:rFonts w:hint="eastAsia"/>
          <w:snapToGrid/>
          <w:sz w:val="20"/>
        </w:rPr>
        <w:t>，社会司。</w:t>
      </w:r>
    </w:p>
    <w:p w:rsidR="00000000" w:rsidRDefault="009C1C61">
      <w:pPr>
        <w:rPr>
          <w:rFonts w:hint="eastAsia"/>
          <w:snapToGrid/>
        </w:rPr>
      </w:pPr>
      <w:r>
        <w:rPr>
          <w:rFonts w:hint="eastAsia"/>
          <w:snapToGrid/>
        </w:rPr>
        <w:tab/>
      </w:r>
      <w:r>
        <w:rPr>
          <w:snapToGrid/>
        </w:rPr>
        <w:t xml:space="preserve">548. </w:t>
      </w:r>
      <w:r>
        <w:rPr>
          <w:rFonts w:hint="eastAsia"/>
          <w:snapToGrid/>
        </w:rPr>
        <w:t xml:space="preserve"> </w:t>
      </w:r>
      <w:r>
        <w:rPr>
          <w:snapToGrid/>
        </w:rPr>
        <w:t>1998</w:t>
      </w:r>
      <w:r>
        <w:rPr>
          <w:rFonts w:hint="eastAsia"/>
          <w:snapToGrid/>
        </w:rPr>
        <w:t>年，有</w:t>
      </w:r>
      <w:r>
        <w:rPr>
          <w:snapToGrid/>
        </w:rPr>
        <w:t>211,000</w:t>
      </w:r>
      <w:r>
        <w:rPr>
          <w:rFonts w:hint="eastAsia"/>
          <w:snapToGrid/>
        </w:rPr>
        <w:t>户没有饮用水，占全国总数的</w:t>
      </w:r>
      <w:r>
        <w:rPr>
          <w:snapToGrid/>
        </w:rPr>
        <w:t>5.6%</w:t>
      </w:r>
      <w:r>
        <w:rPr>
          <w:rFonts w:hint="eastAsia"/>
          <w:snapToGrid/>
        </w:rPr>
        <w:t>。与</w:t>
      </w:r>
      <w:r>
        <w:rPr>
          <w:rFonts w:hint="eastAsia"/>
          <w:snapToGrid/>
        </w:rPr>
        <w:t>8</w:t>
      </w:r>
      <w:r>
        <w:rPr>
          <w:rFonts w:hint="eastAsia"/>
          <w:snapToGrid/>
        </w:rPr>
        <w:t>年前的类似数字相比</w:t>
      </w:r>
      <w:r>
        <w:rPr>
          <w:snapToGrid/>
        </w:rPr>
        <w:t>(376,000)</w:t>
      </w:r>
      <w:r>
        <w:rPr>
          <w:rFonts w:hint="eastAsia"/>
          <w:snapToGrid/>
        </w:rPr>
        <w:t>，这意味着改善了</w:t>
      </w:r>
      <w:r>
        <w:rPr>
          <w:snapToGrid/>
        </w:rPr>
        <w:t>44%</w:t>
      </w:r>
      <w:r>
        <w:rPr>
          <w:rFonts w:hint="eastAsia"/>
          <w:snapToGrid/>
        </w:rPr>
        <w:t>。不难估计出，</w:t>
      </w:r>
      <w:r>
        <w:rPr>
          <w:rFonts w:hint="eastAsia"/>
          <w:snapToGrid/>
        </w:rPr>
        <w:t>1998</w:t>
      </w:r>
      <w:r>
        <w:rPr>
          <w:rFonts w:hint="eastAsia"/>
          <w:snapToGrid/>
        </w:rPr>
        <w:t>年有</w:t>
      </w:r>
      <w:r>
        <w:rPr>
          <w:snapToGrid/>
        </w:rPr>
        <w:t>820,000</w:t>
      </w:r>
      <w:r>
        <w:rPr>
          <w:rFonts w:hint="eastAsia"/>
          <w:snapToGrid/>
        </w:rPr>
        <w:t>人受到饮用水缺乏的影响，不过这比此前几年的人数少多了</w:t>
      </w:r>
      <w:r>
        <w:rPr>
          <w:snapToGrid/>
        </w:rPr>
        <w:t>(</w:t>
      </w:r>
      <w:r>
        <w:rPr>
          <w:rFonts w:hint="eastAsia"/>
          <w:snapToGrid/>
        </w:rPr>
        <w:t>见表</w:t>
      </w:r>
      <w:r>
        <w:rPr>
          <w:snapToGrid/>
        </w:rPr>
        <w:t>26)</w:t>
      </w:r>
      <w:r>
        <w:rPr>
          <w:rFonts w:hint="eastAsia"/>
          <w:snapToGrid/>
        </w:rPr>
        <w:t>。</w:t>
      </w:r>
    </w:p>
    <w:p w:rsidR="00000000" w:rsidRDefault="009C1C61">
      <w:pPr>
        <w:pStyle w:val="Heading3"/>
        <w:spacing w:before="180" w:after="120"/>
      </w:pPr>
      <w:r>
        <w:rPr>
          <w:rFonts w:hint="eastAsia"/>
        </w:rPr>
        <w:t>表</w:t>
      </w:r>
      <w:r>
        <w:t xml:space="preserve"> </w:t>
      </w:r>
      <w:r>
        <w:rPr>
          <w:b/>
          <w:bCs/>
        </w:rPr>
        <w:t>26</w:t>
      </w:r>
      <w:r>
        <w:rPr>
          <w:b/>
          <w:bCs/>
        </w:rPr>
        <w:br/>
      </w:r>
      <w:r>
        <w:rPr>
          <w:rFonts w:hint="eastAsia"/>
        </w:rPr>
        <w:t>智利住在没有饮用水住房中的居民户数量和个人的估计数</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434"/>
        <w:gridCol w:w="1086"/>
        <w:gridCol w:w="1155"/>
        <w:gridCol w:w="1155"/>
        <w:gridCol w:w="945"/>
        <w:gridCol w:w="1050"/>
        <w:gridCol w:w="1639"/>
      </w:tblGrid>
      <w:tr w:rsidR="00000000">
        <w:tblPrEx>
          <w:tblCellMar>
            <w:top w:w="0" w:type="dxa"/>
            <w:bottom w:w="0" w:type="dxa"/>
          </w:tblCellMar>
        </w:tblPrEx>
        <w:trPr>
          <w:jc w:val="center"/>
        </w:trPr>
        <w:tc>
          <w:tcPr>
            <w:tcW w:w="2434" w:type="dxa"/>
            <w:vAlign w:val="center"/>
          </w:tcPr>
          <w:p w:rsidR="00000000" w:rsidRDefault="009C1C61">
            <w:pPr>
              <w:pStyle w:val="a2"/>
              <w:spacing w:line="220" w:lineRule="exact"/>
              <w:jc w:val="center"/>
              <w:rPr>
                <w:rFonts w:hint="eastAsia"/>
                <w:noProof/>
                <w:snapToGrid/>
                <w:sz w:val="18"/>
              </w:rPr>
            </w:pPr>
            <w:r>
              <w:rPr>
                <w:rFonts w:hint="eastAsia"/>
                <w:noProof/>
                <w:snapToGrid/>
                <w:sz w:val="18"/>
              </w:rPr>
              <w:t>供</w:t>
            </w:r>
            <w:r>
              <w:rPr>
                <w:noProof/>
                <w:snapToGrid/>
                <w:sz w:val="18"/>
              </w:rPr>
              <w:t xml:space="preserve">  </w:t>
            </w:r>
            <w:r>
              <w:rPr>
                <w:rFonts w:hint="eastAsia"/>
                <w:noProof/>
                <w:snapToGrid/>
                <w:sz w:val="18"/>
              </w:rPr>
              <w:t>水</w:t>
            </w:r>
          </w:p>
        </w:tc>
        <w:tc>
          <w:tcPr>
            <w:tcW w:w="1086" w:type="dxa"/>
            <w:vAlign w:val="center"/>
          </w:tcPr>
          <w:p w:rsidR="00000000" w:rsidRDefault="009C1C61">
            <w:pPr>
              <w:pStyle w:val="a2"/>
              <w:spacing w:line="220" w:lineRule="exact"/>
              <w:jc w:val="center"/>
              <w:rPr>
                <w:noProof/>
                <w:snapToGrid/>
                <w:sz w:val="18"/>
              </w:rPr>
            </w:pPr>
            <w:r>
              <w:rPr>
                <w:noProof/>
                <w:snapToGrid/>
                <w:sz w:val="18"/>
              </w:rPr>
              <w:t>1990</w:t>
            </w:r>
          </w:p>
        </w:tc>
        <w:tc>
          <w:tcPr>
            <w:tcW w:w="1155" w:type="dxa"/>
            <w:vAlign w:val="center"/>
          </w:tcPr>
          <w:p w:rsidR="00000000" w:rsidRDefault="009C1C61">
            <w:pPr>
              <w:pStyle w:val="a2"/>
              <w:spacing w:line="220" w:lineRule="exact"/>
              <w:jc w:val="center"/>
              <w:rPr>
                <w:noProof/>
                <w:snapToGrid/>
                <w:sz w:val="18"/>
              </w:rPr>
            </w:pPr>
            <w:r>
              <w:rPr>
                <w:noProof/>
                <w:snapToGrid/>
                <w:sz w:val="18"/>
              </w:rPr>
              <w:t>1992</w:t>
            </w:r>
          </w:p>
        </w:tc>
        <w:tc>
          <w:tcPr>
            <w:tcW w:w="1155" w:type="dxa"/>
            <w:vAlign w:val="center"/>
          </w:tcPr>
          <w:p w:rsidR="00000000" w:rsidRDefault="009C1C61">
            <w:pPr>
              <w:pStyle w:val="a2"/>
              <w:spacing w:line="220" w:lineRule="exact"/>
              <w:jc w:val="center"/>
              <w:rPr>
                <w:noProof/>
                <w:snapToGrid/>
                <w:sz w:val="18"/>
              </w:rPr>
            </w:pPr>
            <w:r>
              <w:rPr>
                <w:noProof/>
                <w:snapToGrid/>
                <w:sz w:val="18"/>
              </w:rPr>
              <w:t>1994</w:t>
            </w:r>
          </w:p>
        </w:tc>
        <w:tc>
          <w:tcPr>
            <w:tcW w:w="945" w:type="dxa"/>
            <w:vAlign w:val="center"/>
          </w:tcPr>
          <w:p w:rsidR="00000000" w:rsidRDefault="009C1C61">
            <w:pPr>
              <w:pStyle w:val="a2"/>
              <w:spacing w:line="220" w:lineRule="exact"/>
              <w:jc w:val="center"/>
              <w:rPr>
                <w:noProof/>
                <w:snapToGrid/>
                <w:sz w:val="18"/>
              </w:rPr>
            </w:pPr>
            <w:r>
              <w:rPr>
                <w:noProof/>
                <w:snapToGrid/>
                <w:sz w:val="18"/>
              </w:rPr>
              <w:t>1996</w:t>
            </w:r>
          </w:p>
        </w:tc>
        <w:tc>
          <w:tcPr>
            <w:tcW w:w="1050" w:type="dxa"/>
            <w:vAlign w:val="center"/>
          </w:tcPr>
          <w:p w:rsidR="00000000" w:rsidRDefault="009C1C61">
            <w:pPr>
              <w:pStyle w:val="a2"/>
              <w:spacing w:line="220" w:lineRule="exact"/>
              <w:jc w:val="center"/>
              <w:rPr>
                <w:noProof/>
                <w:snapToGrid/>
                <w:sz w:val="18"/>
              </w:rPr>
            </w:pPr>
            <w:r>
              <w:rPr>
                <w:noProof/>
                <w:snapToGrid/>
                <w:sz w:val="18"/>
              </w:rPr>
              <w:t>1998</w:t>
            </w:r>
          </w:p>
        </w:tc>
        <w:tc>
          <w:tcPr>
            <w:tcW w:w="1639" w:type="dxa"/>
            <w:vAlign w:val="center"/>
          </w:tcPr>
          <w:p w:rsidR="00000000" w:rsidRDefault="009C1C61">
            <w:pPr>
              <w:pStyle w:val="a2"/>
              <w:spacing w:line="220" w:lineRule="exact"/>
              <w:jc w:val="center"/>
              <w:rPr>
                <w:rFonts w:hint="eastAsia"/>
                <w:noProof/>
                <w:snapToGrid/>
                <w:sz w:val="18"/>
              </w:rPr>
            </w:pPr>
            <w:r>
              <w:rPr>
                <w:noProof/>
                <w:snapToGrid/>
                <w:sz w:val="18"/>
              </w:rPr>
              <w:t>1990-98</w:t>
            </w:r>
            <w:r>
              <w:rPr>
                <w:noProof/>
                <w:snapToGrid/>
                <w:sz w:val="18"/>
              </w:rPr>
              <w:br/>
            </w:r>
            <w:r>
              <w:rPr>
                <w:rFonts w:hint="eastAsia"/>
                <w:noProof/>
                <w:snapToGrid/>
                <w:sz w:val="18"/>
              </w:rPr>
              <w:t>百分比变化</w:t>
            </w:r>
          </w:p>
        </w:tc>
      </w:tr>
      <w:tr w:rsidR="00000000">
        <w:tblPrEx>
          <w:tblCellMar>
            <w:top w:w="0" w:type="dxa"/>
            <w:bottom w:w="0" w:type="dxa"/>
          </w:tblCellMar>
        </w:tblPrEx>
        <w:trPr>
          <w:jc w:val="center"/>
        </w:trPr>
        <w:tc>
          <w:tcPr>
            <w:tcW w:w="2434" w:type="dxa"/>
            <w:vAlign w:val="bottom"/>
          </w:tcPr>
          <w:p w:rsidR="00000000" w:rsidRDefault="009C1C61">
            <w:pPr>
              <w:pStyle w:val="a2"/>
              <w:spacing w:line="220" w:lineRule="exact"/>
              <w:ind w:left="113"/>
              <w:rPr>
                <w:noProof/>
                <w:snapToGrid/>
                <w:sz w:val="18"/>
              </w:rPr>
            </w:pPr>
            <w:r>
              <w:rPr>
                <w:rFonts w:hint="eastAsia"/>
                <w:noProof/>
                <w:snapToGrid/>
                <w:sz w:val="18"/>
              </w:rPr>
              <w:t>配给户的数量</w:t>
            </w:r>
            <w:r>
              <w:rPr>
                <w:noProof/>
                <w:snapToGrid/>
                <w:sz w:val="18"/>
              </w:rPr>
              <w:t>*</w:t>
            </w:r>
          </w:p>
        </w:tc>
        <w:tc>
          <w:tcPr>
            <w:tcW w:w="1086" w:type="dxa"/>
            <w:vAlign w:val="bottom"/>
          </w:tcPr>
          <w:p w:rsidR="00000000" w:rsidRDefault="009C1C61">
            <w:pPr>
              <w:pStyle w:val="a2"/>
              <w:spacing w:line="220" w:lineRule="exact"/>
              <w:ind w:right="113"/>
              <w:jc w:val="right"/>
              <w:rPr>
                <w:noProof/>
                <w:snapToGrid/>
                <w:sz w:val="18"/>
              </w:rPr>
            </w:pPr>
            <w:r>
              <w:rPr>
                <w:noProof/>
                <w:snapToGrid/>
                <w:sz w:val="18"/>
              </w:rPr>
              <w:t>375,956</w:t>
            </w:r>
          </w:p>
        </w:tc>
        <w:tc>
          <w:tcPr>
            <w:tcW w:w="1155" w:type="dxa"/>
            <w:vAlign w:val="bottom"/>
          </w:tcPr>
          <w:p w:rsidR="00000000" w:rsidRDefault="009C1C61">
            <w:pPr>
              <w:pStyle w:val="a2"/>
              <w:spacing w:line="220" w:lineRule="exact"/>
              <w:ind w:right="113"/>
              <w:jc w:val="right"/>
              <w:rPr>
                <w:noProof/>
                <w:snapToGrid/>
                <w:sz w:val="18"/>
              </w:rPr>
            </w:pPr>
            <w:r>
              <w:rPr>
                <w:noProof/>
                <w:snapToGrid/>
                <w:sz w:val="18"/>
              </w:rPr>
              <w:t>341,460</w:t>
            </w:r>
          </w:p>
        </w:tc>
        <w:tc>
          <w:tcPr>
            <w:tcW w:w="1155" w:type="dxa"/>
            <w:vAlign w:val="bottom"/>
          </w:tcPr>
          <w:p w:rsidR="00000000" w:rsidRDefault="009C1C61">
            <w:pPr>
              <w:pStyle w:val="a2"/>
              <w:spacing w:line="220" w:lineRule="exact"/>
              <w:ind w:right="113"/>
              <w:jc w:val="right"/>
              <w:rPr>
                <w:noProof/>
                <w:snapToGrid/>
                <w:sz w:val="18"/>
              </w:rPr>
            </w:pPr>
            <w:r>
              <w:rPr>
                <w:noProof/>
                <w:snapToGrid/>
                <w:sz w:val="18"/>
              </w:rPr>
              <w:t>264,158</w:t>
            </w:r>
          </w:p>
        </w:tc>
        <w:tc>
          <w:tcPr>
            <w:tcW w:w="945" w:type="dxa"/>
            <w:vAlign w:val="bottom"/>
          </w:tcPr>
          <w:p w:rsidR="00000000" w:rsidRDefault="009C1C61">
            <w:pPr>
              <w:pStyle w:val="a2"/>
              <w:spacing w:line="220" w:lineRule="exact"/>
              <w:ind w:right="113"/>
              <w:jc w:val="right"/>
              <w:rPr>
                <w:noProof/>
                <w:snapToGrid/>
                <w:sz w:val="18"/>
              </w:rPr>
            </w:pPr>
            <w:r>
              <w:rPr>
                <w:noProof/>
                <w:snapToGrid/>
                <w:sz w:val="18"/>
              </w:rPr>
              <w:t>252,113</w:t>
            </w:r>
          </w:p>
        </w:tc>
        <w:tc>
          <w:tcPr>
            <w:tcW w:w="1050" w:type="dxa"/>
            <w:vAlign w:val="bottom"/>
          </w:tcPr>
          <w:p w:rsidR="00000000" w:rsidRDefault="009C1C61">
            <w:pPr>
              <w:pStyle w:val="a2"/>
              <w:spacing w:line="220" w:lineRule="exact"/>
              <w:ind w:right="113"/>
              <w:jc w:val="right"/>
              <w:rPr>
                <w:noProof/>
                <w:snapToGrid/>
                <w:sz w:val="18"/>
              </w:rPr>
            </w:pPr>
            <w:r>
              <w:rPr>
                <w:noProof/>
                <w:snapToGrid/>
                <w:sz w:val="18"/>
              </w:rPr>
              <w:t>211,031</w:t>
            </w:r>
          </w:p>
        </w:tc>
        <w:tc>
          <w:tcPr>
            <w:tcW w:w="1639" w:type="dxa"/>
            <w:vAlign w:val="bottom"/>
          </w:tcPr>
          <w:p w:rsidR="00000000" w:rsidRDefault="009C1C61">
            <w:pPr>
              <w:pStyle w:val="a2"/>
              <w:spacing w:line="220" w:lineRule="exact"/>
              <w:ind w:right="113"/>
              <w:jc w:val="center"/>
              <w:rPr>
                <w:noProof/>
                <w:snapToGrid/>
                <w:sz w:val="18"/>
              </w:rPr>
            </w:pPr>
            <w:r>
              <w:rPr>
                <w:noProof/>
                <w:snapToGrid/>
                <w:sz w:val="18"/>
              </w:rPr>
              <w:t>–4</w:t>
            </w:r>
            <w:r>
              <w:rPr>
                <w:noProof/>
                <w:snapToGrid/>
                <w:sz w:val="18"/>
              </w:rPr>
              <w:t>3.9</w:t>
            </w:r>
          </w:p>
        </w:tc>
      </w:tr>
      <w:tr w:rsidR="00000000">
        <w:tblPrEx>
          <w:tblCellMar>
            <w:top w:w="0" w:type="dxa"/>
            <w:bottom w:w="0" w:type="dxa"/>
          </w:tblCellMar>
        </w:tblPrEx>
        <w:trPr>
          <w:jc w:val="center"/>
        </w:trPr>
        <w:tc>
          <w:tcPr>
            <w:tcW w:w="2434"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占总户数的百分比</w:t>
            </w:r>
          </w:p>
        </w:tc>
        <w:tc>
          <w:tcPr>
            <w:tcW w:w="1086" w:type="dxa"/>
            <w:vAlign w:val="bottom"/>
          </w:tcPr>
          <w:p w:rsidR="00000000" w:rsidRDefault="009C1C61">
            <w:pPr>
              <w:pStyle w:val="a2"/>
              <w:spacing w:line="220" w:lineRule="exact"/>
              <w:ind w:right="113"/>
              <w:jc w:val="right"/>
              <w:rPr>
                <w:noProof/>
                <w:snapToGrid/>
                <w:sz w:val="18"/>
              </w:rPr>
            </w:pPr>
            <w:r>
              <w:rPr>
                <w:noProof/>
                <w:snapToGrid/>
                <w:sz w:val="18"/>
              </w:rPr>
              <w:t>11.9</w:t>
            </w:r>
          </w:p>
        </w:tc>
        <w:tc>
          <w:tcPr>
            <w:tcW w:w="1155" w:type="dxa"/>
            <w:vAlign w:val="bottom"/>
          </w:tcPr>
          <w:p w:rsidR="00000000" w:rsidRDefault="009C1C61">
            <w:pPr>
              <w:pStyle w:val="a2"/>
              <w:spacing w:line="220" w:lineRule="exact"/>
              <w:ind w:right="113"/>
              <w:jc w:val="right"/>
              <w:rPr>
                <w:noProof/>
                <w:snapToGrid/>
                <w:sz w:val="18"/>
              </w:rPr>
            </w:pPr>
            <w:r>
              <w:rPr>
                <w:noProof/>
                <w:snapToGrid/>
                <w:sz w:val="18"/>
              </w:rPr>
              <w:t>10.1</w:t>
            </w:r>
          </w:p>
        </w:tc>
        <w:tc>
          <w:tcPr>
            <w:tcW w:w="1155" w:type="dxa"/>
            <w:vAlign w:val="bottom"/>
          </w:tcPr>
          <w:p w:rsidR="00000000" w:rsidRDefault="009C1C61">
            <w:pPr>
              <w:pStyle w:val="a2"/>
              <w:spacing w:line="220" w:lineRule="exact"/>
              <w:ind w:right="113"/>
              <w:jc w:val="right"/>
              <w:rPr>
                <w:noProof/>
                <w:snapToGrid/>
                <w:sz w:val="18"/>
              </w:rPr>
            </w:pPr>
            <w:r>
              <w:rPr>
                <w:noProof/>
                <w:snapToGrid/>
                <w:sz w:val="18"/>
              </w:rPr>
              <w:t>7.5</w:t>
            </w:r>
          </w:p>
        </w:tc>
        <w:tc>
          <w:tcPr>
            <w:tcW w:w="945" w:type="dxa"/>
            <w:vAlign w:val="bottom"/>
          </w:tcPr>
          <w:p w:rsidR="00000000" w:rsidRDefault="009C1C61">
            <w:pPr>
              <w:pStyle w:val="a2"/>
              <w:spacing w:line="220" w:lineRule="exact"/>
              <w:ind w:right="113"/>
              <w:jc w:val="right"/>
              <w:rPr>
                <w:noProof/>
                <w:snapToGrid/>
                <w:sz w:val="18"/>
              </w:rPr>
            </w:pPr>
            <w:r>
              <w:rPr>
                <w:noProof/>
                <w:snapToGrid/>
                <w:sz w:val="18"/>
              </w:rPr>
              <w:t>7.0</w:t>
            </w:r>
          </w:p>
        </w:tc>
        <w:tc>
          <w:tcPr>
            <w:tcW w:w="1050" w:type="dxa"/>
            <w:vAlign w:val="bottom"/>
          </w:tcPr>
          <w:p w:rsidR="00000000" w:rsidRDefault="009C1C61">
            <w:pPr>
              <w:pStyle w:val="a2"/>
              <w:spacing w:line="220" w:lineRule="exact"/>
              <w:ind w:right="113"/>
              <w:jc w:val="right"/>
              <w:rPr>
                <w:noProof/>
                <w:snapToGrid/>
                <w:sz w:val="18"/>
              </w:rPr>
            </w:pPr>
            <w:r>
              <w:rPr>
                <w:noProof/>
                <w:snapToGrid/>
                <w:sz w:val="18"/>
              </w:rPr>
              <w:t>5.6</w:t>
            </w:r>
          </w:p>
        </w:tc>
        <w:tc>
          <w:tcPr>
            <w:tcW w:w="1639" w:type="dxa"/>
            <w:vAlign w:val="bottom"/>
          </w:tcPr>
          <w:p w:rsidR="00000000" w:rsidRDefault="009C1C61">
            <w:pPr>
              <w:pStyle w:val="a2"/>
              <w:spacing w:line="220" w:lineRule="exact"/>
              <w:ind w:right="113"/>
              <w:jc w:val="center"/>
              <w:rPr>
                <w:noProof/>
                <w:snapToGrid/>
                <w:sz w:val="18"/>
              </w:rPr>
            </w:pPr>
            <w:r>
              <w:rPr>
                <w:noProof/>
                <w:snapToGrid/>
                <w:sz w:val="18"/>
              </w:rPr>
              <w:t>–52.4</w:t>
            </w:r>
          </w:p>
        </w:tc>
      </w:tr>
      <w:tr w:rsidR="00000000">
        <w:tblPrEx>
          <w:tblCellMar>
            <w:top w:w="0" w:type="dxa"/>
            <w:bottom w:w="0" w:type="dxa"/>
          </w:tblCellMar>
        </w:tblPrEx>
        <w:trPr>
          <w:jc w:val="center"/>
        </w:trPr>
        <w:tc>
          <w:tcPr>
            <w:tcW w:w="2434" w:type="dxa"/>
            <w:vAlign w:val="bottom"/>
          </w:tcPr>
          <w:p w:rsidR="00000000" w:rsidRDefault="009C1C61">
            <w:pPr>
              <w:pStyle w:val="a2"/>
              <w:spacing w:line="220" w:lineRule="exact"/>
              <w:ind w:left="113"/>
              <w:rPr>
                <w:noProof/>
                <w:snapToGrid/>
                <w:sz w:val="18"/>
              </w:rPr>
            </w:pPr>
            <w:r>
              <w:rPr>
                <w:rFonts w:hint="eastAsia"/>
                <w:noProof/>
                <w:snapToGrid/>
                <w:sz w:val="18"/>
              </w:rPr>
              <w:t>受影响个人的数量</w:t>
            </w:r>
            <w:r>
              <w:rPr>
                <w:noProof/>
                <w:snapToGrid/>
                <w:sz w:val="18"/>
              </w:rPr>
              <w:t xml:space="preserve">** </w:t>
            </w:r>
            <w:r>
              <w:rPr>
                <w:noProof/>
                <w:snapToGrid/>
                <w:sz w:val="18"/>
              </w:rPr>
              <w:br/>
              <w:t>(</w:t>
            </w:r>
            <w:r>
              <w:rPr>
                <w:rFonts w:hint="eastAsia"/>
                <w:noProof/>
                <w:snapToGrid/>
                <w:sz w:val="18"/>
              </w:rPr>
              <w:t>估计数</w:t>
            </w:r>
            <w:r>
              <w:rPr>
                <w:noProof/>
                <w:snapToGrid/>
                <w:sz w:val="18"/>
              </w:rPr>
              <w:t>)</w:t>
            </w:r>
          </w:p>
        </w:tc>
        <w:tc>
          <w:tcPr>
            <w:tcW w:w="1086" w:type="dxa"/>
            <w:vAlign w:val="bottom"/>
          </w:tcPr>
          <w:p w:rsidR="00000000" w:rsidRDefault="009C1C61">
            <w:pPr>
              <w:pStyle w:val="a2"/>
              <w:spacing w:line="220" w:lineRule="exact"/>
              <w:ind w:right="113"/>
              <w:jc w:val="right"/>
              <w:rPr>
                <w:rFonts w:hint="eastAsia"/>
                <w:noProof/>
                <w:snapToGrid/>
                <w:sz w:val="18"/>
              </w:rPr>
            </w:pPr>
            <w:r>
              <w:rPr>
                <w:noProof/>
                <w:snapToGrid/>
                <w:sz w:val="18"/>
              </w:rPr>
              <w:t>1,523,04</w:t>
            </w:r>
            <w:r>
              <w:rPr>
                <w:rFonts w:hint="eastAsia"/>
                <w:noProof/>
                <w:snapToGrid/>
                <w:sz w:val="18"/>
              </w:rPr>
              <w:t>8</w:t>
            </w:r>
          </w:p>
        </w:tc>
        <w:tc>
          <w:tcPr>
            <w:tcW w:w="1155" w:type="dxa"/>
            <w:vAlign w:val="bottom"/>
          </w:tcPr>
          <w:p w:rsidR="00000000" w:rsidRDefault="009C1C61">
            <w:pPr>
              <w:pStyle w:val="a2"/>
              <w:spacing w:line="220" w:lineRule="exact"/>
              <w:ind w:right="113"/>
              <w:jc w:val="right"/>
              <w:rPr>
                <w:noProof/>
                <w:snapToGrid/>
                <w:sz w:val="18"/>
              </w:rPr>
            </w:pPr>
            <w:r>
              <w:rPr>
                <w:noProof/>
                <w:snapToGrid/>
                <w:sz w:val="18"/>
              </w:rPr>
              <w:t>1,347,874</w:t>
            </w:r>
          </w:p>
        </w:tc>
        <w:tc>
          <w:tcPr>
            <w:tcW w:w="1155" w:type="dxa"/>
            <w:vAlign w:val="bottom"/>
          </w:tcPr>
          <w:p w:rsidR="00000000" w:rsidRDefault="009C1C61">
            <w:pPr>
              <w:pStyle w:val="a2"/>
              <w:spacing w:line="220" w:lineRule="exact"/>
              <w:ind w:right="113"/>
              <w:jc w:val="right"/>
              <w:rPr>
                <w:noProof/>
                <w:snapToGrid/>
                <w:sz w:val="18"/>
              </w:rPr>
            </w:pPr>
            <w:r>
              <w:rPr>
                <w:noProof/>
                <w:snapToGrid/>
                <w:sz w:val="18"/>
              </w:rPr>
              <w:t>1,024,992</w:t>
            </w:r>
          </w:p>
        </w:tc>
        <w:tc>
          <w:tcPr>
            <w:tcW w:w="945" w:type="dxa"/>
            <w:vAlign w:val="bottom"/>
          </w:tcPr>
          <w:p w:rsidR="00000000" w:rsidRDefault="009C1C61">
            <w:pPr>
              <w:pStyle w:val="a2"/>
              <w:spacing w:line="220" w:lineRule="exact"/>
              <w:ind w:right="113"/>
              <w:jc w:val="right"/>
              <w:rPr>
                <w:noProof/>
                <w:snapToGrid/>
                <w:sz w:val="18"/>
              </w:rPr>
            </w:pPr>
            <w:r>
              <w:rPr>
                <w:noProof/>
                <w:snapToGrid/>
                <w:sz w:val="18"/>
              </w:rPr>
              <w:t>994,904</w:t>
            </w:r>
          </w:p>
        </w:tc>
        <w:tc>
          <w:tcPr>
            <w:tcW w:w="1050" w:type="dxa"/>
            <w:vAlign w:val="bottom"/>
          </w:tcPr>
          <w:p w:rsidR="00000000" w:rsidRDefault="009C1C61">
            <w:pPr>
              <w:pStyle w:val="a2"/>
              <w:spacing w:line="220" w:lineRule="exact"/>
              <w:ind w:right="113"/>
              <w:jc w:val="right"/>
              <w:rPr>
                <w:noProof/>
                <w:snapToGrid/>
                <w:sz w:val="18"/>
              </w:rPr>
            </w:pPr>
            <w:r>
              <w:rPr>
                <w:noProof/>
                <w:snapToGrid/>
                <w:sz w:val="18"/>
              </w:rPr>
              <w:t>820,784</w:t>
            </w:r>
          </w:p>
        </w:tc>
        <w:tc>
          <w:tcPr>
            <w:tcW w:w="1639" w:type="dxa"/>
            <w:vAlign w:val="bottom"/>
          </w:tcPr>
          <w:p w:rsidR="00000000" w:rsidRDefault="009C1C61">
            <w:pPr>
              <w:pStyle w:val="a2"/>
              <w:spacing w:line="220" w:lineRule="exact"/>
              <w:ind w:right="113"/>
              <w:jc w:val="center"/>
              <w:rPr>
                <w:noProof/>
                <w:snapToGrid/>
                <w:sz w:val="18"/>
              </w:rPr>
            </w:pPr>
            <w:r>
              <w:rPr>
                <w:noProof/>
                <w:snapToGrid/>
                <w:sz w:val="18"/>
              </w:rPr>
              <w:t>–46.1</w:t>
            </w:r>
          </w:p>
        </w:tc>
      </w:tr>
    </w:tbl>
    <w:p w:rsidR="00000000" w:rsidRDefault="009C1C61">
      <w:pPr>
        <w:pStyle w:val="EndnoteText"/>
        <w:spacing w:before="120" w:line="240" w:lineRule="auto"/>
        <w:ind w:left="1530" w:hanging="1280"/>
        <w:rPr>
          <w:snapToGrid/>
          <w:sz w:val="20"/>
        </w:rPr>
      </w:pPr>
      <w:r>
        <w:rPr>
          <w:rFonts w:hint="eastAsia"/>
          <w:snapToGrid/>
          <w:sz w:val="20"/>
          <w:u w:val="single"/>
        </w:rPr>
        <w:t>资料来源</w:t>
      </w:r>
      <w:r>
        <w:rPr>
          <w:rFonts w:hint="eastAsia"/>
          <w:snapToGrid/>
          <w:sz w:val="20"/>
        </w:rPr>
        <w:t>：规合部，社经特征调查：</w:t>
      </w:r>
      <w:r>
        <w:rPr>
          <w:rFonts w:hint="eastAsia"/>
          <w:snapToGrid/>
          <w:sz w:val="20"/>
        </w:rPr>
        <w:t>1987-1998</w:t>
      </w:r>
      <w:r>
        <w:rPr>
          <w:rFonts w:hint="eastAsia"/>
          <w:snapToGrid/>
          <w:sz w:val="20"/>
        </w:rPr>
        <w:t>年模块系列，社会司。</w:t>
      </w:r>
    </w:p>
    <w:p w:rsidR="00000000" w:rsidRDefault="009C1C61">
      <w:pPr>
        <w:pStyle w:val="EndnoteText"/>
        <w:spacing w:line="240" w:lineRule="auto"/>
        <w:ind w:left="1530" w:hanging="520"/>
        <w:rPr>
          <w:rFonts w:hint="eastAsia"/>
          <w:snapToGrid/>
          <w:sz w:val="20"/>
        </w:rPr>
      </w:pPr>
      <w:r>
        <w:rPr>
          <w:snapToGrid/>
          <w:sz w:val="20"/>
        </w:rPr>
        <w:t>*</w:t>
      </w:r>
      <w:r>
        <w:rPr>
          <w:snapToGrid/>
          <w:sz w:val="20"/>
        </w:rPr>
        <w:tab/>
      </w:r>
      <w:r>
        <w:rPr>
          <w:rFonts w:hint="eastAsia"/>
          <w:snapToGrid/>
          <w:sz w:val="20"/>
        </w:rPr>
        <w:t>包括自来水管道入户和没入户的居民户。</w:t>
      </w:r>
    </w:p>
    <w:p w:rsidR="00000000" w:rsidRDefault="009C1C61">
      <w:pPr>
        <w:pStyle w:val="EndnoteText"/>
        <w:spacing w:line="240" w:lineRule="auto"/>
        <w:ind w:left="1530" w:hanging="520"/>
        <w:rPr>
          <w:snapToGrid/>
          <w:sz w:val="20"/>
        </w:rPr>
      </w:pPr>
      <w:r>
        <w:rPr>
          <w:snapToGrid/>
          <w:sz w:val="20"/>
        </w:rPr>
        <w:t>**</w:t>
      </w:r>
      <w:r>
        <w:rPr>
          <w:snapToGrid/>
          <w:sz w:val="20"/>
        </w:rPr>
        <w:tab/>
      </w:r>
      <w:r>
        <w:rPr>
          <w:rFonts w:hint="eastAsia"/>
          <w:snapToGrid/>
          <w:sz w:val="20"/>
        </w:rPr>
        <w:t>根据按社经特征调查确立的每年居民户的平均规模。</w:t>
      </w:r>
    </w:p>
    <w:p w:rsidR="00000000" w:rsidRDefault="009C1C61">
      <w:pPr>
        <w:rPr>
          <w:rFonts w:hint="eastAsia"/>
          <w:snapToGrid/>
        </w:rPr>
      </w:pPr>
      <w:r>
        <w:rPr>
          <w:snapToGrid/>
        </w:rPr>
        <w:tab/>
        <w:t>549.  1998</w:t>
      </w:r>
      <w:r>
        <w:rPr>
          <w:rFonts w:hint="eastAsia"/>
          <w:snapToGrid/>
        </w:rPr>
        <w:t>年，有</w:t>
      </w:r>
      <w:r>
        <w:rPr>
          <w:snapToGrid/>
        </w:rPr>
        <w:t>103,000</w:t>
      </w:r>
      <w:r>
        <w:rPr>
          <w:rFonts w:hint="eastAsia"/>
          <w:snapToGrid/>
        </w:rPr>
        <w:t>户没电，占全国总户数不到</w:t>
      </w:r>
      <w:r>
        <w:rPr>
          <w:snapToGrid/>
        </w:rPr>
        <w:t>3%</w:t>
      </w:r>
      <w:r>
        <w:rPr>
          <w:rFonts w:hint="eastAsia"/>
          <w:snapToGrid/>
        </w:rPr>
        <w:t>。</w:t>
      </w:r>
      <w:r>
        <w:rPr>
          <w:snapToGrid/>
        </w:rPr>
        <w:t>1990</w:t>
      </w:r>
      <w:r>
        <w:rPr>
          <w:rFonts w:hint="eastAsia"/>
          <w:snapToGrid/>
        </w:rPr>
        <w:t>年，这一数字更高，为</w:t>
      </w:r>
      <w:r>
        <w:rPr>
          <w:snapToGrid/>
        </w:rPr>
        <w:t>58%</w:t>
      </w:r>
      <w:r>
        <w:rPr>
          <w:rFonts w:hint="eastAsia"/>
          <w:snapToGrid/>
        </w:rPr>
        <w:t>。不难估计</w:t>
      </w:r>
      <w:r>
        <w:rPr>
          <w:rFonts w:hint="eastAsia"/>
          <w:snapToGrid/>
        </w:rPr>
        <w:t>出，有</w:t>
      </w:r>
      <w:r>
        <w:rPr>
          <w:snapToGrid/>
        </w:rPr>
        <w:t>401,000</w:t>
      </w:r>
      <w:r>
        <w:rPr>
          <w:rFonts w:hint="eastAsia"/>
          <w:snapToGrid/>
        </w:rPr>
        <w:t>住在没电的房屋中</w:t>
      </w:r>
      <w:r>
        <w:rPr>
          <w:snapToGrid/>
        </w:rPr>
        <w:t>(</w:t>
      </w:r>
      <w:r>
        <w:rPr>
          <w:rFonts w:hint="eastAsia"/>
          <w:snapToGrid/>
        </w:rPr>
        <w:t>见表</w:t>
      </w:r>
      <w:r>
        <w:rPr>
          <w:snapToGrid/>
        </w:rPr>
        <w:t>27)</w:t>
      </w:r>
      <w:r>
        <w:rPr>
          <w:rFonts w:hint="eastAsia"/>
          <w:snapToGrid/>
        </w:rPr>
        <w:t>。</w:t>
      </w:r>
    </w:p>
    <w:p w:rsidR="00000000" w:rsidRDefault="009C1C61">
      <w:pPr>
        <w:pStyle w:val="Heading3"/>
        <w:spacing w:before="180" w:after="120"/>
      </w:pPr>
      <w:r>
        <w:rPr>
          <w:rFonts w:hint="eastAsia"/>
        </w:rPr>
        <w:t>表</w:t>
      </w:r>
      <w:r>
        <w:t xml:space="preserve"> </w:t>
      </w:r>
      <w:r>
        <w:rPr>
          <w:b/>
          <w:bCs/>
        </w:rPr>
        <w:t>27</w:t>
      </w:r>
      <w:r>
        <w:rPr>
          <w:b/>
          <w:bCs/>
        </w:rPr>
        <w:br/>
      </w:r>
      <w:r>
        <w:rPr>
          <w:rFonts w:hint="eastAsia"/>
        </w:rPr>
        <w:t>智利住在没电住房中的居民户数量和个人的估计数</w:t>
      </w:r>
    </w:p>
    <w:tbl>
      <w:tblPr>
        <w:tblW w:w="969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902"/>
        <w:gridCol w:w="1092"/>
        <w:gridCol w:w="1092"/>
        <w:gridCol w:w="1092"/>
        <w:gridCol w:w="1092"/>
        <w:gridCol w:w="1092"/>
        <w:gridCol w:w="1336"/>
      </w:tblGrid>
      <w:tr w:rsidR="00000000">
        <w:tblPrEx>
          <w:tblCellMar>
            <w:top w:w="0" w:type="dxa"/>
            <w:bottom w:w="0" w:type="dxa"/>
          </w:tblCellMar>
        </w:tblPrEx>
        <w:trPr>
          <w:jc w:val="center"/>
        </w:trPr>
        <w:tc>
          <w:tcPr>
            <w:tcW w:w="2902" w:type="dxa"/>
            <w:vAlign w:val="center"/>
          </w:tcPr>
          <w:p w:rsidR="00000000" w:rsidRDefault="009C1C61">
            <w:pPr>
              <w:pStyle w:val="a2"/>
              <w:ind w:left="113"/>
              <w:jc w:val="center"/>
              <w:rPr>
                <w:rFonts w:hint="eastAsia"/>
                <w:noProof/>
                <w:snapToGrid/>
                <w:sz w:val="18"/>
              </w:rPr>
            </w:pPr>
            <w:r>
              <w:rPr>
                <w:rFonts w:hint="eastAsia"/>
                <w:noProof/>
                <w:snapToGrid/>
                <w:sz w:val="18"/>
              </w:rPr>
              <w:t>用</w:t>
            </w:r>
            <w:r>
              <w:rPr>
                <w:noProof/>
                <w:snapToGrid/>
                <w:sz w:val="18"/>
              </w:rPr>
              <w:t xml:space="preserve">  </w:t>
            </w:r>
            <w:r>
              <w:rPr>
                <w:rFonts w:hint="eastAsia"/>
                <w:noProof/>
                <w:snapToGrid/>
                <w:sz w:val="18"/>
              </w:rPr>
              <w:t>电</w:t>
            </w:r>
          </w:p>
        </w:tc>
        <w:tc>
          <w:tcPr>
            <w:tcW w:w="1092" w:type="dxa"/>
            <w:vAlign w:val="center"/>
          </w:tcPr>
          <w:p w:rsidR="00000000" w:rsidRDefault="009C1C61">
            <w:pPr>
              <w:pStyle w:val="a2"/>
              <w:jc w:val="center"/>
              <w:rPr>
                <w:noProof/>
                <w:snapToGrid/>
                <w:sz w:val="18"/>
              </w:rPr>
            </w:pPr>
            <w:r>
              <w:rPr>
                <w:noProof/>
                <w:snapToGrid/>
                <w:sz w:val="18"/>
              </w:rPr>
              <w:t>1990</w:t>
            </w:r>
          </w:p>
        </w:tc>
        <w:tc>
          <w:tcPr>
            <w:tcW w:w="1092" w:type="dxa"/>
            <w:vAlign w:val="center"/>
          </w:tcPr>
          <w:p w:rsidR="00000000" w:rsidRDefault="009C1C61">
            <w:pPr>
              <w:pStyle w:val="a2"/>
              <w:jc w:val="center"/>
              <w:rPr>
                <w:noProof/>
                <w:snapToGrid/>
                <w:sz w:val="18"/>
              </w:rPr>
            </w:pPr>
            <w:r>
              <w:rPr>
                <w:noProof/>
                <w:snapToGrid/>
                <w:sz w:val="18"/>
              </w:rPr>
              <w:t>1992</w:t>
            </w:r>
          </w:p>
        </w:tc>
        <w:tc>
          <w:tcPr>
            <w:tcW w:w="1092" w:type="dxa"/>
            <w:vAlign w:val="center"/>
          </w:tcPr>
          <w:p w:rsidR="00000000" w:rsidRDefault="009C1C61">
            <w:pPr>
              <w:pStyle w:val="a2"/>
              <w:jc w:val="center"/>
              <w:rPr>
                <w:noProof/>
                <w:snapToGrid/>
                <w:sz w:val="18"/>
              </w:rPr>
            </w:pPr>
            <w:r>
              <w:rPr>
                <w:noProof/>
                <w:snapToGrid/>
                <w:sz w:val="18"/>
              </w:rPr>
              <w:t>1994</w:t>
            </w:r>
          </w:p>
        </w:tc>
        <w:tc>
          <w:tcPr>
            <w:tcW w:w="1092" w:type="dxa"/>
            <w:vAlign w:val="center"/>
          </w:tcPr>
          <w:p w:rsidR="00000000" w:rsidRDefault="009C1C61">
            <w:pPr>
              <w:pStyle w:val="a2"/>
              <w:jc w:val="center"/>
              <w:rPr>
                <w:noProof/>
                <w:snapToGrid/>
                <w:sz w:val="18"/>
              </w:rPr>
            </w:pPr>
            <w:r>
              <w:rPr>
                <w:noProof/>
                <w:snapToGrid/>
                <w:sz w:val="18"/>
              </w:rPr>
              <w:t>1996</w:t>
            </w:r>
          </w:p>
        </w:tc>
        <w:tc>
          <w:tcPr>
            <w:tcW w:w="1092" w:type="dxa"/>
            <w:vAlign w:val="center"/>
          </w:tcPr>
          <w:p w:rsidR="00000000" w:rsidRDefault="009C1C61">
            <w:pPr>
              <w:pStyle w:val="a2"/>
              <w:jc w:val="center"/>
              <w:rPr>
                <w:noProof/>
                <w:snapToGrid/>
                <w:sz w:val="18"/>
              </w:rPr>
            </w:pPr>
            <w:r>
              <w:rPr>
                <w:noProof/>
                <w:snapToGrid/>
                <w:sz w:val="18"/>
              </w:rPr>
              <w:t>1998</w:t>
            </w:r>
          </w:p>
        </w:tc>
        <w:tc>
          <w:tcPr>
            <w:tcW w:w="1336" w:type="dxa"/>
            <w:vAlign w:val="center"/>
          </w:tcPr>
          <w:p w:rsidR="00000000" w:rsidRDefault="009C1C61">
            <w:pPr>
              <w:pStyle w:val="a2"/>
              <w:jc w:val="center"/>
              <w:rPr>
                <w:rFonts w:hint="eastAsia"/>
                <w:noProof/>
                <w:snapToGrid/>
                <w:sz w:val="18"/>
              </w:rPr>
            </w:pPr>
            <w:r>
              <w:rPr>
                <w:noProof/>
                <w:snapToGrid/>
                <w:sz w:val="18"/>
              </w:rPr>
              <w:t>1990-98</w:t>
            </w:r>
            <w:r>
              <w:rPr>
                <w:noProof/>
                <w:snapToGrid/>
                <w:sz w:val="18"/>
              </w:rPr>
              <w:br/>
            </w:r>
            <w:r>
              <w:rPr>
                <w:rFonts w:hint="eastAsia"/>
                <w:noProof/>
                <w:snapToGrid/>
                <w:sz w:val="18"/>
              </w:rPr>
              <w:t>百分比变化</w:t>
            </w:r>
          </w:p>
        </w:tc>
      </w:tr>
      <w:tr w:rsidR="00000000">
        <w:tblPrEx>
          <w:tblCellMar>
            <w:top w:w="0" w:type="dxa"/>
            <w:bottom w:w="0" w:type="dxa"/>
          </w:tblCellMar>
        </w:tblPrEx>
        <w:trPr>
          <w:jc w:val="center"/>
        </w:trPr>
        <w:tc>
          <w:tcPr>
            <w:tcW w:w="2902" w:type="dxa"/>
            <w:vAlign w:val="bottom"/>
          </w:tcPr>
          <w:p w:rsidR="00000000" w:rsidRDefault="009C1C61">
            <w:pPr>
              <w:pStyle w:val="a2"/>
              <w:ind w:left="113"/>
              <w:rPr>
                <w:rFonts w:hint="eastAsia"/>
                <w:noProof/>
                <w:snapToGrid/>
                <w:sz w:val="18"/>
              </w:rPr>
            </w:pPr>
            <w:r>
              <w:rPr>
                <w:rFonts w:hint="eastAsia"/>
                <w:noProof/>
                <w:snapToGrid/>
                <w:sz w:val="18"/>
              </w:rPr>
              <w:t>没电户的数量</w:t>
            </w:r>
          </w:p>
        </w:tc>
        <w:tc>
          <w:tcPr>
            <w:tcW w:w="1092" w:type="dxa"/>
            <w:vAlign w:val="bottom"/>
          </w:tcPr>
          <w:p w:rsidR="00000000" w:rsidRDefault="009C1C61">
            <w:pPr>
              <w:pStyle w:val="a2"/>
              <w:ind w:right="113"/>
              <w:jc w:val="right"/>
              <w:rPr>
                <w:noProof/>
                <w:snapToGrid/>
                <w:sz w:val="18"/>
              </w:rPr>
            </w:pPr>
            <w:r>
              <w:rPr>
                <w:noProof/>
                <w:snapToGrid/>
                <w:sz w:val="18"/>
              </w:rPr>
              <w:t>245,637</w:t>
            </w:r>
          </w:p>
        </w:tc>
        <w:tc>
          <w:tcPr>
            <w:tcW w:w="1092" w:type="dxa"/>
            <w:vAlign w:val="bottom"/>
          </w:tcPr>
          <w:p w:rsidR="00000000" w:rsidRDefault="009C1C61">
            <w:pPr>
              <w:pStyle w:val="a2"/>
              <w:ind w:right="113"/>
              <w:jc w:val="right"/>
              <w:rPr>
                <w:noProof/>
                <w:snapToGrid/>
                <w:sz w:val="18"/>
              </w:rPr>
            </w:pPr>
            <w:r>
              <w:rPr>
                <w:noProof/>
                <w:snapToGrid/>
                <w:sz w:val="18"/>
              </w:rPr>
              <w:t>197,476</w:t>
            </w:r>
          </w:p>
        </w:tc>
        <w:tc>
          <w:tcPr>
            <w:tcW w:w="1092" w:type="dxa"/>
            <w:vAlign w:val="bottom"/>
          </w:tcPr>
          <w:p w:rsidR="00000000" w:rsidRDefault="009C1C61">
            <w:pPr>
              <w:pStyle w:val="a2"/>
              <w:ind w:right="113"/>
              <w:jc w:val="right"/>
              <w:rPr>
                <w:noProof/>
                <w:snapToGrid/>
                <w:sz w:val="18"/>
              </w:rPr>
            </w:pPr>
            <w:r>
              <w:rPr>
                <w:noProof/>
                <w:snapToGrid/>
                <w:sz w:val="18"/>
              </w:rPr>
              <w:t>152,506</w:t>
            </w:r>
          </w:p>
        </w:tc>
        <w:tc>
          <w:tcPr>
            <w:tcW w:w="1092" w:type="dxa"/>
            <w:vAlign w:val="bottom"/>
          </w:tcPr>
          <w:p w:rsidR="00000000" w:rsidRDefault="009C1C61">
            <w:pPr>
              <w:pStyle w:val="a2"/>
              <w:ind w:right="113"/>
              <w:jc w:val="right"/>
              <w:rPr>
                <w:noProof/>
                <w:snapToGrid/>
                <w:sz w:val="18"/>
              </w:rPr>
            </w:pPr>
            <w:r>
              <w:rPr>
                <w:noProof/>
                <w:snapToGrid/>
                <w:sz w:val="18"/>
              </w:rPr>
              <w:t>157,235</w:t>
            </w:r>
          </w:p>
        </w:tc>
        <w:tc>
          <w:tcPr>
            <w:tcW w:w="1092" w:type="dxa"/>
            <w:vAlign w:val="bottom"/>
          </w:tcPr>
          <w:p w:rsidR="00000000" w:rsidRDefault="009C1C61">
            <w:pPr>
              <w:pStyle w:val="a2"/>
              <w:ind w:right="113"/>
              <w:jc w:val="right"/>
              <w:rPr>
                <w:noProof/>
                <w:snapToGrid/>
                <w:sz w:val="18"/>
              </w:rPr>
            </w:pPr>
            <w:r>
              <w:rPr>
                <w:noProof/>
                <w:snapToGrid/>
                <w:sz w:val="18"/>
              </w:rPr>
              <w:t>103,256</w:t>
            </w:r>
          </w:p>
        </w:tc>
        <w:tc>
          <w:tcPr>
            <w:tcW w:w="1336" w:type="dxa"/>
            <w:vAlign w:val="bottom"/>
          </w:tcPr>
          <w:p w:rsidR="00000000" w:rsidRDefault="009C1C61">
            <w:pPr>
              <w:pStyle w:val="a2"/>
              <w:ind w:right="113"/>
              <w:jc w:val="center"/>
              <w:rPr>
                <w:noProof/>
                <w:snapToGrid/>
                <w:sz w:val="18"/>
              </w:rPr>
            </w:pPr>
            <w:r>
              <w:rPr>
                <w:noProof/>
                <w:snapToGrid/>
                <w:sz w:val="18"/>
              </w:rPr>
              <w:t>–58.0</w:t>
            </w:r>
          </w:p>
        </w:tc>
      </w:tr>
      <w:tr w:rsidR="00000000">
        <w:tblPrEx>
          <w:tblCellMar>
            <w:top w:w="0" w:type="dxa"/>
            <w:bottom w:w="0" w:type="dxa"/>
          </w:tblCellMar>
        </w:tblPrEx>
        <w:trPr>
          <w:jc w:val="center"/>
        </w:trPr>
        <w:tc>
          <w:tcPr>
            <w:tcW w:w="2902" w:type="dxa"/>
            <w:vAlign w:val="bottom"/>
          </w:tcPr>
          <w:p w:rsidR="00000000" w:rsidRDefault="009C1C61">
            <w:pPr>
              <w:pStyle w:val="a2"/>
              <w:ind w:left="113"/>
              <w:rPr>
                <w:rFonts w:hint="eastAsia"/>
                <w:noProof/>
                <w:snapToGrid/>
                <w:sz w:val="18"/>
              </w:rPr>
            </w:pPr>
            <w:r>
              <w:rPr>
                <w:rFonts w:hint="eastAsia"/>
                <w:noProof/>
                <w:snapToGrid/>
                <w:sz w:val="18"/>
              </w:rPr>
              <w:t>占总户数的百分比</w:t>
            </w:r>
          </w:p>
        </w:tc>
        <w:tc>
          <w:tcPr>
            <w:tcW w:w="1092" w:type="dxa"/>
            <w:vAlign w:val="bottom"/>
          </w:tcPr>
          <w:p w:rsidR="00000000" w:rsidRDefault="009C1C61">
            <w:pPr>
              <w:pStyle w:val="a2"/>
              <w:ind w:right="113"/>
              <w:jc w:val="right"/>
              <w:rPr>
                <w:noProof/>
                <w:snapToGrid/>
                <w:sz w:val="18"/>
              </w:rPr>
            </w:pPr>
            <w:r>
              <w:rPr>
                <w:noProof/>
                <w:snapToGrid/>
                <w:sz w:val="18"/>
              </w:rPr>
              <w:t>7.7</w:t>
            </w:r>
          </w:p>
        </w:tc>
        <w:tc>
          <w:tcPr>
            <w:tcW w:w="1092" w:type="dxa"/>
            <w:vAlign w:val="bottom"/>
          </w:tcPr>
          <w:p w:rsidR="00000000" w:rsidRDefault="009C1C61">
            <w:pPr>
              <w:pStyle w:val="a2"/>
              <w:ind w:right="113"/>
              <w:jc w:val="right"/>
              <w:rPr>
                <w:noProof/>
                <w:snapToGrid/>
                <w:sz w:val="18"/>
              </w:rPr>
            </w:pPr>
            <w:r>
              <w:rPr>
                <w:noProof/>
                <w:snapToGrid/>
                <w:sz w:val="18"/>
              </w:rPr>
              <w:t>5.9</w:t>
            </w:r>
          </w:p>
        </w:tc>
        <w:tc>
          <w:tcPr>
            <w:tcW w:w="1092" w:type="dxa"/>
            <w:vAlign w:val="bottom"/>
          </w:tcPr>
          <w:p w:rsidR="00000000" w:rsidRDefault="009C1C61">
            <w:pPr>
              <w:pStyle w:val="a2"/>
              <w:ind w:right="113"/>
              <w:jc w:val="right"/>
              <w:rPr>
                <w:noProof/>
                <w:snapToGrid/>
                <w:sz w:val="18"/>
              </w:rPr>
            </w:pPr>
            <w:r>
              <w:rPr>
                <w:noProof/>
                <w:snapToGrid/>
                <w:sz w:val="18"/>
              </w:rPr>
              <w:t>4.3</w:t>
            </w:r>
          </w:p>
        </w:tc>
        <w:tc>
          <w:tcPr>
            <w:tcW w:w="1092" w:type="dxa"/>
            <w:vAlign w:val="bottom"/>
          </w:tcPr>
          <w:p w:rsidR="00000000" w:rsidRDefault="009C1C61">
            <w:pPr>
              <w:pStyle w:val="a2"/>
              <w:ind w:right="113"/>
              <w:jc w:val="right"/>
              <w:rPr>
                <w:noProof/>
                <w:snapToGrid/>
                <w:sz w:val="18"/>
              </w:rPr>
            </w:pPr>
            <w:r>
              <w:rPr>
                <w:noProof/>
                <w:snapToGrid/>
                <w:sz w:val="18"/>
              </w:rPr>
              <w:t>4.4</w:t>
            </w:r>
          </w:p>
        </w:tc>
        <w:tc>
          <w:tcPr>
            <w:tcW w:w="1092" w:type="dxa"/>
            <w:vAlign w:val="bottom"/>
          </w:tcPr>
          <w:p w:rsidR="00000000" w:rsidRDefault="009C1C61">
            <w:pPr>
              <w:pStyle w:val="a2"/>
              <w:ind w:right="113"/>
              <w:jc w:val="right"/>
              <w:rPr>
                <w:noProof/>
                <w:snapToGrid/>
                <w:sz w:val="18"/>
              </w:rPr>
            </w:pPr>
            <w:r>
              <w:rPr>
                <w:noProof/>
                <w:snapToGrid/>
                <w:sz w:val="18"/>
              </w:rPr>
              <w:t>2.8</w:t>
            </w:r>
          </w:p>
        </w:tc>
        <w:tc>
          <w:tcPr>
            <w:tcW w:w="1336" w:type="dxa"/>
            <w:vAlign w:val="bottom"/>
          </w:tcPr>
          <w:p w:rsidR="00000000" w:rsidRDefault="009C1C61">
            <w:pPr>
              <w:pStyle w:val="a2"/>
              <w:ind w:right="113"/>
              <w:jc w:val="center"/>
              <w:rPr>
                <w:noProof/>
                <w:snapToGrid/>
                <w:sz w:val="18"/>
              </w:rPr>
            </w:pPr>
            <w:r>
              <w:rPr>
                <w:noProof/>
                <w:snapToGrid/>
                <w:sz w:val="18"/>
              </w:rPr>
              <w:t>–64.4</w:t>
            </w:r>
          </w:p>
        </w:tc>
      </w:tr>
      <w:tr w:rsidR="00000000">
        <w:tblPrEx>
          <w:tblCellMar>
            <w:top w:w="0" w:type="dxa"/>
            <w:bottom w:w="0" w:type="dxa"/>
          </w:tblCellMar>
        </w:tblPrEx>
        <w:trPr>
          <w:jc w:val="center"/>
        </w:trPr>
        <w:tc>
          <w:tcPr>
            <w:tcW w:w="2902" w:type="dxa"/>
            <w:vAlign w:val="bottom"/>
          </w:tcPr>
          <w:p w:rsidR="00000000" w:rsidRDefault="009C1C61">
            <w:pPr>
              <w:pStyle w:val="a2"/>
              <w:ind w:left="113"/>
              <w:rPr>
                <w:noProof/>
                <w:snapToGrid/>
                <w:sz w:val="18"/>
              </w:rPr>
            </w:pPr>
            <w:r>
              <w:rPr>
                <w:rFonts w:hint="eastAsia"/>
                <w:noProof/>
                <w:snapToGrid/>
                <w:sz w:val="18"/>
              </w:rPr>
              <w:t>受影响个人的数量</w:t>
            </w:r>
            <w:r>
              <w:rPr>
                <w:noProof/>
                <w:snapToGrid/>
                <w:sz w:val="18"/>
              </w:rPr>
              <w:t>*(</w:t>
            </w:r>
            <w:r>
              <w:rPr>
                <w:rFonts w:hint="eastAsia"/>
                <w:noProof/>
                <w:snapToGrid/>
                <w:sz w:val="18"/>
              </w:rPr>
              <w:t>估计数</w:t>
            </w:r>
            <w:r>
              <w:rPr>
                <w:noProof/>
                <w:snapToGrid/>
                <w:sz w:val="18"/>
              </w:rPr>
              <w:t>)</w:t>
            </w:r>
          </w:p>
        </w:tc>
        <w:tc>
          <w:tcPr>
            <w:tcW w:w="1092" w:type="dxa"/>
            <w:vAlign w:val="bottom"/>
          </w:tcPr>
          <w:p w:rsidR="00000000" w:rsidRDefault="009C1C61">
            <w:pPr>
              <w:pStyle w:val="a2"/>
              <w:ind w:right="113"/>
              <w:jc w:val="right"/>
              <w:rPr>
                <w:noProof/>
                <w:snapToGrid/>
                <w:sz w:val="18"/>
              </w:rPr>
            </w:pPr>
            <w:r>
              <w:rPr>
                <w:noProof/>
                <w:snapToGrid/>
                <w:sz w:val="18"/>
              </w:rPr>
              <w:t>995,108</w:t>
            </w:r>
          </w:p>
        </w:tc>
        <w:tc>
          <w:tcPr>
            <w:tcW w:w="1092" w:type="dxa"/>
            <w:vAlign w:val="bottom"/>
          </w:tcPr>
          <w:p w:rsidR="00000000" w:rsidRDefault="009C1C61">
            <w:pPr>
              <w:pStyle w:val="a2"/>
              <w:ind w:right="113"/>
              <w:jc w:val="right"/>
              <w:rPr>
                <w:noProof/>
                <w:snapToGrid/>
                <w:sz w:val="18"/>
              </w:rPr>
            </w:pPr>
            <w:r>
              <w:rPr>
                <w:noProof/>
                <w:snapToGrid/>
                <w:sz w:val="18"/>
              </w:rPr>
              <w:t>779,513</w:t>
            </w:r>
          </w:p>
        </w:tc>
        <w:tc>
          <w:tcPr>
            <w:tcW w:w="1092" w:type="dxa"/>
            <w:vAlign w:val="bottom"/>
          </w:tcPr>
          <w:p w:rsidR="00000000" w:rsidRDefault="009C1C61">
            <w:pPr>
              <w:pStyle w:val="a2"/>
              <w:ind w:right="113"/>
              <w:jc w:val="right"/>
              <w:rPr>
                <w:noProof/>
                <w:snapToGrid/>
                <w:sz w:val="18"/>
              </w:rPr>
            </w:pPr>
            <w:r>
              <w:rPr>
                <w:noProof/>
                <w:snapToGrid/>
                <w:sz w:val="18"/>
              </w:rPr>
              <w:t>591,757</w:t>
            </w:r>
          </w:p>
        </w:tc>
        <w:tc>
          <w:tcPr>
            <w:tcW w:w="1092" w:type="dxa"/>
            <w:vAlign w:val="bottom"/>
          </w:tcPr>
          <w:p w:rsidR="00000000" w:rsidRDefault="009C1C61">
            <w:pPr>
              <w:pStyle w:val="a2"/>
              <w:ind w:right="113"/>
              <w:jc w:val="right"/>
              <w:rPr>
                <w:noProof/>
                <w:snapToGrid/>
                <w:sz w:val="18"/>
              </w:rPr>
            </w:pPr>
            <w:r>
              <w:rPr>
                <w:noProof/>
                <w:snapToGrid/>
                <w:sz w:val="18"/>
              </w:rPr>
              <w:t>620,490</w:t>
            </w:r>
          </w:p>
        </w:tc>
        <w:tc>
          <w:tcPr>
            <w:tcW w:w="1092" w:type="dxa"/>
            <w:vAlign w:val="bottom"/>
          </w:tcPr>
          <w:p w:rsidR="00000000" w:rsidRDefault="009C1C61">
            <w:pPr>
              <w:pStyle w:val="a2"/>
              <w:ind w:right="113"/>
              <w:jc w:val="right"/>
              <w:rPr>
                <w:noProof/>
                <w:snapToGrid/>
                <w:sz w:val="18"/>
              </w:rPr>
            </w:pPr>
            <w:r>
              <w:rPr>
                <w:noProof/>
                <w:snapToGrid/>
                <w:sz w:val="18"/>
              </w:rPr>
              <w:t>401,604</w:t>
            </w:r>
          </w:p>
        </w:tc>
        <w:tc>
          <w:tcPr>
            <w:tcW w:w="1336" w:type="dxa"/>
            <w:vAlign w:val="bottom"/>
          </w:tcPr>
          <w:p w:rsidR="00000000" w:rsidRDefault="009C1C61">
            <w:pPr>
              <w:pStyle w:val="a2"/>
              <w:ind w:right="113"/>
              <w:jc w:val="center"/>
              <w:rPr>
                <w:noProof/>
                <w:snapToGrid/>
                <w:sz w:val="18"/>
              </w:rPr>
            </w:pPr>
            <w:r>
              <w:rPr>
                <w:noProof/>
                <w:snapToGrid/>
                <w:sz w:val="18"/>
              </w:rPr>
              <w:t>–59.6</w:t>
            </w:r>
          </w:p>
        </w:tc>
      </w:tr>
    </w:tbl>
    <w:p w:rsidR="00000000" w:rsidRDefault="009C1C61">
      <w:pPr>
        <w:pStyle w:val="EndnoteText"/>
        <w:spacing w:before="180" w:line="240" w:lineRule="auto"/>
        <w:ind w:left="1530" w:hanging="1280"/>
        <w:rPr>
          <w:snapToGrid/>
          <w:sz w:val="20"/>
        </w:rPr>
      </w:pPr>
      <w:r>
        <w:rPr>
          <w:rFonts w:hint="eastAsia"/>
          <w:snapToGrid/>
          <w:sz w:val="20"/>
          <w:u w:val="single"/>
        </w:rPr>
        <w:t>资料来源</w:t>
      </w:r>
      <w:r>
        <w:rPr>
          <w:rFonts w:hint="eastAsia"/>
          <w:snapToGrid/>
          <w:sz w:val="20"/>
        </w:rPr>
        <w:t>：</w:t>
      </w:r>
      <w:r>
        <w:rPr>
          <w:rFonts w:hint="eastAsia"/>
          <w:snapToGrid/>
          <w:sz w:val="20"/>
        </w:rPr>
        <w:t>规合部，社经特征调查：</w:t>
      </w:r>
      <w:r>
        <w:rPr>
          <w:rFonts w:hint="eastAsia"/>
          <w:snapToGrid/>
          <w:sz w:val="20"/>
        </w:rPr>
        <w:t>1987-1998</w:t>
      </w:r>
      <w:r>
        <w:rPr>
          <w:rFonts w:hint="eastAsia"/>
          <w:snapToGrid/>
          <w:sz w:val="20"/>
        </w:rPr>
        <w:t>年模块系列，社会司。</w:t>
      </w:r>
    </w:p>
    <w:p w:rsidR="00000000" w:rsidRDefault="009C1C61">
      <w:pPr>
        <w:pStyle w:val="EndnoteText"/>
        <w:tabs>
          <w:tab w:val="left" w:pos="1372"/>
        </w:tabs>
        <w:spacing w:after="320" w:line="240" w:lineRule="auto"/>
        <w:ind w:left="1372" w:hanging="342"/>
        <w:rPr>
          <w:snapToGrid/>
          <w:sz w:val="20"/>
        </w:rPr>
      </w:pPr>
      <w:r>
        <w:rPr>
          <w:snapToGrid/>
          <w:sz w:val="20"/>
        </w:rPr>
        <w:t>*</w:t>
      </w:r>
      <w:r>
        <w:rPr>
          <w:rFonts w:hint="eastAsia"/>
          <w:snapToGrid/>
          <w:sz w:val="20"/>
        </w:rPr>
        <w:tab/>
      </w:r>
      <w:r>
        <w:rPr>
          <w:rFonts w:hint="eastAsia"/>
          <w:snapToGrid/>
          <w:sz w:val="20"/>
        </w:rPr>
        <w:t>根据社经特征调查确立的每年居民户的平均规模。</w:t>
      </w:r>
    </w:p>
    <w:p w:rsidR="00000000" w:rsidRDefault="009C1C61">
      <w:pPr>
        <w:rPr>
          <w:snapToGrid/>
        </w:rPr>
      </w:pPr>
      <w:r>
        <w:rPr>
          <w:snapToGrid/>
        </w:rPr>
        <w:tab/>
      </w:r>
      <w:r>
        <w:rPr>
          <w:rFonts w:hint="eastAsia"/>
          <w:snapToGrid/>
        </w:rPr>
        <w:t>550.</w:t>
      </w:r>
      <w:r>
        <w:rPr>
          <w:snapToGrid/>
        </w:rPr>
        <w:t xml:space="preserve">  </w:t>
      </w:r>
      <w:r>
        <w:rPr>
          <w:rFonts w:hint="eastAsia"/>
          <w:snapToGrid/>
        </w:rPr>
        <w:t>有关住在不合格住房中的个人的数量，可以从规划与合作部编写的关于物质条件不足和卫生设备缺乏的两个指数估计出来。这两个指数均可根据住房属于“良好”、“凑合”还是“可以修理”加以区分。</w:t>
      </w:r>
    </w:p>
    <w:p w:rsidR="00000000" w:rsidRDefault="009C1C61">
      <w:pPr>
        <w:rPr>
          <w:rFonts w:hint="eastAsia"/>
          <w:snapToGrid/>
        </w:rPr>
      </w:pPr>
      <w:r>
        <w:rPr>
          <w:snapToGrid/>
          <w:lang w:val="en-GB"/>
        </w:rPr>
        <w:tab/>
      </w:r>
      <w:r>
        <w:rPr>
          <w:rFonts w:hint="eastAsia"/>
          <w:snapToGrid/>
          <w:lang w:val="en-GB"/>
        </w:rPr>
        <w:t xml:space="preserve">551. </w:t>
      </w:r>
      <w:r>
        <w:rPr>
          <w:snapToGrid/>
          <w:lang w:val="en-GB"/>
        </w:rPr>
        <w:t xml:space="preserve"> </w:t>
      </w:r>
      <w:r>
        <w:rPr>
          <w:snapToGrid/>
        </w:rPr>
        <w:t>1998</w:t>
      </w:r>
      <w:r>
        <w:rPr>
          <w:rFonts w:hint="eastAsia"/>
          <w:snapToGrid/>
        </w:rPr>
        <w:t>年，有</w:t>
      </w:r>
      <w:r>
        <w:rPr>
          <w:snapToGrid/>
        </w:rPr>
        <w:t>239,000</w:t>
      </w:r>
      <w:r>
        <w:rPr>
          <w:rFonts w:hint="eastAsia"/>
          <w:snapToGrid/>
        </w:rPr>
        <w:t>户住在物质设备不合格的房屋中，</w:t>
      </w:r>
      <w:r>
        <w:rPr>
          <w:snapToGrid/>
        </w:rPr>
        <w:t>283,000</w:t>
      </w:r>
      <w:r>
        <w:rPr>
          <w:rFonts w:hint="eastAsia"/>
          <w:snapToGrid/>
        </w:rPr>
        <w:t>没有适当的卫生设备。与</w:t>
      </w:r>
      <w:r>
        <w:rPr>
          <w:snapToGrid/>
        </w:rPr>
        <w:t>1990</w:t>
      </w:r>
      <w:r>
        <w:rPr>
          <w:rFonts w:hint="eastAsia"/>
          <w:snapToGrid/>
        </w:rPr>
        <w:t>年相比，住在不合格住房中的居民户的数量，从物质条件方面看减少了</w:t>
      </w:r>
      <w:r>
        <w:rPr>
          <w:snapToGrid/>
        </w:rPr>
        <w:t>41%</w:t>
      </w:r>
      <w:r>
        <w:rPr>
          <w:rFonts w:hint="eastAsia"/>
          <w:snapToGrid/>
        </w:rPr>
        <w:t>，从卫生设备角度看减少</w:t>
      </w:r>
      <w:r>
        <w:rPr>
          <w:rFonts w:hint="eastAsia"/>
          <w:snapToGrid/>
        </w:rPr>
        <w:t>了</w:t>
      </w:r>
      <w:r>
        <w:rPr>
          <w:snapToGrid/>
        </w:rPr>
        <w:t>25%</w:t>
      </w:r>
      <w:r>
        <w:rPr>
          <w:rFonts w:hint="eastAsia"/>
          <w:snapToGrid/>
        </w:rPr>
        <w:t>。在总户数中，不合格住房由</w:t>
      </w:r>
      <w:r>
        <w:rPr>
          <w:rFonts w:hint="eastAsia"/>
          <w:snapToGrid/>
        </w:rPr>
        <w:t>1990</w:t>
      </w:r>
      <w:r>
        <w:rPr>
          <w:rFonts w:hint="eastAsia"/>
          <w:snapToGrid/>
        </w:rPr>
        <w:t>年的</w:t>
      </w:r>
      <w:r>
        <w:rPr>
          <w:snapToGrid/>
        </w:rPr>
        <w:t>12%</w:t>
      </w:r>
      <w:r>
        <w:rPr>
          <w:rFonts w:hint="eastAsia"/>
          <w:snapToGrid/>
        </w:rPr>
        <w:t>左右减少到</w:t>
      </w:r>
      <w:r>
        <w:rPr>
          <w:rFonts w:hint="eastAsia"/>
          <w:snapToGrid/>
        </w:rPr>
        <w:t>1998</w:t>
      </w:r>
      <w:r>
        <w:rPr>
          <w:rFonts w:hint="eastAsia"/>
          <w:snapToGrid/>
        </w:rPr>
        <w:t>年</w:t>
      </w:r>
      <w:r>
        <w:rPr>
          <w:rFonts w:hint="eastAsia"/>
          <w:snapToGrid/>
          <w:color w:val="000000"/>
        </w:rPr>
        <w:t>的</w:t>
      </w:r>
      <w:r>
        <w:rPr>
          <w:snapToGrid/>
          <w:color w:val="000000"/>
        </w:rPr>
        <w:t>7%</w:t>
      </w:r>
      <w:r>
        <w:rPr>
          <w:rFonts w:hint="eastAsia"/>
          <w:snapToGrid/>
        </w:rPr>
        <w:t>。所以不难估计出，</w:t>
      </w:r>
      <w:r>
        <w:rPr>
          <w:snapToGrid/>
        </w:rPr>
        <w:t>1998</w:t>
      </w:r>
      <w:r>
        <w:rPr>
          <w:rFonts w:hint="eastAsia"/>
          <w:snapToGrid/>
        </w:rPr>
        <w:t>年大约有</w:t>
      </w:r>
      <w:r>
        <w:rPr>
          <w:rFonts w:hint="eastAsia"/>
          <w:snapToGrid/>
        </w:rPr>
        <w:t>100</w:t>
      </w:r>
      <w:r>
        <w:rPr>
          <w:rFonts w:hint="eastAsia"/>
          <w:snapToGrid/>
        </w:rPr>
        <w:t>万人住在不合格住房中；早在这</w:t>
      </w:r>
      <w:r>
        <w:rPr>
          <w:rFonts w:hint="eastAsia"/>
          <w:snapToGrid/>
        </w:rPr>
        <w:t>8</w:t>
      </w:r>
      <w:r>
        <w:rPr>
          <w:rFonts w:hint="eastAsia"/>
          <w:snapToGrid/>
        </w:rPr>
        <w:t>年前，为数最多，有</w:t>
      </w:r>
      <w:r>
        <w:rPr>
          <w:rFonts w:hint="eastAsia"/>
          <w:snapToGrid/>
        </w:rPr>
        <w:t>160</w:t>
      </w:r>
      <w:r>
        <w:rPr>
          <w:rFonts w:hint="eastAsia"/>
          <w:snapToGrid/>
        </w:rPr>
        <w:t>万人住在物质条件不足的住户里</w:t>
      </w:r>
      <w:r>
        <w:rPr>
          <w:snapToGrid/>
        </w:rPr>
        <w:t>(</w:t>
      </w:r>
      <w:r>
        <w:rPr>
          <w:rFonts w:hint="eastAsia"/>
          <w:snapToGrid/>
        </w:rPr>
        <w:t>见表</w:t>
      </w:r>
      <w:r>
        <w:rPr>
          <w:snapToGrid/>
        </w:rPr>
        <w:t>28)</w:t>
      </w:r>
      <w:r>
        <w:rPr>
          <w:rFonts w:hint="eastAsia"/>
          <w:snapToGrid/>
        </w:rPr>
        <w:t>。</w:t>
      </w:r>
    </w:p>
    <w:p w:rsidR="00000000" w:rsidRDefault="009C1C61">
      <w:pPr>
        <w:pStyle w:val="Heading3"/>
        <w:spacing w:before="180" w:after="120"/>
      </w:pPr>
      <w:r>
        <w:rPr>
          <w:rFonts w:hint="eastAsia"/>
        </w:rPr>
        <w:t>表</w:t>
      </w:r>
      <w:r>
        <w:t xml:space="preserve">  </w:t>
      </w:r>
      <w:r>
        <w:rPr>
          <w:b/>
          <w:bCs/>
        </w:rPr>
        <w:t>28</w:t>
      </w:r>
      <w:r>
        <w:rPr>
          <w:b/>
          <w:bCs/>
        </w:rPr>
        <w:br/>
      </w:r>
      <w:r>
        <w:rPr>
          <w:rFonts w:hint="eastAsia"/>
        </w:rPr>
        <w:t>智利根据两个指标来看住在不合格住房中的居民户数量和个人的估计数</w:t>
      </w:r>
    </w:p>
    <w:tbl>
      <w:tblPr>
        <w:tblW w:w="976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17"/>
        <w:gridCol w:w="1291"/>
        <w:gridCol w:w="1291"/>
        <w:gridCol w:w="1292"/>
        <w:gridCol w:w="1291"/>
        <w:gridCol w:w="1291"/>
        <w:gridCol w:w="1292"/>
      </w:tblGrid>
      <w:tr w:rsidR="00000000">
        <w:tblPrEx>
          <w:tblCellMar>
            <w:top w:w="0" w:type="dxa"/>
            <w:bottom w:w="0" w:type="dxa"/>
          </w:tblCellMar>
        </w:tblPrEx>
        <w:trPr>
          <w:tblHeader/>
          <w:jc w:val="center"/>
        </w:trPr>
        <w:tc>
          <w:tcPr>
            <w:tcW w:w="2017" w:type="dxa"/>
            <w:vAlign w:val="center"/>
          </w:tcPr>
          <w:p w:rsidR="00000000" w:rsidRDefault="009C1C61">
            <w:pPr>
              <w:pStyle w:val="a2"/>
              <w:spacing w:line="220" w:lineRule="exact"/>
              <w:ind w:left="113"/>
              <w:jc w:val="center"/>
              <w:rPr>
                <w:noProof/>
                <w:snapToGrid/>
                <w:sz w:val="18"/>
              </w:rPr>
            </w:pPr>
          </w:p>
        </w:tc>
        <w:tc>
          <w:tcPr>
            <w:tcW w:w="1291" w:type="dxa"/>
            <w:vAlign w:val="center"/>
          </w:tcPr>
          <w:p w:rsidR="00000000" w:rsidRDefault="009C1C61">
            <w:pPr>
              <w:pStyle w:val="a2"/>
              <w:spacing w:line="220" w:lineRule="exact"/>
              <w:jc w:val="center"/>
              <w:rPr>
                <w:noProof/>
                <w:snapToGrid/>
                <w:sz w:val="18"/>
              </w:rPr>
            </w:pPr>
            <w:r>
              <w:rPr>
                <w:noProof/>
                <w:snapToGrid/>
                <w:sz w:val="18"/>
              </w:rPr>
              <w:t>1990</w:t>
            </w:r>
          </w:p>
        </w:tc>
        <w:tc>
          <w:tcPr>
            <w:tcW w:w="1291" w:type="dxa"/>
            <w:vAlign w:val="center"/>
          </w:tcPr>
          <w:p w:rsidR="00000000" w:rsidRDefault="009C1C61">
            <w:pPr>
              <w:pStyle w:val="a2"/>
              <w:spacing w:line="220" w:lineRule="exact"/>
              <w:jc w:val="center"/>
              <w:rPr>
                <w:noProof/>
                <w:snapToGrid/>
                <w:sz w:val="18"/>
              </w:rPr>
            </w:pPr>
            <w:r>
              <w:rPr>
                <w:noProof/>
                <w:snapToGrid/>
                <w:sz w:val="18"/>
              </w:rPr>
              <w:t>1992</w:t>
            </w:r>
          </w:p>
        </w:tc>
        <w:tc>
          <w:tcPr>
            <w:tcW w:w="1292" w:type="dxa"/>
            <w:vAlign w:val="center"/>
          </w:tcPr>
          <w:p w:rsidR="00000000" w:rsidRDefault="009C1C61">
            <w:pPr>
              <w:pStyle w:val="a2"/>
              <w:spacing w:line="220" w:lineRule="exact"/>
              <w:jc w:val="center"/>
              <w:rPr>
                <w:noProof/>
                <w:snapToGrid/>
                <w:sz w:val="18"/>
              </w:rPr>
            </w:pPr>
            <w:r>
              <w:rPr>
                <w:noProof/>
                <w:snapToGrid/>
                <w:sz w:val="18"/>
              </w:rPr>
              <w:t>1994</w:t>
            </w:r>
          </w:p>
        </w:tc>
        <w:tc>
          <w:tcPr>
            <w:tcW w:w="1291" w:type="dxa"/>
            <w:vAlign w:val="center"/>
          </w:tcPr>
          <w:p w:rsidR="00000000" w:rsidRDefault="009C1C61">
            <w:pPr>
              <w:pStyle w:val="a2"/>
              <w:spacing w:line="220" w:lineRule="exact"/>
              <w:jc w:val="center"/>
              <w:rPr>
                <w:noProof/>
                <w:snapToGrid/>
                <w:sz w:val="18"/>
              </w:rPr>
            </w:pPr>
            <w:r>
              <w:rPr>
                <w:noProof/>
                <w:snapToGrid/>
                <w:sz w:val="18"/>
              </w:rPr>
              <w:t>1996</w:t>
            </w:r>
          </w:p>
        </w:tc>
        <w:tc>
          <w:tcPr>
            <w:tcW w:w="1291" w:type="dxa"/>
            <w:vAlign w:val="center"/>
          </w:tcPr>
          <w:p w:rsidR="00000000" w:rsidRDefault="009C1C61">
            <w:pPr>
              <w:pStyle w:val="a2"/>
              <w:spacing w:line="220" w:lineRule="exact"/>
              <w:jc w:val="center"/>
              <w:rPr>
                <w:noProof/>
                <w:snapToGrid/>
                <w:sz w:val="18"/>
              </w:rPr>
            </w:pPr>
            <w:r>
              <w:rPr>
                <w:noProof/>
                <w:snapToGrid/>
                <w:sz w:val="18"/>
              </w:rPr>
              <w:t>1998</w:t>
            </w:r>
          </w:p>
        </w:tc>
        <w:tc>
          <w:tcPr>
            <w:tcW w:w="1292" w:type="dxa"/>
            <w:vAlign w:val="center"/>
          </w:tcPr>
          <w:p w:rsidR="00000000" w:rsidRDefault="009C1C61">
            <w:pPr>
              <w:pStyle w:val="a2"/>
              <w:spacing w:line="220" w:lineRule="exact"/>
              <w:jc w:val="center"/>
              <w:rPr>
                <w:rFonts w:hint="eastAsia"/>
                <w:noProof/>
                <w:snapToGrid/>
                <w:sz w:val="18"/>
              </w:rPr>
            </w:pPr>
            <w:r>
              <w:rPr>
                <w:noProof/>
                <w:snapToGrid/>
                <w:sz w:val="18"/>
              </w:rPr>
              <w:t>1990-98</w:t>
            </w:r>
            <w:r>
              <w:rPr>
                <w:noProof/>
                <w:snapToGrid/>
                <w:sz w:val="18"/>
              </w:rPr>
              <w:br/>
            </w:r>
            <w:r>
              <w:rPr>
                <w:rFonts w:hint="eastAsia"/>
                <w:noProof/>
                <w:snapToGrid/>
                <w:sz w:val="18"/>
              </w:rPr>
              <w:t>百分比变化</w:t>
            </w:r>
          </w:p>
        </w:tc>
      </w:tr>
      <w:tr w:rsidR="00000000">
        <w:tblPrEx>
          <w:tblCellMar>
            <w:top w:w="0" w:type="dxa"/>
            <w:bottom w:w="0" w:type="dxa"/>
          </w:tblCellMar>
        </w:tblPrEx>
        <w:trPr>
          <w:jc w:val="center"/>
        </w:trPr>
        <w:tc>
          <w:tcPr>
            <w:tcW w:w="2017"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物质条件不足</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408,421</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342,473</w:t>
            </w:r>
          </w:p>
        </w:tc>
        <w:tc>
          <w:tcPr>
            <w:tcW w:w="1292" w:type="dxa"/>
            <w:vAlign w:val="bottom"/>
          </w:tcPr>
          <w:p w:rsidR="00000000" w:rsidRDefault="009C1C61">
            <w:pPr>
              <w:pStyle w:val="a2"/>
              <w:spacing w:line="220" w:lineRule="exact"/>
              <w:ind w:right="113"/>
              <w:jc w:val="right"/>
              <w:rPr>
                <w:noProof/>
                <w:snapToGrid/>
                <w:sz w:val="18"/>
              </w:rPr>
            </w:pPr>
            <w:r>
              <w:rPr>
                <w:noProof/>
                <w:snapToGrid/>
                <w:sz w:val="18"/>
              </w:rPr>
              <w:t>316,916</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255,029</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238,767</w:t>
            </w:r>
          </w:p>
        </w:tc>
        <w:tc>
          <w:tcPr>
            <w:tcW w:w="1292" w:type="dxa"/>
            <w:vAlign w:val="bottom"/>
          </w:tcPr>
          <w:p w:rsidR="00000000" w:rsidRDefault="009C1C61">
            <w:pPr>
              <w:pStyle w:val="a2"/>
              <w:spacing w:line="220" w:lineRule="exact"/>
              <w:jc w:val="center"/>
              <w:rPr>
                <w:noProof/>
                <w:snapToGrid/>
                <w:sz w:val="18"/>
              </w:rPr>
            </w:pPr>
            <w:r>
              <w:rPr>
                <w:noProof/>
                <w:snapToGrid/>
                <w:sz w:val="18"/>
              </w:rPr>
              <w:t>–41.5</w:t>
            </w:r>
          </w:p>
        </w:tc>
      </w:tr>
      <w:tr w:rsidR="00000000">
        <w:tblPrEx>
          <w:tblCellMar>
            <w:top w:w="0" w:type="dxa"/>
            <w:bottom w:w="0" w:type="dxa"/>
          </w:tblCellMar>
        </w:tblPrEx>
        <w:trPr>
          <w:jc w:val="center"/>
        </w:trPr>
        <w:tc>
          <w:tcPr>
            <w:tcW w:w="2017"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占总户数的</w:t>
            </w:r>
            <w:r>
              <w:rPr>
                <w:noProof/>
                <w:snapToGrid/>
                <w:sz w:val="18"/>
              </w:rPr>
              <w:t xml:space="preserve">% </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12.9</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10</w:t>
            </w:r>
            <w:r>
              <w:rPr>
                <w:noProof/>
                <w:snapToGrid/>
                <w:sz w:val="18"/>
              </w:rPr>
              <w:t>.2</w:t>
            </w:r>
          </w:p>
        </w:tc>
        <w:tc>
          <w:tcPr>
            <w:tcW w:w="1292" w:type="dxa"/>
            <w:vAlign w:val="bottom"/>
          </w:tcPr>
          <w:p w:rsidR="00000000" w:rsidRDefault="009C1C61">
            <w:pPr>
              <w:pStyle w:val="a2"/>
              <w:spacing w:line="220" w:lineRule="exact"/>
              <w:ind w:right="113"/>
              <w:jc w:val="right"/>
              <w:rPr>
                <w:noProof/>
                <w:snapToGrid/>
                <w:sz w:val="18"/>
              </w:rPr>
            </w:pPr>
            <w:r>
              <w:rPr>
                <w:noProof/>
                <w:snapToGrid/>
                <w:sz w:val="18"/>
              </w:rPr>
              <w:t>9.0</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7.1</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6.4</w:t>
            </w:r>
          </w:p>
        </w:tc>
        <w:tc>
          <w:tcPr>
            <w:tcW w:w="1292" w:type="dxa"/>
            <w:vAlign w:val="bottom"/>
          </w:tcPr>
          <w:p w:rsidR="00000000" w:rsidRDefault="009C1C61">
            <w:pPr>
              <w:pStyle w:val="a2"/>
              <w:spacing w:line="220" w:lineRule="exact"/>
              <w:jc w:val="center"/>
              <w:rPr>
                <w:noProof/>
                <w:snapToGrid/>
                <w:sz w:val="18"/>
              </w:rPr>
            </w:pPr>
            <w:r>
              <w:rPr>
                <w:noProof/>
                <w:snapToGrid/>
                <w:sz w:val="18"/>
              </w:rPr>
              <w:t>–50.4</w:t>
            </w:r>
          </w:p>
        </w:tc>
      </w:tr>
      <w:tr w:rsidR="00000000">
        <w:tblPrEx>
          <w:tblCellMar>
            <w:top w:w="0" w:type="dxa"/>
            <w:bottom w:w="0" w:type="dxa"/>
          </w:tblCellMar>
        </w:tblPrEx>
        <w:trPr>
          <w:jc w:val="center"/>
        </w:trPr>
        <w:tc>
          <w:tcPr>
            <w:tcW w:w="2017" w:type="dxa"/>
            <w:vAlign w:val="bottom"/>
          </w:tcPr>
          <w:p w:rsidR="00000000" w:rsidRDefault="009C1C61">
            <w:pPr>
              <w:pStyle w:val="a2"/>
              <w:spacing w:line="220" w:lineRule="exact"/>
              <w:ind w:left="113"/>
              <w:rPr>
                <w:noProof/>
                <w:snapToGrid/>
                <w:sz w:val="18"/>
              </w:rPr>
            </w:pPr>
            <w:r>
              <w:rPr>
                <w:rFonts w:hint="eastAsia"/>
                <w:noProof/>
                <w:snapToGrid/>
                <w:sz w:val="18"/>
              </w:rPr>
              <w:t>个人数量</w:t>
            </w:r>
            <w:r>
              <w:rPr>
                <w:noProof/>
                <w:snapToGrid/>
                <w:sz w:val="18"/>
              </w:rPr>
              <w:t>(</w:t>
            </w:r>
            <w:r>
              <w:rPr>
                <w:rFonts w:hint="eastAsia"/>
                <w:noProof/>
                <w:snapToGrid/>
                <w:sz w:val="18"/>
              </w:rPr>
              <w:t>估计数</w:t>
            </w:r>
            <w:r>
              <w:rPr>
                <w:noProof/>
                <w:snapToGrid/>
                <w:sz w:val="18"/>
              </w:rPr>
              <w:t>)</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1,654,568</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1,351,872</w:t>
            </w:r>
          </w:p>
        </w:tc>
        <w:tc>
          <w:tcPr>
            <w:tcW w:w="1292" w:type="dxa"/>
            <w:vAlign w:val="bottom"/>
          </w:tcPr>
          <w:p w:rsidR="00000000" w:rsidRDefault="009C1C61">
            <w:pPr>
              <w:pStyle w:val="a2"/>
              <w:spacing w:line="220" w:lineRule="exact"/>
              <w:ind w:right="113"/>
              <w:jc w:val="right"/>
              <w:rPr>
                <w:noProof/>
                <w:snapToGrid/>
                <w:sz w:val="18"/>
              </w:rPr>
            </w:pPr>
            <w:r>
              <w:rPr>
                <w:noProof/>
                <w:snapToGrid/>
                <w:sz w:val="18"/>
              </w:rPr>
              <w:t>1,229,704</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1,006,411</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928,661</w:t>
            </w:r>
          </w:p>
        </w:tc>
        <w:tc>
          <w:tcPr>
            <w:tcW w:w="1292" w:type="dxa"/>
            <w:vAlign w:val="bottom"/>
          </w:tcPr>
          <w:p w:rsidR="00000000" w:rsidRDefault="009C1C61">
            <w:pPr>
              <w:pStyle w:val="a2"/>
              <w:spacing w:line="220" w:lineRule="exact"/>
              <w:jc w:val="center"/>
              <w:rPr>
                <w:noProof/>
                <w:snapToGrid/>
                <w:sz w:val="18"/>
              </w:rPr>
            </w:pPr>
            <w:r>
              <w:rPr>
                <w:noProof/>
                <w:snapToGrid/>
                <w:sz w:val="18"/>
              </w:rPr>
              <w:t>–43.9</w:t>
            </w:r>
          </w:p>
        </w:tc>
      </w:tr>
      <w:tr w:rsidR="00000000">
        <w:tblPrEx>
          <w:tblCellMar>
            <w:top w:w="0" w:type="dxa"/>
            <w:bottom w:w="0" w:type="dxa"/>
          </w:tblCellMar>
        </w:tblPrEx>
        <w:trPr>
          <w:jc w:val="center"/>
        </w:trPr>
        <w:tc>
          <w:tcPr>
            <w:tcW w:w="2017"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卫生设备不足</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375,956</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341,460</w:t>
            </w:r>
          </w:p>
        </w:tc>
        <w:tc>
          <w:tcPr>
            <w:tcW w:w="1292" w:type="dxa"/>
            <w:vAlign w:val="bottom"/>
          </w:tcPr>
          <w:p w:rsidR="00000000" w:rsidRDefault="009C1C61">
            <w:pPr>
              <w:pStyle w:val="a2"/>
              <w:spacing w:line="220" w:lineRule="exact"/>
              <w:ind w:right="113"/>
              <w:jc w:val="right"/>
              <w:rPr>
                <w:noProof/>
                <w:snapToGrid/>
                <w:sz w:val="18"/>
              </w:rPr>
            </w:pPr>
            <w:r>
              <w:rPr>
                <w:noProof/>
                <w:snapToGrid/>
                <w:sz w:val="18"/>
              </w:rPr>
              <w:t>321,579</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322,209</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283,583</w:t>
            </w:r>
          </w:p>
        </w:tc>
        <w:tc>
          <w:tcPr>
            <w:tcW w:w="1292" w:type="dxa"/>
            <w:vAlign w:val="bottom"/>
          </w:tcPr>
          <w:p w:rsidR="00000000" w:rsidRDefault="009C1C61">
            <w:pPr>
              <w:pStyle w:val="a2"/>
              <w:spacing w:line="220" w:lineRule="exact"/>
              <w:jc w:val="center"/>
              <w:rPr>
                <w:noProof/>
                <w:snapToGrid/>
                <w:sz w:val="18"/>
              </w:rPr>
            </w:pPr>
            <w:r>
              <w:rPr>
                <w:noProof/>
                <w:snapToGrid/>
                <w:sz w:val="18"/>
              </w:rPr>
              <w:t>–24.6</w:t>
            </w:r>
          </w:p>
        </w:tc>
      </w:tr>
      <w:tr w:rsidR="00000000">
        <w:tblPrEx>
          <w:tblCellMar>
            <w:top w:w="0" w:type="dxa"/>
            <w:bottom w:w="0" w:type="dxa"/>
          </w:tblCellMar>
        </w:tblPrEx>
        <w:trPr>
          <w:jc w:val="center"/>
        </w:trPr>
        <w:tc>
          <w:tcPr>
            <w:tcW w:w="2017" w:type="dxa"/>
            <w:vAlign w:val="bottom"/>
          </w:tcPr>
          <w:p w:rsidR="00000000" w:rsidRDefault="009C1C61">
            <w:pPr>
              <w:pStyle w:val="a2"/>
              <w:spacing w:line="220" w:lineRule="exact"/>
              <w:ind w:left="113"/>
              <w:rPr>
                <w:noProof/>
                <w:snapToGrid/>
                <w:sz w:val="18"/>
              </w:rPr>
            </w:pPr>
            <w:r>
              <w:rPr>
                <w:rFonts w:hint="eastAsia"/>
                <w:noProof/>
                <w:snapToGrid/>
                <w:sz w:val="18"/>
              </w:rPr>
              <w:t>占总户数的</w:t>
            </w:r>
            <w:r>
              <w:rPr>
                <w:noProof/>
                <w:snapToGrid/>
                <w:sz w:val="18"/>
              </w:rPr>
              <w:t>%</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11.9</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10.1</w:t>
            </w:r>
          </w:p>
        </w:tc>
        <w:tc>
          <w:tcPr>
            <w:tcW w:w="1292" w:type="dxa"/>
            <w:vAlign w:val="bottom"/>
          </w:tcPr>
          <w:p w:rsidR="00000000" w:rsidRDefault="009C1C61">
            <w:pPr>
              <w:pStyle w:val="a2"/>
              <w:spacing w:line="220" w:lineRule="exact"/>
              <w:ind w:right="113"/>
              <w:jc w:val="right"/>
              <w:rPr>
                <w:noProof/>
                <w:snapToGrid/>
                <w:sz w:val="18"/>
              </w:rPr>
            </w:pPr>
            <w:r>
              <w:rPr>
                <w:noProof/>
                <w:snapToGrid/>
                <w:sz w:val="18"/>
              </w:rPr>
              <w:t>9.1</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9.0</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7.6</w:t>
            </w:r>
          </w:p>
        </w:tc>
        <w:tc>
          <w:tcPr>
            <w:tcW w:w="1292" w:type="dxa"/>
            <w:vAlign w:val="bottom"/>
          </w:tcPr>
          <w:p w:rsidR="00000000" w:rsidRDefault="009C1C61">
            <w:pPr>
              <w:pStyle w:val="a2"/>
              <w:spacing w:line="220" w:lineRule="exact"/>
              <w:jc w:val="center"/>
              <w:rPr>
                <w:noProof/>
                <w:snapToGrid/>
                <w:sz w:val="18"/>
              </w:rPr>
            </w:pPr>
            <w:r>
              <w:rPr>
                <w:noProof/>
                <w:snapToGrid/>
                <w:sz w:val="18"/>
              </w:rPr>
              <w:t>–36.1</w:t>
            </w:r>
          </w:p>
        </w:tc>
      </w:tr>
      <w:tr w:rsidR="00000000">
        <w:tblPrEx>
          <w:tblCellMar>
            <w:top w:w="0" w:type="dxa"/>
            <w:bottom w:w="0" w:type="dxa"/>
          </w:tblCellMar>
        </w:tblPrEx>
        <w:trPr>
          <w:jc w:val="center"/>
        </w:trPr>
        <w:tc>
          <w:tcPr>
            <w:tcW w:w="2017" w:type="dxa"/>
            <w:vAlign w:val="bottom"/>
          </w:tcPr>
          <w:p w:rsidR="00000000" w:rsidRDefault="009C1C61">
            <w:pPr>
              <w:pStyle w:val="a2"/>
              <w:spacing w:line="220" w:lineRule="exact"/>
              <w:ind w:left="113"/>
              <w:rPr>
                <w:noProof/>
                <w:snapToGrid/>
                <w:sz w:val="18"/>
              </w:rPr>
            </w:pPr>
            <w:r>
              <w:rPr>
                <w:rFonts w:hint="eastAsia"/>
                <w:noProof/>
                <w:snapToGrid/>
                <w:sz w:val="18"/>
              </w:rPr>
              <w:t>个人数量</w:t>
            </w:r>
            <w:r>
              <w:rPr>
                <w:noProof/>
                <w:snapToGrid/>
                <w:sz w:val="18"/>
              </w:rPr>
              <w:t>* (</w:t>
            </w:r>
            <w:r>
              <w:rPr>
                <w:rFonts w:hint="eastAsia"/>
                <w:noProof/>
                <w:snapToGrid/>
                <w:sz w:val="18"/>
              </w:rPr>
              <w:t>估计数</w:t>
            </w:r>
            <w:r>
              <w:rPr>
                <w:noProof/>
                <w:snapToGrid/>
                <w:sz w:val="18"/>
              </w:rPr>
              <w:t>)</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1,523,048</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1,347,874</w:t>
            </w:r>
          </w:p>
        </w:tc>
        <w:tc>
          <w:tcPr>
            <w:tcW w:w="1292" w:type="dxa"/>
            <w:vAlign w:val="bottom"/>
          </w:tcPr>
          <w:p w:rsidR="00000000" w:rsidRDefault="009C1C61">
            <w:pPr>
              <w:pStyle w:val="a2"/>
              <w:spacing w:line="220" w:lineRule="exact"/>
              <w:ind w:right="113"/>
              <w:jc w:val="right"/>
              <w:rPr>
                <w:noProof/>
                <w:snapToGrid/>
                <w:sz w:val="18"/>
              </w:rPr>
            </w:pPr>
            <w:r>
              <w:rPr>
                <w:noProof/>
                <w:snapToGrid/>
                <w:sz w:val="18"/>
              </w:rPr>
              <w:t>1,247,798</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1,271,521</w:t>
            </w:r>
          </w:p>
        </w:tc>
        <w:tc>
          <w:tcPr>
            <w:tcW w:w="1291" w:type="dxa"/>
            <w:vAlign w:val="bottom"/>
          </w:tcPr>
          <w:p w:rsidR="00000000" w:rsidRDefault="009C1C61">
            <w:pPr>
              <w:pStyle w:val="a2"/>
              <w:spacing w:line="220" w:lineRule="exact"/>
              <w:ind w:right="113"/>
              <w:jc w:val="right"/>
              <w:rPr>
                <w:noProof/>
                <w:snapToGrid/>
                <w:sz w:val="18"/>
              </w:rPr>
            </w:pPr>
            <w:r>
              <w:rPr>
                <w:noProof/>
                <w:snapToGrid/>
                <w:sz w:val="18"/>
              </w:rPr>
              <w:t>1,102,968</w:t>
            </w:r>
          </w:p>
        </w:tc>
        <w:tc>
          <w:tcPr>
            <w:tcW w:w="1292" w:type="dxa"/>
            <w:vAlign w:val="bottom"/>
          </w:tcPr>
          <w:p w:rsidR="00000000" w:rsidRDefault="009C1C61">
            <w:pPr>
              <w:pStyle w:val="a2"/>
              <w:spacing w:line="220" w:lineRule="exact"/>
              <w:jc w:val="center"/>
              <w:rPr>
                <w:noProof/>
                <w:snapToGrid/>
                <w:sz w:val="18"/>
              </w:rPr>
            </w:pPr>
            <w:r>
              <w:rPr>
                <w:noProof/>
                <w:snapToGrid/>
                <w:sz w:val="18"/>
              </w:rPr>
              <w:t>–27.6</w:t>
            </w:r>
          </w:p>
        </w:tc>
      </w:tr>
    </w:tbl>
    <w:p w:rsidR="00000000" w:rsidRDefault="009C1C61">
      <w:pPr>
        <w:pStyle w:val="EndnoteText"/>
        <w:spacing w:before="180" w:line="240" w:lineRule="auto"/>
        <w:ind w:left="1530" w:hanging="1280"/>
        <w:rPr>
          <w:snapToGrid/>
          <w:sz w:val="20"/>
        </w:rPr>
      </w:pPr>
      <w:r>
        <w:rPr>
          <w:rFonts w:hint="eastAsia"/>
          <w:snapToGrid/>
          <w:sz w:val="20"/>
          <w:u w:val="single"/>
        </w:rPr>
        <w:t>资料来源</w:t>
      </w:r>
      <w:r>
        <w:rPr>
          <w:rFonts w:hint="eastAsia"/>
          <w:snapToGrid/>
          <w:sz w:val="20"/>
        </w:rPr>
        <w:t>：</w:t>
      </w:r>
      <w:r>
        <w:rPr>
          <w:rFonts w:hint="eastAsia"/>
          <w:snapToGrid/>
          <w:sz w:val="20"/>
        </w:rPr>
        <w:tab/>
      </w:r>
      <w:r>
        <w:rPr>
          <w:rFonts w:hint="eastAsia"/>
          <w:snapToGrid/>
          <w:sz w:val="20"/>
        </w:rPr>
        <w:t>规合部，</w:t>
      </w:r>
      <w:r>
        <w:rPr>
          <w:rFonts w:hint="eastAsia"/>
          <w:snapToGrid/>
          <w:sz w:val="20"/>
        </w:rPr>
        <w:t>社经特征调查：</w:t>
      </w:r>
      <w:r>
        <w:rPr>
          <w:rFonts w:hint="eastAsia"/>
          <w:snapToGrid/>
          <w:sz w:val="20"/>
        </w:rPr>
        <w:t>1987-1998</w:t>
      </w:r>
      <w:r>
        <w:rPr>
          <w:rFonts w:hint="eastAsia"/>
          <w:snapToGrid/>
          <w:sz w:val="20"/>
        </w:rPr>
        <w:t>年模块系列，社会司。</w:t>
      </w:r>
    </w:p>
    <w:p w:rsidR="00000000" w:rsidRDefault="009C1C61">
      <w:pPr>
        <w:pStyle w:val="EndnoteText"/>
        <w:spacing w:after="320" w:line="240" w:lineRule="auto"/>
        <w:ind w:left="1530" w:hanging="500"/>
        <w:rPr>
          <w:snapToGrid/>
          <w:sz w:val="20"/>
        </w:rPr>
      </w:pPr>
      <w:r>
        <w:rPr>
          <w:snapToGrid/>
          <w:sz w:val="20"/>
        </w:rPr>
        <w:t>*</w:t>
      </w:r>
      <w:r>
        <w:rPr>
          <w:rFonts w:hint="eastAsia"/>
          <w:snapToGrid/>
          <w:sz w:val="20"/>
        </w:rPr>
        <w:tab/>
      </w:r>
      <w:r>
        <w:rPr>
          <w:rFonts w:hint="eastAsia"/>
          <w:snapToGrid/>
          <w:sz w:val="20"/>
        </w:rPr>
        <w:t>根据社经特征调查确立的每年</w:t>
      </w:r>
      <w:r>
        <w:rPr>
          <w:rFonts w:hint="eastAsia"/>
          <w:noProof/>
          <w:snapToGrid/>
          <w:sz w:val="20"/>
        </w:rPr>
        <w:t>居民户的</w:t>
      </w:r>
      <w:r>
        <w:rPr>
          <w:rFonts w:hint="eastAsia"/>
          <w:snapToGrid/>
          <w:sz w:val="20"/>
        </w:rPr>
        <w:t>平均规模。</w:t>
      </w:r>
    </w:p>
    <w:p w:rsidR="00000000" w:rsidRDefault="009C1C61">
      <w:pPr>
        <w:rPr>
          <w:rFonts w:hint="eastAsia"/>
          <w:snapToGrid/>
        </w:rPr>
      </w:pPr>
      <w:r>
        <w:rPr>
          <w:snapToGrid/>
        </w:rPr>
        <w:tab/>
        <w:t xml:space="preserve">552.  </w:t>
      </w:r>
      <w:r>
        <w:rPr>
          <w:rFonts w:hint="eastAsia"/>
          <w:snapToGrid/>
        </w:rPr>
        <w:t>关于过分拥挤的住房，社经特征调查出版物也报告了一些例子。</w:t>
      </w:r>
      <w:r>
        <w:rPr>
          <w:snapToGrid/>
        </w:rPr>
        <w:t>1998</w:t>
      </w:r>
      <w:r>
        <w:rPr>
          <w:rFonts w:hint="eastAsia"/>
          <w:snapToGrid/>
        </w:rPr>
        <w:t>年，估计有</w:t>
      </w:r>
      <w:r>
        <w:rPr>
          <w:snapToGrid/>
        </w:rPr>
        <w:t>57,812</w:t>
      </w:r>
      <w:r>
        <w:rPr>
          <w:rFonts w:hint="eastAsia"/>
          <w:snapToGrid/>
        </w:rPr>
        <w:t>户人口过于拥挤，这占了全国总数的</w:t>
      </w:r>
      <w:r>
        <w:rPr>
          <w:snapToGrid/>
        </w:rPr>
        <w:t>1.5%</w:t>
      </w:r>
      <w:r>
        <w:rPr>
          <w:rFonts w:hint="eastAsia"/>
          <w:snapToGrid/>
        </w:rPr>
        <w:t>，与</w:t>
      </w:r>
      <w:r>
        <w:rPr>
          <w:rFonts w:hint="eastAsia"/>
          <w:snapToGrid/>
        </w:rPr>
        <w:t>1990</w:t>
      </w:r>
      <w:r>
        <w:rPr>
          <w:rFonts w:hint="eastAsia"/>
          <w:snapToGrid/>
        </w:rPr>
        <w:t>年此类情况的</w:t>
      </w:r>
      <w:r>
        <w:rPr>
          <w:rFonts w:hint="eastAsia"/>
          <w:noProof/>
          <w:snapToGrid/>
        </w:rPr>
        <w:t>居民户</w:t>
      </w:r>
      <w:r>
        <w:rPr>
          <w:rFonts w:hint="eastAsia"/>
          <w:snapToGrid/>
        </w:rPr>
        <w:t>数相比，减少了</w:t>
      </w:r>
      <w:r>
        <w:rPr>
          <w:snapToGrid/>
        </w:rPr>
        <w:t>44%(</w:t>
      </w:r>
      <w:r>
        <w:rPr>
          <w:rFonts w:hint="eastAsia"/>
          <w:snapToGrid/>
        </w:rPr>
        <w:t>见表</w:t>
      </w:r>
      <w:r>
        <w:rPr>
          <w:snapToGrid/>
        </w:rPr>
        <w:t>29)</w:t>
      </w:r>
      <w:r>
        <w:rPr>
          <w:rFonts w:hint="eastAsia"/>
          <w:snapToGrid/>
        </w:rPr>
        <w:t>。</w:t>
      </w:r>
    </w:p>
    <w:p w:rsidR="00000000" w:rsidRDefault="009C1C61">
      <w:pPr>
        <w:pStyle w:val="Heading3"/>
        <w:spacing w:after="160"/>
      </w:pPr>
      <w:r>
        <w:rPr>
          <w:rFonts w:hint="eastAsia"/>
        </w:rPr>
        <w:t>表</w:t>
      </w:r>
      <w:r>
        <w:t xml:space="preserve"> </w:t>
      </w:r>
      <w:r>
        <w:rPr>
          <w:b/>
          <w:bCs/>
        </w:rPr>
        <w:t>29</w:t>
      </w:r>
      <w:r>
        <w:rPr>
          <w:b/>
          <w:bCs/>
        </w:rPr>
        <w:br/>
      </w:r>
      <w:r>
        <w:rPr>
          <w:rFonts w:hint="eastAsia"/>
        </w:rPr>
        <w:t>智利住房过于拥挤的</w:t>
      </w:r>
      <w:r>
        <w:rPr>
          <w:rFonts w:hint="eastAsia"/>
          <w:noProof/>
        </w:rPr>
        <w:t>居民户</w:t>
      </w:r>
      <w:r>
        <w:rPr>
          <w:rFonts w:hint="eastAsia"/>
        </w:rPr>
        <w:t>的数量</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59"/>
        <w:gridCol w:w="964"/>
        <w:gridCol w:w="965"/>
        <w:gridCol w:w="964"/>
        <w:gridCol w:w="965"/>
        <w:gridCol w:w="965"/>
        <w:gridCol w:w="1671"/>
      </w:tblGrid>
      <w:tr w:rsidR="00000000">
        <w:tblPrEx>
          <w:tblCellMar>
            <w:top w:w="0" w:type="dxa"/>
            <w:bottom w:w="0" w:type="dxa"/>
          </w:tblCellMar>
        </w:tblPrEx>
        <w:trPr>
          <w:jc w:val="center"/>
        </w:trPr>
        <w:tc>
          <w:tcPr>
            <w:tcW w:w="2859" w:type="dxa"/>
            <w:vAlign w:val="center"/>
          </w:tcPr>
          <w:p w:rsidR="00000000" w:rsidRDefault="009C1C61">
            <w:pPr>
              <w:pStyle w:val="a2"/>
              <w:jc w:val="center"/>
              <w:rPr>
                <w:noProof/>
                <w:snapToGrid/>
                <w:spacing w:val="0"/>
                <w:sz w:val="20"/>
              </w:rPr>
            </w:pPr>
          </w:p>
        </w:tc>
        <w:tc>
          <w:tcPr>
            <w:tcW w:w="964" w:type="dxa"/>
            <w:vAlign w:val="center"/>
          </w:tcPr>
          <w:p w:rsidR="00000000" w:rsidRDefault="009C1C61">
            <w:pPr>
              <w:pStyle w:val="a2"/>
              <w:jc w:val="center"/>
              <w:rPr>
                <w:noProof/>
                <w:snapToGrid/>
                <w:spacing w:val="0"/>
                <w:sz w:val="20"/>
              </w:rPr>
            </w:pPr>
            <w:r>
              <w:rPr>
                <w:noProof/>
                <w:snapToGrid/>
                <w:spacing w:val="0"/>
                <w:sz w:val="20"/>
              </w:rPr>
              <w:t>1990</w:t>
            </w:r>
          </w:p>
        </w:tc>
        <w:tc>
          <w:tcPr>
            <w:tcW w:w="965" w:type="dxa"/>
            <w:vAlign w:val="center"/>
          </w:tcPr>
          <w:p w:rsidR="00000000" w:rsidRDefault="009C1C61">
            <w:pPr>
              <w:pStyle w:val="a2"/>
              <w:jc w:val="center"/>
              <w:rPr>
                <w:noProof/>
                <w:snapToGrid/>
                <w:spacing w:val="0"/>
                <w:sz w:val="20"/>
              </w:rPr>
            </w:pPr>
            <w:r>
              <w:rPr>
                <w:noProof/>
                <w:snapToGrid/>
                <w:spacing w:val="0"/>
                <w:sz w:val="20"/>
              </w:rPr>
              <w:t>1992</w:t>
            </w:r>
          </w:p>
        </w:tc>
        <w:tc>
          <w:tcPr>
            <w:tcW w:w="964" w:type="dxa"/>
            <w:vAlign w:val="center"/>
          </w:tcPr>
          <w:p w:rsidR="00000000" w:rsidRDefault="009C1C61">
            <w:pPr>
              <w:pStyle w:val="a2"/>
              <w:jc w:val="center"/>
              <w:rPr>
                <w:noProof/>
                <w:snapToGrid/>
                <w:spacing w:val="0"/>
                <w:sz w:val="20"/>
              </w:rPr>
            </w:pPr>
            <w:r>
              <w:rPr>
                <w:noProof/>
                <w:snapToGrid/>
                <w:spacing w:val="0"/>
                <w:sz w:val="20"/>
              </w:rPr>
              <w:t>1994</w:t>
            </w:r>
          </w:p>
        </w:tc>
        <w:tc>
          <w:tcPr>
            <w:tcW w:w="965" w:type="dxa"/>
            <w:vAlign w:val="center"/>
          </w:tcPr>
          <w:p w:rsidR="00000000" w:rsidRDefault="009C1C61">
            <w:pPr>
              <w:pStyle w:val="a2"/>
              <w:jc w:val="center"/>
              <w:rPr>
                <w:noProof/>
                <w:snapToGrid/>
                <w:spacing w:val="0"/>
                <w:sz w:val="20"/>
              </w:rPr>
            </w:pPr>
            <w:r>
              <w:rPr>
                <w:noProof/>
                <w:snapToGrid/>
                <w:spacing w:val="0"/>
                <w:sz w:val="20"/>
              </w:rPr>
              <w:t>1996</w:t>
            </w:r>
          </w:p>
        </w:tc>
        <w:tc>
          <w:tcPr>
            <w:tcW w:w="965" w:type="dxa"/>
            <w:vAlign w:val="center"/>
          </w:tcPr>
          <w:p w:rsidR="00000000" w:rsidRDefault="009C1C61">
            <w:pPr>
              <w:pStyle w:val="a2"/>
              <w:jc w:val="center"/>
              <w:rPr>
                <w:noProof/>
                <w:snapToGrid/>
                <w:spacing w:val="0"/>
                <w:sz w:val="20"/>
              </w:rPr>
            </w:pPr>
            <w:r>
              <w:rPr>
                <w:noProof/>
                <w:snapToGrid/>
                <w:spacing w:val="0"/>
                <w:sz w:val="20"/>
              </w:rPr>
              <w:t>1998</w:t>
            </w:r>
          </w:p>
        </w:tc>
        <w:tc>
          <w:tcPr>
            <w:tcW w:w="1671" w:type="dxa"/>
            <w:vAlign w:val="center"/>
          </w:tcPr>
          <w:p w:rsidR="00000000" w:rsidRDefault="009C1C61">
            <w:pPr>
              <w:pStyle w:val="a2"/>
              <w:jc w:val="center"/>
              <w:rPr>
                <w:rFonts w:hint="eastAsia"/>
                <w:noProof/>
                <w:snapToGrid/>
                <w:spacing w:val="0"/>
                <w:sz w:val="20"/>
              </w:rPr>
            </w:pPr>
            <w:r>
              <w:rPr>
                <w:noProof/>
                <w:snapToGrid/>
                <w:spacing w:val="0"/>
                <w:sz w:val="20"/>
              </w:rPr>
              <w:t>1990-98</w:t>
            </w:r>
            <w:r>
              <w:rPr>
                <w:noProof/>
                <w:snapToGrid/>
                <w:spacing w:val="0"/>
                <w:sz w:val="20"/>
              </w:rPr>
              <w:br/>
            </w:r>
            <w:r>
              <w:rPr>
                <w:rFonts w:hint="eastAsia"/>
                <w:noProof/>
                <w:snapToGrid/>
                <w:spacing w:val="0"/>
                <w:sz w:val="20"/>
              </w:rPr>
              <w:t>百分比变化</w:t>
            </w:r>
          </w:p>
        </w:tc>
      </w:tr>
      <w:tr w:rsidR="00000000">
        <w:tblPrEx>
          <w:tblCellMar>
            <w:top w:w="0" w:type="dxa"/>
            <w:bottom w:w="0" w:type="dxa"/>
          </w:tblCellMar>
        </w:tblPrEx>
        <w:trPr>
          <w:jc w:val="center"/>
        </w:trPr>
        <w:tc>
          <w:tcPr>
            <w:tcW w:w="2859" w:type="dxa"/>
            <w:vAlign w:val="bottom"/>
          </w:tcPr>
          <w:p w:rsidR="00000000" w:rsidRDefault="009C1C61">
            <w:pPr>
              <w:pStyle w:val="a2"/>
              <w:ind w:left="113"/>
              <w:rPr>
                <w:noProof/>
                <w:snapToGrid/>
                <w:spacing w:val="0"/>
                <w:sz w:val="20"/>
              </w:rPr>
            </w:pPr>
            <w:r>
              <w:rPr>
                <w:rFonts w:hint="eastAsia"/>
                <w:noProof/>
                <w:snapToGrid/>
                <w:spacing w:val="0"/>
                <w:sz w:val="20"/>
              </w:rPr>
              <w:t>住房过于拥挤居民户的数量</w:t>
            </w:r>
          </w:p>
        </w:tc>
        <w:tc>
          <w:tcPr>
            <w:tcW w:w="964" w:type="dxa"/>
            <w:vAlign w:val="bottom"/>
          </w:tcPr>
          <w:p w:rsidR="00000000" w:rsidRDefault="009C1C61">
            <w:pPr>
              <w:pStyle w:val="a2"/>
              <w:ind w:right="113"/>
              <w:jc w:val="right"/>
              <w:rPr>
                <w:noProof/>
                <w:snapToGrid/>
                <w:spacing w:val="0"/>
                <w:sz w:val="20"/>
              </w:rPr>
            </w:pPr>
            <w:r>
              <w:rPr>
                <w:noProof/>
                <w:snapToGrid/>
                <w:spacing w:val="0"/>
                <w:sz w:val="20"/>
              </w:rPr>
              <w:t>103,551</w:t>
            </w:r>
          </w:p>
        </w:tc>
        <w:tc>
          <w:tcPr>
            <w:tcW w:w="965" w:type="dxa"/>
            <w:vAlign w:val="bottom"/>
          </w:tcPr>
          <w:p w:rsidR="00000000" w:rsidRDefault="009C1C61">
            <w:pPr>
              <w:pStyle w:val="a2"/>
              <w:ind w:right="113"/>
              <w:jc w:val="right"/>
              <w:rPr>
                <w:noProof/>
                <w:snapToGrid/>
                <w:spacing w:val="0"/>
                <w:sz w:val="20"/>
              </w:rPr>
            </w:pPr>
            <w:r>
              <w:rPr>
                <w:noProof/>
                <w:snapToGrid/>
                <w:spacing w:val="0"/>
                <w:sz w:val="20"/>
              </w:rPr>
              <w:t>94,975</w:t>
            </w:r>
          </w:p>
        </w:tc>
        <w:tc>
          <w:tcPr>
            <w:tcW w:w="964" w:type="dxa"/>
            <w:vAlign w:val="bottom"/>
          </w:tcPr>
          <w:p w:rsidR="00000000" w:rsidRDefault="009C1C61">
            <w:pPr>
              <w:pStyle w:val="a2"/>
              <w:ind w:right="113"/>
              <w:jc w:val="right"/>
              <w:rPr>
                <w:noProof/>
                <w:snapToGrid/>
                <w:spacing w:val="0"/>
                <w:sz w:val="20"/>
              </w:rPr>
            </w:pPr>
            <w:r>
              <w:rPr>
                <w:noProof/>
                <w:snapToGrid/>
                <w:spacing w:val="0"/>
                <w:sz w:val="20"/>
              </w:rPr>
              <w:t>87,840</w:t>
            </w:r>
          </w:p>
        </w:tc>
        <w:tc>
          <w:tcPr>
            <w:tcW w:w="965" w:type="dxa"/>
            <w:vAlign w:val="bottom"/>
          </w:tcPr>
          <w:p w:rsidR="00000000" w:rsidRDefault="009C1C61">
            <w:pPr>
              <w:pStyle w:val="a2"/>
              <w:ind w:right="113"/>
              <w:jc w:val="right"/>
              <w:rPr>
                <w:noProof/>
                <w:snapToGrid/>
                <w:spacing w:val="0"/>
                <w:sz w:val="20"/>
              </w:rPr>
            </w:pPr>
            <w:r>
              <w:rPr>
                <w:noProof/>
                <w:snapToGrid/>
                <w:spacing w:val="0"/>
                <w:sz w:val="20"/>
              </w:rPr>
              <w:t>18,7</w:t>
            </w:r>
            <w:r>
              <w:rPr>
                <w:noProof/>
                <w:snapToGrid/>
                <w:spacing w:val="0"/>
                <w:sz w:val="20"/>
              </w:rPr>
              <w:t>91</w:t>
            </w:r>
          </w:p>
        </w:tc>
        <w:tc>
          <w:tcPr>
            <w:tcW w:w="965" w:type="dxa"/>
            <w:vAlign w:val="bottom"/>
          </w:tcPr>
          <w:p w:rsidR="00000000" w:rsidRDefault="009C1C61">
            <w:pPr>
              <w:pStyle w:val="a2"/>
              <w:ind w:right="113"/>
              <w:jc w:val="right"/>
              <w:rPr>
                <w:noProof/>
                <w:snapToGrid/>
                <w:spacing w:val="0"/>
                <w:sz w:val="20"/>
              </w:rPr>
            </w:pPr>
            <w:r>
              <w:rPr>
                <w:noProof/>
                <w:snapToGrid/>
                <w:spacing w:val="0"/>
                <w:sz w:val="20"/>
              </w:rPr>
              <w:t>57,812</w:t>
            </w:r>
          </w:p>
        </w:tc>
        <w:tc>
          <w:tcPr>
            <w:tcW w:w="1671" w:type="dxa"/>
            <w:vAlign w:val="bottom"/>
          </w:tcPr>
          <w:p w:rsidR="00000000" w:rsidRDefault="009C1C61">
            <w:pPr>
              <w:pStyle w:val="a2"/>
              <w:jc w:val="center"/>
              <w:rPr>
                <w:noProof/>
                <w:snapToGrid/>
                <w:spacing w:val="0"/>
                <w:sz w:val="20"/>
              </w:rPr>
            </w:pPr>
            <w:r>
              <w:rPr>
                <w:noProof/>
                <w:snapToGrid/>
                <w:spacing w:val="0"/>
                <w:sz w:val="20"/>
              </w:rPr>
              <w:t>–44.2</w:t>
            </w:r>
          </w:p>
        </w:tc>
      </w:tr>
      <w:tr w:rsidR="00000000">
        <w:tblPrEx>
          <w:tblCellMar>
            <w:top w:w="0" w:type="dxa"/>
            <w:bottom w:w="0" w:type="dxa"/>
          </w:tblCellMar>
        </w:tblPrEx>
        <w:trPr>
          <w:jc w:val="center"/>
        </w:trPr>
        <w:tc>
          <w:tcPr>
            <w:tcW w:w="2859" w:type="dxa"/>
            <w:vAlign w:val="bottom"/>
          </w:tcPr>
          <w:p w:rsidR="00000000" w:rsidRDefault="009C1C61">
            <w:pPr>
              <w:pStyle w:val="a2"/>
              <w:ind w:left="113"/>
              <w:rPr>
                <w:rFonts w:hint="eastAsia"/>
                <w:noProof/>
                <w:snapToGrid/>
                <w:spacing w:val="0"/>
                <w:sz w:val="20"/>
              </w:rPr>
            </w:pPr>
            <w:r>
              <w:rPr>
                <w:rFonts w:hint="eastAsia"/>
                <w:noProof/>
                <w:snapToGrid/>
                <w:spacing w:val="0"/>
                <w:sz w:val="20"/>
              </w:rPr>
              <w:t>占总户数的百分比</w:t>
            </w:r>
          </w:p>
        </w:tc>
        <w:tc>
          <w:tcPr>
            <w:tcW w:w="964" w:type="dxa"/>
            <w:vAlign w:val="bottom"/>
          </w:tcPr>
          <w:p w:rsidR="00000000" w:rsidRDefault="009C1C61">
            <w:pPr>
              <w:pStyle w:val="a2"/>
              <w:ind w:right="113"/>
              <w:jc w:val="right"/>
              <w:rPr>
                <w:noProof/>
                <w:snapToGrid/>
                <w:spacing w:val="0"/>
                <w:sz w:val="20"/>
              </w:rPr>
            </w:pPr>
            <w:r>
              <w:rPr>
                <w:noProof/>
                <w:snapToGrid/>
                <w:spacing w:val="0"/>
                <w:sz w:val="20"/>
              </w:rPr>
              <w:t>3.3</w:t>
            </w:r>
          </w:p>
        </w:tc>
        <w:tc>
          <w:tcPr>
            <w:tcW w:w="965" w:type="dxa"/>
            <w:vAlign w:val="bottom"/>
          </w:tcPr>
          <w:p w:rsidR="00000000" w:rsidRDefault="009C1C61">
            <w:pPr>
              <w:pStyle w:val="a2"/>
              <w:ind w:right="113"/>
              <w:jc w:val="right"/>
              <w:rPr>
                <w:noProof/>
                <w:snapToGrid/>
                <w:spacing w:val="0"/>
                <w:sz w:val="20"/>
              </w:rPr>
            </w:pPr>
            <w:r>
              <w:rPr>
                <w:noProof/>
                <w:snapToGrid/>
                <w:spacing w:val="0"/>
                <w:sz w:val="20"/>
              </w:rPr>
              <w:t>2.8</w:t>
            </w:r>
          </w:p>
        </w:tc>
        <w:tc>
          <w:tcPr>
            <w:tcW w:w="964" w:type="dxa"/>
            <w:vAlign w:val="bottom"/>
          </w:tcPr>
          <w:p w:rsidR="00000000" w:rsidRDefault="009C1C61">
            <w:pPr>
              <w:pStyle w:val="a2"/>
              <w:ind w:right="113"/>
              <w:jc w:val="right"/>
              <w:rPr>
                <w:noProof/>
                <w:snapToGrid/>
                <w:spacing w:val="0"/>
                <w:sz w:val="20"/>
              </w:rPr>
            </w:pPr>
            <w:r>
              <w:rPr>
                <w:noProof/>
                <w:snapToGrid/>
                <w:spacing w:val="0"/>
                <w:sz w:val="20"/>
              </w:rPr>
              <w:t>2.5</w:t>
            </w:r>
          </w:p>
        </w:tc>
        <w:tc>
          <w:tcPr>
            <w:tcW w:w="965" w:type="dxa"/>
            <w:vAlign w:val="bottom"/>
          </w:tcPr>
          <w:p w:rsidR="00000000" w:rsidRDefault="009C1C61">
            <w:pPr>
              <w:pStyle w:val="a2"/>
              <w:ind w:right="113"/>
              <w:jc w:val="right"/>
              <w:rPr>
                <w:noProof/>
                <w:snapToGrid/>
                <w:spacing w:val="0"/>
                <w:sz w:val="20"/>
              </w:rPr>
            </w:pPr>
            <w:r>
              <w:rPr>
                <w:noProof/>
                <w:snapToGrid/>
                <w:spacing w:val="0"/>
                <w:sz w:val="20"/>
              </w:rPr>
              <w:t>0.5</w:t>
            </w:r>
          </w:p>
        </w:tc>
        <w:tc>
          <w:tcPr>
            <w:tcW w:w="965" w:type="dxa"/>
            <w:vAlign w:val="bottom"/>
          </w:tcPr>
          <w:p w:rsidR="00000000" w:rsidRDefault="009C1C61">
            <w:pPr>
              <w:pStyle w:val="a2"/>
              <w:ind w:right="113"/>
              <w:jc w:val="right"/>
              <w:rPr>
                <w:noProof/>
                <w:snapToGrid/>
                <w:spacing w:val="0"/>
                <w:sz w:val="20"/>
              </w:rPr>
            </w:pPr>
            <w:r>
              <w:rPr>
                <w:noProof/>
                <w:snapToGrid/>
                <w:spacing w:val="0"/>
                <w:sz w:val="20"/>
              </w:rPr>
              <w:t>1.5</w:t>
            </w:r>
          </w:p>
        </w:tc>
        <w:tc>
          <w:tcPr>
            <w:tcW w:w="1671" w:type="dxa"/>
            <w:vAlign w:val="bottom"/>
          </w:tcPr>
          <w:p w:rsidR="00000000" w:rsidRDefault="009C1C61">
            <w:pPr>
              <w:pStyle w:val="a2"/>
              <w:jc w:val="center"/>
              <w:rPr>
                <w:noProof/>
                <w:snapToGrid/>
                <w:spacing w:val="0"/>
                <w:sz w:val="20"/>
              </w:rPr>
            </w:pPr>
            <w:r>
              <w:rPr>
                <w:noProof/>
                <w:snapToGrid/>
                <w:spacing w:val="0"/>
                <w:sz w:val="20"/>
              </w:rPr>
              <w:t>–52.7</w:t>
            </w:r>
          </w:p>
        </w:tc>
      </w:tr>
    </w:tbl>
    <w:p w:rsidR="00000000" w:rsidRDefault="009C1C61">
      <w:pPr>
        <w:pStyle w:val="EndnoteText"/>
        <w:spacing w:before="120" w:after="240"/>
        <w:rPr>
          <w:snapToGrid/>
          <w:sz w:val="20"/>
        </w:rPr>
      </w:pPr>
      <w:r>
        <w:rPr>
          <w:rFonts w:hint="eastAsia"/>
          <w:snapToGrid/>
          <w:sz w:val="20"/>
          <w:u w:val="single"/>
        </w:rPr>
        <w:t>资料来源</w:t>
      </w:r>
      <w:r>
        <w:rPr>
          <w:rFonts w:hint="eastAsia"/>
          <w:snapToGrid/>
          <w:sz w:val="20"/>
        </w:rPr>
        <w:t>：规合部，社经特征调查：</w:t>
      </w:r>
      <w:r>
        <w:rPr>
          <w:rFonts w:hint="eastAsia"/>
          <w:snapToGrid/>
          <w:sz w:val="20"/>
        </w:rPr>
        <w:t>1987-1998</w:t>
      </w:r>
      <w:r>
        <w:rPr>
          <w:rFonts w:hint="eastAsia"/>
          <w:snapToGrid/>
          <w:sz w:val="20"/>
        </w:rPr>
        <w:t>年模块系列，社会司。</w:t>
      </w:r>
    </w:p>
    <w:p w:rsidR="00000000" w:rsidRDefault="009C1C61">
      <w:pPr>
        <w:pStyle w:val="Heading4"/>
        <w:spacing w:after="60"/>
        <w:rPr>
          <w:rFonts w:ascii="Time New Roman" w:eastAsia="SimHei" w:hAnsi="Time New Roman"/>
          <w:u w:val="none"/>
        </w:rPr>
      </w:pPr>
      <w:r>
        <w:rPr>
          <w:rFonts w:ascii="Time New Roman" w:eastAsia="SimHei" w:hAnsi="Time New Roman" w:hint="eastAsia"/>
          <w:u w:val="none"/>
        </w:rPr>
        <w:t>目前住房短缺的减少</w:t>
      </w:r>
      <w:r>
        <w:rPr>
          <w:rFonts w:ascii="Time New Roman" w:eastAsia="SimHei" w:hAnsi="Time New Roman"/>
          <w:u w:val="none"/>
        </w:rPr>
        <w:t xml:space="preserve"> </w:t>
      </w:r>
      <w:r>
        <w:rPr>
          <w:rStyle w:val="FootnoteReference"/>
          <w:u w:val="none"/>
        </w:rPr>
        <w:footnoteReference w:id="254"/>
      </w:r>
    </w:p>
    <w:p w:rsidR="00000000" w:rsidRDefault="009C1C61">
      <w:pPr>
        <w:rPr>
          <w:rFonts w:hint="eastAsia"/>
          <w:snapToGrid/>
        </w:rPr>
      </w:pPr>
      <w:r>
        <w:rPr>
          <w:snapToGrid/>
        </w:rPr>
        <w:tab/>
        <w:t xml:space="preserve">553.  </w:t>
      </w:r>
      <w:r>
        <w:rPr>
          <w:rFonts w:hint="eastAsia"/>
          <w:snapToGrid/>
        </w:rPr>
        <w:t>住在物质条件不足的房屋中的</w:t>
      </w:r>
      <w:r>
        <w:rPr>
          <w:rFonts w:hint="eastAsia"/>
          <w:noProof/>
          <w:snapToGrid/>
        </w:rPr>
        <w:t>居民户</w:t>
      </w:r>
      <w:r>
        <w:rPr>
          <w:rFonts w:hint="eastAsia"/>
          <w:snapToGrid/>
        </w:rPr>
        <w:t>的数量由</w:t>
      </w:r>
      <w:r>
        <w:rPr>
          <w:rFonts w:hint="eastAsia"/>
          <w:snapToGrid/>
        </w:rPr>
        <w:t>1990</w:t>
      </w:r>
      <w:r>
        <w:rPr>
          <w:rFonts w:hint="eastAsia"/>
          <w:snapToGrid/>
        </w:rPr>
        <w:t>年的</w:t>
      </w:r>
      <w:r>
        <w:rPr>
          <w:snapToGrid/>
        </w:rPr>
        <w:t>12.9%</w:t>
      </w:r>
      <w:r>
        <w:rPr>
          <w:rFonts w:hint="eastAsia"/>
          <w:snapToGrid/>
        </w:rPr>
        <w:t>下降到</w:t>
      </w:r>
      <w:r>
        <w:rPr>
          <w:snapToGrid/>
        </w:rPr>
        <w:t>199</w:t>
      </w:r>
      <w:r>
        <w:rPr>
          <w:rFonts w:hint="eastAsia"/>
          <w:snapToGrid/>
        </w:rPr>
        <w:t>8</w:t>
      </w:r>
      <w:r>
        <w:rPr>
          <w:rFonts w:hint="eastAsia"/>
          <w:snapToGrid/>
        </w:rPr>
        <w:t>年</w:t>
      </w:r>
      <w:r>
        <w:rPr>
          <w:snapToGrid/>
        </w:rPr>
        <w:t>6.4%</w:t>
      </w:r>
      <w:r>
        <w:rPr>
          <w:rFonts w:hint="eastAsia"/>
          <w:snapToGrid/>
        </w:rPr>
        <w:t>。收入五等分层的所有各层均是如此，尽管它们之间仍然存在着差别。</w:t>
      </w:r>
      <w:r>
        <w:rPr>
          <w:snapToGrid/>
        </w:rPr>
        <w:t>1998</w:t>
      </w:r>
      <w:r>
        <w:rPr>
          <w:rFonts w:hint="eastAsia"/>
          <w:snapToGrid/>
        </w:rPr>
        <w:t>年，这种住房短缺影响了五等分层第</w:t>
      </w:r>
      <w:r>
        <w:rPr>
          <w:rFonts w:hint="eastAsia"/>
          <w:snapToGrid/>
        </w:rPr>
        <w:t>1</w:t>
      </w:r>
      <w:r>
        <w:rPr>
          <w:rFonts w:hint="eastAsia"/>
          <w:snapToGrid/>
        </w:rPr>
        <w:t>层中的</w:t>
      </w:r>
      <w:r>
        <w:rPr>
          <w:snapToGrid/>
        </w:rPr>
        <w:t>13.9%</w:t>
      </w:r>
      <w:r>
        <w:rPr>
          <w:rFonts w:hint="eastAsia"/>
          <w:snapToGrid/>
        </w:rPr>
        <w:t>的</w:t>
      </w:r>
      <w:r>
        <w:rPr>
          <w:rFonts w:hint="eastAsia"/>
          <w:noProof/>
          <w:snapToGrid/>
        </w:rPr>
        <w:t>居民户</w:t>
      </w:r>
      <w:r>
        <w:rPr>
          <w:rFonts w:hint="eastAsia"/>
          <w:snapToGrid/>
        </w:rPr>
        <w:t>，而五等分层第</w:t>
      </w:r>
      <w:r>
        <w:rPr>
          <w:rFonts w:hint="eastAsia"/>
          <w:snapToGrid/>
        </w:rPr>
        <w:t>5</w:t>
      </w:r>
      <w:r>
        <w:rPr>
          <w:rFonts w:hint="eastAsia"/>
          <w:snapToGrid/>
        </w:rPr>
        <w:t>层中的</w:t>
      </w:r>
      <w:r>
        <w:rPr>
          <w:rFonts w:hint="eastAsia"/>
          <w:noProof/>
          <w:snapToGrid/>
        </w:rPr>
        <w:t>居民户</w:t>
      </w:r>
      <w:r>
        <w:rPr>
          <w:rFonts w:hint="eastAsia"/>
          <w:snapToGrid/>
        </w:rPr>
        <w:t>只有</w:t>
      </w:r>
      <w:r>
        <w:rPr>
          <w:snapToGrid/>
        </w:rPr>
        <w:t>0.8%</w:t>
      </w:r>
      <w:r>
        <w:rPr>
          <w:rFonts w:hint="eastAsia"/>
          <w:snapToGrid/>
        </w:rPr>
        <w:t>受到了影响。城市地区住在物质条件不足的住房</w:t>
      </w:r>
      <w:r>
        <w:rPr>
          <w:rFonts w:hint="eastAsia"/>
          <w:snapToGrid/>
        </w:rPr>
        <w:t>中的</w:t>
      </w:r>
      <w:r>
        <w:rPr>
          <w:rFonts w:hint="eastAsia"/>
          <w:noProof/>
          <w:snapToGrid/>
        </w:rPr>
        <w:t>居民户</w:t>
      </w:r>
      <w:r>
        <w:rPr>
          <w:rFonts w:hint="eastAsia"/>
          <w:snapToGrid/>
        </w:rPr>
        <w:t>由</w:t>
      </w:r>
      <w:r>
        <w:rPr>
          <w:rFonts w:hint="eastAsia"/>
          <w:snapToGrid/>
        </w:rPr>
        <w:t>1990</w:t>
      </w:r>
      <w:r>
        <w:rPr>
          <w:rFonts w:hint="eastAsia"/>
          <w:snapToGrid/>
        </w:rPr>
        <w:t>年的</w:t>
      </w:r>
      <w:r>
        <w:rPr>
          <w:snapToGrid/>
        </w:rPr>
        <w:t>10.5%</w:t>
      </w:r>
      <w:r>
        <w:rPr>
          <w:rFonts w:hint="eastAsia"/>
          <w:snapToGrid/>
        </w:rPr>
        <w:t>下降到</w:t>
      </w:r>
      <w:r>
        <w:rPr>
          <w:rFonts w:hint="eastAsia"/>
          <w:snapToGrid/>
        </w:rPr>
        <w:t>1998</w:t>
      </w:r>
      <w:r>
        <w:rPr>
          <w:rFonts w:hint="eastAsia"/>
          <w:snapToGrid/>
        </w:rPr>
        <w:t>年的</w:t>
      </w:r>
      <w:r>
        <w:rPr>
          <w:snapToGrid/>
        </w:rPr>
        <w:t>4.8%</w:t>
      </w:r>
      <w:r>
        <w:rPr>
          <w:rFonts w:hint="eastAsia"/>
          <w:snapToGrid/>
        </w:rPr>
        <w:t>。在收入五等分层所有各层中也都有所下降。</w:t>
      </w:r>
      <w:r>
        <w:rPr>
          <w:snapToGrid/>
        </w:rPr>
        <w:t>1998</w:t>
      </w:r>
      <w:r>
        <w:rPr>
          <w:rFonts w:hint="eastAsia"/>
          <w:snapToGrid/>
        </w:rPr>
        <w:t>年，五等分层第</w:t>
      </w:r>
      <w:r>
        <w:rPr>
          <w:rFonts w:hint="eastAsia"/>
          <w:snapToGrid/>
        </w:rPr>
        <w:t>1</w:t>
      </w:r>
      <w:r>
        <w:rPr>
          <w:rFonts w:hint="eastAsia"/>
          <w:snapToGrid/>
        </w:rPr>
        <w:t>层中有</w:t>
      </w:r>
      <w:r>
        <w:rPr>
          <w:snapToGrid/>
        </w:rPr>
        <w:t>11.3%</w:t>
      </w:r>
      <w:r>
        <w:rPr>
          <w:rFonts w:hint="eastAsia"/>
          <w:snapToGrid/>
        </w:rPr>
        <w:t>的</w:t>
      </w:r>
      <w:r>
        <w:rPr>
          <w:rFonts w:hint="eastAsia"/>
          <w:noProof/>
          <w:snapToGrid/>
        </w:rPr>
        <w:t>居民户</w:t>
      </w:r>
      <w:r>
        <w:rPr>
          <w:rFonts w:hint="eastAsia"/>
          <w:snapToGrid/>
        </w:rPr>
        <w:t>受影响，而五等分层第</w:t>
      </w:r>
      <w:r>
        <w:rPr>
          <w:rFonts w:hint="eastAsia"/>
          <w:snapToGrid/>
        </w:rPr>
        <w:t>5</w:t>
      </w:r>
      <w:r>
        <w:rPr>
          <w:rFonts w:hint="eastAsia"/>
          <w:snapToGrid/>
        </w:rPr>
        <w:t>层中只有</w:t>
      </w:r>
      <w:r>
        <w:rPr>
          <w:snapToGrid/>
        </w:rPr>
        <w:t>0.5%</w:t>
      </w:r>
      <w:r>
        <w:rPr>
          <w:rFonts w:hint="eastAsia"/>
          <w:snapToGrid/>
        </w:rPr>
        <w:t>的受到影响。</w:t>
      </w:r>
    </w:p>
    <w:p w:rsidR="00000000" w:rsidRDefault="009C1C61">
      <w:pPr>
        <w:rPr>
          <w:rFonts w:hint="eastAsia"/>
          <w:snapToGrid/>
        </w:rPr>
      </w:pPr>
      <w:r>
        <w:rPr>
          <w:snapToGrid/>
        </w:rPr>
        <w:tab/>
        <w:t xml:space="preserve">554.  </w:t>
      </w:r>
      <w:r>
        <w:rPr>
          <w:rFonts w:hint="eastAsia"/>
          <w:snapToGrid/>
        </w:rPr>
        <w:t>城市地区住在卫生设备不足的住房中的</w:t>
      </w:r>
      <w:r>
        <w:rPr>
          <w:rFonts w:hint="eastAsia"/>
          <w:noProof/>
          <w:snapToGrid/>
        </w:rPr>
        <w:t>居民户</w:t>
      </w:r>
      <w:r>
        <w:rPr>
          <w:rFonts w:hint="eastAsia"/>
          <w:snapToGrid/>
        </w:rPr>
        <w:t>的数量，由</w:t>
      </w:r>
      <w:r>
        <w:rPr>
          <w:rFonts w:hint="eastAsia"/>
          <w:snapToGrid/>
        </w:rPr>
        <w:t>1990</w:t>
      </w:r>
      <w:r>
        <w:rPr>
          <w:rFonts w:hint="eastAsia"/>
          <w:snapToGrid/>
        </w:rPr>
        <w:t>的</w:t>
      </w:r>
      <w:r>
        <w:rPr>
          <w:snapToGrid/>
        </w:rPr>
        <w:t>2.4%</w:t>
      </w:r>
      <w:r>
        <w:rPr>
          <w:rFonts w:hint="eastAsia"/>
          <w:snapToGrid/>
        </w:rPr>
        <w:t>下降到</w:t>
      </w:r>
      <w:r>
        <w:rPr>
          <w:rFonts w:hint="eastAsia"/>
          <w:snapToGrid/>
        </w:rPr>
        <w:t>1998</w:t>
      </w:r>
      <w:r>
        <w:rPr>
          <w:rFonts w:hint="eastAsia"/>
          <w:snapToGrid/>
        </w:rPr>
        <w:t>年的</w:t>
      </w:r>
      <w:r>
        <w:rPr>
          <w:snapToGrid/>
        </w:rPr>
        <w:t>1%</w:t>
      </w:r>
      <w:r>
        <w:rPr>
          <w:rFonts w:hint="eastAsia"/>
          <w:snapToGrid/>
        </w:rPr>
        <w:t>。同年，五等分层第</w:t>
      </w:r>
      <w:r>
        <w:rPr>
          <w:rFonts w:hint="eastAsia"/>
          <w:snapToGrid/>
        </w:rPr>
        <w:t>1</w:t>
      </w:r>
      <w:r>
        <w:rPr>
          <w:rFonts w:hint="eastAsia"/>
          <w:snapToGrid/>
        </w:rPr>
        <w:t>层中有</w:t>
      </w:r>
      <w:r>
        <w:rPr>
          <w:snapToGrid/>
        </w:rPr>
        <w:t>2.5%</w:t>
      </w:r>
      <w:r>
        <w:rPr>
          <w:rFonts w:hint="eastAsia"/>
          <w:snapToGrid/>
        </w:rPr>
        <w:t>卫生设备不足，而五等分层第</w:t>
      </w:r>
      <w:r>
        <w:rPr>
          <w:rFonts w:hint="eastAsia"/>
          <w:snapToGrid/>
        </w:rPr>
        <w:t>5</w:t>
      </w:r>
      <w:r>
        <w:rPr>
          <w:rFonts w:hint="eastAsia"/>
          <w:snapToGrid/>
        </w:rPr>
        <w:t>层中只有</w:t>
      </w:r>
      <w:r>
        <w:rPr>
          <w:snapToGrid/>
        </w:rPr>
        <w:t>0.2%</w:t>
      </w:r>
      <w:r>
        <w:rPr>
          <w:rFonts w:hint="eastAsia"/>
          <w:snapToGrid/>
        </w:rPr>
        <w:t>的</w:t>
      </w:r>
      <w:r>
        <w:rPr>
          <w:rFonts w:hint="eastAsia"/>
          <w:noProof/>
          <w:snapToGrid/>
        </w:rPr>
        <w:t>居民户</w:t>
      </w:r>
      <w:r>
        <w:rPr>
          <w:rFonts w:hint="eastAsia"/>
          <w:snapToGrid/>
        </w:rPr>
        <w:t>遇到同样情况。</w:t>
      </w:r>
      <w:r>
        <w:rPr>
          <w:rFonts w:hint="eastAsia"/>
          <w:snapToGrid/>
        </w:rPr>
        <w:t>1998</w:t>
      </w:r>
      <w:r>
        <w:rPr>
          <w:rFonts w:hint="eastAsia"/>
          <w:snapToGrid/>
        </w:rPr>
        <w:t>年，农村地区住在卫生设备不足的住房中的</w:t>
      </w:r>
      <w:r>
        <w:rPr>
          <w:rFonts w:hint="eastAsia"/>
          <w:noProof/>
          <w:snapToGrid/>
        </w:rPr>
        <w:t>居民户</w:t>
      </w:r>
      <w:r>
        <w:rPr>
          <w:rFonts w:hint="eastAsia"/>
          <w:snapToGrid/>
        </w:rPr>
        <w:t>的数量，由</w:t>
      </w:r>
      <w:r>
        <w:rPr>
          <w:rFonts w:hint="eastAsia"/>
          <w:snapToGrid/>
        </w:rPr>
        <w:t>1990</w:t>
      </w:r>
      <w:r>
        <w:rPr>
          <w:rFonts w:hint="eastAsia"/>
          <w:snapToGrid/>
        </w:rPr>
        <w:t>年的</w:t>
      </w:r>
      <w:r>
        <w:rPr>
          <w:snapToGrid/>
        </w:rPr>
        <w:t>54%</w:t>
      </w:r>
      <w:r>
        <w:rPr>
          <w:rFonts w:hint="eastAsia"/>
          <w:snapToGrid/>
        </w:rPr>
        <w:t>下降到</w:t>
      </w:r>
      <w:r>
        <w:rPr>
          <w:rFonts w:hint="eastAsia"/>
          <w:snapToGrid/>
        </w:rPr>
        <w:t>1998</w:t>
      </w:r>
      <w:r>
        <w:rPr>
          <w:rFonts w:hint="eastAsia"/>
          <w:snapToGrid/>
        </w:rPr>
        <w:t>年的</w:t>
      </w:r>
      <w:r>
        <w:rPr>
          <w:snapToGrid/>
        </w:rPr>
        <w:t>47.8%</w:t>
      </w:r>
      <w:r>
        <w:rPr>
          <w:rFonts w:hint="eastAsia"/>
          <w:snapToGrid/>
        </w:rPr>
        <w:t>。同年，五等分层第</w:t>
      </w:r>
      <w:r>
        <w:rPr>
          <w:rFonts w:hint="eastAsia"/>
          <w:snapToGrid/>
        </w:rPr>
        <w:t>1</w:t>
      </w:r>
      <w:r>
        <w:rPr>
          <w:rFonts w:hint="eastAsia"/>
          <w:snapToGrid/>
        </w:rPr>
        <w:t>层中有</w:t>
      </w:r>
      <w:r>
        <w:rPr>
          <w:snapToGrid/>
        </w:rPr>
        <w:t>58.3%</w:t>
      </w:r>
      <w:r>
        <w:rPr>
          <w:rFonts w:hint="eastAsia"/>
          <w:snapToGrid/>
        </w:rPr>
        <w:t>的</w:t>
      </w:r>
      <w:r>
        <w:rPr>
          <w:rFonts w:hint="eastAsia"/>
          <w:noProof/>
          <w:snapToGrid/>
        </w:rPr>
        <w:t>居民户</w:t>
      </w:r>
      <w:r>
        <w:rPr>
          <w:rFonts w:hint="eastAsia"/>
          <w:snapToGrid/>
        </w:rPr>
        <w:t>受到影响，而五等分层第</w:t>
      </w:r>
      <w:r>
        <w:rPr>
          <w:rFonts w:hint="eastAsia"/>
          <w:snapToGrid/>
        </w:rPr>
        <w:t>5</w:t>
      </w:r>
      <w:r>
        <w:rPr>
          <w:rFonts w:hint="eastAsia"/>
          <w:snapToGrid/>
        </w:rPr>
        <w:t>层中只有</w:t>
      </w:r>
      <w:r>
        <w:rPr>
          <w:snapToGrid/>
        </w:rPr>
        <w:t>30.3%</w:t>
      </w:r>
      <w:r>
        <w:rPr>
          <w:rFonts w:hint="eastAsia"/>
          <w:snapToGrid/>
        </w:rPr>
        <w:t>的</w:t>
      </w:r>
      <w:r>
        <w:rPr>
          <w:rFonts w:hint="eastAsia"/>
          <w:noProof/>
          <w:snapToGrid/>
        </w:rPr>
        <w:t>居民户</w:t>
      </w:r>
      <w:r>
        <w:rPr>
          <w:rFonts w:hint="eastAsia"/>
          <w:snapToGrid/>
        </w:rPr>
        <w:t>卫</w:t>
      </w:r>
      <w:r>
        <w:rPr>
          <w:rFonts w:hint="eastAsia"/>
          <w:snapToGrid/>
          <w:color w:val="000000"/>
        </w:rPr>
        <w:t>生设备不足</w:t>
      </w:r>
      <w:r>
        <w:rPr>
          <w:rFonts w:hint="eastAsia"/>
          <w:snapToGrid/>
        </w:rPr>
        <w:t>。</w:t>
      </w:r>
    </w:p>
    <w:p w:rsidR="00000000" w:rsidRDefault="009C1C61">
      <w:pPr>
        <w:rPr>
          <w:rFonts w:hint="eastAsia"/>
          <w:snapToGrid/>
        </w:rPr>
      </w:pPr>
      <w:r>
        <w:rPr>
          <w:snapToGrid/>
        </w:rPr>
        <w:tab/>
        <w:t xml:space="preserve">555.  </w:t>
      </w:r>
      <w:r>
        <w:rPr>
          <w:rFonts w:hint="eastAsia"/>
          <w:snapToGrid/>
        </w:rPr>
        <w:t>自</w:t>
      </w:r>
      <w:r>
        <w:rPr>
          <w:snapToGrid/>
        </w:rPr>
        <w:t>1990</w:t>
      </w:r>
      <w:r>
        <w:rPr>
          <w:rFonts w:hint="eastAsia"/>
          <w:snapToGrid/>
        </w:rPr>
        <w:t>年至</w:t>
      </w:r>
      <w:r>
        <w:rPr>
          <w:snapToGrid/>
        </w:rPr>
        <w:t>1998</w:t>
      </w:r>
      <w:r>
        <w:rPr>
          <w:rFonts w:hint="eastAsia"/>
          <w:snapToGrid/>
        </w:rPr>
        <w:t>年，住在适合居住的住房里的</w:t>
      </w:r>
      <w:r>
        <w:rPr>
          <w:rFonts w:hint="eastAsia"/>
          <w:noProof/>
          <w:snapToGrid/>
        </w:rPr>
        <w:t>居民户</w:t>
      </w:r>
      <w:r>
        <w:rPr>
          <w:rFonts w:hint="eastAsia"/>
          <w:snapToGrid/>
        </w:rPr>
        <w:t>的数量由</w:t>
      </w:r>
      <w:r>
        <w:rPr>
          <w:snapToGrid/>
        </w:rPr>
        <w:t>3.7%</w:t>
      </w:r>
      <w:r>
        <w:rPr>
          <w:rFonts w:hint="eastAsia"/>
          <w:snapToGrid/>
        </w:rPr>
        <w:t>下降到</w:t>
      </w:r>
      <w:r>
        <w:rPr>
          <w:snapToGrid/>
        </w:rPr>
        <w:t>1.7%</w:t>
      </w:r>
      <w:r>
        <w:rPr>
          <w:rFonts w:hint="eastAsia"/>
          <w:snapToGrid/>
        </w:rPr>
        <w:t>。</w:t>
      </w:r>
      <w:r>
        <w:rPr>
          <w:snapToGrid/>
        </w:rPr>
        <w:t>1998</w:t>
      </w:r>
      <w:r>
        <w:rPr>
          <w:rFonts w:hint="eastAsia"/>
          <w:snapToGrid/>
        </w:rPr>
        <w:t>年，五等分层第</w:t>
      </w:r>
      <w:r>
        <w:rPr>
          <w:rFonts w:hint="eastAsia"/>
          <w:snapToGrid/>
        </w:rPr>
        <w:t>1</w:t>
      </w:r>
      <w:r>
        <w:rPr>
          <w:rFonts w:hint="eastAsia"/>
          <w:snapToGrid/>
        </w:rPr>
        <w:t>层中有</w:t>
      </w:r>
      <w:r>
        <w:rPr>
          <w:snapToGrid/>
        </w:rPr>
        <w:t>4.7%</w:t>
      </w:r>
      <w:r>
        <w:rPr>
          <w:rFonts w:hint="eastAsia"/>
          <w:snapToGrid/>
        </w:rPr>
        <w:t>的</w:t>
      </w:r>
      <w:r>
        <w:rPr>
          <w:rFonts w:hint="eastAsia"/>
          <w:noProof/>
          <w:snapToGrid/>
        </w:rPr>
        <w:t>居民户</w:t>
      </w:r>
      <w:r>
        <w:rPr>
          <w:rFonts w:hint="eastAsia"/>
          <w:snapToGrid/>
        </w:rPr>
        <w:t>遇到了同样的问题，可五等分层第</w:t>
      </w:r>
      <w:r>
        <w:rPr>
          <w:rFonts w:hint="eastAsia"/>
          <w:snapToGrid/>
        </w:rPr>
        <w:t>5</w:t>
      </w:r>
      <w:r>
        <w:rPr>
          <w:rFonts w:hint="eastAsia"/>
          <w:snapToGrid/>
        </w:rPr>
        <w:t>层中只有</w:t>
      </w:r>
      <w:r>
        <w:rPr>
          <w:snapToGrid/>
        </w:rPr>
        <w:t>0.2%</w:t>
      </w:r>
      <w:r>
        <w:rPr>
          <w:rFonts w:hint="eastAsia"/>
          <w:snapToGrid/>
        </w:rPr>
        <w:t>的</w:t>
      </w:r>
      <w:r>
        <w:rPr>
          <w:rFonts w:hint="eastAsia"/>
          <w:noProof/>
          <w:snapToGrid/>
        </w:rPr>
        <w:t>居民户</w:t>
      </w:r>
      <w:r>
        <w:rPr>
          <w:rFonts w:hint="eastAsia"/>
          <w:snapToGrid/>
        </w:rPr>
        <w:t>有这种问题。自</w:t>
      </w:r>
      <w:r>
        <w:rPr>
          <w:snapToGrid/>
        </w:rPr>
        <w:t>1990</w:t>
      </w:r>
      <w:r>
        <w:rPr>
          <w:rFonts w:hint="eastAsia"/>
          <w:snapToGrid/>
        </w:rPr>
        <w:t>至</w:t>
      </w:r>
      <w:r>
        <w:rPr>
          <w:snapToGrid/>
        </w:rPr>
        <w:t>1998</w:t>
      </w:r>
      <w:r>
        <w:rPr>
          <w:rFonts w:hint="eastAsia"/>
          <w:snapToGrid/>
        </w:rPr>
        <w:t>年，住在不适合居住的住房里的居民户的数量下降。</w:t>
      </w:r>
      <w:r>
        <w:rPr>
          <w:snapToGrid/>
        </w:rPr>
        <w:t>1998</w:t>
      </w:r>
      <w:r>
        <w:rPr>
          <w:rFonts w:hint="eastAsia"/>
          <w:snapToGrid/>
        </w:rPr>
        <w:t>年，这种问题只影响了五等分层第</w:t>
      </w:r>
      <w:r>
        <w:rPr>
          <w:rFonts w:hint="eastAsia"/>
          <w:snapToGrid/>
        </w:rPr>
        <w:t>1</w:t>
      </w:r>
      <w:r>
        <w:rPr>
          <w:rFonts w:hint="eastAsia"/>
          <w:snapToGrid/>
        </w:rPr>
        <w:t>层中</w:t>
      </w:r>
      <w:r>
        <w:rPr>
          <w:snapToGrid/>
        </w:rPr>
        <w:t>2.1%</w:t>
      </w:r>
      <w:r>
        <w:rPr>
          <w:rFonts w:hint="eastAsia"/>
          <w:snapToGrid/>
        </w:rPr>
        <w:t>的居民户，却根据没有影响到五等分层第</w:t>
      </w:r>
      <w:r>
        <w:rPr>
          <w:rFonts w:hint="eastAsia"/>
          <w:snapToGrid/>
        </w:rPr>
        <w:t>5</w:t>
      </w:r>
      <w:r>
        <w:rPr>
          <w:rFonts w:hint="eastAsia"/>
          <w:snapToGrid/>
        </w:rPr>
        <w:t>层的居民户。自</w:t>
      </w:r>
      <w:r>
        <w:rPr>
          <w:snapToGrid/>
        </w:rPr>
        <w:t>1990</w:t>
      </w:r>
      <w:r>
        <w:rPr>
          <w:rFonts w:hint="eastAsia"/>
          <w:snapToGrid/>
        </w:rPr>
        <w:t>至</w:t>
      </w:r>
      <w:r>
        <w:rPr>
          <w:snapToGrid/>
        </w:rPr>
        <w:t>1998</w:t>
      </w:r>
      <w:r>
        <w:rPr>
          <w:rFonts w:hint="eastAsia"/>
          <w:snapToGrid/>
        </w:rPr>
        <w:t>年，住在不适合居住的住房里的居民户的百分比由</w:t>
      </w:r>
      <w:r>
        <w:rPr>
          <w:snapToGrid/>
        </w:rPr>
        <w:t>16.7%</w:t>
      </w:r>
      <w:r>
        <w:rPr>
          <w:rFonts w:hint="eastAsia"/>
          <w:snapToGrid/>
        </w:rPr>
        <w:t>下降到</w:t>
      </w:r>
      <w:r>
        <w:rPr>
          <w:snapToGrid/>
        </w:rPr>
        <w:t>9.9%</w:t>
      </w:r>
      <w:r>
        <w:rPr>
          <w:rFonts w:hint="eastAsia"/>
          <w:snapToGrid/>
        </w:rPr>
        <w:t>。然而，五等分层各层之间仍然存在着差别。</w:t>
      </w:r>
      <w:r>
        <w:rPr>
          <w:snapToGrid/>
        </w:rPr>
        <w:t>1998</w:t>
      </w:r>
      <w:r>
        <w:rPr>
          <w:rFonts w:hint="eastAsia"/>
          <w:snapToGrid/>
        </w:rPr>
        <w:t>年，五等分层第</w:t>
      </w:r>
      <w:r>
        <w:rPr>
          <w:rFonts w:hint="eastAsia"/>
          <w:snapToGrid/>
        </w:rPr>
        <w:t>5</w:t>
      </w:r>
      <w:r>
        <w:rPr>
          <w:rFonts w:hint="eastAsia"/>
          <w:snapToGrid/>
        </w:rPr>
        <w:t>层中只</w:t>
      </w:r>
      <w:r>
        <w:rPr>
          <w:snapToGrid/>
        </w:rPr>
        <w:t>3.5%</w:t>
      </w:r>
      <w:r>
        <w:rPr>
          <w:rFonts w:hint="eastAsia"/>
          <w:snapToGrid/>
        </w:rPr>
        <w:t>的居民户遇到了房屋不适合居住问题，而五等分层第</w:t>
      </w:r>
      <w:r>
        <w:rPr>
          <w:rFonts w:hint="eastAsia"/>
          <w:snapToGrid/>
        </w:rPr>
        <w:t>1</w:t>
      </w:r>
      <w:r>
        <w:rPr>
          <w:rFonts w:hint="eastAsia"/>
          <w:snapToGrid/>
        </w:rPr>
        <w:t>层中则有</w:t>
      </w:r>
      <w:r>
        <w:rPr>
          <w:snapToGrid/>
        </w:rPr>
        <w:t>14.1%</w:t>
      </w:r>
      <w:r>
        <w:rPr>
          <w:rFonts w:hint="eastAsia"/>
          <w:snapToGrid/>
        </w:rPr>
        <w:t>的遇到同样问题。</w:t>
      </w:r>
    </w:p>
    <w:p w:rsidR="00000000" w:rsidRDefault="009C1C61">
      <w:pPr>
        <w:rPr>
          <w:rFonts w:hint="eastAsia"/>
          <w:snapToGrid/>
        </w:rPr>
      </w:pPr>
      <w:r>
        <w:rPr>
          <w:snapToGrid/>
        </w:rPr>
        <w:tab/>
        <w:t xml:space="preserve">556.  </w:t>
      </w:r>
      <w:r>
        <w:rPr>
          <w:rFonts w:hint="eastAsia"/>
          <w:snapToGrid/>
        </w:rPr>
        <w:t>自</w:t>
      </w:r>
      <w:r>
        <w:rPr>
          <w:snapToGrid/>
        </w:rPr>
        <w:t>1990</w:t>
      </w:r>
      <w:r>
        <w:rPr>
          <w:rFonts w:hint="eastAsia"/>
          <w:snapToGrid/>
        </w:rPr>
        <w:t>至</w:t>
      </w:r>
      <w:r>
        <w:rPr>
          <w:snapToGrid/>
        </w:rPr>
        <w:t xml:space="preserve">1998, </w:t>
      </w:r>
      <w:r>
        <w:rPr>
          <w:rFonts w:hint="eastAsia"/>
          <w:snapToGrid/>
        </w:rPr>
        <w:t>住在物质条件、卫生设备和适居性均不足的住房中的居民户的数量，由</w:t>
      </w:r>
      <w:r>
        <w:rPr>
          <w:snapToGrid/>
        </w:rPr>
        <w:t>666,000</w:t>
      </w:r>
      <w:r>
        <w:rPr>
          <w:rFonts w:hint="eastAsia"/>
          <w:snapToGrid/>
        </w:rPr>
        <w:t>户下降到</w:t>
      </w:r>
      <w:r>
        <w:rPr>
          <w:snapToGrid/>
        </w:rPr>
        <w:t>460,000</w:t>
      </w:r>
      <w:r>
        <w:rPr>
          <w:rFonts w:hint="eastAsia"/>
          <w:snapToGrid/>
        </w:rPr>
        <w:t>户。</w:t>
      </w:r>
    </w:p>
    <w:p w:rsidR="00000000" w:rsidRDefault="009C1C61">
      <w:pPr>
        <w:rPr>
          <w:rFonts w:hint="eastAsia"/>
          <w:snapToGrid/>
        </w:rPr>
      </w:pPr>
      <w:r>
        <w:rPr>
          <w:snapToGrid/>
        </w:rPr>
        <w:tab/>
        <w:t xml:space="preserve">557.  </w:t>
      </w:r>
      <w:r>
        <w:rPr>
          <w:rFonts w:hint="eastAsia"/>
          <w:snapToGrid/>
        </w:rPr>
        <w:t>在城市地区，这十年期间，住在质量合格的住房中的居民户的百分比增加了。</w:t>
      </w:r>
      <w:r>
        <w:rPr>
          <w:snapToGrid/>
        </w:rPr>
        <w:t>1990</w:t>
      </w:r>
      <w:r>
        <w:rPr>
          <w:rFonts w:hint="eastAsia"/>
          <w:snapToGrid/>
        </w:rPr>
        <w:t>年，</w:t>
      </w:r>
      <w:r>
        <w:rPr>
          <w:snapToGrid/>
        </w:rPr>
        <w:t>87.8%</w:t>
      </w:r>
      <w:r>
        <w:rPr>
          <w:rFonts w:hint="eastAsia"/>
          <w:snapToGrid/>
        </w:rPr>
        <w:t>的居民户住房不存在质量不合格问题；</w:t>
      </w:r>
      <w:r>
        <w:rPr>
          <w:snapToGrid/>
        </w:rPr>
        <w:t>1</w:t>
      </w:r>
      <w:r>
        <w:rPr>
          <w:snapToGrid/>
        </w:rPr>
        <w:t>998</w:t>
      </w:r>
      <w:r>
        <w:rPr>
          <w:rFonts w:hint="eastAsia"/>
          <w:snapToGrid/>
        </w:rPr>
        <w:t>年，有高达</w:t>
      </w:r>
      <w:r>
        <w:rPr>
          <w:snapToGrid/>
        </w:rPr>
        <w:t>94.5%</w:t>
      </w:r>
      <w:r>
        <w:rPr>
          <w:rFonts w:hint="eastAsia"/>
          <w:snapToGrid/>
        </w:rPr>
        <w:t>的居民户住房不存在质量问题。然而，十等分层各层之间仍然存在着差别。</w:t>
      </w:r>
      <w:r>
        <w:rPr>
          <w:snapToGrid/>
        </w:rPr>
        <w:t>1998</w:t>
      </w:r>
      <w:r>
        <w:rPr>
          <w:rFonts w:hint="eastAsia"/>
          <w:snapToGrid/>
        </w:rPr>
        <w:t>年，五等分层第</w:t>
      </w:r>
      <w:r>
        <w:rPr>
          <w:rFonts w:hint="eastAsia"/>
          <w:snapToGrid/>
        </w:rPr>
        <w:t>1</w:t>
      </w:r>
      <w:r>
        <w:rPr>
          <w:rFonts w:hint="eastAsia"/>
          <w:snapToGrid/>
        </w:rPr>
        <w:t>层有</w:t>
      </w:r>
      <w:r>
        <w:rPr>
          <w:snapToGrid/>
        </w:rPr>
        <w:t>87.1%</w:t>
      </w:r>
      <w:r>
        <w:rPr>
          <w:rFonts w:hint="eastAsia"/>
          <w:snapToGrid/>
        </w:rPr>
        <w:t>的居民户没有遇到质量不合格问题</w:t>
      </w:r>
      <w:r>
        <w:rPr>
          <w:snapToGrid/>
        </w:rPr>
        <w:t>，</w:t>
      </w:r>
      <w:r>
        <w:rPr>
          <w:rFonts w:hint="eastAsia"/>
          <w:snapToGrid/>
        </w:rPr>
        <w:t>而五等分层第</w:t>
      </w:r>
      <w:r>
        <w:rPr>
          <w:rFonts w:hint="eastAsia"/>
          <w:snapToGrid/>
        </w:rPr>
        <w:t>5</w:t>
      </w:r>
      <w:r>
        <w:rPr>
          <w:rFonts w:hint="eastAsia"/>
          <w:snapToGrid/>
        </w:rPr>
        <w:t>层则有高达</w:t>
      </w:r>
      <w:r>
        <w:rPr>
          <w:snapToGrid/>
        </w:rPr>
        <w:t>99.3%</w:t>
      </w:r>
      <w:r>
        <w:rPr>
          <w:rFonts w:hint="eastAsia"/>
          <w:snapToGrid/>
        </w:rPr>
        <w:t>的居民户没有此类问题。在农村地区，这十年期间，住在质量合格的住房中的居民户的百分比增加了。</w:t>
      </w:r>
      <w:r>
        <w:rPr>
          <w:snapToGrid/>
        </w:rPr>
        <w:t>1990</w:t>
      </w:r>
      <w:r>
        <w:rPr>
          <w:rFonts w:hint="eastAsia"/>
          <w:snapToGrid/>
        </w:rPr>
        <w:t>年，有</w:t>
      </w:r>
      <w:r>
        <w:rPr>
          <w:snapToGrid/>
        </w:rPr>
        <w:t>39.4%</w:t>
      </w:r>
      <w:r>
        <w:rPr>
          <w:rFonts w:hint="eastAsia"/>
          <w:snapToGrid/>
        </w:rPr>
        <w:t>的居民户住房不存在质量问题；</w:t>
      </w:r>
      <w:r>
        <w:rPr>
          <w:snapToGrid/>
        </w:rPr>
        <w:t>1998</w:t>
      </w:r>
      <w:r>
        <w:rPr>
          <w:rFonts w:hint="eastAsia"/>
          <w:snapToGrid/>
        </w:rPr>
        <w:t>年，则有多达</w:t>
      </w:r>
      <w:r>
        <w:rPr>
          <w:snapToGrid/>
        </w:rPr>
        <w:t>46.2%</w:t>
      </w:r>
      <w:r>
        <w:rPr>
          <w:rFonts w:hint="eastAsia"/>
          <w:snapToGrid/>
        </w:rPr>
        <w:t>的居民户没有此类问题。然而，五等分层各层之间仍然存在着差别。</w:t>
      </w:r>
      <w:r>
        <w:rPr>
          <w:snapToGrid/>
        </w:rPr>
        <w:t>1988</w:t>
      </w:r>
      <w:r>
        <w:rPr>
          <w:rFonts w:hint="eastAsia"/>
          <w:snapToGrid/>
        </w:rPr>
        <w:t>年，五等分层第</w:t>
      </w:r>
      <w:r>
        <w:rPr>
          <w:rFonts w:hint="eastAsia"/>
          <w:snapToGrid/>
        </w:rPr>
        <w:t>1</w:t>
      </w:r>
      <w:r>
        <w:rPr>
          <w:rFonts w:hint="eastAsia"/>
          <w:snapToGrid/>
        </w:rPr>
        <w:t>层有</w:t>
      </w:r>
      <w:r>
        <w:rPr>
          <w:snapToGrid/>
        </w:rPr>
        <w:t>35.3%</w:t>
      </w:r>
      <w:r>
        <w:rPr>
          <w:rFonts w:hint="eastAsia"/>
          <w:snapToGrid/>
        </w:rPr>
        <w:t>没有遇到质量不合格问题，而五等分层第</w:t>
      </w:r>
      <w:r>
        <w:rPr>
          <w:rFonts w:hint="eastAsia"/>
          <w:snapToGrid/>
        </w:rPr>
        <w:t>5</w:t>
      </w:r>
      <w:r>
        <w:rPr>
          <w:rFonts w:hint="eastAsia"/>
          <w:snapToGrid/>
        </w:rPr>
        <w:t>层则有</w:t>
      </w:r>
      <w:r>
        <w:rPr>
          <w:snapToGrid/>
        </w:rPr>
        <w:t>6</w:t>
      </w:r>
      <w:r>
        <w:rPr>
          <w:snapToGrid/>
        </w:rPr>
        <w:t>5.9%</w:t>
      </w:r>
      <w:r>
        <w:rPr>
          <w:rFonts w:hint="eastAsia"/>
          <w:snapToGrid/>
        </w:rPr>
        <w:t>的居民户没有此类问题。</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住在违章住区和住房中的人数</w:t>
      </w:r>
    </w:p>
    <w:p w:rsidR="00000000" w:rsidRDefault="009C1C61">
      <w:pPr>
        <w:rPr>
          <w:rFonts w:hint="eastAsia"/>
          <w:snapToGrid/>
        </w:rPr>
      </w:pPr>
      <w:r>
        <w:rPr>
          <w:snapToGrid/>
        </w:rPr>
        <w:tab/>
        <w:t xml:space="preserve">558.  </w:t>
      </w:r>
      <w:r>
        <w:rPr>
          <w:rFonts w:hint="eastAsia"/>
          <w:snapToGrid/>
        </w:rPr>
        <w:t>由于违章住区和住房在正规住房统计中没有记录，所以无法纵向分析处于此种境况中的人数。</w:t>
      </w:r>
      <w:r>
        <w:rPr>
          <w:snapToGrid/>
        </w:rPr>
        <w:t>1996</w:t>
      </w:r>
      <w:r>
        <w:rPr>
          <w:rFonts w:hint="eastAsia"/>
          <w:snapToGrid/>
        </w:rPr>
        <w:t>年，住房部与智利大学合作，对全国不合法宿营地和地块进行了一个调查，发现全国共有</w:t>
      </w:r>
      <w:r>
        <w:rPr>
          <w:snapToGrid/>
        </w:rPr>
        <w:t>445,943</w:t>
      </w:r>
      <w:r>
        <w:rPr>
          <w:rFonts w:hint="eastAsia"/>
          <w:snapToGrid/>
        </w:rPr>
        <w:t>人住在</w:t>
      </w:r>
      <w:r>
        <w:rPr>
          <w:rFonts w:hint="eastAsia"/>
          <w:snapToGrid/>
        </w:rPr>
        <w:t>972</w:t>
      </w:r>
      <w:r>
        <w:rPr>
          <w:rFonts w:hint="eastAsia"/>
          <w:snapToGrid/>
        </w:rPr>
        <w:t>个不合法住区的</w:t>
      </w:r>
      <w:r>
        <w:rPr>
          <w:snapToGrid/>
        </w:rPr>
        <w:t>93,457</w:t>
      </w:r>
      <w:r>
        <w:rPr>
          <w:rFonts w:hint="eastAsia"/>
          <w:snapToGrid/>
        </w:rPr>
        <w:t>所住所中。就所占人口住房总量的百分比而言，它们占全国人口的不足</w:t>
      </w:r>
      <w:r>
        <w:rPr>
          <w:snapToGrid/>
        </w:rPr>
        <w:t>4%</w:t>
      </w:r>
      <w:r>
        <w:rPr>
          <w:rFonts w:hint="eastAsia"/>
          <w:snapToGrid/>
        </w:rPr>
        <w:t>，占住房总量的仅</w:t>
      </w:r>
      <w:r>
        <w:rPr>
          <w:snapToGrid/>
        </w:rPr>
        <w:t>3%</w:t>
      </w:r>
      <w:r>
        <w:rPr>
          <w:rFonts w:hint="eastAsia"/>
          <w:snapToGrid/>
        </w:rPr>
        <w:t>。住在不合法住区的人多数都在城市中</w:t>
      </w:r>
      <w:r>
        <w:rPr>
          <w:snapToGrid/>
        </w:rPr>
        <w:t>(</w:t>
      </w:r>
      <w:r>
        <w:rPr>
          <w:rFonts w:hint="eastAsia"/>
          <w:snapToGrid/>
        </w:rPr>
        <w:t>见表</w:t>
      </w:r>
      <w:r>
        <w:rPr>
          <w:snapToGrid/>
        </w:rPr>
        <w:t>30)</w:t>
      </w:r>
      <w:r>
        <w:rPr>
          <w:rFonts w:hint="eastAsia"/>
          <w:snapToGrid/>
        </w:rPr>
        <w:t>。</w:t>
      </w:r>
    </w:p>
    <w:p w:rsidR="00000000" w:rsidRDefault="009C1C61">
      <w:pPr>
        <w:pStyle w:val="Heading3"/>
        <w:spacing w:after="80"/>
        <w:rPr>
          <w:rFonts w:hint="eastAsia"/>
        </w:rPr>
      </w:pPr>
      <w:r>
        <w:rPr>
          <w:rFonts w:hint="eastAsia"/>
        </w:rPr>
        <w:t>表</w:t>
      </w:r>
      <w:r>
        <w:t xml:space="preserve"> </w:t>
      </w:r>
      <w:r>
        <w:rPr>
          <w:b/>
          <w:bCs/>
        </w:rPr>
        <w:t>30</w:t>
      </w:r>
      <w:r>
        <w:rPr>
          <w:b/>
          <w:bCs/>
        </w:rPr>
        <w:br/>
        <w:t>1996</w:t>
      </w:r>
      <w:r>
        <w:rPr>
          <w:rFonts w:hint="eastAsia"/>
        </w:rPr>
        <w:t>智利住在违章住区和住房中的个人数</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10"/>
        <w:gridCol w:w="1326"/>
        <w:gridCol w:w="1482"/>
        <w:gridCol w:w="1326"/>
        <w:gridCol w:w="1345"/>
      </w:tblGrid>
      <w:tr w:rsidR="00000000">
        <w:tblPrEx>
          <w:tblCellMar>
            <w:top w:w="0" w:type="dxa"/>
            <w:bottom w:w="0" w:type="dxa"/>
          </w:tblCellMar>
        </w:tblPrEx>
        <w:trPr>
          <w:cantSplit/>
          <w:jc w:val="center"/>
        </w:trPr>
        <w:tc>
          <w:tcPr>
            <w:tcW w:w="2010" w:type="dxa"/>
            <w:vMerge w:val="restart"/>
          </w:tcPr>
          <w:p w:rsidR="00000000" w:rsidRDefault="009C1C61">
            <w:pPr>
              <w:pStyle w:val="a2"/>
              <w:spacing w:line="220" w:lineRule="exact"/>
              <w:jc w:val="center"/>
              <w:rPr>
                <w:noProof/>
                <w:snapToGrid/>
              </w:rPr>
            </w:pPr>
          </w:p>
        </w:tc>
        <w:tc>
          <w:tcPr>
            <w:tcW w:w="2808" w:type="dxa"/>
            <w:gridSpan w:val="2"/>
          </w:tcPr>
          <w:p w:rsidR="00000000" w:rsidRDefault="009C1C61">
            <w:pPr>
              <w:pStyle w:val="a2"/>
              <w:spacing w:line="220" w:lineRule="exact"/>
              <w:jc w:val="center"/>
              <w:rPr>
                <w:rFonts w:hint="eastAsia"/>
                <w:noProof/>
                <w:snapToGrid/>
              </w:rPr>
            </w:pPr>
            <w:r>
              <w:rPr>
                <w:rFonts w:hint="eastAsia"/>
                <w:noProof/>
                <w:snapToGrid/>
              </w:rPr>
              <w:t>人</w:t>
            </w:r>
          </w:p>
        </w:tc>
        <w:tc>
          <w:tcPr>
            <w:tcW w:w="2671" w:type="dxa"/>
            <w:gridSpan w:val="2"/>
          </w:tcPr>
          <w:p w:rsidR="00000000" w:rsidRDefault="009C1C61">
            <w:pPr>
              <w:pStyle w:val="a2"/>
              <w:spacing w:line="220" w:lineRule="exact"/>
              <w:jc w:val="center"/>
              <w:rPr>
                <w:rFonts w:hint="eastAsia"/>
                <w:noProof/>
                <w:snapToGrid/>
              </w:rPr>
            </w:pPr>
            <w:r>
              <w:rPr>
                <w:rFonts w:hint="eastAsia"/>
                <w:noProof/>
                <w:snapToGrid/>
              </w:rPr>
              <w:t>住所</w:t>
            </w:r>
          </w:p>
        </w:tc>
      </w:tr>
      <w:tr w:rsidR="00000000">
        <w:tblPrEx>
          <w:tblCellMar>
            <w:top w:w="0" w:type="dxa"/>
            <w:bottom w:w="0" w:type="dxa"/>
          </w:tblCellMar>
        </w:tblPrEx>
        <w:trPr>
          <w:cantSplit/>
          <w:jc w:val="center"/>
        </w:trPr>
        <w:tc>
          <w:tcPr>
            <w:tcW w:w="2010" w:type="dxa"/>
            <w:vMerge/>
          </w:tcPr>
          <w:p w:rsidR="00000000" w:rsidRDefault="009C1C61">
            <w:pPr>
              <w:pStyle w:val="a2"/>
              <w:spacing w:line="220" w:lineRule="exact"/>
              <w:jc w:val="center"/>
              <w:rPr>
                <w:noProof/>
                <w:snapToGrid/>
              </w:rPr>
            </w:pPr>
          </w:p>
        </w:tc>
        <w:tc>
          <w:tcPr>
            <w:tcW w:w="1326" w:type="dxa"/>
          </w:tcPr>
          <w:p w:rsidR="00000000" w:rsidRDefault="009C1C61">
            <w:pPr>
              <w:pStyle w:val="a2"/>
              <w:spacing w:line="220" w:lineRule="exact"/>
              <w:jc w:val="center"/>
              <w:rPr>
                <w:rFonts w:hint="eastAsia"/>
                <w:noProof/>
                <w:snapToGrid/>
              </w:rPr>
            </w:pPr>
            <w:r>
              <w:rPr>
                <w:rFonts w:hint="eastAsia"/>
                <w:noProof/>
                <w:snapToGrid/>
              </w:rPr>
              <w:t>数量</w:t>
            </w:r>
          </w:p>
        </w:tc>
        <w:tc>
          <w:tcPr>
            <w:tcW w:w="1482" w:type="dxa"/>
          </w:tcPr>
          <w:p w:rsidR="00000000" w:rsidRDefault="009C1C61">
            <w:pPr>
              <w:pStyle w:val="a2"/>
              <w:spacing w:line="220" w:lineRule="exact"/>
              <w:jc w:val="center"/>
              <w:rPr>
                <w:rFonts w:hint="eastAsia"/>
                <w:noProof/>
                <w:snapToGrid/>
              </w:rPr>
            </w:pPr>
            <w:r>
              <w:rPr>
                <w:rFonts w:hint="eastAsia"/>
                <w:noProof/>
                <w:snapToGrid/>
              </w:rPr>
              <w:t>百分比</w:t>
            </w:r>
          </w:p>
        </w:tc>
        <w:tc>
          <w:tcPr>
            <w:tcW w:w="1326" w:type="dxa"/>
          </w:tcPr>
          <w:p w:rsidR="00000000" w:rsidRDefault="009C1C61">
            <w:pPr>
              <w:pStyle w:val="a2"/>
              <w:spacing w:line="220" w:lineRule="exact"/>
              <w:jc w:val="center"/>
              <w:rPr>
                <w:rFonts w:hint="eastAsia"/>
                <w:noProof/>
                <w:snapToGrid/>
              </w:rPr>
            </w:pPr>
            <w:r>
              <w:rPr>
                <w:rFonts w:hint="eastAsia"/>
                <w:noProof/>
                <w:snapToGrid/>
              </w:rPr>
              <w:t>数量</w:t>
            </w:r>
          </w:p>
        </w:tc>
        <w:tc>
          <w:tcPr>
            <w:tcW w:w="1345" w:type="dxa"/>
          </w:tcPr>
          <w:p w:rsidR="00000000" w:rsidRDefault="009C1C61">
            <w:pPr>
              <w:pStyle w:val="a2"/>
              <w:spacing w:line="220" w:lineRule="exact"/>
              <w:jc w:val="center"/>
              <w:rPr>
                <w:rFonts w:hint="eastAsia"/>
                <w:noProof/>
                <w:snapToGrid/>
              </w:rPr>
            </w:pPr>
            <w:r>
              <w:rPr>
                <w:rFonts w:hint="eastAsia"/>
                <w:noProof/>
                <w:snapToGrid/>
              </w:rPr>
              <w:t>百分比</w:t>
            </w:r>
          </w:p>
        </w:tc>
      </w:tr>
      <w:tr w:rsidR="00000000">
        <w:tblPrEx>
          <w:tblCellMar>
            <w:top w:w="0" w:type="dxa"/>
            <w:bottom w:w="0" w:type="dxa"/>
          </w:tblCellMar>
        </w:tblPrEx>
        <w:trPr>
          <w:jc w:val="center"/>
        </w:trPr>
        <w:tc>
          <w:tcPr>
            <w:tcW w:w="2010" w:type="dxa"/>
          </w:tcPr>
          <w:p w:rsidR="00000000" w:rsidRDefault="009C1C61">
            <w:pPr>
              <w:pStyle w:val="a2"/>
              <w:spacing w:line="220" w:lineRule="exact"/>
              <w:rPr>
                <w:rFonts w:hint="eastAsia"/>
                <w:noProof/>
                <w:snapToGrid/>
              </w:rPr>
            </w:pPr>
            <w:r>
              <w:rPr>
                <w:rFonts w:hint="eastAsia"/>
                <w:noProof/>
                <w:snapToGrid/>
              </w:rPr>
              <w:t>共</w:t>
            </w:r>
            <w:r>
              <w:rPr>
                <w:noProof/>
                <w:snapToGrid/>
              </w:rPr>
              <w:t xml:space="preserve">  </w:t>
            </w:r>
            <w:r>
              <w:rPr>
                <w:rFonts w:hint="eastAsia"/>
                <w:noProof/>
                <w:snapToGrid/>
              </w:rPr>
              <w:t>计</w:t>
            </w:r>
          </w:p>
        </w:tc>
        <w:tc>
          <w:tcPr>
            <w:tcW w:w="1326" w:type="dxa"/>
          </w:tcPr>
          <w:p w:rsidR="00000000" w:rsidRDefault="009C1C61">
            <w:pPr>
              <w:pStyle w:val="a2"/>
              <w:spacing w:line="220" w:lineRule="exact"/>
              <w:ind w:right="170"/>
              <w:jc w:val="center"/>
              <w:rPr>
                <w:noProof/>
                <w:snapToGrid/>
              </w:rPr>
            </w:pPr>
            <w:r>
              <w:rPr>
                <w:noProof/>
                <w:snapToGrid/>
              </w:rPr>
              <w:t>445,943</w:t>
            </w:r>
          </w:p>
        </w:tc>
        <w:tc>
          <w:tcPr>
            <w:tcW w:w="1482" w:type="dxa"/>
          </w:tcPr>
          <w:p w:rsidR="00000000" w:rsidRDefault="009C1C61">
            <w:pPr>
              <w:pStyle w:val="a2"/>
              <w:spacing w:line="220" w:lineRule="exact"/>
              <w:ind w:right="170"/>
              <w:jc w:val="center"/>
              <w:rPr>
                <w:noProof/>
                <w:snapToGrid/>
              </w:rPr>
            </w:pPr>
            <w:r>
              <w:rPr>
                <w:noProof/>
                <w:snapToGrid/>
              </w:rPr>
              <w:t>3.1</w:t>
            </w:r>
          </w:p>
        </w:tc>
        <w:tc>
          <w:tcPr>
            <w:tcW w:w="1326" w:type="dxa"/>
          </w:tcPr>
          <w:p w:rsidR="00000000" w:rsidRDefault="009C1C61">
            <w:pPr>
              <w:pStyle w:val="a2"/>
              <w:spacing w:line="220" w:lineRule="exact"/>
              <w:ind w:right="170"/>
              <w:jc w:val="center"/>
              <w:rPr>
                <w:noProof/>
                <w:snapToGrid/>
              </w:rPr>
            </w:pPr>
            <w:r>
              <w:rPr>
                <w:noProof/>
                <w:snapToGrid/>
              </w:rPr>
              <w:t>93,457</w:t>
            </w:r>
          </w:p>
        </w:tc>
        <w:tc>
          <w:tcPr>
            <w:tcW w:w="1345" w:type="dxa"/>
          </w:tcPr>
          <w:p w:rsidR="00000000" w:rsidRDefault="009C1C61">
            <w:pPr>
              <w:pStyle w:val="a2"/>
              <w:spacing w:line="220" w:lineRule="exact"/>
              <w:ind w:right="170"/>
              <w:jc w:val="center"/>
              <w:rPr>
                <w:noProof/>
                <w:snapToGrid/>
              </w:rPr>
            </w:pPr>
            <w:r>
              <w:rPr>
                <w:noProof/>
                <w:snapToGrid/>
              </w:rPr>
              <w:t>2.8</w:t>
            </w:r>
          </w:p>
        </w:tc>
      </w:tr>
      <w:tr w:rsidR="00000000">
        <w:tblPrEx>
          <w:tblCellMar>
            <w:top w:w="0" w:type="dxa"/>
            <w:bottom w:w="0" w:type="dxa"/>
          </w:tblCellMar>
        </w:tblPrEx>
        <w:trPr>
          <w:jc w:val="center"/>
        </w:trPr>
        <w:tc>
          <w:tcPr>
            <w:tcW w:w="2010" w:type="dxa"/>
          </w:tcPr>
          <w:p w:rsidR="00000000" w:rsidRDefault="009C1C61">
            <w:pPr>
              <w:pStyle w:val="a2"/>
              <w:spacing w:line="220" w:lineRule="exact"/>
              <w:rPr>
                <w:rFonts w:hint="eastAsia"/>
                <w:noProof/>
                <w:snapToGrid/>
              </w:rPr>
            </w:pPr>
            <w:r>
              <w:rPr>
                <w:noProof/>
                <w:snapToGrid/>
              </w:rPr>
              <w:t xml:space="preserve">  </w:t>
            </w:r>
            <w:r>
              <w:rPr>
                <w:rFonts w:hint="eastAsia"/>
                <w:noProof/>
                <w:snapToGrid/>
              </w:rPr>
              <w:t>城市地区</w:t>
            </w:r>
          </w:p>
        </w:tc>
        <w:tc>
          <w:tcPr>
            <w:tcW w:w="1326" w:type="dxa"/>
          </w:tcPr>
          <w:p w:rsidR="00000000" w:rsidRDefault="009C1C61">
            <w:pPr>
              <w:pStyle w:val="a2"/>
              <w:spacing w:line="220" w:lineRule="exact"/>
              <w:ind w:right="170"/>
              <w:jc w:val="center"/>
              <w:rPr>
                <w:noProof/>
                <w:snapToGrid/>
              </w:rPr>
            </w:pPr>
            <w:r>
              <w:rPr>
                <w:noProof/>
                <w:snapToGrid/>
              </w:rPr>
              <w:t>290,699</w:t>
            </w:r>
          </w:p>
        </w:tc>
        <w:tc>
          <w:tcPr>
            <w:tcW w:w="1482" w:type="dxa"/>
          </w:tcPr>
          <w:p w:rsidR="00000000" w:rsidRDefault="009C1C61">
            <w:pPr>
              <w:pStyle w:val="a2"/>
              <w:spacing w:line="220" w:lineRule="exact"/>
              <w:ind w:right="170"/>
              <w:jc w:val="center"/>
              <w:rPr>
                <w:noProof/>
                <w:snapToGrid/>
              </w:rPr>
            </w:pPr>
            <w:r>
              <w:rPr>
                <w:noProof/>
                <w:snapToGrid/>
              </w:rPr>
              <w:t>2.6</w:t>
            </w:r>
          </w:p>
        </w:tc>
        <w:tc>
          <w:tcPr>
            <w:tcW w:w="1326" w:type="dxa"/>
          </w:tcPr>
          <w:p w:rsidR="00000000" w:rsidRDefault="009C1C61">
            <w:pPr>
              <w:pStyle w:val="a2"/>
              <w:spacing w:line="220" w:lineRule="exact"/>
              <w:ind w:right="170"/>
              <w:jc w:val="center"/>
              <w:rPr>
                <w:noProof/>
                <w:snapToGrid/>
              </w:rPr>
            </w:pPr>
            <w:r>
              <w:rPr>
                <w:noProof/>
                <w:snapToGrid/>
              </w:rPr>
              <w:t>60,473</w:t>
            </w:r>
          </w:p>
        </w:tc>
        <w:tc>
          <w:tcPr>
            <w:tcW w:w="1345" w:type="dxa"/>
          </w:tcPr>
          <w:p w:rsidR="00000000" w:rsidRDefault="009C1C61">
            <w:pPr>
              <w:pStyle w:val="a2"/>
              <w:spacing w:line="220" w:lineRule="exact"/>
              <w:ind w:right="170"/>
              <w:jc w:val="center"/>
              <w:rPr>
                <w:noProof/>
                <w:snapToGrid/>
              </w:rPr>
            </w:pPr>
            <w:r>
              <w:rPr>
                <w:noProof/>
                <w:snapToGrid/>
              </w:rPr>
              <w:t>2.2</w:t>
            </w:r>
          </w:p>
        </w:tc>
      </w:tr>
      <w:tr w:rsidR="00000000">
        <w:tblPrEx>
          <w:tblCellMar>
            <w:top w:w="0" w:type="dxa"/>
            <w:bottom w:w="0" w:type="dxa"/>
          </w:tblCellMar>
        </w:tblPrEx>
        <w:trPr>
          <w:jc w:val="center"/>
        </w:trPr>
        <w:tc>
          <w:tcPr>
            <w:tcW w:w="2010" w:type="dxa"/>
          </w:tcPr>
          <w:p w:rsidR="00000000" w:rsidRDefault="009C1C61">
            <w:pPr>
              <w:pStyle w:val="a2"/>
              <w:spacing w:line="220" w:lineRule="exact"/>
              <w:rPr>
                <w:rFonts w:hint="eastAsia"/>
                <w:noProof/>
                <w:snapToGrid/>
              </w:rPr>
            </w:pPr>
            <w:r>
              <w:rPr>
                <w:noProof/>
                <w:snapToGrid/>
              </w:rPr>
              <w:t xml:space="preserve">  </w:t>
            </w:r>
            <w:r>
              <w:rPr>
                <w:rFonts w:hint="eastAsia"/>
                <w:noProof/>
                <w:snapToGrid/>
              </w:rPr>
              <w:t>农村地区</w:t>
            </w:r>
          </w:p>
        </w:tc>
        <w:tc>
          <w:tcPr>
            <w:tcW w:w="1326" w:type="dxa"/>
          </w:tcPr>
          <w:p w:rsidR="00000000" w:rsidRDefault="009C1C61">
            <w:pPr>
              <w:pStyle w:val="a2"/>
              <w:spacing w:line="220" w:lineRule="exact"/>
              <w:ind w:right="170"/>
              <w:jc w:val="center"/>
              <w:rPr>
                <w:noProof/>
                <w:snapToGrid/>
              </w:rPr>
            </w:pPr>
            <w:r>
              <w:rPr>
                <w:noProof/>
                <w:snapToGrid/>
              </w:rPr>
              <w:t>155,244</w:t>
            </w:r>
          </w:p>
        </w:tc>
        <w:tc>
          <w:tcPr>
            <w:tcW w:w="1482" w:type="dxa"/>
          </w:tcPr>
          <w:p w:rsidR="00000000" w:rsidRDefault="009C1C61">
            <w:pPr>
              <w:pStyle w:val="a2"/>
              <w:spacing w:line="220" w:lineRule="exact"/>
              <w:ind w:right="170"/>
              <w:jc w:val="center"/>
              <w:rPr>
                <w:noProof/>
                <w:snapToGrid/>
              </w:rPr>
            </w:pPr>
            <w:r>
              <w:rPr>
                <w:noProof/>
                <w:snapToGrid/>
              </w:rPr>
              <w:t>6.9</w:t>
            </w:r>
          </w:p>
        </w:tc>
        <w:tc>
          <w:tcPr>
            <w:tcW w:w="1326" w:type="dxa"/>
          </w:tcPr>
          <w:p w:rsidR="00000000" w:rsidRDefault="009C1C61">
            <w:pPr>
              <w:pStyle w:val="a2"/>
              <w:spacing w:line="220" w:lineRule="exact"/>
              <w:ind w:right="170"/>
              <w:jc w:val="center"/>
              <w:rPr>
                <w:noProof/>
                <w:snapToGrid/>
              </w:rPr>
            </w:pPr>
            <w:r>
              <w:rPr>
                <w:noProof/>
                <w:snapToGrid/>
              </w:rPr>
              <w:t>32,984</w:t>
            </w:r>
          </w:p>
        </w:tc>
        <w:tc>
          <w:tcPr>
            <w:tcW w:w="1345" w:type="dxa"/>
          </w:tcPr>
          <w:p w:rsidR="00000000" w:rsidRDefault="009C1C61">
            <w:pPr>
              <w:pStyle w:val="a2"/>
              <w:spacing w:line="220" w:lineRule="exact"/>
              <w:ind w:right="170"/>
              <w:jc w:val="center"/>
              <w:rPr>
                <w:noProof/>
                <w:snapToGrid/>
              </w:rPr>
            </w:pPr>
            <w:r>
              <w:rPr>
                <w:noProof/>
                <w:snapToGrid/>
              </w:rPr>
              <w:t>5.6</w:t>
            </w:r>
          </w:p>
        </w:tc>
      </w:tr>
    </w:tbl>
    <w:p w:rsidR="00000000" w:rsidRDefault="009C1C61">
      <w:pPr>
        <w:pStyle w:val="EndnoteText"/>
        <w:spacing w:before="120" w:after="320"/>
        <w:rPr>
          <w:rFonts w:hint="eastAsia"/>
          <w:noProof/>
          <w:snapToGrid/>
          <w:sz w:val="20"/>
        </w:rPr>
      </w:pPr>
      <w:r>
        <w:rPr>
          <w:rFonts w:hint="eastAsia"/>
          <w:snapToGrid/>
          <w:sz w:val="20"/>
          <w:u w:val="single"/>
        </w:rPr>
        <w:t>资料来源</w:t>
      </w:r>
      <w:r>
        <w:rPr>
          <w:snapToGrid/>
          <w:sz w:val="20"/>
        </w:rPr>
        <w:t>：</w:t>
      </w:r>
      <w:r>
        <w:rPr>
          <w:rFonts w:hint="eastAsia"/>
          <w:iCs/>
          <w:snapToGrid/>
          <w:sz w:val="20"/>
        </w:rPr>
        <w:t>智利村镇</w:t>
      </w:r>
      <w:r>
        <w:rPr>
          <w:noProof/>
          <w:snapToGrid/>
          <w:sz w:val="20"/>
        </w:rPr>
        <w:t>，</w:t>
      </w:r>
      <w:r>
        <w:rPr>
          <w:rFonts w:hint="eastAsia"/>
          <w:noProof/>
          <w:snapToGrid/>
          <w:sz w:val="20"/>
        </w:rPr>
        <w:t>根据城规部</w:t>
      </w:r>
      <w:r>
        <w:rPr>
          <w:noProof/>
          <w:snapToGrid/>
          <w:sz w:val="20"/>
        </w:rPr>
        <w:t>1996</w:t>
      </w:r>
      <w:r>
        <w:rPr>
          <w:rFonts w:hint="eastAsia"/>
          <w:noProof/>
          <w:snapToGrid/>
          <w:sz w:val="20"/>
        </w:rPr>
        <w:t>年全国不合法宿营地和地块调查报告。</w:t>
      </w:r>
    </w:p>
    <w:p w:rsidR="00000000" w:rsidRDefault="009C1C61">
      <w:pPr>
        <w:spacing w:line="312" w:lineRule="auto"/>
        <w:rPr>
          <w:snapToGrid/>
        </w:rPr>
      </w:pPr>
      <w:r>
        <w:rPr>
          <w:snapToGrid/>
        </w:rPr>
        <w:tab/>
        <w:t xml:space="preserve">559.  </w:t>
      </w:r>
      <w:r>
        <w:rPr>
          <w:rFonts w:hint="eastAsia"/>
          <w:snapToGrid/>
        </w:rPr>
        <w:t>为了解决贫困和居住排斥问题，</w:t>
      </w:r>
      <w:r>
        <w:rPr>
          <w:rFonts w:hint="eastAsia"/>
          <w:snapToGrid/>
        </w:rPr>
        <w:t>1997</w:t>
      </w:r>
      <w:r>
        <w:rPr>
          <w:rFonts w:hint="eastAsia"/>
          <w:snapToGrid/>
        </w:rPr>
        <w:t>年开始实施了“智利村镇”方案。这是一项跨部门的公共行动，意在开创种种机会，大力改善危险住区居民的住房状况，大力提高他们的生境质量，大力增加他们重返社会的机会和进入劳动市场的机会，协助他们战胜</w:t>
      </w:r>
      <w:r>
        <w:rPr>
          <w:rFonts w:hint="eastAsia"/>
          <w:snapToGrid/>
        </w:rPr>
        <w:t>贫困。随此方案而采取的此类行动包括：社区发展和重返社会；工作和生产的恢复；住房和街道改善及根据减贫方案加强机构建设。至</w:t>
      </w:r>
      <w:r>
        <w:rPr>
          <w:rFonts w:hint="eastAsia"/>
          <w:snapToGrid/>
        </w:rPr>
        <w:t>1998</w:t>
      </w:r>
      <w:r>
        <w:rPr>
          <w:rFonts w:hint="eastAsia"/>
          <w:snapToGrid/>
        </w:rPr>
        <w:t>年</w:t>
      </w:r>
      <w:r>
        <w:rPr>
          <w:rFonts w:hint="eastAsia"/>
          <w:snapToGrid/>
        </w:rPr>
        <w:t>12</w:t>
      </w:r>
      <w:r>
        <w:rPr>
          <w:rFonts w:hint="eastAsia"/>
          <w:snapToGrid/>
        </w:rPr>
        <w:t>月</w:t>
      </w:r>
      <w:r>
        <w:rPr>
          <w:snapToGrid/>
        </w:rPr>
        <w:t>31</w:t>
      </w:r>
      <w:r>
        <w:rPr>
          <w:rFonts w:hint="eastAsia"/>
          <w:snapToGrid/>
        </w:rPr>
        <w:t>日，有</w:t>
      </w:r>
      <w:r>
        <w:rPr>
          <w:snapToGrid/>
        </w:rPr>
        <w:t>13,000</w:t>
      </w:r>
      <w:r>
        <w:rPr>
          <w:rFonts w:hint="eastAsia"/>
          <w:snapToGrid/>
        </w:rPr>
        <w:t>户因此方案而得到了援助。</w:t>
      </w:r>
    </w:p>
    <w:p w:rsidR="00000000" w:rsidRDefault="009C1C61">
      <w:pPr>
        <w:pStyle w:val="Heading4"/>
        <w:spacing w:before="180" w:after="120"/>
        <w:rPr>
          <w:rFonts w:ascii="Time New Roman" w:eastAsia="SimHei" w:hAnsi="Time New Roman"/>
          <w:u w:val="none"/>
          <w:lang w:val="en-GB"/>
        </w:rPr>
      </w:pPr>
      <w:r>
        <w:rPr>
          <w:rFonts w:ascii="Time New Roman" w:eastAsia="SimHei" w:hAnsi="Time New Roman" w:hint="eastAsia"/>
          <w:u w:val="none"/>
        </w:rPr>
        <w:t>等待分房的人数</w:t>
      </w:r>
    </w:p>
    <w:p w:rsidR="00000000" w:rsidRDefault="009C1C61">
      <w:pPr>
        <w:spacing w:line="312" w:lineRule="auto"/>
        <w:rPr>
          <w:rFonts w:hint="eastAsia"/>
          <w:snapToGrid/>
        </w:rPr>
      </w:pPr>
      <w:r>
        <w:rPr>
          <w:snapToGrid/>
        </w:rPr>
        <w:tab/>
        <w:t xml:space="preserve">560.  </w:t>
      </w:r>
      <w:r>
        <w:rPr>
          <w:rFonts w:hint="eastAsia"/>
          <w:snapToGrid/>
        </w:rPr>
        <w:t>住房方案是根据申请制度而开办的。申请制度要求所有申请人都要进入“等待名单”。以处理城市排斥问题的方案</w:t>
      </w:r>
      <w:r>
        <w:rPr>
          <w:rStyle w:val="FootnoteReference"/>
          <w:bCs/>
          <w:snapToGrid/>
        </w:rPr>
        <w:footnoteReference w:id="255"/>
      </w:r>
      <w:r>
        <w:rPr>
          <w:rFonts w:hint="eastAsia"/>
          <w:bCs/>
          <w:snapToGrid/>
          <w:vertAlign w:val="superscript"/>
        </w:rPr>
        <w:t xml:space="preserve"> </w:t>
      </w:r>
      <w:r>
        <w:rPr>
          <w:rFonts w:hint="eastAsia"/>
          <w:snapToGrid/>
        </w:rPr>
        <w:t>和递进建房方案</w:t>
      </w:r>
      <w:r>
        <w:rPr>
          <w:rStyle w:val="FootnoteReference"/>
          <w:bCs/>
          <w:snapToGrid/>
        </w:rPr>
        <w:footnoteReference w:id="256"/>
      </w:r>
      <w:r>
        <w:rPr>
          <w:rFonts w:hint="eastAsia"/>
          <w:bCs/>
          <w:snapToGrid/>
          <w:vertAlign w:val="superscript"/>
        </w:rPr>
        <w:t xml:space="preserve"> </w:t>
      </w:r>
      <w:r>
        <w:rPr>
          <w:rFonts w:hint="eastAsia"/>
          <w:snapToGrid/>
        </w:rPr>
        <w:t>为例，申请人永久登记册记录着所有报名而且可以进入未来选择名单的人。其他住房制度</w:t>
      </w:r>
      <w:r>
        <w:rPr>
          <w:rFonts w:hint="eastAsia"/>
          <w:snapToGrid/>
        </w:rPr>
        <w:t>(</w:t>
      </w:r>
      <w:r>
        <w:rPr>
          <w:rFonts w:hint="eastAsia"/>
          <w:snapToGrid/>
        </w:rPr>
        <w:t>单亲补贴、农村补贴和工人特别方案</w:t>
      </w:r>
      <w:r>
        <w:rPr>
          <w:rFonts w:hint="eastAsia"/>
          <w:snapToGrid/>
        </w:rPr>
        <w:t>)</w:t>
      </w:r>
      <w:r>
        <w:rPr>
          <w:rFonts w:hint="eastAsia"/>
          <w:snapToGrid/>
        </w:rPr>
        <w:t>每新挑选一次，就更新一次申请人名单。</w:t>
      </w:r>
    </w:p>
    <w:p w:rsidR="00000000" w:rsidRDefault="009C1C61">
      <w:pPr>
        <w:spacing w:line="312" w:lineRule="auto"/>
        <w:rPr>
          <w:rFonts w:hint="eastAsia"/>
          <w:noProof/>
          <w:snapToGrid/>
        </w:rPr>
      </w:pPr>
      <w:r>
        <w:rPr>
          <w:snapToGrid/>
        </w:rPr>
        <w:tab/>
        <w:t>561.  1998</w:t>
      </w:r>
      <w:r>
        <w:rPr>
          <w:rFonts w:hint="eastAsia"/>
          <w:snapToGrid/>
        </w:rPr>
        <w:t>年</w:t>
      </w:r>
      <w:r>
        <w:rPr>
          <w:rFonts w:hint="eastAsia"/>
          <w:snapToGrid/>
        </w:rPr>
        <w:t>1</w:t>
      </w:r>
      <w:r>
        <w:rPr>
          <w:rFonts w:hint="eastAsia"/>
          <w:snapToGrid/>
        </w:rPr>
        <w:t>月，进入城市排挤制度名单的申请人人数如下：区城规处基本住房方案</w:t>
      </w:r>
      <w:r>
        <w:rPr>
          <w:snapToGrid/>
        </w:rPr>
        <w:t>417,000</w:t>
      </w:r>
      <w:r>
        <w:rPr>
          <w:rFonts w:hint="eastAsia"/>
          <w:snapToGrid/>
        </w:rPr>
        <w:t>人，私人基本住房方案</w:t>
      </w:r>
      <w:r>
        <w:rPr>
          <w:noProof/>
          <w:snapToGrid/>
        </w:rPr>
        <w:t>13,000</w:t>
      </w:r>
      <w:r>
        <w:rPr>
          <w:rFonts w:hint="eastAsia"/>
          <w:noProof/>
          <w:snapToGrid/>
        </w:rPr>
        <w:t>人，递进建房方案</w:t>
      </w:r>
      <w:r>
        <w:rPr>
          <w:noProof/>
          <w:snapToGrid/>
        </w:rPr>
        <w:t>83,000</w:t>
      </w:r>
      <w:r>
        <w:rPr>
          <w:rFonts w:hint="eastAsia"/>
          <w:noProof/>
          <w:snapToGrid/>
        </w:rPr>
        <w:t>人。由于</w:t>
      </w:r>
      <w:r>
        <w:rPr>
          <w:rFonts w:hint="eastAsia"/>
          <w:noProof/>
          <w:snapToGrid/>
        </w:rPr>
        <w:t>1997</w:t>
      </w:r>
      <w:r>
        <w:rPr>
          <w:rFonts w:hint="eastAsia"/>
          <w:noProof/>
          <w:snapToGrid/>
        </w:rPr>
        <w:t>年改变了申请人登记办法，所以没有可以与前些比较的数字。</w:t>
      </w:r>
    </w:p>
    <w:p w:rsidR="00000000" w:rsidRDefault="009C1C61">
      <w:pPr>
        <w:spacing w:line="312" w:lineRule="auto"/>
        <w:rPr>
          <w:rFonts w:hint="eastAsia"/>
          <w:noProof/>
          <w:snapToGrid/>
        </w:rPr>
      </w:pPr>
      <w:r>
        <w:rPr>
          <w:noProof/>
          <w:snapToGrid/>
        </w:rPr>
        <w:tab/>
        <w:t xml:space="preserve">562.  </w:t>
      </w:r>
      <w:r>
        <w:rPr>
          <w:rFonts w:hint="eastAsia"/>
          <w:noProof/>
          <w:snapToGrid/>
        </w:rPr>
        <w:t>就农村补贴而言，</w:t>
      </w:r>
      <w:r>
        <w:rPr>
          <w:noProof/>
          <w:snapToGrid/>
        </w:rPr>
        <w:t>1990</w:t>
      </w:r>
      <w:r>
        <w:rPr>
          <w:rFonts w:hint="eastAsia"/>
          <w:noProof/>
          <w:snapToGrid/>
        </w:rPr>
        <w:t>至</w:t>
      </w:r>
      <w:r>
        <w:rPr>
          <w:noProof/>
          <w:snapToGrid/>
        </w:rPr>
        <w:t>1997</w:t>
      </w:r>
      <w:r>
        <w:rPr>
          <w:rFonts w:hint="eastAsia"/>
          <w:noProof/>
          <w:snapToGrid/>
        </w:rPr>
        <w:t>年期间有关每年入选的申请人的统计资料表明，在十年期间，第一个方案的申请人人数下降了，由</w:t>
      </w:r>
      <w:r>
        <w:rPr>
          <w:rFonts w:hint="eastAsia"/>
          <w:noProof/>
          <w:snapToGrid/>
        </w:rPr>
        <w:t>1991</w:t>
      </w:r>
      <w:r>
        <w:rPr>
          <w:rFonts w:hint="eastAsia"/>
          <w:noProof/>
          <w:snapToGrid/>
        </w:rPr>
        <w:t>年和</w:t>
      </w:r>
      <w:r>
        <w:rPr>
          <w:rFonts w:hint="eastAsia"/>
          <w:noProof/>
          <w:snapToGrid/>
        </w:rPr>
        <w:t>1992</w:t>
      </w:r>
      <w:r>
        <w:rPr>
          <w:rFonts w:hint="eastAsia"/>
          <w:noProof/>
          <w:snapToGrid/>
        </w:rPr>
        <w:t>年的</w:t>
      </w:r>
      <w:r>
        <w:rPr>
          <w:noProof/>
          <w:snapToGrid/>
        </w:rPr>
        <w:t>25,000</w:t>
      </w:r>
      <w:r>
        <w:rPr>
          <w:rFonts w:hint="eastAsia"/>
          <w:noProof/>
          <w:snapToGrid/>
        </w:rPr>
        <w:t>多户下降到</w:t>
      </w:r>
      <w:r>
        <w:rPr>
          <w:noProof/>
          <w:snapToGrid/>
        </w:rPr>
        <w:t>199</w:t>
      </w:r>
      <w:r>
        <w:rPr>
          <w:rFonts w:hint="eastAsia"/>
          <w:noProof/>
          <w:snapToGrid/>
        </w:rPr>
        <w:t>7</w:t>
      </w:r>
      <w:r>
        <w:rPr>
          <w:rFonts w:hint="eastAsia"/>
          <w:noProof/>
          <w:snapToGrid/>
        </w:rPr>
        <w:t>年的约</w:t>
      </w:r>
      <w:r>
        <w:rPr>
          <w:noProof/>
          <w:snapToGrid/>
        </w:rPr>
        <w:t>15,000</w:t>
      </w:r>
      <w:r>
        <w:rPr>
          <w:rFonts w:hint="eastAsia"/>
          <w:noProof/>
          <w:snapToGrid/>
        </w:rPr>
        <w:t>户。针对中等收入和中等至低等收入阶层的统一补贴申请趋向增加，由</w:t>
      </w:r>
      <w:r>
        <w:rPr>
          <w:rFonts w:hint="eastAsia"/>
          <w:noProof/>
          <w:snapToGrid/>
        </w:rPr>
        <w:t>1991</w:t>
      </w:r>
      <w:r>
        <w:rPr>
          <w:rFonts w:hint="eastAsia"/>
          <w:noProof/>
          <w:snapToGrid/>
        </w:rPr>
        <w:t>年的大约</w:t>
      </w:r>
      <w:r>
        <w:rPr>
          <w:noProof/>
          <w:snapToGrid/>
        </w:rPr>
        <w:t>11,000</w:t>
      </w:r>
      <w:r>
        <w:rPr>
          <w:rFonts w:hint="eastAsia"/>
          <w:noProof/>
          <w:snapToGrid/>
        </w:rPr>
        <w:t>人增加到</w:t>
      </w:r>
      <w:r>
        <w:rPr>
          <w:rFonts w:hint="eastAsia"/>
          <w:noProof/>
          <w:snapToGrid/>
        </w:rPr>
        <w:t>1997</w:t>
      </w:r>
      <w:r>
        <w:rPr>
          <w:rFonts w:hint="eastAsia"/>
          <w:noProof/>
          <w:snapToGrid/>
        </w:rPr>
        <w:t>年的</w:t>
      </w:r>
      <w:r>
        <w:rPr>
          <w:noProof/>
          <w:snapToGrid/>
        </w:rPr>
        <w:t>23,000</w:t>
      </w:r>
      <w:r>
        <w:rPr>
          <w:rFonts w:hint="eastAsia"/>
          <w:noProof/>
          <w:snapToGrid/>
        </w:rPr>
        <w:t>人，这是因为这一社会经济阶层的住户需求弹性较大所致</w:t>
      </w:r>
      <w:r>
        <w:rPr>
          <w:noProof/>
          <w:snapToGrid/>
        </w:rPr>
        <w:t>(</w:t>
      </w:r>
      <w:r>
        <w:rPr>
          <w:rFonts w:hint="eastAsia"/>
          <w:noProof/>
          <w:snapToGrid/>
        </w:rPr>
        <w:t>见表</w:t>
      </w:r>
      <w:r>
        <w:rPr>
          <w:noProof/>
          <w:snapToGrid/>
        </w:rPr>
        <w:t>31)</w:t>
      </w:r>
      <w:r>
        <w:rPr>
          <w:rFonts w:hint="eastAsia"/>
          <w:noProof/>
          <w:snapToGrid/>
        </w:rPr>
        <w:t>。</w:t>
      </w:r>
    </w:p>
    <w:p w:rsidR="00000000" w:rsidRDefault="009C1C61">
      <w:pPr>
        <w:pStyle w:val="Heading3"/>
        <w:spacing w:after="0"/>
      </w:pPr>
      <w:r>
        <w:rPr>
          <w:rFonts w:hint="eastAsia"/>
        </w:rPr>
        <w:t>表</w:t>
      </w:r>
      <w:r>
        <w:t xml:space="preserve"> </w:t>
      </w:r>
      <w:r>
        <w:rPr>
          <w:b/>
          <w:bCs/>
        </w:rPr>
        <w:t>31</w:t>
      </w:r>
      <w:r>
        <w:rPr>
          <w:b/>
          <w:bCs/>
        </w:rPr>
        <w:br/>
      </w:r>
      <w:r>
        <w:rPr>
          <w:rFonts w:hint="eastAsia"/>
        </w:rPr>
        <w:t>等待分房名单上的个人数</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62"/>
        <w:gridCol w:w="983"/>
        <w:gridCol w:w="1045"/>
        <w:gridCol w:w="1092"/>
        <w:gridCol w:w="1014"/>
        <w:gridCol w:w="1092"/>
        <w:gridCol w:w="951"/>
        <w:gridCol w:w="1092"/>
        <w:gridCol w:w="5"/>
      </w:tblGrid>
      <w:tr w:rsidR="00000000">
        <w:tblPrEx>
          <w:tblCellMar>
            <w:top w:w="0" w:type="dxa"/>
            <w:bottom w:w="0" w:type="dxa"/>
          </w:tblCellMar>
        </w:tblPrEx>
        <w:trPr>
          <w:cantSplit/>
          <w:jc w:val="center"/>
        </w:trPr>
        <w:tc>
          <w:tcPr>
            <w:tcW w:w="1862" w:type="dxa"/>
            <w:vMerge w:val="restart"/>
            <w:vAlign w:val="bottom"/>
          </w:tcPr>
          <w:p w:rsidR="00000000" w:rsidRDefault="009C1C61">
            <w:pPr>
              <w:pStyle w:val="a2"/>
              <w:spacing w:line="220" w:lineRule="exact"/>
              <w:ind w:left="113"/>
              <w:rPr>
                <w:noProof/>
                <w:snapToGrid/>
                <w:sz w:val="18"/>
              </w:rPr>
            </w:pPr>
          </w:p>
        </w:tc>
        <w:tc>
          <w:tcPr>
            <w:tcW w:w="7274" w:type="dxa"/>
            <w:gridSpan w:val="8"/>
            <w:vAlign w:val="bottom"/>
          </w:tcPr>
          <w:p w:rsidR="00000000" w:rsidRDefault="009C1C61">
            <w:pPr>
              <w:pStyle w:val="a2"/>
              <w:spacing w:line="220" w:lineRule="exact"/>
              <w:jc w:val="center"/>
              <w:rPr>
                <w:rFonts w:hint="eastAsia"/>
                <w:noProof/>
                <w:snapToGrid/>
                <w:sz w:val="18"/>
              </w:rPr>
            </w:pPr>
            <w:r>
              <w:rPr>
                <w:rFonts w:hint="eastAsia"/>
                <w:noProof/>
                <w:snapToGrid/>
                <w:sz w:val="18"/>
              </w:rPr>
              <w:t>按方案和年份分列明的申请人</w:t>
            </w:r>
          </w:p>
        </w:tc>
      </w:tr>
      <w:tr w:rsidR="00000000">
        <w:tblPrEx>
          <w:tblCellMar>
            <w:top w:w="0" w:type="dxa"/>
            <w:bottom w:w="0" w:type="dxa"/>
          </w:tblCellMar>
        </w:tblPrEx>
        <w:trPr>
          <w:gridAfter w:val="1"/>
          <w:cantSplit/>
          <w:jc w:val="center"/>
        </w:trPr>
        <w:tc>
          <w:tcPr>
            <w:tcW w:w="1862" w:type="dxa"/>
            <w:vMerge/>
          </w:tcPr>
          <w:p w:rsidR="00000000" w:rsidRDefault="009C1C61">
            <w:pPr>
              <w:pStyle w:val="a2"/>
              <w:spacing w:line="220" w:lineRule="exact"/>
              <w:ind w:left="113"/>
              <w:rPr>
                <w:noProof/>
                <w:snapToGrid/>
                <w:sz w:val="18"/>
              </w:rPr>
            </w:pPr>
          </w:p>
        </w:tc>
        <w:tc>
          <w:tcPr>
            <w:tcW w:w="983" w:type="dxa"/>
            <w:vAlign w:val="bottom"/>
          </w:tcPr>
          <w:p w:rsidR="00000000" w:rsidRDefault="009C1C61">
            <w:pPr>
              <w:pStyle w:val="a2"/>
              <w:spacing w:line="220" w:lineRule="exact"/>
              <w:jc w:val="center"/>
              <w:rPr>
                <w:noProof/>
                <w:snapToGrid/>
                <w:sz w:val="18"/>
              </w:rPr>
            </w:pPr>
            <w:r>
              <w:rPr>
                <w:noProof/>
                <w:snapToGrid/>
                <w:sz w:val="18"/>
              </w:rPr>
              <w:t>1991</w:t>
            </w:r>
          </w:p>
        </w:tc>
        <w:tc>
          <w:tcPr>
            <w:tcW w:w="1045" w:type="dxa"/>
            <w:vAlign w:val="bottom"/>
          </w:tcPr>
          <w:p w:rsidR="00000000" w:rsidRDefault="009C1C61">
            <w:pPr>
              <w:pStyle w:val="a2"/>
              <w:spacing w:line="220" w:lineRule="exact"/>
              <w:jc w:val="center"/>
              <w:rPr>
                <w:noProof/>
                <w:snapToGrid/>
                <w:sz w:val="18"/>
              </w:rPr>
            </w:pPr>
            <w:r>
              <w:rPr>
                <w:noProof/>
                <w:snapToGrid/>
                <w:sz w:val="18"/>
              </w:rPr>
              <w:t>1992</w:t>
            </w:r>
          </w:p>
        </w:tc>
        <w:tc>
          <w:tcPr>
            <w:tcW w:w="1092" w:type="dxa"/>
            <w:vAlign w:val="bottom"/>
          </w:tcPr>
          <w:p w:rsidR="00000000" w:rsidRDefault="009C1C61">
            <w:pPr>
              <w:pStyle w:val="a2"/>
              <w:spacing w:line="220" w:lineRule="exact"/>
              <w:jc w:val="center"/>
              <w:rPr>
                <w:noProof/>
                <w:snapToGrid/>
                <w:sz w:val="18"/>
              </w:rPr>
            </w:pPr>
            <w:r>
              <w:rPr>
                <w:noProof/>
                <w:snapToGrid/>
                <w:sz w:val="18"/>
              </w:rPr>
              <w:t>1993</w:t>
            </w:r>
          </w:p>
        </w:tc>
        <w:tc>
          <w:tcPr>
            <w:tcW w:w="1014" w:type="dxa"/>
            <w:vAlign w:val="bottom"/>
          </w:tcPr>
          <w:p w:rsidR="00000000" w:rsidRDefault="009C1C61">
            <w:pPr>
              <w:pStyle w:val="a2"/>
              <w:spacing w:line="220" w:lineRule="exact"/>
              <w:jc w:val="center"/>
              <w:rPr>
                <w:noProof/>
                <w:snapToGrid/>
                <w:sz w:val="18"/>
              </w:rPr>
            </w:pPr>
            <w:r>
              <w:rPr>
                <w:noProof/>
                <w:snapToGrid/>
                <w:sz w:val="18"/>
              </w:rPr>
              <w:t>1994</w:t>
            </w:r>
          </w:p>
        </w:tc>
        <w:tc>
          <w:tcPr>
            <w:tcW w:w="1092" w:type="dxa"/>
            <w:vAlign w:val="bottom"/>
          </w:tcPr>
          <w:p w:rsidR="00000000" w:rsidRDefault="009C1C61">
            <w:pPr>
              <w:pStyle w:val="a2"/>
              <w:spacing w:line="220" w:lineRule="exact"/>
              <w:jc w:val="center"/>
              <w:rPr>
                <w:noProof/>
                <w:snapToGrid/>
                <w:sz w:val="18"/>
              </w:rPr>
            </w:pPr>
            <w:r>
              <w:rPr>
                <w:noProof/>
                <w:snapToGrid/>
                <w:sz w:val="18"/>
              </w:rPr>
              <w:t>1995</w:t>
            </w:r>
          </w:p>
        </w:tc>
        <w:tc>
          <w:tcPr>
            <w:tcW w:w="951" w:type="dxa"/>
            <w:vAlign w:val="bottom"/>
          </w:tcPr>
          <w:p w:rsidR="00000000" w:rsidRDefault="009C1C61">
            <w:pPr>
              <w:pStyle w:val="a2"/>
              <w:spacing w:line="220" w:lineRule="exact"/>
              <w:jc w:val="center"/>
              <w:rPr>
                <w:noProof/>
                <w:snapToGrid/>
                <w:sz w:val="18"/>
              </w:rPr>
            </w:pPr>
            <w:r>
              <w:rPr>
                <w:noProof/>
                <w:snapToGrid/>
                <w:sz w:val="18"/>
              </w:rPr>
              <w:t>1996</w:t>
            </w:r>
          </w:p>
        </w:tc>
        <w:tc>
          <w:tcPr>
            <w:tcW w:w="1092" w:type="dxa"/>
            <w:vAlign w:val="bottom"/>
          </w:tcPr>
          <w:p w:rsidR="00000000" w:rsidRDefault="009C1C61">
            <w:pPr>
              <w:pStyle w:val="a2"/>
              <w:spacing w:line="220" w:lineRule="exact"/>
              <w:jc w:val="center"/>
              <w:rPr>
                <w:noProof/>
                <w:snapToGrid/>
                <w:sz w:val="18"/>
              </w:rPr>
            </w:pPr>
            <w:r>
              <w:rPr>
                <w:noProof/>
                <w:snapToGrid/>
                <w:sz w:val="18"/>
              </w:rPr>
              <w:t>1997</w:t>
            </w:r>
          </w:p>
        </w:tc>
      </w:tr>
      <w:tr w:rsidR="00000000">
        <w:tblPrEx>
          <w:tblCellMar>
            <w:top w:w="0" w:type="dxa"/>
            <w:bottom w:w="0" w:type="dxa"/>
          </w:tblCellMar>
        </w:tblPrEx>
        <w:trPr>
          <w:jc w:val="center"/>
        </w:trPr>
        <w:tc>
          <w:tcPr>
            <w:tcW w:w="1862"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农村补贴</w:t>
            </w:r>
          </w:p>
        </w:tc>
        <w:tc>
          <w:tcPr>
            <w:tcW w:w="983" w:type="dxa"/>
            <w:vAlign w:val="bottom"/>
          </w:tcPr>
          <w:p w:rsidR="00000000" w:rsidRDefault="009C1C61">
            <w:pPr>
              <w:pStyle w:val="a2"/>
              <w:spacing w:line="220" w:lineRule="exact"/>
              <w:ind w:right="113"/>
              <w:jc w:val="right"/>
              <w:rPr>
                <w:noProof/>
                <w:snapToGrid/>
                <w:sz w:val="18"/>
              </w:rPr>
            </w:pPr>
            <w:r>
              <w:rPr>
                <w:noProof/>
                <w:snapToGrid/>
                <w:sz w:val="18"/>
              </w:rPr>
              <w:t>24,422</w:t>
            </w:r>
          </w:p>
        </w:tc>
        <w:tc>
          <w:tcPr>
            <w:tcW w:w="1045" w:type="dxa"/>
            <w:vAlign w:val="bottom"/>
          </w:tcPr>
          <w:p w:rsidR="00000000" w:rsidRDefault="009C1C61">
            <w:pPr>
              <w:pStyle w:val="a2"/>
              <w:spacing w:line="220" w:lineRule="exact"/>
              <w:ind w:right="113"/>
              <w:jc w:val="right"/>
              <w:rPr>
                <w:noProof/>
                <w:snapToGrid/>
                <w:sz w:val="18"/>
              </w:rPr>
            </w:pPr>
            <w:r>
              <w:rPr>
                <w:noProof/>
                <w:snapToGrid/>
                <w:sz w:val="18"/>
              </w:rPr>
              <w:t>33,203</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21,196</w:t>
            </w:r>
          </w:p>
        </w:tc>
        <w:tc>
          <w:tcPr>
            <w:tcW w:w="1014" w:type="dxa"/>
            <w:vAlign w:val="bottom"/>
          </w:tcPr>
          <w:p w:rsidR="00000000" w:rsidRDefault="009C1C61">
            <w:pPr>
              <w:pStyle w:val="a2"/>
              <w:spacing w:line="220" w:lineRule="exact"/>
              <w:ind w:right="113"/>
              <w:jc w:val="right"/>
              <w:rPr>
                <w:noProof/>
                <w:snapToGrid/>
                <w:sz w:val="18"/>
              </w:rPr>
            </w:pPr>
            <w:r>
              <w:rPr>
                <w:noProof/>
                <w:snapToGrid/>
                <w:sz w:val="18"/>
              </w:rPr>
              <w:t>23,640</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10,223</w:t>
            </w:r>
          </w:p>
        </w:tc>
        <w:tc>
          <w:tcPr>
            <w:tcW w:w="951" w:type="dxa"/>
            <w:vAlign w:val="bottom"/>
          </w:tcPr>
          <w:p w:rsidR="00000000" w:rsidRDefault="009C1C61">
            <w:pPr>
              <w:pStyle w:val="a2"/>
              <w:spacing w:line="220" w:lineRule="exact"/>
              <w:ind w:right="113"/>
              <w:jc w:val="right"/>
              <w:rPr>
                <w:noProof/>
                <w:snapToGrid/>
                <w:sz w:val="18"/>
              </w:rPr>
            </w:pPr>
            <w:r>
              <w:rPr>
                <w:noProof/>
                <w:snapToGrid/>
                <w:sz w:val="18"/>
              </w:rPr>
              <w:t>12,048</w:t>
            </w:r>
          </w:p>
        </w:tc>
        <w:tc>
          <w:tcPr>
            <w:tcW w:w="1097" w:type="dxa"/>
            <w:gridSpan w:val="2"/>
            <w:vAlign w:val="bottom"/>
          </w:tcPr>
          <w:p w:rsidR="00000000" w:rsidRDefault="009C1C61">
            <w:pPr>
              <w:pStyle w:val="a2"/>
              <w:spacing w:line="220" w:lineRule="exact"/>
              <w:ind w:right="113"/>
              <w:jc w:val="right"/>
              <w:rPr>
                <w:noProof/>
                <w:snapToGrid/>
                <w:sz w:val="18"/>
              </w:rPr>
            </w:pPr>
            <w:r>
              <w:rPr>
                <w:noProof/>
                <w:snapToGrid/>
                <w:sz w:val="18"/>
              </w:rPr>
              <w:t>15,178</w:t>
            </w:r>
          </w:p>
        </w:tc>
      </w:tr>
      <w:tr w:rsidR="00000000">
        <w:tblPrEx>
          <w:tblCellMar>
            <w:top w:w="0" w:type="dxa"/>
            <w:bottom w:w="0" w:type="dxa"/>
          </w:tblCellMar>
        </w:tblPrEx>
        <w:trPr>
          <w:jc w:val="center"/>
        </w:trPr>
        <w:tc>
          <w:tcPr>
            <w:tcW w:w="1862"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统一补贴</w:t>
            </w:r>
          </w:p>
        </w:tc>
        <w:tc>
          <w:tcPr>
            <w:tcW w:w="983" w:type="dxa"/>
            <w:vAlign w:val="bottom"/>
          </w:tcPr>
          <w:p w:rsidR="00000000" w:rsidRDefault="009C1C61">
            <w:pPr>
              <w:pStyle w:val="a2"/>
              <w:spacing w:line="220" w:lineRule="exact"/>
              <w:ind w:right="113"/>
              <w:jc w:val="right"/>
              <w:rPr>
                <w:noProof/>
                <w:snapToGrid/>
                <w:sz w:val="18"/>
              </w:rPr>
            </w:pPr>
            <w:r>
              <w:rPr>
                <w:noProof/>
                <w:snapToGrid/>
                <w:sz w:val="18"/>
              </w:rPr>
              <w:t>11,693</w:t>
            </w:r>
          </w:p>
        </w:tc>
        <w:tc>
          <w:tcPr>
            <w:tcW w:w="1045" w:type="dxa"/>
            <w:vAlign w:val="bottom"/>
          </w:tcPr>
          <w:p w:rsidR="00000000" w:rsidRDefault="009C1C61">
            <w:pPr>
              <w:pStyle w:val="a2"/>
              <w:spacing w:line="220" w:lineRule="exact"/>
              <w:ind w:right="113"/>
              <w:jc w:val="right"/>
              <w:rPr>
                <w:noProof/>
                <w:snapToGrid/>
                <w:sz w:val="18"/>
              </w:rPr>
            </w:pPr>
            <w:r>
              <w:rPr>
                <w:noProof/>
                <w:snapToGrid/>
                <w:sz w:val="18"/>
              </w:rPr>
              <w:t>15,398</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18,078</w:t>
            </w:r>
          </w:p>
        </w:tc>
        <w:tc>
          <w:tcPr>
            <w:tcW w:w="1014" w:type="dxa"/>
            <w:vAlign w:val="bottom"/>
          </w:tcPr>
          <w:p w:rsidR="00000000" w:rsidRDefault="009C1C61">
            <w:pPr>
              <w:pStyle w:val="a2"/>
              <w:spacing w:line="220" w:lineRule="exact"/>
              <w:ind w:right="113"/>
              <w:jc w:val="right"/>
              <w:rPr>
                <w:noProof/>
                <w:snapToGrid/>
                <w:sz w:val="18"/>
              </w:rPr>
            </w:pPr>
            <w:r>
              <w:rPr>
                <w:noProof/>
                <w:snapToGrid/>
                <w:sz w:val="18"/>
              </w:rPr>
              <w:t>18,901</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16,434</w:t>
            </w:r>
          </w:p>
        </w:tc>
        <w:tc>
          <w:tcPr>
            <w:tcW w:w="951" w:type="dxa"/>
            <w:vAlign w:val="bottom"/>
          </w:tcPr>
          <w:p w:rsidR="00000000" w:rsidRDefault="009C1C61">
            <w:pPr>
              <w:pStyle w:val="a2"/>
              <w:spacing w:line="220" w:lineRule="exact"/>
              <w:ind w:right="113"/>
              <w:jc w:val="right"/>
              <w:rPr>
                <w:noProof/>
                <w:snapToGrid/>
                <w:sz w:val="18"/>
              </w:rPr>
            </w:pPr>
            <w:r>
              <w:rPr>
                <w:noProof/>
                <w:snapToGrid/>
                <w:sz w:val="18"/>
              </w:rPr>
              <w:t>18,928</w:t>
            </w:r>
          </w:p>
        </w:tc>
        <w:tc>
          <w:tcPr>
            <w:tcW w:w="1097" w:type="dxa"/>
            <w:gridSpan w:val="2"/>
            <w:vAlign w:val="bottom"/>
          </w:tcPr>
          <w:p w:rsidR="00000000" w:rsidRDefault="009C1C61">
            <w:pPr>
              <w:pStyle w:val="a2"/>
              <w:spacing w:line="220" w:lineRule="exact"/>
              <w:ind w:right="113"/>
              <w:jc w:val="right"/>
              <w:rPr>
                <w:noProof/>
                <w:snapToGrid/>
                <w:sz w:val="18"/>
              </w:rPr>
            </w:pPr>
            <w:r>
              <w:rPr>
                <w:noProof/>
                <w:snapToGrid/>
                <w:sz w:val="18"/>
              </w:rPr>
              <w:t>23,624</w:t>
            </w:r>
          </w:p>
        </w:tc>
      </w:tr>
      <w:tr w:rsidR="00000000">
        <w:tblPrEx>
          <w:tblCellMar>
            <w:top w:w="0" w:type="dxa"/>
            <w:bottom w:w="0" w:type="dxa"/>
          </w:tblCellMar>
        </w:tblPrEx>
        <w:trPr>
          <w:jc w:val="center"/>
        </w:trPr>
        <w:tc>
          <w:tcPr>
            <w:tcW w:w="1862"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基本住房</w:t>
            </w:r>
          </w:p>
        </w:tc>
        <w:tc>
          <w:tcPr>
            <w:tcW w:w="983"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45"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14"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951"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7" w:type="dxa"/>
            <w:gridSpan w:val="2"/>
            <w:vAlign w:val="bottom"/>
          </w:tcPr>
          <w:p w:rsidR="00000000" w:rsidRDefault="009C1C61">
            <w:pPr>
              <w:pStyle w:val="a2"/>
              <w:spacing w:line="220" w:lineRule="exact"/>
              <w:ind w:right="113"/>
              <w:jc w:val="right"/>
              <w:rPr>
                <w:noProof/>
                <w:snapToGrid/>
                <w:sz w:val="18"/>
              </w:rPr>
            </w:pPr>
            <w:r>
              <w:rPr>
                <w:noProof/>
                <w:snapToGrid/>
                <w:sz w:val="18"/>
              </w:rPr>
              <w:t>416,919</w:t>
            </w:r>
          </w:p>
        </w:tc>
      </w:tr>
      <w:tr w:rsidR="00000000">
        <w:tblPrEx>
          <w:tblCellMar>
            <w:top w:w="0" w:type="dxa"/>
            <w:bottom w:w="0" w:type="dxa"/>
          </w:tblCellMar>
        </w:tblPrEx>
        <w:trPr>
          <w:jc w:val="center"/>
        </w:trPr>
        <w:tc>
          <w:tcPr>
            <w:tcW w:w="1862"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私人基本住房</w:t>
            </w:r>
          </w:p>
        </w:tc>
        <w:tc>
          <w:tcPr>
            <w:tcW w:w="983"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45"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14"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951"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7" w:type="dxa"/>
            <w:gridSpan w:val="2"/>
            <w:vAlign w:val="bottom"/>
          </w:tcPr>
          <w:p w:rsidR="00000000" w:rsidRDefault="009C1C61">
            <w:pPr>
              <w:pStyle w:val="a2"/>
              <w:spacing w:line="220" w:lineRule="exact"/>
              <w:ind w:right="113"/>
              <w:jc w:val="right"/>
              <w:rPr>
                <w:noProof/>
                <w:snapToGrid/>
                <w:sz w:val="18"/>
              </w:rPr>
            </w:pPr>
            <w:r>
              <w:rPr>
                <w:noProof/>
                <w:snapToGrid/>
                <w:sz w:val="18"/>
              </w:rPr>
              <w:t>12,906</w:t>
            </w:r>
          </w:p>
        </w:tc>
      </w:tr>
      <w:tr w:rsidR="00000000">
        <w:tblPrEx>
          <w:tblCellMar>
            <w:top w:w="0" w:type="dxa"/>
            <w:bottom w:w="0" w:type="dxa"/>
          </w:tblCellMar>
        </w:tblPrEx>
        <w:trPr>
          <w:jc w:val="center"/>
        </w:trPr>
        <w:tc>
          <w:tcPr>
            <w:tcW w:w="1862" w:type="dxa"/>
            <w:vAlign w:val="bottom"/>
          </w:tcPr>
          <w:p w:rsidR="00000000" w:rsidRDefault="009C1C61">
            <w:pPr>
              <w:pStyle w:val="a2"/>
              <w:spacing w:line="220" w:lineRule="exact"/>
              <w:ind w:left="113"/>
              <w:rPr>
                <w:rFonts w:hint="eastAsia"/>
                <w:noProof/>
                <w:snapToGrid/>
                <w:sz w:val="18"/>
              </w:rPr>
            </w:pPr>
            <w:r>
              <w:rPr>
                <w:rFonts w:hint="eastAsia"/>
                <w:noProof/>
                <w:snapToGrid/>
                <w:sz w:val="18"/>
              </w:rPr>
              <w:t>递进建房</w:t>
            </w:r>
          </w:p>
        </w:tc>
        <w:tc>
          <w:tcPr>
            <w:tcW w:w="983"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45"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14"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2"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951" w:type="dxa"/>
            <w:vAlign w:val="bottom"/>
          </w:tcPr>
          <w:p w:rsidR="00000000" w:rsidRDefault="009C1C61">
            <w:pPr>
              <w:pStyle w:val="a2"/>
              <w:spacing w:line="220" w:lineRule="exact"/>
              <w:ind w:right="113"/>
              <w:jc w:val="right"/>
              <w:rPr>
                <w:noProof/>
                <w:snapToGrid/>
                <w:sz w:val="18"/>
              </w:rPr>
            </w:pPr>
            <w:r>
              <w:rPr>
                <w:noProof/>
                <w:snapToGrid/>
                <w:sz w:val="18"/>
              </w:rPr>
              <w:t>不详</w:t>
            </w:r>
          </w:p>
        </w:tc>
        <w:tc>
          <w:tcPr>
            <w:tcW w:w="1097" w:type="dxa"/>
            <w:gridSpan w:val="2"/>
            <w:vAlign w:val="bottom"/>
          </w:tcPr>
          <w:p w:rsidR="00000000" w:rsidRDefault="009C1C61">
            <w:pPr>
              <w:pStyle w:val="a2"/>
              <w:spacing w:line="220" w:lineRule="exact"/>
              <w:ind w:right="113"/>
              <w:jc w:val="right"/>
              <w:rPr>
                <w:noProof/>
                <w:snapToGrid/>
                <w:sz w:val="18"/>
              </w:rPr>
            </w:pPr>
            <w:r>
              <w:rPr>
                <w:noProof/>
                <w:snapToGrid/>
                <w:sz w:val="18"/>
              </w:rPr>
              <w:t>83,157</w:t>
            </w:r>
          </w:p>
        </w:tc>
      </w:tr>
      <w:tr w:rsidR="00000000">
        <w:tblPrEx>
          <w:tblCellMar>
            <w:top w:w="0" w:type="dxa"/>
            <w:bottom w:w="0" w:type="dxa"/>
          </w:tblCellMar>
        </w:tblPrEx>
        <w:trPr>
          <w:jc w:val="center"/>
        </w:trPr>
        <w:tc>
          <w:tcPr>
            <w:tcW w:w="1862" w:type="dxa"/>
            <w:vAlign w:val="bottom"/>
          </w:tcPr>
          <w:p w:rsidR="00000000" w:rsidRDefault="009C1C61">
            <w:pPr>
              <w:pStyle w:val="a2"/>
              <w:spacing w:line="220" w:lineRule="exact"/>
              <w:ind w:left="113"/>
              <w:jc w:val="center"/>
              <w:rPr>
                <w:rFonts w:hint="eastAsia"/>
                <w:noProof/>
                <w:snapToGrid/>
                <w:sz w:val="18"/>
              </w:rPr>
            </w:pPr>
            <w:r>
              <w:rPr>
                <w:rFonts w:hint="eastAsia"/>
                <w:noProof/>
                <w:snapToGrid/>
                <w:sz w:val="18"/>
              </w:rPr>
              <w:t>共</w:t>
            </w:r>
            <w:r>
              <w:rPr>
                <w:noProof/>
                <w:snapToGrid/>
                <w:sz w:val="18"/>
              </w:rPr>
              <w:t xml:space="preserve">  </w:t>
            </w:r>
            <w:r>
              <w:rPr>
                <w:rFonts w:hint="eastAsia"/>
                <w:noProof/>
                <w:snapToGrid/>
                <w:sz w:val="18"/>
              </w:rPr>
              <w:t>计</w:t>
            </w:r>
          </w:p>
        </w:tc>
        <w:tc>
          <w:tcPr>
            <w:tcW w:w="983" w:type="dxa"/>
            <w:vAlign w:val="bottom"/>
          </w:tcPr>
          <w:p w:rsidR="00000000" w:rsidRDefault="009C1C61">
            <w:pPr>
              <w:pStyle w:val="a2"/>
              <w:spacing w:line="220" w:lineRule="exact"/>
              <w:ind w:right="113"/>
              <w:jc w:val="right"/>
              <w:rPr>
                <w:noProof/>
                <w:snapToGrid/>
                <w:sz w:val="18"/>
              </w:rPr>
            </w:pPr>
          </w:p>
        </w:tc>
        <w:tc>
          <w:tcPr>
            <w:tcW w:w="1045" w:type="dxa"/>
            <w:vAlign w:val="bottom"/>
          </w:tcPr>
          <w:p w:rsidR="00000000" w:rsidRDefault="009C1C61">
            <w:pPr>
              <w:pStyle w:val="a2"/>
              <w:spacing w:line="220" w:lineRule="exact"/>
              <w:ind w:right="113"/>
              <w:jc w:val="right"/>
              <w:rPr>
                <w:noProof/>
                <w:snapToGrid/>
                <w:sz w:val="18"/>
              </w:rPr>
            </w:pPr>
          </w:p>
        </w:tc>
        <w:tc>
          <w:tcPr>
            <w:tcW w:w="1092" w:type="dxa"/>
            <w:vAlign w:val="bottom"/>
          </w:tcPr>
          <w:p w:rsidR="00000000" w:rsidRDefault="009C1C61">
            <w:pPr>
              <w:pStyle w:val="a2"/>
              <w:spacing w:line="220" w:lineRule="exact"/>
              <w:ind w:right="113"/>
              <w:jc w:val="right"/>
              <w:rPr>
                <w:noProof/>
                <w:snapToGrid/>
                <w:sz w:val="18"/>
              </w:rPr>
            </w:pPr>
          </w:p>
        </w:tc>
        <w:tc>
          <w:tcPr>
            <w:tcW w:w="1014" w:type="dxa"/>
            <w:vAlign w:val="bottom"/>
          </w:tcPr>
          <w:p w:rsidR="00000000" w:rsidRDefault="009C1C61">
            <w:pPr>
              <w:pStyle w:val="a2"/>
              <w:spacing w:line="220" w:lineRule="exact"/>
              <w:ind w:right="113"/>
              <w:jc w:val="right"/>
              <w:rPr>
                <w:noProof/>
                <w:snapToGrid/>
                <w:sz w:val="18"/>
              </w:rPr>
            </w:pPr>
          </w:p>
        </w:tc>
        <w:tc>
          <w:tcPr>
            <w:tcW w:w="1092" w:type="dxa"/>
            <w:vAlign w:val="bottom"/>
          </w:tcPr>
          <w:p w:rsidR="00000000" w:rsidRDefault="009C1C61">
            <w:pPr>
              <w:pStyle w:val="a2"/>
              <w:spacing w:line="220" w:lineRule="exact"/>
              <w:ind w:right="113"/>
              <w:jc w:val="right"/>
              <w:rPr>
                <w:noProof/>
                <w:snapToGrid/>
                <w:sz w:val="18"/>
              </w:rPr>
            </w:pPr>
          </w:p>
        </w:tc>
        <w:tc>
          <w:tcPr>
            <w:tcW w:w="951" w:type="dxa"/>
            <w:vAlign w:val="bottom"/>
          </w:tcPr>
          <w:p w:rsidR="00000000" w:rsidRDefault="009C1C61">
            <w:pPr>
              <w:pStyle w:val="a2"/>
              <w:spacing w:line="220" w:lineRule="exact"/>
              <w:ind w:right="113"/>
              <w:jc w:val="right"/>
              <w:rPr>
                <w:noProof/>
                <w:snapToGrid/>
                <w:sz w:val="18"/>
              </w:rPr>
            </w:pPr>
          </w:p>
        </w:tc>
        <w:tc>
          <w:tcPr>
            <w:tcW w:w="1097" w:type="dxa"/>
            <w:gridSpan w:val="2"/>
            <w:vAlign w:val="bottom"/>
          </w:tcPr>
          <w:p w:rsidR="00000000" w:rsidRDefault="009C1C61">
            <w:pPr>
              <w:pStyle w:val="a2"/>
              <w:spacing w:line="220" w:lineRule="exact"/>
              <w:ind w:right="113"/>
              <w:jc w:val="right"/>
              <w:rPr>
                <w:noProof/>
                <w:snapToGrid/>
                <w:sz w:val="18"/>
              </w:rPr>
            </w:pPr>
            <w:r>
              <w:rPr>
                <w:noProof/>
                <w:snapToGrid/>
                <w:sz w:val="18"/>
              </w:rPr>
              <w:t>551,784</w:t>
            </w:r>
          </w:p>
        </w:tc>
      </w:tr>
    </w:tbl>
    <w:p w:rsidR="00000000" w:rsidRDefault="009C1C61">
      <w:pPr>
        <w:pStyle w:val="EndnoteText"/>
        <w:spacing w:before="120" w:after="320" w:line="240" w:lineRule="auto"/>
        <w:rPr>
          <w:rFonts w:hint="eastAsia"/>
          <w:snapToGrid/>
          <w:sz w:val="20"/>
        </w:rPr>
      </w:pPr>
      <w:r>
        <w:rPr>
          <w:rFonts w:hint="eastAsia"/>
          <w:snapToGrid/>
          <w:sz w:val="20"/>
          <w:u w:val="single"/>
        </w:rPr>
        <w:t>资料来源</w:t>
      </w:r>
      <w:r>
        <w:rPr>
          <w:snapToGrid/>
          <w:sz w:val="20"/>
        </w:rPr>
        <w:t>：</w:t>
      </w:r>
      <w:r>
        <w:rPr>
          <w:rFonts w:hint="eastAsia"/>
          <w:snapToGrid/>
          <w:sz w:val="20"/>
        </w:rPr>
        <w:t>城规部管理报告，农村补贴：</w:t>
      </w:r>
      <w:r>
        <w:rPr>
          <w:snapToGrid/>
          <w:sz w:val="20"/>
        </w:rPr>
        <w:t>1/91</w:t>
      </w:r>
      <w:r>
        <w:rPr>
          <w:rFonts w:hint="eastAsia"/>
          <w:snapToGrid/>
          <w:sz w:val="20"/>
        </w:rPr>
        <w:t>、</w:t>
      </w:r>
      <w:r>
        <w:rPr>
          <w:snapToGrid/>
          <w:sz w:val="20"/>
        </w:rPr>
        <w:t>1/92</w:t>
      </w:r>
      <w:r>
        <w:rPr>
          <w:rFonts w:hint="eastAsia"/>
          <w:snapToGrid/>
          <w:sz w:val="20"/>
        </w:rPr>
        <w:t>、</w:t>
      </w:r>
      <w:r>
        <w:rPr>
          <w:snapToGrid/>
          <w:sz w:val="20"/>
        </w:rPr>
        <w:t>1/93</w:t>
      </w:r>
      <w:r>
        <w:rPr>
          <w:rFonts w:hint="eastAsia"/>
          <w:snapToGrid/>
          <w:sz w:val="20"/>
        </w:rPr>
        <w:t>、</w:t>
      </w:r>
      <w:r>
        <w:rPr>
          <w:snapToGrid/>
          <w:sz w:val="20"/>
        </w:rPr>
        <w:t>1/94</w:t>
      </w:r>
      <w:r>
        <w:rPr>
          <w:rFonts w:hint="eastAsia"/>
          <w:snapToGrid/>
          <w:sz w:val="20"/>
        </w:rPr>
        <w:t>、</w:t>
      </w:r>
      <w:r>
        <w:rPr>
          <w:snapToGrid/>
          <w:sz w:val="20"/>
        </w:rPr>
        <w:t>2/95</w:t>
      </w:r>
      <w:r>
        <w:rPr>
          <w:rFonts w:hint="eastAsia"/>
          <w:snapToGrid/>
          <w:sz w:val="20"/>
        </w:rPr>
        <w:t>、</w:t>
      </w:r>
      <w:r>
        <w:rPr>
          <w:snapToGrid/>
          <w:sz w:val="20"/>
        </w:rPr>
        <w:t>2/96</w:t>
      </w:r>
      <w:r>
        <w:rPr>
          <w:rFonts w:hint="eastAsia"/>
          <w:snapToGrid/>
          <w:sz w:val="20"/>
        </w:rPr>
        <w:t>和</w:t>
      </w:r>
      <w:r>
        <w:rPr>
          <w:snapToGrid/>
          <w:sz w:val="20"/>
        </w:rPr>
        <w:t>2/97</w:t>
      </w:r>
      <w:r>
        <w:rPr>
          <w:rFonts w:hint="eastAsia"/>
          <w:snapToGrid/>
          <w:sz w:val="20"/>
        </w:rPr>
        <w:t>的入选申请人</w:t>
      </w:r>
      <w:r>
        <w:rPr>
          <w:snapToGrid/>
          <w:sz w:val="20"/>
        </w:rPr>
        <w:t>；</w:t>
      </w:r>
      <w:r>
        <w:rPr>
          <w:rFonts w:hint="eastAsia"/>
          <w:snapToGrid/>
          <w:sz w:val="20"/>
        </w:rPr>
        <w:t>统计报告，统一补贴</w:t>
      </w:r>
      <w:r>
        <w:rPr>
          <w:snapToGrid/>
          <w:sz w:val="20"/>
        </w:rPr>
        <w:t>：</w:t>
      </w:r>
      <w:r>
        <w:rPr>
          <w:snapToGrid/>
          <w:sz w:val="20"/>
        </w:rPr>
        <w:t>1/91</w:t>
      </w:r>
      <w:r>
        <w:rPr>
          <w:rFonts w:hint="eastAsia"/>
          <w:snapToGrid/>
          <w:sz w:val="20"/>
        </w:rPr>
        <w:t>、</w:t>
      </w:r>
      <w:r>
        <w:rPr>
          <w:snapToGrid/>
          <w:sz w:val="20"/>
        </w:rPr>
        <w:t>1/92</w:t>
      </w:r>
      <w:r>
        <w:rPr>
          <w:rFonts w:hint="eastAsia"/>
          <w:snapToGrid/>
          <w:sz w:val="20"/>
        </w:rPr>
        <w:t>、</w:t>
      </w:r>
      <w:r>
        <w:rPr>
          <w:snapToGrid/>
          <w:sz w:val="20"/>
        </w:rPr>
        <w:t>1/93</w:t>
      </w:r>
      <w:r>
        <w:rPr>
          <w:rFonts w:hint="eastAsia"/>
          <w:snapToGrid/>
          <w:sz w:val="20"/>
        </w:rPr>
        <w:t>、</w:t>
      </w:r>
      <w:r>
        <w:rPr>
          <w:snapToGrid/>
          <w:sz w:val="20"/>
        </w:rPr>
        <w:t>1/94</w:t>
      </w:r>
      <w:r>
        <w:rPr>
          <w:rFonts w:hint="eastAsia"/>
          <w:snapToGrid/>
          <w:sz w:val="20"/>
        </w:rPr>
        <w:t>、</w:t>
      </w:r>
      <w:r>
        <w:rPr>
          <w:snapToGrid/>
          <w:sz w:val="20"/>
        </w:rPr>
        <w:t>1/95</w:t>
      </w:r>
      <w:r>
        <w:rPr>
          <w:rFonts w:hint="eastAsia"/>
          <w:snapToGrid/>
          <w:sz w:val="20"/>
        </w:rPr>
        <w:t>、</w:t>
      </w:r>
      <w:r>
        <w:rPr>
          <w:snapToGrid/>
          <w:sz w:val="20"/>
        </w:rPr>
        <w:t>1/96</w:t>
      </w:r>
      <w:r>
        <w:rPr>
          <w:rFonts w:hint="eastAsia"/>
          <w:snapToGrid/>
          <w:sz w:val="20"/>
        </w:rPr>
        <w:t>和</w:t>
      </w:r>
      <w:r>
        <w:rPr>
          <w:snapToGrid/>
          <w:sz w:val="20"/>
        </w:rPr>
        <w:t>1/97</w:t>
      </w:r>
      <w:r>
        <w:rPr>
          <w:rFonts w:hint="eastAsia"/>
          <w:snapToGrid/>
          <w:sz w:val="20"/>
        </w:rPr>
        <w:t>的入选申请人；统计执行，基本住房和递进建房</w:t>
      </w:r>
      <w:r>
        <w:rPr>
          <w:snapToGrid/>
          <w:sz w:val="20"/>
        </w:rPr>
        <w:t>：</w:t>
      </w:r>
      <w:r>
        <w:rPr>
          <w:snapToGrid/>
          <w:sz w:val="20"/>
        </w:rPr>
        <w:t>1998</w:t>
      </w:r>
      <w:r>
        <w:rPr>
          <w:rFonts w:hint="eastAsia"/>
          <w:snapToGrid/>
          <w:sz w:val="20"/>
        </w:rPr>
        <w:t>年</w:t>
      </w:r>
      <w:r>
        <w:rPr>
          <w:rFonts w:hint="eastAsia"/>
          <w:snapToGrid/>
          <w:sz w:val="20"/>
        </w:rPr>
        <w:t>1</w:t>
      </w:r>
      <w:r>
        <w:rPr>
          <w:rFonts w:hint="eastAsia"/>
          <w:snapToGrid/>
          <w:sz w:val="20"/>
        </w:rPr>
        <w:t>月</w:t>
      </w:r>
      <w:r>
        <w:rPr>
          <w:rFonts w:hint="eastAsia"/>
          <w:snapToGrid/>
          <w:sz w:val="20"/>
        </w:rPr>
        <w:t>31</w:t>
      </w:r>
      <w:r>
        <w:rPr>
          <w:rFonts w:hint="eastAsia"/>
          <w:snapToGrid/>
          <w:sz w:val="20"/>
        </w:rPr>
        <w:t>日登记的申请人。</w:t>
      </w:r>
    </w:p>
    <w:p w:rsidR="00000000" w:rsidRDefault="009C1C61">
      <w:pPr>
        <w:rPr>
          <w:noProof/>
          <w:snapToGrid/>
        </w:rPr>
      </w:pPr>
      <w:r>
        <w:rPr>
          <w:snapToGrid/>
        </w:rPr>
        <w:tab/>
        <w:t>563.</w:t>
      </w:r>
      <w:r>
        <w:rPr>
          <w:noProof/>
          <w:snapToGrid/>
        </w:rPr>
        <w:t xml:space="preserve">  </w:t>
      </w:r>
      <w:r>
        <w:rPr>
          <w:rFonts w:hint="eastAsia"/>
          <w:noProof/>
          <w:snapToGrid/>
        </w:rPr>
        <w:t>为缩短所谓的等待名单而采取的措施，就是根据</w:t>
      </w:r>
      <w:r>
        <w:rPr>
          <w:rFonts w:hint="eastAsia"/>
          <w:noProof/>
          <w:snapToGrid/>
        </w:rPr>
        <w:t>《国家年度预算法》资助的具体目标，每年都实施不间断的建房和分房方案。</w:t>
      </w:r>
    </w:p>
    <w:p w:rsidR="00000000" w:rsidRDefault="009C1C61">
      <w:pPr>
        <w:spacing w:after="240"/>
        <w:rPr>
          <w:snapToGrid/>
        </w:rPr>
      </w:pPr>
      <w:r>
        <w:rPr>
          <w:snapToGrid/>
        </w:rPr>
        <w:tab/>
        <w:t xml:space="preserve">564.  </w:t>
      </w:r>
      <w:r>
        <w:rPr>
          <w:rFonts w:hint="eastAsia"/>
          <w:snapToGrid/>
        </w:rPr>
        <w:t>鉴于永久住房供应制度非常稳定，所以没有提供临时住房的方案。然而，智利也实施了各种计划，满足因紧急情况或自然灾害而起的需求。这些计划通过内政部、各省和各个城市加以落实。</w:t>
      </w:r>
    </w:p>
    <w:p w:rsidR="00000000" w:rsidRDefault="009C1C61">
      <w:pPr>
        <w:pStyle w:val="Heading4"/>
        <w:rPr>
          <w:rFonts w:ascii="Time New Roman" w:eastAsia="SimHei" w:hAnsi="Time New Roman"/>
          <w:u w:val="none"/>
        </w:rPr>
      </w:pPr>
      <w:r>
        <w:rPr>
          <w:rFonts w:ascii="Time New Roman" w:eastAsia="SimHei" w:hAnsi="Time New Roman" w:hint="eastAsia"/>
          <w:u w:val="none"/>
        </w:rPr>
        <w:t>根据权利所有者统计的人数</w:t>
      </w:r>
    </w:p>
    <w:p w:rsidR="00000000" w:rsidRDefault="009C1C61">
      <w:pPr>
        <w:spacing w:after="320"/>
        <w:rPr>
          <w:snapToGrid/>
          <w:spacing w:val="12"/>
        </w:rPr>
      </w:pPr>
      <w:r>
        <w:rPr>
          <w:snapToGrid/>
          <w:spacing w:val="12"/>
        </w:rPr>
        <w:tab/>
      </w:r>
      <w:r>
        <w:rPr>
          <w:rFonts w:hint="eastAsia"/>
          <w:snapToGrid/>
          <w:spacing w:val="12"/>
        </w:rPr>
        <w:t xml:space="preserve">565. </w:t>
      </w:r>
      <w:r>
        <w:rPr>
          <w:snapToGrid/>
          <w:spacing w:val="12"/>
        </w:rPr>
        <w:t xml:space="preserve"> </w:t>
      </w:r>
      <w:r>
        <w:rPr>
          <w:rFonts w:hint="eastAsia"/>
          <w:snapToGrid/>
          <w:spacing w:val="12"/>
        </w:rPr>
        <w:t>规划与合作部的社经特征调查根据占用类型分类登记了现有居民户的数量，但未细分公房还是私房。</w:t>
      </w:r>
      <w:r>
        <w:rPr>
          <w:snapToGrid/>
          <w:spacing w:val="12"/>
        </w:rPr>
        <w:t>1998</w:t>
      </w:r>
      <w:r>
        <w:rPr>
          <w:rFonts w:hint="eastAsia"/>
          <w:snapToGrid/>
          <w:spacing w:val="12"/>
        </w:rPr>
        <w:t>年，有</w:t>
      </w:r>
      <w:r>
        <w:rPr>
          <w:snapToGrid/>
          <w:spacing w:val="12"/>
        </w:rPr>
        <w:t>26</w:t>
      </w:r>
      <w:r>
        <w:rPr>
          <w:rFonts w:hint="eastAsia"/>
          <w:snapToGrid/>
          <w:spacing w:val="12"/>
        </w:rPr>
        <w:t>0</w:t>
      </w:r>
      <w:r>
        <w:rPr>
          <w:rFonts w:hint="eastAsia"/>
          <w:snapToGrid/>
          <w:spacing w:val="12"/>
        </w:rPr>
        <w:t>万户，即全国总数的</w:t>
      </w:r>
      <w:r>
        <w:rPr>
          <w:snapToGrid/>
          <w:spacing w:val="12"/>
        </w:rPr>
        <w:t>70%</w:t>
      </w:r>
      <w:r>
        <w:rPr>
          <w:rFonts w:hint="eastAsia"/>
          <w:snapToGrid/>
          <w:spacing w:val="12"/>
        </w:rPr>
        <w:t>，居住在自有住房</w:t>
      </w:r>
      <w:r>
        <w:rPr>
          <w:snapToGrid/>
          <w:spacing w:val="12"/>
        </w:rPr>
        <w:t>(</w:t>
      </w:r>
      <w:r>
        <w:rPr>
          <w:rFonts w:hint="eastAsia"/>
          <w:snapToGrid/>
          <w:spacing w:val="12"/>
        </w:rPr>
        <w:t>已经付款或正在分期付款</w:t>
      </w:r>
      <w:r>
        <w:rPr>
          <w:snapToGrid/>
          <w:spacing w:val="12"/>
        </w:rPr>
        <w:t>)</w:t>
      </w:r>
      <w:r>
        <w:rPr>
          <w:rFonts w:hint="eastAsia"/>
          <w:snapToGrid/>
          <w:spacing w:val="12"/>
        </w:rPr>
        <w:t>。租房的有</w:t>
      </w:r>
      <w:r>
        <w:rPr>
          <w:snapToGrid/>
          <w:spacing w:val="12"/>
        </w:rPr>
        <w:t>619,000</w:t>
      </w:r>
      <w:r>
        <w:rPr>
          <w:rFonts w:hint="eastAsia"/>
          <w:snapToGrid/>
          <w:spacing w:val="12"/>
        </w:rPr>
        <w:t>户，即占总数的</w:t>
      </w:r>
      <w:r>
        <w:rPr>
          <w:snapToGrid/>
          <w:spacing w:val="12"/>
        </w:rPr>
        <w:t>16.5</w:t>
      </w:r>
      <w:r>
        <w:rPr>
          <w:snapToGrid/>
          <w:spacing w:val="12"/>
        </w:rPr>
        <w:t>%</w:t>
      </w:r>
      <w:r>
        <w:rPr>
          <w:rFonts w:hint="eastAsia"/>
          <w:snapToGrid/>
          <w:spacing w:val="12"/>
        </w:rPr>
        <w:t>；其他类型的占用</w:t>
      </w:r>
      <w:r>
        <w:rPr>
          <w:rFonts w:hint="eastAsia"/>
          <w:snapToGrid/>
          <w:spacing w:val="12"/>
        </w:rPr>
        <w:t>(</w:t>
      </w:r>
      <w:r>
        <w:rPr>
          <w:rFonts w:hint="eastAsia"/>
          <w:snapToGrid/>
          <w:spacing w:val="12"/>
        </w:rPr>
        <w:t>财产转让、占用等等</w:t>
      </w:r>
      <w:r>
        <w:rPr>
          <w:rFonts w:hint="eastAsia"/>
          <w:snapToGrid/>
          <w:spacing w:val="12"/>
        </w:rPr>
        <w:t>)</w:t>
      </w:r>
      <w:r>
        <w:rPr>
          <w:rFonts w:hint="eastAsia"/>
          <w:snapToGrid/>
          <w:spacing w:val="12"/>
        </w:rPr>
        <w:t>总共不超过</w:t>
      </w:r>
      <w:r>
        <w:rPr>
          <w:snapToGrid/>
          <w:spacing w:val="12"/>
        </w:rPr>
        <w:t>519,000</w:t>
      </w:r>
      <w:r>
        <w:rPr>
          <w:rFonts w:hint="eastAsia"/>
          <w:snapToGrid/>
          <w:spacing w:val="12"/>
        </w:rPr>
        <w:t>户，相当于全国总数的</w:t>
      </w:r>
      <w:r>
        <w:rPr>
          <w:snapToGrid/>
          <w:spacing w:val="12"/>
        </w:rPr>
        <w:t>13.8%</w:t>
      </w:r>
      <w:r>
        <w:rPr>
          <w:rFonts w:hint="eastAsia"/>
          <w:snapToGrid/>
          <w:spacing w:val="12"/>
        </w:rPr>
        <w:t>。与</w:t>
      </w:r>
      <w:r>
        <w:rPr>
          <w:snapToGrid/>
          <w:spacing w:val="12"/>
        </w:rPr>
        <w:t>1990</w:t>
      </w:r>
      <w:r>
        <w:rPr>
          <w:rFonts w:hint="eastAsia"/>
          <w:snapToGrid/>
          <w:spacing w:val="12"/>
        </w:rPr>
        <w:t>年记录的数字相比，自有住房增加了</w:t>
      </w:r>
      <w:r>
        <w:rPr>
          <w:snapToGrid/>
          <w:spacing w:val="12"/>
        </w:rPr>
        <w:t>34.2%</w:t>
      </w:r>
      <w:r>
        <w:rPr>
          <w:rFonts w:hint="eastAsia"/>
          <w:snapToGrid/>
          <w:spacing w:val="12"/>
        </w:rPr>
        <w:t>，租房增加了</w:t>
      </w:r>
      <w:r>
        <w:rPr>
          <w:snapToGrid/>
          <w:spacing w:val="12"/>
        </w:rPr>
        <w:t>13.6% (</w:t>
      </w:r>
      <w:r>
        <w:rPr>
          <w:rFonts w:hint="eastAsia"/>
          <w:snapToGrid/>
          <w:spacing w:val="12"/>
        </w:rPr>
        <w:t>见表</w:t>
      </w:r>
      <w:r>
        <w:rPr>
          <w:snapToGrid/>
          <w:spacing w:val="12"/>
        </w:rPr>
        <w:t>32)</w:t>
      </w:r>
      <w:r>
        <w:rPr>
          <w:rFonts w:hint="eastAsia"/>
          <w:snapToGrid/>
          <w:spacing w:val="12"/>
        </w:rPr>
        <w:t>。</w:t>
      </w:r>
    </w:p>
    <w:p w:rsidR="00000000" w:rsidRDefault="009C1C61">
      <w:pPr>
        <w:pStyle w:val="Heading3"/>
        <w:spacing w:after="160"/>
      </w:pPr>
      <w:r>
        <w:rPr>
          <w:rFonts w:hint="eastAsia"/>
        </w:rPr>
        <w:t>表</w:t>
      </w:r>
      <w:r>
        <w:rPr>
          <w:b/>
          <w:bCs/>
        </w:rPr>
        <w:t xml:space="preserve"> 32</w:t>
      </w:r>
    </w:p>
    <w:p w:rsidR="00000000" w:rsidRDefault="009C1C61">
      <w:pPr>
        <w:pStyle w:val="Heading3"/>
        <w:spacing w:after="160"/>
      </w:pPr>
      <w:r>
        <w:rPr>
          <w:rFonts w:hint="eastAsia"/>
        </w:rPr>
        <w:t>智利按占用类型分列的居民户数</w:t>
      </w:r>
    </w:p>
    <w:tbl>
      <w:tblPr>
        <w:tblW w:w="980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94"/>
        <w:gridCol w:w="1164"/>
        <w:gridCol w:w="1164"/>
        <w:gridCol w:w="1164"/>
        <w:gridCol w:w="1164"/>
        <w:gridCol w:w="1165"/>
        <w:gridCol w:w="1388"/>
      </w:tblGrid>
      <w:tr w:rsidR="00000000">
        <w:tblPrEx>
          <w:tblCellMar>
            <w:top w:w="0" w:type="dxa"/>
            <w:bottom w:w="0" w:type="dxa"/>
          </w:tblCellMar>
        </w:tblPrEx>
        <w:trPr>
          <w:jc w:val="center"/>
        </w:trPr>
        <w:tc>
          <w:tcPr>
            <w:tcW w:w="2594" w:type="dxa"/>
            <w:tcBorders>
              <w:bottom w:val="single" w:sz="2" w:space="0" w:color="auto"/>
            </w:tcBorders>
            <w:vAlign w:val="center"/>
          </w:tcPr>
          <w:p w:rsidR="00000000" w:rsidRDefault="009C1C61">
            <w:pPr>
              <w:pStyle w:val="a2"/>
              <w:ind w:left="113"/>
              <w:jc w:val="center"/>
              <w:rPr>
                <w:noProof/>
                <w:snapToGrid/>
                <w:sz w:val="20"/>
              </w:rPr>
            </w:pPr>
          </w:p>
        </w:tc>
        <w:tc>
          <w:tcPr>
            <w:tcW w:w="1164" w:type="dxa"/>
            <w:tcBorders>
              <w:bottom w:val="single" w:sz="2" w:space="0" w:color="auto"/>
            </w:tcBorders>
            <w:vAlign w:val="center"/>
          </w:tcPr>
          <w:p w:rsidR="00000000" w:rsidRDefault="009C1C61">
            <w:pPr>
              <w:pStyle w:val="a2"/>
              <w:jc w:val="center"/>
              <w:rPr>
                <w:noProof/>
                <w:snapToGrid/>
                <w:sz w:val="20"/>
              </w:rPr>
            </w:pPr>
            <w:r>
              <w:rPr>
                <w:noProof/>
                <w:snapToGrid/>
                <w:sz w:val="20"/>
              </w:rPr>
              <w:t>1990</w:t>
            </w:r>
          </w:p>
        </w:tc>
        <w:tc>
          <w:tcPr>
            <w:tcW w:w="1164" w:type="dxa"/>
            <w:tcBorders>
              <w:bottom w:val="single" w:sz="2" w:space="0" w:color="auto"/>
            </w:tcBorders>
            <w:vAlign w:val="center"/>
          </w:tcPr>
          <w:p w:rsidR="00000000" w:rsidRDefault="009C1C61">
            <w:pPr>
              <w:pStyle w:val="a2"/>
              <w:jc w:val="center"/>
              <w:rPr>
                <w:noProof/>
                <w:snapToGrid/>
                <w:sz w:val="20"/>
              </w:rPr>
            </w:pPr>
            <w:r>
              <w:rPr>
                <w:noProof/>
                <w:snapToGrid/>
                <w:sz w:val="20"/>
              </w:rPr>
              <w:t>1992</w:t>
            </w:r>
          </w:p>
        </w:tc>
        <w:tc>
          <w:tcPr>
            <w:tcW w:w="1164" w:type="dxa"/>
            <w:tcBorders>
              <w:bottom w:val="single" w:sz="2" w:space="0" w:color="auto"/>
            </w:tcBorders>
            <w:vAlign w:val="center"/>
          </w:tcPr>
          <w:p w:rsidR="00000000" w:rsidRDefault="009C1C61">
            <w:pPr>
              <w:pStyle w:val="a2"/>
              <w:jc w:val="center"/>
              <w:rPr>
                <w:noProof/>
                <w:snapToGrid/>
                <w:sz w:val="20"/>
              </w:rPr>
            </w:pPr>
            <w:r>
              <w:rPr>
                <w:noProof/>
                <w:snapToGrid/>
                <w:sz w:val="20"/>
              </w:rPr>
              <w:t>1994</w:t>
            </w:r>
          </w:p>
        </w:tc>
        <w:tc>
          <w:tcPr>
            <w:tcW w:w="1164" w:type="dxa"/>
            <w:tcBorders>
              <w:bottom w:val="single" w:sz="2" w:space="0" w:color="auto"/>
            </w:tcBorders>
            <w:vAlign w:val="center"/>
          </w:tcPr>
          <w:p w:rsidR="00000000" w:rsidRDefault="009C1C61">
            <w:pPr>
              <w:pStyle w:val="a2"/>
              <w:jc w:val="center"/>
              <w:rPr>
                <w:noProof/>
                <w:snapToGrid/>
                <w:sz w:val="20"/>
              </w:rPr>
            </w:pPr>
            <w:r>
              <w:rPr>
                <w:noProof/>
                <w:snapToGrid/>
                <w:sz w:val="20"/>
              </w:rPr>
              <w:t>1996</w:t>
            </w:r>
          </w:p>
        </w:tc>
        <w:tc>
          <w:tcPr>
            <w:tcW w:w="1165" w:type="dxa"/>
            <w:tcBorders>
              <w:bottom w:val="single" w:sz="2" w:space="0" w:color="auto"/>
            </w:tcBorders>
            <w:vAlign w:val="center"/>
          </w:tcPr>
          <w:p w:rsidR="00000000" w:rsidRDefault="009C1C61">
            <w:pPr>
              <w:pStyle w:val="a2"/>
              <w:jc w:val="center"/>
              <w:rPr>
                <w:noProof/>
                <w:snapToGrid/>
                <w:sz w:val="20"/>
              </w:rPr>
            </w:pPr>
            <w:r>
              <w:rPr>
                <w:noProof/>
                <w:snapToGrid/>
                <w:sz w:val="20"/>
              </w:rPr>
              <w:t>1998</w:t>
            </w:r>
          </w:p>
        </w:tc>
        <w:tc>
          <w:tcPr>
            <w:tcW w:w="1388" w:type="dxa"/>
            <w:tcBorders>
              <w:bottom w:val="single" w:sz="2" w:space="0" w:color="auto"/>
            </w:tcBorders>
            <w:vAlign w:val="center"/>
          </w:tcPr>
          <w:p w:rsidR="00000000" w:rsidRDefault="009C1C61">
            <w:pPr>
              <w:pStyle w:val="a2"/>
              <w:jc w:val="center"/>
              <w:rPr>
                <w:rFonts w:hint="eastAsia"/>
                <w:noProof/>
                <w:snapToGrid/>
                <w:sz w:val="20"/>
              </w:rPr>
            </w:pPr>
            <w:r>
              <w:rPr>
                <w:noProof/>
                <w:snapToGrid/>
                <w:sz w:val="20"/>
              </w:rPr>
              <w:t>1990-98</w:t>
            </w:r>
            <w:r>
              <w:rPr>
                <w:noProof/>
                <w:snapToGrid/>
                <w:sz w:val="20"/>
              </w:rPr>
              <w:br/>
            </w:r>
            <w:r>
              <w:rPr>
                <w:rFonts w:hint="eastAsia"/>
                <w:noProof/>
                <w:snapToGrid/>
                <w:sz w:val="20"/>
              </w:rPr>
              <w:t>百分比变化</w:t>
            </w:r>
          </w:p>
        </w:tc>
      </w:tr>
      <w:tr w:rsidR="00000000">
        <w:tblPrEx>
          <w:tblCellMar>
            <w:top w:w="0" w:type="dxa"/>
            <w:bottom w:w="0" w:type="dxa"/>
          </w:tblCellMar>
        </w:tblPrEx>
        <w:trPr>
          <w:jc w:val="center"/>
        </w:trPr>
        <w:tc>
          <w:tcPr>
            <w:tcW w:w="2594" w:type="dxa"/>
            <w:tcBorders>
              <w:bottom w:val="nil"/>
            </w:tcBorders>
            <w:vAlign w:val="bottom"/>
          </w:tcPr>
          <w:p w:rsidR="00000000" w:rsidRDefault="009C1C61">
            <w:pPr>
              <w:pStyle w:val="a2"/>
              <w:ind w:left="113"/>
              <w:rPr>
                <w:noProof/>
                <w:snapToGrid/>
                <w:sz w:val="20"/>
              </w:rPr>
            </w:pPr>
            <w:r>
              <w:rPr>
                <w:rFonts w:hint="eastAsia"/>
                <w:noProof/>
                <w:snapToGrid/>
                <w:sz w:val="20"/>
              </w:rPr>
              <w:t>房主自用</w:t>
            </w:r>
            <w:r>
              <w:rPr>
                <w:noProof/>
                <w:snapToGrid/>
                <w:sz w:val="20"/>
              </w:rPr>
              <w:br/>
              <w:t>(</w:t>
            </w:r>
            <w:r>
              <w:rPr>
                <w:rFonts w:hint="eastAsia"/>
                <w:noProof/>
                <w:snapToGrid/>
                <w:sz w:val="20"/>
              </w:rPr>
              <w:t>已付款或正在分期付款</w:t>
            </w:r>
            <w:r>
              <w:rPr>
                <w:noProof/>
                <w:snapToGrid/>
                <w:sz w:val="20"/>
              </w:rPr>
              <w:t>)</w:t>
            </w:r>
          </w:p>
        </w:tc>
        <w:tc>
          <w:tcPr>
            <w:tcW w:w="1164" w:type="dxa"/>
            <w:tcBorders>
              <w:bottom w:val="nil"/>
            </w:tcBorders>
            <w:vAlign w:val="bottom"/>
          </w:tcPr>
          <w:p w:rsidR="00000000" w:rsidRDefault="009C1C61">
            <w:pPr>
              <w:pStyle w:val="a2"/>
              <w:ind w:right="113"/>
              <w:jc w:val="right"/>
              <w:rPr>
                <w:noProof/>
                <w:snapToGrid/>
                <w:sz w:val="20"/>
              </w:rPr>
            </w:pPr>
            <w:r>
              <w:rPr>
                <w:noProof/>
                <w:snapToGrid/>
                <w:sz w:val="20"/>
              </w:rPr>
              <w:t>1,941,460</w:t>
            </w:r>
          </w:p>
        </w:tc>
        <w:tc>
          <w:tcPr>
            <w:tcW w:w="1164" w:type="dxa"/>
            <w:tcBorders>
              <w:bottom w:val="nil"/>
            </w:tcBorders>
            <w:vAlign w:val="bottom"/>
          </w:tcPr>
          <w:p w:rsidR="00000000" w:rsidRDefault="009C1C61">
            <w:pPr>
              <w:pStyle w:val="a2"/>
              <w:ind w:right="113"/>
              <w:jc w:val="right"/>
              <w:rPr>
                <w:noProof/>
                <w:snapToGrid/>
                <w:sz w:val="20"/>
              </w:rPr>
            </w:pPr>
            <w:r>
              <w:rPr>
                <w:noProof/>
                <w:snapToGrid/>
                <w:sz w:val="20"/>
              </w:rPr>
              <w:t>2,149,462</w:t>
            </w:r>
          </w:p>
        </w:tc>
        <w:tc>
          <w:tcPr>
            <w:tcW w:w="1164" w:type="dxa"/>
            <w:tcBorders>
              <w:bottom w:val="nil"/>
            </w:tcBorders>
            <w:vAlign w:val="bottom"/>
          </w:tcPr>
          <w:p w:rsidR="00000000" w:rsidRDefault="009C1C61">
            <w:pPr>
              <w:pStyle w:val="a2"/>
              <w:ind w:right="113"/>
              <w:jc w:val="right"/>
              <w:rPr>
                <w:noProof/>
                <w:snapToGrid/>
                <w:sz w:val="20"/>
              </w:rPr>
            </w:pPr>
            <w:r>
              <w:rPr>
                <w:noProof/>
                <w:snapToGrid/>
                <w:sz w:val="20"/>
              </w:rPr>
              <w:t>2,308,926</w:t>
            </w:r>
          </w:p>
        </w:tc>
        <w:tc>
          <w:tcPr>
            <w:tcW w:w="1164" w:type="dxa"/>
            <w:tcBorders>
              <w:bottom w:val="nil"/>
            </w:tcBorders>
            <w:vAlign w:val="bottom"/>
          </w:tcPr>
          <w:p w:rsidR="00000000" w:rsidRDefault="009C1C61">
            <w:pPr>
              <w:pStyle w:val="a2"/>
              <w:ind w:right="113"/>
              <w:jc w:val="right"/>
              <w:rPr>
                <w:noProof/>
                <w:snapToGrid/>
                <w:sz w:val="20"/>
              </w:rPr>
            </w:pPr>
            <w:r>
              <w:rPr>
                <w:noProof/>
                <w:snapToGrid/>
                <w:sz w:val="20"/>
              </w:rPr>
              <w:t>2,427,673</w:t>
            </w:r>
          </w:p>
        </w:tc>
        <w:tc>
          <w:tcPr>
            <w:tcW w:w="1165" w:type="dxa"/>
            <w:tcBorders>
              <w:bottom w:val="nil"/>
            </w:tcBorders>
            <w:vAlign w:val="bottom"/>
          </w:tcPr>
          <w:p w:rsidR="00000000" w:rsidRDefault="009C1C61">
            <w:pPr>
              <w:pStyle w:val="a2"/>
              <w:ind w:right="113"/>
              <w:jc w:val="right"/>
              <w:rPr>
                <w:noProof/>
                <w:snapToGrid/>
                <w:sz w:val="20"/>
              </w:rPr>
            </w:pPr>
            <w:r>
              <w:rPr>
                <w:noProof/>
                <w:snapToGrid/>
                <w:sz w:val="20"/>
              </w:rPr>
              <w:t>2,605,452</w:t>
            </w:r>
          </w:p>
        </w:tc>
        <w:tc>
          <w:tcPr>
            <w:tcW w:w="1388" w:type="dxa"/>
            <w:tcBorders>
              <w:bottom w:val="nil"/>
            </w:tcBorders>
            <w:vAlign w:val="bottom"/>
          </w:tcPr>
          <w:p w:rsidR="00000000" w:rsidRDefault="009C1C61">
            <w:pPr>
              <w:pStyle w:val="a2"/>
              <w:ind w:right="113"/>
              <w:jc w:val="right"/>
              <w:rPr>
                <w:noProof/>
                <w:snapToGrid/>
                <w:sz w:val="20"/>
              </w:rPr>
            </w:pPr>
            <w:r>
              <w:rPr>
                <w:noProof/>
                <w:snapToGrid/>
                <w:sz w:val="20"/>
              </w:rPr>
              <w:t>34.2</w:t>
            </w:r>
          </w:p>
        </w:tc>
      </w:tr>
      <w:tr w:rsidR="00000000">
        <w:tblPrEx>
          <w:tblCellMar>
            <w:top w:w="0" w:type="dxa"/>
            <w:bottom w:w="0" w:type="dxa"/>
          </w:tblCellMar>
        </w:tblPrEx>
        <w:trPr>
          <w:jc w:val="center"/>
        </w:trPr>
        <w:tc>
          <w:tcPr>
            <w:tcW w:w="2594" w:type="dxa"/>
            <w:tcBorders>
              <w:top w:val="nil"/>
              <w:bottom w:val="nil"/>
            </w:tcBorders>
          </w:tcPr>
          <w:p w:rsidR="00000000" w:rsidRDefault="009C1C61">
            <w:pPr>
              <w:pStyle w:val="a2"/>
              <w:ind w:left="113"/>
              <w:rPr>
                <w:rFonts w:hint="eastAsia"/>
                <w:noProof/>
                <w:snapToGrid/>
                <w:sz w:val="20"/>
              </w:rPr>
            </w:pPr>
            <w:r>
              <w:rPr>
                <w:rFonts w:hint="eastAsia"/>
                <w:noProof/>
                <w:snapToGrid/>
                <w:sz w:val="20"/>
              </w:rPr>
              <w:t>租</w:t>
            </w:r>
            <w:r>
              <w:rPr>
                <w:noProof/>
                <w:snapToGrid/>
                <w:sz w:val="20"/>
              </w:rPr>
              <w:t xml:space="preserve"> </w:t>
            </w:r>
            <w:r>
              <w:rPr>
                <w:rFonts w:hint="eastAsia"/>
                <w:noProof/>
                <w:snapToGrid/>
                <w:sz w:val="20"/>
              </w:rPr>
              <w:t>房</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544,879</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600,110</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621,035</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579,334</w:t>
            </w:r>
          </w:p>
        </w:tc>
        <w:tc>
          <w:tcPr>
            <w:tcW w:w="1165" w:type="dxa"/>
            <w:tcBorders>
              <w:top w:val="nil"/>
              <w:bottom w:val="nil"/>
            </w:tcBorders>
          </w:tcPr>
          <w:p w:rsidR="00000000" w:rsidRDefault="009C1C61">
            <w:pPr>
              <w:pStyle w:val="a2"/>
              <w:ind w:right="113"/>
              <w:jc w:val="right"/>
              <w:rPr>
                <w:noProof/>
                <w:snapToGrid/>
                <w:sz w:val="20"/>
              </w:rPr>
            </w:pPr>
            <w:r>
              <w:rPr>
                <w:noProof/>
                <w:snapToGrid/>
                <w:sz w:val="20"/>
              </w:rPr>
              <w:t>619,124</w:t>
            </w:r>
          </w:p>
        </w:tc>
        <w:tc>
          <w:tcPr>
            <w:tcW w:w="1388" w:type="dxa"/>
            <w:tcBorders>
              <w:top w:val="nil"/>
              <w:bottom w:val="nil"/>
            </w:tcBorders>
          </w:tcPr>
          <w:p w:rsidR="00000000" w:rsidRDefault="009C1C61">
            <w:pPr>
              <w:pStyle w:val="a2"/>
              <w:ind w:right="113"/>
              <w:jc w:val="right"/>
              <w:rPr>
                <w:noProof/>
                <w:snapToGrid/>
                <w:sz w:val="20"/>
              </w:rPr>
            </w:pPr>
            <w:r>
              <w:rPr>
                <w:noProof/>
                <w:snapToGrid/>
                <w:sz w:val="20"/>
              </w:rPr>
              <w:t>13.6</w:t>
            </w:r>
          </w:p>
        </w:tc>
      </w:tr>
      <w:tr w:rsidR="00000000">
        <w:tblPrEx>
          <w:tblCellMar>
            <w:top w:w="0" w:type="dxa"/>
            <w:bottom w:w="0" w:type="dxa"/>
          </w:tblCellMar>
        </w:tblPrEx>
        <w:trPr>
          <w:jc w:val="center"/>
        </w:trPr>
        <w:tc>
          <w:tcPr>
            <w:tcW w:w="2594" w:type="dxa"/>
            <w:tcBorders>
              <w:top w:val="nil"/>
              <w:bottom w:val="nil"/>
            </w:tcBorders>
          </w:tcPr>
          <w:p w:rsidR="00000000" w:rsidRDefault="009C1C61">
            <w:pPr>
              <w:pStyle w:val="a2"/>
              <w:ind w:left="113"/>
              <w:rPr>
                <w:rFonts w:hint="eastAsia"/>
                <w:noProof/>
                <w:snapToGrid/>
                <w:sz w:val="20"/>
              </w:rPr>
            </w:pPr>
            <w:r>
              <w:rPr>
                <w:rFonts w:hint="eastAsia"/>
                <w:noProof/>
                <w:snapToGrid/>
                <w:sz w:val="20"/>
              </w:rPr>
              <w:t>转让财产</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620,425</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606,962</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178,074</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565,752</w:t>
            </w:r>
          </w:p>
        </w:tc>
        <w:tc>
          <w:tcPr>
            <w:tcW w:w="1165" w:type="dxa"/>
            <w:tcBorders>
              <w:top w:val="nil"/>
              <w:bottom w:val="nil"/>
            </w:tcBorders>
          </w:tcPr>
          <w:p w:rsidR="00000000" w:rsidRDefault="009C1C61">
            <w:pPr>
              <w:pStyle w:val="a2"/>
              <w:ind w:right="113"/>
              <w:jc w:val="right"/>
              <w:rPr>
                <w:noProof/>
                <w:snapToGrid/>
                <w:sz w:val="20"/>
              </w:rPr>
            </w:pPr>
            <w:r>
              <w:rPr>
                <w:noProof/>
                <w:snapToGrid/>
                <w:sz w:val="20"/>
              </w:rPr>
              <w:t>509,786</w:t>
            </w:r>
          </w:p>
        </w:tc>
        <w:tc>
          <w:tcPr>
            <w:tcW w:w="1388" w:type="dxa"/>
            <w:tcBorders>
              <w:top w:val="nil"/>
              <w:bottom w:val="nil"/>
            </w:tcBorders>
          </w:tcPr>
          <w:p w:rsidR="00000000" w:rsidRDefault="009C1C61">
            <w:pPr>
              <w:pStyle w:val="a2"/>
              <w:ind w:right="113"/>
              <w:jc w:val="right"/>
              <w:rPr>
                <w:noProof/>
                <w:snapToGrid/>
                <w:sz w:val="20"/>
              </w:rPr>
            </w:pPr>
            <w:r>
              <w:rPr>
                <w:noProof/>
                <w:snapToGrid/>
                <w:sz w:val="20"/>
              </w:rPr>
              <w:t>-17.8</w:t>
            </w:r>
          </w:p>
        </w:tc>
      </w:tr>
      <w:tr w:rsidR="00000000">
        <w:tblPrEx>
          <w:tblCellMar>
            <w:top w:w="0" w:type="dxa"/>
            <w:bottom w:w="0" w:type="dxa"/>
          </w:tblCellMar>
        </w:tblPrEx>
        <w:trPr>
          <w:jc w:val="center"/>
        </w:trPr>
        <w:tc>
          <w:tcPr>
            <w:tcW w:w="2594" w:type="dxa"/>
            <w:tcBorders>
              <w:top w:val="nil"/>
              <w:bottom w:val="nil"/>
            </w:tcBorders>
          </w:tcPr>
          <w:p w:rsidR="00000000" w:rsidRDefault="009C1C61">
            <w:pPr>
              <w:pStyle w:val="a2"/>
              <w:ind w:left="113"/>
              <w:rPr>
                <w:rFonts w:hint="eastAsia"/>
                <w:noProof/>
                <w:snapToGrid/>
                <w:sz w:val="20"/>
              </w:rPr>
            </w:pPr>
            <w:r>
              <w:rPr>
                <w:rFonts w:hint="eastAsia"/>
                <w:noProof/>
                <w:snapToGrid/>
                <w:sz w:val="20"/>
              </w:rPr>
              <w:t>占</w:t>
            </w:r>
            <w:r>
              <w:rPr>
                <w:noProof/>
                <w:snapToGrid/>
                <w:sz w:val="20"/>
              </w:rPr>
              <w:t xml:space="preserve"> </w:t>
            </w:r>
            <w:r>
              <w:rPr>
                <w:rFonts w:hint="eastAsia"/>
                <w:noProof/>
                <w:snapToGrid/>
                <w:sz w:val="20"/>
              </w:rPr>
              <w:t>用</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26,116</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6,024</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8,948</w:t>
            </w:r>
          </w:p>
        </w:tc>
        <w:tc>
          <w:tcPr>
            <w:tcW w:w="1164" w:type="dxa"/>
            <w:tcBorders>
              <w:top w:val="nil"/>
              <w:bottom w:val="nil"/>
            </w:tcBorders>
          </w:tcPr>
          <w:p w:rsidR="00000000" w:rsidRDefault="009C1C61">
            <w:pPr>
              <w:pStyle w:val="a2"/>
              <w:ind w:right="113"/>
              <w:jc w:val="right"/>
              <w:rPr>
                <w:noProof/>
                <w:snapToGrid/>
                <w:sz w:val="20"/>
              </w:rPr>
            </w:pPr>
            <w:r>
              <w:rPr>
                <w:noProof/>
                <w:snapToGrid/>
                <w:sz w:val="20"/>
              </w:rPr>
              <w:t>14,882</w:t>
            </w:r>
          </w:p>
        </w:tc>
        <w:tc>
          <w:tcPr>
            <w:tcW w:w="1165" w:type="dxa"/>
            <w:tcBorders>
              <w:top w:val="nil"/>
              <w:bottom w:val="nil"/>
            </w:tcBorders>
          </w:tcPr>
          <w:p w:rsidR="00000000" w:rsidRDefault="009C1C61">
            <w:pPr>
              <w:pStyle w:val="a2"/>
              <w:ind w:right="113"/>
              <w:jc w:val="right"/>
              <w:rPr>
                <w:noProof/>
                <w:snapToGrid/>
                <w:sz w:val="20"/>
              </w:rPr>
            </w:pPr>
            <w:r>
              <w:rPr>
                <w:noProof/>
                <w:snapToGrid/>
                <w:sz w:val="20"/>
              </w:rPr>
              <w:t>8,321</w:t>
            </w:r>
          </w:p>
        </w:tc>
        <w:tc>
          <w:tcPr>
            <w:tcW w:w="1388" w:type="dxa"/>
            <w:tcBorders>
              <w:top w:val="nil"/>
              <w:bottom w:val="nil"/>
            </w:tcBorders>
          </w:tcPr>
          <w:p w:rsidR="00000000" w:rsidRDefault="009C1C61">
            <w:pPr>
              <w:pStyle w:val="a2"/>
              <w:ind w:right="113"/>
              <w:jc w:val="right"/>
              <w:rPr>
                <w:noProof/>
                <w:snapToGrid/>
                <w:sz w:val="20"/>
              </w:rPr>
            </w:pPr>
            <w:r>
              <w:rPr>
                <w:noProof/>
                <w:snapToGrid/>
                <w:sz w:val="20"/>
              </w:rPr>
              <w:t>-68.1</w:t>
            </w:r>
          </w:p>
        </w:tc>
      </w:tr>
      <w:tr w:rsidR="00000000">
        <w:tblPrEx>
          <w:tblCellMar>
            <w:top w:w="0" w:type="dxa"/>
            <w:bottom w:w="0" w:type="dxa"/>
          </w:tblCellMar>
        </w:tblPrEx>
        <w:trPr>
          <w:jc w:val="center"/>
        </w:trPr>
        <w:tc>
          <w:tcPr>
            <w:tcW w:w="2594" w:type="dxa"/>
            <w:tcBorders>
              <w:top w:val="nil"/>
            </w:tcBorders>
          </w:tcPr>
          <w:p w:rsidR="00000000" w:rsidRDefault="009C1C61">
            <w:pPr>
              <w:pStyle w:val="a2"/>
              <w:ind w:left="113"/>
              <w:rPr>
                <w:rFonts w:hint="eastAsia"/>
                <w:noProof/>
                <w:snapToGrid/>
                <w:sz w:val="20"/>
              </w:rPr>
            </w:pPr>
            <w:r>
              <w:rPr>
                <w:rFonts w:hint="eastAsia"/>
                <w:noProof/>
                <w:snapToGrid/>
                <w:sz w:val="20"/>
              </w:rPr>
              <w:t>其</w:t>
            </w:r>
            <w:r>
              <w:rPr>
                <w:noProof/>
                <w:snapToGrid/>
                <w:sz w:val="20"/>
              </w:rPr>
              <w:t xml:space="preserve"> </w:t>
            </w:r>
            <w:r>
              <w:rPr>
                <w:rFonts w:hint="eastAsia"/>
                <w:noProof/>
                <w:snapToGrid/>
                <w:sz w:val="20"/>
              </w:rPr>
              <w:t>他</w:t>
            </w:r>
          </w:p>
        </w:tc>
        <w:tc>
          <w:tcPr>
            <w:tcW w:w="1164" w:type="dxa"/>
            <w:tcBorders>
              <w:top w:val="nil"/>
            </w:tcBorders>
          </w:tcPr>
          <w:p w:rsidR="00000000" w:rsidRDefault="009C1C61">
            <w:pPr>
              <w:pStyle w:val="a2"/>
              <w:ind w:right="113"/>
              <w:jc w:val="right"/>
              <w:rPr>
                <w:noProof/>
                <w:snapToGrid/>
                <w:sz w:val="20"/>
              </w:rPr>
            </w:pPr>
            <w:r>
              <w:rPr>
                <w:noProof/>
                <w:snapToGrid/>
                <w:sz w:val="20"/>
              </w:rPr>
              <w:t>39,670</w:t>
            </w:r>
          </w:p>
        </w:tc>
        <w:tc>
          <w:tcPr>
            <w:tcW w:w="1164" w:type="dxa"/>
            <w:tcBorders>
              <w:top w:val="nil"/>
            </w:tcBorders>
          </w:tcPr>
          <w:p w:rsidR="00000000" w:rsidRDefault="009C1C61">
            <w:pPr>
              <w:pStyle w:val="a2"/>
              <w:ind w:right="113"/>
              <w:jc w:val="right"/>
              <w:rPr>
                <w:noProof/>
                <w:snapToGrid/>
                <w:sz w:val="20"/>
              </w:rPr>
            </w:pPr>
            <w:r>
              <w:rPr>
                <w:noProof/>
                <w:snapToGrid/>
                <w:sz w:val="20"/>
              </w:rPr>
              <w:t>3,855</w:t>
            </w:r>
          </w:p>
        </w:tc>
        <w:tc>
          <w:tcPr>
            <w:tcW w:w="1164" w:type="dxa"/>
            <w:tcBorders>
              <w:top w:val="nil"/>
            </w:tcBorders>
          </w:tcPr>
          <w:p w:rsidR="00000000" w:rsidRDefault="009C1C61">
            <w:pPr>
              <w:pStyle w:val="a2"/>
              <w:ind w:right="113"/>
              <w:jc w:val="right"/>
              <w:rPr>
                <w:noProof/>
                <w:snapToGrid/>
                <w:sz w:val="20"/>
              </w:rPr>
            </w:pPr>
            <w:r>
              <w:rPr>
                <w:noProof/>
                <w:snapToGrid/>
                <w:sz w:val="20"/>
              </w:rPr>
              <w:t>419,791</w:t>
            </w:r>
          </w:p>
        </w:tc>
        <w:tc>
          <w:tcPr>
            <w:tcW w:w="1164" w:type="dxa"/>
            <w:tcBorders>
              <w:top w:val="nil"/>
            </w:tcBorders>
          </w:tcPr>
          <w:p w:rsidR="00000000" w:rsidRDefault="009C1C61">
            <w:pPr>
              <w:pStyle w:val="a2"/>
              <w:ind w:right="113"/>
              <w:jc w:val="right"/>
              <w:rPr>
                <w:noProof/>
                <w:snapToGrid/>
                <w:sz w:val="20"/>
              </w:rPr>
            </w:pPr>
            <w:r>
              <w:rPr>
                <w:noProof/>
                <w:snapToGrid/>
                <w:sz w:val="20"/>
              </w:rPr>
              <w:t>...</w:t>
            </w:r>
          </w:p>
        </w:tc>
        <w:tc>
          <w:tcPr>
            <w:tcW w:w="1165" w:type="dxa"/>
            <w:tcBorders>
              <w:top w:val="nil"/>
            </w:tcBorders>
          </w:tcPr>
          <w:p w:rsidR="00000000" w:rsidRDefault="009C1C61">
            <w:pPr>
              <w:pStyle w:val="a2"/>
              <w:ind w:right="113"/>
              <w:jc w:val="right"/>
              <w:rPr>
                <w:noProof/>
                <w:snapToGrid/>
                <w:sz w:val="20"/>
              </w:rPr>
            </w:pPr>
            <w:r>
              <w:rPr>
                <w:noProof/>
                <w:snapToGrid/>
                <w:sz w:val="20"/>
              </w:rPr>
              <w:t>...</w:t>
            </w:r>
          </w:p>
        </w:tc>
        <w:tc>
          <w:tcPr>
            <w:tcW w:w="1388" w:type="dxa"/>
            <w:tcBorders>
              <w:top w:val="nil"/>
            </w:tcBorders>
          </w:tcPr>
          <w:p w:rsidR="00000000" w:rsidRDefault="009C1C61">
            <w:pPr>
              <w:pStyle w:val="a2"/>
              <w:ind w:right="113"/>
              <w:jc w:val="right"/>
              <w:rPr>
                <w:noProof/>
                <w:snapToGrid/>
                <w:sz w:val="20"/>
              </w:rPr>
            </w:pPr>
            <w:r>
              <w:rPr>
                <w:noProof/>
                <w:snapToGrid/>
                <w:sz w:val="20"/>
              </w:rPr>
              <w:t>...</w:t>
            </w:r>
          </w:p>
        </w:tc>
      </w:tr>
      <w:tr w:rsidR="00000000">
        <w:tblPrEx>
          <w:tblCellMar>
            <w:top w:w="0" w:type="dxa"/>
            <w:bottom w:w="0" w:type="dxa"/>
          </w:tblCellMar>
        </w:tblPrEx>
        <w:trPr>
          <w:jc w:val="center"/>
        </w:trPr>
        <w:tc>
          <w:tcPr>
            <w:tcW w:w="2594" w:type="dxa"/>
          </w:tcPr>
          <w:p w:rsidR="00000000" w:rsidRDefault="009C1C61">
            <w:pPr>
              <w:pStyle w:val="a2"/>
              <w:ind w:left="113"/>
              <w:rPr>
                <w:rFonts w:hint="eastAsia"/>
                <w:noProof/>
                <w:snapToGrid/>
                <w:sz w:val="20"/>
              </w:rPr>
            </w:pPr>
            <w:r>
              <w:rPr>
                <w:noProof/>
                <w:snapToGrid/>
                <w:sz w:val="20"/>
              </w:rPr>
              <w:tab/>
            </w:r>
            <w:r>
              <w:rPr>
                <w:rFonts w:hint="eastAsia"/>
                <w:noProof/>
                <w:snapToGrid/>
                <w:sz w:val="20"/>
              </w:rPr>
              <w:t>共</w:t>
            </w:r>
            <w:r>
              <w:rPr>
                <w:noProof/>
                <w:snapToGrid/>
                <w:sz w:val="20"/>
              </w:rPr>
              <w:t xml:space="preserve">  </w:t>
            </w:r>
            <w:r>
              <w:rPr>
                <w:rFonts w:hint="eastAsia"/>
                <w:noProof/>
                <w:snapToGrid/>
                <w:sz w:val="20"/>
              </w:rPr>
              <w:t>计</w:t>
            </w:r>
          </w:p>
        </w:tc>
        <w:tc>
          <w:tcPr>
            <w:tcW w:w="1164" w:type="dxa"/>
          </w:tcPr>
          <w:p w:rsidR="00000000" w:rsidRDefault="009C1C61">
            <w:pPr>
              <w:pStyle w:val="a2"/>
              <w:ind w:right="113"/>
              <w:jc w:val="right"/>
              <w:rPr>
                <w:noProof/>
                <w:snapToGrid/>
                <w:sz w:val="20"/>
              </w:rPr>
            </w:pPr>
            <w:r>
              <w:rPr>
                <w:noProof/>
                <w:snapToGrid/>
                <w:sz w:val="20"/>
              </w:rPr>
              <w:t>3,172,550</w:t>
            </w:r>
          </w:p>
        </w:tc>
        <w:tc>
          <w:tcPr>
            <w:tcW w:w="1164" w:type="dxa"/>
          </w:tcPr>
          <w:p w:rsidR="00000000" w:rsidRDefault="009C1C61">
            <w:pPr>
              <w:pStyle w:val="a2"/>
              <w:ind w:right="113"/>
              <w:jc w:val="right"/>
              <w:rPr>
                <w:noProof/>
                <w:snapToGrid/>
                <w:sz w:val="20"/>
              </w:rPr>
            </w:pPr>
            <w:r>
              <w:rPr>
                <w:noProof/>
                <w:snapToGrid/>
                <w:sz w:val="20"/>
              </w:rPr>
              <w:t>3,366,413</w:t>
            </w:r>
          </w:p>
        </w:tc>
        <w:tc>
          <w:tcPr>
            <w:tcW w:w="1164" w:type="dxa"/>
          </w:tcPr>
          <w:p w:rsidR="00000000" w:rsidRDefault="009C1C61">
            <w:pPr>
              <w:pStyle w:val="a2"/>
              <w:ind w:right="113"/>
              <w:jc w:val="right"/>
              <w:rPr>
                <w:noProof/>
                <w:snapToGrid/>
                <w:sz w:val="20"/>
              </w:rPr>
            </w:pPr>
            <w:r>
              <w:rPr>
                <w:noProof/>
                <w:snapToGrid/>
                <w:sz w:val="20"/>
              </w:rPr>
              <w:t>3,536,774</w:t>
            </w:r>
          </w:p>
        </w:tc>
        <w:tc>
          <w:tcPr>
            <w:tcW w:w="1164" w:type="dxa"/>
          </w:tcPr>
          <w:p w:rsidR="00000000" w:rsidRDefault="009C1C61">
            <w:pPr>
              <w:pStyle w:val="a2"/>
              <w:ind w:right="113"/>
              <w:jc w:val="right"/>
              <w:rPr>
                <w:noProof/>
                <w:snapToGrid/>
                <w:sz w:val="20"/>
              </w:rPr>
            </w:pPr>
            <w:r>
              <w:rPr>
                <w:noProof/>
                <w:snapToGrid/>
                <w:sz w:val="20"/>
              </w:rPr>
              <w:t>3,587,641</w:t>
            </w:r>
          </w:p>
        </w:tc>
        <w:tc>
          <w:tcPr>
            <w:tcW w:w="1165" w:type="dxa"/>
          </w:tcPr>
          <w:p w:rsidR="00000000" w:rsidRDefault="009C1C61">
            <w:pPr>
              <w:pStyle w:val="a2"/>
              <w:ind w:right="113"/>
              <w:jc w:val="right"/>
              <w:rPr>
                <w:noProof/>
                <w:snapToGrid/>
                <w:sz w:val="20"/>
              </w:rPr>
            </w:pPr>
            <w:r>
              <w:rPr>
                <w:noProof/>
                <w:snapToGrid/>
                <w:sz w:val="20"/>
              </w:rPr>
              <w:t>3,742,683</w:t>
            </w:r>
          </w:p>
        </w:tc>
        <w:tc>
          <w:tcPr>
            <w:tcW w:w="1388" w:type="dxa"/>
          </w:tcPr>
          <w:p w:rsidR="00000000" w:rsidRDefault="009C1C61">
            <w:pPr>
              <w:pStyle w:val="a2"/>
              <w:ind w:right="113"/>
              <w:jc w:val="right"/>
              <w:rPr>
                <w:noProof/>
                <w:snapToGrid/>
                <w:sz w:val="20"/>
              </w:rPr>
            </w:pPr>
            <w:r>
              <w:rPr>
                <w:noProof/>
                <w:snapToGrid/>
                <w:sz w:val="20"/>
              </w:rPr>
              <w:t>18</w:t>
            </w:r>
          </w:p>
        </w:tc>
      </w:tr>
    </w:tbl>
    <w:p w:rsidR="00000000" w:rsidRDefault="009C1C61">
      <w:pPr>
        <w:pStyle w:val="EndnoteText"/>
        <w:spacing w:before="120" w:after="320"/>
        <w:rPr>
          <w:snapToGrid/>
          <w:sz w:val="20"/>
        </w:rPr>
      </w:pPr>
      <w:r>
        <w:rPr>
          <w:rFonts w:hint="eastAsia"/>
          <w:snapToGrid/>
          <w:sz w:val="20"/>
          <w:u w:val="single"/>
        </w:rPr>
        <w:t>资料来源</w:t>
      </w:r>
      <w:r>
        <w:rPr>
          <w:rFonts w:hint="eastAsia"/>
          <w:snapToGrid/>
          <w:sz w:val="20"/>
        </w:rPr>
        <w:t>：规合部</w:t>
      </w:r>
      <w:r>
        <w:rPr>
          <w:rFonts w:hint="eastAsia"/>
          <w:snapToGrid/>
          <w:sz w:val="20"/>
        </w:rPr>
        <w:t>(1999</w:t>
      </w:r>
      <w:r>
        <w:rPr>
          <w:rFonts w:hint="eastAsia"/>
          <w:snapToGrid/>
          <w:sz w:val="20"/>
        </w:rPr>
        <w:t>年</w:t>
      </w:r>
      <w:r>
        <w:rPr>
          <w:rFonts w:hint="eastAsia"/>
          <w:snapToGrid/>
          <w:sz w:val="20"/>
        </w:rPr>
        <w:t>)</w:t>
      </w:r>
      <w:r>
        <w:rPr>
          <w:rFonts w:hint="eastAsia"/>
          <w:snapToGrid/>
          <w:sz w:val="20"/>
        </w:rPr>
        <w:t>，社经特征调查：</w:t>
      </w:r>
      <w:r>
        <w:rPr>
          <w:rFonts w:hint="eastAsia"/>
          <w:snapToGrid/>
          <w:sz w:val="20"/>
        </w:rPr>
        <w:t>1987-1998</w:t>
      </w:r>
      <w:r>
        <w:rPr>
          <w:rFonts w:hint="eastAsia"/>
          <w:snapToGrid/>
          <w:sz w:val="20"/>
        </w:rPr>
        <w:t>年模块系列，社会</w:t>
      </w:r>
      <w:r>
        <w:rPr>
          <w:rFonts w:hint="eastAsia"/>
          <w:snapToGrid/>
          <w:sz w:val="20"/>
        </w:rPr>
        <w:t>司。</w:t>
      </w:r>
    </w:p>
    <w:p w:rsidR="00000000" w:rsidRDefault="009C1C61">
      <w:pPr>
        <w:pStyle w:val="Heading4"/>
        <w:rPr>
          <w:rFonts w:ascii="Time New Roman" w:eastAsia="SimHei" w:hAnsi="Time New Roman"/>
          <w:u w:val="none"/>
        </w:rPr>
      </w:pPr>
      <w:r>
        <w:rPr>
          <w:rFonts w:ascii="Time New Roman" w:eastAsia="SimHei" w:hAnsi="Time New Roman" w:hint="eastAsia"/>
          <w:u w:val="none"/>
        </w:rPr>
        <w:t>有关住房权的国家立法</w:t>
      </w:r>
    </w:p>
    <w:p w:rsidR="00000000" w:rsidRDefault="009C1C61">
      <w:pPr>
        <w:rPr>
          <w:rFonts w:hint="eastAsia"/>
          <w:snapToGrid/>
        </w:rPr>
      </w:pPr>
      <w:r>
        <w:rPr>
          <w:snapToGrid/>
        </w:rPr>
        <w:tab/>
        <w:t xml:space="preserve">566.  </w:t>
      </w:r>
      <w:r>
        <w:rPr>
          <w:rFonts w:hint="eastAsia"/>
          <w:snapToGrid/>
        </w:rPr>
        <w:t>有关住房和城市规划部职能和住房与城市化处的职能的基本立法，可以与其他有关住房的立法区别开来。</w:t>
      </w:r>
    </w:p>
    <w:p w:rsidR="00000000" w:rsidRDefault="009C1C61">
      <w:pPr>
        <w:spacing w:after="240"/>
        <w:rPr>
          <w:noProof/>
          <w:snapToGrid/>
        </w:rPr>
      </w:pPr>
      <w:r>
        <w:rPr>
          <w:snapToGrid/>
        </w:rPr>
        <w:tab/>
        <w:t xml:space="preserve">567.  </w:t>
      </w:r>
      <w:r>
        <w:rPr>
          <w:rFonts w:hint="eastAsia"/>
          <w:snapToGrid/>
        </w:rPr>
        <w:t>住房和城市规划部</w:t>
      </w:r>
      <w:r>
        <w:rPr>
          <w:rFonts w:hint="eastAsia"/>
          <w:snapToGrid/>
        </w:rPr>
        <w:t>(</w:t>
      </w:r>
      <w:r>
        <w:rPr>
          <w:rFonts w:hint="eastAsia"/>
          <w:snapToGrid/>
        </w:rPr>
        <w:t>城规部</w:t>
      </w:r>
      <w:r>
        <w:rPr>
          <w:rFonts w:hint="eastAsia"/>
          <w:snapToGrid/>
        </w:rPr>
        <w:t>)</w:t>
      </w:r>
      <w:r>
        <w:rPr>
          <w:rFonts w:hint="eastAsia"/>
          <w:snapToGrid/>
        </w:rPr>
        <w:t>于</w:t>
      </w:r>
      <w:r>
        <w:rPr>
          <w:rFonts w:hint="eastAsia"/>
          <w:snapToGrid/>
        </w:rPr>
        <w:t>1965</w:t>
      </w:r>
      <w:r>
        <w:rPr>
          <w:rFonts w:hint="eastAsia"/>
          <w:snapToGrid/>
        </w:rPr>
        <w:t>年设立。</w:t>
      </w:r>
      <w:r>
        <w:rPr>
          <w:rStyle w:val="FootnoteReference"/>
          <w:bCs/>
          <w:snapToGrid/>
        </w:rPr>
        <w:footnoteReference w:id="257"/>
      </w:r>
      <w:r>
        <w:rPr>
          <w:rFonts w:hint="eastAsia"/>
          <w:bCs/>
          <w:snapToGrid/>
          <w:vertAlign w:val="superscript"/>
        </w:rPr>
        <w:t xml:space="preserve"> </w:t>
      </w:r>
      <w:r>
        <w:rPr>
          <w:rFonts w:hint="eastAsia"/>
          <w:snapToGrid/>
        </w:rPr>
        <w:t>根据目前的结构，城规部，从地域上看，分为一个中央部，</w:t>
      </w:r>
      <w:r>
        <w:rPr>
          <w:rFonts w:hint="eastAsia"/>
          <w:snapToGrid/>
        </w:rPr>
        <w:t>13</w:t>
      </w:r>
      <w:r>
        <w:rPr>
          <w:rFonts w:hint="eastAsia"/>
          <w:snapToGrid/>
        </w:rPr>
        <w:t>个部属区域秘书处</w:t>
      </w:r>
      <w:r>
        <w:rPr>
          <w:rFonts w:hint="eastAsia"/>
          <w:snapToGrid/>
        </w:rPr>
        <w:t>(Seremi)</w:t>
      </w:r>
      <w:r>
        <w:rPr>
          <w:rFonts w:hint="eastAsia"/>
          <w:snapToGrid/>
        </w:rPr>
        <w:t>和</w:t>
      </w:r>
      <w:r>
        <w:rPr>
          <w:rFonts w:hint="eastAsia"/>
          <w:snapToGrid/>
        </w:rPr>
        <w:t>13</w:t>
      </w:r>
      <w:r>
        <w:rPr>
          <w:rFonts w:hint="eastAsia"/>
          <w:snapToGrid/>
        </w:rPr>
        <w:t>个区域住房和城市规划秘书处</w:t>
      </w:r>
      <w:r>
        <w:rPr>
          <w:rFonts w:hint="eastAsia"/>
          <w:snapToGrid/>
        </w:rPr>
        <w:t>(</w:t>
      </w:r>
      <w:r>
        <w:rPr>
          <w:rFonts w:hint="eastAsia"/>
          <w:snapToGrid/>
        </w:rPr>
        <w:t>区城规处</w:t>
      </w:r>
      <w:r>
        <w:rPr>
          <w:rFonts w:hint="eastAsia"/>
          <w:snapToGrid/>
        </w:rPr>
        <w:t>)</w:t>
      </w:r>
      <w:r>
        <w:rPr>
          <w:rFonts w:hint="eastAsia"/>
          <w:snapToGrid/>
        </w:rPr>
        <w:t>。</w:t>
      </w:r>
      <w:r>
        <w:rPr>
          <w:rStyle w:val="FootnoteReference"/>
          <w:bCs/>
          <w:snapToGrid/>
        </w:rPr>
        <w:footnoteReference w:id="258"/>
      </w:r>
      <w:r>
        <w:rPr>
          <w:rFonts w:hint="eastAsia"/>
          <w:bCs/>
          <w:snapToGrid/>
          <w:vertAlign w:val="superscript"/>
        </w:rPr>
        <w:t xml:space="preserve"> </w:t>
      </w:r>
      <w:r>
        <w:rPr>
          <w:rFonts w:hint="eastAsia"/>
          <w:snapToGrid/>
        </w:rPr>
        <w:t>中央部负责拟订和监督国家住房与城市规划政策。各区域秘书处负责执行该部直接或通过主管的区域办事处命令执行的政策、计划和方案。在地方上，法律允许各市为解决住房排斥问题而实施建造住房</w:t>
      </w:r>
      <w:r>
        <w:rPr>
          <w:rFonts w:hint="eastAsia"/>
          <w:snapToGrid/>
        </w:rPr>
        <w:t>和卫生基础设施的方案。</w:t>
      </w:r>
      <w:r>
        <w:rPr>
          <w:rStyle w:val="FootnoteReference"/>
          <w:noProof/>
          <w:snapToGrid/>
        </w:rPr>
        <w:footnoteReference w:id="259"/>
      </w:r>
    </w:p>
    <w:p w:rsidR="00000000" w:rsidRDefault="009C1C61">
      <w:pPr>
        <w:pStyle w:val="Heading4"/>
        <w:rPr>
          <w:rFonts w:ascii="Time New Roman" w:eastAsia="SimHei" w:hAnsi="Time New Roman"/>
          <w:u w:val="none"/>
        </w:rPr>
      </w:pPr>
      <w:r>
        <w:rPr>
          <w:rFonts w:ascii="Time New Roman" w:eastAsia="SimHei" w:hAnsi="Time New Roman" w:hint="eastAsia"/>
          <w:u w:val="none"/>
        </w:rPr>
        <w:t>有关土地规划的立法，包括社区参与程序和征用程序</w:t>
      </w:r>
    </w:p>
    <w:p w:rsidR="00000000" w:rsidRDefault="009C1C61">
      <w:pPr>
        <w:rPr>
          <w:snapToGrid/>
        </w:rPr>
      </w:pPr>
      <w:r>
        <w:rPr>
          <w:snapToGrid/>
        </w:rPr>
        <w:tab/>
        <w:t xml:space="preserve">568.  </w:t>
      </w:r>
      <w:r>
        <w:rPr>
          <w:rFonts w:hint="eastAsia"/>
          <w:snapToGrid/>
        </w:rPr>
        <w:t>土地规划立法包括</w:t>
      </w:r>
      <w:r>
        <w:rPr>
          <w:snapToGrid/>
        </w:rPr>
        <w:t>：</w:t>
      </w:r>
    </w:p>
    <w:p w:rsidR="00000000" w:rsidRDefault="009C1C61">
      <w:pPr>
        <w:numPr>
          <w:ilvl w:val="0"/>
          <w:numId w:val="297"/>
        </w:numPr>
        <w:rPr>
          <w:snapToGrid/>
        </w:rPr>
      </w:pPr>
      <w:r>
        <w:rPr>
          <w:rFonts w:hint="eastAsia"/>
          <w:snapToGrid/>
        </w:rPr>
        <w:t>通过土地利用计划</w:t>
      </w:r>
      <w:r>
        <w:rPr>
          <w:rFonts w:hint="eastAsia"/>
          <w:snapToGrid/>
        </w:rPr>
        <w:t>(</w:t>
      </w:r>
      <w:r>
        <w:rPr>
          <w:rFonts w:hint="eastAsia"/>
          <w:snapToGrid/>
        </w:rPr>
        <w:t>诸如《大区城市发展计划》、《市际管理计划》和《市级管理计划》</w:t>
      </w:r>
      <w:r>
        <w:rPr>
          <w:rStyle w:val="FootnoteReference"/>
          <w:snapToGrid/>
        </w:rPr>
        <w:footnoteReference w:id="260"/>
      </w:r>
      <w:r>
        <w:rPr>
          <w:rFonts w:hint="eastAsia"/>
          <w:snapToGrid/>
        </w:rPr>
        <w:t>)</w:t>
      </w:r>
      <w:r>
        <w:rPr>
          <w:rFonts w:hint="eastAsia"/>
          <w:snapToGrid/>
        </w:rPr>
        <w:t>管制城市地区范围的规则；</w:t>
      </w:r>
    </w:p>
    <w:p w:rsidR="00000000" w:rsidRDefault="009C1C61">
      <w:pPr>
        <w:numPr>
          <w:ilvl w:val="0"/>
          <w:numId w:val="297"/>
        </w:numPr>
        <w:spacing w:after="240"/>
        <w:rPr>
          <w:rFonts w:hint="eastAsia"/>
          <w:snapToGrid/>
        </w:rPr>
      </w:pPr>
      <w:r>
        <w:rPr>
          <w:rFonts w:hint="eastAsia"/>
          <w:snapToGrid/>
        </w:rPr>
        <w:t>管理计划中规定的、适用于城市地区以处的规则。</w:t>
      </w:r>
      <w:r>
        <w:rPr>
          <w:rStyle w:val="FootnoteReference"/>
          <w:bCs/>
          <w:snapToGrid/>
        </w:rPr>
        <w:footnoteReference w:id="261"/>
      </w:r>
      <w:r>
        <w:rPr>
          <w:rFonts w:hint="eastAsia"/>
          <w:bCs/>
          <w:snapToGrid/>
          <w:vertAlign w:val="superscript"/>
        </w:rPr>
        <w:t xml:space="preserve"> </w:t>
      </w:r>
      <w:r>
        <w:rPr>
          <w:rFonts w:hint="eastAsia"/>
          <w:snapToGrid/>
        </w:rPr>
        <w:t>就社区参与而言，唯一正式规定是在《市级管理计划》及其修订版中做出的。在把一个项目提交社区讨论时，在《一般市政规划和建设法》和《一般条例》第</w:t>
      </w:r>
      <w:r>
        <w:rPr>
          <w:rFonts w:hint="eastAsia"/>
          <w:snapToGrid/>
        </w:rPr>
        <w:t>217</w:t>
      </w:r>
      <w:r>
        <w:rPr>
          <w:rFonts w:hint="eastAsia"/>
          <w:snapToGrid/>
        </w:rPr>
        <w:t>条规定的程序允许的时间范围内，给公众提供发表意见的机会。</w:t>
      </w:r>
    </w:p>
    <w:p w:rsidR="00000000" w:rsidRDefault="009C1C61">
      <w:pPr>
        <w:pStyle w:val="Heading4"/>
        <w:rPr>
          <w:rFonts w:ascii="Time New Roman" w:eastAsia="SimHei" w:hAnsi="Time New Roman"/>
          <w:u w:val="none"/>
        </w:rPr>
      </w:pPr>
      <w:r>
        <w:rPr>
          <w:rFonts w:ascii="Time New Roman" w:eastAsia="SimHei" w:hAnsi="Time New Roman" w:hint="eastAsia"/>
          <w:u w:val="none"/>
        </w:rPr>
        <w:t>有关租房人和住房筹资权利的立法</w:t>
      </w:r>
    </w:p>
    <w:p w:rsidR="00000000" w:rsidRDefault="009C1C61">
      <w:pPr>
        <w:spacing w:after="240"/>
        <w:rPr>
          <w:rFonts w:hint="eastAsia"/>
          <w:snapToGrid/>
        </w:rPr>
      </w:pPr>
      <w:r>
        <w:rPr>
          <w:snapToGrid/>
        </w:rPr>
        <w:tab/>
        <w:t xml:space="preserve">569.  </w:t>
      </w:r>
      <w:r>
        <w:rPr>
          <w:rFonts w:hint="eastAsia"/>
          <w:snapToGrid/>
        </w:rPr>
        <w:t>有关租房人或承租人的立法规定了有关城市住房租赁的特别准则，其他事宜参照民法典。</w:t>
      </w:r>
      <w:r>
        <w:rPr>
          <w:rStyle w:val="FootnoteReference"/>
          <w:snapToGrid/>
        </w:rPr>
        <w:footnoteReference w:id="262"/>
      </w:r>
      <w:r>
        <w:rPr>
          <w:rFonts w:hint="eastAsia"/>
          <w:snapToGrid/>
          <w:vertAlign w:val="superscript"/>
        </w:rPr>
        <w:t xml:space="preserve"> </w:t>
      </w:r>
      <w:r>
        <w:rPr>
          <w:rFonts w:hint="eastAsia"/>
          <w:snapToGrid/>
        </w:rPr>
        <w:t>至于住房筹资，有一些住房补助制度的条例，不同阶段的人都呆查阅。这此补贴以国家直接援助的方式发放，没有规定偿还义务，目的是帮助修改稿家庭筹集住房资金。</w:t>
      </w:r>
    </w:p>
    <w:p w:rsidR="00000000" w:rsidRDefault="009C1C61">
      <w:pPr>
        <w:pStyle w:val="Heading4"/>
        <w:spacing w:before="180" w:after="120"/>
        <w:rPr>
          <w:rFonts w:ascii="Time New Roman" w:eastAsia="SimHei" w:hAnsi="Time New Roman" w:hint="eastAsia"/>
          <w:u w:val="none"/>
        </w:rPr>
      </w:pPr>
      <w:r>
        <w:rPr>
          <w:rFonts w:ascii="Time New Roman" w:eastAsia="SimHei" w:hAnsi="Time New Roman" w:hint="eastAsia"/>
          <w:u w:val="none"/>
        </w:rPr>
        <w:t>有关建筑规程、建筑条例和建立基础设施的立法</w:t>
      </w:r>
    </w:p>
    <w:p w:rsidR="00000000" w:rsidRDefault="009C1C61">
      <w:pPr>
        <w:rPr>
          <w:rFonts w:hint="eastAsia"/>
          <w:snapToGrid/>
        </w:rPr>
      </w:pPr>
      <w:r>
        <w:rPr>
          <w:snapToGrid/>
        </w:rPr>
        <w:tab/>
        <w:t xml:space="preserve">570.  </w:t>
      </w:r>
      <w:r>
        <w:rPr>
          <w:rFonts w:hint="eastAsia"/>
          <w:snapToGrid/>
        </w:rPr>
        <w:t>上文第</w:t>
      </w:r>
      <w:r>
        <w:rPr>
          <w:rFonts w:hint="eastAsia"/>
          <w:snapToGrid/>
        </w:rPr>
        <w:t>424</w:t>
      </w:r>
      <w:r>
        <w:rPr>
          <w:rFonts w:hint="eastAsia"/>
          <w:snapToGrid/>
        </w:rPr>
        <w:t>段提到的标准，除其他外，还谈到了有关住房的下述方面：城市规划、城市化及建筑；有关全国、大区、市际以及城市社区的市政规划的行动级别；城市地块的管理；建房许可证和建筑和住房经市政当局的批准；工程检查、安全标准、建筑</w:t>
      </w:r>
      <w:r>
        <w:rPr>
          <w:rFonts w:hint="eastAsia"/>
          <w:snapToGrid/>
        </w:rPr>
        <w:t>物的保护与修理；惩罚未经批准而出售房屋或提供出售或转让房屋的个人的措施；重新开发区和卫生区的建立；以及建筑材料的最初出售者、专业人员和供应商的责任。</w:t>
      </w:r>
    </w:p>
    <w:p w:rsidR="00000000" w:rsidRDefault="009C1C61">
      <w:pPr>
        <w:rPr>
          <w:snapToGrid/>
        </w:rPr>
      </w:pPr>
      <w:r>
        <w:rPr>
          <w:snapToGrid/>
        </w:rPr>
        <w:tab/>
        <w:t xml:space="preserve">571.  </w:t>
      </w:r>
      <w:r>
        <w:rPr>
          <w:rFonts w:hint="eastAsia"/>
          <w:snapToGrid/>
        </w:rPr>
        <w:t>关于建筑标准，《</w:t>
      </w:r>
      <w:r>
        <w:rPr>
          <w:rFonts w:hint="eastAsia"/>
          <w:snapToGrid/>
          <w:color w:val="000000"/>
        </w:rPr>
        <w:t>一般</w:t>
      </w:r>
      <w:r>
        <w:rPr>
          <w:rFonts w:hint="eastAsia"/>
          <w:snapToGrid/>
        </w:rPr>
        <w:t>都市规划和建筑法》规定了关于设计、城市化和建筑工程、建筑项目和根据《地面财产法》登记的建筑物的规则。该法第</w:t>
      </w:r>
      <w:r>
        <w:rPr>
          <w:rFonts w:hint="eastAsia"/>
          <w:snapToGrid/>
        </w:rPr>
        <w:t>4</w:t>
      </w:r>
      <w:r>
        <w:rPr>
          <w:rFonts w:hint="eastAsia"/>
          <w:snapToGrid/>
        </w:rPr>
        <w:t>章提到了“经济住房”。所有这些问题都照《一般条例》办理。</w:t>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禁止住房部门中任何形式歧视的立法</w:t>
      </w:r>
    </w:p>
    <w:p w:rsidR="00000000" w:rsidRDefault="009C1C61">
      <w:pPr>
        <w:rPr>
          <w:snapToGrid/>
        </w:rPr>
      </w:pPr>
      <w:r>
        <w:rPr>
          <w:snapToGrid/>
        </w:rPr>
        <w:tab/>
        <w:t xml:space="preserve">572.  </w:t>
      </w:r>
      <w:r>
        <w:rPr>
          <w:rFonts w:hint="eastAsia"/>
          <w:snapToGrid/>
        </w:rPr>
        <w:t>《宪法》禁止任何一类法律歧视。例如，《宪法》规定“人人在尊严和权利方面都是生来自由、平等的”，</w:t>
      </w:r>
      <w:r>
        <w:rPr>
          <w:rStyle w:val="FootnoteReference"/>
          <w:bCs/>
          <w:snapToGrid/>
        </w:rPr>
        <w:footnoteReference w:id="263"/>
      </w:r>
      <w:r>
        <w:rPr>
          <w:rFonts w:hint="eastAsia"/>
          <w:bCs/>
          <w:snapToGrid/>
          <w:vertAlign w:val="superscript"/>
        </w:rPr>
        <w:t xml:space="preserve"> </w:t>
      </w:r>
      <w:r>
        <w:rPr>
          <w:rFonts w:hint="eastAsia"/>
          <w:snapToGrid/>
        </w:rPr>
        <w:t>而且承认“法律面</w:t>
      </w:r>
      <w:r>
        <w:rPr>
          <w:rFonts w:hint="eastAsia"/>
          <w:snapToGrid/>
        </w:rPr>
        <w:t>前，男女平等。法律或任何当局不得任意规定男女区别”。</w:t>
      </w:r>
      <w:r>
        <w:rPr>
          <w:rStyle w:val="FootnoteReference"/>
          <w:snapToGrid/>
        </w:rPr>
        <w:footnoteReference w:id="264"/>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禁止任何形式逐出的立法</w:t>
      </w:r>
    </w:p>
    <w:p w:rsidR="00000000" w:rsidRDefault="009C1C61">
      <w:pPr>
        <w:spacing w:after="240"/>
        <w:rPr>
          <w:snapToGrid/>
        </w:rPr>
      </w:pPr>
      <w:r>
        <w:rPr>
          <w:snapToGrid/>
        </w:rPr>
        <w:tab/>
        <w:t xml:space="preserve">573.  </w:t>
      </w:r>
      <w:r>
        <w:rPr>
          <w:rFonts w:hint="eastAsia"/>
          <w:snapToGrid/>
        </w:rPr>
        <w:t>禁止逐出的法律保护租房人，但这种保护并不构成一项绝对权利，因为它取决于租房人或承租人履行合同义务的情况。</w:t>
      </w:r>
      <w:r>
        <w:rPr>
          <w:rStyle w:val="FootnoteReference"/>
          <w:bCs/>
          <w:snapToGrid/>
        </w:rPr>
        <w:footnoteReference w:id="265"/>
      </w:r>
      <w:r>
        <w:rPr>
          <w:rFonts w:hint="eastAsia"/>
          <w:bCs/>
          <w:snapToGrid/>
          <w:vertAlign w:val="superscript"/>
        </w:rPr>
        <w:t xml:space="preserve"> </w:t>
      </w:r>
      <w:r>
        <w:rPr>
          <w:rFonts w:hint="eastAsia"/>
          <w:snapToGrid/>
        </w:rPr>
        <w:t>逐出必须经法院命令实施，而且最少必须给租房人</w:t>
      </w:r>
      <w:r>
        <w:rPr>
          <w:rFonts w:hint="eastAsia"/>
          <w:snapToGrid/>
        </w:rPr>
        <w:t>4</w:t>
      </w:r>
      <w:r>
        <w:rPr>
          <w:rFonts w:hint="eastAsia"/>
          <w:snapToGrid/>
        </w:rPr>
        <w:t>个月的时间搬离所租房屋。每住满</w:t>
      </w:r>
      <w:r>
        <w:rPr>
          <w:rFonts w:hint="eastAsia"/>
          <w:snapToGrid/>
        </w:rPr>
        <w:t>1</w:t>
      </w:r>
      <w:r>
        <w:rPr>
          <w:rFonts w:hint="eastAsia"/>
          <w:snapToGrid/>
        </w:rPr>
        <w:t>年，延长</w:t>
      </w:r>
      <w:r>
        <w:rPr>
          <w:rFonts w:hint="eastAsia"/>
          <w:snapToGrid/>
        </w:rPr>
        <w:t>2</w:t>
      </w:r>
      <w:r>
        <w:rPr>
          <w:rFonts w:hint="eastAsia"/>
          <w:snapToGrid/>
        </w:rPr>
        <w:t>个月，最多延长到</w:t>
      </w:r>
      <w:r>
        <w:rPr>
          <w:rFonts w:hint="eastAsia"/>
          <w:snapToGrid/>
        </w:rPr>
        <w:t>1</w:t>
      </w:r>
      <w:r>
        <w:rPr>
          <w:rFonts w:hint="eastAsia"/>
          <w:snapToGrid/>
        </w:rPr>
        <w:t>年。租金由双方协定。在某些情况下，法院推迟逐出最长不得超过</w:t>
      </w:r>
      <w:r>
        <w:rPr>
          <w:rFonts w:hint="eastAsia"/>
          <w:snapToGrid/>
        </w:rPr>
        <w:t>6</w:t>
      </w:r>
      <w:r>
        <w:rPr>
          <w:rFonts w:hint="eastAsia"/>
          <w:snapToGrid/>
        </w:rPr>
        <w:t>个月。此法所规定的权利是不可中止的。各市要负责照顾遇到住房紧急情况的人。</w:t>
      </w:r>
      <w:r>
        <w:rPr>
          <w:rStyle w:val="FootnoteReference"/>
          <w:snapToGrid/>
        </w:rPr>
        <w:footnoteReference w:id="266"/>
      </w:r>
    </w:p>
    <w:p w:rsidR="00000000" w:rsidRDefault="009C1C61">
      <w:pPr>
        <w:pStyle w:val="Heading4"/>
        <w:spacing w:before="180" w:after="120"/>
        <w:rPr>
          <w:rFonts w:ascii="Time New Roman" w:eastAsia="SimHei" w:hAnsi="Time New Roman"/>
          <w:u w:val="none"/>
        </w:rPr>
      </w:pPr>
      <w:r>
        <w:rPr>
          <w:rFonts w:ascii="Time New Roman" w:eastAsia="SimHei" w:hAnsi="Time New Roman" w:hint="eastAsia"/>
          <w:u w:val="none"/>
        </w:rPr>
        <w:t>限制投机倒卖住房和财产的立法</w:t>
      </w:r>
    </w:p>
    <w:p w:rsidR="00000000" w:rsidRDefault="009C1C61">
      <w:pPr>
        <w:spacing w:after="240"/>
        <w:rPr>
          <w:snapToGrid/>
        </w:rPr>
      </w:pPr>
      <w:r>
        <w:rPr>
          <w:snapToGrid/>
        </w:rPr>
        <w:tab/>
        <w:t xml:space="preserve">574.  </w:t>
      </w:r>
      <w:r>
        <w:rPr>
          <w:rFonts w:hint="eastAsia"/>
          <w:snapToGrid/>
        </w:rPr>
        <w:t>住房权得到了种种有关获取</w:t>
      </w:r>
      <w:r>
        <w:rPr>
          <w:rFonts w:hint="eastAsia"/>
          <w:snapToGrid/>
        </w:rPr>
        <w:t>社会住房补贴制度的保护，不得进行投机倒卖。住房补贴是国家通过住房和城市规划部提供给低收入人口的。</w:t>
      </w:r>
    </w:p>
    <w:p w:rsidR="00000000" w:rsidRDefault="009C1C61">
      <w:pPr>
        <w:pStyle w:val="Heading4"/>
        <w:rPr>
          <w:rFonts w:ascii="Time New Roman" w:eastAsia="SimHei" w:hAnsi="Time New Roman"/>
          <w:u w:val="none"/>
        </w:rPr>
      </w:pPr>
      <w:r>
        <w:rPr>
          <w:rFonts w:ascii="Time New Roman" w:eastAsia="SimHei" w:hAnsi="Time New Roman" w:hint="eastAsia"/>
          <w:u w:val="none"/>
        </w:rPr>
        <w:t>授予“非法”地区居民以合法权利的立法措施</w:t>
      </w:r>
    </w:p>
    <w:p w:rsidR="00000000" w:rsidRDefault="009C1C61">
      <w:pPr>
        <w:rPr>
          <w:rFonts w:hint="eastAsia"/>
          <w:snapToGrid/>
        </w:rPr>
      </w:pPr>
      <w:r>
        <w:rPr>
          <w:snapToGrid/>
        </w:rPr>
        <w:tab/>
        <w:t xml:space="preserve">575.  </w:t>
      </w:r>
      <w:r>
        <w:rPr>
          <w:rFonts w:hint="eastAsia"/>
          <w:snapToGrid/>
        </w:rPr>
        <w:t>就住房和城市规划部来说，授予“非法”地区居民</w:t>
      </w:r>
      <w:r>
        <w:rPr>
          <w:rFonts w:hint="eastAsia"/>
          <w:snapToGrid/>
        </w:rPr>
        <w:t>(</w:t>
      </w:r>
      <w:r>
        <w:rPr>
          <w:rFonts w:hint="eastAsia"/>
          <w:snapToGrid/>
        </w:rPr>
        <w:t>土地占用者</w:t>
      </w:r>
      <w:r>
        <w:rPr>
          <w:rFonts w:hint="eastAsia"/>
          <w:snapToGrid/>
        </w:rPr>
        <w:t>)</w:t>
      </w:r>
      <w:r>
        <w:rPr>
          <w:rFonts w:hint="eastAsia"/>
          <w:snapToGrid/>
        </w:rPr>
        <w:t>以合法权利的立法措施，列入了单独法规中。</w:t>
      </w:r>
      <w:r>
        <w:rPr>
          <w:rStyle w:val="FootnoteReference"/>
          <w:bCs/>
          <w:snapToGrid/>
        </w:rPr>
        <w:footnoteReference w:id="267"/>
      </w:r>
      <w:r>
        <w:rPr>
          <w:rFonts w:hint="eastAsia"/>
          <w:bCs/>
          <w:snapToGrid/>
          <w:vertAlign w:val="superscript"/>
        </w:rPr>
        <w:t xml:space="preserve"> </w:t>
      </w:r>
      <w:r>
        <w:rPr>
          <w:rFonts w:hint="eastAsia"/>
          <w:snapToGrid/>
        </w:rPr>
        <w:t>此法规规定了财产所有权规范化和生活在不稳定环境中的人口城市化的规则。它还保护被出售未开发地点的人所骗的定居者，不论他们是不是占用者。</w:t>
      </w:r>
      <w:r>
        <w:rPr>
          <w:rStyle w:val="FootnoteReference"/>
          <w:snapToGrid/>
        </w:rPr>
        <w:footnoteReference w:id="268"/>
      </w:r>
      <w:r>
        <w:rPr>
          <w:rFonts w:hint="eastAsia"/>
          <w:snapToGrid/>
          <w:vertAlign w:val="superscript"/>
        </w:rPr>
        <w:t xml:space="preserve"> </w:t>
      </w:r>
      <w:r>
        <w:rPr>
          <w:rFonts w:hint="eastAsia"/>
          <w:snapToGrid/>
        </w:rPr>
        <w:t>住房和城市规划部负责核准或拆除营地或弄走边际人口，负责建造社会性住房，负责获得、征用和开发建造社会性住房的土地，有关计划</w:t>
      </w:r>
      <w:r>
        <w:rPr>
          <w:rFonts w:hint="eastAsia"/>
          <w:snapToGrid/>
        </w:rPr>
        <w:t>和方案则由区城规处执行。</w:t>
      </w:r>
      <w:r>
        <w:rPr>
          <w:rStyle w:val="FootnoteReference"/>
          <w:snapToGrid/>
        </w:rPr>
        <w:footnoteReference w:id="269"/>
      </w:r>
    </w:p>
    <w:p w:rsidR="00000000" w:rsidRDefault="009C1C61">
      <w:pPr>
        <w:spacing w:after="240"/>
        <w:rPr>
          <w:noProof/>
          <w:snapToGrid/>
        </w:rPr>
      </w:pPr>
      <w:r>
        <w:rPr>
          <w:noProof/>
          <w:snapToGrid/>
        </w:rPr>
        <w:tab/>
        <w:t xml:space="preserve">576.  </w:t>
      </w:r>
      <w:r>
        <w:rPr>
          <w:rFonts w:hint="eastAsia"/>
          <w:noProof/>
          <w:snapToGrid/>
        </w:rPr>
        <w:t>根据</w:t>
      </w:r>
      <w:r>
        <w:rPr>
          <w:rFonts w:hint="eastAsia"/>
          <w:noProof/>
          <w:snapToGrid/>
        </w:rPr>
        <w:t>1977</w:t>
      </w:r>
      <w:r>
        <w:rPr>
          <w:rFonts w:hint="eastAsia"/>
          <w:noProof/>
          <w:snapToGrid/>
        </w:rPr>
        <w:t>年第</w:t>
      </w:r>
      <w:r>
        <w:rPr>
          <w:noProof/>
          <w:snapToGrid/>
        </w:rPr>
        <w:t>1939</w:t>
      </w:r>
      <w:r>
        <w:rPr>
          <w:rFonts w:hint="eastAsia"/>
          <w:noProof/>
          <w:snapToGrid/>
        </w:rPr>
        <w:t>号</w:t>
      </w:r>
      <w:r>
        <w:rPr>
          <w:rFonts w:hint="eastAsia"/>
          <w:snapToGrid/>
          <w:szCs w:val="24"/>
        </w:rPr>
        <w:t>政令</w:t>
      </w:r>
      <w:r>
        <w:rPr>
          <w:rFonts w:hint="eastAsia"/>
          <w:noProof/>
          <w:snapToGrid/>
        </w:rPr>
        <w:t>法第</w:t>
      </w:r>
      <w:r>
        <w:rPr>
          <w:rFonts w:hint="eastAsia"/>
          <w:noProof/>
          <w:snapToGrid/>
        </w:rPr>
        <w:t>88</w:t>
      </w:r>
      <w:r>
        <w:rPr>
          <w:rFonts w:hint="eastAsia"/>
          <w:noProof/>
          <w:snapToGrid/>
        </w:rPr>
        <w:t>条，共和国总统有权通过国民财产部将财政部、农村或城市的建筑物无偿地转给持智利国籍的自然人，此类行动根据这些自然人的社会经济背景或因为他们是该部的全国或区域计划保护对象而予以批准。根据该法，凡获准在公地上定居的人都有权请求技术援助或贷款，使他们能够建造房屋或适当开展公地。</w:t>
      </w:r>
    </w:p>
    <w:p w:rsidR="00000000" w:rsidRDefault="009C1C61">
      <w:pPr>
        <w:pStyle w:val="Heading4"/>
        <w:rPr>
          <w:rFonts w:ascii="Time New Roman" w:eastAsia="SimHei" w:hAnsi="Time New Roman"/>
          <w:u w:val="none"/>
        </w:rPr>
      </w:pPr>
      <w:r>
        <w:rPr>
          <w:rFonts w:ascii="Time New Roman" w:eastAsia="SimHei" w:hAnsi="Time New Roman" w:hint="eastAsia"/>
          <w:u w:val="none"/>
        </w:rPr>
        <w:t>关于环境和住房与人类住区的卫生设施的立法</w:t>
      </w:r>
    </w:p>
    <w:p w:rsidR="00000000" w:rsidRDefault="009C1C61">
      <w:pPr>
        <w:spacing w:after="240"/>
        <w:rPr>
          <w:bCs/>
          <w:snapToGrid/>
        </w:rPr>
      </w:pPr>
      <w:r>
        <w:rPr>
          <w:snapToGrid/>
        </w:rPr>
        <w:tab/>
        <w:t xml:space="preserve">577.  </w:t>
      </w:r>
      <w:r>
        <w:rPr>
          <w:rFonts w:hint="eastAsia"/>
          <w:snapToGrid/>
        </w:rPr>
        <w:t>住房和人类住区的卫生设施及环境的整顿，均依此法办理。</w:t>
      </w:r>
      <w:r>
        <w:rPr>
          <w:rStyle w:val="FootnoteReference"/>
          <w:bCs/>
          <w:snapToGrid/>
        </w:rPr>
        <w:footnoteReference w:id="270"/>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为落实住房权而采取的措施</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“便利战略”激励措施</w:t>
      </w:r>
    </w:p>
    <w:p w:rsidR="00000000" w:rsidRDefault="009C1C61">
      <w:pPr>
        <w:rPr>
          <w:bCs/>
          <w:snapToGrid/>
        </w:rPr>
      </w:pPr>
      <w:r>
        <w:rPr>
          <w:snapToGrid/>
        </w:rPr>
        <w:tab/>
        <w:t xml:space="preserve">578.  </w:t>
      </w:r>
      <w:r>
        <w:rPr>
          <w:rFonts w:hint="eastAsia"/>
          <w:snapToGrid/>
        </w:rPr>
        <w:t>根据法律规定，接受递进建房补贴的人可以选择直接建成的住所，也可以选择自建。保证基金也提供了同样的选择。保证基金为小型建筑公司和技术援助提供者，如希望参加递进建房方案、却发现很</w:t>
      </w:r>
      <w:r>
        <w:rPr>
          <w:rFonts w:hint="eastAsia"/>
          <w:snapToGrid/>
          <w:color w:val="000000"/>
        </w:rPr>
        <w:t>难获得取得资源</w:t>
      </w:r>
      <w:r>
        <w:rPr>
          <w:rFonts w:hint="eastAsia"/>
          <w:snapToGrid/>
        </w:rPr>
        <w:t>所需的必要担保的非政府组织，提供财政担保。</w:t>
      </w:r>
      <w:r>
        <w:rPr>
          <w:rStyle w:val="FootnoteReference"/>
          <w:bCs/>
          <w:snapToGrid/>
        </w:rPr>
        <w:footnoteReference w:id="271"/>
      </w:r>
    </w:p>
    <w:p w:rsidR="00000000" w:rsidRDefault="009C1C61">
      <w:pPr>
        <w:spacing w:after="240"/>
        <w:rPr>
          <w:snapToGrid/>
        </w:rPr>
      </w:pPr>
      <w:r>
        <w:rPr>
          <w:snapToGrid/>
        </w:rPr>
        <w:tab/>
        <w:t>579.  1996</w:t>
      </w:r>
      <w:r>
        <w:rPr>
          <w:rFonts w:hint="eastAsia"/>
          <w:snapToGrid/>
        </w:rPr>
        <w:t>年，城规部制订了一个促进实施的技术援助方案，以此作为农村递进建房补贴方案的一个必要部分。筹资可以使为农村方案所接受的家庭和有组织群体能够支付项目设计、雇用建筑公司、实施工程监理或自建房屋、获得技术和法律服务的费用。</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国家为建造住房单元和增加其</w:t>
      </w:r>
      <w:r>
        <w:rPr>
          <w:rFonts w:ascii="Time New Roman" w:eastAsia="SimHei" w:hAnsi="Time New Roman" w:hint="eastAsia"/>
          <w:u w:val="none"/>
        </w:rPr>
        <w:t>他类型的低租金住房的供应量而采取的措施</w:t>
      </w:r>
    </w:p>
    <w:p w:rsidR="00000000" w:rsidRDefault="009C1C61">
      <w:pPr>
        <w:spacing w:after="240"/>
        <w:rPr>
          <w:rFonts w:hint="eastAsia"/>
          <w:snapToGrid/>
        </w:rPr>
      </w:pPr>
      <w:r>
        <w:rPr>
          <w:snapToGrid/>
        </w:rPr>
        <w:tab/>
        <w:t xml:space="preserve">580.  </w:t>
      </w:r>
      <w:r>
        <w:rPr>
          <w:rFonts w:hint="eastAsia"/>
          <w:snapToGrid/>
        </w:rPr>
        <w:t>住房政策指定私营部门在房屋建造和销售方面发挥重要作用。为此，国家为私营部门提供了直接</w:t>
      </w:r>
      <w:r>
        <w:rPr>
          <w:rFonts w:hint="eastAsia"/>
          <w:snapToGrid/>
        </w:rPr>
        <w:t>(</w:t>
      </w:r>
      <w:r>
        <w:rPr>
          <w:rFonts w:hint="eastAsia"/>
          <w:snapToGrid/>
        </w:rPr>
        <w:t>直接支付的</w:t>
      </w:r>
      <w:r>
        <w:rPr>
          <w:rFonts w:hint="eastAsia"/>
          <w:snapToGrid/>
        </w:rPr>
        <w:t>)</w:t>
      </w:r>
      <w:r>
        <w:rPr>
          <w:rFonts w:hint="eastAsia"/>
          <w:snapToGrid/>
        </w:rPr>
        <w:t>或间接的补贴，还力争在长期内刺激市场。这些原则及由此引出的措施，下文有介绍。</w:t>
      </w:r>
    </w:p>
    <w:p w:rsidR="00000000" w:rsidRDefault="009C1C61">
      <w:pPr>
        <w:pStyle w:val="Heading4"/>
        <w:rPr>
          <w:rFonts w:ascii="Time New Roman" w:eastAsia="SimHei" w:hAnsi="Time New Roman"/>
          <w:u w:val="none"/>
        </w:rPr>
      </w:pPr>
      <w:r>
        <w:rPr>
          <w:rFonts w:ascii="Time New Roman" w:eastAsia="SimHei" w:hAnsi="Time New Roman" w:hint="eastAsia"/>
          <w:u w:val="none"/>
        </w:rPr>
        <w:t>私营部门的作用</w:t>
      </w:r>
    </w:p>
    <w:p w:rsidR="00000000" w:rsidRDefault="009C1C61">
      <w:pPr>
        <w:spacing w:after="320"/>
        <w:rPr>
          <w:rFonts w:hint="eastAsia"/>
          <w:snapToGrid/>
        </w:rPr>
      </w:pPr>
      <w:r>
        <w:rPr>
          <w:snapToGrid/>
        </w:rPr>
        <w:tab/>
        <w:t xml:space="preserve">581.  </w:t>
      </w:r>
      <w:r>
        <w:rPr>
          <w:rFonts w:hint="eastAsia"/>
          <w:snapToGrid/>
        </w:rPr>
        <w:t>私营公司可以提高住房和环境质量、降低住房价格方面发挥决定作用。住房供应必须反映全国各个地区的住房市场情况，鼓励私营企业采取多元化的办法处理自己所提供的产品。还有许多调节住房需求的组织，如汇集潜在买主、为他们寻找适当住所提供指导的组织。私营部门收入了不少</w:t>
      </w:r>
      <w:r>
        <w:rPr>
          <w:rFonts w:hint="eastAsia"/>
          <w:snapToGrid/>
        </w:rPr>
        <w:t>储蓄，因此也在金融方面发挥了积极作用，提供抵押贷款、管理抵押账户吸引提供抵押资金所需的长期资源。</w:t>
      </w:r>
    </w:p>
    <w:p w:rsidR="00000000" w:rsidRDefault="009C1C61">
      <w:pPr>
        <w:pStyle w:val="Heading4"/>
        <w:rPr>
          <w:rFonts w:ascii="Time New Roman" w:eastAsia="SimHei" w:hAnsi="Time New Roman"/>
          <w:u w:val="none"/>
        </w:rPr>
      </w:pPr>
      <w:r>
        <w:rPr>
          <w:rFonts w:ascii="Time New Roman" w:eastAsia="SimHei" w:hAnsi="Time New Roman" w:hint="eastAsia"/>
          <w:u w:val="none"/>
        </w:rPr>
        <w:t>基于补贴的政策</w:t>
      </w:r>
    </w:p>
    <w:p w:rsidR="00000000" w:rsidRDefault="009C1C61">
      <w:pPr>
        <w:rPr>
          <w:rFonts w:hint="eastAsia"/>
          <w:snapToGrid/>
        </w:rPr>
      </w:pPr>
      <w:r>
        <w:rPr>
          <w:snapToGrid/>
        </w:rPr>
        <w:tab/>
        <w:t xml:space="preserve">582.  </w:t>
      </w:r>
      <w:r>
        <w:rPr>
          <w:rFonts w:hint="eastAsia"/>
          <w:snapToGrid/>
        </w:rPr>
        <w:t>获得住房享有各种早已规定的直接</w:t>
      </w:r>
      <w:r>
        <w:rPr>
          <w:rFonts w:hint="eastAsia"/>
          <w:snapToGrid/>
        </w:rPr>
        <w:t>(</w:t>
      </w:r>
      <w:r>
        <w:rPr>
          <w:rFonts w:hint="eastAsia"/>
          <w:snapToGrid/>
        </w:rPr>
        <w:t>直接支付</w:t>
      </w:r>
      <w:r>
        <w:rPr>
          <w:rFonts w:hint="eastAsia"/>
          <w:snapToGrid/>
        </w:rPr>
        <w:t>)</w:t>
      </w:r>
      <w:r>
        <w:rPr>
          <w:rFonts w:hint="eastAsia"/>
          <w:snapToGrid/>
        </w:rPr>
        <w:t>或间接补贴。这些补贴作为一种促进获取住所的手段发放给购房人。在这整个系统中特别强调要做到公正平衡，使生活最不富裕的人从预算中得到最多的资源。这些补贴可以把住房需要转为需求，从而使之成为住房市场上的一股有效促进力量。</w:t>
      </w:r>
    </w:p>
    <w:p w:rsidR="00000000" w:rsidRDefault="009C1C61">
      <w:pPr>
        <w:rPr>
          <w:rFonts w:hint="eastAsia"/>
          <w:snapToGrid/>
        </w:rPr>
      </w:pPr>
      <w:r>
        <w:rPr>
          <w:snapToGrid/>
        </w:rPr>
        <w:tab/>
        <w:t xml:space="preserve">583.  </w:t>
      </w:r>
      <w:r>
        <w:rPr>
          <w:rFonts w:hint="eastAsia"/>
          <w:snapToGrid/>
        </w:rPr>
        <w:t>直接补贴就是国家直接支助购买或建造住所或</w:t>
      </w:r>
      <w:r>
        <w:rPr>
          <w:rFonts w:hint="eastAsia"/>
          <w:snapToGrid/>
          <w:color w:val="000000"/>
        </w:rPr>
        <w:t>救急住</w:t>
      </w:r>
      <w:r>
        <w:rPr>
          <w:rFonts w:hint="eastAsia"/>
          <w:snapToGrid/>
        </w:rPr>
        <w:t>房。目前，获得正式住房的人有</w:t>
      </w:r>
      <w:r>
        <w:rPr>
          <w:rFonts w:hint="eastAsia"/>
          <w:snapToGrid/>
        </w:rPr>
        <w:t>88%</w:t>
      </w:r>
      <w:r>
        <w:rPr>
          <w:rFonts w:hint="eastAsia"/>
          <w:snapToGrid/>
        </w:rPr>
        <w:t>住的都是补贴住房。“间接补贴”一</w:t>
      </w:r>
      <w:r>
        <w:rPr>
          <w:rFonts w:hint="eastAsia"/>
          <w:snapToGrid/>
        </w:rPr>
        <w:t>词意指国家出钱，确保以不同于市场的条件发放抵押贷款，即确保利率长期稳定。</w:t>
      </w:r>
    </w:p>
    <w:p w:rsidR="00000000" w:rsidRDefault="009C1C61">
      <w:pPr>
        <w:rPr>
          <w:rFonts w:hint="eastAsia"/>
          <w:snapToGrid/>
        </w:rPr>
      </w:pPr>
      <w:r>
        <w:rPr>
          <w:snapToGrid/>
        </w:rPr>
        <w:tab/>
        <w:t xml:space="preserve">584.  </w:t>
      </w:r>
      <w:r>
        <w:rPr>
          <w:rFonts w:hint="eastAsia"/>
          <w:snapToGrid/>
        </w:rPr>
        <w:t>所放大部分贷款都是通过发放抵押贷款信用证筹资。这些信用证可以在二级市场</w:t>
      </w:r>
      <w:r>
        <w:rPr>
          <w:rFonts w:hint="eastAsia"/>
          <w:snapToGrid/>
          <w:spacing w:val="-40"/>
        </w:rPr>
        <w:t>——</w:t>
      </w:r>
      <w:r>
        <w:rPr>
          <w:rFonts w:hint="eastAsia"/>
          <w:snapToGrid/>
        </w:rPr>
        <w:t>证券市场或证券交易所交易。这些办法提供了稳定的利率。如果有关与国家方案受益者商定的抵押贷款的信用证以低于其价值的价格出售或交易，国家会偿还一些或部分差价。自</w:t>
      </w:r>
      <w:r>
        <w:rPr>
          <w:rFonts w:hint="eastAsia"/>
          <w:snapToGrid/>
        </w:rPr>
        <w:t>1990</w:t>
      </w:r>
      <w:r>
        <w:rPr>
          <w:rFonts w:hint="eastAsia"/>
          <w:snapToGrid/>
        </w:rPr>
        <w:t>年以来，每次支付间接补贴最多限制在</w:t>
      </w:r>
      <w:r>
        <w:rPr>
          <w:rFonts w:hint="eastAsia"/>
          <w:snapToGrid/>
        </w:rPr>
        <w:t>80</w:t>
      </w:r>
      <w:r>
        <w:rPr>
          <w:rFonts w:hint="eastAsia"/>
          <w:snapToGrid/>
        </w:rPr>
        <w:t>个调值单位</w:t>
      </w:r>
      <w:r>
        <w:rPr>
          <w:rFonts w:hint="eastAsia"/>
          <w:snapToGrid/>
          <w:spacing w:val="-40"/>
        </w:rPr>
        <w:t>——</w:t>
      </w:r>
      <w:r>
        <w:rPr>
          <w:snapToGrid/>
        </w:rPr>
        <w:t xml:space="preserve"> </w:t>
      </w:r>
      <w:r>
        <w:rPr>
          <w:rFonts w:hint="eastAsia"/>
          <w:snapToGrid/>
        </w:rPr>
        <w:t>相当</w:t>
      </w:r>
      <w:r>
        <w:rPr>
          <w:snapToGrid/>
        </w:rPr>
        <w:t>1,848</w:t>
      </w:r>
      <w:r>
        <w:rPr>
          <w:rFonts w:hint="eastAsia"/>
          <w:snapToGrid/>
        </w:rPr>
        <w:t>美元，以防止或限制这一制度出现任何倒退。</w:t>
      </w:r>
    </w:p>
    <w:p w:rsidR="00000000" w:rsidRDefault="009C1C61">
      <w:pPr>
        <w:rPr>
          <w:snapToGrid/>
        </w:rPr>
      </w:pPr>
      <w:r>
        <w:rPr>
          <w:snapToGrid/>
        </w:rPr>
        <w:tab/>
        <w:t xml:space="preserve">585.  </w:t>
      </w:r>
      <w:r>
        <w:rPr>
          <w:rFonts w:hint="eastAsia"/>
          <w:snapToGrid/>
        </w:rPr>
        <w:t>为了鼓励发放私营部门通常不大感兴趣的小额信贷，国家设立了一种债</w:t>
      </w:r>
      <w:r>
        <w:rPr>
          <w:rFonts w:hint="eastAsia"/>
          <w:snapToGrid/>
        </w:rPr>
        <w:t>务安全网。如果因为贷款人不能偿还债务，贷款机构不得不采取行动，这种安全网可以偿未偿债务余额与出售补贴住房所得的部分差价。</w:t>
      </w:r>
      <w:r>
        <w:rPr>
          <w:rFonts w:hint="eastAsia"/>
          <w:snapToGrid/>
        </w:rPr>
        <w:t>1998</w:t>
      </w:r>
      <w:r>
        <w:rPr>
          <w:rFonts w:hint="eastAsia"/>
          <w:snapToGrid/>
        </w:rPr>
        <w:t>年制订了所谓交易补贴条例；这种补贴是国家发放的补贴，如果购房价格不高于</w:t>
      </w:r>
      <w:r>
        <w:rPr>
          <w:rFonts w:hint="eastAsia"/>
          <w:snapToGrid/>
        </w:rPr>
        <w:t>500</w:t>
      </w:r>
      <w:r>
        <w:rPr>
          <w:rFonts w:hint="eastAsia"/>
          <w:snapToGrid/>
        </w:rPr>
        <w:t>个调值单位</w:t>
      </w:r>
      <w:r>
        <w:rPr>
          <w:rFonts w:hint="eastAsia"/>
          <w:snapToGrid/>
        </w:rPr>
        <w:t>(15,952</w:t>
      </w:r>
      <w:r>
        <w:rPr>
          <w:rFonts w:hint="eastAsia"/>
          <w:snapToGrid/>
        </w:rPr>
        <w:t>美元</w:t>
      </w:r>
      <w:r>
        <w:rPr>
          <w:rFonts w:hint="eastAsia"/>
          <w:snapToGrid/>
        </w:rPr>
        <w:t>)</w:t>
      </w:r>
      <w:r>
        <w:rPr>
          <w:rFonts w:hint="eastAsia"/>
          <w:snapToGrid/>
        </w:rPr>
        <w:t>，抵押贷款最多不超过</w:t>
      </w:r>
      <w:r>
        <w:rPr>
          <w:rFonts w:hint="eastAsia"/>
          <w:snapToGrid/>
        </w:rPr>
        <w:t>350</w:t>
      </w:r>
      <w:r>
        <w:rPr>
          <w:rFonts w:hint="eastAsia"/>
          <w:snapToGrid/>
        </w:rPr>
        <w:t>个调值单位</w:t>
      </w:r>
      <w:r>
        <w:rPr>
          <w:rFonts w:hint="eastAsia"/>
          <w:snapToGrid/>
        </w:rPr>
        <w:t>(11,166</w:t>
      </w:r>
      <w:r>
        <w:rPr>
          <w:rFonts w:hint="eastAsia"/>
          <w:snapToGrid/>
        </w:rPr>
        <w:t>美元</w:t>
      </w:r>
      <w:r>
        <w:rPr>
          <w:rFonts w:hint="eastAsia"/>
          <w:snapToGrid/>
        </w:rPr>
        <w:t>)</w:t>
      </w:r>
      <w:r>
        <w:rPr>
          <w:rFonts w:hint="eastAsia"/>
          <w:snapToGrid/>
        </w:rPr>
        <w:t>，抵押贷款的发放和管理费用可以用这种补贴支付。</w:t>
      </w:r>
    </w:p>
    <w:p w:rsidR="00000000" w:rsidRDefault="009C1C61">
      <w:pPr>
        <w:spacing w:after="240"/>
        <w:rPr>
          <w:snapToGrid/>
        </w:rPr>
      </w:pPr>
      <w:r>
        <w:tab/>
      </w:r>
      <w:r>
        <w:rPr>
          <w:rFonts w:hint="eastAsia"/>
        </w:rPr>
        <w:t xml:space="preserve">586. </w:t>
      </w:r>
      <w:r>
        <w:t xml:space="preserve"> </w:t>
      </w:r>
      <w:r>
        <w:rPr>
          <w:rFonts w:hint="eastAsia"/>
        </w:rPr>
        <w:t>1990</w:t>
      </w:r>
      <w:r>
        <w:rPr>
          <w:rFonts w:hint="eastAsia"/>
        </w:rPr>
        <w:t>至</w:t>
      </w:r>
      <w:r>
        <w:rPr>
          <w:rFonts w:hint="eastAsia"/>
        </w:rPr>
        <w:t>1999</w:t>
      </w:r>
      <w:r>
        <w:rPr>
          <w:rFonts w:hint="eastAsia"/>
        </w:rPr>
        <w:t>年期间，所发补贴总数为</w:t>
      </w:r>
      <w:r>
        <w:rPr>
          <w:rFonts w:hint="eastAsia"/>
        </w:rPr>
        <w:t>618,529</w:t>
      </w:r>
      <w:r>
        <w:rPr>
          <w:rFonts w:hint="eastAsia"/>
        </w:rPr>
        <w:t>。同期，发放给较贫困户的补贴的总数和为资助基本住房与渐进建房而新批的补贴数目都有所增加。</w:t>
      </w:r>
    </w:p>
    <w:p w:rsidR="00000000" w:rsidRDefault="009C1C61">
      <w:pPr>
        <w:pStyle w:val="Heading4"/>
        <w:rPr>
          <w:rFonts w:ascii="Time New Roman" w:eastAsia="SimHei" w:hAnsi="Time New Roman"/>
          <w:u w:val="none"/>
        </w:rPr>
      </w:pPr>
      <w:r>
        <w:rPr>
          <w:rFonts w:ascii="Time New Roman" w:eastAsia="SimHei" w:hAnsi="Time New Roman" w:hint="eastAsia"/>
          <w:u w:val="none"/>
        </w:rPr>
        <w:t>长期市场的运作</w:t>
      </w:r>
    </w:p>
    <w:p w:rsidR="00000000" w:rsidRDefault="009C1C61">
      <w:pPr>
        <w:rPr>
          <w:snapToGrid/>
        </w:rPr>
      </w:pPr>
      <w:r>
        <w:rPr>
          <w:snapToGrid/>
        </w:rPr>
        <w:tab/>
        <w:t xml:space="preserve">587.  </w:t>
      </w:r>
      <w:r>
        <w:rPr>
          <w:rFonts w:hint="eastAsia"/>
          <w:snapToGrid/>
        </w:rPr>
        <w:t>抵押贷款是各项住房方案的一个正常组成部分。因为所涉金额很少，因为意在向较穷困人口发放，所以这些贷款对金融机构来说不是一种诱人的生意，必须由国家直接发放。对所有收入群体来说，可能都需要从私营供资机构：银行、金融公司和互助组织贷款。贷款要么以银行或金融公司签发的抵押贷款信用证为基础，要么以互相组织发放的可担保贷款</w:t>
      </w:r>
      <w:r>
        <w:rPr>
          <w:rFonts w:hint="eastAsia"/>
          <w:snapToGrid/>
          <w:color w:val="000000"/>
        </w:rPr>
        <w:t>为基</w:t>
      </w:r>
      <w:r>
        <w:rPr>
          <w:rFonts w:hint="eastAsia"/>
          <w:snapToGrid/>
        </w:rPr>
        <w:t>础。这两种证都可以在二级市场作价、交易。它们是可调整的长期安排，以抵押品作担保，可以在二级市场上换取养恤基金管理公司、证券公司和其他希望搞长期投资的机构发行的投资债券。它们也可以由私营</w:t>
      </w:r>
      <w:r>
        <w:rPr>
          <w:rFonts w:hint="eastAsia"/>
          <w:snapToGrid/>
        </w:rPr>
        <w:t>投资者和金融机构收买。</w:t>
      </w:r>
    </w:p>
    <w:p w:rsidR="00000000" w:rsidRDefault="009C1C61">
      <w:pPr>
        <w:rPr>
          <w:snapToGrid/>
        </w:rPr>
      </w:pPr>
      <w:r>
        <w:rPr>
          <w:snapToGrid/>
        </w:rPr>
        <w:tab/>
        <w:t xml:space="preserve">588.  </w:t>
      </w:r>
      <w:r>
        <w:rPr>
          <w:rFonts w:hint="eastAsia"/>
          <w:snapToGrid/>
        </w:rPr>
        <w:t>贷款银行向接受住房补贴的人发放的抵押贷款通过信用证筹资。这种信用证使人享有上述间接补贴，而且根据金额不同还享有上述信贷担保。抵押贷款通过包括本金摊付款、利息和佣金的每月等额的摊付款偿还。信用证通过季度息票向投资者付款。季度息票与信用证分立，包含当期本金摊付款和利息，佣金归银行或金融公司等发放机构所得。这些业务都用天天根据通货膨胀率加以调整的调值单位结算。</w:t>
      </w:r>
    </w:p>
    <w:p w:rsidR="00000000" w:rsidRDefault="009C1C61">
      <w:pPr>
        <w:rPr>
          <w:snapToGrid/>
        </w:rPr>
      </w:pPr>
      <w:r>
        <w:rPr>
          <w:snapToGrid/>
        </w:rPr>
        <w:tab/>
        <w:t xml:space="preserve">589.  </w:t>
      </w:r>
      <w:r>
        <w:rPr>
          <w:rFonts w:hint="eastAsia"/>
          <w:snapToGrid/>
        </w:rPr>
        <w:t>住房和城市发展部以两种方式参与：</w:t>
      </w:r>
    </w:p>
    <w:p w:rsidR="00000000" w:rsidRDefault="009C1C61">
      <w:pPr>
        <w:numPr>
          <w:ilvl w:val="0"/>
          <w:numId w:val="299"/>
        </w:numPr>
        <w:rPr>
          <w:snapToGrid/>
        </w:rPr>
      </w:pPr>
      <w:r>
        <w:rPr>
          <w:rFonts w:hint="eastAsia"/>
          <w:snapToGrid/>
        </w:rPr>
        <w:t>通过住房和城市发展处</w:t>
      </w:r>
      <w:r>
        <w:rPr>
          <w:rFonts w:hint="eastAsia"/>
          <w:snapToGrid/>
        </w:rPr>
        <w:t>(</w:t>
      </w:r>
      <w:r>
        <w:rPr>
          <w:rFonts w:hint="eastAsia"/>
          <w:snapToGrid/>
        </w:rPr>
        <w:t>区城规处</w:t>
      </w:r>
      <w:r>
        <w:rPr>
          <w:rFonts w:hint="eastAsia"/>
          <w:snapToGrid/>
        </w:rPr>
        <w:t>)</w:t>
      </w:r>
      <w:r>
        <w:rPr>
          <w:rFonts w:hint="eastAsia"/>
          <w:snapToGrid/>
        </w:rPr>
        <w:t>、递进住房处</w:t>
      </w:r>
      <w:r>
        <w:rPr>
          <w:rFonts w:hint="eastAsia"/>
          <w:snapToGrid/>
        </w:rPr>
        <w:t>(</w:t>
      </w:r>
      <w:r>
        <w:rPr>
          <w:rFonts w:hint="eastAsia"/>
          <w:snapToGrid/>
        </w:rPr>
        <w:t>区城规处</w:t>
      </w:r>
      <w:r>
        <w:rPr>
          <w:rFonts w:hint="eastAsia"/>
          <w:snapToGrid/>
        </w:rPr>
        <w:t>)</w:t>
      </w:r>
      <w:r>
        <w:rPr>
          <w:rFonts w:hint="eastAsia"/>
          <w:snapToGrid/>
        </w:rPr>
        <w:t>和基本住房处</w:t>
      </w:r>
      <w:r>
        <w:rPr>
          <w:rFonts w:hint="eastAsia"/>
          <w:snapToGrid/>
        </w:rPr>
        <w:t>(</w:t>
      </w:r>
      <w:r>
        <w:rPr>
          <w:rFonts w:hint="eastAsia"/>
          <w:snapToGrid/>
        </w:rPr>
        <w:t>区城规处</w:t>
      </w:r>
      <w:r>
        <w:rPr>
          <w:rFonts w:hint="eastAsia"/>
          <w:snapToGrid/>
        </w:rPr>
        <w:t>)</w:t>
      </w:r>
      <w:r>
        <w:rPr>
          <w:rFonts w:hint="eastAsia"/>
          <w:snapToGrid/>
        </w:rPr>
        <w:t>提供</w:t>
      </w:r>
      <w:r>
        <w:rPr>
          <w:rFonts w:hint="eastAsia"/>
          <w:snapToGrid/>
          <w:color w:val="000000"/>
        </w:rPr>
        <w:t>该部门立</w:t>
      </w:r>
      <w:r>
        <w:rPr>
          <w:rFonts w:hint="eastAsia"/>
          <w:snapToGrid/>
        </w:rPr>
        <w:t>约提供的住所；</w:t>
      </w:r>
    </w:p>
    <w:p w:rsidR="00000000" w:rsidRDefault="009C1C61">
      <w:pPr>
        <w:numPr>
          <w:ilvl w:val="0"/>
          <w:numId w:val="299"/>
        </w:numPr>
        <w:rPr>
          <w:rFonts w:hint="eastAsia"/>
          <w:snapToGrid/>
        </w:rPr>
      </w:pPr>
      <w:r>
        <w:rPr>
          <w:rFonts w:hint="eastAsia"/>
          <w:snapToGrid/>
        </w:rPr>
        <w:t>提供住房补贴证。此证可以在私营住房市场上使用，用以筹措购买或建造住所的资金。它只有在满足规定条件时才得到清付。</w:t>
      </w:r>
    </w:p>
    <w:p w:rsidR="00000000" w:rsidRDefault="009C1C61">
      <w:pPr>
        <w:spacing w:after="240"/>
        <w:rPr>
          <w:rFonts w:hint="eastAsia"/>
          <w:snapToGrid/>
        </w:rPr>
      </w:pPr>
      <w:r>
        <w:rPr>
          <w:snapToGrid/>
        </w:rPr>
        <w:tab/>
        <w:t>590.</w:t>
      </w:r>
      <w:r>
        <w:rPr>
          <w:rFonts w:hint="eastAsia"/>
          <w:snapToGrid/>
        </w:rPr>
        <w:t xml:space="preserve"> </w:t>
      </w:r>
      <w:r>
        <w:rPr>
          <w:snapToGrid/>
        </w:rPr>
        <w:t xml:space="preserve"> </w:t>
      </w:r>
      <w:r>
        <w:rPr>
          <w:rFonts w:hint="eastAsia"/>
          <w:snapToGrid/>
        </w:rPr>
        <w:t>购房筹资包括受益者所付定金、补贴及在</w:t>
      </w:r>
      <w:r>
        <w:rPr>
          <w:rFonts w:hint="eastAsia"/>
          <w:snapToGrid/>
        </w:rPr>
        <w:t>20</w:t>
      </w:r>
      <w:r>
        <w:rPr>
          <w:rFonts w:hint="eastAsia"/>
          <w:snapToGrid/>
        </w:rPr>
        <w:t>年或</w:t>
      </w:r>
      <w:r>
        <w:rPr>
          <w:rFonts w:hint="eastAsia"/>
          <w:snapToGrid/>
        </w:rPr>
        <w:t>25</w:t>
      </w:r>
      <w:r>
        <w:rPr>
          <w:rFonts w:hint="eastAsia"/>
          <w:snapToGrid/>
        </w:rPr>
        <w:t>年内偿还的抵押贷款。在各种办法中，直接补贴都付给受益者；它必须达到受益者所申请住房房价的</w:t>
      </w:r>
      <w:r>
        <w:rPr>
          <w:snapToGrid/>
        </w:rPr>
        <w:t>70</w:t>
      </w:r>
      <w:r>
        <w:rPr>
          <w:rFonts w:hint="eastAsia"/>
          <w:snapToGrid/>
        </w:rPr>
        <w:t>%</w:t>
      </w:r>
      <w:r>
        <w:rPr>
          <w:rFonts w:hint="eastAsia"/>
          <w:snapToGrid/>
        </w:rPr>
        <w:t>至</w:t>
      </w:r>
      <w:r>
        <w:rPr>
          <w:snapToGrid/>
        </w:rPr>
        <w:t>75%</w:t>
      </w:r>
      <w:r>
        <w:rPr>
          <w:rFonts w:hint="eastAsia"/>
          <w:snapToGrid/>
        </w:rPr>
        <w:t>。为此，各项方案都确立了最高补贴金额；此金额总是以相当于目标人口收入的金额逐渐偿付。人们是否能参与某方案都有一套最低标准，于是就有了一个计分办法，利用这种办法可以根据方案的目标来挑选受益者。</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国家</w:t>
      </w:r>
      <w:r>
        <w:rPr>
          <w:rFonts w:ascii="Time New Roman" w:eastAsia="SimHei" w:hAnsi="Time New Roman" w:hint="eastAsia"/>
          <w:u w:val="none"/>
        </w:rPr>
        <w:t>住房方案</w:t>
      </w:r>
    </w:p>
    <w:p w:rsidR="00000000" w:rsidRDefault="009C1C61">
      <w:pPr>
        <w:spacing w:after="240"/>
        <w:rPr>
          <w:rFonts w:hint="eastAsia"/>
          <w:snapToGrid/>
        </w:rPr>
      </w:pPr>
      <w:r>
        <w:rPr>
          <w:snapToGrid/>
        </w:rPr>
        <w:tab/>
        <w:t xml:space="preserve">591.  </w:t>
      </w:r>
      <w:r>
        <w:rPr>
          <w:rFonts w:hint="eastAsia"/>
          <w:snapToGrid/>
        </w:rPr>
        <w:t>主要方案有递进建房方案、基本住房方案、工人特别方案、农村部门住房补贴、一般住房补贴综合计划和房屋租赁计划。</w:t>
      </w:r>
    </w:p>
    <w:p w:rsidR="00000000" w:rsidRDefault="009C1C61">
      <w:pPr>
        <w:pStyle w:val="Heading4"/>
        <w:rPr>
          <w:rFonts w:ascii="Time New Roman" w:eastAsia="SimHei" w:hAnsi="Time New Roman"/>
          <w:u w:val="none"/>
        </w:rPr>
      </w:pPr>
      <w:r>
        <w:rPr>
          <w:rFonts w:ascii="Time New Roman" w:eastAsia="SimHei" w:hAnsi="Time New Roman" w:hint="eastAsia"/>
          <w:u w:val="none"/>
        </w:rPr>
        <w:t>递进建房计划</w:t>
      </w:r>
    </w:p>
    <w:p w:rsidR="00000000" w:rsidRDefault="009C1C61">
      <w:pPr>
        <w:rPr>
          <w:rFonts w:hint="eastAsia"/>
          <w:snapToGrid/>
        </w:rPr>
      </w:pPr>
      <w:r>
        <w:rPr>
          <w:snapToGrid/>
        </w:rPr>
        <w:tab/>
        <w:t xml:space="preserve">592.  </w:t>
      </w:r>
      <w:r>
        <w:rPr>
          <w:rFonts w:hint="eastAsia"/>
          <w:snapToGrid/>
        </w:rPr>
        <w:t>这一方案于</w:t>
      </w:r>
      <w:r>
        <w:rPr>
          <w:rFonts w:hint="eastAsia"/>
          <w:snapToGrid/>
        </w:rPr>
        <w:t>1990</w:t>
      </w:r>
      <w:r>
        <w:rPr>
          <w:rFonts w:hint="eastAsia"/>
          <w:snapToGrid/>
        </w:rPr>
        <w:t>年推出，意在帮助没有住处、参加联盟或生活在其他边际化住房环境下的单独居民户或有组织的群体。</w:t>
      </w:r>
      <w:r>
        <w:rPr>
          <w:rStyle w:val="FootnoteReference"/>
          <w:snapToGrid/>
        </w:rPr>
        <w:footnoteReference w:id="272"/>
      </w:r>
      <w:r>
        <w:rPr>
          <w:rFonts w:hint="eastAsia"/>
          <w:snapToGrid/>
          <w:vertAlign w:val="superscript"/>
        </w:rPr>
        <w:t xml:space="preserve"> </w:t>
      </w:r>
      <w:r>
        <w:rPr>
          <w:rFonts w:hint="eastAsia"/>
          <w:snapToGrid/>
        </w:rPr>
        <w:t>此方案照顾月收入未超过</w:t>
      </w:r>
      <w:r>
        <w:rPr>
          <w:rFonts w:hint="eastAsia"/>
          <w:snapToGrid/>
        </w:rPr>
        <w:t>3</w:t>
      </w:r>
      <w:r>
        <w:rPr>
          <w:rFonts w:hint="eastAsia"/>
          <w:snapToGrid/>
        </w:rPr>
        <w:t>个调值单位</w:t>
      </w:r>
      <w:r>
        <w:rPr>
          <w:rFonts w:hint="eastAsia"/>
          <w:snapToGrid/>
        </w:rPr>
        <w:t>(71</w:t>
      </w:r>
      <w:r>
        <w:rPr>
          <w:rFonts w:hint="eastAsia"/>
          <w:snapToGrid/>
        </w:rPr>
        <w:t>美元</w:t>
      </w:r>
      <w:r>
        <w:rPr>
          <w:rFonts w:hint="eastAsia"/>
          <w:snapToGrid/>
        </w:rPr>
        <w:t>)</w:t>
      </w:r>
      <w:r>
        <w:rPr>
          <w:rFonts w:hint="eastAsia"/>
          <w:snapToGrid/>
        </w:rPr>
        <w:t>的居民户，分两阶段。第一阶段包括有厨房和浴室的</w:t>
      </w:r>
      <w:r>
        <w:rPr>
          <w:rFonts w:hint="eastAsia"/>
          <w:snapToGrid/>
          <w:color w:val="000000"/>
        </w:rPr>
        <w:t>住房</w:t>
      </w:r>
      <w:r>
        <w:rPr>
          <w:rFonts w:hint="eastAsia"/>
          <w:snapToGrid/>
        </w:rPr>
        <w:t>，第二阶段包括抽水马桶、脸盆和淋浴。由区城规处提供的递进式住所，还包括一个近</w:t>
      </w:r>
      <w:r>
        <w:rPr>
          <w:snapToGrid/>
        </w:rPr>
        <w:t>14m²</w:t>
      </w:r>
      <w:r>
        <w:rPr>
          <w:rFonts w:hint="eastAsia"/>
          <w:snapToGrid/>
        </w:rPr>
        <w:t>的生活区。第二阶段包括下述基本类型住房的其余设施。</w:t>
      </w:r>
    </w:p>
    <w:p w:rsidR="00000000" w:rsidRDefault="009C1C61">
      <w:pPr>
        <w:spacing w:after="240"/>
        <w:rPr>
          <w:snapToGrid/>
        </w:rPr>
      </w:pPr>
      <w:r>
        <w:rPr>
          <w:snapToGrid/>
        </w:rPr>
        <w:tab/>
        <w:t>593</w:t>
      </w:r>
      <w:r>
        <w:rPr>
          <w:snapToGrid/>
        </w:rPr>
        <w:t xml:space="preserve">. </w:t>
      </w:r>
      <w:r>
        <w:rPr>
          <w:rFonts w:hint="eastAsia"/>
          <w:snapToGrid/>
        </w:rPr>
        <w:t xml:space="preserve"> </w:t>
      </w:r>
      <w:r>
        <w:rPr>
          <w:rFonts w:hint="eastAsia"/>
          <w:snapToGrid/>
        </w:rPr>
        <w:t>这种救急住房，第一阶段的价格约为</w:t>
      </w:r>
      <w:r>
        <w:rPr>
          <w:snapToGrid/>
        </w:rPr>
        <w:t>140</w:t>
      </w:r>
      <w:r>
        <w:rPr>
          <w:rFonts w:hint="eastAsia"/>
          <w:snapToGrid/>
        </w:rPr>
        <w:t>个调值单位</w:t>
      </w:r>
      <w:r>
        <w:rPr>
          <w:rFonts w:hint="eastAsia"/>
          <w:snapToGrid/>
        </w:rPr>
        <w:t>(</w:t>
      </w:r>
      <w:r>
        <w:rPr>
          <w:snapToGrid/>
        </w:rPr>
        <w:t>UF</w:t>
      </w:r>
      <w:r>
        <w:rPr>
          <w:rFonts w:hint="eastAsia"/>
          <w:snapToGrid/>
        </w:rPr>
        <w:t>)</w:t>
      </w:r>
      <w:r>
        <w:rPr>
          <w:snapToGrid/>
        </w:rPr>
        <w:t>(3,339</w:t>
      </w:r>
      <w:r>
        <w:rPr>
          <w:rFonts w:hint="eastAsia"/>
          <w:snapToGrid/>
        </w:rPr>
        <w:t>美元</w:t>
      </w:r>
      <w:r>
        <w:rPr>
          <w:snapToGrid/>
        </w:rPr>
        <w:t>)</w:t>
      </w:r>
      <w:r>
        <w:rPr>
          <w:rFonts w:hint="eastAsia"/>
          <w:snapToGrid/>
        </w:rPr>
        <w:t>，第二阶段的价格为</w:t>
      </w:r>
      <w:r>
        <w:rPr>
          <w:snapToGrid/>
        </w:rPr>
        <w:t>70</w:t>
      </w:r>
      <w:r>
        <w:rPr>
          <w:rFonts w:hint="eastAsia"/>
          <w:snapToGrid/>
        </w:rPr>
        <w:t>个调值单位</w:t>
      </w:r>
      <w:r>
        <w:rPr>
          <w:rFonts w:hint="eastAsia"/>
          <w:snapToGrid/>
        </w:rPr>
        <w:t>(</w:t>
      </w:r>
      <w:r>
        <w:rPr>
          <w:snapToGrid/>
        </w:rPr>
        <w:t>UF</w:t>
      </w:r>
      <w:r>
        <w:rPr>
          <w:rFonts w:hint="eastAsia"/>
          <w:snapToGrid/>
        </w:rPr>
        <w:t>)</w:t>
      </w:r>
      <w:r>
        <w:rPr>
          <w:snapToGrid/>
        </w:rPr>
        <w:t>(1,669</w:t>
      </w:r>
      <w:r>
        <w:rPr>
          <w:rFonts w:hint="eastAsia"/>
          <w:snapToGrid/>
        </w:rPr>
        <w:t>美元</w:t>
      </w:r>
      <w:r>
        <w:rPr>
          <w:snapToGrid/>
        </w:rPr>
        <w:t>)</w:t>
      </w:r>
      <w:r>
        <w:rPr>
          <w:rFonts w:hint="eastAsia"/>
          <w:snapToGrid/>
        </w:rPr>
        <w:t>。每个阶段都通过下列方式筹资</w:t>
      </w:r>
      <w:r>
        <w:rPr>
          <w:snapToGrid/>
          <w:lang w:val="en-GB"/>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1"/>
        <w:gridCol w:w="2382"/>
        <w:gridCol w:w="2593"/>
        <w:gridCol w:w="2470"/>
      </w:tblGrid>
      <w:tr w:rsidR="00000000">
        <w:tblPrEx>
          <w:tblCellMar>
            <w:top w:w="0" w:type="dxa"/>
            <w:bottom w:w="0" w:type="dxa"/>
          </w:tblCellMar>
        </w:tblPrEx>
        <w:tc>
          <w:tcPr>
            <w:tcW w:w="1501" w:type="dxa"/>
          </w:tcPr>
          <w:p w:rsidR="00000000" w:rsidRDefault="009C1C61">
            <w:pPr>
              <w:pStyle w:val="a2"/>
              <w:jc w:val="center"/>
              <w:rPr>
                <w:snapToGrid/>
                <w:sz w:val="18"/>
              </w:rPr>
            </w:pPr>
          </w:p>
        </w:tc>
        <w:tc>
          <w:tcPr>
            <w:tcW w:w="2382" w:type="dxa"/>
          </w:tcPr>
          <w:p w:rsidR="00000000" w:rsidRDefault="009C1C61">
            <w:pPr>
              <w:pStyle w:val="a2"/>
              <w:jc w:val="center"/>
              <w:rPr>
                <w:rFonts w:hint="eastAsia"/>
                <w:snapToGrid/>
                <w:sz w:val="18"/>
              </w:rPr>
            </w:pPr>
            <w:r>
              <w:rPr>
                <w:rFonts w:hint="eastAsia"/>
                <w:snapToGrid/>
                <w:sz w:val="18"/>
              </w:rPr>
              <w:t>第</w:t>
            </w:r>
            <w:r>
              <w:rPr>
                <w:snapToGrid/>
                <w:sz w:val="18"/>
              </w:rPr>
              <w:t>1</w:t>
            </w:r>
            <w:r>
              <w:rPr>
                <w:rFonts w:hint="eastAsia"/>
                <w:snapToGrid/>
                <w:sz w:val="18"/>
              </w:rPr>
              <w:t>阶段</w:t>
            </w:r>
          </w:p>
        </w:tc>
        <w:tc>
          <w:tcPr>
            <w:tcW w:w="2593" w:type="dxa"/>
          </w:tcPr>
          <w:p w:rsidR="00000000" w:rsidRDefault="009C1C61">
            <w:pPr>
              <w:pStyle w:val="a2"/>
              <w:jc w:val="center"/>
              <w:rPr>
                <w:rFonts w:hint="eastAsia"/>
                <w:snapToGrid/>
                <w:sz w:val="18"/>
              </w:rPr>
            </w:pPr>
            <w:r>
              <w:rPr>
                <w:rFonts w:hint="eastAsia"/>
                <w:snapToGrid/>
                <w:sz w:val="18"/>
              </w:rPr>
              <w:t>第</w:t>
            </w:r>
            <w:r>
              <w:rPr>
                <w:snapToGrid/>
                <w:sz w:val="18"/>
              </w:rPr>
              <w:t>2</w:t>
            </w:r>
            <w:r>
              <w:rPr>
                <w:rFonts w:hint="eastAsia"/>
                <w:snapToGrid/>
                <w:sz w:val="18"/>
              </w:rPr>
              <w:t>阶段</w:t>
            </w:r>
          </w:p>
        </w:tc>
        <w:tc>
          <w:tcPr>
            <w:tcW w:w="2470" w:type="dxa"/>
          </w:tcPr>
          <w:p w:rsidR="00000000" w:rsidRDefault="009C1C61">
            <w:pPr>
              <w:pStyle w:val="a2"/>
              <w:jc w:val="center"/>
              <w:rPr>
                <w:rFonts w:hint="eastAsia"/>
                <w:snapToGrid/>
                <w:sz w:val="18"/>
              </w:rPr>
            </w:pPr>
            <w:r>
              <w:rPr>
                <w:rFonts w:hint="eastAsia"/>
                <w:snapToGrid/>
                <w:sz w:val="18"/>
              </w:rPr>
              <w:t>共</w:t>
            </w:r>
            <w:r>
              <w:rPr>
                <w:snapToGrid/>
                <w:sz w:val="18"/>
              </w:rPr>
              <w:t xml:space="preserve">  </w:t>
            </w:r>
            <w:r>
              <w:rPr>
                <w:rFonts w:hint="eastAsia"/>
                <w:snapToGrid/>
                <w:sz w:val="18"/>
              </w:rPr>
              <w:t>计</w:t>
            </w:r>
          </w:p>
        </w:tc>
      </w:tr>
      <w:tr w:rsidR="00000000">
        <w:tblPrEx>
          <w:tblCellMar>
            <w:top w:w="0" w:type="dxa"/>
            <w:bottom w:w="0" w:type="dxa"/>
          </w:tblCellMar>
        </w:tblPrEx>
        <w:tc>
          <w:tcPr>
            <w:tcW w:w="1501" w:type="dxa"/>
          </w:tcPr>
          <w:p w:rsidR="00000000" w:rsidRDefault="009C1C61">
            <w:pPr>
              <w:pStyle w:val="a2"/>
              <w:rPr>
                <w:rFonts w:hint="eastAsia"/>
                <w:snapToGrid/>
                <w:sz w:val="18"/>
                <w:lang w:val="fr-FR"/>
              </w:rPr>
            </w:pPr>
            <w:r>
              <w:rPr>
                <w:rFonts w:hint="eastAsia"/>
                <w:snapToGrid/>
                <w:sz w:val="18"/>
                <w:lang w:val="fr-FR"/>
              </w:rPr>
              <w:t>最低储蓄</w:t>
            </w:r>
          </w:p>
        </w:tc>
        <w:tc>
          <w:tcPr>
            <w:tcW w:w="2382" w:type="dxa"/>
          </w:tcPr>
          <w:p w:rsidR="00000000" w:rsidRDefault="009C1C61">
            <w:pPr>
              <w:pStyle w:val="a2"/>
              <w:rPr>
                <w:snapToGrid/>
                <w:sz w:val="18"/>
                <w:lang w:val="fr-FR"/>
              </w:rPr>
            </w:pPr>
            <w:r>
              <w:rPr>
                <w:snapToGrid/>
                <w:sz w:val="18"/>
                <w:lang w:val="fr-FR"/>
              </w:rPr>
              <w:t>8</w:t>
            </w:r>
            <w:r>
              <w:rPr>
                <w:snapToGrid/>
                <w:sz w:val="18"/>
                <w:lang w:val="fr-FR"/>
              </w:rPr>
              <w:t>调值单位</w:t>
            </w:r>
            <w:r>
              <w:rPr>
                <w:snapToGrid/>
                <w:sz w:val="18"/>
                <w:lang w:val="fr-FR"/>
              </w:rPr>
              <w:br/>
              <w:t>(190</w:t>
            </w:r>
            <w:r>
              <w:rPr>
                <w:snapToGrid/>
                <w:sz w:val="18"/>
                <w:lang w:val="fr-FR"/>
              </w:rPr>
              <w:t>美元</w:t>
            </w:r>
            <w:r>
              <w:rPr>
                <w:snapToGrid/>
                <w:sz w:val="18"/>
                <w:lang w:val="fr-FR"/>
              </w:rPr>
              <w:t>)</w:t>
            </w:r>
          </w:p>
        </w:tc>
        <w:tc>
          <w:tcPr>
            <w:tcW w:w="2593" w:type="dxa"/>
          </w:tcPr>
          <w:p w:rsidR="00000000" w:rsidRDefault="009C1C61">
            <w:pPr>
              <w:pStyle w:val="a2"/>
              <w:rPr>
                <w:snapToGrid/>
                <w:sz w:val="18"/>
              </w:rPr>
            </w:pPr>
            <w:r>
              <w:rPr>
                <w:snapToGrid/>
                <w:sz w:val="18"/>
              </w:rPr>
              <w:t>5</w:t>
            </w:r>
            <w:r>
              <w:rPr>
                <w:snapToGrid/>
                <w:sz w:val="18"/>
              </w:rPr>
              <w:t>调值单位</w:t>
            </w:r>
            <w:r>
              <w:rPr>
                <w:snapToGrid/>
                <w:sz w:val="18"/>
              </w:rPr>
              <w:br/>
              <w:t>(119</w:t>
            </w:r>
            <w:r>
              <w:rPr>
                <w:snapToGrid/>
                <w:sz w:val="18"/>
                <w:lang w:val="fr-FR"/>
              </w:rPr>
              <w:t>美元</w:t>
            </w:r>
            <w:r>
              <w:rPr>
                <w:snapToGrid/>
                <w:sz w:val="18"/>
              </w:rPr>
              <w:t>)</w:t>
            </w:r>
          </w:p>
        </w:tc>
        <w:tc>
          <w:tcPr>
            <w:tcW w:w="2470" w:type="dxa"/>
          </w:tcPr>
          <w:p w:rsidR="00000000" w:rsidRDefault="009C1C61">
            <w:pPr>
              <w:pStyle w:val="a2"/>
              <w:rPr>
                <w:snapToGrid/>
                <w:sz w:val="18"/>
              </w:rPr>
            </w:pPr>
            <w:r>
              <w:rPr>
                <w:snapToGrid/>
                <w:sz w:val="18"/>
              </w:rPr>
              <w:t>13</w:t>
            </w:r>
            <w:r>
              <w:rPr>
                <w:snapToGrid/>
                <w:sz w:val="18"/>
              </w:rPr>
              <w:t>调值单位</w:t>
            </w:r>
            <w:r>
              <w:rPr>
                <w:snapToGrid/>
                <w:sz w:val="18"/>
              </w:rPr>
              <w:br/>
              <w:t>(310</w:t>
            </w:r>
            <w:r>
              <w:rPr>
                <w:snapToGrid/>
                <w:sz w:val="18"/>
                <w:lang w:val="fr-FR"/>
              </w:rPr>
              <w:t>美元</w:t>
            </w:r>
            <w:r>
              <w:rPr>
                <w:snapToGrid/>
                <w:sz w:val="18"/>
              </w:rPr>
              <w:t>)</w:t>
            </w:r>
          </w:p>
        </w:tc>
      </w:tr>
      <w:tr w:rsidR="00000000">
        <w:tblPrEx>
          <w:tblCellMar>
            <w:top w:w="0" w:type="dxa"/>
            <w:bottom w:w="0" w:type="dxa"/>
          </w:tblCellMar>
        </w:tblPrEx>
        <w:tc>
          <w:tcPr>
            <w:tcW w:w="1501" w:type="dxa"/>
          </w:tcPr>
          <w:p w:rsidR="00000000" w:rsidRDefault="009C1C61">
            <w:pPr>
              <w:pStyle w:val="a2"/>
              <w:rPr>
                <w:rFonts w:hint="eastAsia"/>
                <w:snapToGrid/>
                <w:sz w:val="18"/>
              </w:rPr>
            </w:pPr>
            <w:r>
              <w:rPr>
                <w:rFonts w:hint="eastAsia"/>
                <w:snapToGrid/>
                <w:sz w:val="18"/>
              </w:rPr>
              <w:t>补</w:t>
            </w:r>
            <w:r>
              <w:rPr>
                <w:snapToGrid/>
                <w:sz w:val="18"/>
              </w:rPr>
              <w:t xml:space="preserve">  </w:t>
            </w:r>
            <w:r>
              <w:rPr>
                <w:rFonts w:hint="eastAsia"/>
                <w:snapToGrid/>
                <w:sz w:val="18"/>
              </w:rPr>
              <w:t>贴</w:t>
            </w:r>
          </w:p>
        </w:tc>
        <w:tc>
          <w:tcPr>
            <w:tcW w:w="2382" w:type="dxa"/>
          </w:tcPr>
          <w:p w:rsidR="00000000" w:rsidRDefault="009C1C61">
            <w:pPr>
              <w:pStyle w:val="a2"/>
              <w:rPr>
                <w:snapToGrid/>
                <w:sz w:val="18"/>
                <w:lang w:val="fr-FR"/>
              </w:rPr>
            </w:pPr>
            <w:r>
              <w:rPr>
                <w:snapToGrid/>
                <w:sz w:val="18"/>
                <w:lang w:val="fr-FR"/>
              </w:rPr>
              <w:t>132</w:t>
            </w:r>
            <w:r>
              <w:rPr>
                <w:snapToGrid/>
                <w:sz w:val="18"/>
                <w:lang w:val="fr-FR"/>
              </w:rPr>
              <w:t>调值单位</w:t>
            </w:r>
            <w:r>
              <w:rPr>
                <w:snapToGrid/>
                <w:sz w:val="18"/>
                <w:lang w:val="fr-FR"/>
              </w:rPr>
              <w:br/>
              <w:t>(348</w:t>
            </w:r>
            <w:r>
              <w:rPr>
                <w:snapToGrid/>
                <w:sz w:val="18"/>
                <w:lang w:val="fr-FR"/>
              </w:rPr>
              <w:t>美元</w:t>
            </w:r>
            <w:r>
              <w:rPr>
                <w:snapToGrid/>
                <w:sz w:val="18"/>
                <w:lang w:val="fr-FR"/>
              </w:rPr>
              <w:t>)</w:t>
            </w:r>
          </w:p>
        </w:tc>
        <w:tc>
          <w:tcPr>
            <w:tcW w:w="2593" w:type="dxa"/>
          </w:tcPr>
          <w:p w:rsidR="00000000" w:rsidRDefault="009C1C61">
            <w:pPr>
              <w:pStyle w:val="a2"/>
              <w:rPr>
                <w:snapToGrid/>
                <w:sz w:val="18"/>
                <w:lang w:val="fr-FR"/>
              </w:rPr>
            </w:pPr>
            <w:r>
              <w:rPr>
                <w:snapToGrid/>
                <w:sz w:val="18"/>
                <w:lang w:val="fr-FR"/>
              </w:rPr>
              <w:t>18</w:t>
            </w:r>
            <w:r>
              <w:rPr>
                <w:snapToGrid/>
                <w:sz w:val="18"/>
                <w:lang w:val="fr-FR"/>
              </w:rPr>
              <w:t>调值单位</w:t>
            </w:r>
            <w:r>
              <w:rPr>
                <w:snapToGrid/>
                <w:sz w:val="18"/>
                <w:lang w:val="fr-FR"/>
              </w:rPr>
              <w:br/>
              <w:t>(429</w:t>
            </w:r>
            <w:r>
              <w:rPr>
                <w:snapToGrid/>
                <w:sz w:val="18"/>
                <w:lang w:val="fr-FR"/>
              </w:rPr>
              <w:t>美元</w:t>
            </w:r>
            <w:r>
              <w:rPr>
                <w:snapToGrid/>
                <w:sz w:val="18"/>
                <w:lang w:val="fr-FR"/>
              </w:rPr>
              <w:t>)</w:t>
            </w:r>
          </w:p>
        </w:tc>
        <w:tc>
          <w:tcPr>
            <w:tcW w:w="2470" w:type="dxa"/>
          </w:tcPr>
          <w:p w:rsidR="00000000" w:rsidRDefault="009C1C61">
            <w:pPr>
              <w:pStyle w:val="a2"/>
              <w:rPr>
                <w:snapToGrid/>
                <w:sz w:val="18"/>
                <w:lang w:val="fr-FR"/>
              </w:rPr>
            </w:pPr>
            <w:r>
              <w:rPr>
                <w:snapToGrid/>
                <w:sz w:val="18"/>
                <w:lang w:val="fr-FR"/>
              </w:rPr>
              <w:t>150</w:t>
            </w:r>
            <w:r>
              <w:rPr>
                <w:snapToGrid/>
                <w:sz w:val="18"/>
                <w:lang w:val="fr-FR"/>
              </w:rPr>
              <w:t>调值单位</w:t>
            </w:r>
            <w:r>
              <w:rPr>
                <w:snapToGrid/>
                <w:sz w:val="18"/>
                <w:lang w:val="fr-FR"/>
              </w:rPr>
              <w:br/>
              <w:t>(3,578</w:t>
            </w:r>
            <w:r>
              <w:rPr>
                <w:snapToGrid/>
                <w:sz w:val="18"/>
                <w:lang w:val="fr-FR"/>
              </w:rPr>
              <w:t>美元</w:t>
            </w:r>
            <w:r>
              <w:rPr>
                <w:snapToGrid/>
                <w:sz w:val="18"/>
                <w:lang w:val="fr-FR"/>
              </w:rPr>
              <w:t>)</w:t>
            </w:r>
          </w:p>
        </w:tc>
      </w:tr>
      <w:tr w:rsidR="00000000">
        <w:tblPrEx>
          <w:tblCellMar>
            <w:top w:w="0" w:type="dxa"/>
            <w:bottom w:w="0" w:type="dxa"/>
          </w:tblCellMar>
        </w:tblPrEx>
        <w:tc>
          <w:tcPr>
            <w:tcW w:w="1501" w:type="dxa"/>
          </w:tcPr>
          <w:p w:rsidR="00000000" w:rsidRDefault="009C1C61">
            <w:pPr>
              <w:pStyle w:val="a2"/>
              <w:rPr>
                <w:rFonts w:hint="eastAsia"/>
                <w:snapToGrid/>
                <w:sz w:val="18"/>
              </w:rPr>
            </w:pPr>
            <w:r>
              <w:rPr>
                <w:rFonts w:hint="eastAsia"/>
                <w:snapToGrid/>
                <w:sz w:val="18"/>
              </w:rPr>
              <w:t>区城规处贷款</w:t>
            </w:r>
          </w:p>
        </w:tc>
        <w:tc>
          <w:tcPr>
            <w:tcW w:w="2382" w:type="dxa"/>
          </w:tcPr>
          <w:p w:rsidR="00000000" w:rsidRDefault="009C1C61">
            <w:pPr>
              <w:pStyle w:val="a2"/>
              <w:rPr>
                <w:snapToGrid/>
                <w:sz w:val="18"/>
              </w:rPr>
            </w:pPr>
            <w:r>
              <w:rPr>
                <w:snapToGrid/>
                <w:sz w:val="18"/>
              </w:rPr>
              <w:t>0</w:t>
            </w:r>
            <w:r>
              <w:rPr>
                <w:snapToGrid/>
                <w:sz w:val="18"/>
              </w:rPr>
              <w:t>调值单位</w:t>
            </w:r>
          </w:p>
        </w:tc>
        <w:tc>
          <w:tcPr>
            <w:tcW w:w="2593" w:type="dxa"/>
          </w:tcPr>
          <w:p w:rsidR="00000000" w:rsidRDefault="009C1C61">
            <w:pPr>
              <w:pStyle w:val="a2"/>
              <w:rPr>
                <w:snapToGrid/>
                <w:sz w:val="18"/>
              </w:rPr>
            </w:pPr>
            <w:r>
              <w:rPr>
                <w:snapToGrid/>
                <w:sz w:val="18"/>
              </w:rPr>
              <w:t>47</w:t>
            </w:r>
            <w:r>
              <w:rPr>
                <w:snapToGrid/>
                <w:sz w:val="18"/>
              </w:rPr>
              <w:t>调值单位</w:t>
            </w:r>
            <w:r>
              <w:rPr>
                <w:snapToGrid/>
                <w:sz w:val="18"/>
              </w:rPr>
              <w:br/>
              <w:t>(1,121</w:t>
            </w:r>
            <w:r>
              <w:rPr>
                <w:snapToGrid/>
                <w:sz w:val="18"/>
                <w:lang w:val="fr-FR"/>
              </w:rPr>
              <w:t>美元</w:t>
            </w:r>
            <w:r>
              <w:rPr>
                <w:snapToGrid/>
                <w:sz w:val="18"/>
              </w:rPr>
              <w:t>)</w:t>
            </w:r>
          </w:p>
        </w:tc>
        <w:tc>
          <w:tcPr>
            <w:tcW w:w="2470" w:type="dxa"/>
          </w:tcPr>
          <w:p w:rsidR="00000000" w:rsidRDefault="009C1C61">
            <w:pPr>
              <w:pStyle w:val="a2"/>
              <w:rPr>
                <w:snapToGrid/>
                <w:sz w:val="18"/>
              </w:rPr>
            </w:pPr>
            <w:r>
              <w:rPr>
                <w:snapToGrid/>
                <w:sz w:val="18"/>
              </w:rPr>
              <w:t>47</w:t>
            </w:r>
            <w:r>
              <w:rPr>
                <w:snapToGrid/>
                <w:sz w:val="18"/>
              </w:rPr>
              <w:t>调值单位</w:t>
            </w:r>
            <w:r>
              <w:rPr>
                <w:snapToGrid/>
                <w:sz w:val="18"/>
              </w:rPr>
              <w:br/>
              <w:t>(1,121</w:t>
            </w:r>
            <w:r>
              <w:rPr>
                <w:snapToGrid/>
                <w:sz w:val="18"/>
                <w:lang w:val="fr-FR"/>
              </w:rPr>
              <w:t>美元</w:t>
            </w:r>
            <w:r>
              <w:rPr>
                <w:snapToGrid/>
                <w:sz w:val="18"/>
              </w:rPr>
              <w:t>) (</w:t>
            </w:r>
            <w:r>
              <w:rPr>
                <w:rFonts w:hint="eastAsia"/>
                <w:snapToGrid/>
                <w:sz w:val="18"/>
              </w:rPr>
              <w:t>最多</w:t>
            </w:r>
            <w:r>
              <w:rPr>
                <w:snapToGrid/>
                <w:sz w:val="18"/>
              </w:rPr>
              <w:t>)</w:t>
            </w:r>
          </w:p>
        </w:tc>
      </w:tr>
    </w:tbl>
    <w:p w:rsidR="00000000" w:rsidRDefault="009C1C61">
      <w:pPr>
        <w:pStyle w:val="Heading4"/>
        <w:spacing w:before="240"/>
        <w:rPr>
          <w:rFonts w:ascii="Time New Roman" w:eastAsia="SimHei" w:hAnsi="Time New Roman" w:hint="eastAsia"/>
          <w:u w:val="none"/>
        </w:rPr>
      </w:pPr>
      <w:r>
        <w:rPr>
          <w:rFonts w:ascii="Time New Roman" w:eastAsia="SimHei" w:hAnsi="Time New Roman" w:hint="eastAsia"/>
          <w:u w:val="none"/>
        </w:rPr>
        <w:t>基本住房方案</w:t>
      </w:r>
    </w:p>
    <w:p w:rsidR="00000000" w:rsidRDefault="009C1C61">
      <w:pPr>
        <w:spacing w:after="240"/>
        <w:rPr>
          <w:bCs/>
          <w:snapToGrid/>
        </w:rPr>
      </w:pPr>
      <w:r>
        <w:rPr>
          <w:snapToGrid/>
        </w:rPr>
        <w:tab/>
        <w:t xml:space="preserve">594.  </w:t>
      </w:r>
      <w:r>
        <w:rPr>
          <w:rFonts w:hint="eastAsia"/>
          <w:snapToGrid/>
        </w:rPr>
        <w:t>此方案针对的是没有房屋、收入在</w:t>
      </w:r>
      <w:r>
        <w:rPr>
          <w:snapToGrid/>
        </w:rPr>
        <w:t>5</w:t>
      </w:r>
      <w:r>
        <w:rPr>
          <w:rFonts w:hint="eastAsia"/>
          <w:snapToGrid/>
        </w:rPr>
        <w:t>至</w:t>
      </w:r>
      <w:r>
        <w:rPr>
          <w:snapToGrid/>
        </w:rPr>
        <w:t>12</w:t>
      </w:r>
      <w:r>
        <w:rPr>
          <w:rFonts w:hint="eastAsia"/>
          <w:snapToGrid/>
        </w:rPr>
        <w:t>个</w:t>
      </w:r>
      <w:r>
        <w:rPr>
          <w:snapToGrid/>
        </w:rPr>
        <w:t>调值单位</w:t>
      </w:r>
      <w:r>
        <w:rPr>
          <w:snapToGrid/>
        </w:rPr>
        <w:t>(119</w:t>
      </w:r>
      <w:r>
        <w:rPr>
          <w:rFonts w:hint="eastAsia"/>
          <w:snapToGrid/>
        </w:rPr>
        <w:t>至</w:t>
      </w:r>
      <w:r>
        <w:rPr>
          <w:snapToGrid/>
        </w:rPr>
        <w:t>286</w:t>
      </w:r>
      <w:r>
        <w:rPr>
          <w:rFonts w:hint="eastAsia"/>
          <w:snapToGrid/>
        </w:rPr>
        <w:t>美元</w:t>
      </w:r>
      <w:r>
        <w:rPr>
          <w:snapToGrid/>
        </w:rPr>
        <w:t>)</w:t>
      </w:r>
      <w:r>
        <w:rPr>
          <w:rFonts w:hint="eastAsia"/>
          <w:snapToGrid/>
        </w:rPr>
        <w:t>的居民户或有组织群体。此类住房平均表面积</w:t>
      </w:r>
      <w:r>
        <w:rPr>
          <w:snapToGrid/>
        </w:rPr>
        <w:t>42m²</w:t>
      </w:r>
      <w:r>
        <w:rPr>
          <w:rFonts w:hint="eastAsia"/>
          <w:snapToGrid/>
        </w:rPr>
        <w:t>，价格在</w:t>
      </w:r>
      <w:r>
        <w:rPr>
          <w:snapToGrid/>
        </w:rPr>
        <w:t>250</w:t>
      </w:r>
      <w:r>
        <w:rPr>
          <w:rFonts w:hint="eastAsia"/>
          <w:snapToGrid/>
        </w:rPr>
        <w:t>至</w:t>
      </w:r>
      <w:r>
        <w:rPr>
          <w:snapToGrid/>
        </w:rPr>
        <w:t>380</w:t>
      </w:r>
      <w:r>
        <w:rPr>
          <w:rFonts w:hint="eastAsia"/>
          <w:snapToGrid/>
        </w:rPr>
        <w:t>个</w:t>
      </w:r>
      <w:r>
        <w:rPr>
          <w:snapToGrid/>
        </w:rPr>
        <w:t>调值单位</w:t>
      </w:r>
      <w:r>
        <w:rPr>
          <w:snapToGrid/>
        </w:rPr>
        <w:t>(5,963-9,024</w:t>
      </w:r>
      <w:r>
        <w:rPr>
          <w:rFonts w:hint="eastAsia"/>
          <w:snapToGrid/>
        </w:rPr>
        <w:t>美元</w:t>
      </w:r>
      <w:r>
        <w:rPr>
          <w:snapToGrid/>
        </w:rPr>
        <w:t>)</w:t>
      </w:r>
      <w:r>
        <w:rPr>
          <w:rFonts w:hint="eastAsia"/>
          <w:snapToGrid/>
        </w:rPr>
        <w:t>之间，具体要所处位置和设计。此类住房以列方式筹资：</w:t>
      </w:r>
      <w:r>
        <w:rPr>
          <w:rStyle w:val="FootnoteReference"/>
          <w:bCs/>
          <w:snapToGrid/>
        </w:rPr>
        <w:footnoteReference w:id="273"/>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835"/>
        <w:gridCol w:w="3402"/>
      </w:tblGrid>
      <w:tr w:rsidR="00000000">
        <w:tblPrEx>
          <w:tblCellMar>
            <w:top w:w="0" w:type="dxa"/>
            <w:bottom w:w="0" w:type="dxa"/>
          </w:tblCellMar>
        </w:tblPrEx>
        <w:tc>
          <w:tcPr>
            <w:tcW w:w="2410" w:type="dxa"/>
          </w:tcPr>
          <w:p w:rsidR="00000000" w:rsidRDefault="009C1C61">
            <w:pPr>
              <w:pStyle w:val="a2"/>
              <w:jc w:val="center"/>
              <w:rPr>
                <w:snapToGrid/>
                <w:sz w:val="18"/>
              </w:rPr>
            </w:pPr>
            <w:r>
              <w:rPr>
                <w:snapToGrid/>
                <w:sz w:val="18"/>
              </w:rPr>
              <w:br w:type="page"/>
            </w:r>
          </w:p>
        </w:tc>
        <w:tc>
          <w:tcPr>
            <w:tcW w:w="2835" w:type="dxa"/>
          </w:tcPr>
          <w:p w:rsidR="00000000" w:rsidRDefault="009C1C61">
            <w:pPr>
              <w:pStyle w:val="a2"/>
              <w:jc w:val="center"/>
              <w:rPr>
                <w:snapToGrid/>
                <w:sz w:val="18"/>
                <w:lang w:val="fr-FR"/>
              </w:rPr>
            </w:pPr>
            <w:r>
              <w:rPr>
                <w:rFonts w:hint="eastAsia"/>
                <w:snapToGrid/>
                <w:sz w:val="18"/>
              </w:rPr>
              <w:t>区城规处供应类</w:t>
            </w:r>
          </w:p>
        </w:tc>
        <w:tc>
          <w:tcPr>
            <w:tcW w:w="3402" w:type="dxa"/>
          </w:tcPr>
          <w:p w:rsidR="00000000" w:rsidRDefault="009C1C61">
            <w:pPr>
              <w:pStyle w:val="a2"/>
              <w:jc w:val="center"/>
              <w:rPr>
                <w:rFonts w:hint="eastAsia"/>
                <w:snapToGrid/>
                <w:sz w:val="18"/>
                <w:lang w:val="fr-FR"/>
              </w:rPr>
            </w:pPr>
            <w:r>
              <w:rPr>
                <w:rFonts w:hint="eastAsia"/>
                <w:snapToGrid/>
                <w:sz w:val="18"/>
                <w:lang w:val="fr-FR"/>
              </w:rPr>
              <w:t>私</w:t>
            </w:r>
            <w:r>
              <w:rPr>
                <w:snapToGrid/>
                <w:sz w:val="18"/>
                <w:lang w:val="fr-FR"/>
              </w:rPr>
              <w:t xml:space="preserve"> </w:t>
            </w:r>
            <w:r>
              <w:rPr>
                <w:rFonts w:hint="eastAsia"/>
                <w:snapToGrid/>
                <w:sz w:val="18"/>
                <w:lang w:val="fr-FR"/>
              </w:rPr>
              <w:t>营</w:t>
            </w:r>
            <w:r>
              <w:rPr>
                <w:snapToGrid/>
                <w:sz w:val="18"/>
                <w:lang w:val="fr-FR"/>
              </w:rPr>
              <w:t xml:space="preserve"> </w:t>
            </w:r>
            <w:r>
              <w:rPr>
                <w:rFonts w:hint="eastAsia"/>
                <w:snapToGrid/>
                <w:sz w:val="18"/>
                <w:lang w:val="fr-FR"/>
              </w:rPr>
              <w:t>类</w:t>
            </w:r>
          </w:p>
        </w:tc>
      </w:tr>
      <w:tr w:rsidR="00000000">
        <w:tblPrEx>
          <w:tblCellMar>
            <w:top w:w="0" w:type="dxa"/>
            <w:bottom w:w="0" w:type="dxa"/>
          </w:tblCellMar>
        </w:tblPrEx>
        <w:tc>
          <w:tcPr>
            <w:tcW w:w="2410" w:type="dxa"/>
          </w:tcPr>
          <w:p w:rsidR="00000000" w:rsidRDefault="009C1C61">
            <w:pPr>
              <w:pStyle w:val="a2"/>
              <w:rPr>
                <w:rFonts w:hint="eastAsia"/>
                <w:snapToGrid/>
                <w:sz w:val="18"/>
                <w:lang w:val="fr-FR"/>
              </w:rPr>
            </w:pPr>
            <w:r>
              <w:rPr>
                <w:rFonts w:hint="eastAsia"/>
                <w:snapToGrid/>
                <w:sz w:val="18"/>
                <w:lang w:val="fr-FR"/>
              </w:rPr>
              <w:t>最低储蓄</w:t>
            </w:r>
          </w:p>
        </w:tc>
        <w:tc>
          <w:tcPr>
            <w:tcW w:w="2835" w:type="dxa"/>
          </w:tcPr>
          <w:p w:rsidR="00000000" w:rsidRDefault="009C1C61">
            <w:pPr>
              <w:pStyle w:val="a2"/>
              <w:rPr>
                <w:snapToGrid/>
                <w:sz w:val="18"/>
              </w:rPr>
            </w:pPr>
            <w:r>
              <w:rPr>
                <w:snapToGrid/>
                <w:sz w:val="18"/>
              </w:rPr>
              <w:t>10</w:t>
            </w:r>
            <w:r>
              <w:rPr>
                <w:snapToGrid/>
                <w:sz w:val="18"/>
              </w:rPr>
              <w:t>调值单位</w:t>
            </w:r>
            <w:r>
              <w:rPr>
                <w:snapToGrid/>
                <w:sz w:val="18"/>
              </w:rPr>
              <w:t>(238</w:t>
            </w:r>
            <w:r>
              <w:rPr>
                <w:snapToGrid/>
                <w:sz w:val="18"/>
                <w:lang w:val="fr-FR"/>
              </w:rPr>
              <w:t>美元</w:t>
            </w:r>
            <w:r>
              <w:rPr>
                <w:snapToGrid/>
                <w:sz w:val="18"/>
              </w:rPr>
              <w:t>)</w:t>
            </w:r>
          </w:p>
        </w:tc>
        <w:tc>
          <w:tcPr>
            <w:tcW w:w="3402" w:type="dxa"/>
          </w:tcPr>
          <w:p w:rsidR="00000000" w:rsidRDefault="009C1C61">
            <w:pPr>
              <w:pStyle w:val="a2"/>
              <w:rPr>
                <w:snapToGrid/>
                <w:sz w:val="18"/>
              </w:rPr>
            </w:pPr>
            <w:r>
              <w:rPr>
                <w:snapToGrid/>
                <w:sz w:val="18"/>
              </w:rPr>
              <w:t>20</w:t>
            </w:r>
            <w:r>
              <w:rPr>
                <w:snapToGrid/>
                <w:sz w:val="18"/>
              </w:rPr>
              <w:t>调值单位</w:t>
            </w:r>
            <w:r>
              <w:rPr>
                <w:snapToGrid/>
                <w:sz w:val="18"/>
              </w:rPr>
              <w:t>(477</w:t>
            </w:r>
            <w:r>
              <w:rPr>
                <w:snapToGrid/>
                <w:sz w:val="18"/>
                <w:lang w:val="fr-FR"/>
              </w:rPr>
              <w:t>美元</w:t>
            </w:r>
            <w:r>
              <w:rPr>
                <w:snapToGrid/>
                <w:sz w:val="18"/>
              </w:rPr>
              <w:t>)</w:t>
            </w:r>
          </w:p>
        </w:tc>
      </w:tr>
      <w:tr w:rsidR="00000000">
        <w:tblPrEx>
          <w:tblCellMar>
            <w:top w:w="0" w:type="dxa"/>
            <w:bottom w:w="0" w:type="dxa"/>
          </w:tblCellMar>
        </w:tblPrEx>
        <w:tc>
          <w:tcPr>
            <w:tcW w:w="2410" w:type="dxa"/>
          </w:tcPr>
          <w:p w:rsidR="00000000" w:rsidRDefault="009C1C61">
            <w:pPr>
              <w:pStyle w:val="a2"/>
              <w:rPr>
                <w:rFonts w:hint="eastAsia"/>
                <w:snapToGrid/>
                <w:sz w:val="18"/>
              </w:rPr>
            </w:pPr>
            <w:r>
              <w:rPr>
                <w:rFonts w:hint="eastAsia"/>
                <w:snapToGrid/>
                <w:sz w:val="18"/>
              </w:rPr>
              <w:t>补</w:t>
            </w:r>
            <w:r>
              <w:rPr>
                <w:snapToGrid/>
                <w:sz w:val="18"/>
              </w:rPr>
              <w:t xml:space="preserve">  </w:t>
            </w:r>
            <w:r>
              <w:rPr>
                <w:rFonts w:hint="eastAsia"/>
                <w:snapToGrid/>
                <w:sz w:val="18"/>
              </w:rPr>
              <w:t>贴</w:t>
            </w:r>
          </w:p>
        </w:tc>
        <w:tc>
          <w:tcPr>
            <w:tcW w:w="2835" w:type="dxa"/>
          </w:tcPr>
          <w:p w:rsidR="00000000" w:rsidRDefault="009C1C61">
            <w:pPr>
              <w:pStyle w:val="a2"/>
              <w:rPr>
                <w:snapToGrid/>
                <w:sz w:val="18"/>
              </w:rPr>
            </w:pPr>
            <w:r>
              <w:rPr>
                <w:snapToGrid/>
                <w:sz w:val="18"/>
              </w:rPr>
              <w:t>140</w:t>
            </w:r>
            <w:r>
              <w:rPr>
                <w:snapToGrid/>
                <w:sz w:val="18"/>
              </w:rPr>
              <w:t>调值单位</w:t>
            </w:r>
            <w:r>
              <w:rPr>
                <w:snapToGrid/>
                <w:sz w:val="18"/>
              </w:rPr>
              <w:t>(3,339</w:t>
            </w:r>
            <w:r>
              <w:rPr>
                <w:snapToGrid/>
                <w:sz w:val="18"/>
                <w:lang w:val="fr-FR"/>
              </w:rPr>
              <w:t>美元</w:t>
            </w:r>
            <w:r>
              <w:rPr>
                <w:snapToGrid/>
                <w:sz w:val="18"/>
              </w:rPr>
              <w:t>)</w:t>
            </w:r>
          </w:p>
        </w:tc>
        <w:tc>
          <w:tcPr>
            <w:tcW w:w="3402" w:type="dxa"/>
          </w:tcPr>
          <w:p w:rsidR="00000000" w:rsidRDefault="009C1C61">
            <w:pPr>
              <w:pStyle w:val="a2"/>
              <w:rPr>
                <w:snapToGrid/>
                <w:sz w:val="18"/>
              </w:rPr>
            </w:pPr>
            <w:r>
              <w:rPr>
                <w:snapToGrid/>
                <w:sz w:val="18"/>
              </w:rPr>
              <w:t>140</w:t>
            </w:r>
            <w:r>
              <w:rPr>
                <w:snapToGrid/>
                <w:sz w:val="18"/>
              </w:rPr>
              <w:t>调值单位</w:t>
            </w:r>
            <w:r>
              <w:rPr>
                <w:snapToGrid/>
                <w:sz w:val="18"/>
              </w:rPr>
              <w:t>(3,339</w:t>
            </w:r>
            <w:r>
              <w:rPr>
                <w:snapToGrid/>
                <w:sz w:val="18"/>
                <w:lang w:val="fr-FR"/>
              </w:rPr>
              <w:t>美元</w:t>
            </w:r>
            <w:r>
              <w:rPr>
                <w:snapToGrid/>
                <w:sz w:val="18"/>
              </w:rPr>
              <w:t>)</w:t>
            </w:r>
          </w:p>
        </w:tc>
      </w:tr>
      <w:tr w:rsidR="00000000">
        <w:tblPrEx>
          <w:tblCellMar>
            <w:top w:w="0" w:type="dxa"/>
            <w:bottom w:w="0" w:type="dxa"/>
          </w:tblCellMar>
        </w:tblPrEx>
        <w:tc>
          <w:tcPr>
            <w:tcW w:w="2410" w:type="dxa"/>
          </w:tcPr>
          <w:p w:rsidR="00000000" w:rsidRDefault="009C1C61">
            <w:pPr>
              <w:pStyle w:val="a2"/>
              <w:rPr>
                <w:snapToGrid/>
                <w:sz w:val="18"/>
              </w:rPr>
            </w:pPr>
            <w:r>
              <w:rPr>
                <w:rFonts w:hint="eastAsia"/>
                <w:snapToGrid/>
                <w:sz w:val="18"/>
              </w:rPr>
              <w:t>区城规处贷款</w:t>
            </w:r>
          </w:p>
        </w:tc>
        <w:tc>
          <w:tcPr>
            <w:tcW w:w="2835" w:type="dxa"/>
          </w:tcPr>
          <w:p w:rsidR="00000000" w:rsidRDefault="009C1C61">
            <w:pPr>
              <w:pStyle w:val="a2"/>
              <w:rPr>
                <w:snapToGrid/>
                <w:sz w:val="18"/>
              </w:rPr>
            </w:pPr>
            <w:r>
              <w:rPr>
                <w:snapToGrid/>
                <w:sz w:val="18"/>
              </w:rPr>
              <w:t>100+</w:t>
            </w:r>
            <w:r>
              <w:rPr>
                <w:snapToGrid/>
                <w:sz w:val="18"/>
              </w:rPr>
              <w:t>调值单位</w:t>
            </w:r>
            <w:r>
              <w:rPr>
                <w:snapToGrid/>
                <w:sz w:val="18"/>
              </w:rPr>
              <w:t>(2,385</w:t>
            </w:r>
            <w:r>
              <w:rPr>
                <w:snapToGrid/>
                <w:sz w:val="18"/>
                <w:lang w:val="fr-FR"/>
              </w:rPr>
              <w:t>美元</w:t>
            </w:r>
            <w:r>
              <w:rPr>
                <w:snapToGrid/>
                <w:sz w:val="18"/>
              </w:rPr>
              <w:t>+)</w:t>
            </w:r>
          </w:p>
        </w:tc>
        <w:tc>
          <w:tcPr>
            <w:tcW w:w="3402" w:type="dxa"/>
          </w:tcPr>
          <w:p w:rsidR="00000000" w:rsidRDefault="009C1C61">
            <w:pPr>
              <w:pStyle w:val="a2"/>
              <w:rPr>
                <w:snapToGrid/>
                <w:sz w:val="18"/>
              </w:rPr>
            </w:pPr>
            <w:r>
              <w:rPr>
                <w:snapToGrid/>
                <w:sz w:val="18"/>
              </w:rPr>
              <w:t>100+</w:t>
            </w:r>
            <w:r>
              <w:rPr>
                <w:snapToGrid/>
                <w:sz w:val="18"/>
              </w:rPr>
              <w:t>调</w:t>
            </w:r>
            <w:r>
              <w:rPr>
                <w:snapToGrid/>
                <w:sz w:val="18"/>
              </w:rPr>
              <w:t>值单位</w:t>
            </w:r>
            <w:r>
              <w:rPr>
                <w:snapToGrid/>
                <w:sz w:val="18"/>
              </w:rPr>
              <w:t>(2,385</w:t>
            </w:r>
            <w:r>
              <w:rPr>
                <w:snapToGrid/>
                <w:sz w:val="18"/>
                <w:lang w:val="fr-FR"/>
              </w:rPr>
              <w:t>美元</w:t>
            </w:r>
            <w:r>
              <w:rPr>
                <w:snapToGrid/>
                <w:sz w:val="18"/>
              </w:rPr>
              <w:t>) (</w:t>
            </w:r>
            <w:r>
              <w:rPr>
                <w:rFonts w:hint="eastAsia"/>
                <w:snapToGrid/>
                <w:sz w:val="18"/>
              </w:rPr>
              <w:t>最多</w:t>
            </w:r>
            <w:r>
              <w:rPr>
                <w:snapToGrid/>
                <w:sz w:val="18"/>
              </w:rPr>
              <w:t>)</w:t>
            </w:r>
          </w:p>
        </w:tc>
      </w:tr>
    </w:tbl>
    <w:p w:rsidR="00000000" w:rsidRDefault="009C1C61">
      <w:pPr>
        <w:pStyle w:val="Heading4"/>
        <w:spacing w:before="240"/>
        <w:rPr>
          <w:rFonts w:ascii="Time New Roman" w:eastAsia="SimHei" w:hAnsi="Time New Roman" w:hint="eastAsia"/>
          <w:u w:val="none"/>
        </w:rPr>
      </w:pPr>
      <w:r>
        <w:rPr>
          <w:rFonts w:ascii="Time New Roman" w:eastAsia="SimHei" w:hAnsi="Time New Roman" w:hint="eastAsia"/>
          <w:u w:val="none"/>
        </w:rPr>
        <w:t>工人特别方案</w:t>
      </w:r>
    </w:p>
    <w:p w:rsidR="00000000" w:rsidRDefault="009C1C61">
      <w:pPr>
        <w:spacing w:after="240"/>
        <w:rPr>
          <w:snapToGrid/>
        </w:rPr>
      </w:pPr>
      <w:r>
        <w:rPr>
          <w:snapToGrid/>
        </w:rPr>
        <w:tab/>
        <w:t xml:space="preserve">595.  </w:t>
      </w:r>
      <w:r>
        <w:rPr>
          <w:rFonts w:hint="eastAsia"/>
          <w:snapToGrid/>
        </w:rPr>
        <w:t>此方案有利于有组织群体特别社会住房建造方案的筹资与发展。这些群体的成员必须达到最低存款和收入要求才能获得抵押贷款。</w:t>
      </w:r>
      <w:r>
        <w:rPr>
          <w:rStyle w:val="FootnoteReference"/>
          <w:bCs/>
          <w:snapToGrid/>
        </w:rPr>
        <w:footnoteReference w:id="274"/>
      </w:r>
      <w:r>
        <w:rPr>
          <w:rFonts w:hint="eastAsia"/>
          <w:bCs/>
          <w:snapToGrid/>
          <w:vertAlign w:val="superscript"/>
        </w:rPr>
        <w:t xml:space="preserve"> </w:t>
      </w:r>
      <w:r>
        <w:rPr>
          <w:rFonts w:hint="eastAsia"/>
          <w:snapToGrid/>
        </w:rPr>
        <w:t>这种办法以城规部、智利国家银行及爱德华银行之间达成的协定为基础。方案意在帮助收在</w:t>
      </w:r>
      <w:r>
        <w:rPr>
          <w:snapToGrid/>
        </w:rPr>
        <w:t>12</w:t>
      </w:r>
      <w:r>
        <w:rPr>
          <w:rFonts w:hint="eastAsia"/>
          <w:snapToGrid/>
        </w:rPr>
        <w:t>至</w:t>
      </w:r>
      <w:r>
        <w:rPr>
          <w:snapToGrid/>
        </w:rPr>
        <w:t>16</w:t>
      </w:r>
      <w:r>
        <w:rPr>
          <w:rFonts w:hint="eastAsia"/>
          <w:snapToGrid/>
        </w:rPr>
        <w:t>个</w:t>
      </w:r>
      <w:r>
        <w:rPr>
          <w:snapToGrid/>
        </w:rPr>
        <w:t>调值单位</w:t>
      </w:r>
      <w:r>
        <w:rPr>
          <w:snapToGrid/>
        </w:rPr>
        <w:t>(286</w:t>
      </w:r>
      <w:r>
        <w:rPr>
          <w:rFonts w:hint="eastAsia"/>
          <w:snapToGrid/>
        </w:rPr>
        <w:t>至</w:t>
      </w:r>
      <w:r>
        <w:rPr>
          <w:snapToGrid/>
        </w:rPr>
        <w:t>381</w:t>
      </w:r>
      <w:r>
        <w:rPr>
          <w:rFonts w:hint="eastAsia"/>
          <w:snapToGrid/>
        </w:rPr>
        <w:t>美元</w:t>
      </w:r>
      <w:r>
        <w:rPr>
          <w:snapToGrid/>
        </w:rPr>
        <w:t>)</w:t>
      </w:r>
      <w:r>
        <w:rPr>
          <w:rFonts w:hint="eastAsia"/>
          <w:snapToGrid/>
        </w:rPr>
        <w:t>的居民户。平均表面面积为</w:t>
      </w:r>
      <w:r>
        <w:rPr>
          <w:snapToGrid/>
        </w:rPr>
        <w:t>45</w:t>
      </w:r>
      <w:r>
        <w:rPr>
          <w:rFonts w:hint="eastAsia"/>
          <w:snapToGrid/>
        </w:rPr>
        <w:t>m</w:t>
      </w:r>
      <w:r>
        <w:rPr>
          <w:snapToGrid/>
        </w:rPr>
        <w:t>²</w:t>
      </w:r>
      <w:r>
        <w:rPr>
          <w:rFonts w:hint="eastAsia"/>
          <w:snapToGrid/>
        </w:rPr>
        <w:t>，价格在</w:t>
      </w:r>
      <w:r>
        <w:rPr>
          <w:snapToGrid/>
        </w:rPr>
        <w:t>350</w:t>
      </w:r>
      <w:r>
        <w:rPr>
          <w:rFonts w:hint="eastAsia"/>
          <w:snapToGrid/>
        </w:rPr>
        <w:t>至</w:t>
      </w:r>
      <w:r>
        <w:rPr>
          <w:snapToGrid/>
        </w:rPr>
        <w:t>500</w:t>
      </w:r>
      <w:r>
        <w:rPr>
          <w:rFonts w:hint="eastAsia"/>
          <w:snapToGrid/>
        </w:rPr>
        <w:t>个</w:t>
      </w:r>
      <w:r>
        <w:rPr>
          <w:snapToGrid/>
        </w:rPr>
        <w:t>调值单位</w:t>
      </w:r>
      <w:r>
        <w:rPr>
          <w:snapToGrid/>
        </w:rPr>
        <w:t>(8,348</w:t>
      </w:r>
      <w:r>
        <w:rPr>
          <w:rFonts w:hint="eastAsia"/>
          <w:snapToGrid/>
        </w:rPr>
        <w:t>至</w:t>
      </w:r>
      <w:r>
        <w:rPr>
          <w:snapToGrid/>
        </w:rPr>
        <w:t>11,926</w:t>
      </w:r>
      <w:r>
        <w:rPr>
          <w:rFonts w:hint="eastAsia"/>
          <w:snapToGrid/>
        </w:rPr>
        <w:t>美元</w:t>
      </w:r>
      <w:r>
        <w:rPr>
          <w:snapToGrid/>
        </w:rPr>
        <w:t>)</w:t>
      </w:r>
      <w:r>
        <w:rPr>
          <w:rFonts w:hint="eastAsia"/>
          <w:snapToGrid/>
        </w:rPr>
        <w:t>之间。筹资方法如下：</w:t>
      </w:r>
    </w:p>
    <w:tbl>
      <w:tblPr>
        <w:tblW w:w="0" w:type="auto"/>
        <w:tblInd w:w="658" w:type="dxa"/>
        <w:tblCellMar>
          <w:left w:w="28" w:type="dxa"/>
          <w:right w:w="28" w:type="dxa"/>
        </w:tblCellMar>
        <w:tblLook w:val="0000" w:firstRow="0" w:lastRow="0" w:firstColumn="0" w:lastColumn="0" w:noHBand="0" w:noVBand="0"/>
      </w:tblPr>
      <w:tblGrid>
        <w:gridCol w:w="4047"/>
        <w:gridCol w:w="4143"/>
      </w:tblGrid>
      <w:tr w:rsidR="00000000">
        <w:tblPrEx>
          <w:tblCellMar>
            <w:top w:w="0" w:type="dxa"/>
            <w:bottom w:w="0" w:type="dxa"/>
          </w:tblCellMar>
        </w:tblPrEx>
        <w:tc>
          <w:tcPr>
            <w:tcW w:w="4047" w:type="dxa"/>
          </w:tcPr>
          <w:p w:rsidR="00000000" w:rsidRDefault="009C1C61">
            <w:pPr>
              <w:spacing w:line="312" w:lineRule="auto"/>
              <w:rPr>
                <w:snapToGrid/>
              </w:rPr>
            </w:pPr>
            <w:r>
              <w:rPr>
                <w:rFonts w:hint="eastAsia"/>
                <w:snapToGrid/>
              </w:rPr>
              <w:t>最低存款</w:t>
            </w:r>
            <w:r>
              <w:rPr>
                <w:snapToGrid/>
              </w:rPr>
              <w:t>：</w:t>
            </w:r>
          </w:p>
        </w:tc>
        <w:tc>
          <w:tcPr>
            <w:tcW w:w="4143" w:type="dxa"/>
          </w:tcPr>
          <w:p w:rsidR="00000000" w:rsidRDefault="009C1C61">
            <w:pPr>
              <w:spacing w:line="312" w:lineRule="auto"/>
              <w:rPr>
                <w:snapToGrid/>
              </w:rPr>
            </w:pPr>
            <w:r>
              <w:rPr>
                <w:snapToGrid/>
              </w:rPr>
              <w:t>40</w:t>
            </w:r>
            <w:r>
              <w:rPr>
                <w:snapToGrid/>
              </w:rPr>
              <w:t>调值单位</w:t>
            </w:r>
            <w:r>
              <w:rPr>
                <w:snapToGrid/>
              </w:rPr>
              <w:t>(954</w:t>
            </w:r>
            <w:r>
              <w:rPr>
                <w:snapToGrid/>
                <w:lang w:val="en-GB"/>
              </w:rPr>
              <w:t>美元</w:t>
            </w:r>
            <w:r>
              <w:rPr>
                <w:snapToGrid/>
              </w:rPr>
              <w:t>)</w:t>
            </w:r>
            <w:r>
              <w:rPr>
                <w:snapToGrid/>
              </w:rPr>
              <w:t>；</w:t>
            </w:r>
          </w:p>
        </w:tc>
      </w:tr>
      <w:tr w:rsidR="00000000">
        <w:tblPrEx>
          <w:tblCellMar>
            <w:top w:w="0" w:type="dxa"/>
            <w:bottom w:w="0" w:type="dxa"/>
          </w:tblCellMar>
        </w:tblPrEx>
        <w:tc>
          <w:tcPr>
            <w:tcW w:w="4047" w:type="dxa"/>
          </w:tcPr>
          <w:p w:rsidR="00000000" w:rsidRDefault="009C1C61">
            <w:pPr>
              <w:spacing w:line="312" w:lineRule="auto"/>
              <w:rPr>
                <w:snapToGrid/>
              </w:rPr>
            </w:pPr>
            <w:r>
              <w:rPr>
                <w:rFonts w:hint="eastAsia"/>
                <w:snapToGrid/>
              </w:rPr>
              <w:t>补</w:t>
            </w:r>
            <w:r>
              <w:rPr>
                <w:snapToGrid/>
              </w:rPr>
              <w:t xml:space="preserve">  </w:t>
            </w:r>
            <w:r>
              <w:rPr>
                <w:rFonts w:hint="eastAsia"/>
                <w:snapToGrid/>
              </w:rPr>
              <w:t>贴</w:t>
            </w:r>
            <w:r>
              <w:rPr>
                <w:snapToGrid/>
              </w:rPr>
              <w:t>：</w:t>
            </w:r>
          </w:p>
        </w:tc>
        <w:tc>
          <w:tcPr>
            <w:tcW w:w="4143" w:type="dxa"/>
          </w:tcPr>
          <w:p w:rsidR="00000000" w:rsidRDefault="009C1C61">
            <w:pPr>
              <w:spacing w:line="312" w:lineRule="auto"/>
              <w:ind w:firstLine="20"/>
              <w:rPr>
                <w:snapToGrid/>
              </w:rPr>
            </w:pPr>
            <w:r>
              <w:rPr>
                <w:snapToGrid/>
              </w:rPr>
              <w:t>90</w:t>
            </w:r>
            <w:r>
              <w:rPr>
                <w:snapToGrid/>
              </w:rPr>
              <w:t>调值单位</w:t>
            </w:r>
            <w:r>
              <w:rPr>
                <w:snapToGrid/>
              </w:rPr>
              <w:t>(2,146</w:t>
            </w:r>
            <w:r>
              <w:rPr>
                <w:snapToGrid/>
                <w:lang w:val="en-GB"/>
              </w:rPr>
              <w:t>美元</w:t>
            </w:r>
            <w:r>
              <w:rPr>
                <w:snapToGrid/>
              </w:rPr>
              <w:t>)</w:t>
            </w:r>
            <w:r>
              <w:rPr>
                <w:snapToGrid/>
              </w:rPr>
              <w:t>；</w:t>
            </w:r>
          </w:p>
        </w:tc>
      </w:tr>
      <w:tr w:rsidR="00000000">
        <w:tblPrEx>
          <w:tblCellMar>
            <w:top w:w="0" w:type="dxa"/>
            <w:bottom w:w="0" w:type="dxa"/>
          </w:tblCellMar>
        </w:tblPrEx>
        <w:tc>
          <w:tcPr>
            <w:tcW w:w="4047" w:type="dxa"/>
          </w:tcPr>
          <w:p w:rsidR="00000000" w:rsidRDefault="009C1C61">
            <w:pPr>
              <w:spacing w:line="312" w:lineRule="auto"/>
              <w:rPr>
                <w:snapToGrid/>
              </w:rPr>
            </w:pPr>
            <w:r>
              <w:rPr>
                <w:rFonts w:hint="eastAsia"/>
                <w:snapToGrid/>
              </w:rPr>
              <w:t>抵押贷款</w:t>
            </w:r>
            <w:r>
              <w:rPr>
                <w:snapToGrid/>
              </w:rPr>
              <w:t>(</w:t>
            </w:r>
            <w:r>
              <w:rPr>
                <w:rFonts w:hint="eastAsia"/>
                <w:snapToGrid/>
              </w:rPr>
              <w:t>国家或爱德华银行</w:t>
            </w:r>
            <w:r>
              <w:rPr>
                <w:snapToGrid/>
              </w:rPr>
              <w:t>)</w:t>
            </w:r>
            <w:r>
              <w:rPr>
                <w:snapToGrid/>
              </w:rPr>
              <w:t>：</w:t>
            </w:r>
          </w:p>
        </w:tc>
        <w:tc>
          <w:tcPr>
            <w:tcW w:w="4143" w:type="dxa"/>
          </w:tcPr>
          <w:p w:rsidR="00000000" w:rsidRDefault="009C1C61">
            <w:pPr>
              <w:spacing w:line="312" w:lineRule="auto"/>
              <w:ind w:hanging="20"/>
              <w:rPr>
                <w:snapToGrid/>
              </w:rPr>
            </w:pPr>
            <w:r>
              <w:rPr>
                <w:snapToGrid/>
              </w:rPr>
              <w:t>220</w:t>
            </w:r>
            <w:r>
              <w:rPr>
                <w:snapToGrid/>
              </w:rPr>
              <w:t>调值单位</w:t>
            </w:r>
            <w:r>
              <w:rPr>
                <w:snapToGrid/>
              </w:rPr>
              <w:t>(5,247</w:t>
            </w:r>
            <w:r>
              <w:rPr>
                <w:snapToGrid/>
                <w:lang w:val="en-GB"/>
              </w:rPr>
              <w:t>美元</w:t>
            </w:r>
            <w:r>
              <w:rPr>
                <w:snapToGrid/>
              </w:rPr>
              <w:t>)</w:t>
            </w:r>
            <w:r>
              <w:rPr>
                <w:rFonts w:hint="eastAsia"/>
                <w:snapToGrid/>
              </w:rPr>
              <w:t>。</w:t>
            </w:r>
          </w:p>
        </w:tc>
      </w:tr>
    </w:tbl>
    <w:p w:rsidR="00000000" w:rsidRDefault="009C1C61">
      <w:pPr>
        <w:pStyle w:val="Heading4"/>
        <w:spacing w:before="300"/>
        <w:rPr>
          <w:rFonts w:ascii="Time New Roman" w:eastAsia="SimHei" w:hAnsi="Time New Roman" w:hint="eastAsia"/>
          <w:u w:val="none"/>
        </w:rPr>
      </w:pPr>
      <w:r>
        <w:rPr>
          <w:rFonts w:ascii="Time New Roman" w:eastAsia="SimHei" w:hAnsi="Time New Roman" w:hint="eastAsia"/>
          <w:u w:val="none"/>
        </w:rPr>
        <w:t>农村部门住房补贴</w:t>
      </w:r>
    </w:p>
    <w:p w:rsidR="00000000" w:rsidRDefault="009C1C61">
      <w:pPr>
        <w:spacing w:after="160"/>
        <w:rPr>
          <w:snapToGrid/>
        </w:rPr>
      </w:pPr>
      <w:r>
        <w:rPr>
          <w:snapToGrid/>
        </w:rPr>
        <w:tab/>
        <w:t xml:space="preserve">596.  </w:t>
      </w:r>
      <w:r>
        <w:rPr>
          <w:rFonts w:hint="eastAsia"/>
          <w:snapToGrid/>
        </w:rPr>
        <w:t>此方案颁发一种住房补贴证书，可用以为农村地区建造或购买住房或卫生设备提供资金。</w:t>
      </w:r>
      <w:r>
        <w:rPr>
          <w:rStyle w:val="FootnoteReference"/>
          <w:bCs/>
          <w:snapToGrid/>
        </w:rPr>
        <w:footnoteReference w:id="275"/>
      </w:r>
      <w:r>
        <w:rPr>
          <w:bCs/>
          <w:snapToGrid/>
          <w:vertAlign w:val="superscript"/>
        </w:rPr>
        <w:t xml:space="preserve"> </w:t>
      </w:r>
      <w:r>
        <w:rPr>
          <w:rFonts w:hint="eastAsia"/>
          <w:snapToGrid/>
        </w:rPr>
        <w:t>这种办法使低收入的居民户和有组织群体受益。为了支付房款，受益者要有住房补贴、存款，在某些情况下还要有全国农业发展研究所发放的挂钩贷款。这种办法提供了下列选择：</w:t>
      </w:r>
    </w:p>
    <w:tbl>
      <w:tblPr>
        <w:tblW w:w="9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0"/>
        <w:gridCol w:w="2990"/>
        <w:gridCol w:w="2730"/>
      </w:tblGrid>
      <w:tr w:rsidR="00000000">
        <w:tblPrEx>
          <w:tblCellMar>
            <w:top w:w="0" w:type="dxa"/>
            <w:bottom w:w="0" w:type="dxa"/>
          </w:tblCellMar>
        </w:tblPrEx>
        <w:tc>
          <w:tcPr>
            <w:tcW w:w="3770" w:type="dxa"/>
            <w:tcBorders>
              <w:bottom w:val="single" w:sz="4" w:space="0" w:color="auto"/>
            </w:tcBorders>
          </w:tcPr>
          <w:p w:rsidR="00000000" w:rsidRDefault="009C1C61">
            <w:pPr>
              <w:pStyle w:val="a2"/>
              <w:spacing w:after="120"/>
              <w:jc w:val="center"/>
              <w:rPr>
                <w:rFonts w:hint="eastAsia"/>
                <w:snapToGrid/>
                <w:sz w:val="20"/>
              </w:rPr>
            </w:pPr>
            <w:r>
              <w:rPr>
                <w:snapToGrid/>
                <w:sz w:val="20"/>
              </w:rPr>
              <w:br w:type="page"/>
            </w:r>
            <w:r>
              <w:rPr>
                <w:rFonts w:hint="eastAsia"/>
                <w:snapToGrid/>
                <w:sz w:val="20"/>
              </w:rPr>
              <w:t>解决方式和申请办法</w:t>
            </w:r>
          </w:p>
        </w:tc>
        <w:tc>
          <w:tcPr>
            <w:tcW w:w="2990" w:type="dxa"/>
            <w:tcBorders>
              <w:bottom w:val="single" w:sz="4" w:space="0" w:color="auto"/>
            </w:tcBorders>
          </w:tcPr>
          <w:p w:rsidR="00000000" w:rsidRDefault="009C1C61">
            <w:pPr>
              <w:pStyle w:val="a2"/>
              <w:jc w:val="center"/>
              <w:rPr>
                <w:snapToGrid/>
                <w:sz w:val="20"/>
              </w:rPr>
            </w:pPr>
            <w:r>
              <w:rPr>
                <w:rFonts w:hint="eastAsia"/>
                <w:snapToGrid/>
                <w:sz w:val="20"/>
              </w:rPr>
              <w:t>补贴金额</w:t>
            </w:r>
            <w:r>
              <w:rPr>
                <w:snapToGrid/>
                <w:sz w:val="20"/>
              </w:rPr>
              <w:t>(</w:t>
            </w:r>
            <w:r>
              <w:rPr>
                <w:snapToGrid/>
                <w:sz w:val="20"/>
              </w:rPr>
              <w:t>调值单位</w:t>
            </w:r>
            <w:r>
              <w:rPr>
                <w:snapToGrid/>
                <w:sz w:val="20"/>
              </w:rPr>
              <w:t>/</w:t>
            </w:r>
            <w:r>
              <w:rPr>
                <w:snapToGrid/>
                <w:sz w:val="20"/>
                <w:lang w:val="en-GB"/>
              </w:rPr>
              <w:t>美元</w:t>
            </w:r>
            <w:r>
              <w:rPr>
                <w:snapToGrid/>
                <w:sz w:val="20"/>
              </w:rPr>
              <w:t>)</w:t>
            </w:r>
          </w:p>
        </w:tc>
        <w:tc>
          <w:tcPr>
            <w:tcW w:w="2730" w:type="dxa"/>
            <w:tcBorders>
              <w:bottom w:val="single" w:sz="4" w:space="0" w:color="auto"/>
            </w:tcBorders>
          </w:tcPr>
          <w:p w:rsidR="00000000" w:rsidRDefault="009C1C61">
            <w:pPr>
              <w:pStyle w:val="a2"/>
              <w:jc w:val="center"/>
              <w:rPr>
                <w:snapToGrid/>
                <w:sz w:val="20"/>
                <w:lang w:val="fr-FR"/>
              </w:rPr>
            </w:pPr>
            <w:r>
              <w:rPr>
                <w:snapToGrid/>
                <w:sz w:val="20"/>
                <w:lang w:val="fr-FR"/>
              </w:rPr>
              <w:t>最低</w:t>
            </w:r>
            <w:r>
              <w:rPr>
                <w:rFonts w:hint="eastAsia"/>
                <w:snapToGrid/>
                <w:sz w:val="20"/>
                <w:lang w:val="fr-FR"/>
              </w:rPr>
              <w:t>存款</w:t>
            </w:r>
            <w:r>
              <w:rPr>
                <w:snapToGrid/>
                <w:sz w:val="20"/>
                <w:lang w:val="fr-FR"/>
              </w:rPr>
              <w:t>(</w:t>
            </w:r>
            <w:r>
              <w:rPr>
                <w:snapToGrid/>
                <w:sz w:val="20"/>
                <w:lang w:val="fr-FR"/>
              </w:rPr>
              <w:t>调值单位</w:t>
            </w:r>
            <w:r>
              <w:rPr>
                <w:snapToGrid/>
                <w:sz w:val="20"/>
                <w:lang w:val="fr-FR"/>
              </w:rPr>
              <w:t>/</w:t>
            </w:r>
            <w:r>
              <w:rPr>
                <w:snapToGrid/>
                <w:sz w:val="20"/>
                <w:lang w:val="fr-FR"/>
              </w:rPr>
              <w:t>美元</w:t>
            </w:r>
            <w:r>
              <w:rPr>
                <w:snapToGrid/>
                <w:sz w:val="20"/>
                <w:lang w:val="fr-FR"/>
              </w:rPr>
              <w:t>)</w:t>
            </w:r>
          </w:p>
        </w:tc>
      </w:tr>
      <w:tr w:rsidR="00000000">
        <w:tblPrEx>
          <w:tblCellMar>
            <w:top w:w="0" w:type="dxa"/>
            <w:bottom w:w="0" w:type="dxa"/>
          </w:tblCellMar>
        </w:tblPrEx>
        <w:tc>
          <w:tcPr>
            <w:tcW w:w="3770" w:type="dxa"/>
            <w:tcBorders>
              <w:bottom w:val="nil"/>
            </w:tcBorders>
          </w:tcPr>
          <w:p w:rsidR="00000000" w:rsidRDefault="009C1C61">
            <w:pPr>
              <w:pStyle w:val="a2"/>
              <w:rPr>
                <w:rFonts w:hint="eastAsia"/>
                <w:snapToGrid/>
                <w:sz w:val="20"/>
              </w:rPr>
            </w:pPr>
            <w:r>
              <w:rPr>
                <w:rFonts w:hint="eastAsia"/>
                <w:snapToGrid/>
                <w:sz w:val="20"/>
              </w:rPr>
              <w:t>第一类：个人或集体申请。</w:t>
            </w:r>
          </w:p>
          <w:p w:rsidR="00000000" w:rsidRDefault="009C1C61">
            <w:pPr>
              <w:pStyle w:val="a2"/>
              <w:spacing w:after="120"/>
              <w:rPr>
                <w:snapToGrid/>
                <w:sz w:val="20"/>
              </w:rPr>
            </w:pPr>
            <w:r>
              <w:rPr>
                <w:rFonts w:hint="eastAsia"/>
                <w:snapToGrid/>
                <w:sz w:val="20"/>
              </w:rPr>
              <w:t>在自己的土地上建房或建造</w:t>
            </w:r>
            <w:r>
              <w:rPr>
                <w:snapToGrid/>
                <w:sz w:val="20"/>
              </w:rPr>
              <w:br/>
              <w:t xml:space="preserve">  </w:t>
            </w:r>
            <w:r>
              <w:rPr>
                <w:rFonts w:hint="eastAsia"/>
                <w:snapToGrid/>
                <w:sz w:val="20"/>
              </w:rPr>
              <w:t>有权使</w:t>
            </w:r>
            <w:r>
              <w:rPr>
                <w:rFonts w:hint="eastAsia"/>
                <w:snapToGrid/>
                <w:color w:val="000000"/>
                <w:sz w:val="20"/>
              </w:rPr>
              <w:t>用的住</w:t>
            </w:r>
            <w:r>
              <w:rPr>
                <w:rFonts w:hint="eastAsia"/>
                <w:snapToGrid/>
                <w:sz w:val="20"/>
              </w:rPr>
              <w:t>房</w:t>
            </w:r>
          </w:p>
        </w:tc>
        <w:tc>
          <w:tcPr>
            <w:tcW w:w="2990" w:type="dxa"/>
            <w:tcBorders>
              <w:bottom w:val="nil"/>
            </w:tcBorders>
          </w:tcPr>
          <w:p w:rsidR="00000000" w:rsidRDefault="009C1C61">
            <w:pPr>
              <w:pStyle w:val="a2"/>
              <w:jc w:val="center"/>
              <w:rPr>
                <w:snapToGrid/>
                <w:sz w:val="20"/>
              </w:rPr>
            </w:pPr>
          </w:p>
          <w:p w:rsidR="00000000" w:rsidRDefault="009C1C61">
            <w:pPr>
              <w:pStyle w:val="a2"/>
              <w:jc w:val="center"/>
              <w:rPr>
                <w:snapToGrid/>
                <w:sz w:val="20"/>
              </w:rPr>
            </w:pPr>
          </w:p>
          <w:p w:rsidR="00000000" w:rsidRDefault="009C1C61">
            <w:pPr>
              <w:pStyle w:val="a2"/>
              <w:jc w:val="center"/>
              <w:rPr>
                <w:snapToGrid/>
                <w:sz w:val="20"/>
              </w:rPr>
            </w:pPr>
            <w:r>
              <w:rPr>
                <w:snapToGrid/>
                <w:sz w:val="20"/>
              </w:rPr>
              <w:t>150-</w:t>
            </w:r>
            <w:r>
              <w:rPr>
                <w:snapToGrid/>
                <w:sz w:val="20"/>
              </w:rPr>
              <w:t>300</w:t>
            </w:r>
            <w:r>
              <w:rPr>
                <w:rFonts w:hint="eastAsia"/>
                <w:snapToGrid/>
                <w:sz w:val="20"/>
              </w:rPr>
              <w:t xml:space="preserve"> </w:t>
            </w:r>
            <w:r>
              <w:rPr>
                <w:snapToGrid/>
                <w:sz w:val="20"/>
              </w:rPr>
              <w:t>(3,578-3,816)</w:t>
            </w:r>
          </w:p>
        </w:tc>
        <w:tc>
          <w:tcPr>
            <w:tcW w:w="2730" w:type="dxa"/>
            <w:tcBorders>
              <w:bottom w:val="nil"/>
            </w:tcBorders>
          </w:tcPr>
          <w:p w:rsidR="00000000" w:rsidRDefault="009C1C61">
            <w:pPr>
              <w:pStyle w:val="a2"/>
              <w:jc w:val="center"/>
              <w:rPr>
                <w:snapToGrid/>
                <w:sz w:val="20"/>
              </w:rPr>
            </w:pPr>
          </w:p>
          <w:p w:rsidR="00000000" w:rsidRDefault="009C1C61">
            <w:pPr>
              <w:pStyle w:val="a2"/>
              <w:jc w:val="center"/>
              <w:rPr>
                <w:snapToGrid/>
                <w:sz w:val="20"/>
              </w:rPr>
            </w:pPr>
          </w:p>
          <w:p w:rsidR="00000000" w:rsidRDefault="009C1C61">
            <w:pPr>
              <w:pStyle w:val="a2"/>
              <w:jc w:val="center"/>
              <w:rPr>
                <w:snapToGrid/>
                <w:sz w:val="20"/>
              </w:rPr>
            </w:pPr>
            <w:r>
              <w:rPr>
                <w:snapToGrid/>
                <w:sz w:val="20"/>
              </w:rPr>
              <w:t>5 (119)</w:t>
            </w:r>
          </w:p>
        </w:tc>
      </w:tr>
      <w:tr w:rsidR="00000000">
        <w:tblPrEx>
          <w:tblCellMar>
            <w:top w:w="0" w:type="dxa"/>
            <w:bottom w:w="0" w:type="dxa"/>
          </w:tblCellMar>
        </w:tblPrEx>
        <w:tc>
          <w:tcPr>
            <w:tcW w:w="3770" w:type="dxa"/>
            <w:tcBorders>
              <w:top w:val="nil"/>
              <w:bottom w:val="nil"/>
            </w:tcBorders>
          </w:tcPr>
          <w:p w:rsidR="00000000" w:rsidRDefault="009C1C61">
            <w:pPr>
              <w:pStyle w:val="a2"/>
              <w:rPr>
                <w:rFonts w:hint="eastAsia"/>
                <w:snapToGrid/>
                <w:spacing w:val="0"/>
                <w:sz w:val="20"/>
              </w:rPr>
            </w:pPr>
            <w:r>
              <w:rPr>
                <w:rFonts w:hint="eastAsia"/>
                <w:snapToGrid/>
                <w:spacing w:val="0"/>
                <w:sz w:val="20"/>
              </w:rPr>
              <w:t>第二类</w:t>
            </w:r>
            <w:r>
              <w:rPr>
                <w:snapToGrid/>
                <w:spacing w:val="0"/>
                <w:sz w:val="20"/>
              </w:rPr>
              <w:t>：</w:t>
            </w:r>
            <w:r>
              <w:rPr>
                <w:rFonts w:hint="eastAsia"/>
                <w:snapToGrid/>
                <w:spacing w:val="0"/>
                <w:sz w:val="20"/>
              </w:rPr>
              <w:t>个人或集体</w:t>
            </w:r>
            <w:r>
              <w:rPr>
                <w:rFonts w:hint="eastAsia"/>
                <w:snapToGrid/>
                <w:spacing w:val="0"/>
                <w:sz w:val="20"/>
              </w:rPr>
              <w:t>(50</w:t>
            </w:r>
            <w:r>
              <w:rPr>
                <w:rFonts w:hint="eastAsia"/>
                <w:snapToGrid/>
                <w:spacing w:val="0"/>
                <w:sz w:val="20"/>
              </w:rPr>
              <w:t>人以上</w:t>
            </w:r>
            <w:r>
              <w:rPr>
                <w:rFonts w:hint="eastAsia"/>
                <w:snapToGrid/>
                <w:spacing w:val="0"/>
                <w:sz w:val="20"/>
              </w:rPr>
              <w:t>)</w:t>
            </w:r>
            <w:r>
              <w:rPr>
                <w:rFonts w:hint="eastAsia"/>
                <w:snapToGrid/>
                <w:spacing w:val="0"/>
                <w:sz w:val="20"/>
              </w:rPr>
              <w:t>申请。</w:t>
            </w:r>
          </w:p>
          <w:p w:rsidR="00000000" w:rsidRDefault="009C1C61">
            <w:pPr>
              <w:pStyle w:val="a2"/>
              <w:spacing w:after="120"/>
              <w:rPr>
                <w:rFonts w:hint="eastAsia"/>
                <w:snapToGrid/>
                <w:sz w:val="20"/>
              </w:rPr>
            </w:pPr>
            <w:r>
              <w:rPr>
                <w:rFonts w:hint="eastAsia"/>
                <w:snapToGrid/>
                <w:sz w:val="20"/>
              </w:rPr>
              <w:t>在城镇购房或建房。</w:t>
            </w:r>
          </w:p>
        </w:tc>
        <w:tc>
          <w:tcPr>
            <w:tcW w:w="2990" w:type="dxa"/>
            <w:tcBorders>
              <w:top w:val="nil"/>
              <w:bottom w:val="nil"/>
            </w:tcBorders>
          </w:tcPr>
          <w:p w:rsidR="00000000" w:rsidRDefault="009C1C61">
            <w:pPr>
              <w:pStyle w:val="a2"/>
              <w:jc w:val="center"/>
              <w:rPr>
                <w:snapToGrid/>
                <w:sz w:val="20"/>
              </w:rPr>
            </w:pPr>
          </w:p>
          <w:p w:rsidR="00000000" w:rsidRDefault="009C1C61">
            <w:pPr>
              <w:pStyle w:val="a2"/>
              <w:jc w:val="center"/>
              <w:rPr>
                <w:snapToGrid/>
                <w:sz w:val="20"/>
              </w:rPr>
            </w:pPr>
            <w:r>
              <w:rPr>
                <w:snapToGrid/>
                <w:sz w:val="20"/>
              </w:rPr>
              <w:t>200-180 (4,470-4,293)</w:t>
            </w:r>
          </w:p>
        </w:tc>
        <w:tc>
          <w:tcPr>
            <w:tcW w:w="2730" w:type="dxa"/>
            <w:tcBorders>
              <w:top w:val="nil"/>
              <w:bottom w:val="nil"/>
            </w:tcBorders>
          </w:tcPr>
          <w:p w:rsidR="00000000" w:rsidRDefault="009C1C61">
            <w:pPr>
              <w:pStyle w:val="a2"/>
              <w:jc w:val="center"/>
              <w:rPr>
                <w:snapToGrid/>
                <w:sz w:val="20"/>
              </w:rPr>
            </w:pPr>
          </w:p>
          <w:p w:rsidR="00000000" w:rsidRDefault="009C1C61">
            <w:pPr>
              <w:pStyle w:val="a2"/>
              <w:jc w:val="center"/>
              <w:rPr>
                <w:snapToGrid/>
                <w:sz w:val="20"/>
              </w:rPr>
            </w:pPr>
            <w:r>
              <w:rPr>
                <w:snapToGrid/>
                <w:sz w:val="20"/>
              </w:rPr>
              <w:t>10 (238)</w:t>
            </w:r>
          </w:p>
        </w:tc>
      </w:tr>
      <w:tr w:rsidR="00000000">
        <w:tblPrEx>
          <w:tblCellMar>
            <w:top w:w="0" w:type="dxa"/>
            <w:bottom w:w="0" w:type="dxa"/>
          </w:tblCellMar>
        </w:tblPrEx>
        <w:tc>
          <w:tcPr>
            <w:tcW w:w="3770" w:type="dxa"/>
            <w:tcBorders>
              <w:top w:val="nil"/>
            </w:tcBorders>
          </w:tcPr>
          <w:p w:rsidR="00000000" w:rsidRDefault="009C1C61">
            <w:pPr>
              <w:pStyle w:val="a2"/>
              <w:rPr>
                <w:rFonts w:hint="eastAsia"/>
                <w:snapToGrid/>
                <w:sz w:val="20"/>
              </w:rPr>
            </w:pPr>
            <w:r>
              <w:rPr>
                <w:rFonts w:hint="eastAsia"/>
                <w:snapToGrid/>
                <w:sz w:val="20"/>
              </w:rPr>
              <w:t>第三类：集体申请。</w:t>
            </w:r>
          </w:p>
          <w:p w:rsidR="00000000" w:rsidRDefault="009C1C61">
            <w:pPr>
              <w:pStyle w:val="a2"/>
              <w:spacing w:after="120"/>
              <w:rPr>
                <w:snapToGrid/>
                <w:sz w:val="20"/>
              </w:rPr>
            </w:pPr>
            <w:r>
              <w:rPr>
                <w:rFonts w:hint="eastAsia"/>
                <w:snapToGrid/>
                <w:sz w:val="20"/>
              </w:rPr>
              <w:t>现有住房修建卫生设施。</w:t>
            </w:r>
          </w:p>
        </w:tc>
        <w:tc>
          <w:tcPr>
            <w:tcW w:w="2990" w:type="dxa"/>
            <w:tcBorders>
              <w:top w:val="nil"/>
            </w:tcBorders>
          </w:tcPr>
          <w:p w:rsidR="00000000" w:rsidRDefault="009C1C61">
            <w:pPr>
              <w:pStyle w:val="a2"/>
              <w:jc w:val="center"/>
              <w:rPr>
                <w:snapToGrid/>
                <w:sz w:val="20"/>
              </w:rPr>
            </w:pPr>
          </w:p>
          <w:p w:rsidR="00000000" w:rsidRDefault="009C1C61">
            <w:pPr>
              <w:pStyle w:val="a2"/>
              <w:jc w:val="center"/>
              <w:rPr>
                <w:snapToGrid/>
                <w:sz w:val="20"/>
              </w:rPr>
            </w:pPr>
            <w:r>
              <w:rPr>
                <w:snapToGrid/>
                <w:sz w:val="20"/>
              </w:rPr>
              <w:t>70-50 (1,669-1,192)</w:t>
            </w:r>
          </w:p>
        </w:tc>
        <w:tc>
          <w:tcPr>
            <w:tcW w:w="2730" w:type="dxa"/>
            <w:tcBorders>
              <w:top w:val="nil"/>
            </w:tcBorders>
          </w:tcPr>
          <w:p w:rsidR="00000000" w:rsidRDefault="009C1C61">
            <w:pPr>
              <w:pStyle w:val="a2"/>
              <w:jc w:val="center"/>
              <w:rPr>
                <w:snapToGrid/>
                <w:sz w:val="20"/>
              </w:rPr>
            </w:pPr>
          </w:p>
          <w:p w:rsidR="00000000" w:rsidRDefault="009C1C61">
            <w:pPr>
              <w:pStyle w:val="a2"/>
              <w:jc w:val="center"/>
              <w:rPr>
                <w:snapToGrid/>
                <w:sz w:val="20"/>
              </w:rPr>
            </w:pPr>
            <w:r>
              <w:rPr>
                <w:snapToGrid/>
                <w:sz w:val="20"/>
              </w:rPr>
              <w:t>3</w:t>
            </w:r>
            <w:r>
              <w:rPr>
                <w:rFonts w:hint="eastAsia"/>
                <w:snapToGrid/>
                <w:sz w:val="20"/>
              </w:rPr>
              <w:t xml:space="preserve"> </w:t>
            </w:r>
            <w:r>
              <w:rPr>
                <w:snapToGrid/>
                <w:sz w:val="20"/>
              </w:rPr>
              <w:t>(71)</w:t>
            </w:r>
          </w:p>
        </w:tc>
      </w:tr>
    </w:tbl>
    <w:p w:rsidR="00000000" w:rsidRDefault="009C1C61">
      <w:pPr>
        <w:pStyle w:val="Heading4"/>
        <w:spacing w:before="240"/>
        <w:rPr>
          <w:rFonts w:ascii="Time New Roman" w:eastAsia="SimHei" w:hAnsi="Time New Roman"/>
          <w:u w:val="none"/>
        </w:rPr>
      </w:pPr>
      <w:r>
        <w:rPr>
          <w:rFonts w:ascii="Time New Roman" w:eastAsia="SimHei" w:hAnsi="Time New Roman" w:hint="eastAsia"/>
          <w:u w:val="none"/>
        </w:rPr>
        <w:t>一般住房补贴综合计划</w:t>
      </w:r>
    </w:p>
    <w:p w:rsidR="00000000" w:rsidRDefault="009C1C61">
      <w:pPr>
        <w:spacing w:after="240"/>
        <w:rPr>
          <w:rFonts w:hint="eastAsia"/>
          <w:snapToGrid/>
        </w:rPr>
      </w:pPr>
      <w:r>
        <w:rPr>
          <w:snapToGrid/>
        </w:rPr>
        <w:tab/>
        <w:t xml:space="preserve">597.  </w:t>
      </w:r>
      <w:r>
        <w:rPr>
          <w:rFonts w:hint="eastAsia"/>
          <w:snapToGrid/>
        </w:rPr>
        <w:t>这种办法发放一种补贴证书，可用以为购买和建造各种价格档次的住房提供资金。</w:t>
      </w:r>
      <w:r>
        <w:rPr>
          <w:rStyle w:val="FootnoteReference"/>
          <w:bCs/>
          <w:snapToGrid/>
        </w:rPr>
        <w:footnoteReference w:id="276"/>
      </w:r>
      <w:r>
        <w:rPr>
          <w:bCs/>
          <w:snapToGrid/>
          <w:vertAlign w:val="superscript"/>
        </w:rPr>
        <w:t xml:space="preserve"> </w:t>
      </w:r>
      <w:r>
        <w:rPr>
          <w:rFonts w:hint="eastAsia"/>
          <w:snapToGrid/>
        </w:rPr>
        <w:t>补贴对象是平均收入为</w:t>
      </w:r>
      <w:r>
        <w:rPr>
          <w:snapToGrid/>
        </w:rPr>
        <w:t>18</w:t>
      </w:r>
      <w:r>
        <w:rPr>
          <w:rFonts w:hint="eastAsia"/>
          <w:snapToGrid/>
        </w:rPr>
        <w:t>个</w:t>
      </w:r>
      <w:r>
        <w:rPr>
          <w:snapToGrid/>
        </w:rPr>
        <w:t>调值单位</w:t>
      </w:r>
      <w:r>
        <w:rPr>
          <w:snapToGrid/>
        </w:rPr>
        <w:t>(429</w:t>
      </w:r>
      <w:r>
        <w:rPr>
          <w:rFonts w:hint="eastAsia"/>
          <w:snapToGrid/>
        </w:rPr>
        <w:t>美元</w:t>
      </w:r>
      <w:r>
        <w:rPr>
          <w:snapToGrid/>
        </w:rPr>
        <w:t>)</w:t>
      </w:r>
      <w:r>
        <w:rPr>
          <w:rFonts w:hint="eastAsia"/>
          <w:snapToGrid/>
        </w:rPr>
        <w:t>的居民户和有组织群体，大部分资源都用在了收入为</w:t>
      </w:r>
      <w:r>
        <w:rPr>
          <w:snapToGrid/>
        </w:rPr>
        <w:t>18</w:t>
      </w:r>
      <w:r>
        <w:rPr>
          <w:rFonts w:hint="eastAsia"/>
          <w:snapToGrid/>
        </w:rPr>
        <w:t>至</w:t>
      </w:r>
      <w:r>
        <w:rPr>
          <w:snapToGrid/>
        </w:rPr>
        <w:t>20</w:t>
      </w:r>
      <w:r>
        <w:rPr>
          <w:rFonts w:hint="eastAsia"/>
          <w:snapToGrid/>
        </w:rPr>
        <w:t>个</w:t>
      </w:r>
      <w:r>
        <w:rPr>
          <w:snapToGrid/>
        </w:rPr>
        <w:t>调值</w:t>
      </w:r>
      <w:r>
        <w:rPr>
          <w:snapToGrid/>
        </w:rPr>
        <w:t>单位</w:t>
      </w:r>
      <w:r>
        <w:rPr>
          <w:snapToGrid/>
        </w:rPr>
        <w:t>(429</w:t>
      </w:r>
      <w:r>
        <w:rPr>
          <w:rFonts w:hint="eastAsia"/>
          <w:snapToGrid/>
        </w:rPr>
        <w:t>至</w:t>
      </w:r>
      <w:r>
        <w:rPr>
          <w:snapToGrid/>
        </w:rPr>
        <w:t>477</w:t>
      </w:r>
      <w:r>
        <w:rPr>
          <w:snapToGrid/>
        </w:rPr>
        <w:t>美元</w:t>
      </w:r>
      <w:r>
        <w:rPr>
          <w:snapToGrid/>
        </w:rPr>
        <w:t>)</w:t>
      </w:r>
      <w:r>
        <w:rPr>
          <w:rFonts w:hint="eastAsia"/>
          <w:snapToGrid/>
        </w:rPr>
        <w:t>的居民户和有组织群体。为了筹措住房款，受益者必须有住房补贴、存款和从私营部门获得的抵押贷款。相对不同房屋价格档次适用下列补贴和</w:t>
      </w:r>
      <w:r>
        <w:rPr>
          <w:snapToGrid/>
        </w:rPr>
        <w:t>最低</w:t>
      </w:r>
      <w:r>
        <w:rPr>
          <w:rFonts w:hint="eastAsia"/>
          <w:snapToGrid/>
        </w:rPr>
        <w:t>存款要求：</w:t>
      </w:r>
    </w:p>
    <w:tbl>
      <w:tblPr>
        <w:tblW w:w="9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0"/>
        <w:gridCol w:w="2990"/>
        <w:gridCol w:w="2730"/>
      </w:tblGrid>
      <w:tr w:rsidR="00000000">
        <w:tblPrEx>
          <w:tblCellMar>
            <w:top w:w="0" w:type="dxa"/>
            <w:bottom w:w="0" w:type="dxa"/>
          </w:tblCellMar>
        </w:tblPrEx>
        <w:tc>
          <w:tcPr>
            <w:tcW w:w="3770" w:type="dxa"/>
            <w:tcBorders>
              <w:bottom w:val="single" w:sz="4" w:space="0" w:color="auto"/>
            </w:tcBorders>
          </w:tcPr>
          <w:p w:rsidR="00000000" w:rsidRDefault="009C1C61">
            <w:pPr>
              <w:pStyle w:val="a2"/>
              <w:jc w:val="center"/>
              <w:rPr>
                <w:rFonts w:hint="eastAsia"/>
                <w:snapToGrid/>
                <w:sz w:val="20"/>
              </w:rPr>
            </w:pPr>
            <w:r>
              <w:rPr>
                <w:snapToGrid/>
                <w:sz w:val="20"/>
              </w:rPr>
              <w:br w:type="page"/>
            </w:r>
            <w:r>
              <w:rPr>
                <w:rFonts w:hint="eastAsia"/>
                <w:snapToGrid/>
                <w:sz w:val="20"/>
              </w:rPr>
              <w:t>房屋价格档次</w:t>
            </w:r>
          </w:p>
        </w:tc>
        <w:tc>
          <w:tcPr>
            <w:tcW w:w="2990" w:type="dxa"/>
            <w:tcBorders>
              <w:bottom w:val="single" w:sz="4" w:space="0" w:color="auto"/>
            </w:tcBorders>
          </w:tcPr>
          <w:p w:rsidR="00000000" w:rsidRDefault="009C1C61">
            <w:pPr>
              <w:pStyle w:val="a2"/>
              <w:jc w:val="center"/>
              <w:rPr>
                <w:snapToGrid/>
                <w:sz w:val="20"/>
              </w:rPr>
            </w:pPr>
            <w:r>
              <w:rPr>
                <w:rFonts w:hint="eastAsia"/>
                <w:snapToGrid/>
                <w:sz w:val="20"/>
              </w:rPr>
              <w:t>补贴金额</w:t>
            </w:r>
          </w:p>
          <w:p w:rsidR="00000000" w:rsidRDefault="009C1C61">
            <w:pPr>
              <w:pStyle w:val="a2"/>
              <w:jc w:val="center"/>
              <w:rPr>
                <w:snapToGrid/>
                <w:sz w:val="20"/>
              </w:rPr>
            </w:pPr>
            <w:r>
              <w:rPr>
                <w:snapToGrid/>
                <w:sz w:val="20"/>
              </w:rPr>
              <w:t>(</w:t>
            </w:r>
            <w:r>
              <w:rPr>
                <w:snapToGrid/>
                <w:sz w:val="20"/>
              </w:rPr>
              <w:t>调值单位</w:t>
            </w:r>
            <w:r>
              <w:rPr>
                <w:snapToGrid/>
                <w:sz w:val="20"/>
              </w:rPr>
              <w:t>/</w:t>
            </w:r>
            <w:r>
              <w:rPr>
                <w:snapToGrid/>
                <w:sz w:val="20"/>
                <w:lang w:val="en-GB"/>
              </w:rPr>
              <w:t>美元</w:t>
            </w:r>
            <w:r>
              <w:rPr>
                <w:snapToGrid/>
                <w:sz w:val="20"/>
              </w:rPr>
              <w:t>)</w:t>
            </w:r>
          </w:p>
        </w:tc>
        <w:tc>
          <w:tcPr>
            <w:tcW w:w="2730" w:type="dxa"/>
            <w:tcBorders>
              <w:bottom w:val="single" w:sz="4" w:space="0" w:color="auto"/>
            </w:tcBorders>
          </w:tcPr>
          <w:p w:rsidR="00000000" w:rsidRDefault="009C1C61">
            <w:pPr>
              <w:pStyle w:val="a2"/>
              <w:jc w:val="center"/>
              <w:rPr>
                <w:snapToGrid/>
                <w:sz w:val="20"/>
                <w:lang w:val="fr-FR"/>
              </w:rPr>
            </w:pPr>
            <w:r>
              <w:rPr>
                <w:snapToGrid/>
                <w:sz w:val="20"/>
                <w:lang w:val="fr-FR"/>
              </w:rPr>
              <w:t>最低</w:t>
            </w:r>
            <w:r>
              <w:rPr>
                <w:rFonts w:hint="eastAsia"/>
                <w:snapToGrid/>
                <w:sz w:val="20"/>
                <w:lang w:val="fr-FR"/>
              </w:rPr>
              <w:t>存款</w:t>
            </w:r>
          </w:p>
          <w:p w:rsidR="00000000" w:rsidRDefault="009C1C61">
            <w:pPr>
              <w:pStyle w:val="a2"/>
              <w:jc w:val="center"/>
              <w:rPr>
                <w:snapToGrid/>
                <w:sz w:val="20"/>
                <w:lang w:val="fr-FR"/>
              </w:rPr>
            </w:pPr>
            <w:r>
              <w:rPr>
                <w:snapToGrid/>
                <w:sz w:val="20"/>
                <w:lang w:val="fr-FR"/>
              </w:rPr>
              <w:t>(</w:t>
            </w:r>
            <w:r>
              <w:rPr>
                <w:snapToGrid/>
                <w:sz w:val="20"/>
                <w:lang w:val="fr-FR"/>
              </w:rPr>
              <w:t>调值单位</w:t>
            </w:r>
            <w:r>
              <w:rPr>
                <w:snapToGrid/>
                <w:sz w:val="20"/>
                <w:lang w:val="fr-FR"/>
              </w:rPr>
              <w:t>/</w:t>
            </w:r>
            <w:r>
              <w:rPr>
                <w:snapToGrid/>
                <w:sz w:val="20"/>
                <w:lang w:val="fr-FR"/>
              </w:rPr>
              <w:t>美元</w:t>
            </w:r>
            <w:r>
              <w:rPr>
                <w:snapToGrid/>
                <w:sz w:val="20"/>
                <w:lang w:val="fr-FR"/>
              </w:rPr>
              <w:t>)</w:t>
            </w:r>
          </w:p>
        </w:tc>
      </w:tr>
      <w:tr w:rsidR="00000000">
        <w:tblPrEx>
          <w:tblCellMar>
            <w:top w:w="0" w:type="dxa"/>
            <w:bottom w:w="0" w:type="dxa"/>
          </w:tblCellMar>
        </w:tblPrEx>
        <w:tc>
          <w:tcPr>
            <w:tcW w:w="3770" w:type="dxa"/>
            <w:tcBorders>
              <w:bottom w:val="nil"/>
            </w:tcBorders>
          </w:tcPr>
          <w:p w:rsidR="00000000" w:rsidRDefault="009C1C61">
            <w:pPr>
              <w:pStyle w:val="a2"/>
              <w:rPr>
                <w:rFonts w:hint="eastAsia"/>
                <w:snapToGrid/>
                <w:sz w:val="20"/>
              </w:rPr>
            </w:pPr>
            <w:r>
              <w:rPr>
                <w:snapToGrid/>
                <w:sz w:val="20"/>
              </w:rPr>
              <w:t>500</w:t>
            </w:r>
            <w:r>
              <w:rPr>
                <w:rFonts w:hint="eastAsia"/>
                <w:snapToGrid/>
                <w:sz w:val="20"/>
              </w:rPr>
              <w:t>个</w:t>
            </w:r>
            <w:r>
              <w:rPr>
                <w:snapToGrid/>
                <w:sz w:val="20"/>
              </w:rPr>
              <w:t>调值单位</w:t>
            </w:r>
            <w:r>
              <w:rPr>
                <w:snapToGrid/>
                <w:sz w:val="20"/>
              </w:rPr>
              <w:t>(11,192)</w:t>
            </w:r>
            <w:r>
              <w:rPr>
                <w:rFonts w:hint="eastAsia"/>
                <w:snapToGrid/>
                <w:sz w:val="20"/>
              </w:rPr>
              <w:t>以下</w:t>
            </w:r>
          </w:p>
        </w:tc>
        <w:tc>
          <w:tcPr>
            <w:tcW w:w="2990" w:type="dxa"/>
            <w:tcBorders>
              <w:bottom w:val="nil"/>
            </w:tcBorders>
          </w:tcPr>
          <w:p w:rsidR="00000000" w:rsidRDefault="009C1C61">
            <w:pPr>
              <w:pStyle w:val="a2"/>
              <w:ind w:right="113"/>
              <w:jc w:val="right"/>
              <w:rPr>
                <w:snapToGrid/>
                <w:sz w:val="20"/>
              </w:rPr>
            </w:pPr>
            <w:r>
              <w:rPr>
                <w:snapToGrid/>
                <w:sz w:val="20"/>
              </w:rPr>
              <w:t xml:space="preserve">120-110-100 </w:t>
            </w:r>
          </w:p>
          <w:p w:rsidR="00000000" w:rsidRDefault="009C1C61">
            <w:pPr>
              <w:pStyle w:val="a2"/>
              <w:ind w:right="113"/>
              <w:jc w:val="right"/>
              <w:rPr>
                <w:snapToGrid/>
                <w:sz w:val="20"/>
              </w:rPr>
            </w:pPr>
            <w:r>
              <w:rPr>
                <w:snapToGrid/>
                <w:sz w:val="20"/>
              </w:rPr>
              <w:t>(2,862–2,623–2,385)</w:t>
            </w:r>
          </w:p>
        </w:tc>
        <w:tc>
          <w:tcPr>
            <w:tcW w:w="2730" w:type="dxa"/>
            <w:tcBorders>
              <w:bottom w:val="nil"/>
            </w:tcBorders>
          </w:tcPr>
          <w:p w:rsidR="00000000" w:rsidRDefault="009C1C61">
            <w:pPr>
              <w:pStyle w:val="a2"/>
              <w:ind w:right="113"/>
              <w:jc w:val="right"/>
              <w:rPr>
                <w:snapToGrid/>
                <w:sz w:val="20"/>
              </w:rPr>
            </w:pPr>
            <w:r>
              <w:rPr>
                <w:snapToGrid/>
                <w:sz w:val="20"/>
              </w:rPr>
              <w:t>50</w:t>
            </w:r>
          </w:p>
          <w:p w:rsidR="00000000" w:rsidRDefault="009C1C61">
            <w:pPr>
              <w:pStyle w:val="a2"/>
              <w:ind w:right="113"/>
              <w:jc w:val="right"/>
              <w:rPr>
                <w:snapToGrid/>
                <w:sz w:val="20"/>
              </w:rPr>
            </w:pPr>
            <w:r>
              <w:rPr>
                <w:snapToGrid/>
                <w:sz w:val="20"/>
              </w:rPr>
              <w:t>(1,192)</w:t>
            </w:r>
          </w:p>
        </w:tc>
      </w:tr>
      <w:tr w:rsidR="00000000">
        <w:tblPrEx>
          <w:tblCellMar>
            <w:top w:w="0" w:type="dxa"/>
            <w:bottom w:w="0" w:type="dxa"/>
          </w:tblCellMar>
        </w:tblPrEx>
        <w:tc>
          <w:tcPr>
            <w:tcW w:w="3770" w:type="dxa"/>
            <w:tcBorders>
              <w:top w:val="nil"/>
              <w:bottom w:val="nil"/>
            </w:tcBorders>
          </w:tcPr>
          <w:p w:rsidR="00000000" w:rsidRDefault="009C1C61">
            <w:pPr>
              <w:pStyle w:val="a2"/>
              <w:rPr>
                <w:snapToGrid/>
                <w:sz w:val="20"/>
              </w:rPr>
            </w:pPr>
            <w:r>
              <w:rPr>
                <w:snapToGrid/>
                <w:sz w:val="20"/>
              </w:rPr>
              <w:t>500</w:t>
            </w:r>
            <w:r>
              <w:rPr>
                <w:rFonts w:hint="eastAsia"/>
                <w:snapToGrid/>
                <w:sz w:val="20"/>
              </w:rPr>
              <w:t>至</w:t>
            </w:r>
            <w:r>
              <w:rPr>
                <w:snapToGrid/>
                <w:sz w:val="20"/>
              </w:rPr>
              <w:t>1,000</w:t>
            </w:r>
            <w:r>
              <w:rPr>
                <w:rFonts w:hint="eastAsia"/>
                <w:snapToGrid/>
                <w:sz w:val="20"/>
              </w:rPr>
              <w:t>个</w:t>
            </w:r>
            <w:r>
              <w:rPr>
                <w:snapToGrid/>
                <w:sz w:val="20"/>
              </w:rPr>
              <w:t>调值单位</w:t>
            </w:r>
          </w:p>
          <w:p w:rsidR="00000000" w:rsidRDefault="009C1C61">
            <w:pPr>
              <w:pStyle w:val="a2"/>
              <w:rPr>
                <w:snapToGrid/>
                <w:sz w:val="20"/>
              </w:rPr>
            </w:pPr>
            <w:r>
              <w:rPr>
                <w:snapToGrid/>
                <w:sz w:val="20"/>
              </w:rPr>
              <w:t>(11,192-22,385)</w:t>
            </w:r>
          </w:p>
        </w:tc>
        <w:tc>
          <w:tcPr>
            <w:tcW w:w="2990" w:type="dxa"/>
            <w:tcBorders>
              <w:top w:val="nil"/>
              <w:bottom w:val="nil"/>
            </w:tcBorders>
          </w:tcPr>
          <w:p w:rsidR="00000000" w:rsidRDefault="009C1C61">
            <w:pPr>
              <w:pStyle w:val="a2"/>
              <w:ind w:right="113"/>
              <w:jc w:val="right"/>
              <w:rPr>
                <w:snapToGrid/>
                <w:sz w:val="20"/>
              </w:rPr>
            </w:pPr>
            <w:r>
              <w:rPr>
                <w:snapToGrid/>
                <w:sz w:val="20"/>
              </w:rPr>
              <w:t xml:space="preserve">100-90-80 </w:t>
            </w:r>
          </w:p>
          <w:p w:rsidR="00000000" w:rsidRDefault="009C1C61">
            <w:pPr>
              <w:pStyle w:val="a2"/>
              <w:ind w:right="113"/>
              <w:jc w:val="right"/>
              <w:rPr>
                <w:snapToGrid/>
                <w:sz w:val="20"/>
              </w:rPr>
            </w:pPr>
            <w:r>
              <w:rPr>
                <w:snapToGrid/>
                <w:sz w:val="20"/>
              </w:rPr>
              <w:t>(2,385-2,146-1,908)</w:t>
            </w:r>
          </w:p>
        </w:tc>
        <w:tc>
          <w:tcPr>
            <w:tcW w:w="2730" w:type="dxa"/>
            <w:tcBorders>
              <w:top w:val="nil"/>
              <w:bottom w:val="nil"/>
            </w:tcBorders>
          </w:tcPr>
          <w:p w:rsidR="00000000" w:rsidRDefault="009C1C61">
            <w:pPr>
              <w:pStyle w:val="a2"/>
              <w:ind w:right="113"/>
              <w:jc w:val="right"/>
              <w:rPr>
                <w:snapToGrid/>
                <w:sz w:val="20"/>
              </w:rPr>
            </w:pPr>
            <w:r>
              <w:rPr>
                <w:snapToGrid/>
                <w:sz w:val="20"/>
              </w:rPr>
              <w:t>100</w:t>
            </w:r>
          </w:p>
          <w:p w:rsidR="00000000" w:rsidRDefault="009C1C61">
            <w:pPr>
              <w:pStyle w:val="a2"/>
              <w:ind w:right="113"/>
              <w:jc w:val="right"/>
              <w:rPr>
                <w:snapToGrid/>
                <w:sz w:val="20"/>
              </w:rPr>
            </w:pPr>
            <w:r>
              <w:rPr>
                <w:snapToGrid/>
                <w:sz w:val="20"/>
              </w:rPr>
              <w:t>(2,</w:t>
            </w:r>
            <w:r>
              <w:rPr>
                <w:snapToGrid/>
                <w:sz w:val="20"/>
              </w:rPr>
              <w:t>385)</w:t>
            </w:r>
          </w:p>
        </w:tc>
      </w:tr>
      <w:tr w:rsidR="00000000">
        <w:tblPrEx>
          <w:tblCellMar>
            <w:top w:w="0" w:type="dxa"/>
            <w:bottom w:w="0" w:type="dxa"/>
          </w:tblCellMar>
        </w:tblPrEx>
        <w:tc>
          <w:tcPr>
            <w:tcW w:w="3770" w:type="dxa"/>
            <w:tcBorders>
              <w:top w:val="nil"/>
              <w:bottom w:val="nil"/>
            </w:tcBorders>
          </w:tcPr>
          <w:p w:rsidR="00000000" w:rsidRDefault="009C1C61">
            <w:pPr>
              <w:pStyle w:val="a2"/>
              <w:rPr>
                <w:snapToGrid/>
                <w:sz w:val="20"/>
              </w:rPr>
            </w:pPr>
            <w:r>
              <w:rPr>
                <w:snapToGrid/>
                <w:sz w:val="20"/>
              </w:rPr>
              <w:t>1,000</w:t>
            </w:r>
            <w:r>
              <w:rPr>
                <w:rFonts w:hint="eastAsia"/>
                <w:snapToGrid/>
                <w:sz w:val="20"/>
              </w:rPr>
              <w:t>至</w:t>
            </w:r>
            <w:r>
              <w:rPr>
                <w:snapToGrid/>
                <w:sz w:val="20"/>
              </w:rPr>
              <w:t>1,500</w:t>
            </w:r>
            <w:r>
              <w:rPr>
                <w:rFonts w:hint="eastAsia"/>
                <w:snapToGrid/>
                <w:sz w:val="20"/>
              </w:rPr>
              <w:t>个</w:t>
            </w:r>
            <w:r>
              <w:rPr>
                <w:snapToGrid/>
                <w:sz w:val="20"/>
              </w:rPr>
              <w:t>调值单位</w:t>
            </w:r>
          </w:p>
          <w:p w:rsidR="00000000" w:rsidRDefault="009C1C61">
            <w:pPr>
              <w:pStyle w:val="a2"/>
              <w:rPr>
                <w:snapToGrid/>
                <w:sz w:val="20"/>
              </w:rPr>
            </w:pPr>
            <w:r>
              <w:rPr>
                <w:snapToGrid/>
                <w:sz w:val="20"/>
              </w:rPr>
              <w:t>(22,385-33,537)</w:t>
            </w:r>
          </w:p>
        </w:tc>
        <w:tc>
          <w:tcPr>
            <w:tcW w:w="2990" w:type="dxa"/>
            <w:tcBorders>
              <w:top w:val="nil"/>
              <w:bottom w:val="nil"/>
            </w:tcBorders>
          </w:tcPr>
          <w:p w:rsidR="00000000" w:rsidRDefault="009C1C61">
            <w:pPr>
              <w:pStyle w:val="a2"/>
              <w:ind w:right="113"/>
              <w:jc w:val="right"/>
              <w:rPr>
                <w:snapToGrid/>
                <w:sz w:val="20"/>
              </w:rPr>
            </w:pPr>
            <w:r>
              <w:rPr>
                <w:snapToGrid/>
                <w:sz w:val="20"/>
              </w:rPr>
              <w:t>80-70-60</w:t>
            </w:r>
          </w:p>
          <w:p w:rsidR="00000000" w:rsidRDefault="009C1C61">
            <w:pPr>
              <w:pStyle w:val="a2"/>
              <w:ind w:right="113"/>
              <w:jc w:val="right"/>
              <w:rPr>
                <w:snapToGrid/>
                <w:sz w:val="20"/>
              </w:rPr>
            </w:pPr>
            <w:r>
              <w:rPr>
                <w:snapToGrid/>
                <w:sz w:val="20"/>
              </w:rPr>
              <w:t>(1,908-1,669-1,431)</w:t>
            </w:r>
          </w:p>
        </w:tc>
        <w:tc>
          <w:tcPr>
            <w:tcW w:w="2730" w:type="dxa"/>
            <w:tcBorders>
              <w:top w:val="nil"/>
              <w:bottom w:val="nil"/>
            </w:tcBorders>
          </w:tcPr>
          <w:p w:rsidR="00000000" w:rsidRDefault="009C1C61">
            <w:pPr>
              <w:pStyle w:val="a2"/>
              <w:ind w:right="113"/>
              <w:jc w:val="right"/>
              <w:rPr>
                <w:snapToGrid/>
                <w:sz w:val="20"/>
              </w:rPr>
            </w:pPr>
            <w:r>
              <w:rPr>
                <w:snapToGrid/>
                <w:sz w:val="20"/>
              </w:rPr>
              <w:t>150</w:t>
            </w:r>
          </w:p>
          <w:p w:rsidR="00000000" w:rsidRDefault="009C1C61">
            <w:pPr>
              <w:pStyle w:val="a2"/>
              <w:ind w:right="113"/>
              <w:jc w:val="right"/>
              <w:rPr>
                <w:snapToGrid/>
                <w:sz w:val="20"/>
              </w:rPr>
            </w:pPr>
            <w:r>
              <w:rPr>
                <w:snapToGrid/>
                <w:sz w:val="20"/>
              </w:rPr>
              <w:t>(3,378)</w:t>
            </w:r>
          </w:p>
        </w:tc>
      </w:tr>
      <w:tr w:rsidR="00000000">
        <w:tblPrEx>
          <w:tblCellMar>
            <w:top w:w="0" w:type="dxa"/>
            <w:bottom w:w="0" w:type="dxa"/>
          </w:tblCellMar>
        </w:tblPrEx>
        <w:tc>
          <w:tcPr>
            <w:tcW w:w="3770" w:type="dxa"/>
            <w:tcBorders>
              <w:top w:val="nil"/>
            </w:tcBorders>
          </w:tcPr>
          <w:p w:rsidR="00000000" w:rsidRDefault="009C1C61">
            <w:pPr>
              <w:pStyle w:val="a2"/>
              <w:rPr>
                <w:snapToGrid/>
                <w:sz w:val="20"/>
              </w:rPr>
            </w:pPr>
            <w:r>
              <w:rPr>
                <w:rFonts w:hint="eastAsia"/>
                <w:snapToGrid/>
                <w:sz w:val="20"/>
              </w:rPr>
              <w:t>上述各个价格档次的城市改造</w:t>
            </w:r>
          </w:p>
        </w:tc>
        <w:tc>
          <w:tcPr>
            <w:tcW w:w="2990" w:type="dxa"/>
            <w:tcBorders>
              <w:top w:val="nil"/>
            </w:tcBorders>
          </w:tcPr>
          <w:p w:rsidR="00000000" w:rsidRDefault="009C1C61">
            <w:pPr>
              <w:pStyle w:val="a2"/>
              <w:ind w:right="113"/>
              <w:jc w:val="right"/>
              <w:rPr>
                <w:snapToGrid/>
                <w:sz w:val="20"/>
              </w:rPr>
            </w:pPr>
            <w:r>
              <w:rPr>
                <w:snapToGrid/>
                <w:sz w:val="20"/>
              </w:rPr>
              <w:t>200-190-180</w:t>
            </w:r>
          </w:p>
          <w:p w:rsidR="00000000" w:rsidRDefault="009C1C61">
            <w:pPr>
              <w:pStyle w:val="a2"/>
              <w:ind w:right="113"/>
              <w:jc w:val="right"/>
              <w:rPr>
                <w:snapToGrid/>
                <w:sz w:val="20"/>
              </w:rPr>
            </w:pPr>
            <w:r>
              <w:rPr>
                <w:snapToGrid/>
                <w:sz w:val="20"/>
              </w:rPr>
              <w:t>(4,770-4,532-4,293)</w:t>
            </w:r>
          </w:p>
        </w:tc>
        <w:tc>
          <w:tcPr>
            <w:tcW w:w="2730" w:type="dxa"/>
            <w:tcBorders>
              <w:top w:val="nil"/>
            </w:tcBorders>
          </w:tcPr>
          <w:p w:rsidR="00000000" w:rsidRDefault="009C1C61">
            <w:pPr>
              <w:pStyle w:val="a2"/>
              <w:ind w:right="113"/>
              <w:jc w:val="right"/>
              <w:rPr>
                <w:snapToGrid/>
                <w:sz w:val="20"/>
              </w:rPr>
            </w:pPr>
            <w:r>
              <w:rPr>
                <w:snapToGrid/>
                <w:sz w:val="20"/>
              </w:rPr>
              <w:t>50-100-150</w:t>
            </w:r>
          </w:p>
          <w:p w:rsidR="00000000" w:rsidRDefault="009C1C61">
            <w:pPr>
              <w:pStyle w:val="a2"/>
              <w:ind w:right="113"/>
              <w:jc w:val="right"/>
              <w:rPr>
                <w:snapToGrid/>
                <w:sz w:val="20"/>
              </w:rPr>
            </w:pPr>
            <w:r>
              <w:rPr>
                <w:snapToGrid/>
                <w:sz w:val="20"/>
              </w:rPr>
              <w:t>(1,192-2,385-3,578)</w:t>
            </w:r>
          </w:p>
        </w:tc>
      </w:tr>
    </w:tbl>
    <w:p w:rsidR="00000000" w:rsidRDefault="009C1C61">
      <w:pPr>
        <w:spacing w:before="240" w:after="240"/>
        <w:rPr>
          <w:snapToGrid/>
        </w:rPr>
      </w:pPr>
      <w:r>
        <w:rPr>
          <w:snapToGrid/>
        </w:rPr>
        <w:tab/>
        <w:t xml:space="preserve">598.  </w:t>
      </w:r>
      <w:r>
        <w:rPr>
          <w:rFonts w:hint="eastAsia"/>
          <w:snapToGrid/>
        </w:rPr>
        <w:t>虽然可以在私营金融市场上获得抵押贷款，可第一个住房价格档次则受住房与城规部、智利银行和爱德华银行协定的制约。此方案考虑到了不同运作办法，即一般申请</w:t>
      </w:r>
      <w:r>
        <w:rPr>
          <w:rFonts w:hint="eastAsia"/>
          <w:snapToGrid/>
        </w:rPr>
        <w:t>(</w:t>
      </w:r>
      <w:r>
        <w:rPr>
          <w:rFonts w:hint="eastAsia"/>
          <w:snapToGrid/>
        </w:rPr>
        <w:t>第一类</w:t>
      </w:r>
      <w:r>
        <w:rPr>
          <w:rFonts w:hint="eastAsia"/>
          <w:snapToGrid/>
        </w:rPr>
        <w:t>)</w:t>
      </w:r>
      <w:r>
        <w:rPr>
          <w:rFonts w:hint="eastAsia"/>
          <w:snapToGrid/>
        </w:rPr>
        <w:t>，有住房项目和土地所有权</w:t>
      </w:r>
      <w:r>
        <w:rPr>
          <w:rFonts w:hint="eastAsia"/>
          <w:snapToGrid/>
        </w:rPr>
        <w:t>的团体申请</w:t>
      </w:r>
      <w:r>
        <w:rPr>
          <w:rFonts w:hint="eastAsia"/>
          <w:snapToGrid/>
        </w:rPr>
        <w:t>(</w:t>
      </w:r>
      <w:r>
        <w:rPr>
          <w:rFonts w:hint="eastAsia"/>
          <w:snapToGrid/>
        </w:rPr>
        <w:t>第二类</w:t>
      </w:r>
      <w:r>
        <w:rPr>
          <w:rFonts w:hint="eastAsia"/>
          <w:snapToGrid/>
        </w:rPr>
        <w:t>)</w:t>
      </w:r>
      <w:r>
        <w:rPr>
          <w:rFonts w:hint="eastAsia"/>
          <w:snapToGrid/>
        </w:rPr>
        <w:t>和城市改造地区</w:t>
      </w:r>
      <w:r>
        <w:rPr>
          <w:rFonts w:hint="eastAsia"/>
          <w:snapToGrid/>
        </w:rPr>
        <w:t>(</w:t>
      </w:r>
      <w:r>
        <w:rPr>
          <w:rFonts w:hint="eastAsia"/>
          <w:snapToGrid/>
        </w:rPr>
        <w:t>第三类</w:t>
      </w:r>
      <w:r>
        <w:rPr>
          <w:rFonts w:hint="eastAsia"/>
          <w:snapToGrid/>
        </w:rPr>
        <w:t>)</w:t>
      </w:r>
      <w:r>
        <w:rPr>
          <w:rFonts w:hint="eastAsia"/>
          <w:snapToGrid/>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房屋租赁计划</w:t>
      </w:r>
    </w:p>
    <w:p w:rsidR="00000000" w:rsidRDefault="009C1C61">
      <w:pPr>
        <w:spacing w:after="240"/>
        <w:rPr>
          <w:rFonts w:hint="eastAsia"/>
          <w:snapToGrid/>
        </w:rPr>
      </w:pPr>
      <w:r>
        <w:rPr>
          <w:snapToGrid/>
        </w:rPr>
        <w:tab/>
        <w:t xml:space="preserve">599.  </w:t>
      </w:r>
      <w:r>
        <w:rPr>
          <w:rFonts w:hint="eastAsia"/>
          <w:snapToGrid/>
        </w:rPr>
        <w:t>为了增加建造租得起的房屋，自</w:t>
      </w:r>
      <w:r>
        <w:rPr>
          <w:rFonts w:hint="eastAsia"/>
          <w:snapToGrid/>
        </w:rPr>
        <w:t>1995</w:t>
      </w:r>
      <w:r>
        <w:rPr>
          <w:rFonts w:hint="eastAsia"/>
          <w:snapToGrid/>
        </w:rPr>
        <w:t>年以来，房屋租赁计划提供补贴，通过一种称作“以租代购”的办法，资助购房。</w:t>
      </w:r>
      <w:r>
        <w:rPr>
          <w:rStyle w:val="FootnoteReference"/>
          <w:snapToGrid/>
        </w:rPr>
        <w:footnoteReference w:id="277"/>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为开发未用、利用不足或未利用的土地而采取的措施</w:t>
      </w:r>
    </w:p>
    <w:p w:rsidR="00000000" w:rsidRDefault="009C1C61">
      <w:pPr>
        <w:rPr>
          <w:rFonts w:hint="eastAsia"/>
          <w:snapToGrid/>
        </w:rPr>
      </w:pPr>
      <w:r>
        <w:rPr>
          <w:snapToGrid/>
        </w:rPr>
        <w:tab/>
        <w:t xml:space="preserve">600.  </w:t>
      </w:r>
      <w:r>
        <w:rPr>
          <w:rFonts w:hint="eastAsia"/>
          <w:snapToGrid/>
        </w:rPr>
        <w:t>对智利各人口集中地区演变的分析发现，有一种区域扩展的增长趋势。这种情况已经造成本已稀少的资源利用效率不高，社会成本很高。城市运输系统正在趋于瘫痪，道路拥挤不堪，人口、尤其是较为穷困的人口都集中在城市远离服务设备的地区。这种情况，因为住房方案选在郊区这一趋势，因为</w:t>
      </w:r>
      <w:r>
        <w:rPr>
          <w:rFonts w:hint="eastAsia"/>
          <w:snapToGrid/>
        </w:rPr>
        <w:t>直接建筑成本下降，因为私营部门能够提供土地而更加复杂。</w:t>
      </w:r>
    </w:p>
    <w:p w:rsidR="00000000" w:rsidRDefault="009C1C61">
      <w:pPr>
        <w:rPr>
          <w:snapToGrid/>
        </w:rPr>
      </w:pPr>
      <w:r>
        <w:rPr>
          <w:snapToGrid/>
        </w:rPr>
        <w:tab/>
        <w:t xml:space="preserve">601.  </w:t>
      </w:r>
      <w:r>
        <w:rPr>
          <w:rFonts w:hint="eastAsia"/>
          <w:snapToGrid/>
        </w:rPr>
        <w:t>城市荒地的存在，城市人口实际密度远远低于合理密度的、利用不足的土地的数量，主要是各种市场力量作用的结果，因为它们的位置与城市衰退有关。城市衰退又阻止了投资商进行开发。于是就形成了恶性循环：投资越少，衰退越甚；衰退越甚，对投资的吸引力越小。城市中这些部分的存在，导致了基础设施、服务和设备等装备能力的利用明显不足。</w:t>
      </w:r>
    </w:p>
    <w:p w:rsidR="00000000" w:rsidRDefault="009C1C61">
      <w:pPr>
        <w:spacing w:after="240"/>
        <w:rPr>
          <w:rFonts w:hint="eastAsia"/>
          <w:snapToGrid/>
        </w:rPr>
      </w:pPr>
      <w:r>
        <w:rPr>
          <w:snapToGrid/>
        </w:rPr>
        <w:tab/>
        <w:t xml:space="preserve">602.  </w:t>
      </w:r>
      <w:r>
        <w:rPr>
          <w:rFonts w:hint="eastAsia"/>
          <w:snapToGrid/>
        </w:rPr>
        <w:t>为了扭转这种局面，城规部正在制订刺激需求的战略，对购买新开发区住房发放更多的补贴。这些地区相当于那些定为需要城市改</w:t>
      </w:r>
      <w:r>
        <w:rPr>
          <w:rFonts w:hint="eastAsia"/>
          <w:snapToGrid/>
        </w:rPr>
        <w:t>造和高度优先开发地区。优先开发地区尚未最后决定，它们吸引的补贴与城市改造所得的相同；补贴用于建造住房。</w:t>
      </w:r>
    </w:p>
    <w:p w:rsidR="00000000" w:rsidRDefault="009C1C61">
      <w:pPr>
        <w:pStyle w:val="Heading4"/>
        <w:spacing w:before="300"/>
        <w:rPr>
          <w:rFonts w:ascii="Time New Roman" w:eastAsia="SimHei" w:hAnsi="Time New Roman" w:hint="eastAsia"/>
          <w:u w:val="none"/>
        </w:rPr>
      </w:pPr>
      <w:r>
        <w:rPr>
          <w:rFonts w:ascii="Time New Roman" w:eastAsia="SimHei" w:hAnsi="Time New Roman" w:hint="eastAsia"/>
          <w:u w:val="none"/>
        </w:rPr>
        <w:t>国家住房预算的百分比</w:t>
      </w:r>
    </w:p>
    <w:p w:rsidR="00000000" w:rsidRDefault="009C1C61">
      <w:pPr>
        <w:rPr>
          <w:snapToGrid/>
          <w:spacing w:val="8"/>
        </w:rPr>
      </w:pPr>
      <w:r>
        <w:rPr>
          <w:snapToGrid/>
          <w:spacing w:val="8"/>
        </w:rPr>
        <w:tab/>
        <w:t xml:space="preserve">603.  </w:t>
      </w:r>
      <w:r>
        <w:rPr>
          <w:rFonts w:hint="eastAsia"/>
          <w:snapToGrid/>
          <w:spacing w:val="8"/>
        </w:rPr>
        <w:t>每年，各部委都与财政部合作，拟订一项预算法草案，送国会审批。此法决定了分配给各个部门的预算比例，给出投资和补贴详细分类。表</w:t>
      </w:r>
      <w:r>
        <w:rPr>
          <w:rFonts w:hint="eastAsia"/>
          <w:snapToGrid/>
          <w:spacing w:val="8"/>
        </w:rPr>
        <w:t>33</w:t>
      </w:r>
      <w:r>
        <w:rPr>
          <w:rFonts w:hint="eastAsia"/>
          <w:snapToGrid/>
          <w:spacing w:val="8"/>
        </w:rPr>
        <w:t>利用财政部的数据揭示了</w:t>
      </w:r>
      <w:r>
        <w:rPr>
          <w:snapToGrid/>
          <w:spacing w:val="8"/>
        </w:rPr>
        <w:t>1990-98</w:t>
      </w:r>
      <w:r>
        <w:rPr>
          <w:rFonts w:hint="eastAsia"/>
          <w:snapToGrid/>
          <w:spacing w:val="8"/>
        </w:rPr>
        <w:t>年期间住房公共支出，包括住房和城市规划部支出、区域与行政发展副秘书处和内政部实施的方案的开支等的趋势。内政部参与提供提供马桶和卫生设备。此表还给出了中央政府的住房支出及占年度国内生产总值的百分比。</w:t>
      </w:r>
    </w:p>
    <w:p w:rsidR="00000000" w:rsidRDefault="009C1C61">
      <w:pPr>
        <w:pStyle w:val="Heading3"/>
        <w:spacing w:before="300" w:after="160"/>
      </w:pPr>
      <w:r>
        <w:rPr>
          <w:rFonts w:hint="eastAsia"/>
        </w:rPr>
        <w:t>表</w:t>
      </w:r>
      <w:r>
        <w:t xml:space="preserve"> </w:t>
      </w:r>
      <w:r>
        <w:rPr>
          <w:b/>
          <w:bCs/>
        </w:rPr>
        <w:t>33</w:t>
      </w:r>
    </w:p>
    <w:p w:rsidR="00000000" w:rsidRDefault="009C1C61">
      <w:pPr>
        <w:pStyle w:val="Heading3"/>
        <w:spacing w:after="160"/>
      </w:pPr>
      <w:r>
        <w:rPr>
          <w:b/>
          <w:bCs/>
        </w:rPr>
        <w:t>1</w:t>
      </w:r>
      <w:r>
        <w:rPr>
          <w:b/>
          <w:bCs/>
        </w:rPr>
        <w:t>990-98</w:t>
      </w:r>
      <w:r>
        <w:rPr>
          <w:rFonts w:hint="eastAsia"/>
        </w:rPr>
        <w:t>年公共住房支出每年百万比索</w:t>
      </w:r>
      <w:r>
        <w:br/>
        <w:t>(</w:t>
      </w:r>
      <w:r>
        <w:rPr>
          <w:rFonts w:hint="eastAsia"/>
        </w:rPr>
        <w:t>括号内为相当美元的金额</w:t>
      </w:r>
      <w:r>
        <w:t>)</w:t>
      </w: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1470"/>
        <w:gridCol w:w="1393"/>
        <w:gridCol w:w="1498"/>
        <w:gridCol w:w="1664"/>
        <w:gridCol w:w="1300"/>
        <w:gridCol w:w="1285"/>
      </w:tblGrid>
      <w:tr w:rsidR="00000000">
        <w:tblPrEx>
          <w:tblCellMar>
            <w:top w:w="0" w:type="dxa"/>
            <w:bottom w:w="0" w:type="dxa"/>
          </w:tblCellMar>
        </w:tblPrEx>
        <w:tc>
          <w:tcPr>
            <w:tcW w:w="735" w:type="dxa"/>
          </w:tcPr>
          <w:p w:rsidR="00000000" w:rsidRDefault="009C1C61">
            <w:pPr>
              <w:pStyle w:val="a2"/>
              <w:spacing w:before="300" w:after="240" w:line="240" w:lineRule="auto"/>
              <w:jc w:val="center"/>
              <w:rPr>
                <w:rFonts w:hint="eastAsia"/>
                <w:snapToGrid/>
                <w:spacing w:val="0"/>
                <w:sz w:val="20"/>
              </w:rPr>
            </w:pPr>
            <w:r>
              <w:rPr>
                <w:rFonts w:hint="eastAsia"/>
                <w:snapToGrid/>
                <w:spacing w:val="0"/>
                <w:sz w:val="20"/>
              </w:rPr>
              <w:t>年</w:t>
            </w:r>
          </w:p>
        </w:tc>
        <w:tc>
          <w:tcPr>
            <w:tcW w:w="1470" w:type="dxa"/>
          </w:tcPr>
          <w:p w:rsidR="00000000" w:rsidRDefault="009C1C61">
            <w:pPr>
              <w:pStyle w:val="a2"/>
              <w:spacing w:before="300" w:after="240" w:line="240" w:lineRule="auto"/>
              <w:jc w:val="center"/>
              <w:rPr>
                <w:snapToGrid/>
                <w:spacing w:val="0"/>
                <w:sz w:val="20"/>
              </w:rPr>
            </w:pPr>
            <w:r>
              <w:rPr>
                <w:rFonts w:hint="eastAsia"/>
                <w:snapToGrid/>
                <w:spacing w:val="0"/>
                <w:sz w:val="20"/>
              </w:rPr>
              <w:t>城规部</w:t>
            </w:r>
            <w:r>
              <w:rPr>
                <w:snapToGrid/>
                <w:spacing w:val="0"/>
                <w:sz w:val="20"/>
              </w:rPr>
              <w:t>(a)</w:t>
            </w:r>
          </w:p>
        </w:tc>
        <w:tc>
          <w:tcPr>
            <w:tcW w:w="1393" w:type="dxa"/>
          </w:tcPr>
          <w:p w:rsidR="00000000" w:rsidRDefault="009C1C61">
            <w:pPr>
              <w:pStyle w:val="a2"/>
              <w:spacing w:before="300" w:after="240" w:line="240" w:lineRule="auto"/>
              <w:jc w:val="center"/>
              <w:rPr>
                <w:snapToGrid/>
                <w:spacing w:val="0"/>
                <w:sz w:val="20"/>
              </w:rPr>
            </w:pPr>
            <w:r>
              <w:rPr>
                <w:rFonts w:hint="eastAsia"/>
                <w:snapToGrid/>
                <w:spacing w:val="0"/>
                <w:sz w:val="20"/>
              </w:rPr>
              <w:t>其他</w:t>
            </w:r>
            <w:r>
              <w:rPr>
                <w:snapToGrid/>
                <w:spacing w:val="0"/>
                <w:sz w:val="20"/>
              </w:rPr>
              <w:t>(b)</w:t>
            </w:r>
          </w:p>
        </w:tc>
        <w:tc>
          <w:tcPr>
            <w:tcW w:w="1498" w:type="dxa"/>
          </w:tcPr>
          <w:p w:rsidR="00000000" w:rsidRDefault="009C1C61">
            <w:pPr>
              <w:pStyle w:val="a2"/>
              <w:spacing w:before="300" w:after="240" w:line="240" w:lineRule="auto"/>
              <w:jc w:val="center"/>
              <w:rPr>
                <w:snapToGrid/>
                <w:spacing w:val="0"/>
                <w:sz w:val="20"/>
              </w:rPr>
            </w:pPr>
            <w:r>
              <w:rPr>
                <w:rFonts w:hint="eastAsia"/>
                <w:snapToGrid/>
                <w:spacing w:val="0"/>
                <w:sz w:val="20"/>
              </w:rPr>
              <w:t>住房支出</w:t>
            </w:r>
            <w:r>
              <w:rPr>
                <w:snapToGrid/>
                <w:spacing w:val="0"/>
                <w:sz w:val="20"/>
              </w:rPr>
              <w:br/>
            </w:r>
            <w:r>
              <w:rPr>
                <w:rFonts w:hint="eastAsia"/>
                <w:snapToGrid/>
                <w:spacing w:val="0"/>
                <w:sz w:val="20"/>
              </w:rPr>
              <w:t>总额</w:t>
            </w:r>
            <w:r>
              <w:rPr>
                <w:snapToGrid/>
                <w:spacing w:val="0"/>
                <w:sz w:val="20"/>
              </w:rPr>
              <w:t>(a)+(b)</w:t>
            </w:r>
          </w:p>
        </w:tc>
        <w:tc>
          <w:tcPr>
            <w:tcW w:w="1664" w:type="dxa"/>
          </w:tcPr>
          <w:p w:rsidR="00000000" w:rsidRDefault="009C1C61">
            <w:pPr>
              <w:pStyle w:val="a2"/>
              <w:spacing w:before="300" w:after="240" w:line="240" w:lineRule="auto"/>
              <w:jc w:val="center"/>
              <w:rPr>
                <w:snapToGrid/>
                <w:spacing w:val="0"/>
                <w:sz w:val="20"/>
              </w:rPr>
            </w:pPr>
            <w:r>
              <w:rPr>
                <w:rFonts w:hint="eastAsia"/>
                <w:snapToGrid/>
                <w:spacing w:val="0"/>
                <w:sz w:val="20"/>
              </w:rPr>
              <w:t>中央政府支出</w:t>
            </w:r>
            <w:r>
              <w:rPr>
                <w:snapToGrid/>
                <w:spacing w:val="0"/>
                <w:sz w:val="20"/>
              </w:rPr>
              <w:br/>
            </w:r>
            <w:r>
              <w:rPr>
                <w:rFonts w:hint="eastAsia"/>
                <w:snapToGrid/>
                <w:spacing w:val="0"/>
                <w:sz w:val="20"/>
              </w:rPr>
              <w:t>总额</w:t>
            </w:r>
            <w:r>
              <w:rPr>
                <w:snapToGrid/>
                <w:spacing w:val="0"/>
                <w:sz w:val="20"/>
              </w:rPr>
              <w:t>(c)</w:t>
            </w:r>
          </w:p>
        </w:tc>
        <w:tc>
          <w:tcPr>
            <w:tcW w:w="1300" w:type="dxa"/>
          </w:tcPr>
          <w:p w:rsidR="00000000" w:rsidRDefault="009C1C61">
            <w:pPr>
              <w:pStyle w:val="a2"/>
              <w:spacing w:before="300" w:after="240" w:line="240" w:lineRule="auto"/>
              <w:jc w:val="center"/>
              <w:rPr>
                <w:snapToGrid/>
                <w:spacing w:val="0"/>
                <w:sz w:val="20"/>
              </w:rPr>
            </w:pPr>
            <w:r>
              <w:rPr>
                <w:rFonts w:hint="eastAsia"/>
                <w:snapToGrid/>
                <w:spacing w:val="0"/>
                <w:sz w:val="20"/>
              </w:rPr>
              <w:t>占中央政府支出的</w:t>
            </w:r>
            <w:r>
              <w:rPr>
                <w:rFonts w:hint="eastAsia"/>
                <w:snapToGrid/>
                <w:spacing w:val="0"/>
                <w:sz w:val="20"/>
              </w:rPr>
              <w:t>%</w:t>
            </w:r>
          </w:p>
        </w:tc>
        <w:tc>
          <w:tcPr>
            <w:tcW w:w="1285" w:type="dxa"/>
          </w:tcPr>
          <w:p w:rsidR="00000000" w:rsidRDefault="009C1C61">
            <w:pPr>
              <w:pStyle w:val="a2"/>
              <w:spacing w:before="300" w:after="240" w:line="240" w:lineRule="auto"/>
              <w:jc w:val="center"/>
              <w:rPr>
                <w:snapToGrid/>
                <w:spacing w:val="0"/>
                <w:sz w:val="20"/>
              </w:rPr>
            </w:pPr>
            <w:r>
              <w:rPr>
                <w:rFonts w:hint="eastAsia"/>
                <w:snapToGrid/>
                <w:spacing w:val="0"/>
                <w:sz w:val="20"/>
              </w:rPr>
              <w:t>占国内生产总值的</w:t>
            </w:r>
            <w:r>
              <w:rPr>
                <w:snapToGrid/>
                <w:spacing w:val="0"/>
                <w:sz w:val="20"/>
              </w:rPr>
              <w:t>%</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1990</w:t>
            </w:r>
          </w:p>
        </w:tc>
        <w:tc>
          <w:tcPr>
            <w:tcW w:w="1470" w:type="dxa"/>
          </w:tcPr>
          <w:p w:rsidR="00000000" w:rsidRDefault="009C1C61">
            <w:pPr>
              <w:pStyle w:val="a2"/>
              <w:spacing w:line="360" w:lineRule="exact"/>
              <w:jc w:val="right"/>
              <w:rPr>
                <w:snapToGrid/>
                <w:spacing w:val="0"/>
                <w:sz w:val="20"/>
              </w:rPr>
            </w:pPr>
            <w:r>
              <w:rPr>
                <w:snapToGrid/>
                <w:spacing w:val="0"/>
                <w:sz w:val="20"/>
              </w:rPr>
              <w:t>81,448</w:t>
            </w:r>
          </w:p>
          <w:p w:rsidR="00000000" w:rsidRDefault="009C1C61">
            <w:pPr>
              <w:pStyle w:val="a2"/>
              <w:spacing w:line="360" w:lineRule="exact"/>
              <w:jc w:val="right"/>
              <w:rPr>
                <w:snapToGrid/>
                <w:spacing w:val="0"/>
                <w:sz w:val="20"/>
              </w:rPr>
            </w:pPr>
            <w:r>
              <w:rPr>
                <w:snapToGrid/>
                <w:spacing w:val="0"/>
                <w:sz w:val="20"/>
              </w:rPr>
              <w:t>(267,130,206)</w:t>
            </w:r>
          </w:p>
        </w:tc>
        <w:tc>
          <w:tcPr>
            <w:tcW w:w="1393" w:type="dxa"/>
          </w:tcPr>
          <w:p w:rsidR="00000000" w:rsidRDefault="009C1C61">
            <w:pPr>
              <w:pStyle w:val="a2"/>
              <w:spacing w:line="360" w:lineRule="exact"/>
              <w:jc w:val="right"/>
              <w:rPr>
                <w:snapToGrid/>
                <w:spacing w:val="0"/>
                <w:sz w:val="20"/>
              </w:rPr>
            </w:pPr>
            <w:r>
              <w:rPr>
                <w:snapToGrid/>
                <w:spacing w:val="0"/>
                <w:sz w:val="20"/>
              </w:rPr>
              <w:t>14,488</w:t>
            </w:r>
          </w:p>
          <w:p w:rsidR="00000000" w:rsidRDefault="009C1C61">
            <w:pPr>
              <w:pStyle w:val="a2"/>
              <w:spacing w:line="360" w:lineRule="exact"/>
              <w:jc w:val="right"/>
              <w:rPr>
                <w:snapToGrid/>
                <w:spacing w:val="0"/>
                <w:sz w:val="20"/>
              </w:rPr>
            </w:pPr>
            <w:r>
              <w:rPr>
                <w:snapToGrid/>
                <w:spacing w:val="0"/>
                <w:sz w:val="20"/>
              </w:rPr>
              <w:t>(47,517,218)</w:t>
            </w:r>
          </w:p>
        </w:tc>
        <w:tc>
          <w:tcPr>
            <w:tcW w:w="1498" w:type="dxa"/>
          </w:tcPr>
          <w:p w:rsidR="00000000" w:rsidRDefault="009C1C61">
            <w:pPr>
              <w:pStyle w:val="a2"/>
              <w:spacing w:line="360" w:lineRule="exact"/>
              <w:jc w:val="right"/>
              <w:rPr>
                <w:snapToGrid/>
                <w:spacing w:val="0"/>
                <w:sz w:val="20"/>
              </w:rPr>
            </w:pPr>
            <w:r>
              <w:rPr>
                <w:snapToGrid/>
                <w:spacing w:val="0"/>
                <w:sz w:val="20"/>
              </w:rPr>
              <w:t>95,036</w:t>
            </w:r>
          </w:p>
          <w:p w:rsidR="00000000" w:rsidRDefault="009C1C61">
            <w:pPr>
              <w:pStyle w:val="a2"/>
              <w:spacing w:line="360" w:lineRule="exact"/>
              <w:jc w:val="right"/>
              <w:rPr>
                <w:snapToGrid/>
                <w:spacing w:val="0"/>
                <w:sz w:val="20"/>
              </w:rPr>
            </w:pPr>
            <w:r>
              <w:rPr>
                <w:snapToGrid/>
                <w:spacing w:val="0"/>
                <w:sz w:val="20"/>
              </w:rPr>
              <w:t>(314, 647,424)</w:t>
            </w:r>
          </w:p>
        </w:tc>
        <w:tc>
          <w:tcPr>
            <w:tcW w:w="1664" w:type="dxa"/>
          </w:tcPr>
          <w:p w:rsidR="00000000" w:rsidRDefault="009C1C61">
            <w:pPr>
              <w:pStyle w:val="a2"/>
              <w:spacing w:line="360" w:lineRule="exact"/>
              <w:jc w:val="right"/>
              <w:rPr>
                <w:snapToGrid/>
                <w:spacing w:val="0"/>
                <w:sz w:val="20"/>
              </w:rPr>
            </w:pPr>
            <w:r>
              <w:rPr>
                <w:snapToGrid/>
                <w:spacing w:val="0"/>
                <w:sz w:val="20"/>
              </w:rPr>
              <w:t>1,942,849</w:t>
            </w:r>
          </w:p>
          <w:p w:rsidR="00000000" w:rsidRDefault="009C1C61">
            <w:pPr>
              <w:pStyle w:val="a2"/>
              <w:spacing w:line="360" w:lineRule="exact"/>
              <w:jc w:val="right"/>
              <w:rPr>
                <w:snapToGrid/>
                <w:spacing w:val="0"/>
                <w:sz w:val="20"/>
              </w:rPr>
            </w:pPr>
            <w:r>
              <w:rPr>
                <w:snapToGrid/>
                <w:spacing w:val="0"/>
                <w:sz w:val="20"/>
              </w:rPr>
              <w:t>(6,372,085,929)</w:t>
            </w:r>
          </w:p>
        </w:tc>
        <w:tc>
          <w:tcPr>
            <w:tcW w:w="1300" w:type="dxa"/>
          </w:tcPr>
          <w:p w:rsidR="00000000" w:rsidRDefault="009C1C61">
            <w:pPr>
              <w:pStyle w:val="a2"/>
              <w:spacing w:line="360" w:lineRule="exact"/>
              <w:jc w:val="center"/>
              <w:rPr>
                <w:snapToGrid/>
                <w:spacing w:val="0"/>
                <w:sz w:val="20"/>
              </w:rPr>
            </w:pPr>
            <w:r>
              <w:rPr>
                <w:snapToGrid/>
                <w:spacing w:val="0"/>
                <w:sz w:val="20"/>
              </w:rPr>
              <w:t>4.9</w:t>
            </w:r>
          </w:p>
        </w:tc>
        <w:tc>
          <w:tcPr>
            <w:tcW w:w="1285" w:type="dxa"/>
          </w:tcPr>
          <w:p w:rsidR="00000000" w:rsidRDefault="009C1C61">
            <w:pPr>
              <w:pStyle w:val="a2"/>
              <w:spacing w:line="360" w:lineRule="exact"/>
              <w:jc w:val="center"/>
              <w:rPr>
                <w:snapToGrid/>
                <w:spacing w:val="0"/>
                <w:sz w:val="20"/>
              </w:rPr>
            </w:pPr>
            <w:r>
              <w:rPr>
                <w:snapToGrid/>
                <w:spacing w:val="0"/>
                <w:sz w:val="20"/>
              </w:rPr>
              <w:t>1.0</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1991</w:t>
            </w:r>
          </w:p>
        </w:tc>
        <w:tc>
          <w:tcPr>
            <w:tcW w:w="1470" w:type="dxa"/>
          </w:tcPr>
          <w:p w:rsidR="00000000" w:rsidRDefault="009C1C61">
            <w:pPr>
              <w:pStyle w:val="a2"/>
              <w:spacing w:line="360" w:lineRule="exact"/>
              <w:jc w:val="right"/>
              <w:rPr>
                <w:snapToGrid/>
                <w:spacing w:val="0"/>
                <w:sz w:val="20"/>
              </w:rPr>
            </w:pPr>
            <w:r>
              <w:rPr>
                <w:snapToGrid/>
                <w:spacing w:val="0"/>
                <w:sz w:val="20"/>
              </w:rPr>
              <w:t>119,405</w:t>
            </w:r>
          </w:p>
          <w:p w:rsidR="00000000" w:rsidRDefault="009C1C61">
            <w:pPr>
              <w:pStyle w:val="a2"/>
              <w:spacing w:line="360" w:lineRule="exact"/>
              <w:jc w:val="right"/>
              <w:rPr>
                <w:snapToGrid/>
                <w:spacing w:val="0"/>
                <w:sz w:val="20"/>
              </w:rPr>
            </w:pPr>
            <w:r>
              <w:rPr>
                <w:snapToGrid/>
                <w:spacing w:val="0"/>
                <w:sz w:val="20"/>
              </w:rPr>
              <w:t>(341,919,134)</w:t>
            </w:r>
          </w:p>
        </w:tc>
        <w:tc>
          <w:tcPr>
            <w:tcW w:w="1393" w:type="dxa"/>
          </w:tcPr>
          <w:p w:rsidR="00000000" w:rsidRDefault="009C1C61">
            <w:pPr>
              <w:pStyle w:val="a2"/>
              <w:spacing w:line="360" w:lineRule="exact"/>
              <w:jc w:val="right"/>
              <w:rPr>
                <w:snapToGrid/>
                <w:spacing w:val="0"/>
                <w:sz w:val="20"/>
              </w:rPr>
            </w:pPr>
            <w:r>
              <w:rPr>
                <w:snapToGrid/>
                <w:spacing w:val="0"/>
                <w:sz w:val="20"/>
              </w:rPr>
              <w:t>19,413</w:t>
            </w:r>
          </w:p>
          <w:p w:rsidR="00000000" w:rsidRDefault="009C1C61">
            <w:pPr>
              <w:pStyle w:val="a2"/>
              <w:spacing w:line="360" w:lineRule="exact"/>
              <w:jc w:val="right"/>
              <w:rPr>
                <w:snapToGrid/>
                <w:spacing w:val="0"/>
                <w:sz w:val="20"/>
              </w:rPr>
            </w:pPr>
            <w:r>
              <w:rPr>
                <w:snapToGrid/>
                <w:spacing w:val="0"/>
                <w:sz w:val="20"/>
              </w:rPr>
              <w:t>(55,589,599)</w:t>
            </w:r>
          </w:p>
        </w:tc>
        <w:tc>
          <w:tcPr>
            <w:tcW w:w="1498" w:type="dxa"/>
          </w:tcPr>
          <w:p w:rsidR="00000000" w:rsidRDefault="009C1C61">
            <w:pPr>
              <w:pStyle w:val="a2"/>
              <w:spacing w:line="360" w:lineRule="exact"/>
              <w:jc w:val="right"/>
              <w:rPr>
                <w:snapToGrid/>
                <w:spacing w:val="0"/>
                <w:sz w:val="20"/>
              </w:rPr>
            </w:pPr>
            <w:r>
              <w:rPr>
                <w:snapToGrid/>
                <w:spacing w:val="0"/>
                <w:sz w:val="20"/>
              </w:rPr>
              <w:t>138,818</w:t>
            </w:r>
          </w:p>
          <w:p w:rsidR="00000000" w:rsidRDefault="009C1C61">
            <w:pPr>
              <w:pStyle w:val="a2"/>
              <w:spacing w:line="360" w:lineRule="exact"/>
              <w:jc w:val="right"/>
              <w:rPr>
                <w:snapToGrid/>
                <w:spacing w:val="0"/>
                <w:sz w:val="20"/>
              </w:rPr>
            </w:pPr>
            <w:r>
              <w:rPr>
                <w:snapToGrid/>
                <w:spacing w:val="0"/>
                <w:sz w:val="20"/>
              </w:rPr>
              <w:t>(397,508,733)</w:t>
            </w:r>
          </w:p>
        </w:tc>
        <w:tc>
          <w:tcPr>
            <w:tcW w:w="1664" w:type="dxa"/>
          </w:tcPr>
          <w:p w:rsidR="00000000" w:rsidRDefault="009C1C61">
            <w:pPr>
              <w:pStyle w:val="a2"/>
              <w:spacing w:line="360" w:lineRule="exact"/>
              <w:jc w:val="right"/>
              <w:rPr>
                <w:snapToGrid/>
                <w:spacing w:val="0"/>
                <w:sz w:val="20"/>
              </w:rPr>
            </w:pPr>
            <w:r>
              <w:rPr>
                <w:snapToGrid/>
                <w:spacing w:val="0"/>
                <w:sz w:val="20"/>
              </w:rPr>
              <w:t>2,620,029</w:t>
            </w:r>
          </w:p>
          <w:p w:rsidR="00000000" w:rsidRDefault="009C1C61">
            <w:pPr>
              <w:pStyle w:val="a2"/>
              <w:spacing w:line="360" w:lineRule="exact"/>
              <w:jc w:val="right"/>
              <w:rPr>
                <w:snapToGrid/>
                <w:spacing w:val="0"/>
                <w:sz w:val="20"/>
              </w:rPr>
            </w:pPr>
            <w:r>
              <w:rPr>
                <w:snapToGrid/>
                <w:spacing w:val="0"/>
                <w:sz w:val="20"/>
              </w:rPr>
              <w:t>(7,502,517)</w:t>
            </w:r>
          </w:p>
        </w:tc>
        <w:tc>
          <w:tcPr>
            <w:tcW w:w="1300" w:type="dxa"/>
          </w:tcPr>
          <w:p w:rsidR="00000000" w:rsidRDefault="009C1C61">
            <w:pPr>
              <w:pStyle w:val="a2"/>
              <w:spacing w:line="360" w:lineRule="exact"/>
              <w:jc w:val="center"/>
              <w:rPr>
                <w:snapToGrid/>
                <w:spacing w:val="0"/>
                <w:sz w:val="20"/>
              </w:rPr>
            </w:pPr>
            <w:r>
              <w:rPr>
                <w:snapToGrid/>
                <w:spacing w:val="0"/>
                <w:sz w:val="20"/>
              </w:rPr>
              <w:t>5.3</w:t>
            </w:r>
          </w:p>
        </w:tc>
        <w:tc>
          <w:tcPr>
            <w:tcW w:w="1285" w:type="dxa"/>
          </w:tcPr>
          <w:p w:rsidR="00000000" w:rsidRDefault="009C1C61">
            <w:pPr>
              <w:pStyle w:val="a2"/>
              <w:spacing w:line="360" w:lineRule="exact"/>
              <w:jc w:val="center"/>
              <w:rPr>
                <w:snapToGrid/>
                <w:spacing w:val="0"/>
                <w:sz w:val="20"/>
              </w:rPr>
            </w:pPr>
            <w:r>
              <w:rPr>
                <w:snapToGrid/>
                <w:spacing w:val="0"/>
                <w:sz w:val="20"/>
              </w:rPr>
              <w:t>1.1</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1992</w:t>
            </w:r>
          </w:p>
        </w:tc>
        <w:tc>
          <w:tcPr>
            <w:tcW w:w="1470" w:type="dxa"/>
          </w:tcPr>
          <w:p w:rsidR="00000000" w:rsidRDefault="009C1C61">
            <w:pPr>
              <w:pStyle w:val="a2"/>
              <w:spacing w:line="360" w:lineRule="exact"/>
              <w:jc w:val="right"/>
              <w:rPr>
                <w:snapToGrid/>
                <w:spacing w:val="0"/>
                <w:sz w:val="20"/>
              </w:rPr>
            </w:pPr>
            <w:r>
              <w:rPr>
                <w:snapToGrid/>
                <w:spacing w:val="0"/>
                <w:sz w:val="20"/>
              </w:rPr>
              <w:t>154,601</w:t>
            </w:r>
          </w:p>
          <w:p w:rsidR="00000000" w:rsidRDefault="009C1C61">
            <w:pPr>
              <w:pStyle w:val="a2"/>
              <w:spacing w:line="360" w:lineRule="exact"/>
              <w:jc w:val="right"/>
              <w:rPr>
                <w:snapToGrid/>
                <w:spacing w:val="0"/>
                <w:sz w:val="20"/>
              </w:rPr>
            </w:pPr>
            <w:r>
              <w:rPr>
                <w:snapToGrid/>
                <w:spacing w:val="0"/>
                <w:sz w:val="20"/>
              </w:rPr>
              <w:t>(426,391,417)</w:t>
            </w:r>
          </w:p>
        </w:tc>
        <w:tc>
          <w:tcPr>
            <w:tcW w:w="1393" w:type="dxa"/>
          </w:tcPr>
          <w:p w:rsidR="00000000" w:rsidRDefault="009C1C61">
            <w:pPr>
              <w:pStyle w:val="a2"/>
              <w:spacing w:line="360" w:lineRule="exact"/>
              <w:jc w:val="right"/>
              <w:rPr>
                <w:snapToGrid/>
                <w:spacing w:val="0"/>
                <w:sz w:val="20"/>
              </w:rPr>
            </w:pPr>
            <w:r>
              <w:rPr>
                <w:snapToGrid/>
                <w:spacing w:val="0"/>
                <w:sz w:val="20"/>
              </w:rPr>
              <w:t>21,513</w:t>
            </w:r>
          </w:p>
          <w:p w:rsidR="00000000" w:rsidRDefault="009C1C61">
            <w:pPr>
              <w:pStyle w:val="a2"/>
              <w:spacing w:line="360" w:lineRule="exact"/>
              <w:jc w:val="right"/>
              <w:rPr>
                <w:snapToGrid/>
                <w:spacing w:val="0"/>
                <w:sz w:val="20"/>
              </w:rPr>
            </w:pPr>
            <w:r>
              <w:rPr>
                <w:snapToGrid/>
                <w:spacing w:val="0"/>
                <w:sz w:val="20"/>
              </w:rPr>
              <w:t>(59,333,112)</w:t>
            </w:r>
          </w:p>
        </w:tc>
        <w:tc>
          <w:tcPr>
            <w:tcW w:w="1498" w:type="dxa"/>
          </w:tcPr>
          <w:p w:rsidR="00000000" w:rsidRDefault="009C1C61">
            <w:pPr>
              <w:pStyle w:val="a2"/>
              <w:spacing w:line="360" w:lineRule="exact"/>
              <w:jc w:val="right"/>
              <w:rPr>
                <w:snapToGrid/>
                <w:spacing w:val="0"/>
                <w:sz w:val="20"/>
              </w:rPr>
            </w:pPr>
            <w:r>
              <w:rPr>
                <w:snapToGrid/>
                <w:spacing w:val="0"/>
                <w:sz w:val="20"/>
              </w:rPr>
              <w:t>176,114</w:t>
            </w:r>
          </w:p>
          <w:p w:rsidR="00000000" w:rsidRDefault="009C1C61">
            <w:pPr>
              <w:pStyle w:val="a2"/>
              <w:spacing w:line="360" w:lineRule="exact"/>
              <w:jc w:val="right"/>
              <w:rPr>
                <w:snapToGrid/>
                <w:spacing w:val="0"/>
                <w:sz w:val="20"/>
              </w:rPr>
            </w:pPr>
            <w:r>
              <w:rPr>
                <w:snapToGrid/>
                <w:spacing w:val="0"/>
                <w:sz w:val="20"/>
              </w:rPr>
              <w:t>(485,724,529)</w:t>
            </w:r>
          </w:p>
        </w:tc>
        <w:tc>
          <w:tcPr>
            <w:tcW w:w="1664" w:type="dxa"/>
          </w:tcPr>
          <w:p w:rsidR="00000000" w:rsidRDefault="009C1C61">
            <w:pPr>
              <w:pStyle w:val="a2"/>
              <w:spacing w:line="360" w:lineRule="exact"/>
              <w:jc w:val="right"/>
              <w:rPr>
                <w:snapToGrid/>
                <w:spacing w:val="0"/>
                <w:sz w:val="20"/>
              </w:rPr>
            </w:pPr>
            <w:r>
              <w:rPr>
                <w:snapToGrid/>
                <w:spacing w:val="0"/>
                <w:sz w:val="20"/>
              </w:rPr>
              <w:t>3,282,066</w:t>
            </w:r>
          </w:p>
          <w:p w:rsidR="00000000" w:rsidRDefault="009C1C61">
            <w:pPr>
              <w:pStyle w:val="a2"/>
              <w:spacing w:line="360" w:lineRule="exact"/>
              <w:jc w:val="right"/>
              <w:rPr>
                <w:snapToGrid/>
                <w:spacing w:val="0"/>
                <w:sz w:val="20"/>
              </w:rPr>
            </w:pPr>
            <w:r>
              <w:rPr>
                <w:snapToGrid/>
                <w:spacing w:val="0"/>
                <w:sz w:val="20"/>
              </w:rPr>
              <w:t>(9,051,977,494)</w:t>
            </w:r>
          </w:p>
        </w:tc>
        <w:tc>
          <w:tcPr>
            <w:tcW w:w="1300" w:type="dxa"/>
          </w:tcPr>
          <w:p w:rsidR="00000000" w:rsidRDefault="009C1C61">
            <w:pPr>
              <w:pStyle w:val="a2"/>
              <w:spacing w:line="360" w:lineRule="exact"/>
              <w:jc w:val="center"/>
              <w:rPr>
                <w:snapToGrid/>
                <w:spacing w:val="0"/>
                <w:sz w:val="20"/>
              </w:rPr>
            </w:pPr>
            <w:r>
              <w:rPr>
                <w:snapToGrid/>
                <w:spacing w:val="0"/>
                <w:sz w:val="20"/>
              </w:rPr>
              <w:t>5.4</w:t>
            </w:r>
          </w:p>
        </w:tc>
        <w:tc>
          <w:tcPr>
            <w:tcW w:w="1285" w:type="dxa"/>
          </w:tcPr>
          <w:p w:rsidR="00000000" w:rsidRDefault="009C1C61">
            <w:pPr>
              <w:pStyle w:val="a2"/>
              <w:spacing w:line="360" w:lineRule="exact"/>
              <w:jc w:val="center"/>
              <w:rPr>
                <w:snapToGrid/>
                <w:spacing w:val="0"/>
                <w:sz w:val="20"/>
              </w:rPr>
            </w:pPr>
            <w:r>
              <w:rPr>
                <w:snapToGrid/>
                <w:spacing w:val="0"/>
                <w:sz w:val="20"/>
              </w:rPr>
              <w:t>1.2</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1993</w:t>
            </w:r>
          </w:p>
        </w:tc>
        <w:tc>
          <w:tcPr>
            <w:tcW w:w="1470" w:type="dxa"/>
          </w:tcPr>
          <w:p w:rsidR="00000000" w:rsidRDefault="009C1C61">
            <w:pPr>
              <w:pStyle w:val="a2"/>
              <w:spacing w:line="360" w:lineRule="exact"/>
              <w:jc w:val="right"/>
              <w:rPr>
                <w:snapToGrid/>
                <w:spacing w:val="0"/>
                <w:sz w:val="20"/>
              </w:rPr>
            </w:pPr>
            <w:r>
              <w:rPr>
                <w:snapToGrid/>
                <w:spacing w:val="0"/>
                <w:sz w:val="20"/>
              </w:rPr>
              <w:t>193,671</w:t>
            </w:r>
          </w:p>
          <w:p w:rsidR="00000000" w:rsidRDefault="009C1C61">
            <w:pPr>
              <w:pStyle w:val="a2"/>
              <w:spacing w:line="360" w:lineRule="exact"/>
              <w:jc w:val="right"/>
              <w:rPr>
                <w:snapToGrid/>
                <w:spacing w:val="0"/>
                <w:sz w:val="20"/>
              </w:rPr>
            </w:pPr>
            <w:r>
              <w:rPr>
                <w:snapToGrid/>
                <w:spacing w:val="0"/>
                <w:sz w:val="20"/>
              </w:rPr>
              <w:t>(479,182)</w:t>
            </w:r>
          </w:p>
        </w:tc>
        <w:tc>
          <w:tcPr>
            <w:tcW w:w="1393" w:type="dxa"/>
          </w:tcPr>
          <w:p w:rsidR="00000000" w:rsidRDefault="009C1C61">
            <w:pPr>
              <w:pStyle w:val="a2"/>
              <w:spacing w:line="360" w:lineRule="exact"/>
              <w:jc w:val="right"/>
              <w:rPr>
                <w:snapToGrid/>
                <w:spacing w:val="0"/>
                <w:sz w:val="20"/>
              </w:rPr>
            </w:pPr>
            <w:r>
              <w:rPr>
                <w:snapToGrid/>
                <w:spacing w:val="0"/>
                <w:sz w:val="20"/>
              </w:rPr>
              <w:t>21,899</w:t>
            </w:r>
          </w:p>
          <w:p w:rsidR="00000000" w:rsidRDefault="009C1C61">
            <w:pPr>
              <w:pStyle w:val="a2"/>
              <w:spacing w:line="360" w:lineRule="exact"/>
              <w:jc w:val="right"/>
              <w:rPr>
                <w:snapToGrid/>
                <w:spacing w:val="0"/>
                <w:sz w:val="20"/>
              </w:rPr>
            </w:pPr>
            <w:r>
              <w:rPr>
                <w:snapToGrid/>
                <w:spacing w:val="0"/>
                <w:sz w:val="20"/>
              </w:rPr>
              <w:t>(54,182,645)</w:t>
            </w:r>
          </w:p>
        </w:tc>
        <w:tc>
          <w:tcPr>
            <w:tcW w:w="1498" w:type="dxa"/>
          </w:tcPr>
          <w:p w:rsidR="00000000" w:rsidRDefault="009C1C61">
            <w:pPr>
              <w:pStyle w:val="a2"/>
              <w:spacing w:line="360" w:lineRule="exact"/>
              <w:jc w:val="right"/>
              <w:rPr>
                <w:snapToGrid/>
                <w:spacing w:val="0"/>
                <w:sz w:val="20"/>
              </w:rPr>
            </w:pPr>
            <w:r>
              <w:rPr>
                <w:snapToGrid/>
                <w:spacing w:val="0"/>
                <w:sz w:val="20"/>
              </w:rPr>
              <w:t>215,570</w:t>
            </w:r>
          </w:p>
          <w:p w:rsidR="00000000" w:rsidRDefault="009C1C61">
            <w:pPr>
              <w:pStyle w:val="a2"/>
              <w:spacing w:line="360" w:lineRule="exact"/>
              <w:jc w:val="right"/>
              <w:rPr>
                <w:snapToGrid/>
                <w:spacing w:val="0"/>
                <w:sz w:val="20"/>
              </w:rPr>
            </w:pPr>
            <w:r>
              <w:rPr>
                <w:snapToGrid/>
                <w:spacing w:val="0"/>
                <w:sz w:val="20"/>
              </w:rPr>
              <w:t>(533,364,672)</w:t>
            </w:r>
          </w:p>
        </w:tc>
        <w:tc>
          <w:tcPr>
            <w:tcW w:w="1664" w:type="dxa"/>
          </w:tcPr>
          <w:p w:rsidR="00000000" w:rsidRDefault="009C1C61">
            <w:pPr>
              <w:pStyle w:val="a2"/>
              <w:spacing w:line="360" w:lineRule="exact"/>
              <w:jc w:val="right"/>
              <w:rPr>
                <w:snapToGrid/>
                <w:spacing w:val="0"/>
                <w:sz w:val="20"/>
              </w:rPr>
            </w:pPr>
            <w:r>
              <w:rPr>
                <w:snapToGrid/>
                <w:spacing w:val="0"/>
                <w:sz w:val="20"/>
              </w:rPr>
              <w:t>3,958,334</w:t>
            </w:r>
          </w:p>
          <w:p w:rsidR="00000000" w:rsidRDefault="009C1C61">
            <w:pPr>
              <w:pStyle w:val="a2"/>
              <w:spacing w:line="360" w:lineRule="exact"/>
              <w:jc w:val="right"/>
              <w:rPr>
                <w:snapToGrid/>
                <w:spacing w:val="0"/>
                <w:sz w:val="20"/>
              </w:rPr>
            </w:pPr>
            <w:r>
              <w:rPr>
                <w:snapToGrid/>
                <w:spacing w:val="0"/>
                <w:sz w:val="20"/>
              </w:rPr>
              <w:t>(9,793,735,309)</w:t>
            </w:r>
          </w:p>
        </w:tc>
        <w:tc>
          <w:tcPr>
            <w:tcW w:w="1300" w:type="dxa"/>
          </w:tcPr>
          <w:p w:rsidR="00000000" w:rsidRDefault="009C1C61">
            <w:pPr>
              <w:pStyle w:val="a2"/>
              <w:spacing w:line="360" w:lineRule="exact"/>
              <w:jc w:val="center"/>
              <w:rPr>
                <w:snapToGrid/>
                <w:spacing w:val="0"/>
                <w:sz w:val="20"/>
              </w:rPr>
            </w:pPr>
            <w:r>
              <w:rPr>
                <w:snapToGrid/>
                <w:spacing w:val="0"/>
                <w:sz w:val="20"/>
              </w:rPr>
              <w:t>5.4</w:t>
            </w:r>
          </w:p>
        </w:tc>
        <w:tc>
          <w:tcPr>
            <w:tcW w:w="1285" w:type="dxa"/>
          </w:tcPr>
          <w:p w:rsidR="00000000" w:rsidRDefault="009C1C61">
            <w:pPr>
              <w:pStyle w:val="a2"/>
              <w:spacing w:line="360" w:lineRule="exact"/>
              <w:jc w:val="center"/>
              <w:rPr>
                <w:snapToGrid/>
                <w:spacing w:val="0"/>
                <w:sz w:val="20"/>
              </w:rPr>
            </w:pPr>
            <w:r>
              <w:rPr>
                <w:snapToGrid/>
                <w:spacing w:val="0"/>
                <w:sz w:val="20"/>
              </w:rPr>
              <w:t>1.2</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1994</w:t>
            </w:r>
          </w:p>
        </w:tc>
        <w:tc>
          <w:tcPr>
            <w:tcW w:w="1470" w:type="dxa"/>
          </w:tcPr>
          <w:p w:rsidR="00000000" w:rsidRDefault="009C1C61">
            <w:pPr>
              <w:pStyle w:val="a2"/>
              <w:spacing w:line="360" w:lineRule="exact"/>
              <w:jc w:val="right"/>
              <w:rPr>
                <w:snapToGrid/>
                <w:spacing w:val="0"/>
                <w:sz w:val="20"/>
              </w:rPr>
            </w:pPr>
            <w:r>
              <w:rPr>
                <w:snapToGrid/>
                <w:spacing w:val="0"/>
                <w:sz w:val="20"/>
              </w:rPr>
              <w:t>22</w:t>
            </w:r>
            <w:r>
              <w:rPr>
                <w:snapToGrid/>
                <w:spacing w:val="0"/>
                <w:sz w:val="20"/>
              </w:rPr>
              <w:t>7,653</w:t>
            </w:r>
          </w:p>
          <w:p w:rsidR="00000000" w:rsidRDefault="009C1C61">
            <w:pPr>
              <w:pStyle w:val="a2"/>
              <w:spacing w:line="360" w:lineRule="exact"/>
              <w:jc w:val="right"/>
              <w:rPr>
                <w:snapToGrid/>
                <w:spacing w:val="0"/>
                <w:sz w:val="20"/>
              </w:rPr>
            </w:pPr>
            <w:r>
              <w:rPr>
                <w:snapToGrid/>
                <w:spacing w:val="0"/>
                <w:sz w:val="20"/>
              </w:rPr>
              <w:t>(541,798,752)</w:t>
            </w:r>
          </w:p>
        </w:tc>
        <w:tc>
          <w:tcPr>
            <w:tcW w:w="1393" w:type="dxa"/>
          </w:tcPr>
          <w:p w:rsidR="00000000" w:rsidRDefault="009C1C61">
            <w:pPr>
              <w:pStyle w:val="a2"/>
              <w:spacing w:line="360" w:lineRule="exact"/>
              <w:jc w:val="right"/>
              <w:rPr>
                <w:snapToGrid/>
                <w:spacing w:val="0"/>
                <w:sz w:val="20"/>
              </w:rPr>
            </w:pPr>
            <w:r>
              <w:rPr>
                <w:snapToGrid/>
                <w:spacing w:val="0"/>
                <w:sz w:val="20"/>
              </w:rPr>
              <w:t>26,002</w:t>
            </w:r>
          </w:p>
          <w:p w:rsidR="00000000" w:rsidRDefault="009C1C61">
            <w:pPr>
              <w:pStyle w:val="a2"/>
              <w:spacing w:line="360" w:lineRule="exact"/>
              <w:jc w:val="right"/>
              <w:rPr>
                <w:snapToGrid/>
                <w:spacing w:val="0"/>
                <w:sz w:val="20"/>
              </w:rPr>
            </w:pPr>
            <w:r>
              <w:rPr>
                <w:snapToGrid/>
                <w:spacing w:val="0"/>
                <w:sz w:val="20"/>
              </w:rPr>
              <w:t>(61,883,560)</w:t>
            </w:r>
          </w:p>
        </w:tc>
        <w:tc>
          <w:tcPr>
            <w:tcW w:w="1498" w:type="dxa"/>
          </w:tcPr>
          <w:p w:rsidR="00000000" w:rsidRDefault="009C1C61">
            <w:pPr>
              <w:pStyle w:val="a2"/>
              <w:spacing w:line="360" w:lineRule="exact"/>
              <w:jc w:val="right"/>
              <w:rPr>
                <w:snapToGrid/>
                <w:spacing w:val="0"/>
                <w:sz w:val="20"/>
              </w:rPr>
            </w:pPr>
            <w:r>
              <w:rPr>
                <w:snapToGrid/>
                <w:spacing w:val="0"/>
                <w:sz w:val="20"/>
              </w:rPr>
              <w:t>253,655</w:t>
            </w:r>
          </w:p>
          <w:p w:rsidR="00000000" w:rsidRDefault="009C1C61">
            <w:pPr>
              <w:pStyle w:val="a2"/>
              <w:spacing w:line="360" w:lineRule="exact"/>
              <w:jc w:val="right"/>
              <w:rPr>
                <w:snapToGrid/>
                <w:spacing w:val="0"/>
                <w:sz w:val="20"/>
              </w:rPr>
            </w:pPr>
            <w:r>
              <w:rPr>
                <w:snapToGrid/>
                <w:spacing w:val="0"/>
                <w:sz w:val="20"/>
              </w:rPr>
              <w:t>(603,682,312)</w:t>
            </w:r>
          </w:p>
        </w:tc>
        <w:tc>
          <w:tcPr>
            <w:tcW w:w="1664" w:type="dxa"/>
          </w:tcPr>
          <w:p w:rsidR="00000000" w:rsidRDefault="009C1C61">
            <w:pPr>
              <w:pStyle w:val="a2"/>
              <w:spacing w:line="360" w:lineRule="exact"/>
              <w:jc w:val="right"/>
              <w:rPr>
                <w:snapToGrid/>
                <w:spacing w:val="0"/>
                <w:sz w:val="20"/>
              </w:rPr>
            </w:pPr>
            <w:r>
              <w:rPr>
                <w:snapToGrid/>
                <w:spacing w:val="0"/>
                <w:sz w:val="20"/>
              </w:rPr>
              <w:t>4,615,392</w:t>
            </w:r>
          </w:p>
          <w:p w:rsidR="00000000" w:rsidRDefault="009C1C61">
            <w:pPr>
              <w:pStyle w:val="a2"/>
              <w:spacing w:line="360" w:lineRule="exact"/>
              <w:jc w:val="right"/>
              <w:rPr>
                <w:snapToGrid/>
                <w:spacing w:val="0"/>
                <w:sz w:val="20"/>
              </w:rPr>
            </w:pPr>
            <w:r>
              <w:rPr>
                <w:snapToGrid/>
                <w:spacing w:val="0"/>
                <w:sz w:val="20"/>
              </w:rPr>
              <w:t>(10,984,321,005)</w:t>
            </w:r>
          </w:p>
        </w:tc>
        <w:tc>
          <w:tcPr>
            <w:tcW w:w="1300" w:type="dxa"/>
          </w:tcPr>
          <w:p w:rsidR="00000000" w:rsidRDefault="009C1C61">
            <w:pPr>
              <w:pStyle w:val="a2"/>
              <w:spacing w:line="360" w:lineRule="exact"/>
              <w:jc w:val="center"/>
              <w:rPr>
                <w:snapToGrid/>
                <w:spacing w:val="0"/>
                <w:sz w:val="20"/>
              </w:rPr>
            </w:pPr>
            <w:r>
              <w:rPr>
                <w:snapToGrid/>
                <w:spacing w:val="0"/>
                <w:sz w:val="20"/>
              </w:rPr>
              <w:t>5.5</w:t>
            </w:r>
          </w:p>
        </w:tc>
        <w:tc>
          <w:tcPr>
            <w:tcW w:w="1285" w:type="dxa"/>
          </w:tcPr>
          <w:p w:rsidR="00000000" w:rsidRDefault="009C1C61">
            <w:pPr>
              <w:pStyle w:val="a2"/>
              <w:spacing w:line="360" w:lineRule="exact"/>
              <w:jc w:val="center"/>
              <w:rPr>
                <w:snapToGrid/>
                <w:spacing w:val="0"/>
                <w:sz w:val="20"/>
              </w:rPr>
            </w:pPr>
            <w:r>
              <w:rPr>
                <w:snapToGrid/>
                <w:spacing w:val="0"/>
                <w:sz w:val="20"/>
              </w:rPr>
              <w:t>1.1</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1995</w:t>
            </w:r>
          </w:p>
        </w:tc>
        <w:tc>
          <w:tcPr>
            <w:tcW w:w="1470" w:type="dxa"/>
          </w:tcPr>
          <w:p w:rsidR="00000000" w:rsidRDefault="009C1C61">
            <w:pPr>
              <w:pStyle w:val="a2"/>
              <w:spacing w:line="360" w:lineRule="exact"/>
              <w:jc w:val="right"/>
              <w:rPr>
                <w:snapToGrid/>
                <w:spacing w:val="0"/>
                <w:sz w:val="20"/>
              </w:rPr>
            </w:pPr>
            <w:r>
              <w:rPr>
                <w:snapToGrid/>
                <w:spacing w:val="0"/>
                <w:sz w:val="20"/>
              </w:rPr>
              <w:t>253,819</w:t>
            </w:r>
          </w:p>
          <w:p w:rsidR="00000000" w:rsidRDefault="009C1C61">
            <w:pPr>
              <w:pStyle w:val="a2"/>
              <w:spacing w:line="360" w:lineRule="exact"/>
              <w:jc w:val="right"/>
              <w:rPr>
                <w:snapToGrid/>
                <w:spacing w:val="0"/>
                <w:sz w:val="20"/>
              </w:rPr>
            </w:pPr>
            <w:r>
              <w:rPr>
                <w:snapToGrid/>
                <w:spacing w:val="0"/>
                <w:sz w:val="20"/>
              </w:rPr>
              <w:t>(639,713)</w:t>
            </w:r>
          </w:p>
        </w:tc>
        <w:tc>
          <w:tcPr>
            <w:tcW w:w="1393" w:type="dxa"/>
          </w:tcPr>
          <w:p w:rsidR="00000000" w:rsidRDefault="009C1C61">
            <w:pPr>
              <w:pStyle w:val="a2"/>
              <w:spacing w:line="360" w:lineRule="exact"/>
              <w:jc w:val="right"/>
              <w:rPr>
                <w:snapToGrid/>
                <w:spacing w:val="0"/>
                <w:sz w:val="20"/>
              </w:rPr>
            </w:pPr>
            <w:r>
              <w:rPr>
                <w:snapToGrid/>
                <w:spacing w:val="0"/>
                <w:sz w:val="20"/>
              </w:rPr>
              <w:t>34,791</w:t>
            </w:r>
          </w:p>
          <w:p w:rsidR="00000000" w:rsidRDefault="009C1C61">
            <w:pPr>
              <w:pStyle w:val="a2"/>
              <w:spacing w:line="360" w:lineRule="exact"/>
              <w:jc w:val="right"/>
              <w:rPr>
                <w:snapToGrid/>
                <w:spacing w:val="0"/>
                <w:sz w:val="20"/>
              </w:rPr>
            </w:pPr>
            <w:r>
              <w:rPr>
                <w:snapToGrid/>
                <w:spacing w:val="0"/>
                <w:sz w:val="20"/>
              </w:rPr>
              <w:t>(87,685,560)</w:t>
            </w:r>
          </w:p>
        </w:tc>
        <w:tc>
          <w:tcPr>
            <w:tcW w:w="1498" w:type="dxa"/>
          </w:tcPr>
          <w:p w:rsidR="00000000" w:rsidRDefault="009C1C61">
            <w:pPr>
              <w:pStyle w:val="a2"/>
              <w:spacing w:line="360" w:lineRule="exact"/>
              <w:jc w:val="right"/>
              <w:rPr>
                <w:snapToGrid/>
                <w:spacing w:val="0"/>
                <w:sz w:val="20"/>
              </w:rPr>
            </w:pPr>
            <w:r>
              <w:rPr>
                <w:snapToGrid/>
                <w:spacing w:val="0"/>
                <w:sz w:val="20"/>
              </w:rPr>
              <w:t>288,610</w:t>
            </w:r>
          </w:p>
          <w:p w:rsidR="00000000" w:rsidRDefault="009C1C61">
            <w:pPr>
              <w:pStyle w:val="a2"/>
              <w:spacing w:line="360" w:lineRule="exact"/>
              <w:jc w:val="right"/>
              <w:rPr>
                <w:snapToGrid/>
                <w:spacing w:val="0"/>
                <w:sz w:val="20"/>
              </w:rPr>
            </w:pPr>
            <w:r>
              <w:rPr>
                <w:snapToGrid/>
                <w:spacing w:val="0"/>
                <w:sz w:val="20"/>
              </w:rPr>
              <w:t>(727,398,744)</w:t>
            </w:r>
          </w:p>
        </w:tc>
        <w:tc>
          <w:tcPr>
            <w:tcW w:w="1664" w:type="dxa"/>
          </w:tcPr>
          <w:p w:rsidR="00000000" w:rsidRDefault="009C1C61">
            <w:pPr>
              <w:pStyle w:val="a2"/>
              <w:spacing w:line="360" w:lineRule="exact"/>
              <w:jc w:val="right"/>
              <w:rPr>
                <w:snapToGrid/>
                <w:spacing w:val="0"/>
                <w:sz w:val="20"/>
              </w:rPr>
            </w:pPr>
            <w:r>
              <w:rPr>
                <w:snapToGrid/>
                <w:spacing w:val="0"/>
                <w:sz w:val="20"/>
              </w:rPr>
              <w:t>5,265,064</w:t>
            </w:r>
          </w:p>
          <w:p w:rsidR="00000000" w:rsidRDefault="009C1C61">
            <w:pPr>
              <w:pStyle w:val="a2"/>
              <w:spacing w:line="360" w:lineRule="exact"/>
              <w:jc w:val="right"/>
              <w:rPr>
                <w:snapToGrid/>
                <w:spacing w:val="0"/>
                <w:sz w:val="20"/>
              </w:rPr>
            </w:pPr>
            <w:r>
              <w:rPr>
                <w:snapToGrid/>
                <w:spacing w:val="0"/>
                <w:sz w:val="20"/>
              </w:rPr>
              <w:t>(13,269,813,746)</w:t>
            </w:r>
          </w:p>
        </w:tc>
        <w:tc>
          <w:tcPr>
            <w:tcW w:w="1300" w:type="dxa"/>
          </w:tcPr>
          <w:p w:rsidR="00000000" w:rsidRDefault="009C1C61">
            <w:pPr>
              <w:pStyle w:val="a2"/>
              <w:spacing w:line="360" w:lineRule="exact"/>
              <w:jc w:val="center"/>
              <w:rPr>
                <w:snapToGrid/>
                <w:spacing w:val="0"/>
                <w:sz w:val="20"/>
              </w:rPr>
            </w:pPr>
            <w:r>
              <w:rPr>
                <w:snapToGrid/>
                <w:spacing w:val="0"/>
                <w:sz w:val="20"/>
              </w:rPr>
              <w:t>5.5</w:t>
            </w:r>
          </w:p>
        </w:tc>
        <w:tc>
          <w:tcPr>
            <w:tcW w:w="1285" w:type="dxa"/>
          </w:tcPr>
          <w:p w:rsidR="00000000" w:rsidRDefault="009C1C61">
            <w:pPr>
              <w:pStyle w:val="a2"/>
              <w:spacing w:line="360" w:lineRule="exact"/>
              <w:jc w:val="center"/>
              <w:rPr>
                <w:snapToGrid/>
                <w:spacing w:val="0"/>
                <w:sz w:val="20"/>
              </w:rPr>
            </w:pPr>
            <w:r>
              <w:rPr>
                <w:snapToGrid/>
                <w:spacing w:val="0"/>
                <w:sz w:val="20"/>
              </w:rPr>
              <w:t>1.1</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1996</w:t>
            </w:r>
          </w:p>
        </w:tc>
        <w:tc>
          <w:tcPr>
            <w:tcW w:w="1470" w:type="dxa"/>
          </w:tcPr>
          <w:p w:rsidR="00000000" w:rsidRDefault="009C1C61">
            <w:pPr>
              <w:pStyle w:val="a2"/>
              <w:spacing w:line="360" w:lineRule="exact"/>
              <w:jc w:val="right"/>
              <w:rPr>
                <w:snapToGrid/>
                <w:spacing w:val="0"/>
                <w:sz w:val="20"/>
              </w:rPr>
            </w:pPr>
            <w:r>
              <w:rPr>
                <w:snapToGrid/>
                <w:spacing w:val="0"/>
                <w:sz w:val="20"/>
              </w:rPr>
              <w:t>300,771</w:t>
            </w:r>
          </w:p>
          <w:p w:rsidR="00000000" w:rsidRDefault="009C1C61">
            <w:pPr>
              <w:pStyle w:val="a2"/>
              <w:spacing w:line="360" w:lineRule="exact"/>
              <w:jc w:val="right"/>
              <w:rPr>
                <w:snapToGrid/>
                <w:spacing w:val="0"/>
                <w:sz w:val="20"/>
              </w:rPr>
            </w:pPr>
            <w:r>
              <w:rPr>
                <w:snapToGrid/>
                <w:spacing w:val="0"/>
                <w:sz w:val="20"/>
              </w:rPr>
              <w:t>(729,548,596)</w:t>
            </w:r>
          </w:p>
        </w:tc>
        <w:tc>
          <w:tcPr>
            <w:tcW w:w="1393" w:type="dxa"/>
          </w:tcPr>
          <w:p w:rsidR="00000000" w:rsidRDefault="009C1C61">
            <w:pPr>
              <w:pStyle w:val="a2"/>
              <w:spacing w:line="360" w:lineRule="exact"/>
              <w:jc w:val="right"/>
              <w:rPr>
                <w:snapToGrid/>
                <w:spacing w:val="0"/>
                <w:sz w:val="20"/>
              </w:rPr>
            </w:pPr>
            <w:r>
              <w:rPr>
                <w:snapToGrid/>
                <w:spacing w:val="0"/>
                <w:sz w:val="20"/>
              </w:rPr>
              <w:t>45,017</w:t>
            </w:r>
          </w:p>
          <w:p w:rsidR="00000000" w:rsidRDefault="009C1C61">
            <w:pPr>
              <w:pStyle w:val="a2"/>
              <w:spacing w:line="360" w:lineRule="exact"/>
              <w:jc w:val="right"/>
              <w:rPr>
                <w:snapToGrid/>
                <w:spacing w:val="0"/>
                <w:sz w:val="20"/>
              </w:rPr>
            </w:pPr>
            <w:r>
              <w:rPr>
                <w:snapToGrid/>
                <w:spacing w:val="0"/>
                <w:sz w:val="20"/>
              </w:rPr>
              <w:t>(109,193,004)</w:t>
            </w:r>
          </w:p>
        </w:tc>
        <w:tc>
          <w:tcPr>
            <w:tcW w:w="1498" w:type="dxa"/>
          </w:tcPr>
          <w:p w:rsidR="00000000" w:rsidRDefault="009C1C61">
            <w:pPr>
              <w:pStyle w:val="a2"/>
              <w:spacing w:line="360" w:lineRule="exact"/>
              <w:jc w:val="right"/>
              <w:rPr>
                <w:rFonts w:hint="eastAsia"/>
                <w:snapToGrid/>
                <w:spacing w:val="0"/>
                <w:sz w:val="20"/>
              </w:rPr>
            </w:pPr>
            <w:r>
              <w:rPr>
                <w:snapToGrid/>
                <w:spacing w:val="0"/>
                <w:sz w:val="20"/>
              </w:rPr>
              <w:t>345,788</w:t>
            </w:r>
          </w:p>
          <w:p w:rsidR="00000000" w:rsidRDefault="009C1C61">
            <w:pPr>
              <w:pStyle w:val="a2"/>
              <w:spacing w:line="360" w:lineRule="exact"/>
              <w:jc w:val="right"/>
              <w:rPr>
                <w:snapToGrid/>
                <w:spacing w:val="0"/>
                <w:sz w:val="20"/>
              </w:rPr>
            </w:pPr>
            <w:r>
              <w:rPr>
                <w:snapToGrid/>
                <w:spacing w:val="0"/>
                <w:sz w:val="20"/>
              </w:rPr>
              <w:t>(</w:t>
            </w:r>
            <w:r>
              <w:rPr>
                <w:snapToGrid/>
                <w:spacing w:val="0"/>
                <w:sz w:val="20"/>
              </w:rPr>
              <w:t>838,741,600)</w:t>
            </w:r>
          </w:p>
        </w:tc>
        <w:tc>
          <w:tcPr>
            <w:tcW w:w="1664" w:type="dxa"/>
          </w:tcPr>
          <w:p w:rsidR="00000000" w:rsidRDefault="009C1C61">
            <w:pPr>
              <w:pStyle w:val="a2"/>
              <w:spacing w:line="360" w:lineRule="exact"/>
              <w:jc w:val="right"/>
              <w:rPr>
                <w:snapToGrid/>
                <w:spacing w:val="0"/>
                <w:sz w:val="20"/>
              </w:rPr>
            </w:pPr>
            <w:r>
              <w:rPr>
                <w:snapToGrid/>
                <w:spacing w:val="0"/>
                <w:sz w:val="20"/>
              </w:rPr>
              <w:t>6,137,987</w:t>
            </w:r>
          </w:p>
          <w:p w:rsidR="00000000" w:rsidRDefault="009C1C61">
            <w:pPr>
              <w:pStyle w:val="a2"/>
              <w:spacing w:line="360" w:lineRule="exact"/>
              <w:jc w:val="right"/>
              <w:rPr>
                <w:snapToGrid/>
                <w:spacing w:val="0"/>
                <w:sz w:val="20"/>
              </w:rPr>
            </w:pPr>
            <w:r>
              <w:rPr>
                <w:snapToGrid/>
                <w:spacing w:val="0"/>
                <w:sz w:val="20"/>
              </w:rPr>
              <w:t>(14,888,269,823)</w:t>
            </w:r>
          </w:p>
        </w:tc>
        <w:tc>
          <w:tcPr>
            <w:tcW w:w="1300" w:type="dxa"/>
          </w:tcPr>
          <w:p w:rsidR="00000000" w:rsidRDefault="009C1C61">
            <w:pPr>
              <w:pStyle w:val="a2"/>
              <w:spacing w:line="360" w:lineRule="exact"/>
              <w:jc w:val="center"/>
              <w:rPr>
                <w:snapToGrid/>
                <w:spacing w:val="0"/>
                <w:sz w:val="20"/>
              </w:rPr>
            </w:pPr>
            <w:r>
              <w:rPr>
                <w:snapToGrid/>
                <w:spacing w:val="0"/>
                <w:sz w:val="20"/>
              </w:rPr>
              <w:t>5.6</w:t>
            </w:r>
          </w:p>
        </w:tc>
        <w:tc>
          <w:tcPr>
            <w:tcW w:w="1285" w:type="dxa"/>
          </w:tcPr>
          <w:p w:rsidR="00000000" w:rsidRDefault="009C1C61">
            <w:pPr>
              <w:pStyle w:val="a2"/>
              <w:spacing w:line="360" w:lineRule="exact"/>
              <w:jc w:val="center"/>
              <w:rPr>
                <w:snapToGrid/>
                <w:spacing w:val="0"/>
                <w:sz w:val="20"/>
              </w:rPr>
            </w:pPr>
            <w:r>
              <w:rPr>
                <w:snapToGrid/>
                <w:spacing w:val="0"/>
                <w:sz w:val="20"/>
              </w:rPr>
              <w:t>1.2</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1997</w:t>
            </w:r>
          </w:p>
        </w:tc>
        <w:tc>
          <w:tcPr>
            <w:tcW w:w="1470" w:type="dxa"/>
          </w:tcPr>
          <w:p w:rsidR="00000000" w:rsidRDefault="009C1C61">
            <w:pPr>
              <w:pStyle w:val="a2"/>
              <w:spacing w:line="360" w:lineRule="exact"/>
              <w:jc w:val="right"/>
              <w:rPr>
                <w:snapToGrid/>
                <w:spacing w:val="0"/>
                <w:sz w:val="20"/>
              </w:rPr>
            </w:pPr>
            <w:r>
              <w:rPr>
                <w:snapToGrid/>
                <w:spacing w:val="0"/>
                <w:sz w:val="20"/>
              </w:rPr>
              <w:t>305,062</w:t>
            </w:r>
          </w:p>
          <w:p w:rsidR="00000000" w:rsidRDefault="009C1C61">
            <w:pPr>
              <w:pStyle w:val="a2"/>
              <w:spacing w:line="360" w:lineRule="exact"/>
              <w:jc w:val="right"/>
              <w:rPr>
                <w:snapToGrid/>
                <w:spacing w:val="0"/>
                <w:sz w:val="20"/>
              </w:rPr>
            </w:pPr>
            <w:r>
              <w:rPr>
                <w:snapToGrid/>
                <w:spacing w:val="0"/>
                <w:sz w:val="20"/>
              </w:rPr>
              <w:t>(727,533,328)</w:t>
            </w:r>
          </w:p>
        </w:tc>
        <w:tc>
          <w:tcPr>
            <w:tcW w:w="1393" w:type="dxa"/>
          </w:tcPr>
          <w:p w:rsidR="00000000" w:rsidRDefault="009C1C61">
            <w:pPr>
              <w:pStyle w:val="a2"/>
              <w:spacing w:line="360" w:lineRule="exact"/>
              <w:jc w:val="right"/>
              <w:rPr>
                <w:snapToGrid/>
                <w:spacing w:val="0"/>
                <w:sz w:val="20"/>
              </w:rPr>
            </w:pPr>
            <w:r>
              <w:rPr>
                <w:snapToGrid/>
                <w:spacing w:val="0"/>
                <w:sz w:val="20"/>
              </w:rPr>
              <w:t>46,325</w:t>
            </w:r>
          </w:p>
          <w:p w:rsidR="00000000" w:rsidRDefault="009C1C61">
            <w:pPr>
              <w:pStyle w:val="a2"/>
              <w:spacing w:line="360" w:lineRule="exact"/>
              <w:jc w:val="right"/>
              <w:rPr>
                <w:snapToGrid/>
                <w:spacing w:val="0"/>
                <w:sz w:val="20"/>
              </w:rPr>
            </w:pPr>
            <w:r>
              <w:rPr>
                <w:snapToGrid/>
                <w:spacing w:val="0"/>
                <w:sz w:val="20"/>
              </w:rPr>
              <w:t>(110,479,120)</w:t>
            </w:r>
          </w:p>
        </w:tc>
        <w:tc>
          <w:tcPr>
            <w:tcW w:w="1498" w:type="dxa"/>
          </w:tcPr>
          <w:p w:rsidR="00000000" w:rsidRDefault="009C1C61">
            <w:pPr>
              <w:pStyle w:val="a2"/>
              <w:spacing w:line="360" w:lineRule="exact"/>
              <w:jc w:val="right"/>
              <w:rPr>
                <w:snapToGrid/>
                <w:spacing w:val="0"/>
                <w:sz w:val="20"/>
              </w:rPr>
            </w:pPr>
            <w:r>
              <w:rPr>
                <w:snapToGrid/>
                <w:spacing w:val="0"/>
                <w:sz w:val="20"/>
              </w:rPr>
              <w:t>351,387</w:t>
            </w:r>
          </w:p>
          <w:p w:rsidR="00000000" w:rsidRDefault="009C1C61">
            <w:pPr>
              <w:pStyle w:val="a2"/>
              <w:spacing w:line="360" w:lineRule="exact"/>
              <w:jc w:val="right"/>
              <w:rPr>
                <w:snapToGrid/>
                <w:spacing w:val="0"/>
                <w:sz w:val="20"/>
              </w:rPr>
            </w:pPr>
            <w:r>
              <w:rPr>
                <w:snapToGrid/>
                <w:spacing w:val="0"/>
                <w:sz w:val="20"/>
              </w:rPr>
              <w:t>(838,102,448)</w:t>
            </w:r>
          </w:p>
        </w:tc>
        <w:tc>
          <w:tcPr>
            <w:tcW w:w="1664" w:type="dxa"/>
          </w:tcPr>
          <w:p w:rsidR="00000000" w:rsidRDefault="009C1C61">
            <w:pPr>
              <w:pStyle w:val="a2"/>
              <w:spacing w:line="360" w:lineRule="exact"/>
              <w:jc w:val="right"/>
              <w:rPr>
                <w:snapToGrid/>
                <w:spacing w:val="0"/>
                <w:sz w:val="20"/>
              </w:rPr>
            </w:pPr>
            <w:r>
              <w:rPr>
                <w:snapToGrid/>
                <w:spacing w:val="0"/>
                <w:sz w:val="20"/>
              </w:rPr>
              <w:t>6,909,975</w:t>
            </w:r>
          </w:p>
          <w:p w:rsidR="00000000" w:rsidRDefault="009C1C61">
            <w:pPr>
              <w:pStyle w:val="a2"/>
              <w:spacing w:line="360" w:lineRule="exact"/>
              <w:jc w:val="right"/>
              <w:rPr>
                <w:snapToGrid/>
                <w:spacing w:val="0"/>
                <w:sz w:val="20"/>
              </w:rPr>
            </w:pPr>
            <w:r>
              <w:rPr>
                <w:snapToGrid/>
                <w:spacing w:val="0"/>
                <w:sz w:val="20"/>
              </w:rPr>
              <w:t>(16,479,394,719)</w:t>
            </w:r>
          </w:p>
        </w:tc>
        <w:tc>
          <w:tcPr>
            <w:tcW w:w="1300" w:type="dxa"/>
          </w:tcPr>
          <w:p w:rsidR="00000000" w:rsidRDefault="009C1C61">
            <w:pPr>
              <w:pStyle w:val="a2"/>
              <w:spacing w:line="360" w:lineRule="exact"/>
              <w:jc w:val="center"/>
              <w:rPr>
                <w:snapToGrid/>
                <w:spacing w:val="0"/>
                <w:sz w:val="20"/>
              </w:rPr>
            </w:pPr>
            <w:r>
              <w:rPr>
                <w:snapToGrid/>
                <w:spacing w:val="0"/>
                <w:sz w:val="20"/>
              </w:rPr>
              <w:t>5.1</w:t>
            </w:r>
          </w:p>
        </w:tc>
        <w:tc>
          <w:tcPr>
            <w:tcW w:w="1285" w:type="dxa"/>
          </w:tcPr>
          <w:p w:rsidR="00000000" w:rsidRDefault="009C1C61">
            <w:pPr>
              <w:pStyle w:val="a2"/>
              <w:spacing w:line="360" w:lineRule="exact"/>
              <w:jc w:val="center"/>
              <w:rPr>
                <w:snapToGrid/>
                <w:spacing w:val="0"/>
                <w:sz w:val="20"/>
              </w:rPr>
            </w:pPr>
            <w:r>
              <w:rPr>
                <w:snapToGrid/>
                <w:spacing w:val="0"/>
                <w:sz w:val="20"/>
              </w:rPr>
              <w:t>1.1</w:t>
            </w:r>
          </w:p>
        </w:tc>
      </w:tr>
      <w:tr w:rsidR="00000000">
        <w:tblPrEx>
          <w:tblCellMar>
            <w:top w:w="0" w:type="dxa"/>
            <w:bottom w:w="0" w:type="dxa"/>
          </w:tblCellMar>
        </w:tblPrEx>
        <w:tc>
          <w:tcPr>
            <w:tcW w:w="735" w:type="dxa"/>
          </w:tcPr>
          <w:p w:rsidR="00000000" w:rsidRDefault="009C1C61">
            <w:pPr>
              <w:pStyle w:val="a2"/>
              <w:spacing w:line="360" w:lineRule="exact"/>
              <w:jc w:val="center"/>
              <w:rPr>
                <w:snapToGrid/>
                <w:spacing w:val="0"/>
                <w:sz w:val="20"/>
              </w:rPr>
            </w:pPr>
            <w:r>
              <w:rPr>
                <w:snapToGrid/>
                <w:spacing w:val="0"/>
                <w:sz w:val="20"/>
              </w:rPr>
              <w:t>1998</w:t>
            </w:r>
          </w:p>
        </w:tc>
        <w:tc>
          <w:tcPr>
            <w:tcW w:w="1470" w:type="dxa"/>
          </w:tcPr>
          <w:p w:rsidR="00000000" w:rsidRDefault="009C1C61">
            <w:pPr>
              <w:pStyle w:val="a2"/>
              <w:spacing w:line="360" w:lineRule="exact"/>
              <w:jc w:val="right"/>
              <w:rPr>
                <w:snapToGrid/>
                <w:spacing w:val="0"/>
                <w:sz w:val="20"/>
              </w:rPr>
            </w:pPr>
            <w:r>
              <w:rPr>
                <w:snapToGrid/>
                <w:spacing w:val="0"/>
                <w:sz w:val="20"/>
              </w:rPr>
              <w:t>327,128</w:t>
            </w:r>
          </w:p>
          <w:p w:rsidR="00000000" w:rsidRDefault="009C1C61">
            <w:pPr>
              <w:pStyle w:val="a2"/>
              <w:spacing w:line="360" w:lineRule="exact"/>
              <w:jc w:val="right"/>
              <w:rPr>
                <w:snapToGrid/>
                <w:spacing w:val="0"/>
                <w:sz w:val="20"/>
              </w:rPr>
            </w:pPr>
            <w:r>
              <w:rPr>
                <w:snapToGrid/>
                <w:spacing w:val="0"/>
                <w:sz w:val="20"/>
              </w:rPr>
              <w:t>(710,699,776)</w:t>
            </w:r>
          </w:p>
        </w:tc>
        <w:tc>
          <w:tcPr>
            <w:tcW w:w="1393" w:type="dxa"/>
          </w:tcPr>
          <w:p w:rsidR="00000000" w:rsidRDefault="009C1C61">
            <w:pPr>
              <w:pStyle w:val="a2"/>
              <w:spacing w:line="360" w:lineRule="exact"/>
              <w:jc w:val="right"/>
              <w:rPr>
                <w:snapToGrid/>
                <w:spacing w:val="0"/>
                <w:sz w:val="20"/>
              </w:rPr>
            </w:pPr>
            <w:r>
              <w:rPr>
                <w:snapToGrid/>
                <w:spacing w:val="0"/>
                <w:sz w:val="20"/>
              </w:rPr>
              <w:t>49,600</w:t>
            </w:r>
          </w:p>
          <w:p w:rsidR="00000000" w:rsidRDefault="009C1C61">
            <w:pPr>
              <w:pStyle w:val="a2"/>
              <w:spacing w:line="360" w:lineRule="exact"/>
              <w:jc w:val="right"/>
              <w:rPr>
                <w:snapToGrid/>
                <w:spacing w:val="0"/>
                <w:sz w:val="20"/>
              </w:rPr>
            </w:pPr>
            <w:r>
              <w:rPr>
                <w:snapToGrid/>
                <w:spacing w:val="0"/>
                <w:sz w:val="20"/>
              </w:rPr>
              <w:t>(107,758,152)</w:t>
            </w:r>
          </w:p>
        </w:tc>
        <w:tc>
          <w:tcPr>
            <w:tcW w:w="1498" w:type="dxa"/>
          </w:tcPr>
          <w:p w:rsidR="00000000" w:rsidRDefault="009C1C61">
            <w:pPr>
              <w:pStyle w:val="a2"/>
              <w:spacing w:line="360" w:lineRule="exact"/>
              <w:jc w:val="right"/>
              <w:rPr>
                <w:snapToGrid/>
                <w:spacing w:val="0"/>
                <w:sz w:val="20"/>
              </w:rPr>
            </w:pPr>
            <w:r>
              <w:rPr>
                <w:snapToGrid/>
                <w:spacing w:val="0"/>
                <w:sz w:val="20"/>
              </w:rPr>
              <w:t>376,728</w:t>
            </w:r>
          </w:p>
          <w:p w:rsidR="00000000" w:rsidRDefault="009C1C61">
            <w:pPr>
              <w:pStyle w:val="a2"/>
              <w:spacing w:line="360" w:lineRule="exact"/>
              <w:jc w:val="right"/>
              <w:rPr>
                <w:snapToGrid/>
                <w:spacing w:val="0"/>
                <w:sz w:val="20"/>
              </w:rPr>
            </w:pPr>
            <w:r>
              <w:rPr>
                <w:snapToGrid/>
                <w:spacing w:val="0"/>
                <w:sz w:val="20"/>
              </w:rPr>
              <w:t>(818,457,928)</w:t>
            </w:r>
          </w:p>
        </w:tc>
        <w:tc>
          <w:tcPr>
            <w:tcW w:w="1664" w:type="dxa"/>
          </w:tcPr>
          <w:p w:rsidR="00000000" w:rsidRDefault="009C1C61">
            <w:pPr>
              <w:pStyle w:val="a2"/>
              <w:spacing w:line="360" w:lineRule="exact"/>
              <w:jc w:val="right"/>
              <w:rPr>
                <w:snapToGrid/>
                <w:spacing w:val="0"/>
                <w:sz w:val="20"/>
              </w:rPr>
            </w:pPr>
            <w:r>
              <w:rPr>
                <w:snapToGrid/>
                <w:spacing w:val="0"/>
                <w:sz w:val="20"/>
              </w:rPr>
              <w:t>7,781,898</w:t>
            </w:r>
          </w:p>
          <w:p w:rsidR="00000000" w:rsidRDefault="009C1C61">
            <w:pPr>
              <w:pStyle w:val="a2"/>
              <w:spacing w:line="360" w:lineRule="exact"/>
              <w:jc w:val="right"/>
              <w:rPr>
                <w:snapToGrid/>
                <w:spacing w:val="0"/>
                <w:sz w:val="20"/>
              </w:rPr>
            </w:pPr>
            <w:r>
              <w:rPr>
                <w:snapToGrid/>
                <w:spacing w:val="0"/>
                <w:sz w:val="20"/>
              </w:rPr>
              <w:t>(16,906,511,112)</w:t>
            </w:r>
          </w:p>
        </w:tc>
        <w:tc>
          <w:tcPr>
            <w:tcW w:w="1300" w:type="dxa"/>
          </w:tcPr>
          <w:p w:rsidR="00000000" w:rsidRDefault="009C1C61">
            <w:pPr>
              <w:pStyle w:val="a2"/>
              <w:spacing w:line="360" w:lineRule="exact"/>
              <w:jc w:val="center"/>
              <w:rPr>
                <w:snapToGrid/>
                <w:spacing w:val="0"/>
                <w:sz w:val="20"/>
              </w:rPr>
            </w:pPr>
            <w:r>
              <w:rPr>
                <w:snapToGrid/>
                <w:spacing w:val="0"/>
                <w:sz w:val="20"/>
              </w:rPr>
              <w:t>4.8</w:t>
            </w:r>
          </w:p>
        </w:tc>
        <w:tc>
          <w:tcPr>
            <w:tcW w:w="1285" w:type="dxa"/>
          </w:tcPr>
          <w:p w:rsidR="00000000" w:rsidRDefault="009C1C61">
            <w:pPr>
              <w:pStyle w:val="a2"/>
              <w:spacing w:line="360" w:lineRule="exact"/>
              <w:jc w:val="center"/>
              <w:rPr>
                <w:snapToGrid/>
                <w:spacing w:val="0"/>
                <w:sz w:val="20"/>
              </w:rPr>
            </w:pPr>
            <w:r>
              <w:rPr>
                <w:snapToGrid/>
                <w:spacing w:val="0"/>
                <w:sz w:val="20"/>
              </w:rPr>
              <w:t>1.1</w:t>
            </w:r>
          </w:p>
        </w:tc>
      </w:tr>
    </w:tbl>
    <w:p w:rsidR="00000000" w:rsidRDefault="009C1C61">
      <w:pPr>
        <w:pStyle w:val="EndnoteText"/>
        <w:spacing w:before="300" w:line="312" w:lineRule="auto"/>
        <w:rPr>
          <w:snapToGrid/>
        </w:rPr>
      </w:pPr>
      <w:r>
        <w:rPr>
          <w:rFonts w:hint="eastAsia"/>
          <w:snapToGrid/>
          <w:u w:val="single"/>
        </w:rPr>
        <w:t>资料来源</w:t>
      </w:r>
      <w:r>
        <w:rPr>
          <w:rFonts w:hint="eastAsia"/>
          <w:snapToGrid/>
        </w:rPr>
        <w:t>：预算处</w:t>
      </w:r>
      <w:r>
        <w:rPr>
          <w:rFonts w:hint="eastAsia"/>
          <w:snapToGrid/>
        </w:rPr>
        <w:t>(2000</w:t>
      </w:r>
      <w:r>
        <w:rPr>
          <w:rFonts w:hint="eastAsia"/>
          <w:snapToGrid/>
        </w:rPr>
        <w:t>年</w:t>
      </w:r>
      <w:r>
        <w:rPr>
          <w:rFonts w:hint="eastAsia"/>
          <w:snapToGrid/>
        </w:rPr>
        <w:t>)</w:t>
      </w:r>
      <w:r>
        <w:rPr>
          <w:rFonts w:hint="eastAsia"/>
          <w:snapToGrid/>
        </w:rPr>
        <w:t>。</w:t>
      </w:r>
    </w:p>
    <w:p w:rsidR="00000000" w:rsidRDefault="009C1C61">
      <w:pPr>
        <w:pStyle w:val="EndnoteText"/>
        <w:spacing w:before="60" w:after="240" w:line="336" w:lineRule="auto"/>
        <w:rPr>
          <w:snapToGrid/>
        </w:rPr>
      </w:pPr>
      <w:r>
        <w:rPr>
          <w:rFonts w:hint="eastAsia"/>
          <w:snapToGrid/>
        </w:rPr>
        <w:t>(</w:t>
      </w:r>
      <w:r>
        <w:rPr>
          <w:snapToGrid/>
        </w:rPr>
        <w:t>a</w:t>
      </w:r>
      <w:r>
        <w:rPr>
          <w:rFonts w:hint="eastAsia"/>
          <w:snapToGrid/>
        </w:rPr>
        <w:t>)</w:t>
      </w:r>
      <w:r>
        <w:rPr>
          <w:snapToGrid/>
        </w:rPr>
        <w:t xml:space="preserve"> </w:t>
      </w:r>
      <w:r>
        <w:rPr>
          <w:rFonts w:hint="eastAsia"/>
          <w:snapToGrid/>
        </w:rPr>
        <w:t>城规部的支出</w:t>
      </w:r>
      <w:r>
        <w:rPr>
          <w:snapToGrid/>
        </w:rPr>
        <w:t>；</w:t>
      </w:r>
      <w:r>
        <w:rPr>
          <w:snapToGrid/>
        </w:rPr>
        <w:t xml:space="preserve">(b) </w:t>
      </w:r>
      <w:r>
        <w:rPr>
          <w:rFonts w:hint="eastAsia"/>
          <w:snapToGrid/>
        </w:rPr>
        <w:t>区域发展副秘书处用贫民区改建、城市复兴和提供设备的支出</w:t>
      </w:r>
      <w:r>
        <w:rPr>
          <w:snapToGrid/>
        </w:rPr>
        <w:t>；</w:t>
      </w:r>
      <w:r>
        <w:rPr>
          <w:snapToGrid/>
        </w:rPr>
        <w:t xml:space="preserve">(c) </w:t>
      </w:r>
      <w:r>
        <w:rPr>
          <w:rFonts w:hint="eastAsia"/>
          <w:snapToGrid/>
        </w:rPr>
        <w:t>一般活动、社会活动和经济活动支出，公债利息及其他操作角度无法归类的项目的支出。</w:t>
      </w:r>
    </w:p>
    <w:p w:rsidR="00000000" w:rsidRDefault="009C1C61">
      <w:pPr>
        <w:rPr>
          <w:rFonts w:hint="eastAsia"/>
          <w:snapToGrid/>
        </w:rPr>
      </w:pPr>
      <w:r>
        <w:rPr>
          <w:snapToGrid/>
        </w:rPr>
        <w:tab/>
        <w:t xml:space="preserve">604.  </w:t>
      </w:r>
      <w:r>
        <w:rPr>
          <w:rFonts w:hint="eastAsia"/>
          <w:snapToGrid/>
        </w:rPr>
        <w:t>自</w:t>
      </w:r>
      <w:r>
        <w:rPr>
          <w:snapToGrid/>
        </w:rPr>
        <w:t>1990</w:t>
      </w:r>
      <w:r>
        <w:rPr>
          <w:rFonts w:hint="eastAsia"/>
          <w:snapToGrid/>
        </w:rPr>
        <w:t>以来，住房支出大幅度增加，以解决住房严重短缺问题，满足日趋增长的住房需求，推进城市发展。</w:t>
      </w:r>
      <w:r>
        <w:rPr>
          <w:rFonts w:hint="eastAsia"/>
          <w:snapToGrid/>
        </w:rPr>
        <w:t>1989</w:t>
      </w:r>
      <w:r>
        <w:rPr>
          <w:rFonts w:hint="eastAsia"/>
          <w:snapToGrid/>
        </w:rPr>
        <w:t>至</w:t>
      </w:r>
      <w:r>
        <w:rPr>
          <w:rFonts w:hint="eastAsia"/>
          <w:snapToGrid/>
        </w:rPr>
        <w:t>2000</w:t>
      </w:r>
      <w:r>
        <w:rPr>
          <w:rFonts w:hint="eastAsia"/>
          <w:snapToGrid/>
        </w:rPr>
        <w:t>年期间，新增住房预算支出达</w:t>
      </w:r>
      <w:r>
        <w:rPr>
          <w:snapToGrid/>
        </w:rPr>
        <w:t>151.5%</w:t>
      </w:r>
      <w:r>
        <w:rPr>
          <w:rFonts w:hint="eastAsia"/>
          <w:snapToGrid/>
        </w:rPr>
        <w:t>，同期公共支出增加</w:t>
      </w:r>
      <w:r>
        <w:rPr>
          <w:snapToGrid/>
        </w:rPr>
        <w:t>52.7%</w:t>
      </w:r>
      <w:r>
        <w:rPr>
          <w:rFonts w:hint="eastAsia"/>
          <w:snapToGrid/>
        </w:rPr>
        <w:t>。</w:t>
      </w:r>
      <w:r>
        <w:rPr>
          <w:snapToGrid/>
        </w:rPr>
        <w:t>2000</w:t>
      </w:r>
      <w:r>
        <w:rPr>
          <w:rFonts w:hint="eastAsia"/>
          <w:snapToGrid/>
        </w:rPr>
        <w:t>年，住房的公共支出增加到</w:t>
      </w:r>
      <w:r>
        <w:rPr>
          <w:snapToGrid/>
        </w:rPr>
        <w:t>668</w:t>
      </w:r>
      <w:r>
        <w:rPr>
          <w:rFonts w:hint="eastAsia"/>
          <w:snapToGrid/>
        </w:rPr>
        <w:t>00</w:t>
      </w:r>
      <w:r>
        <w:rPr>
          <w:rFonts w:hint="eastAsia"/>
          <w:snapToGrid/>
        </w:rPr>
        <w:t>万</w:t>
      </w:r>
      <w:r>
        <w:rPr>
          <w:snapToGrid/>
        </w:rPr>
        <w:t>美元</w:t>
      </w:r>
      <w:r>
        <w:rPr>
          <w:rFonts w:hint="eastAsia"/>
          <w:snapToGrid/>
        </w:rPr>
        <w:t>，约占国内生产总值的</w:t>
      </w:r>
      <w:r>
        <w:rPr>
          <w:snapToGrid/>
        </w:rPr>
        <w:t>1%</w:t>
      </w:r>
      <w:r>
        <w:rPr>
          <w:rFonts w:hint="eastAsia"/>
          <w:snapToGrid/>
        </w:rPr>
        <w:t>，而预算支出上升到</w:t>
      </w:r>
      <w:r>
        <w:rPr>
          <w:snapToGrid/>
        </w:rPr>
        <w:t>578</w:t>
      </w:r>
      <w:r>
        <w:rPr>
          <w:rFonts w:hint="eastAsia"/>
          <w:snapToGrid/>
        </w:rPr>
        <w:t>00</w:t>
      </w:r>
      <w:r>
        <w:rPr>
          <w:snapToGrid/>
        </w:rPr>
        <w:t>美元</w:t>
      </w:r>
      <w:r>
        <w:rPr>
          <w:rFonts w:hint="eastAsia"/>
          <w:snapToGrid/>
        </w:rPr>
        <w:t>，</w:t>
      </w:r>
      <w:r>
        <w:rPr>
          <w:rFonts w:hint="eastAsia"/>
          <w:snapToGrid/>
        </w:rPr>
        <w:t>即占国内生产总值的</w:t>
      </w:r>
      <w:r>
        <w:rPr>
          <w:snapToGrid/>
        </w:rPr>
        <w:t>0.8%</w:t>
      </w:r>
      <w:r>
        <w:rPr>
          <w:rFonts w:hint="eastAsia"/>
          <w:snapToGrid/>
        </w:rPr>
        <w:t>。</w:t>
      </w:r>
    </w:p>
    <w:p w:rsidR="00000000" w:rsidRDefault="009C1C61">
      <w:pPr>
        <w:spacing w:after="320"/>
        <w:rPr>
          <w:rFonts w:hint="eastAsia"/>
          <w:snapToGrid/>
        </w:rPr>
      </w:pPr>
      <w:r>
        <w:rPr>
          <w:rFonts w:hint="eastAsia"/>
          <w:snapToGrid/>
        </w:rPr>
        <w:tab/>
      </w:r>
      <w:r>
        <w:rPr>
          <w:snapToGrid/>
        </w:rPr>
        <w:t xml:space="preserve">605. </w:t>
      </w:r>
      <w:r>
        <w:rPr>
          <w:rFonts w:hint="eastAsia"/>
          <w:snapToGrid/>
        </w:rPr>
        <w:t xml:space="preserve"> </w:t>
      </w:r>
      <w:r>
        <w:rPr>
          <w:rFonts w:hint="eastAsia"/>
          <w:snapToGrid/>
        </w:rPr>
        <w:t>公共住房支出中预算拨款由</w:t>
      </w:r>
      <w:r>
        <w:rPr>
          <w:rFonts w:hint="eastAsia"/>
          <w:snapToGrid/>
        </w:rPr>
        <w:t>1989</w:t>
      </w:r>
      <w:r>
        <w:rPr>
          <w:rFonts w:hint="eastAsia"/>
          <w:snapToGrid/>
        </w:rPr>
        <w:t>年占</w:t>
      </w:r>
      <w:r>
        <w:rPr>
          <w:snapToGrid/>
        </w:rPr>
        <w:t>52.4%</w:t>
      </w:r>
      <w:r>
        <w:rPr>
          <w:rFonts w:hint="eastAsia"/>
          <w:snapToGrid/>
        </w:rPr>
        <w:t>增加到</w:t>
      </w:r>
      <w:r>
        <w:rPr>
          <w:rFonts w:hint="eastAsia"/>
          <w:snapToGrid/>
        </w:rPr>
        <w:t>1995</w:t>
      </w:r>
      <w:r>
        <w:rPr>
          <w:rFonts w:hint="eastAsia"/>
          <w:snapToGrid/>
        </w:rPr>
        <w:t>年的</w:t>
      </w:r>
      <w:r>
        <w:rPr>
          <w:snapToGrid/>
        </w:rPr>
        <w:t>87.8%</w:t>
      </w:r>
      <w:r>
        <w:rPr>
          <w:rFonts w:hint="eastAsia"/>
          <w:snapToGrid/>
        </w:rPr>
        <w:t>，</w:t>
      </w:r>
      <w:r>
        <w:rPr>
          <w:rFonts w:hint="eastAsia"/>
          <w:snapToGrid/>
        </w:rPr>
        <w:t>2000</w:t>
      </w:r>
      <w:r>
        <w:rPr>
          <w:rFonts w:hint="eastAsia"/>
          <w:snapToGrid/>
        </w:rPr>
        <w:t>年下降到</w:t>
      </w:r>
      <w:r>
        <w:rPr>
          <w:snapToGrid/>
        </w:rPr>
        <w:t>86.3%</w:t>
      </w:r>
      <w:r>
        <w:rPr>
          <w:rFonts w:hint="eastAsia"/>
          <w:snapToGrid/>
        </w:rPr>
        <w:t>。</w:t>
      </w:r>
      <w:r>
        <w:rPr>
          <w:snapToGrid/>
        </w:rPr>
        <w:t>1989</w:t>
      </w:r>
      <w:r>
        <w:rPr>
          <w:rFonts w:hint="eastAsia"/>
          <w:snapToGrid/>
        </w:rPr>
        <w:t>至</w:t>
      </w:r>
      <w:r>
        <w:rPr>
          <w:snapToGrid/>
        </w:rPr>
        <w:t>2000</w:t>
      </w:r>
      <w:r>
        <w:rPr>
          <w:rFonts w:hint="eastAsia"/>
          <w:snapToGrid/>
        </w:rPr>
        <w:t>年期间，住房在社会支出预算中所占比例由</w:t>
      </w:r>
      <w:r>
        <w:rPr>
          <w:snapToGrid/>
        </w:rPr>
        <w:t>6.6%</w:t>
      </w:r>
      <w:r>
        <w:rPr>
          <w:rFonts w:hint="eastAsia"/>
          <w:snapToGrid/>
        </w:rPr>
        <w:t>上升到</w:t>
      </w:r>
      <w:r>
        <w:rPr>
          <w:rFonts w:hint="eastAsia"/>
          <w:snapToGrid/>
        </w:rPr>
        <w:t>1995</w:t>
      </w:r>
      <w:r>
        <w:rPr>
          <w:rFonts w:hint="eastAsia"/>
          <w:snapToGrid/>
        </w:rPr>
        <w:t>年的</w:t>
      </w:r>
      <w:r>
        <w:rPr>
          <w:snapToGrid/>
        </w:rPr>
        <w:t>8%</w:t>
      </w:r>
      <w:r>
        <w:rPr>
          <w:rFonts w:hint="eastAsia"/>
          <w:snapToGrid/>
        </w:rPr>
        <w:t>，</w:t>
      </w:r>
      <w:r>
        <w:rPr>
          <w:rFonts w:hint="eastAsia"/>
          <w:snapToGrid/>
        </w:rPr>
        <w:t>2000</w:t>
      </w:r>
      <w:r>
        <w:rPr>
          <w:rFonts w:hint="eastAsia"/>
          <w:snapToGrid/>
        </w:rPr>
        <w:t>年又下降到</w:t>
      </w:r>
      <w:r>
        <w:rPr>
          <w:snapToGrid/>
        </w:rPr>
        <w:t>5.9%</w:t>
      </w:r>
      <w:r>
        <w:rPr>
          <w:rFonts w:hint="eastAsia"/>
          <w:snapToGrid/>
        </w:rPr>
        <w:t>。住房在公共社会支出所占比例由</w:t>
      </w:r>
      <w:r>
        <w:rPr>
          <w:snapToGrid/>
        </w:rPr>
        <w:t>8.1%</w:t>
      </w:r>
      <w:r>
        <w:rPr>
          <w:rFonts w:hint="eastAsia"/>
          <w:snapToGrid/>
        </w:rPr>
        <w:t>减少到</w:t>
      </w:r>
      <w:r>
        <w:rPr>
          <w:rFonts w:hint="eastAsia"/>
          <w:snapToGrid/>
        </w:rPr>
        <w:t>1995</w:t>
      </w:r>
      <w:r>
        <w:rPr>
          <w:rFonts w:hint="eastAsia"/>
          <w:snapToGrid/>
        </w:rPr>
        <w:t>年的</w:t>
      </w:r>
      <w:r>
        <w:rPr>
          <w:snapToGrid/>
        </w:rPr>
        <w:t>8%</w:t>
      </w:r>
      <w:r>
        <w:rPr>
          <w:rFonts w:hint="eastAsia"/>
          <w:snapToGrid/>
        </w:rPr>
        <w:t>，</w:t>
      </w:r>
      <w:r>
        <w:rPr>
          <w:rFonts w:hint="eastAsia"/>
          <w:snapToGrid/>
        </w:rPr>
        <w:t>2000</w:t>
      </w:r>
      <w:r>
        <w:rPr>
          <w:rFonts w:hint="eastAsia"/>
          <w:snapToGrid/>
        </w:rPr>
        <w:t>年又下降到</w:t>
      </w:r>
      <w:r>
        <w:rPr>
          <w:snapToGrid/>
        </w:rPr>
        <w:t>5.8%</w:t>
      </w:r>
      <w:r>
        <w:rPr>
          <w:rFonts w:hint="eastAsia"/>
          <w:snapToGrid/>
        </w:rPr>
        <w:t xml:space="preserve"> </w:t>
      </w:r>
      <w:r>
        <w:rPr>
          <w:rStyle w:val="FootnoteReference"/>
          <w:bCs/>
          <w:snapToGrid/>
        </w:rPr>
        <w:footnoteReference w:id="278"/>
      </w:r>
      <w:r>
        <w:rPr>
          <w:bCs/>
          <w:snapToGrid/>
          <w:vertAlign w:val="superscript"/>
        </w:rPr>
        <w:t xml:space="preserve"> </w:t>
      </w:r>
      <w:r>
        <w:rPr>
          <w:snapToGrid/>
        </w:rPr>
        <w:t>(</w:t>
      </w:r>
      <w:r>
        <w:rPr>
          <w:rFonts w:hint="eastAsia"/>
          <w:snapToGrid/>
        </w:rPr>
        <w:t>见表</w:t>
      </w:r>
      <w:r>
        <w:rPr>
          <w:snapToGrid/>
        </w:rPr>
        <w:t>34)</w:t>
      </w:r>
      <w:r>
        <w:rPr>
          <w:rFonts w:hint="eastAsia"/>
          <w:snapToGrid/>
        </w:rPr>
        <w:t>。</w:t>
      </w:r>
    </w:p>
    <w:p w:rsidR="00000000" w:rsidRDefault="009C1C61">
      <w:pPr>
        <w:pStyle w:val="Heading3"/>
        <w:spacing w:after="160"/>
      </w:pPr>
      <w:r>
        <w:rPr>
          <w:rFonts w:hint="eastAsia"/>
        </w:rPr>
        <w:t>表</w:t>
      </w:r>
      <w:r>
        <w:rPr>
          <w:rFonts w:hint="eastAsia"/>
        </w:rPr>
        <w:t xml:space="preserve">  </w:t>
      </w:r>
      <w:r>
        <w:rPr>
          <w:b/>
          <w:bCs/>
        </w:rPr>
        <w:t>34</w:t>
      </w:r>
    </w:p>
    <w:p w:rsidR="00000000" w:rsidRDefault="009C1C61">
      <w:pPr>
        <w:pStyle w:val="Heading3"/>
        <w:spacing w:after="160"/>
      </w:pPr>
      <w:r>
        <w:rPr>
          <w:b/>
        </w:rPr>
        <w:t>1989</w:t>
      </w:r>
      <w:r>
        <w:t>-</w:t>
      </w:r>
      <w:r>
        <w:rPr>
          <w:b/>
        </w:rPr>
        <w:t>2000</w:t>
      </w:r>
      <w:r>
        <w:rPr>
          <w:rFonts w:hint="eastAsia"/>
        </w:rPr>
        <w:t>年预算</w:t>
      </w:r>
      <w:r>
        <w:rPr>
          <w:rFonts w:hint="eastAsia"/>
        </w:rPr>
        <w:t>/</w:t>
      </w:r>
      <w:r>
        <w:rPr>
          <w:rFonts w:hint="eastAsia"/>
        </w:rPr>
        <w:t>公共住房支出</w:t>
      </w:r>
      <w:r>
        <w:t>(%)</w:t>
      </w: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2"/>
        <w:gridCol w:w="2343"/>
      </w:tblGrid>
      <w:tr w:rsidR="00000000">
        <w:tblPrEx>
          <w:tblCellMar>
            <w:top w:w="0" w:type="dxa"/>
            <w:bottom w:w="0" w:type="dxa"/>
          </w:tblCellMar>
        </w:tblPrEx>
        <w:tc>
          <w:tcPr>
            <w:tcW w:w="2052" w:type="dxa"/>
            <w:tcBorders>
              <w:bottom w:val="single" w:sz="4" w:space="0" w:color="auto"/>
            </w:tcBorders>
          </w:tcPr>
          <w:p w:rsidR="00000000" w:rsidRDefault="009C1C61">
            <w:pPr>
              <w:pStyle w:val="a2"/>
              <w:jc w:val="center"/>
              <w:rPr>
                <w:rFonts w:hint="eastAsia"/>
                <w:snapToGrid/>
              </w:rPr>
            </w:pPr>
            <w:r>
              <w:rPr>
                <w:rFonts w:hint="eastAsia"/>
                <w:snapToGrid/>
              </w:rPr>
              <w:t>年</w:t>
            </w:r>
          </w:p>
        </w:tc>
        <w:tc>
          <w:tcPr>
            <w:tcW w:w="2343" w:type="dxa"/>
            <w:tcBorders>
              <w:bottom w:val="single" w:sz="4" w:space="0" w:color="auto"/>
            </w:tcBorders>
          </w:tcPr>
          <w:p w:rsidR="00000000" w:rsidRDefault="009C1C61">
            <w:pPr>
              <w:pStyle w:val="a2"/>
              <w:jc w:val="center"/>
              <w:rPr>
                <w:rFonts w:hint="eastAsia"/>
                <w:snapToGrid/>
              </w:rPr>
            </w:pPr>
            <w:r>
              <w:rPr>
                <w:rFonts w:hint="eastAsia"/>
                <w:snapToGrid/>
              </w:rPr>
              <w:t>预算</w:t>
            </w:r>
            <w:r>
              <w:rPr>
                <w:snapToGrid/>
              </w:rPr>
              <w:t>/</w:t>
            </w:r>
            <w:r>
              <w:rPr>
                <w:rFonts w:hint="eastAsia"/>
                <w:snapToGrid/>
              </w:rPr>
              <w:t>公共</w:t>
            </w:r>
          </w:p>
        </w:tc>
      </w:tr>
      <w:tr w:rsidR="00000000">
        <w:tblPrEx>
          <w:tblCellMar>
            <w:top w:w="0" w:type="dxa"/>
            <w:bottom w:w="0" w:type="dxa"/>
          </w:tblCellMar>
        </w:tblPrEx>
        <w:tc>
          <w:tcPr>
            <w:tcW w:w="2052" w:type="dxa"/>
            <w:tcBorders>
              <w:bottom w:val="nil"/>
            </w:tcBorders>
          </w:tcPr>
          <w:p w:rsidR="00000000" w:rsidRDefault="009C1C61">
            <w:pPr>
              <w:pStyle w:val="a2"/>
              <w:jc w:val="center"/>
              <w:rPr>
                <w:snapToGrid/>
              </w:rPr>
            </w:pPr>
            <w:r>
              <w:rPr>
                <w:snapToGrid/>
              </w:rPr>
              <w:t>1989</w:t>
            </w:r>
          </w:p>
        </w:tc>
        <w:tc>
          <w:tcPr>
            <w:tcW w:w="2343" w:type="dxa"/>
            <w:tcBorders>
              <w:bottom w:val="nil"/>
            </w:tcBorders>
          </w:tcPr>
          <w:p w:rsidR="00000000" w:rsidRDefault="009C1C61">
            <w:pPr>
              <w:pStyle w:val="a2"/>
              <w:jc w:val="center"/>
              <w:rPr>
                <w:snapToGrid/>
              </w:rPr>
            </w:pPr>
            <w:r>
              <w:rPr>
                <w:snapToGrid/>
              </w:rPr>
              <w:t>52.4</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1990</w:t>
            </w:r>
          </w:p>
        </w:tc>
        <w:tc>
          <w:tcPr>
            <w:tcW w:w="2343" w:type="dxa"/>
            <w:tcBorders>
              <w:top w:val="nil"/>
              <w:bottom w:val="nil"/>
            </w:tcBorders>
          </w:tcPr>
          <w:p w:rsidR="00000000" w:rsidRDefault="009C1C61">
            <w:pPr>
              <w:pStyle w:val="a2"/>
              <w:jc w:val="center"/>
              <w:rPr>
                <w:snapToGrid/>
              </w:rPr>
            </w:pPr>
            <w:r>
              <w:rPr>
                <w:snapToGrid/>
              </w:rPr>
              <w:t>62.4</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1991</w:t>
            </w:r>
          </w:p>
        </w:tc>
        <w:tc>
          <w:tcPr>
            <w:tcW w:w="2343" w:type="dxa"/>
            <w:tcBorders>
              <w:top w:val="nil"/>
              <w:bottom w:val="nil"/>
            </w:tcBorders>
          </w:tcPr>
          <w:p w:rsidR="00000000" w:rsidRDefault="009C1C61">
            <w:pPr>
              <w:pStyle w:val="a2"/>
              <w:jc w:val="center"/>
              <w:rPr>
                <w:snapToGrid/>
              </w:rPr>
            </w:pPr>
            <w:r>
              <w:rPr>
                <w:snapToGrid/>
              </w:rPr>
              <w:t>67.6</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1992</w:t>
            </w:r>
          </w:p>
        </w:tc>
        <w:tc>
          <w:tcPr>
            <w:tcW w:w="2343" w:type="dxa"/>
            <w:tcBorders>
              <w:top w:val="nil"/>
              <w:bottom w:val="nil"/>
            </w:tcBorders>
          </w:tcPr>
          <w:p w:rsidR="00000000" w:rsidRDefault="009C1C61">
            <w:pPr>
              <w:pStyle w:val="a2"/>
              <w:jc w:val="center"/>
              <w:rPr>
                <w:snapToGrid/>
              </w:rPr>
            </w:pPr>
            <w:r>
              <w:rPr>
                <w:snapToGrid/>
              </w:rPr>
              <w:t>78.4</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1993</w:t>
            </w:r>
          </w:p>
        </w:tc>
        <w:tc>
          <w:tcPr>
            <w:tcW w:w="2343" w:type="dxa"/>
            <w:tcBorders>
              <w:top w:val="nil"/>
              <w:bottom w:val="nil"/>
            </w:tcBorders>
          </w:tcPr>
          <w:p w:rsidR="00000000" w:rsidRDefault="009C1C61">
            <w:pPr>
              <w:pStyle w:val="a2"/>
              <w:jc w:val="center"/>
              <w:rPr>
                <w:snapToGrid/>
              </w:rPr>
            </w:pPr>
            <w:r>
              <w:rPr>
                <w:snapToGrid/>
              </w:rPr>
              <w:t>86.6</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1994</w:t>
            </w:r>
          </w:p>
        </w:tc>
        <w:tc>
          <w:tcPr>
            <w:tcW w:w="2343" w:type="dxa"/>
            <w:tcBorders>
              <w:top w:val="nil"/>
              <w:bottom w:val="nil"/>
            </w:tcBorders>
          </w:tcPr>
          <w:p w:rsidR="00000000" w:rsidRDefault="009C1C61">
            <w:pPr>
              <w:pStyle w:val="a2"/>
              <w:jc w:val="center"/>
              <w:rPr>
                <w:snapToGrid/>
              </w:rPr>
            </w:pPr>
            <w:r>
              <w:rPr>
                <w:snapToGrid/>
              </w:rPr>
              <w:t>88.3</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1995</w:t>
            </w:r>
          </w:p>
        </w:tc>
        <w:tc>
          <w:tcPr>
            <w:tcW w:w="2343" w:type="dxa"/>
            <w:tcBorders>
              <w:top w:val="nil"/>
              <w:bottom w:val="nil"/>
            </w:tcBorders>
          </w:tcPr>
          <w:p w:rsidR="00000000" w:rsidRDefault="009C1C61">
            <w:pPr>
              <w:pStyle w:val="a2"/>
              <w:jc w:val="center"/>
              <w:rPr>
                <w:snapToGrid/>
              </w:rPr>
            </w:pPr>
            <w:r>
              <w:rPr>
                <w:snapToGrid/>
              </w:rPr>
              <w:t>87.8</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1996</w:t>
            </w:r>
          </w:p>
        </w:tc>
        <w:tc>
          <w:tcPr>
            <w:tcW w:w="2343" w:type="dxa"/>
            <w:tcBorders>
              <w:top w:val="nil"/>
              <w:bottom w:val="nil"/>
            </w:tcBorders>
          </w:tcPr>
          <w:p w:rsidR="00000000" w:rsidRDefault="009C1C61">
            <w:pPr>
              <w:pStyle w:val="a2"/>
              <w:jc w:val="center"/>
              <w:rPr>
                <w:snapToGrid/>
              </w:rPr>
            </w:pPr>
            <w:r>
              <w:rPr>
                <w:snapToGrid/>
              </w:rPr>
              <w:t>84.0</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1997</w:t>
            </w:r>
          </w:p>
        </w:tc>
        <w:tc>
          <w:tcPr>
            <w:tcW w:w="2343" w:type="dxa"/>
            <w:tcBorders>
              <w:top w:val="nil"/>
              <w:bottom w:val="nil"/>
            </w:tcBorders>
          </w:tcPr>
          <w:p w:rsidR="00000000" w:rsidRDefault="009C1C61">
            <w:pPr>
              <w:pStyle w:val="a2"/>
              <w:jc w:val="center"/>
              <w:rPr>
                <w:snapToGrid/>
              </w:rPr>
            </w:pPr>
            <w:r>
              <w:rPr>
                <w:snapToGrid/>
              </w:rPr>
              <w:t>89.2</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1998</w:t>
            </w:r>
          </w:p>
        </w:tc>
        <w:tc>
          <w:tcPr>
            <w:tcW w:w="2343" w:type="dxa"/>
            <w:tcBorders>
              <w:top w:val="nil"/>
              <w:bottom w:val="nil"/>
            </w:tcBorders>
          </w:tcPr>
          <w:p w:rsidR="00000000" w:rsidRDefault="009C1C61">
            <w:pPr>
              <w:pStyle w:val="a2"/>
              <w:jc w:val="center"/>
              <w:rPr>
                <w:snapToGrid/>
              </w:rPr>
            </w:pPr>
            <w:r>
              <w:rPr>
                <w:snapToGrid/>
              </w:rPr>
              <w:t>85.8</w:t>
            </w:r>
          </w:p>
        </w:tc>
      </w:tr>
      <w:tr w:rsidR="00000000">
        <w:tblPrEx>
          <w:tblCellMar>
            <w:top w:w="0" w:type="dxa"/>
            <w:bottom w:w="0" w:type="dxa"/>
          </w:tblCellMar>
        </w:tblPrEx>
        <w:tc>
          <w:tcPr>
            <w:tcW w:w="2052" w:type="dxa"/>
            <w:tcBorders>
              <w:top w:val="nil"/>
              <w:bottom w:val="nil"/>
            </w:tcBorders>
          </w:tcPr>
          <w:p w:rsidR="00000000" w:rsidRDefault="009C1C61">
            <w:pPr>
              <w:pStyle w:val="a2"/>
              <w:jc w:val="center"/>
              <w:rPr>
                <w:snapToGrid/>
              </w:rPr>
            </w:pPr>
            <w:r>
              <w:rPr>
                <w:snapToGrid/>
              </w:rPr>
              <w:t>1999</w:t>
            </w:r>
          </w:p>
        </w:tc>
        <w:tc>
          <w:tcPr>
            <w:tcW w:w="2343" w:type="dxa"/>
            <w:tcBorders>
              <w:top w:val="nil"/>
              <w:bottom w:val="nil"/>
            </w:tcBorders>
          </w:tcPr>
          <w:p w:rsidR="00000000" w:rsidRDefault="009C1C61">
            <w:pPr>
              <w:pStyle w:val="a2"/>
              <w:jc w:val="center"/>
              <w:rPr>
                <w:snapToGrid/>
              </w:rPr>
            </w:pPr>
            <w:r>
              <w:rPr>
                <w:snapToGrid/>
              </w:rPr>
              <w:t>85.6</w:t>
            </w:r>
          </w:p>
        </w:tc>
      </w:tr>
      <w:tr w:rsidR="00000000">
        <w:tblPrEx>
          <w:tblCellMar>
            <w:top w:w="0" w:type="dxa"/>
            <w:bottom w:w="0" w:type="dxa"/>
          </w:tblCellMar>
        </w:tblPrEx>
        <w:tc>
          <w:tcPr>
            <w:tcW w:w="2052" w:type="dxa"/>
            <w:tcBorders>
              <w:top w:val="nil"/>
            </w:tcBorders>
          </w:tcPr>
          <w:p w:rsidR="00000000" w:rsidRDefault="009C1C61">
            <w:pPr>
              <w:pStyle w:val="a2"/>
              <w:jc w:val="center"/>
              <w:rPr>
                <w:snapToGrid/>
              </w:rPr>
            </w:pPr>
            <w:r>
              <w:rPr>
                <w:snapToGrid/>
              </w:rPr>
              <w:t>2000</w:t>
            </w:r>
          </w:p>
        </w:tc>
        <w:tc>
          <w:tcPr>
            <w:tcW w:w="2343" w:type="dxa"/>
            <w:tcBorders>
              <w:top w:val="nil"/>
            </w:tcBorders>
          </w:tcPr>
          <w:p w:rsidR="00000000" w:rsidRDefault="009C1C61">
            <w:pPr>
              <w:pStyle w:val="a2"/>
              <w:jc w:val="center"/>
              <w:rPr>
                <w:snapToGrid/>
              </w:rPr>
            </w:pPr>
            <w:r>
              <w:rPr>
                <w:snapToGrid/>
              </w:rPr>
              <w:t>86.3</w:t>
            </w:r>
          </w:p>
        </w:tc>
      </w:tr>
    </w:tbl>
    <w:p w:rsidR="00000000" w:rsidRDefault="009C1C61">
      <w:pPr>
        <w:pStyle w:val="EndnoteText"/>
        <w:spacing w:before="120" w:after="320"/>
        <w:ind w:left="1500"/>
        <w:rPr>
          <w:rFonts w:hint="eastAsia"/>
          <w:snapToGrid/>
        </w:rPr>
      </w:pPr>
      <w:r>
        <w:rPr>
          <w:rFonts w:hint="eastAsia"/>
          <w:bCs/>
          <w:snapToGrid/>
          <w:u w:val="single"/>
        </w:rPr>
        <w:t>资料来源</w:t>
      </w:r>
      <w:r>
        <w:rPr>
          <w:rFonts w:hint="eastAsia"/>
          <w:snapToGrid/>
        </w:rPr>
        <w:t>：财政部。</w:t>
      </w:r>
    </w:p>
    <w:p w:rsidR="00000000" w:rsidRDefault="009C1C61">
      <w:pPr>
        <w:rPr>
          <w:rFonts w:hint="eastAsia"/>
          <w:bCs/>
          <w:snapToGrid/>
        </w:rPr>
      </w:pPr>
      <w:r>
        <w:rPr>
          <w:rFonts w:hint="eastAsia"/>
          <w:snapToGrid/>
        </w:rPr>
        <w:tab/>
      </w:r>
      <w:r>
        <w:rPr>
          <w:snapToGrid/>
        </w:rPr>
        <w:t xml:space="preserve">606. </w:t>
      </w:r>
      <w:r>
        <w:rPr>
          <w:rFonts w:hint="eastAsia"/>
          <w:snapToGrid/>
        </w:rPr>
        <w:t xml:space="preserve"> </w:t>
      </w:r>
      <w:r>
        <w:rPr>
          <w:snapToGrid/>
        </w:rPr>
        <w:t>1989</w:t>
      </w:r>
      <w:r>
        <w:rPr>
          <w:rFonts w:hint="eastAsia"/>
          <w:snapToGrid/>
        </w:rPr>
        <w:t>至</w:t>
      </w:r>
      <w:r>
        <w:rPr>
          <w:snapToGrid/>
        </w:rPr>
        <w:t>2000</w:t>
      </w:r>
      <w:r>
        <w:rPr>
          <w:rFonts w:hint="eastAsia"/>
          <w:snapToGrid/>
        </w:rPr>
        <w:t>年期间，公共住房支出在国内生产总值中所占比例仍保持在百分之一左右。住房预算支出在国内生产总值中所占比例由</w:t>
      </w:r>
      <w:r>
        <w:rPr>
          <w:snapToGrid/>
        </w:rPr>
        <w:t>0.5%</w:t>
      </w:r>
      <w:r>
        <w:rPr>
          <w:rFonts w:hint="eastAsia"/>
          <w:snapToGrid/>
        </w:rPr>
        <w:t>增加到</w:t>
      </w:r>
      <w:r>
        <w:rPr>
          <w:rFonts w:hint="eastAsia"/>
          <w:snapToGrid/>
        </w:rPr>
        <w:t>1995</w:t>
      </w:r>
      <w:r>
        <w:rPr>
          <w:rFonts w:hint="eastAsia"/>
          <w:snapToGrid/>
        </w:rPr>
        <w:t>年的</w:t>
      </w:r>
      <w:r>
        <w:rPr>
          <w:snapToGrid/>
        </w:rPr>
        <w:t>0.9%</w:t>
      </w:r>
      <w:r>
        <w:rPr>
          <w:rFonts w:hint="eastAsia"/>
          <w:snapToGrid/>
        </w:rPr>
        <w:t>，</w:t>
      </w:r>
      <w:r>
        <w:rPr>
          <w:rFonts w:hint="eastAsia"/>
          <w:snapToGrid/>
        </w:rPr>
        <w:t>2000</w:t>
      </w:r>
      <w:r>
        <w:rPr>
          <w:rFonts w:hint="eastAsia"/>
          <w:snapToGrid/>
        </w:rPr>
        <w:t>年却下降到</w:t>
      </w:r>
      <w:r>
        <w:rPr>
          <w:snapToGrid/>
        </w:rPr>
        <w:t>0.8%</w:t>
      </w:r>
      <w:r>
        <w:rPr>
          <w:rFonts w:hint="eastAsia"/>
          <w:snapToGrid/>
        </w:rPr>
        <w:t>。</w:t>
      </w:r>
      <w:r>
        <w:rPr>
          <w:rStyle w:val="FootnoteReference"/>
          <w:bCs/>
          <w:snapToGrid/>
        </w:rPr>
        <w:footnoteReference w:id="279"/>
      </w:r>
    </w:p>
    <w:p w:rsidR="00000000" w:rsidRDefault="009C1C61">
      <w:pPr>
        <w:rPr>
          <w:rFonts w:hint="eastAsia"/>
          <w:bCs/>
          <w:snapToGrid/>
        </w:rPr>
      </w:pPr>
      <w:r>
        <w:rPr>
          <w:rFonts w:hint="eastAsia"/>
          <w:snapToGrid/>
        </w:rPr>
        <w:tab/>
      </w:r>
      <w:r>
        <w:rPr>
          <w:snapToGrid/>
        </w:rPr>
        <w:t xml:space="preserve">607. </w:t>
      </w:r>
      <w:r>
        <w:rPr>
          <w:rFonts w:hint="eastAsia"/>
          <w:snapToGrid/>
        </w:rPr>
        <w:t xml:space="preserve"> </w:t>
      </w:r>
      <w:r>
        <w:rPr>
          <w:snapToGrid/>
        </w:rPr>
        <w:t>1990</w:t>
      </w:r>
      <w:r>
        <w:rPr>
          <w:rFonts w:hint="eastAsia"/>
          <w:snapToGrid/>
        </w:rPr>
        <w:t>至</w:t>
      </w:r>
      <w:r>
        <w:rPr>
          <w:snapToGrid/>
        </w:rPr>
        <w:t>1999</w:t>
      </w:r>
      <w:r>
        <w:rPr>
          <w:rFonts w:hint="eastAsia"/>
          <w:snapToGrid/>
        </w:rPr>
        <w:t>年期间，住房</w:t>
      </w:r>
      <w:r>
        <w:rPr>
          <w:rFonts w:hint="eastAsia"/>
          <w:snapToGrid/>
        </w:rPr>
        <w:t>(</w:t>
      </w:r>
      <w:r>
        <w:rPr>
          <w:rFonts w:hint="eastAsia"/>
          <w:snapToGrid/>
        </w:rPr>
        <w:t>包括社会住房、住房补贴和贫民区改造</w:t>
      </w:r>
      <w:r>
        <w:rPr>
          <w:rFonts w:hint="eastAsia"/>
          <w:snapToGrid/>
        </w:rPr>
        <w:t>)</w:t>
      </w:r>
      <w:r>
        <w:rPr>
          <w:rFonts w:hint="eastAsia"/>
          <w:snapToGrid/>
        </w:rPr>
        <w:t>和城市</w:t>
      </w:r>
      <w:r>
        <w:rPr>
          <w:rFonts w:hint="eastAsia"/>
          <w:snapToGrid/>
        </w:rPr>
        <w:t>基础设施</w:t>
      </w:r>
      <w:r>
        <w:rPr>
          <w:rFonts w:hint="eastAsia"/>
          <w:snapToGrid/>
        </w:rPr>
        <w:t>(</w:t>
      </w:r>
      <w:r>
        <w:rPr>
          <w:rFonts w:hint="eastAsia"/>
          <w:snapToGrid/>
        </w:rPr>
        <w:t>包括各种设施、铺路、城市公路管理、公园、卫生基础设施和雨水设备</w:t>
      </w:r>
      <w:r>
        <w:rPr>
          <w:rFonts w:hint="eastAsia"/>
          <w:snapToGrid/>
        </w:rPr>
        <w:t>)</w:t>
      </w:r>
      <w:r>
        <w:rPr>
          <w:rFonts w:hint="eastAsia"/>
          <w:snapToGrid/>
        </w:rPr>
        <w:t>投资上升了</w:t>
      </w:r>
      <w:r>
        <w:rPr>
          <w:snapToGrid/>
        </w:rPr>
        <w:t>62.3%</w:t>
      </w:r>
      <w:r>
        <w:rPr>
          <w:rFonts w:hint="eastAsia"/>
          <w:snapToGrid/>
        </w:rPr>
        <w:t>。为了实现每年建造</w:t>
      </w:r>
      <w:r>
        <w:rPr>
          <w:snapToGrid/>
        </w:rPr>
        <w:t>90,000</w:t>
      </w:r>
      <w:r>
        <w:rPr>
          <w:rFonts w:hint="eastAsia"/>
          <w:snapToGrid/>
        </w:rPr>
        <w:t>个住所的目标，投资增加了</w:t>
      </w:r>
      <w:r>
        <w:rPr>
          <w:snapToGrid/>
        </w:rPr>
        <w:t>53.1%</w:t>
      </w:r>
      <w:r>
        <w:rPr>
          <w:rFonts w:hint="eastAsia"/>
          <w:snapToGrid/>
        </w:rPr>
        <w:t>。此外，同期拨给基础设施建设的资源数量翻了一倍。</w:t>
      </w:r>
      <w:r>
        <w:rPr>
          <w:rStyle w:val="FootnoteReference"/>
          <w:bCs/>
          <w:snapToGrid/>
        </w:rPr>
        <w:footnoteReference w:id="280"/>
      </w:r>
    </w:p>
    <w:p w:rsidR="00000000" w:rsidRDefault="009C1C61">
      <w:pPr>
        <w:spacing w:after="320"/>
        <w:rPr>
          <w:rFonts w:hint="eastAsia"/>
          <w:snapToGrid/>
        </w:rPr>
      </w:pPr>
      <w:r>
        <w:rPr>
          <w:rFonts w:hint="eastAsia"/>
          <w:snapToGrid/>
        </w:rPr>
        <w:tab/>
      </w:r>
      <w:r>
        <w:rPr>
          <w:snapToGrid/>
        </w:rPr>
        <w:t xml:space="preserve">608. </w:t>
      </w:r>
      <w:r>
        <w:rPr>
          <w:rFonts w:hint="eastAsia"/>
          <w:snapToGrid/>
        </w:rPr>
        <w:t xml:space="preserve"> </w:t>
      </w:r>
      <w:r>
        <w:rPr>
          <w:snapToGrid/>
        </w:rPr>
        <w:t>1990</w:t>
      </w:r>
      <w:r>
        <w:rPr>
          <w:rFonts w:hint="eastAsia"/>
          <w:snapToGrid/>
        </w:rPr>
        <w:t>至</w:t>
      </w:r>
      <w:r>
        <w:rPr>
          <w:snapToGrid/>
        </w:rPr>
        <w:t>1999</w:t>
      </w:r>
      <w:r>
        <w:rPr>
          <w:rFonts w:hint="eastAsia"/>
          <w:snapToGrid/>
        </w:rPr>
        <w:t>年期间，部门解决住房问题的投资增加了</w:t>
      </w:r>
      <w:r>
        <w:rPr>
          <w:snapToGrid/>
        </w:rPr>
        <w:t>53.1%</w:t>
      </w:r>
      <w:r>
        <w:rPr>
          <w:rFonts w:hint="eastAsia"/>
          <w:snapToGrid/>
        </w:rPr>
        <w:t>。就社会住房来讲增加了</w:t>
      </w:r>
      <w:r>
        <w:rPr>
          <w:snapToGrid/>
        </w:rPr>
        <w:t>122.4%</w:t>
      </w:r>
      <w:r>
        <w:rPr>
          <w:rFonts w:hint="eastAsia"/>
          <w:snapToGrid/>
        </w:rPr>
        <w:t>，补贴增加了</w:t>
      </w:r>
      <w:r>
        <w:rPr>
          <w:snapToGrid/>
        </w:rPr>
        <w:t>23.4%</w:t>
      </w:r>
      <w:r>
        <w:rPr>
          <w:rFonts w:hint="eastAsia"/>
          <w:snapToGrid/>
        </w:rPr>
        <w:t>，贫民区改造增加了</w:t>
      </w:r>
      <w:r>
        <w:rPr>
          <w:snapToGrid/>
        </w:rPr>
        <w:t>27.5%</w:t>
      </w:r>
      <w:r>
        <w:rPr>
          <w:rFonts w:hint="eastAsia"/>
          <w:snapToGrid/>
        </w:rPr>
        <w:t>。</w:t>
      </w:r>
      <w:r>
        <w:rPr>
          <w:rFonts w:hint="eastAsia"/>
          <w:snapToGrid/>
        </w:rPr>
        <w:t>1990</w:t>
      </w:r>
      <w:r>
        <w:rPr>
          <w:rFonts w:hint="eastAsia"/>
          <w:snapToGrid/>
        </w:rPr>
        <w:t>年，社会住房投资从基本住房开始，然后是递进建房投资。在此期间，补贴支出模式有了变化，更加重视低收入户。</w:t>
      </w:r>
      <w:r>
        <w:rPr>
          <w:rStyle w:val="FootnoteReference"/>
          <w:bCs/>
          <w:snapToGrid/>
        </w:rPr>
        <w:footnoteReference w:id="281"/>
      </w:r>
      <w:r>
        <w:rPr>
          <w:rFonts w:hint="eastAsia"/>
          <w:bCs/>
          <w:snapToGrid/>
          <w:vertAlign w:val="superscript"/>
        </w:rPr>
        <w:t xml:space="preserve"> </w:t>
      </w:r>
      <w:r>
        <w:rPr>
          <w:snapToGrid/>
        </w:rPr>
        <w:t>1990</w:t>
      </w:r>
      <w:r>
        <w:rPr>
          <w:rFonts w:hint="eastAsia"/>
          <w:snapToGrid/>
        </w:rPr>
        <w:t>至</w:t>
      </w:r>
      <w:r>
        <w:rPr>
          <w:snapToGrid/>
        </w:rPr>
        <w:t>1999</w:t>
      </w:r>
      <w:r>
        <w:rPr>
          <w:rFonts w:hint="eastAsia"/>
          <w:snapToGrid/>
        </w:rPr>
        <w:t>年，城</w:t>
      </w:r>
      <w:r>
        <w:rPr>
          <w:rFonts w:hint="eastAsia"/>
          <w:snapToGrid/>
        </w:rPr>
        <w:t>市基础设施的部门投资增加了</w:t>
      </w:r>
      <w:r>
        <w:rPr>
          <w:snapToGrid/>
        </w:rPr>
        <w:t>116.3%</w:t>
      </w:r>
      <w:r>
        <w:rPr>
          <w:rFonts w:hint="eastAsia"/>
          <w:snapToGrid/>
        </w:rPr>
        <w:t>。这十年期间，人行道和公路支出了城市基础设施投资总额的大约</w:t>
      </w:r>
      <w:r>
        <w:rPr>
          <w:snapToGrid/>
        </w:rPr>
        <w:t>90%</w:t>
      </w:r>
      <w:r>
        <w:rPr>
          <w:rFonts w:hint="eastAsia"/>
          <w:snapToGrid/>
        </w:rPr>
        <w:t>，增加了</w:t>
      </w:r>
      <w:r>
        <w:rPr>
          <w:snapToGrid/>
        </w:rPr>
        <w:t>95%</w:t>
      </w:r>
      <w:r>
        <w:rPr>
          <w:rFonts w:hint="eastAsia"/>
          <w:snapToGrid/>
        </w:rPr>
        <w:t>。</w:t>
      </w:r>
      <w:r>
        <w:rPr>
          <w:rStyle w:val="FootnoteReference"/>
          <w:snapToGrid/>
        </w:rPr>
        <w:footnoteReference w:id="282"/>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促进中小城市中心、尤其是农村地区中小城市中心发展的措施</w:t>
      </w:r>
    </w:p>
    <w:p w:rsidR="00000000" w:rsidRDefault="009C1C61">
      <w:pPr>
        <w:rPr>
          <w:snapToGrid/>
        </w:rPr>
      </w:pPr>
      <w:r>
        <w:rPr>
          <w:rFonts w:hint="eastAsia"/>
          <w:snapToGrid/>
        </w:rPr>
        <w:tab/>
      </w:r>
      <w:r>
        <w:rPr>
          <w:snapToGrid/>
        </w:rPr>
        <w:t>609.</w:t>
      </w:r>
      <w:r>
        <w:rPr>
          <w:rFonts w:hint="eastAsia"/>
          <w:snapToGrid/>
        </w:rPr>
        <w:t xml:space="preserve">  </w:t>
      </w:r>
      <w:r>
        <w:rPr>
          <w:rFonts w:hint="eastAsia"/>
          <w:snapToGrid/>
        </w:rPr>
        <w:t>为了处理住房合作社或已建立社区的自然人提出的集体申请而制订了一套农村住房补贴发放条例，其中包括这些措施。</w:t>
      </w:r>
      <w:r>
        <w:rPr>
          <w:rStyle w:val="FootnoteReference"/>
          <w:bCs/>
          <w:snapToGrid/>
        </w:rPr>
        <w:footnoteReference w:id="283"/>
      </w:r>
      <w:r>
        <w:rPr>
          <w:rFonts w:hint="eastAsia"/>
          <w:bCs/>
          <w:snapToGrid/>
          <w:vertAlign w:val="superscript"/>
        </w:rPr>
        <w:t xml:space="preserve"> </w:t>
      </w:r>
      <w:r>
        <w:rPr>
          <w:rFonts w:hint="eastAsia"/>
          <w:snapToGrid/>
        </w:rPr>
        <w:t>其目的是鼓励农村城镇发展，办法是发放补贴，让农村居民能够在已有住区购买或建造住所，或者直接建设新城镇。</w:t>
      </w:r>
    </w:p>
    <w:p w:rsidR="00000000" w:rsidRDefault="009C1C61">
      <w:pPr>
        <w:rPr>
          <w:snapToGrid/>
        </w:rPr>
      </w:pPr>
      <w:r>
        <w:rPr>
          <w:rFonts w:hint="eastAsia"/>
          <w:snapToGrid/>
        </w:rPr>
        <w:tab/>
      </w:r>
      <w:r>
        <w:rPr>
          <w:snapToGrid/>
        </w:rPr>
        <w:t xml:space="preserve">610. </w:t>
      </w:r>
      <w:r>
        <w:rPr>
          <w:rFonts w:hint="eastAsia"/>
          <w:snapToGrid/>
        </w:rPr>
        <w:t xml:space="preserve"> 1</w:t>
      </w:r>
      <w:r>
        <w:rPr>
          <w:snapToGrid/>
        </w:rPr>
        <w:t>996</w:t>
      </w:r>
      <w:r>
        <w:rPr>
          <w:rFonts w:hint="eastAsia"/>
          <w:snapToGrid/>
        </w:rPr>
        <w:t>年，城规部公布了一份文件，题为《城市与土地开发》，阐明了与土地立法有关的原则和目标，提</w:t>
      </w:r>
      <w:r>
        <w:rPr>
          <w:rFonts w:hint="eastAsia"/>
          <w:snapToGrid/>
        </w:rPr>
        <w:t>倡发展中等规模的住区，以此提高土地的利用效率。</w:t>
      </w:r>
    </w:p>
    <w:p w:rsidR="00000000" w:rsidRDefault="009C1C61">
      <w:pPr>
        <w:spacing w:after="240"/>
        <w:rPr>
          <w:rFonts w:hint="eastAsia"/>
          <w:snapToGrid/>
        </w:rPr>
      </w:pPr>
      <w:r>
        <w:rPr>
          <w:rFonts w:hint="eastAsia"/>
          <w:snapToGrid/>
        </w:rPr>
        <w:tab/>
      </w:r>
      <w:r>
        <w:rPr>
          <w:snapToGrid/>
        </w:rPr>
        <w:t xml:space="preserve">611. </w:t>
      </w:r>
      <w:r>
        <w:rPr>
          <w:rFonts w:hint="eastAsia"/>
          <w:snapToGrid/>
        </w:rPr>
        <w:t xml:space="preserve"> </w:t>
      </w:r>
      <w:r>
        <w:rPr>
          <w:snapToGrid/>
        </w:rPr>
        <w:t>1990</w:t>
      </w:r>
      <w:r>
        <w:rPr>
          <w:rFonts w:hint="eastAsia"/>
          <w:snapToGrid/>
        </w:rPr>
        <w:t>年代，曾大力强调审查和制定区域城市发展计划。现在这些计划都成了区域政治行政级的主要规划文书，支配着人类住区的发展方式和不同类型活动占用土地的方式，提议城市发展的地点。它们提供一个决策框架，据此可以决定采取种种措施，在某些中心激励城市发展，在其他中心遏制过度扩展，支持发展中等城市。</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为防止逐出而采取的保护措施及其他保障措施</w:t>
      </w:r>
    </w:p>
    <w:p w:rsidR="00000000" w:rsidRDefault="009C1C61">
      <w:pPr>
        <w:spacing w:after="240"/>
        <w:rPr>
          <w:snapToGrid/>
        </w:rPr>
      </w:pPr>
      <w:r>
        <w:rPr>
          <w:rFonts w:hint="eastAsia"/>
          <w:snapToGrid/>
        </w:rPr>
        <w:tab/>
      </w:r>
      <w:r>
        <w:rPr>
          <w:snapToGrid/>
        </w:rPr>
        <w:t xml:space="preserve">612. </w:t>
      </w:r>
      <w:r>
        <w:rPr>
          <w:rFonts w:hint="eastAsia"/>
          <w:snapToGrid/>
        </w:rPr>
        <w:t xml:space="preserve"> </w:t>
      </w:r>
      <w:r>
        <w:rPr>
          <w:rFonts w:hint="eastAsia"/>
          <w:snapToGrid/>
        </w:rPr>
        <w:t>法律规定了反逐出的保护措施及其他保障措施。</w:t>
      </w:r>
      <w:r>
        <w:rPr>
          <w:rStyle w:val="FootnoteReference"/>
          <w:bCs/>
          <w:snapToGrid/>
        </w:rPr>
        <w:footnoteReference w:id="284"/>
      </w:r>
      <w:r>
        <w:rPr>
          <w:rFonts w:hint="eastAsia"/>
          <w:bCs/>
          <w:snapToGrid/>
          <w:vertAlign w:val="superscript"/>
        </w:rPr>
        <w:t xml:space="preserve"> </w:t>
      </w:r>
      <w:r>
        <w:rPr>
          <w:rFonts w:hint="eastAsia"/>
          <w:snapToGrid/>
        </w:rPr>
        <w:t>根据有关基本法，市政当局负责防范各种危险，提供紧急援助。</w:t>
      </w:r>
      <w:r>
        <w:rPr>
          <w:rStyle w:val="FootnoteReference"/>
          <w:snapToGrid/>
        </w:rPr>
        <w:footnoteReference w:id="285"/>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落实住房权利所遇到的困难和问题</w:t>
      </w:r>
    </w:p>
    <w:p w:rsidR="00000000" w:rsidRDefault="009C1C61">
      <w:pPr>
        <w:rPr>
          <w:rFonts w:hint="eastAsia"/>
          <w:snapToGrid/>
        </w:rPr>
      </w:pPr>
      <w:r>
        <w:rPr>
          <w:rFonts w:hint="eastAsia"/>
          <w:snapToGrid/>
        </w:rPr>
        <w:tab/>
      </w:r>
      <w:r>
        <w:rPr>
          <w:snapToGrid/>
        </w:rPr>
        <w:t xml:space="preserve">613. </w:t>
      </w:r>
      <w:r>
        <w:rPr>
          <w:rFonts w:hint="eastAsia"/>
          <w:snapToGrid/>
        </w:rPr>
        <w:t xml:space="preserve"> </w:t>
      </w:r>
      <w:r>
        <w:rPr>
          <w:snapToGrid/>
        </w:rPr>
        <w:t>1999</w:t>
      </w:r>
      <w:r>
        <w:rPr>
          <w:rFonts w:hint="eastAsia"/>
          <w:snapToGrid/>
        </w:rPr>
        <w:t>年，提出了最低生活水平概念，以应对根据需求和筹资能力界定适当生活水平问题。最低生活水平，可以理解为家庭生活的最起码要求。</w:t>
      </w:r>
    </w:p>
    <w:p w:rsidR="00000000" w:rsidRDefault="009C1C61">
      <w:pPr>
        <w:rPr>
          <w:snapToGrid/>
        </w:rPr>
      </w:pPr>
      <w:r>
        <w:rPr>
          <w:rFonts w:hint="eastAsia"/>
          <w:snapToGrid/>
        </w:rPr>
        <w:tab/>
      </w:r>
      <w:r>
        <w:rPr>
          <w:snapToGrid/>
        </w:rPr>
        <w:t xml:space="preserve">614. </w:t>
      </w:r>
      <w:r>
        <w:rPr>
          <w:rFonts w:hint="eastAsia"/>
          <w:snapToGrid/>
        </w:rPr>
        <w:t xml:space="preserve"> </w:t>
      </w:r>
      <w:r>
        <w:rPr>
          <w:rFonts w:hint="eastAsia"/>
          <w:snapToGrid/>
        </w:rPr>
        <w:t>拨给“提供补贴”方案的资源比拨给“提供住房”方案的多，因为后者允许人在寻求其住房问题解决办法方面有更大的发言权，而前者花费国家的资金较少，因而使社会支出更出成效，更能为人接受。</w:t>
      </w:r>
    </w:p>
    <w:p w:rsidR="00000000" w:rsidRDefault="009C1C61">
      <w:pPr>
        <w:rPr>
          <w:rFonts w:hint="eastAsia"/>
          <w:snapToGrid/>
        </w:rPr>
      </w:pPr>
      <w:r>
        <w:rPr>
          <w:rFonts w:hint="eastAsia"/>
          <w:snapToGrid/>
        </w:rPr>
        <w:tab/>
      </w:r>
      <w:r>
        <w:rPr>
          <w:snapToGrid/>
        </w:rPr>
        <w:t xml:space="preserve">615. </w:t>
      </w:r>
      <w:r>
        <w:rPr>
          <w:rFonts w:hint="eastAsia"/>
          <w:snapToGrid/>
        </w:rPr>
        <w:t xml:space="preserve"> </w:t>
      </w:r>
      <w:r>
        <w:rPr>
          <w:rFonts w:hint="eastAsia"/>
          <w:snapToGrid/>
        </w:rPr>
        <w:t>社会住房地皮稀少。因此，预算设了一个专门用以资助城规部购买土地的部分，既用以援助及时做出规划，又为了防止土地所有者投机倒把。</w:t>
      </w:r>
    </w:p>
    <w:p w:rsidR="00000000" w:rsidRDefault="009C1C61">
      <w:pPr>
        <w:rPr>
          <w:snapToGrid/>
        </w:rPr>
      </w:pPr>
      <w:r>
        <w:rPr>
          <w:rFonts w:hint="eastAsia"/>
          <w:snapToGrid/>
        </w:rPr>
        <w:tab/>
      </w:r>
      <w:r>
        <w:rPr>
          <w:snapToGrid/>
        </w:rPr>
        <w:t xml:space="preserve">616. </w:t>
      </w:r>
      <w:r>
        <w:rPr>
          <w:rFonts w:hint="eastAsia"/>
          <w:snapToGrid/>
        </w:rPr>
        <w:t xml:space="preserve"> </w:t>
      </w:r>
      <w:r>
        <w:rPr>
          <w:rFonts w:hint="eastAsia"/>
          <w:snapToGrid/>
        </w:rPr>
        <w:t>至于以赤贫为重点问题，本十年之初，唯一一项关于生活在边缘的人的住房方案，就是区城规处开办的基本住房方案。作为改善低收入者获取住房机会的工作的一部分，还实施了递进建房方案，它使各个群体都可以申请住房。</w:t>
      </w:r>
    </w:p>
    <w:p w:rsidR="00000000" w:rsidRDefault="009C1C61">
      <w:pPr>
        <w:rPr>
          <w:rFonts w:hint="eastAsia"/>
          <w:snapToGrid/>
        </w:rPr>
      </w:pPr>
      <w:r>
        <w:rPr>
          <w:rFonts w:hint="eastAsia"/>
          <w:snapToGrid/>
        </w:rPr>
        <w:tab/>
      </w:r>
      <w:r>
        <w:rPr>
          <w:snapToGrid/>
        </w:rPr>
        <w:t xml:space="preserve">617. </w:t>
      </w:r>
      <w:r>
        <w:rPr>
          <w:rFonts w:hint="eastAsia"/>
          <w:snapToGrid/>
        </w:rPr>
        <w:t xml:space="preserve"> </w:t>
      </w:r>
      <w:r>
        <w:rPr>
          <w:rFonts w:hint="eastAsia"/>
          <w:snapToGrid/>
        </w:rPr>
        <w:t>随后，就申请和补贴分配进行了一系列程序调整，从而调整了这些方案的重点。行政和咨询网已经得到加强，以改善低收入群体获取信息的机会。</w:t>
      </w:r>
    </w:p>
    <w:p w:rsidR="00000000" w:rsidRDefault="009C1C61">
      <w:pPr>
        <w:spacing w:after="240"/>
        <w:rPr>
          <w:rFonts w:hint="eastAsia"/>
          <w:snapToGrid/>
        </w:rPr>
      </w:pPr>
      <w:r>
        <w:rPr>
          <w:snapToGrid/>
        </w:rPr>
        <w:tab/>
        <w:t>618.  1998</w:t>
      </w:r>
      <w:r>
        <w:rPr>
          <w:rFonts w:hint="eastAsia"/>
          <w:snapToGrid/>
        </w:rPr>
        <w:t>年，实施了“智利村镇”方案，城规部、内政部、国家财产部、劳工部和社会投资基金联合予以协助。这一方案采取综合治理办法来解决住在临时棚屋里</w:t>
      </w:r>
      <w:r>
        <w:rPr>
          <w:rFonts w:hint="eastAsia"/>
          <w:snapToGrid/>
        </w:rPr>
        <w:t>的居民户所面临的许多住房、社会和文化问题，而传统住房方案参与面太窄，解决此类问题的能力也很有限。</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国际援助</w:t>
      </w:r>
    </w:p>
    <w:p w:rsidR="00000000" w:rsidRDefault="009C1C61">
      <w:pPr>
        <w:spacing w:after="240"/>
        <w:rPr>
          <w:rFonts w:hint="eastAsia"/>
          <w:snapToGrid/>
        </w:rPr>
      </w:pPr>
      <w:r>
        <w:rPr>
          <w:snapToGrid/>
        </w:rPr>
        <w:tab/>
        <w:t>619.  1990-99</w:t>
      </w:r>
      <w:r>
        <w:rPr>
          <w:rFonts w:hint="eastAsia"/>
          <w:snapToGrid/>
        </w:rPr>
        <w:t>年期间，根据与德国和瑞典政府的协定，在住房领域实施了需要财政合作或不须偿还支助的主要方案。下文介绍它们的情况。</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与瑞典的合作方案</w:t>
      </w:r>
    </w:p>
    <w:p w:rsidR="00000000" w:rsidRDefault="009C1C61">
      <w:pPr>
        <w:spacing w:after="240"/>
        <w:rPr>
          <w:rFonts w:hint="eastAsia"/>
          <w:snapToGrid/>
        </w:rPr>
      </w:pPr>
      <w:r>
        <w:rPr>
          <w:snapToGrid/>
        </w:rPr>
        <w:tab/>
        <w:t xml:space="preserve">620. </w:t>
      </w:r>
      <w:r>
        <w:rPr>
          <w:rFonts w:hint="eastAsia"/>
          <w:snapToGrid/>
        </w:rPr>
        <w:t xml:space="preserve"> </w:t>
      </w:r>
      <w:r>
        <w:rPr>
          <w:snapToGrid/>
        </w:rPr>
        <w:t>1990</w:t>
      </w:r>
      <w:r>
        <w:rPr>
          <w:rFonts w:hint="eastAsia"/>
          <w:snapToGrid/>
        </w:rPr>
        <w:t>至</w:t>
      </w:r>
      <w:r>
        <w:rPr>
          <w:snapToGrid/>
        </w:rPr>
        <w:t>1994</w:t>
      </w:r>
      <w:r>
        <w:rPr>
          <w:rFonts w:hint="eastAsia"/>
          <w:snapToGrid/>
        </w:rPr>
        <w:t>年期间，向此方案捐助了</w:t>
      </w:r>
      <w:r>
        <w:rPr>
          <w:rFonts w:hint="eastAsia"/>
          <w:snapToGrid/>
        </w:rPr>
        <w:t>1100</w:t>
      </w:r>
      <w:r>
        <w:rPr>
          <w:rFonts w:hint="eastAsia"/>
          <w:snapToGrid/>
        </w:rPr>
        <w:t>万美元，其中</w:t>
      </w:r>
      <w:r>
        <w:rPr>
          <w:snapToGrid/>
        </w:rPr>
        <w:t>78%</w:t>
      </w:r>
      <w:r>
        <w:rPr>
          <w:rFonts w:hint="eastAsia"/>
          <w:snapToGrid/>
        </w:rPr>
        <w:t>的费用由瑞典提供，其余由智利的对应方城规部提供。这些捐助都给了递进建房项目；—这些项目共建第一阶段救急住房</w:t>
      </w:r>
      <w:r>
        <w:rPr>
          <w:snapToGrid/>
        </w:rPr>
        <w:t>2,863</w:t>
      </w:r>
      <w:r>
        <w:rPr>
          <w:rFonts w:hint="eastAsia"/>
          <w:snapToGrid/>
        </w:rPr>
        <w:t>套，第二阶段救急住房</w:t>
      </w:r>
      <w:r>
        <w:rPr>
          <w:snapToGrid/>
        </w:rPr>
        <w:t>2,379</w:t>
      </w:r>
      <w:r>
        <w:rPr>
          <w:rFonts w:hint="eastAsia"/>
          <w:snapToGrid/>
        </w:rPr>
        <w:t>套</w:t>
      </w:r>
      <w:r>
        <w:rPr>
          <w:snapToGrid/>
        </w:rPr>
        <w:t>(1,851,04</w:t>
      </w:r>
      <w:r>
        <w:rPr>
          <w:snapToGrid/>
        </w:rPr>
        <w:t>5</w:t>
      </w:r>
      <w:r>
        <w:rPr>
          <w:snapToGrid/>
        </w:rPr>
        <w:t>美元</w:t>
      </w:r>
      <w:r>
        <w:rPr>
          <w:snapToGrid/>
        </w:rPr>
        <w:t>)</w:t>
      </w:r>
      <w:r>
        <w:rPr>
          <w:rFonts w:hint="eastAsia"/>
          <w:snapToGrid/>
        </w:rPr>
        <w:t>。此外，还为</w:t>
      </w:r>
      <w:r>
        <w:rPr>
          <w:rFonts w:hint="eastAsia"/>
          <w:snapToGrid/>
        </w:rPr>
        <w:t>30</w:t>
      </w:r>
      <w:r>
        <w:rPr>
          <w:rFonts w:hint="eastAsia"/>
          <w:snapToGrid/>
        </w:rPr>
        <w:t>个社区便利设施、机构发展和能力建设项目提供了资金</w:t>
      </w:r>
      <w:r>
        <w:rPr>
          <w:snapToGrid/>
        </w:rPr>
        <w:t>(898,926</w:t>
      </w:r>
      <w:r>
        <w:rPr>
          <w:snapToGrid/>
        </w:rPr>
        <w:t>美元</w:t>
      </w:r>
      <w:r>
        <w:rPr>
          <w:snapToGrid/>
        </w:rPr>
        <w:t>)</w:t>
      </w:r>
      <w:r>
        <w:rPr>
          <w:rFonts w:hint="eastAsia"/>
          <w:snapToGrid/>
        </w:rPr>
        <w:t>。这些项目包括向</w:t>
      </w:r>
      <w:r>
        <w:rPr>
          <w:snapToGrid/>
        </w:rPr>
        <w:t>9,000</w:t>
      </w:r>
      <w:r>
        <w:rPr>
          <w:rFonts w:hint="eastAsia"/>
          <w:snapToGrid/>
        </w:rPr>
        <w:t>个申请或接受递进建房的居民户提供订约技术援助，对递进建房项目进行评估研究，开办有关递进建房项目启动和调整的培训研习班。还用这笔资金建立一个保障基金，目的是鼓励智利</w:t>
      </w:r>
      <w:r>
        <w:rPr>
          <w:rFonts w:hint="eastAsia"/>
          <w:snapToGrid/>
        </w:rPr>
        <w:t>13</w:t>
      </w:r>
      <w:r>
        <w:rPr>
          <w:rFonts w:hint="eastAsia"/>
          <w:snapToGrid/>
        </w:rPr>
        <w:t>个区的中小型企业更大程度地参与递进式住房的建设。</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德国财政合作署</w:t>
      </w:r>
    </w:p>
    <w:p w:rsidR="00000000" w:rsidRDefault="009C1C61">
      <w:pPr>
        <w:rPr>
          <w:rFonts w:hint="eastAsia"/>
          <w:snapToGrid/>
        </w:rPr>
      </w:pPr>
      <w:r>
        <w:rPr>
          <w:snapToGrid/>
        </w:rPr>
        <w:tab/>
        <w:t xml:space="preserve">621.  </w:t>
      </w:r>
      <w:r>
        <w:rPr>
          <w:rFonts w:hint="eastAsia"/>
          <w:snapToGrid/>
        </w:rPr>
        <w:t>这一方案自</w:t>
      </w:r>
      <w:r>
        <w:rPr>
          <w:snapToGrid/>
        </w:rPr>
        <w:t>1991</w:t>
      </w:r>
      <w:r>
        <w:rPr>
          <w:rFonts w:hint="eastAsia"/>
          <w:snapToGrid/>
        </w:rPr>
        <w:t>至</w:t>
      </w:r>
      <w:r>
        <w:rPr>
          <w:snapToGrid/>
        </w:rPr>
        <w:t>1999</w:t>
      </w:r>
      <w:r>
        <w:rPr>
          <w:rFonts w:hint="eastAsia"/>
          <w:snapToGrid/>
        </w:rPr>
        <w:t>年开办。德国政府捐助了</w:t>
      </w:r>
      <w:r>
        <w:rPr>
          <w:snapToGrid/>
        </w:rPr>
        <w:t>85</w:t>
      </w:r>
      <w:r>
        <w:rPr>
          <w:rFonts w:hint="eastAsia"/>
          <w:snapToGrid/>
        </w:rPr>
        <w:t>0</w:t>
      </w:r>
      <w:r>
        <w:rPr>
          <w:rFonts w:hint="eastAsia"/>
          <w:snapToGrid/>
        </w:rPr>
        <w:t>万</w:t>
      </w:r>
      <w:r>
        <w:rPr>
          <w:snapToGrid/>
        </w:rPr>
        <w:t>美元</w:t>
      </w:r>
      <w:r>
        <w:rPr>
          <w:rFonts w:hint="eastAsia"/>
          <w:snapToGrid/>
        </w:rPr>
        <w:t>，涵盖了</w:t>
      </w:r>
      <w:r>
        <w:rPr>
          <w:snapToGrid/>
        </w:rPr>
        <w:t>75%</w:t>
      </w:r>
      <w:r>
        <w:rPr>
          <w:rFonts w:hint="eastAsia"/>
          <w:snapToGrid/>
        </w:rPr>
        <w:t>的费用，其他部分由智利的对应方城规部捐助。</w:t>
      </w:r>
    </w:p>
    <w:p w:rsidR="00000000" w:rsidRDefault="009C1C61">
      <w:pPr>
        <w:rPr>
          <w:rFonts w:hint="eastAsia"/>
          <w:snapToGrid/>
        </w:rPr>
      </w:pPr>
      <w:r>
        <w:rPr>
          <w:snapToGrid/>
        </w:rPr>
        <w:tab/>
        <w:t xml:space="preserve">622.  </w:t>
      </w:r>
      <w:r>
        <w:rPr>
          <w:rFonts w:hint="eastAsia"/>
          <w:snapToGrid/>
        </w:rPr>
        <w:t>这项合作方案</w:t>
      </w:r>
      <w:r>
        <w:rPr>
          <w:rFonts w:hint="eastAsia"/>
          <w:snapToGrid/>
        </w:rPr>
        <w:t>的主要目标是在</w:t>
      </w:r>
      <w:r>
        <w:rPr>
          <w:rFonts w:hint="eastAsia"/>
          <w:snapToGrid/>
        </w:rPr>
        <w:t>1997</w:t>
      </w:r>
      <w:r>
        <w:rPr>
          <w:rFonts w:hint="eastAsia"/>
          <w:snapToGrid/>
        </w:rPr>
        <w:t>年地震过后一个时期内实施两个重建项目，对首都区和当时包括科金博区的比奥比奥区的脆弱住区的住房问题做出明确的回应。还用这些资金鼓励社区组织和大众参与。递进建房项目的私人住房项目以及小型市政便利设施得到了资助：递进建房项目第一阶段解决办法解决的住房有</w:t>
      </w:r>
      <w:r>
        <w:rPr>
          <w:snapToGrid/>
        </w:rPr>
        <w:t>2,202</w:t>
      </w:r>
      <w:r>
        <w:rPr>
          <w:rFonts w:hint="eastAsia"/>
          <w:snapToGrid/>
        </w:rPr>
        <w:t>套，第二阶段的有</w:t>
      </w:r>
      <w:r>
        <w:rPr>
          <w:snapToGrid/>
        </w:rPr>
        <w:t>1,589</w:t>
      </w:r>
      <w:r>
        <w:rPr>
          <w:rFonts w:hint="eastAsia"/>
          <w:snapToGrid/>
        </w:rPr>
        <w:t>套，还有</w:t>
      </w:r>
      <w:r>
        <w:rPr>
          <w:rFonts w:hint="eastAsia"/>
          <w:snapToGrid/>
        </w:rPr>
        <w:t>20</w:t>
      </w:r>
      <w:r>
        <w:rPr>
          <w:rFonts w:hint="eastAsia"/>
          <w:snapToGrid/>
        </w:rPr>
        <w:t>套便利设施。</w:t>
      </w:r>
    </w:p>
    <w:p w:rsidR="00000000" w:rsidRDefault="009C1C61">
      <w:pPr>
        <w:spacing w:after="320"/>
        <w:rPr>
          <w:snapToGrid/>
        </w:rPr>
      </w:pPr>
      <w:r>
        <w:rPr>
          <w:snapToGrid/>
        </w:rPr>
        <w:tab/>
        <w:t xml:space="preserve">623.  </w:t>
      </w:r>
      <w:r>
        <w:rPr>
          <w:rFonts w:hint="eastAsia"/>
          <w:snapToGrid/>
        </w:rPr>
        <w:t>这期间，根据</w:t>
      </w:r>
      <w:r>
        <w:rPr>
          <w:snapToGrid/>
        </w:rPr>
        <w:tab/>
      </w:r>
      <w:r>
        <w:rPr>
          <w:rFonts w:hint="eastAsia"/>
          <w:snapToGrid/>
        </w:rPr>
        <w:t>补充德财合署所供财政援助的城规部</w:t>
      </w:r>
      <w:r>
        <w:rPr>
          <w:rFonts w:hint="eastAsia"/>
          <w:snapToGrid/>
        </w:rPr>
        <w:t>/</w:t>
      </w:r>
      <w:r>
        <w:rPr>
          <w:rFonts w:hint="eastAsia"/>
          <w:snapToGrid/>
        </w:rPr>
        <w:t>德国技术合作局协定框架提供的其他捐助，促成了一个递进建房技术援助项目。安达卢西亚区捐款修复圣地亚哥中心；这个项目涉及到住</w:t>
      </w:r>
      <w:r>
        <w:rPr>
          <w:rFonts w:hint="eastAsia"/>
          <w:snapToGrid/>
        </w:rPr>
        <w:t>房单位的建造。丹麦、荷兰和挪威政府在十年期的前</w:t>
      </w:r>
      <w:r>
        <w:rPr>
          <w:rFonts w:hint="eastAsia"/>
          <w:snapToGrid/>
        </w:rPr>
        <w:t>5</w:t>
      </w:r>
      <w:r>
        <w:rPr>
          <w:rFonts w:hint="eastAsia"/>
          <w:snapToGrid/>
        </w:rPr>
        <w:t>年也提供了捐助，目标与瑞典和德国提供的合作相同。</w:t>
      </w:r>
    </w:p>
    <w:p w:rsidR="00000000" w:rsidRDefault="009C1C61">
      <w:pPr>
        <w:pStyle w:val="Heading3"/>
        <w:rPr>
          <w:rFonts w:hint="eastAsia"/>
        </w:rPr>
      </w:pPr>
      <w:r>
        <w:rPr>
          <w:rFonts w:hint="eastAsia"/>
        </w:rPr>
        <w:t>第十二条</w:t>
      </w:r>
    </w:p>
    <w:p w:rsidR="00000000" w:rsidRDefault="009C1C61">
      <w:pPr>
        <w:pStyle w:val="Heading3"/>
        <w:rPr>
          <w:rFonts w:hint="eastAsia"/>
        </w:rPr>
      </w:pPr>
      <w:r>
        <w:rPr>
          <w:rFonts w:hint="eastAsia"/>
        </w:rPr>
        <w:t>身心健康的权利</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关于全民身心健康的资料</w:t>
      </w:r>
    </w:p>
    <w:p w:rsidR="00000000" w:rsidRDefault="009C1C61">
      <w:pPr>
        <w:rPr>
          <w:rFonts w:hint="eastAsia"/>
          <w:bCs/>
          <w:snapToGrid/>
        </w:rPr>
      </w:pPr>
      <w:r>
        <w:rPr>
          <w:snapToGrid/>
        </w:rPr>
        <w:tab/>
        <w:t xml:space="preserve">624.  </w:t>
      </w:r>
      <w:r>
        <w:rPr>
          <w:rFonts w:hint="eastAsia"/>
          <w:snapToGrid/>
        </w:rPr>
        <w:t>死亡的最普遍原因是心血管疾病、癌症</w:t>
      </w:r>
      <w:r>
        <w:rPr>
          <w:rFonts w:hint="eastAsia"/>
          <w:snapToGrid/>
        </w:rPr>
        <w:t>(</w:t>
      </w:r>
      <w:r>
        <w:rPr>
          <w:rFonts w:hint="eastAsia"/>
          <w:snapToGrid/>
        </w:rPr>
        <w:t>宫颈癌、乳腺癌和膀胱癌</w:t>
      </w:r>
      <w:r>
        <w:rPr>
          <w:rFonts w:hint="eastAsia"/>
          <w:snapToGrid/>
        </w:rPr>
        <w:t>)</w:t>
      </w:r>
      <w:r>
        <w:rPr>
          <w:rFonts w:hint="eastAsia"/>
          <w:snapToGrid/>
        </w:rPr>
        <w:t>、外伤</w:t>
      </w:r>
      <w:r>
        <w:rPr>
          <w:rFonts w:hint="eastAsia"/>
          <w:snapToGrid/>
        </w:rPr>
        <w:t>(</w:t>
      </w:r>
      <w:r>
        <w:rPr>
          <w:rFonts w:hint="eastAsia"/>
          <w:snapToGrid/>
        </w:rPr>
        <w:t>交通事故</w:t>
      </w:r>
      <w:r>
        <w:rPr>
          <w:rFonts w:hint="eastAsia"/>
          <w:snapToGrid/>
        </w:rPr>
        <w:t>)</w:t>
      </w:r>
      <w:r>
        <w:rPr>
          <w:rFonts w:hint="eastAsia"/>
          <w:snapToGrid/>
        </w:rPr>
        <w:t>、呼吸器官疾病</w:t>
      </w:r>
      <w:r>
        <w:rPr>
          <w:rFonts w:hint="eastAsia"/>
          <w:snapToGrid/>
        </w:rPr>
        <w:t>(</w:t>
      </w:r>
      <w:r>
        <w:rPr>
          <w:rFonts w:hint="eastAsia"/>
          <w:snapToGrid/>
        </w:rPr>
        <w:t>成人肺炎</w:t>
      </w:r>
      <w:r>
        <w:rPr>
          <w:rFonts w:hint="eastAsia"/>
          <w:snapToGrid/>
        </w:rPr>
        <w:t>)</w:t>
      </w:r>
      <w:r>
        <w:rPr>
          <w:rFonts w:hint="eastAsia"/>
          <w:snapToGrid/>
        </w:rPr>
        <w:t>、糖尿病和艾滋病毒</w:t>
      </w:r>
      <w:r>
        <w:rPr>
          <w:rFonts w:hint="eastAsia"/>
          <w:snapToGrid/>
        </w:rPr>
        <w:t>/</w:t>
      </w:r>
      <w:r>
        <w:rPr>
          <w:rFonts w:hint="eastAsia"/>
          <w:snapToGrid/>
        </w:rPr>
        <w:t>艾滋病。艾滋病毒</w:t>
      </w:r>
      <w:r>
        <w:rPr>
          <w:rFonts w:hint="eastAsia"/>
          <w:snapToGrid/>
        </w:rPr>
        <w:t>/</w:t>
      </w:r>
      <w:r>
        <w:rPr>
          <w:rFonts w:hint="eastAsia"/>
          <w:snapToGrid/>
        </w:rPr>
        <w:t>艾滋病自爆发以来，一直在加剧。社会变革已经造成的种种问题不是夺去性命，而是造成残疾、痛苦和悲伤，从而降低了生活质量。后者包括精神、牙科和骨关节疾病。所有这些健康情况都已列为</w:t>
      </w:r>
      <w:r>
        <w:rPr>
          <w:snapToGrid/>
        </w:rPr>
        <w:t>2000</w:t>
      </w:r>
      <w:r>
        <w:rPr>
          <w:rFonts w:hint="eastAsia"/>
          <w:snapToGrid/>
        </w:rPr>
        <w:t>至</w:t>
      </w:r>
      <w:r>
        <w:rPr>
          <w:snapToGrid/>
        </w:rPr>
        <w:t>2010</w:t>
      </w:r>
      <w:r>
        <w:rPr>
          <w:rFonts w:hint="eastAsia"/>
          <w:snapToGrid/>
        </w:rPr>
        <w:t>年期间的健康目标。</w:t>
      </w:r>
      <w:r>
        <w:rPr>
          <w:rStyle w:val="FootnoteReference"/>
          <w:bCs/>
          <w:snapToGrid/>
        </w:rPr>
        <w:footnoteReference w:id="286"/>
      </w:r>
    </w:p>
    <w:p w:rsidR="00000000" w:rsidRDefault="009C1C61">
      <w:pPr>
        <w:spacing w:after="320"/>
        <w:rPr>
          <w:snapToGrid/>
        </w:rPr>
      </w:pPr>
      <w:r>
        <w:rPr>
          <w:snapToGrid/>
          <w:spacing w:val="8"/>
        </w:rPr>
        <w:tab/>
      </w:r>
      <w:r>
        <w:rPr>
          <w:rFonts w:hint="eastAsia"/>
          <w:snapToGrid/>
          <w:spacing w:val="8"/>
        </w:rPr>
        <w:t>625.</w:t>
      </w:r>
      <w:r>
        <w:rPr>
          <w:snapToGrid/>
          <w:spacing w:val="8"/>
        </w:rPr>
        <w:t xml:space="preserve">  20</w:t>
      </w:r>
      <w:r>
        <w:rPr>
          <w:rFonts w:hint="eastAsia"/>
          <w:snapToGrid/>
          <w:spacing w:val="8"/>
        </w:rPr>
        <w:t>至</w:t>
      </w:r>
      <w:r>
        <w:rPr>
          <w:snapToGrid/>
          <w:spacing w:val="8"/>
        </w:rPr>
        <w:t>64</w:t>
      </w:r>
      <w:r>
        <w:rPr>
          <w:rFonts w:hint="eastAsia"/>
          <w:snapToGrid/>
          <w:spacing w:val="8"/>
        </w:rPr>
        <w:t>岁成年人的死亡率占人口死亡率总数的</w:t>
      </w:r>
      <w:r>
        <w:rPr>
          <w:snapToGrid/>
          <w:spacing w:val="8"/>
        </w:rPr>
        <w:t>29%</w:t>
      </w:r>
      <w:r>
        <w:rPr>
          <w:rFonts w:hint="eastAsia"/>
          <w:snapToGrid/>
          <w:spacing w:val="8"/>
        </w:rPr>
        <w:t>。青年占</w:t>
      </w:r>
      <w:r>
        <w:rPr>
          <w:snapToGrid/>
          <w:spacing w:val="8"/>
        </w:rPr>
        <w:t>66%</w:t>
      </w:r>
      <w:r>
        <w:rPr>
          <w:rFonts w:hint="eastAsia"/>
          <w:snapToGrid/>
          <w:spacing w:val="8"/>
        </w:rPr>
        <w:t>，死亡主要原因是外伤和中毒。妇女占成年人死亡率总数的</w:t>
      </w:r>
      <w:r>
        <w:rPr>
          <w:snapToGrid/>
          <w:spacing w:val="8"/>
        </w:rPr>
        <w:t>34%</w:t>
      </w:r>
      <w:r>
        <w:rPr>
          <w:rFonts w:hint="eastAsia"/>
          <w:snapToGrid/>
          <w:spacing w:val="8"/>
        </w:rPr>
        <w:t>，死亡主要原因是癌症。</w:t>
      </w:r>
      <w:r>
        <w:rPr>
          <w:rStyle w:val="FootnoteReference"/>
          <w:bCs/>
          <w:snapToGrid/>
        </w:rPr>
        <w:footnoteReference w:id="287"/>
      </w:r>
      <w:r>
        <w:rPr>
          <w:rFonts w:hint="eastAsia"/>
          <w:bCs/>
          <w:snapToGrid/>
          <w:vertAlign w:val="superscript"/>
        </w:rPr>
        <w:t xml:space="preserve"> </w:t>
      </w:r>
      <w:r>
        <w:rPr>
          <w:rFonts w:hint="eastAsia"/>
          <w:snapToGrid/>
        </w:rPr>
        <w:t>产妇死亡率下降了，但是因流产住院的人数却是每</w:t>
      </w:r>
      <w:r>
        <w:rPr>
          <w:snapToGrid/>
        </w:rPr>
        <w:t>1,000</w:t>
      </w:r>
      <w:r>
        <w:rPr>
          <w:rFonts w:hint="eastAsia"/>
          <w:snapToGrid/>
        </w:rPr>
        <w:t>胎活产达到</w:t>
      </w:r>
      <w:r>
        <w:rPr>
          <w:rFonts w:hint="eastAsia"/>
          <w:snapToGrid/>
        </w:rPr>
        <w:t>114</w:t>
      </w:r>
      <w:r>
        <w:rPr>
          <w:rFonts w:hint="eastAsia"/>
          <w:snapToGrid/>
        </w:rPr>
        <w:t>胎，青少年怀孕占怀孕总数的</w:t>
      </w:r>
      <w:r>
        <w:rPr>
          <w:snapToGrid/>
        </w:rPr>
        <w:t>16.1%</w:t>
      </w:r>
      <w:r>
        <w:rPr>
          <w:rFonts w:hint="eastAsia"/>
          <w:snapToGrid/>
        </w:rPr>
        <w:t>。卫生部流行病司发行了一份出版物，名为《支持地方确定健康问题优先次序的办法</w:t>
      </w:r>
      <w:r>
        <w:rPr>
          <w:rFonts w:hint="eastAsia"/>
          <w:snapToGrid/>
          <w:spacing w:val="-40"/>
        </w:rPr>
        <w:t>——</w:t>
      </w:r>
      <w:r>
        <w:rPr>
          <w:rFonts w:hint="eastAsia"/>
          <w:snapToGrid/>
        </w:rPr>
        <w:t>全国和各区对</w:t>
      </w:r>
      <w:r>
        <w:rPr>
          <w:rFonts w:hint="eastAsia"/>
          <w:snapToGrid/>
        </w:rPr>
        <w:t>1985</w:t>
      </w:r>
      <w:r>
        <w:rPr>
          <w:rFonts w:hint="eastAsia"/>
          <w:snapToGrid/>
        </w:rPr>
        <w:t>至</w:t>
      </w:r>
      <w:r>
        <w:rPr>
          <w:rFonts w:hint="eastAsia"/>
          <w:snapToGrid/>
        </w:rPr>
        <w:t>1995</w:t>
      </w:r>
      <w:r>
        <w:rPr>
          <w:rFonts w:hint="eastAsia"/>
          <w:snapToGrid/>
        </w:rPr>
        <w:t>年期间潜在寿命损失年份</w:t>
      </w:r>
      <w:r>
        <w:rPr>
          <w:rFonts w:hint="eastAsia"/>
          <w:snapToGrid/>
        </w:rPr>
        <w:t>(</w:t>
      </w:r>
      <w:r>
        <w:rPr>
          <w:rFonts w:hint="eastAsia"/>
          <w:snapToGrid/>
        </w:rPr>
        <w:t>寿损年份</w:t>
      </w:r>
      <w:r>
        <w:rPr>
          <w:rFonts w:hint="eastAsia"/>
          <w:snapToGrid/>
        </w:rPr>
        <w:t>)</w:t>
      </w:r>
      <w:r>
        <w:rPr>
          <w:rFonts w:hint="eastAsia"/>
          <w:snapToGrid/>
        </w:rPr>
        <w:t>的分析》，其中把造成寿损年份的三个主要原因定为：外伤和中毒、肿瘤和循环系统疾病。在男人身上，这些问</w:t>
      </w:r>
      <w:r>
        <w:rPr>
          <w:rFonts w:hint="eastAsia"/>
          <w:snapToGrid/>
        </w:rPr>
        <w:t>题是照此顺序出现的，而对女人而言，主要原因首先是肿瘤，其次是循环系统的疾病，最后是事故。</w:t>
      </w:r>
    </w:p>
    <w:p w:rsidR="00000000" w:rsidRDefault="009C1C61">
      <w:pPr>
        <w:pStyle w:val="Heading3"/>
        <w:spacing w:after="160"/>
      </w:pPr>
      <w:r>
        <w:rPr>
          <w:rFonts w:hint="eastAsia"/>
        </w:rPr>
        <w:t>表</w:t>
      </w:r>
      <w:r>
        <w:t xml:space="preserve"> </w:t>
      </w:r>
      <w:r>
        <w:rPr>
          <w:rFonts w:hint="eastAsia"/>
        </w:rPr>
        <w:t xml:space="preserve"> </w:t>
      </w:r>
      <w:r>
        <w:rPr>
          <w:b/>
          <w:bCs/>
        </w:rPr>
        <w:t>35</w:t>
      </w:r>
    </w:p>
    <w:p w:rsidR="00000000" w:rsidRDefault="009C1C61">
      <w:pPr>
        <w:pStyle w:val="Heading3"/>
        <w:spacing w:after="160"/>
      </w:pPr>
      <w:r>
        <w:rPr>
          <w:b/>
        </w:rPr>
        <w:t>1990</w:t>
      </w:r>
      <w:r>
        <w:rPr>
          <w:rFonts w:hint="eastAsia"/>
        </w:rPr>
        <w:t>、</w:t>
      </w:r>
      <w:r>
        <w:rPr>
          <w:b/>
        </w:rPr>
        <w:t>1999</w:t>
      </w:r>
      <w:r>
        <w:rPr>
          <w:rFonts w:hint="eastAsia"/>
        </w:rPr>
        <w:t>和</w:t>
      </w:r>
      <w:r>
        <w:rPr>
          <w:b/>
        </w:rPr>
        <w:t>2000</w:t>
      </w:r>
      <w:r>
        <w:rPr>
          <w:rFonts w:hint="eastAsia"/>
        </w:rPr>
        <w:t>年健康指标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418"/>
        <w:gridCol w:w="1417"/>
        <w:gridCol w:w="1418"/>
      </w:tblGrid>
      <w:tr w:rsidR="00000000">
        <w:tblPrEx>
          <w:tblCellMar>
            <w:top w:w="0" w:type="dxa"/>
            <w:bottom w:w="0" w:type="dxa"/>
          </w:tblCellMar>
        </w:tblPrEx>
        <w:tc>
          <w:tcPr>
            <w:tcW w:w="5387" w:type="dxa"/>
          </w:tcPr>
          <w:p w:rsidR="00000000" w:rsidRDefault="009C1C61">
            <w:pPr>
              <w:pStyle w:val="a2"/>
              <w:spacing w:line="260" w:lineRule="exact"/>
              <w:rPr>
                <w:rFonts w:hint="eastAsia"/>
                <w:snapToGrid/>
                <w:sz w:val="20"/>
              </w:rPr>
            </w:pPr>
            <w:r>
              <w:rPr>
                <w:rFonts w:hint="eastAsia"/>
                <w:snapToGrid/>
                <w:sz w:val="20"/>
              </w:rPr>
              <w:t>指</w:t>
            </w:r>
            <w:r>
              <w:rPr>
                <w:snapToGrid/>
                <w:sz w:val="20"/>
              </w:rPr>
              <w:t xml:space="preserve">  </w:t>
            </w:r>
            <w:r>
              <w:rPr>
                <w:rFonts w:hint="eastAsia"/>
                <w:snapToGrid/>
                <w:sz w:val="20"/>
              </w:rPr>
              <w:t>标</w:t>
            </w:r>
          </w:p>
        </w:tc>
        <w:tc>
          <w:tcPr>
            <w:tcW w:w="1418" w:type="dxa"/>
          </w:tcPr>
          <w:p w:rsidR="00000000" w:rsidRDefault="009C1C61">
            <w:pPr>
              <w:pStyle w:val="a2"/>
              <w:spacing w:line="260" w:lineRule="exact"/>
              <w:jc w:val="center"/>
              <w:rPr>
                <w:snapToGrid/>
                <w:sz w:val="20"/>
              </w:rPr>
            </w:pPr>
            <w:r>
              <w:rPr>
                <w:snapToGrid/>
                <w:sz w:val="20"/>
              </w:rPr>
              <w:t>1990</w:t>
            </w:r>
          </w:p>
        </w:tc>
        <w:tc>
          <w:tcPr>
            <w:tcW w:w="1417" w:type="dxa"/>
          </w:tcPr>
          <w:p w:rsidR="00000000" w:rsidRDefault="009C1C61">
            <w:pPr>
              <w:pStyle w:val="a2"/>
              <w:spacing w:line="260" w:lineRule="exact"/>
              <w:jc w:val="center"/>
              <w:rPr>
                <w:snapToGrid/>
                <w:sz w:val="20"/>
              </w:rPr>
            </w:pPr>
            <w:r>
              <w:rPr>
                <w:snapToGrid/>
                <w:sz w:val="20"/>
              </w:rPr>
              <w:t>1999</w:t>
            </w:r>
          </w:p>
        </w:tc>
        <w:tc>
          <w:tcPr>
            <w:tcW w:w="1418" w:type="dxa"/>
          </w:tcPr>
          <w:p w:rsidR="00000000" w:rsidRDefault="009C1C61">
            <w:pPr>
              <w:pStyle w:val="a2"/>
              <w:spacing w:line="260" w:lineRule="exact"/>
              <w:jc w:val="center"/>
              <w:rPr>
                <w:snapToGrid/>
                <w:sz w:val="20"/>
              </w:rPr>
            </w:pPr>
            <w:r>
              <w:rPr>
                <w:snapToGrid/>
                <w:sz w:val="20"/>
              </w:rPr>
              <w:t>2000</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分娩时的专业护理</w:t>
            </w:r>
            <w:r>
              <w:rPr>
                <w:snapToGrid/>
                <w:sz w:val="20"/>
              </w:rPr>
              <w:t>(</w:t>
            </w:r>
            <w:r>
              <w:rPr>
                <w:rFonts w:hint="eastAsia"/>
                <w:snapToGrid/>
                <w:sz w:val="20"/>
              </w:rPr>
              <w:t>每</w:t>
            </w:r>
            <w:r>
              <w:rPr>
                <w:snapToGrid/>
                <w:sz w:val="20"/>
              </w:rPr>
              <w:t>100</w:t>
            </w:r>
            <w:r>
              <w:rPr>
                <w:rFonts w:hint="eastAsia"/>
                <w:snapToGrid/>
                <w:sz w:val="20"/>
              </w:rPr>
              <w:t>胎</w:t>
            </w:r>
            <w:r>
              <w:rPr>
                <w:snapToGrid/>
                <w:sz w:val="20"/>
              </w:rPr>
              <w:t>)</w:t>
            </w:r>
          </w:p>
        </w:tc>
        <w:tc>
          <w:tcPr>
            <w:tcW w:w="1418" w:type="dxa"/>
          </w:tcPr>
          <w:p w:rsidR="00000000" w:rsidRDefault="009C1C61">
            <w:pPr>
              <w:pStyle w:val="a2"/>
              <w:spacing w:line="260" w:lineRule="exact"/>
              <w:jc w:val="center"/>
              <w:rPr>
                <w:snapToGrid/>
                <w:sz w:val="20"/>
              </w:rPr>
            </w:pPr>
            <w:r>
              <w:rPr>
                <w:snapToGrid/>
                <w:sz w:val="20"/>
              </w:rPr>
              <w:t>99.1</w:t>
            </w:r>
          </w:p>
        </w:tc>
        <w:tc>
          <w:tcPr>
            <w:tcW w:w="1417" w:type="dxa"/>
          </w:tcPr>
          <w:p w:rsidR="00000000" w:rsidRDefault="009C1C61">
            <w:pPr>
              <w:pStyle w:val="a2"/>
              <w:spacing w:line="260" w:lineRule="exact"/>
              <w:jc w:val="center"/>
              <w:rPr>
                <w:snapToGrid/>
                <w:sz w:val="20"/>
              </w:rPr>
            </w:pPr>
            <w:r>
              <w:rPr>
                <w:snapToGrid/>
                <w:sz w:val="20"/>
              </w:rPr>
              <w:t>99.7</w:t>
            </w:r>
          </w:p>
        </w:tc>
        <w:tc>
          <w:tcPr>
            <w:tcW w:w="1418" w:type="dxa"/>
          </w:tcPr>
          <w:p w:rsidR="00000000" w:rsidRDefault="009C1C61">
            <w:pPr>
              <w:pStyle w:val="a2"/>
              <w:spacing w:line="260" w:lineRule="exact"/>
              <w:jc w:val="center"/>
              <w:rPr>
                <w:snapToGrid/>
                <w:sz w:val="20"/>
              </w:rPr>
            </w:pPr>
            <w:r>
              <w:rPr>
                <w:snapToGrid/>
                <w:sz w:val="20"/>
              </w:rPr>
              <w:t>99.8</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出生体重轻</w:t>
            </w:r>
            <w:r>
              <w:rPr>
                <w:snapToGrid/>
                <w:sz w:val="20"/>
              </w:rPr>
              <w:t>(</w:t>
            </w:r>
            <w:r>
              <w:rPr>
                <w:rFonts w:hint="eastAsia"/>
                <w:snapToGrid/>
                <w:sz w:val="20"/>
              </w:rPr>
              <w:t>每</w:t>
            </w:r>
            <w:r>
              <w:rPr>
                <w:snapToGrid/>
                <w:sz w:val="20"/>
              </w:rPr>
              <w:t>100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5.7</w:t>
            </w:r>
          </w:p>
        </w:tc>
        <w:tc>
          <w:tcPr>
            <w:tcW w:w="1417" w:type="dxa"/>
          </w:tcPr>
          <w:p w:rsidR="00000000" w:rsidRDefault="009C1C61">
            <w:pPr>
              <w:pStyle w:val="a2"/>
              <w:spacing w:line="260" w:lineRule="exact"/>
              <w:jc w:val="center"/>
              <w:rPr>
                <w:snapToGrid/>
                <w:sz w:val="20"/>
              </w:rPr>
            </w:pPr>
            <w:r>
              <w:rPr>
                <w:snapToGrid/>
                <w:sz w:val="20"/>
              </w:rPr>
              <w:t>5.5</w:t>
            </w:r>
          </w:p>
        </w:tc>
        <w:tc>
          <w:tcPr>
            <w:tcW w:w="1418" w:type="dxa"/>
          </w:tcPr>
          <w:p w:rsidR="00000000" w:rsidRDefault="009C1C61">
            <w:pPr>
              <w:pStyle w:val="a2"/>
              <w:spacing w:line="260" w:lineRule="exact"/>
              <w:jc w:val="center"/>
              <w:rPr>
                <w:snapToGrid/>
                <w:sz w:val="20"/>
              </w:rPr>
            </w:pPr>
            <w:r>
              <w:rPr>
                <w:snapToGrid/>
                <w:sz w:val="20"/>
              </w:rPr>
              <w:t>5.3</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出生体重不足</w:t>
            </w:r>
            <w:r>
              <w:rPr>
                <w:snapToGrid/>
                <w:sz w:val="20"/>
              </w:rPr>
              <w:t>(</w:t>
            </w:r>
            <w:r>
              <w:rPr>
                <w:rFonts w:hint="eastAsia"/>
                <w:snapToGrid/>
                <w:sz w:val="20"/>
              </w:rPr>
              <w:t>每</w:t>
            </w:r>
            <w:r>
              <w:rPr>
                <w:snapToGrid/>
                <w:sz w:val="20"/>
              </w:rPr>
              <w:t>100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18.2</w:t>
            </w:r>
          </w:p>
        </w:tc>
        <w:tc>
          <w:tcPr>
            <w:tcW w:w="1417" w:type="dxa"/>
          </w:tcPr>
          <w:p w:rsidR="00000000" w:rsidRDefault="009C1C61">
            <w:pPr>
              <w:pStyle w:val="a2"/>
              <w:spacing w:line="260" w:lineRule="exact"/>
              <w:jc w:val="center"/>
              <w:rPr>
                <w:snapToGrid/>
                <w:sz w:val="20"/>
              </w:rPr>
            </w:pPr>
            <w:r>
              <w:rPr>
                <w:snapToGrid/>
                <w:sz w:val="20"/>
              </w:rPr>
              <w:t>15.6</w:t>
            </w:r>
          </w:p>
        </w:tc>
        <w:tc>
          <w:tcPr>
            <w:tcW w:w="1418" w:type="dxa"/>
          </w:tcPr>
          <w:p w:rsidR="00000000" w:rsidRDefault="009C1C61">
            <w:pPr>
              <w:pStyle w:val="a2"/>
              <w:spacing w:line="260" w:lineRule="exact"/>
              <w:jc w:val="center"/>
              <w:rPr>
                <w:snapToGrid/>
                <w:sz w:val="20"/>
              </w:rPr>
            </w:pPr>
            <w:r>
              <w:rPr>
                <w:snapToGrid/>
                <w:sz w:val="20"/>
              </w:rPr>
              <w:t>15.2</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在公立医院接受观察的</w:t>
            </w:r>
            <w:r>
              <w:rPr>
                <w:rFonts w:hint="eastAsia"/>
                <w:snapToGrid/>
                <w:sz w:val="20"/>
              </w:rPr>
              <w:t>6</w:t>
            </w:r>
            <w:r>
              <w:rPr>
                <w:rFonts w:hint="eastAsia"/>
                <w:snapToGrid/>
                <w:sz w:val="20"/>
              </w:rPr>
              <w:t>岁以下儿童的营养不良率</w:t>
            </w:r>
            <w:r>
              <w:rPr>
                <w:snapToGrid/>
                <w:sz w:val="20"/>
              </w:rPr>
              <w:br/>
              <w:t>(</w:t>
            </w:r>
            <w:r>
              <w:rPr>
                <w:rFonts w:hint="eastAsia"/>
                <w:snapToGrid/>
                <w:sz w:val="20"/>
              </w:rPr>
              <w:t>每</w:t>
            </w:r>
            <w:r>
              <w:rPr>
                <w:snapToGrid/>
                <w:sz w:val="20"/>
              </w:rPr>
              <w:t>100</w:t>
            </w:r>
            <w:r>
              <w:rPr>
                <w:rFonts w:hint="eastAsia"/>
                <w:snapToGrid/>
                <w:sz w:val="20"/>
              </w:rPr>
              <w:t>名</w:t>
            </w:r>
            <w:r>
              <w:rPr>
                <w:rFonts w:hint="eastAsia"/>
                <w:snapToGrid/>
                <w:sz w:val="20"/>
              </w:rPr>
              <w:t>6</w:t>
            </w:r>
            <w:r>
              <w:rPr>
                <w:rFonts w:hint="eastAsia"/>
                <w:snapToGrid/>
                <w:sz w:val="20"/>
              </w:rPr>
              <w:t>岁以下的儿童</w:t>
            </w:r>
            <w:r>
              <w:rPr>
                <w:snapToGrid/>
                <w:sz w:val="20"/>
              </w:rPr>
              <w:t>)*</w:t>
            </w:r>
          </w:p>
        </w:tc>
        <w:tc>
          <w:tcPr>
            <w:tcW w:w="1418" w:type="dxa"/>
          </w:tcPr>
          <w:p w:rsidR="00000000" w:rsidRDefault="009C1C61">
            <w:pPr>
              <w:pStyle w:val="a2"/>
              <w:spacing w:line="260" w:lineRule="exact"/>
              <w:jc w:val="center"/>
              <w:rPr>
                <w:snapToGrid/>
                <w:sz w:val="20"/>
              </w:rPr>
            </w:pPr>
            <w:r>
              <w:rPr>
                <w:snapToGrid/>
                <w:sz w:val="20"/>
              </w:rPr>
              <w:t>7.4</w:t>
            </w:r>
          </w:p>
        </w:tc>
        <w:tc>
          <w:tcPr>
            <w:tcW w:w="1417" w:type="dxa"/>
          </w:tcPr>
          <w:p w:rsidR="00000000" w:rsidRDefault="009C1C61">
            <w:pPr>
              <w:pStyle w:val="a2"/>
              <w:spacing w:line="260" w:lineRule="exact"/>
              <w:jc w:val="center"/>
              <w:rPr>
                <w:snapToGrid/>
                <w:sz w:val="20"/>
              </w:rPr>
            </w:pPr>
            <w:r>
              <w:rPr>
                <w:snapToGrid/>
                <w:sz w:val="20"/>
              </w:rPr>
              <w:t>0.6</w:t>
            </w:r>
          </w:p>
        </w:tc>
        <w:tc>
          <w:tcPr>
            <w:tcW w:w="1418" w:type="dxa"/>
          </w:tcPr>
          <w:p w:rsidR="00000000" w:rsidRDefault="009C1C61">
            <w:pPr>
              <w:pStyle w:val="a2"/>
              <w:spacing w:line="260" w:lineRule="exact"/>
              <w:jc w:val="center"/>
              <w:rPr>
                <w:snapToGrid/>
                <w:sz w:val="20"/>
              </w:rPr>
            </w:pPr>
            <w:r>
              <w:rPr>
                <w:snapToGrid/>
                <w:sz w:val="20"/>
              </w:rPr>
              <w:t>0.5</w:t>
            </w:r>
          </w:p>
        </w:tc>
      </w:tr>
      <w:tr w:rsidR="00000000">
        <w:tblPrEx>
          <w:tblCellMar>
            <w:top w:w="0" w:type="dxa"/>
            <w:bottom w:w="0" w:type="dxa"/>
          </w:tblCellMar>
        </w:tblPrEx>
        <w:tc>
          <w:tcPr>
            <w:tcW w:w="5387" w:type="dxa"/>
          </w:tcPr>
          <w:p w:rsidR="00000000" w:rsidRDefault="009C1C61">
            <w:pPr>
              <w:pStyle w:val="a2"/>
              <w:spacing w:line="260" w:lineRule="exact"/>
              <w:rPr>
                <w:rFonts w:hint="eastAsia"/>
                <w:snapToGrid/>
                <w:sz w:val="20"/>
              </w:rPr>
            </w:pPr>
            <w:r>
              <w:rPr>
                <w:rFonts w:hint="eastAsia"/>
                <w:snapToGrid/>
                <w:sz w:val="20"/>
              </w:rPr>
              <w:t>儿童死亡率</w:t>
            </w:r>
            <w:r>
              <w:rPr>
                <w:snapToGrid/>
                <w:sz w:val="20"/>
              </w:rPr>
              <w:t>(</w:t>
            </w:r>
            <w:r>
              <w:rPr>
                <w:rFonts w:hint="eastAsia"/>
                <w:snapToGrid/>
                <w:sz w:val="20"/>
              </w:rPr>
              <w:t>每</w:t>
            </w:r>
            <w:r>
              <w:rPr>
                <w:snapToGrid/>
                <w:sz w:val="20"/>
              </w:rPr>
              <w:t>100</w:t>
            </w:r>
            <w:r>
              <w:rPr>
                <w:rFonts w:hint="eastAsia"/>
                <w:snapToGrid/>
                <w:sz w:val="20"/>
              </w:rPr>
              <w:t>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16</w:t>
            </w:r>
          </w:p>
        </w:tc>
        <w:tc>
          <w:tcPr>
            <w:tcW w:w="1417" w:type="dxa"/>
          </w:tcPr>
          <w:p w:rsidR="00000000" w:rsidRDefault="009C1C61">
            <w:pPr>
              <w:pStyle w:val="a2"/>
              <w:spacing w:line="260" w:lineRule="exact"/>
              <w:jc w:val="center"/>
              <w:rPr>
                <w:snapToGrid/>
                <w:sz w:val="20"/>
              </w:rPr>
            </w:pPr>
            <w:r>
              <w:rPr>
                <w:snapToGrid/>
                <w:sz w:val="20"/>
              </w:rPr>
              <w:t>1</w:t>
            </w:r>
            <w:r>
              <w:rPr>
                <w:snapToGrid/>
                <w:sz w:val="20"/>
              </w:rPr>
              <w:t>0.1</w:t>
            </w:r>
          </w:p>
        </w:tc>
        <w:tc>
          <w:tcPr>
            <w:tcW w:w="1418" w:type="dxa"/>
          </w:tcPr>
          <w:p w:rsidR="00000000" w:rsidRDefault="009C1C61">
            <w:pPr>
              <w:pStyle w:val="a2"/>
              <w:spacing w:line="260" w:lineRule="exact"/>
              <w:jc w:val="center"/>
              <w:rPr>
                <w:snapToGrid/>
                <w:sz w:val="20"/>
              </w:rPr>
            </w:pPr>
            <w:r>
              <w:rPr>
                <w:snapToGrid/>
                <w:sz w:val="20"/>
              </w:rPr>
              <w:t>8.9</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新生儿死亡率</w:t>
            </w:r>
            <w:r>
              <w:rPr>
                <w:snapToGrid/>
                <w:sz w:val="20"/>
              </w:rPr>
              <w:t>(</w:t>
            </w:r>
            <w:r>
              <w:rPr>
                <w:rFonts w:hint="eastAsia"/>
                <w:snapToGrid/>
                <w:sz w:val="20"/>
              </w:rPr>
              <w:t>每</w:t>
            </w:r>
            <w:r>
              <w:rPr>
                <w:snapToGrid/>
                <w:sz w:val="20"/>
              </w:rPr>
              <w:t>100</w:t>
            </w:r>
            <w:r>
              <w:rPr>
                <w:rFonts w:hint="eastAsia"/>
                <w:snapToGrid/>
                <w:sz w:val="20"/>
              </w:rPr>
              <w:t>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8.5</w:t>
            </w:r>
          </w:p>
        </w:tc>
        <w:tc>
          <w:tcPr>
            <w:tcW w:w="1417" w:type="dxa"/>
          </w:tcPr>
          <w:p w:rsidR="00000000" w:rsidRDefault="009C1C61">
            <w:pPr>
              <w:pStyle w:val="a2"/>
              <w:spacing w:line="260" w:lineRule="exact"/>
              <w:jc w:val="center"/>
              <w:rPr>
                <w:snapToGrid/>
                <w:sz w:val="20"/>
              </w:rPr>
            </w:pPr>
            <w:r>
              <w:rPr>
                <w:snapToGrid/>
                <w:sz w:val="20"/>
              </w:rPr>
              <w:t>5.9</w:t>
            </w:r>
          </w:p>
        </w:tc>
        <w:tc>
          <w:tcPr>
            <w:tcW w:w="1418" w:type="dxa"/>
          </w:tcPr>
          <w:p w:rsidR="00000000" w:rsidRDefault="009C1C61">
            <w:pPr>
              <w:pStyle w:val="a2"/>
              <w:spacing w:line="260" w:lineRule="exact"/>
              <w:jc w:val="center"/>
              <w:rPr>
                <w:snapToGrid/>
                <w:sz w:val="20"/>
              </w:rPr>
            </w:pPr>
            <w:r>
              <w:rPr>
                <w:snapToGrid/>
                <w:sz w:val="20"/>
              </w:rPr>
              <w:t>5.6</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儿童滞迟死亡率</w:t>
            </w:r>
            <w:r>
              <w:rPr>
                <w:snapToGrid/>
                <w:sz w:val="20"/>
              </w:rPr>
              <w:t>(</w:t>
            </w:r>
            <w:r>
              <w:rPr>
                <w:rFonts w:hint="eastAsia"/>
                <w:snapToGrid/>
                <w:sz w:val="20"/>
              </w:rPr>
              <w:t>每</w:t>
            </w:r>
            <w:r>
              <w:rPr>
                <w:snapToGrid/>
                <w:sz w:val="20"/>
              </w:rPr>
              <w:t>1000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7.5</w:t>
            </w:r>
          </w:p>
        </w:tc>
        <w:tc>
          <w:tcPr>
            <w:tcW w:w="1417" w:type="dxa"/>
          </w:tcPr>
          <w:p w:rsidR="00000000" w:rsidRDefault="009C1C61">
            <w:pPr>
              <w:pStyle w:val="a2"/>
              <w:spacing w:line="260" w:lineRule="exact"/>
              <w:jc w:val="center"/>
              <w:rPr>
                <w:snapToGrid/>
                <w:sz w:val="20"/>
              </w:rPr>
            </w:pPr>
            <w:r>
              <w:rPr>
                <w:snapToGrid/>
                <w:sz w:val="20"/>
              </w:rPr>
              <w:t>4.2</w:t>
            </w:r>
          </w:p>
        </w:tc>
        <w:tc>
          <w:tcPr>
            <w:tcW w:w="1418" w:type="dxa"/>
          </w:tcPr>
          <w:p w:rsidR="00000000" w:rsidRDefault="009C1C61">
            <w:pPr>
              <w:pStyle w:val="a2"/>
              <w:spacing w:line="260" w:lineRule="exact"/>
              <w:jc w:val="center"/>
              <w:rPr>
                <w:snapToGrid/>
                <w:sz w:val="20"/>
              </w:rPr>
            </w:pPr>
            <w:r>
              <w:rPr>
                <w:snapToGrid/>
                <w:sz w:val="20"/>
              </w:rPr>
              <w:t>3.3</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snapToGrid/>
                <w:sz w:val="20"/>
              </w:rPr>
              <w:t>1-4</w:t>
            </w:r>
            <w:r>
              <w:rPr>
                <w:rFonts w:hint="eastAsia"/>
                <w:snapToGrid/>
                <w:sz w:val="20"/>
              </w:rPr>
              <w:t>岁的儿童死亡率</w:t>
            </w:r>
            <w:r>
              <w:rPr>
                <w:snapToGrid/>
                <w:sz w:val="20"/>
              </w:rPr>
              <w:t>(</w:t>
            </w:r>
            <w:r>
              <w:rPr>
                <w:rFonts w:hint="eastAsia"/>
                <w:snapToGrid/>
                <w:sz w:val="20"/>
              </w:rPr>
              <w:t>每</w:t>
            </w:r>
            <w:r>
              <w:rPr>
                <w:snapToGrid/>
                <w:sz w:val="20"/>
              </w:rPr>
              <w:t>1000</w:t>
            </w:r>
            <w:r>
              <w:rPr>
                <w:rFonts w:hint="eastAsia"/>
                <w:snapToGrid/>
                <w:sz w:val="20"/>
              </w:rPr>
              <w:t>名</w:t>
            </w:r>
            <w:r>
              <w:rPr>
                <w:snapToGrid/>
                <w:sz w:val="20"/>
              </w:rPr>
              <w:t>1-4</w:t>
            </w:r>
            <w:r>
              <w:rPr>
                <w:rFonts w:hint="eastAsia"/>
                <w:snapToGrid/>
                <w:sz w:val="20"/>
              </w:rPr>
              <w:t>岁年龄组的儿童</w:t>
            </w:r>
            <w:r>
              <w:rPr>
                <w:snapToGrid/>
                <w:sz w:val="20"/>
              </w:rPr>
              <w:t>)</w:t>
            </w:r>
          </w:p>
        </w:tc>
        <w:tc>
          <w:tcPr>
            <w:tcW w:w="1418" w:type="dxa"/>
          </w:tcPr>
          <w:p w:rsidR="00000000" w:rsidRDefault="009C1C61">
            <w:pPr>
              <w:pStyle w:val="a2"/>
              <w:spacing w:line="260" w:lineRule="exact"/>
              <w:jc w:val="center"/>
              <w:rPr>
                <w:snapToGrid/>
                <w:sz w:val="20"/>
              </w:rPr>
            </w:pPr>
            <w:r>
              <w:rPr>
                <w:snapToGrid/>
                <w:sz w:val="20"/>
              </w:rPr>
              <w:t>0.8</w:t>
            </w:r>
          </w:p>
        </w:tc>
        <w:tc>
          <w:tcPr>
            <w:tcW w:w="1417" w:type="dxa"/>
          </w:tcPr>
          <w:p w:rsidR="00000000" w:rsidRDefault="009C1C61">
            <w:pPr>
              <w:pStyle w:val="a2"/>
              <w:spacing w:line="260" w:lineRule="exact"/>
              <w:jc w:val="center"/>
              <w:rPr>
                <w:snapToGrid/>
                <w:sz w:val="20"/>
              </w:rPr>
            </w:pPr>
            <w:r>
              <w:rPr>
                <w:snapToGrid/>
                <w:sz w:val="20"/>
              </w:rPr>
              <w:t>0.4</w:t>
            </w:r>
          </w:p>
        </w:tc>
        <w:tc>
          <w:tcPr>
            <w:tcW w:w="1418" w:type="dxa"/>
          </w:tcPr>
          <w:p w:rsidR="00000000" w:rsidRDefault="009C1C61">
            <w:pPr>
              <w:pStyle w:val="a2"/>
              <w:spacing w:line="260" w:lineRule="exact"/>
              <w:jc w:val="center"/>
              <w:rPr>
                <w:snapToGrid/>
                <w:sz w:val="20"/>
              </w:rPr>
            </w:pPr>
            <w:r>
              <w:rPr>
                <w:snapToGrid/>
                <w:sz w:val="20"/>
              </w:rPr>
              <w:t>0.4</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产妇死亡率</w:t>
            </w:r>
            <w:r>
              <w:rPr>
                <w:snapToGrid/>
                <w:sz w:val="20"/>
              </w:rPr>
              <w:t>(</w:t>
            </w:r>
            <w:r>
              <w:rPr>
                <w:rFonts w:hint="eastAsia"/>
                <w:snapToGrid/>
                <w:sz w:val="20"/>
              </w:rPr>
              <w:t>每</w:t>
            </w:r>
            <w:r>
              <w:rPr>
                <w:snapToGrid/>
                <w:sz w:val="20"/>
              </w:rPr>
              <w:t>10,</w:t>
            </w:r>
            <w:r>
              <w:rPr>
                <w:rFonts w:hint="eastAsia"/>
                <w:snapToGrid/>
                <w:sz w:val="20"/>
              </w:rPr>
              <w:t>00</w:t>
            </w:r>
            <w:r>
              <w:rPr>
                <w:snapToGrid/>
                <w:sz w:val="20"/>
              </w:rPr>
              <w:t>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4</w:t>
            </w:r>
          </w:p>
        </w:tc>
        <w:tc>
          <w:tcPr>
            <w:tcW w:w="1417" w:type="dxa"/>
          </w:tcPr>
          <w:p w:rsidR="00000000" w:rsidRDefault="009C1C61">
            <w:pPr>
              <w:pStyle w:val="a2"/>
              <w:spacing w:line="260" w:lineRule="exact"/>
              <w:jc w:val="center"/>
              <w:rPr>
                <w:snapToGrid/>
                <w:sz w:val="20"/>
              </w:rPr>
            </w:pPr>
            <w:r>
              <w:rPr>
                <w:snapToGrid/>
                <w:sz w:val="20"/>
              </w:rPr>
              <w:t>2.3</w:t>
            </w:r>
          </w:p>
        </w:tc>
        <w:tc>
          <w:tcPr>
            <w:tcW w:w="1418" w:type="dxa"/>
          </w:tcPr>
          <w:p w:rsidR="00000000" w:rsidRDefault="009C1C61">
            <w:pPr>
              <w:pStyle w:val="a2"/>
              <w:spacing w:line="260" w:lineRule="exact"/>
              <w:jc w:val="center"/>
              <w:rPr>
                <w:snapToGrid/>
                <w:sz w:val="20"/>
              </w:rPr>
            </w:pPr>
            <w:r>
              <w:rPr>
                <w:snapToGrid/>
                <w:sz w:val="20"/>
              </w:rPr>
              <w:t>1.9</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宫颈癌致死率</w:t>
            </w:r>
            <w:r>
              <w:rPr>
                <w:snapToGrid/>
                <w:sz w:val="20"/>
              </w:rPr>
              <w:t>(</w:t>
            </w:r>
            <w:r>
              <w:rPr>
                <w:rFonts w:hint="eastAsia"/>
                <w:snapToGrid/>
                <w:sz w:val="20"/>
              </w:rPr>
              <w:t>每</w:t>
            </w:r>
            <w:r>
              <w:rPr>
                <w:snapToGrid/>
                <w:sz w:val="20"/>
              </w:rPr>
              <w:t>100,000</w:t>
            </w:r>
            <w:r>
              <w:rPr>
                <w:rFonts w:hint="eastAsia"/>
                <w:snapToGrid/>
                <w:sz w:val="20"/>
              </w:rPr>
              <w:t>名妇女</w:t>
            </w:r>
            <w:r>
              <w:rPr>
                <w:snapToGrid/>
                <w:sz w:val="20"/>
              </w:rPr>
              <w:t>)</w:t>
            </w:r>
          </w:p>
        </w:tc>
        <w:tc>
          <w:tcPr>
            <w:tcW w:w="1418" w:type="dxa"/>
          </w:tcPr>
          <w:p w:rsidR="00000000" w:rsidRDefault="009C1C61">
            <w:pPr>
              <w:pStyle w:val="a2"/>
              <w:spacing w:line="260" w:lineRule="exact"/>
              <w:jc w:val="center"/>
              <w:rPr>
                <w:snapToGrid/>
                <w:sz w:val="20"/>
              </w:rPr>
            </w:pPr>
            <w:r>
              <w:rPr>
                <w:snapToGrid/>
                <w:sz w:val="20"/>
              </w:rPr>
              <w:t>11.9</w:t>
            </w:r>
          </w:p>
        </w:tc>
        <w:tc>
          <w:tcPr>
            <w:tcW w:w="1417" w:type="dxa"/>
          </w:tcPr>
          <w:p w:rsidR="00000000" w:rsidRDefault="009C1C61">
            <w:pPr>
              <w:pStyle w:val="a2"/>
              <w:spacing w:line="260" w:lineRule="exact"/>
              <w:jc w:val="center"/>
              <w:rPr>
                <w:snapToGrid/>
                <w:sz w:val="20"/>
              </w:rPr>
            </w:pPr>
            <w:r>
              <w:rPr>
                <w:snapToGrid/>
                <w:sz w:val="20"/>
              </w:rPr>
              <w:t>9.6</w:t>
            </w:r>
          </w:p>
        </w:tc>
        <w:tc>
          <w:tcPr>
            <w:tcW w:w="1418" w:type="dxa"/>
          </w:tcPr>
          <w:p w:rsidR="00000000" w:rsidRDefault="009C1C61">
            <w:pPr>
              <w:pStyle w:val="a2"/>
              <w:spacing w:line="260" w:lineRule="exact"/>
              <w:jc w:val="center"/>
              <w:rPr>
                <w:snapToGrid/>
                <w:sz w:val="20"/>
              </w:rPr>
            </w:pPr>
            <w:r>
              <w:rPr>
                <w:snapToGrid/>
                <w:sz w:val="20"/>
              </w:rPr>
              <w:t>8.9</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围产期感染致死率</w:t>
            </w:r>
            <w:r>
              <w:rPr>
                <w:snapToGrid/>
                <w:sz w:val="20"/>
              </w:rPr>
              <w:t>(</w:t>
            </w:r>
            <w:r>
              <w:rPr>
                <w:rFonts w:hint="eastAsia"/>
                <w:snapToGrid/>
                <w:sz w:val="20"/>
              </w:rPr>
              <w:t>每</w:t>
            </w:r>
            <w:r>
              <w:rPr>
                <w:snapToGrid/>
                <w:sz w:val="20"/>
              </w:rPr>
              <w:t>100,000</w:t>
            </w:r>
            <w:r>
              <w:rPr>
                <w:rFonts w:hint="eastAsia"/>
                <w:snapToGrid/>
                <w:sz w:val="20"/>
              </w:rPr>
              <w:t>胎活产</w:t>
            </w:r>
            <w:r>
              <w:rPr>
                <w:snapToGrid/>
                <w:sz w:val="20"/>
              </w:rPr>
              <w:t>)</w:t>
            </w:r>
          </w:p>
        </w:tc>
        <w:tc>
          <w:tcPr>
            <w:tcW w:w="1418" w:type="dxa"/>
          </w:tcPr>
          <w:p w:rsidR="00000000" w:rsidRDefault="009C1C61">
            <w:pPr>
              <w:pStyle w:val="a2"/>
              <w:spacing w:line="260" w:lineRule="exact"/>
              <w:jc w:val="center"/>
              <w:rPr>
                <w:snapToGrid/>
                <w:sz w:val="20"/>
              </w:rPr>
            </w:pPr>
            <w:r>
              <w:rPr>
                <w:snapToGrid/>
                <w:sz w:val="20"/>
              </w:rPr>
              <w:t>552.8</w:t>
            </w:r>
          </w:p>
        </w:tc>
        <w:tc>
          <w:tcPr>
            <w:tcW w:w="1417" w:type="dxa"/>
          </w:tcPr>
          <w:p w:rsidR="00000000" w:rsidRDefault="009C1C61">
            <w:pPr>
              <w:pStyle w:val="a2"/>
              <w:spacing w:line="260" w:lineRule="exact"/>
              <w:jc w:val="center"/>
              <w:rPr>
                <w:snapToGrid/>
                <w:sz w:val="20"/>
              </w:rPr>
            </w:pPr>
            <w:r>
              <w:rPr>
                <w:snapToGrid/>
                <w:sz w:val="20"/>
              </w:rPr>
              <w:t>353.2</w:t>
            </w:r>
          </w:p>
        </w:tc>
        <w:tc>
          <w:tcPr>
            <w:tcW w:w="1418" w:type="dxa"/>
          </w:tcPr>
          <w:p w:rsidR="00000000" w:rsidRDefault="009C1C61">
            <w:pPr>
              <w:pStyle w:val="a2"/>
              <w:spacing w:line="260" w:lineRule="exact"/>
              <w:jc w:val="center"/>
              <w:rPr>
                <w:snapToGrid/>
                <w:sz w:val="20"/>
              </w:rPr>
            </w:pPr>
            <w:r>
              <w:rPr>
                <w:snapToGrid/>
                <w:sz w:val="20"/>
              </w:rPr>
              <w:t>353.4</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呼吸道疾病致死率</w:t>
            </w:r>
            <w:r>
              <w:rPr>
                <w:snapToGrid/>
                <w:sz w:val="20"/>
              </w:rPr>
              <w:t>(</w:t>
            </w:r>
            <w:r>
              <w:rPr>
                <w:rFonts w:hint="eastAsia"/>
                <w:snapToGrid/>
                <w:sz w:val="20"/>
              </w:rPr>
              <w:t>每</w:t>
            </w:r>
            <w:r>
              <w:rPr>
                <w:snapToGrid/>
                <w:sz w:val="20"/>
              </w:rPr>
              <w:t>100,000</w:t>
            </w:r>
            <w:r>
              <w:rPr>
                <w:rFonts w:hint="eastAsia"/>
                <w:snapToGrid/>
                <w:sz w:val="20"/>
              </w:rPr>
              <w:t>名居民</w:t>
            </w:r>
            <w:r>
              <w:rPr>
                <w:snapToGrid/>
                <w:sz w:val="20"/>
              </w:rPr>
              <w:t>)</w:t>
            </w:r>
          </w:p>
        </w:tc>
        <w:tc>
          <w:tcPr>
            <w:tcW w:w="1418" w:type="dxa"/>
          </w:tcPr>
          <w:p w:rsidR="00000000" w:rsidRDefault="009C1C61">
            <w:pPr>
              <w:pStyle w:val="a2"/>
              <w:spacing w:line="260" w:lineRule="exact"/>
              <w:jc w:val="center"/>
              <w:rPr>
                <w:snapToGrid/>
                <w:sz w:val="20"/>
              </w:rPr>
            </w:pPr>
            <w:r>
              <w:rPr>
                <w:snapToGrid/>
                <w:sz w:val="20"/>
              </w:rPr>
              <w:t>73.1</w:t>
            </w:r>
          </w:p>
        </w:tc>
        <w:tc>
          <w:tcPr>
            <w:tcW w:w="1417" w:type="dxa"/>
          </w:tcPr>
          <w:p w:rsidR="00000000" w:rsidRDefault="009C1C61">
            <w:pPr>
              <w:pStyle w:val="a2"/>
              <w:spacing w:line="260" w:lineRule="exact"/>
              <w:jc w:val="center"/>
              <w:rPr>
                <w:snapToGrid/>
                <w:sz w:val="20"/>
              </w:rPr>
            </w:pPr>
            <w:r>
              <w:rPr>
                <w:snapToGrid/>
                <w:sz w:val="20"/>
              </w:rPr>
              <w:t>76.4</w:t>
            </w:r>
          </w:p>
        </w:tc>
        <w:tc>
          <w:tcPr>
            <w:tcW w:w="1418" w:type="dxa"/>
          </w:tcPr>
          <w:p w:rsidR="00000000" w:rsidRDefault="009C1C61">
            <w:pPr>
              <w:pStyle w:val="a2"/>
              <w:spacing w:line="260" w:lineRule="exact"/>
              <w:jc w:val="center"/>
              <w:rPr>
                <w:snapToGrid/>
                <w:sz w:val="20"/>
              </w:rPr>
            </w:pPr>
            <w:r>
              <w:rPr>
                <w:snapToGrid/>
                <w:sz w:val="20"/>
              </w:rPr>
              <w:t>54.5</w:t>
            </w:r>
          </w:p>
        </w:tc>
      </w:tr>
      <w:tr w:rsidR="00000000">
        <w:tblPrEx>
          <w:tblCellMar>
            <w:top w:w="0" w:type="dxa"/>
            <w:bottom w:w="0" w:type="dxa"/>
          </w:tblCellMar>
        </w:tblPrEx>
        <w:tc>
          <w:tcPr>
            <w:tcW w:w="5387" w:type="dxa"/>
          </w:tcPr>
          <w:p w:rsidR="00000000" w:rsidRDefault="009C1C61">
            <w:pPr>
              <w:pStyle w:val="a2"/>
              <w:spacing w:line="260" w:lineRule="exact"/>
              <w:rPr>
                <w:snapToGrid/>
                <w:sz w:val="20"/>
              </w:rPr>
            </w:pPr>
            <w:r>
              <w:rPr>
                <w:rFonts w:hint="eastAsia"/>
                <w:snapToGrid/>
                <w:sz w:val="20"/>
              </w:rPr>
              <w:t>外伤</w:t>
            </w:r>
            <w:r>
              <w:rPr>
                <w:rFonts w:hint="eastAsia"/>
                <w:snapToGrid/>
                <w:sz w:val="20"/>
              </w:rPr>
              <w:t>和事故致死率</w:t>
            </w:r>
            <w:r>
              <w:rPr>
                <w:snapToGrid/>
                <w:sz w:val="20"/>
              </w:rPr>
              <w:t>(</w:t>
            </w:r>
            <w:r>
              <w:rPr>
                <w:rFonts w:hint="eastAsia"/>
                <w:snapToGrid/>
                <w:sz w:val="20"/>
              </w:rPr>
              <w:t>每</w:t>
            </w:r>
            <w:r>
              <w:rPr>
                <w:snapToGrid/>
                <w:sz w:val="20"/>
              </w:rPr>
              <w:t>100,000</w:t>
            </w:r>
            <w:r>
              <w:rPr>
                <w:rFonts w:hint="eastAsia"/>
                <w:snapToGrid/>
                <w:sz w:val="20"/>
              </w:rPr>
              <w:t>名居民</w:t>
            </w:r>
            <w:r>
              <w:rPr>
                <w:snapToGrid/>
                <w:sz w:val="20"/>
              </w:rPr>
              <w:t>)</w:t>
            </w:r>
          </w:p>
        </w:tc>
        <w:tc>
          <w:tcPr>
            <w:tcW w:w="1418" w:type="dxa"/>
          </w:tcPr>
          <w:p w:rsidR="00000000" w:rsidRDefault="009C1C61">
            <w:pPr>
              <w:pStyle w:val="a2"/>
              <w:spacing w:line="260" w:lineRule="exact"/>
              <w:jc w:val="center"/>
              <w:rPr>
                <w:snapToGrid/>
                <w:sz w:val="20"/>
              </w:rPr>
            </w:pPr>
            <w:r>
              <w:rPr>
                <w:snapToGrid/>
                <w:sz w:val="20"/>
              </w:rPr>
              <w:t>72.8</w:t>
            </w:r>
          </w:p>
        </w:tc>
        <w:tc>
          <w:tcPr>
            <w:tcW w:w="1417" w:type="dxa"/>
          </w:tcPr>
          <w:p w:rsidR="00000000" w:rsidRDefault="009C1C61">
            <w:pPr>
              <w:pStyle w:val="a2"/>
              <w:spacing w:line="260" w:lineRule="exact"/>
              <w:jc w:val="center"/>
              <w:rPr>
                <w:snapToGrid/>
                <w:sz w:val="20"/>
              </w:rPr>
            </w:pPr>
            <w:r>
              <w:rPr>
                <w:snapToGrid/>
                <w:sz w:val="20"/>
              </w:rPr>
              <w:t>51</w:t>
            </w:r>
          </w:p>
        </w:tc>
        <w:tc>
          <w:tcPr>
            <w:tcW w:w="1418" w:type="dxa"/>
          </w:tcPr>
          <w:p w:rsidR="00000000" w:rsidRDefault="009C1C61">
            <w:pPr>
              <w:pStyle w:val="a2"/>
              <w:spacing w:line="260" w:lineRule="exact"/>
              <w:jc w:val="center"/>
              <w:rPr>
                <w:snapToGrid/>
                <w:sz w:val="20"/>
              </w:rPr>
            </w:pPr>
            <w:r>
              <w:rPr>
                <w:snapToGrid/>
                <w:sz w:val="20"/>
              </w:rPr>
              <w:t>51</w:t>
            </w:r>
          </w:p>
        </w:tc>
      </w:tr>
      <w:tr w:rsidR="00000000">
        <w:tblPrEx>
          <w:tblCellMar>
            <w:top w:w="0" w:type="dxa"/>
            <w:bottom w:w="0" w:type="dxa"/>
          </w:tblCellMar>
        </w:tblPrEx>
        <w:tc>
          <w:tcPr>
            <w:tcW w:w="5387" w:type="dxa"/>
          </w:tcPr>
          <w:p w:rsidR="00000000" w:rsidRDefault="009C1C61">
            <w:pPr>
              <w:pStyle w:val="a2"/>
              <w:spacing w:line="260" w:lineRule="exact"/>
              <w:rPr>
                <w:rFonts w:hint="eastAsia"/>
                <w:snapToGrid/>
                <w:sz w:val="20"/>
              </w:rPr>
            </w:pPr>
            <w:r>
              <w:rPr>
                <w:rFonts w:hint="eastAsia"/>
                <w:snapToGrid/>
                <w:sz w:val="20"/>
              </w:rPr>
              <w:t>出生时的预期寿命</w:t>
            </w:r>
          </w:p>
        </w:tc>
        <w:tc>
          <w:tcPr>
            <w:tcW w:w="1418" w:type="dxa"/>
          </w:tcPr>
          <w:p w:rsidR="00000000" w:rsidRDefault="009C1C61">
            <w:pPr>
              <w:pStyle w:val="a2"/>
              <w:spacing w:line="260" w:lineRule="exact"/>
              <w:jc w:val="center"/>
              <w:rPr>
                <w:snapToGrid/>
                <w:sz w:val="20"/>
              </w:rPr>
            </w:pPr>
            <w:r>
              <w:rPr>
                <w:snapToGrid/>
                <w:sz w:val="20"/>
              </w:rPr>
              <w:t>74.4</w:t>
            </w:r>
          </w:p>
        </w:tc>
        <w:tc>
          <w:tcPr>
            <w:tcW w:w="1417" w:type="dxa"/>
          </w:tcPr>
          <w:p w:rsidR="00000000" w:rsidRDefault="009C1C61">
            <w:pPr>
              <w:pStyle w:val="a2"/>
              <w:spacing w:line="260" w:lineRule="exact"/>
              <w:jc w:val="center"/>
              <w:rPr>
                <w:snapToGrid/>
                <w:sz w:val="20"/>
              </w:rPr>
            </w:pPr>
            <w:r>
              <w:rPr>
                <w:snapToGrid/>
                <w:sz w:val="20"/>
              </w:rPr>
              <w:t>75.2</w:t>
            </w:r>
          </w:p>
        </w:tc>
        <w:tc>
          <w:tcPr>
            <w:tcW w:w="1418" w:type="dxa"/>
          </w:tcPr>
          <w:p w:rsidR="00000000" w:rsidRDefault="009C1C61">
            <w:pPr>
              <w:pStyle w:val="a2"/>
              <w:spacing w:line="260" w:lineRule="exact"/>
              <w:jc w:val="center"/>
              <w:rPr>
                <w:snapToGrid/>
                <w:sz w:val="20"/>
              </w:rPr>
            </w:pPr>
            <w:r>
              <w:rPr>
                <w:snapToGrid/>
                <w:sz w:val="20"/>
              </w:rPr>
              <w:t>75.5</w:t>
            </w:r>
          </w:p>
        </w:tc>
      </w:tr>
    </w:tbl>
    <w:p w:rsidR="00000000" w:rsidRDefault="009C1C61">
      <w:pPr>
        <w:pStyle w:val="EndnoteText"/>
        <w:spacing w:before="120"/>
        <w:rPr>
          <w:snapToGrid/>
          <w:sz w:val="22"/>
        </w:rPr>
      </w:pPr>
      <w:r>
        <w:rPr>
          <w:rFonts w:hint="eastAsia"/>
          <w:snapToGrid/>
          <w:sz w:val="22"/>
          <w:u w:val="single"/>
        </w:rPr>
        <w:t>资料来源</w:t>
      </w:r>
      <w:r>
        <w:rPr>
          <w:rFonts w:hint="eastAsia"/>
          <w:snapToGrid/>
          <w:sz w:val="22"/>
        </w:rPr>
        <w:t>：卫生部，健康统计和信息司，</w:t>
      </w:r>
      <w:r>
        <w:rPr>
          <w:rFonts w:hint="eastAsia"/>
          <w:snapToGrid/>
          <w:sz w:val="22"/>
        </w:rPr>
        <w:t>2003</w:t>
      </w:r>
      <w:r>
        <w:rPr>
          <w:rFonts w:hint="eastAsia"/>
          <w:snapToGrid/>
          <w:sz w:val="22"/>
        </w:rPr>
        <w:t>年</w:t>
      </w:r>
      <w:r>
        <w:rPr>
          <w:rFonts w:hint="eastAsia"/>
          <w:snapToGrid/>
          <w:sz w:val="22"/>
        </w:rPr>
        <w:t>3</w:t>
      </w:r>
      <w:r>
        <w:rPr>
          <w:rFonts w:hint="eastAsia"/>
          <w:snapToGrid/>
          <w:sz w:val="22"/>
        </w:rPr>
        <w:t>月。</w:t>
      </w:r>
    </w:p>
    <w:p w:rsidR="00000000" w:rsidRDefault="009C1C61">
      <w:pPr>
        <w:pStyle w:val="EndnoteText"/>
        <w:spacing w:after="320"/>
        <w:ind w:left="1790" w:hanging="300"/>
        <w:rPr>
          <w:snapToGrid/>
          <w:sz w:val="22"/>
        </w:rPr>
      </w:pPr>
      <w:r>
        <w:rPr>
          <w:snapToGrid/>
          <w:sz w:val="22"/>
        </w:rPr>
        <w:t>*</w:t>
      </w:r>
      <w:r>
        <w:rPr>
          <w:snapToGrid/>
          <w:sz w:val="22"/>
        </w:rPr>
        <w:tab/>
        <w:t>1994</w:t>
      </w:r>
      <w:r>
        <w:rPr>
          <w:rFonts w:hint="eastAsia"/>
          <w:snapToGrid/>
          <w:sz w:val="22"/>
        </w:rPr>
        <w:t>年变更衡量营养状况的参数。</w:t>
      </w:r>
    </w:p>
    <w:p w:rsidR="00000000" w:rsidRDefault="009C1C61">
      <w:pPr>
        <w:rPr>
          <w:rFonts w:hint="eastAsia"/>
          <w:snapToGrid/>
        </w:rPr>
      </w:pPr>
      <w:r>
        <w:rPr>
          <w:snapToGrid/>
        </w:rPr>
        <w:tab/>
        <w:t xml:space="preserve">626.  </w:t>
      </w:r>
      <w:r>
        <w:rPr>
          <w:rFonts w:hint="eastAsia"/>
          <w:snapToGrid/>
        </w:rPr>
        <w:t>近几十年来，精神疾病逐渐流行起来，如今影响了</w:t>
      </w:r>
      <w:r>
        <w:rPr>
          <w:snapToGrid/>
        </w:rPr>
        <w:t>12</w:t>
      </w:r>
      <w:r>
        <w:rPr>
          <w:rFonts w:hint="eastAsia"/>
          <w:snapToGrid/>
        </w:rPr>
        <w:t>%</w:t>
      </w:r>
      <w:r>
        <w:rPr>
          <w:rFonts w:hint="eastAsia"/>
          <w:snapToGrid/>
        </w:rPr>
        <w:t>至</w:t>
      </w:r>
      <w:r>
        <w:rPr>
          <w:snapToGrid/>
        </w:rPr>
        <w:t>21%</w:t>
      </w:r>
      <w:r>
        <w:rPr>
          <w:rFonts w:hint="eastAsia"/>
          <w:snapToGrid/>
        </w:rPr>
        <w:t>的</w:t>
      </w:r>
      <w:r>
        <w:rPr>
          <w:rFonts w:hint="eastAsia"/>
          <w:snapToGrid/>
        </w:rPr>
        <w:t>15</w:t>
      </w:r>
      <w:r>
        <w:rPr>
          <w:rFonts w:hint="eastAsia"/>
          <w:snapToGrid/>
        </w:rPr>
        <w:t>岁以上的人口。女性精神疾病常常表现为情感苦恼，主要是抑郁；男性精神疾病常常表现为酒精或毒品依赖。多动症或注意力缺乏问题及情感或行为问题困挠着</w:t>
      </w:r>
      <w:r>
        <w:rPr>
          <w:rFonts w:hint="eastAsia"/>
          <w:snapToGrid/>
        </w:rPr>
        <w:t>6</w:t>
      </w:r>
      <w:r>
        <w:rPr>
          <w:rFonts w:hint="eastAsia"/>
          <w:snapToGrid/>
        </w:rPr>
        <w:t>至</w:t>
      </w:r>
      <w:r>
        <w:rPr>
          <w:rFonts w:hint="eastAsia"/>
          <w:snapToGrid/>
        </w:rPr>
        <w:t>13</w:t>
      </w:r>
      <w:r>
        <w:rPr>
          <w:rFonts w:hint="eastAsia"/>
          <w:snapToGrid/>
        </w:rPr>
        <w:t>岁年龄组的</w:t>
      </w:r>
      <w:r>
        <w:rPr>
          <w:snapToGrid/>
        </w:rPr>
        <w:t>20%</w:t>
      </w:r>
      <w:r>
        <w:rPr>
          <w:rFonts w:hint="eastAsia"/>
          <w:snapToGrid/>
        </w:rPr>
        <w:t>的小学生。在智利，精神分裂症影响着</w:t>
      </w:r>
      <w:r>
        <w:rPr>
          <w:snapToGrid/>
        </w:rPr>
        <w:t>1.02%</w:t>
      </w:r>
      <w:r>
        <w:rPr>
          <w:rFonts w:hint="eastAsia"/>
          <w:snapToGrid/>
        </w:rPr>
        <w:t>的人口。截至</w:t>
      </w:r>
      <w:r>
        <w:rPr>
          <w:snapToGrid/>
        </w:rPr>
        <w:t>200</w:t>
      </w:r>
      <w:r>
        <w:rPr>
          <w:snapToGrid/>
        </w:rPr>
        <w:t>1</w:t>
      </w:r>
      <w:r>
        <w:rPr>
          <w:rFonts w:hint="eastAsia"/>
          <w:snapToGrid/>
        </w:rPr>
        <w:t>年</w:t>
      </w:r>
      <w:r>
        <w:rPr>
          <w:rFonts w:hint="eastAsia"/>
          <w:snapToGrid/>
        </w:rPr>
        <w:t>9</w:t>
      </w:r>
      <w:r>
        <w:rPr>
          <w:rFonts w:hint="eastAsia"/>
          <w:snapToGrid/>
        </w:rPr>
        <w:t>月，有</w:t>
      </w:r>
      <w:r>
        <w:rPr>
          <w:snapToGrid/>
        </w:rPr>
        <w:t>653</w:t>
      </w:r>
      <w:r>
        <w:rPr>
          <w:rFonts w:hint="eastAsia"/>
          <w:snapToGrid/>
        </w:rPr>
        <w:t>人因初级保健咨询而得到了氯氮平。</w:t>
      </w:r>
    </w:p>
    <w:p w:rsidR="00000000" w:rsidRDefault="009C1C61">
      <w:pPr>
        <w:rPr>
          <w:rFonts w:hint="eastAsia"/>
          <w:snapToGrid/>
        </w:rPr>
      </w:pPr>
      <w:r>
        <w:rPr>
          <w:snapToGrid/>
        </w:rPr>
        <w:tab/>
        <w:t xml:space="preserve">627.  </w:t>
      </w:r>
      <w:r>
        <w:rPr>
          <w:rFonts w:hint="eastAsia"/>
          <w:snapToGrid/>
        </w:rPr>
        <w:t>根据健康和生活水准调查结果，有</w:t>
      </w:r>
      <w:r>
        <w:rPr>
          <w:snapToGrid/>
        </w:rPr>
        <w:t>10%</w:t>
      </w:r>
      <w:r>
        <w:rPr>
          <w:rFonts w:hint="eastAsia"/>
          <w:snapToGrid/>
        </w:rPr>
        <w:t>的人口患高血压：男性占</w:t>
      </w:r>
      <w:r>
        <w:rPr>
          <w:snapToGrid/>
        </w:rPr>
        <w:t>7%</w:t>
      </w:r>
      <w:r>
        <w:rPr>
          <w:rFonts w:hint="eastAsia"/>
          <w:snapToGrid/>
        </w:rPr>
        <w:t>，女性占</w:t>
      </w:r>
      <w:r>
        <w:rPr>
          <w:snapToGrid/>
        </w:rPr>
        <w:t>13%</w:t>
      </w:r>
      <w:r>
        <w:rPr>
          <w:rFonts w:hint="eastAsia"/>
          <w:snapToGrid/>
        </w:rPr>
        <w:t>。高血压在</w:t>
      </w:r>
      <w:r>
        <w:rPr>
          <w:rFonts w:hint="eastAsia"/>
          <w:snapToGrid/>
        </w:rPr>
        <w:t>45</w:t>
      </w:r>
      <w:r>
        <w:rPr>
          <w:rFonts w:hint="eastAsia"/>
          <w:snapToGrid/>
        </w:rPr>
        <w:t>岁以上年龄组中开始流行起来，影响了</w:t>
      </w:r>
      <w:r>
        <w:rPr>
          <w:snapToGrid/>
        </w:rPr>
        <w:t>40%</w:t>
      </w:r>
      <w:r>
        <w:rPr>
          <w:rFonts w:hint="eastAsia"/>
          <w:snapToGrid/>
        </w:rPr>
        <w:t>以上的</w:t>
      </w:r>
      <w:r>
        <w:rPr>
          <w:rFonts w:hint="eastAsia"/>
          <w:snapToGrid/>
        </w:rPr>
        <w:t>65</w:t>
      </w:r>
      <w:r>
        <w:rPr>
          <w:rFonts w:hint="eastAsia"/>
          <w:snapToGrid/>
        </w:rPr>
        <w:t>岁以上的人口。有</w:t>
      </w:r>
      <w:r>
        <w:rPr>
          <w:snapToGrid/>
        </w:rPr>
        <w:t>3.2%</w:t>
      </w:r>
      <w:r>
        <w:rPr>
          <w:rFonts w:hint="eastAsia"/>
          <w:snapToGrid/>
        </w:rPr>
        <w:t>的人口患糖尿病：女性占</w:t>
      </w:r>
      <w:r>
        <w:rPr>
          <w:snapToGrid/>
        </w:rPr>
        <w:t>3.4%</w:t>
      </w:r>
      <w:r>
        <w:rPr>
          <w:rFonts w:hint="eastAsia"/>
          <w:snapToGrid/>
        </w:rPr>
        <w:t>，男性占</w:t>
      </w:r>
      <w:r>
        <w:rPr>
          <w:snapToGrid/>
        </w:rPr>
        <w:t>3%</w:t>
      </w:r>
      <w:r>
        <w:rPr>
          <w:rFonts w:hint="eastAsia"/>
          <w:snapToGrid/>
        </w:rPr>
        <w:t>。像高血压一样，糖尿病在</w:t>
      </w:r>
      <w:r>
        <w:rPr>
          <w:rFonts w:hint="eastAsia"/>
          <w:snapToGrid/>
        </w:rPr>
        <w:t>45</w:t>
      </w:r>
      <w:r>
        <w:rPr>
          <w:rFonts w:hint="eastAsia"/>
          <w:snapToGrid/>
        </w:rPr>
        <w:t>岁以上年龄组中也开始起来越突出；它影响了</w:t>
      </w:r>
      <w:r>
        <w:rPr>
          <w:snapToGrid/>
        </w:rPr>
        <w:t>14%</w:t>
      </w:r>
      <w:r>
        <w:rPr>
          <w:rFonts w:hint="eastAsia"/>
          <w:snapToGrid/>
        </w:rPr>
        <w:t xml:space="preserve"> 75</w:t>
      </w:r>
      <w:r>
        <w:rPr>
          <w:rFonts w:hint="eastAsia"/>
          <w:snapToGrid/>
        </w:rPr>
        <w:t>岁以上的人。</w:t>
      </w:r>
    </w:p>
    <w:p w:rsidR="00000000" w:rsidRDefault="009C1C61">
      <w:pPr>
        <w:rPr>
          <w:snapToGrid/>
        </w:rPr>
      </w:pPr>
      <w:r>
        <w:rPr>
          <w:snapToGrid/>
        </w:rPr>
        <w:tab/>
        <w:t xml:space="preserve">628.  </w:t>
      </w:r>
      <w:r>
        <w:rPr>
          <w:rFonts w:hint="eastAsia"/>
          <w:snapToGrid/>
        </w:rPr>
        <w:t>工伤事故每年影响着</w:t>
      </w:r>
      <w:r>
        <w:rPr>
          <w:snapToGrid/>
        </w:rPr>
        <w:t>12%</w:t>
      </w:r>
      <w:r>
        <w:rPr>
          <w:rFonts w:hint="eastAsia"/>
          <w:snapToGrid/>
        </w:rPr>
        <w:t>的人口，每</w:t>
      </w:r>
      <w:r>
        <w:rPr>
          <w:snapToGrid/>
        </w:rPr>
        <w:t>1,000</w:t>
      </w:r>
      <w:r>
        <w:rPr>
          <w:rFonts w:hint="eastAsia"/>
          <w:snapToGrid/>
        </w:rPr>
        <w:t>名工人有</w:t>
      </w:r>
      <w:r>
        <w:rPr>
          <w:rFonts w:hint="eastAsia"/>
          <w:snapToGrid/>
        </w:rPr>
        <w:t>23</w:t>
      </w:r>
      <w:r>
        <w:rPr>
          <w:rFonts w:hint="eastAsia"/>
          <w:snapToGrid/>
        </w:rPr>
        <w:t>人受已通报职业病的影响，因工业事故和疾病而损失的工作日年年增加。</w:t>
      </w:r>
      <w:r>
        <w:rPr>
          <w:rFonts w:hint="eastAsia"/>
          <w:snapToGrid/>
        </w:rPr>
        <w:t>2000</w:t>
      </w:r>
      <w:r>
        <w:rPr>
          <w:rFonts w:hint="eastAsia"/>
          <w:snapToGrid/>
        </w:rPr>
        <w:t>年，</w:t>
      </w:r>
      <w:r>
        <w:rPr>
          <w:rFonts w:hint="eastAsia"/>
          <w:snapToGrid/>
        </w:rPr>
        <w:t>记录在案的事故率为</w:t>
      </w:r>
      <w:r>
        <w:rPr>
          <w:snapToGrid/>
        </w:rPr>
        <w:t>7.98%</w:t>
      </w:r>
      <w:r>
        <w:rPr>
          <w:rFonts w:hint="eastAsia"/>
          <w:snapToGrid/>
        </w:rPr>
        <w:t>，每</w:t>
      </w:r>
      <w:r>
        <w:rPr>
          <w:snapToGrid/>
        </w:rPr>
        <w:t>1,000</w:t>
      </w:r>
      <w:r>
        <w:rPr>
          <w:rFonts w:hint="eastAsia"/>
          <w:snapToGrid/>
        </w:rPr>
        <w:t>名工人有</w:t>
      </w:r>
      <w:r>
        <w:rPr>
          <w:rFonts w:hint="eastAsia"/>
          <w:snapToGrid/>
        </w:rPr>
        <w:t>17</w:t>
      </w:r>
      <w:r>
        <w:rPr>
          <w:rFonts w:hint="eastAsia"/>
          <w:snapToGrid/>
        </w:rPr>
        <w:t>人患已通报职业病。据报，有</w:t>
      </w:r>
      <w:r>
        <w:rPr>
          <w:rFonts w:hint="eastAsia"/>
          <w:snapToGrid/>
        </w:rPr>
        <w:t>6%</w:t>
      </w:r>
      <w:r>
        <w:rPr>
          <w:rFonts w:hint="eastAsia"/>
          <w:snapToGrid/>
        </w:rPr>
        <w:t>的人口有视力缺陷。有</w:t>
      </w:r>
      <w:r>
        <w:rPr>
          <w:rFonts w:hint="eastAsia"/>
          <w:snapToGrid/>
        </w:rPr>
        <w:t>1%</w:t>
      </w:r>
      <w:r>
        <w:rPr>
          <w:rFonts w:hint="eastAsia"/>
          <w:snapToGrid/>
        </w:rPr>
        <w:t>的人患有白内障，</w:t>
      </w:r>
      <w:r>
        <w:rPr>
          <w:snapToGrid/>
        </w:rPr>
        <w:t>0.5%</w:t>
      </w:r>
      <w:r>
        <w:rPr>
          <w:rFonts w:hint="eastAsia"/>
          <w:snapToGrid/>
        </w:rPr>
        <w:t>的人患青光眼。与主要健康问题有关的各种因素在社会经济地位最低下的群体中比较普遍，只是在男女中程度有别。</w:t>
      </w:r>
      <w:r>
        <w:rPr>
          <w:rStyle w:val="FootnoteReference"/>
          <w:snapToGrid/>
        </w:rPr>
        <w:footnoteReference w:id="288"/>
      </w:r>
    </w:p>
    <w:p w:rsidR="00000000" w:rsidRDefault="009C1C61">
      <w:pPr>
        <w:rPr>
          <w:snapToGrid/>
        </w:rPr>
      </w:pPr>
      <w:r>
        <w:rPr>
          <w:snapToGrid/>
        </w:rPr>
        <w:tab/>
        <w:t xml:space="preserve">629.  </w:t>
      </w:r>
      <w:r>
        <w:rPr>
          <w:rFonts w:hint="eastAsia"/>
          <w:snapToGrid/>
        </w:rPr>
        <w:t>健康和生活水准调查表明，有</w:t>
      </w:r>
      <w:r>
        <w:rPr>
          <w:snapToGrid/>
        </w:rPr>
        <w:t>40%</w:t>
      </w:r>
      <w:r>
        <w:rPr>
          <w:rFonts w:hint="eastAsia"/>
          <w:snapToGrid/>
        </w:rPr>
        <w:t>的人口上月吸过烟：男人为</w:t>
      </w:r>
      <w:r>
        <w:rPr>
          <w:snapToGrid/>
        </w:rPr>
        <w:t>44%</w:t>
      </w:r>
      <w:r>
        <w:rPr>
          <w:rFonts w:hint="eastAsia"/>
          <w:snapToGrid/>
        </w:rPr>
        <w:t>，女人为</w:t>
      </w:r>
      <w:r>
        <w:rPr>
          <w:snapToGrid/>
        </w:rPr>
        <w:t>36%</w:t>
      </w:r>
      <w:r>
        <w:rPr>
          <w:rFonts w:hint="eastAsia"/>
          <w:snapToGrid/>
        </w:rPr>
        <w:t>。这个比例在青少年在增加，在</w:t>
      </w:r>
      <w:r>
        <w:rPr>
          <w:rFonts w:hint="eastAsia"/>
          <w:snapToGrid/>
        </w:rPr>
        <w:t>15-19</w:t>
      </w:r>
      <w:r>
        <w:rPr>
          <w:rFonts w:hint="eastAsia"/>
          <w:snapToGrid/>
        </w:rPr>
        <w:t>岁年龄组中达到了</w:t>
      </w:r>
      <w:r>
        <w:rPr>
          <w:snapToGrid/>
        </w:rPr>
        <w:t>44%</w:t>
      </w:r>
      <w:r>
        <w:rPr>
          <w:rFonts w:hint="eastAsia"/>
          <w:snapToGrid/>
        </w:rPr>
        <w:t>，在</w:t>
      </w:r>
      <w:r>
        <w:rPr>
          <w:rFonts w:hint="eastAsia"/>
          <w:snapToGrid/>
        </w:rPr>
        <w:t>20-24</w:t>
      </w:r>
      <w:r>
        <w:rPr>
          <w:rFonts w:hint="eastAsia"/>
          <w:snapToGrid/>
        </w:rPr>
        <w:t>岁年龄组中达到了</w:t>
      </w:r>
      <w:r>
        <w:rPr>
          <w:snapToGrid/>
        </w:rPr>
        <w:t>48%</w:t>
      </w:r>
      <w:r>
        <w:rPr>
          <w:rFonts w:hint="eastAsia"/>
          <w:snapToGrid/>
        </w:rPr>
        <w:t>。有</w:t>
      </w:r>
      <w:r>
        <w:rPr>
          <w:rFonts w:hint="eastAsia"/>
          <w:snapToGrid/>
        </w:rPr>
        <w:t>23%</w:t>
      </w:r>
      <w:r>
        <w:rPr>
          <w:rFonts w:hint="eastAsia"/>
          <w:snapToGrid/>
        </w:rPr>
        <w:t>的人口说，他们目前不吸烟，不过曾经吸过烟。约有</w:t>
      </w:r>
      <w:r>
        <w:rPr>
          <w:snapToGrid/>
        </w:rPr>
        <w:t>5% 12</w:t>
      </w:r>
      <w:r>
        <w:rPr>
          <w:rFonts w:hint="eastAsia"/>
          <w:snapToGrid/>
        </w:rPr>
        <w:t>岁以上的人说，前年曾吸</w:t>
      </w:r>
      <w:r>
        <w:rPr>
          <w:rFonts w:hint="eastAsia"/>
          <w:snapToGrid/>
        </w:rPr>
        <w:t>食非法毒品，而且约有</w:t>
      </w:r>
      <w:r>
        <w:rPr>
          <w:rFonts w:hint="eastAsia"/>
          <w:snapToGrid/>
        </w:rPr>
        <w:t>1%</w:t>
      </w:r>
      <w:r>
        <w:rPr>
          <w:rFonts w:hint="eastAsia"/>
          <w:snapToGrid/>
        </w:rPr>
        <w:t>成瘾。这些人多数都吸过大麻，有五分之一的人说曾经吸过可卡因、快克或安非他明之类的毒品。有</w:t>
      </w:r>
      <w:r>
        <w:rPr>
          <w:rFonts w:hint="eastAsia"/>
          <w:snapToGrid/>
        </w:rPr>
        <w:t>16%</w:t>
      </w:r>
      <w:r>
        <w:rPr>
          <w:rFonts w:hint="eastAsia"/>
          <w:snapToGrid/>
        </w:rPr>
        <w:t>的人口承认有酗</w:t>
      </w:r>
      <w:r>
        <w:rPr>
          <w:rFonts w:hint="eastAsia"/>
          <w:snapToGrid/>
          <w:color w:val="000000"/>
        </w:rPr>
        <w:t>酒问题</w:t>
      </w:r>
      <w:r>
        <w:rPr>
          <w:rFonts w:hint="eastAsia"/>
          <w:snapToGrid/>
        </w:rPr>
        <w:t>，“</w:t>
      </w:r>
      <w:r>
        <w:rPr>
          <w:snapToGrid/>
        </w:rPr>
        <w:t>EBB</w:t>
      </w:r>
      <w:r>
        <w:rPr>
          <w:snapToGrid/>
          <w:color w:val="000000"/>
        </w:rPr>
        <w:t>A</w:t>
      </w:r>
      <w:r>
        <w:rPr>
          <w:rFonts w:hint="eastAsia"/>
          <w:snapToGrid/>
        </w:rPr>
        <w:t>”</w:t>
      </w:r>
      <w:r>
        <w:rPr>
          <w:rFonts w:hint="eastAsia"/>
          <w:snapToGrid/>
          <w:color w:val="000000"/>
        </w:rPr>
        <w:t>测试的两项结果都呈阳</w:t>
      </w:r>
      <w:r>
        <w:rPr>
          <w:rFonts w:hint="eastAsia"/>
          <w:snapToGrid/>
        </w:rPr>
        <w:t>性。这种测试在全国开展，它包括</w:t>
      </w:r>
      <w:r>
        <w:rPr>
          <w:rFonts w:hint="eastAsia"/>
          <w:snapToGrid/>
        </w:rPr>
        <w:t>7</w:t>
      </w:r>
      <w:r>
        <w:rPr>
          <w:rFonts w:hint="eastAsia"/>
          <w:snapToGrid/>
        </w:rPr>
        <w:t>个是非选择题，重点是个人对自己饮酒习惯的评价。男性酗酒者的比例为</w:t>
      </w:r>
      <w:r>
        <w:rPr>
          <w:snapToGrid/>
        </w:rPr>
        <w:t>30%</w:t>
      </w:r>
      <w:r>
        <w:rPr>
          <w:rFonts w:hint="eastAsia"/>
          <w:snapToGrid/>
        </w:rPr>
        <w:t>，女性的酗酒者的比例为</w:t>
      </w:r>
      <w:r>
        <w:rPr>
          <w:snapToGrid/>
        </w:rPr>
        <w:t>5.5%</w:t>
      </w:r>
      <w:r>
        <w:rPr>
          <w:rFonts w:hint="eastAsia"/>
          <w:snapToGrid/>
        </w:rPr>
        <w:t>。男性酗酒者多数都集中在</w:t>
      </w:r>
      <w:r>
        <w:rPr>
          <w:snapToGrid/>
        </w:rPr>
        <w:t>20-44</w:t>
      </w:r>
      <w:r>
        <w:rPr>
          <w:rFonts w:hint="eastAsia"/>
          <w:snapToGrid/>
        </w:rPr>
        <w:t>岁和</w:t>
      </w:r>
      <w:r>
        <w:rPr>
          <w:snapToGrid/>
        </w:rPr>
        <w:t>45-64</w:t>
      </w:r>
      <w:r>
        <w:rPr>
          <w:rFonts w:hint="eastAsia"/>
          <w:snapToGrid/>
        </w:rPr>
        <w:t>岁两个年龄组</w:t>
      </w:r>
      <w:r>
        <w:rPr>
          <w:snapToGrid/>
        </w:rPr>
        <w:t xml:space="preserve"> (30%</w:t>
      </w:r>
      <w:r>
        <w:rPr>
          <w:rFonts w:hint="eastAsia"/>
          <w:snapToGrid/>
        </w:rPr>
        <w:t>以上</w:t>
      </w:r>
      <w:r>
        <w:rPr>
          <w:snapToGrid/>
        </w:rPr>
        <w:t>)</w:t>
      </w:r>
      <w:r>
        <w:rPr>
          <w:rFonts w:hint="eastAsia"/>
          <w:snapToGrid/>
        </w:rPr>
        <w:t>。女性酗酒人数比例最大的为</w:t>
      </w:r>
      <w:r>
        <w:rPr>
          <w:snapToGrid/>
        </w:rPr>
        <w:t>15-19</w:t>
      </w:r>
      <w:r>
        <w:rPr>
          <w:rFonts w:hint="eastAsia"/>
          <w:snapToGrid/>
        </w:rPr>
        <w:t>岁的年龄组</w:t>
      </w:r>
      <w:r>
        <w:rPr>
          <w:snapToGrid/>
        </w:rPr>
        <w:t>(9%)</w:t>
      </w:r>
      <w:r>
        <w:rPr>
          <w:rFonts w:hint="eastAsia"/>
          <w:snapToGrid/>
        </w:rPr>
        <w:t>。</w:t>
      </w:r>
    </w:p>
    <w:p w:rsidR="00000000" w:rsidRDefault="009C1C61">
      <w:pPr>
        <w:rPr>
          <w:rFonts w:hint="eastAsia"/>
          <w:snapToGrid/>
        </w:rPr>
      </w:pPr>
      <w:r>
        <w:rPr>
          <w:snapToGrid/>
        </w:rPr>
        <w:tab/>
        <w:t xml:space="preserve">630.  </w:t>
      </w:r>
      <w:r>
        <w:rPr>
          <w:rFonts w:hint="eastAsia"/>
          <w:snapToGrid/>
        </w:rPr>
        <w:t>该调查还发现，有</w:t>
      </w:r>
      <w:r>
        <w:rPr>
          <w:snapToGrid/>
        </w:rPr>
        <w:t>13%</w:t>
      </w:r>
      <w:r>
        <w:rPr>
          <w:rFonts w:hint="eastAsia"/>
          <w:snapToGrid/>
        </w:rPr>
        <w:t>的男性和</w:t>
      </w:r>
      <w:r>
        <w:rPr>
          <w:snapToGrid/>
        </w:rPr>
        <w:t>22.7%</w:t>
      </w:r>
      <w:r>
        <w:rPr>
          <w:rFonts w:hint="eastAsia"/>
          <w:snapToGrid/>
        </w:rPr>
        <w:t>女性肥胖。</w:t>
      </w:r>
      <w:r>
        <w:rPr>
          <w:rFonts w:hint="eastAsia"/>
          <w:snapToGrid/>
        </w:rPr>
        <w:t>6</w:t>
      </w:r>
      <w:r>
        <w:rPr>
          <w:rFonts w:hint="eastAsia"/>
          <w:snapToGrid/>
        </w:rPr>
        <w:t>岁以下儿</w:t>
      </w:r>
      <w:r>
        <w:rPr>
          <w:rFonts w:hint="eastAsia"/>
          <w:snapToGrid/>
        </w:rPr>
        <w:t>童肥胖的有</w:t>
      </w:r>
      <w:r>
        <w:rPr>
          <w:snapToGrid/>
        </w:rPr>
        <w:t>8%</w:t>
      </w:r>
      <w:r>
        <w:rPr>
          <w:rFonts w:hint="eastAsia"/>
          <w:snapToGrid/>
        </w:rPr>
        <w:t>，青少年肥胖的有</w:t>
      </w:r>
      <w:r>
        <w:rPr>
          <w:snapToGrid/>
        </w:rPr>
        <w:t>24%</w:t>
      </w:r>
      <w:r>
        <w:rPr>
          <w:rFonts w:hint="eastAsia"/>
          <w:snapToGrid/>
        </w:rPr>
        <w:t>，</w:t>
      </w:r>
      <w:r>
        <w:rPr>
          <w:rFonts w:hint="eastAsia"/>
          <w:snapToGrid/>
        </w:rPr>
        <w:t>20</w:t>
      </w:r>
      <w:r>
        <w:rPr>
          <w:rFonts w:hint="eastAsia"/>
          <w:snapToGrid/>
        </w:rPr>
        <w:t>至</w:t>
      </w:r>
      <w:r>
        <w:rPr>
          <w:rFonts w:hint="eastAsia"/>
          <w:snapToGrid/>
        </w:rPr>
        <w:t>50</w:t>
      </w:r>
      <w:r>
        <w:rPr>
          <w:rFonts w:hint="eastAsia"/>
          <w:snapToGrid/>
        </w:rPr>
        <w:t>岁肥胖的妇女有</w:t>
      </w:r>
      <w:r>
        <w:rPr>
          <w:snapToGrid/>
        </w:rPr>
        <w:t>38%</w:t>
      </w:r>
      <w:r>
        <w:rPr>
          <w:rFonts w:hint="eastAsia"/>
          <w:snapToGrid/>
        </w:rPr>
        <w:t>。智利人口中，有</w:t>
      </w:r>
      <w:r>
        <w:rPr>
          <w:snapToGrid/>
        </w:rPr>
        <w:t>91.2%</w:t>
      </w:r>
      <w:r>
        <w:rPr>
          <w:rFonts w:hint="eastAsia"/>
          <w:snapToGrid/>
        </w:rPr>
        <w:t>的人久习惯坐，而且每周锻练少于三次</w:t>
      </w:r>
      <w:r>
        <w:rPr>
          <w:snapToGrid/>
        </w:rPr>
        <w:t>(</w:t>
      </w:r>
      <w:r>
        <w:rPr>
          <w:rFonts w:hint="eastAsia"/>
          <w:snapToGrid/>
        </w:rPr>
        <w:t>男性</w:t>
      </w:r>
      <w:r>
        <w:rPr>
          <w:snapToGrid/>
        </w:rPr>
        <w:t>88.8%</w:t>
      </w:r>
      <w:r>
        <w:rPr>
          <w:rFonts w:hint="eastAsia"/>
          <w:snapToGrid/>
        </w:rPr>
        <w:t>，女性</w:t>
      </w:r>
      <w:r>
        <w:rPr>
          <w:snapToGrid/>
        </w:rPr>
        <w:t>93.8%)</w:t>
      </w:r>
      <w:r>
        <w:rPr>
          <w:rFonts w:hint="eastAsia"/>
          <w:snapToGrid/>
        </w:rPr>
        <w:t>。在社会经济地位低下的人群中，生活习惯久坐的人所占比例为</w:t>
      </w:r>
      <w:r>
        <w:rPr>
          <w:snapToGrid/>
        </w:rPr>
        <w:t>93.6%</w:t>
      </w:r>
      <w:r>
        <w:rPr>
          <w:rFonts w:hint="eastAsia"/>
          <w:snapToGrid/>
        </w:rPr>
        <w:t>，中等人群中占</w:t>
      </w:r>
      <w:r>
        <w:rPr>
          <w:snapToGrid/>
        </w:rPr>
        <w:t>90.5%</w:t>
      </w:r>
      <w:r>
        <w:rPr>
          <w:rFonts w:hint="eastAsia"/>
          <w:snapToGrid/>
        </w:rPr>
        <w:t>，上等人群占</w:t>
      </w:r>
      <w:r>
        <w:rPr>
          <w:snapToGrid/>
        </w:rPr>
        <w:t>89.8%</w:t>
      </w:r>
      <w:r>
        <w:rPr>
          <w:rFonts w:hint="eastAsia"/>
          <w:snapToGrid/>
        </w:rPr>
        <w:t>。依年龄组来看，生活习惯久坐的，</w:t>
      </w:r>
      <w:r>
        <w:rPr>
          <w:rFonts w:hint="eastAsia"/>
          <w:snapToGrid/>
        </w:rPr>
        <w:t>15-19</w:t>
      </w:r>
      <w:r>
        <w:rPr>
          <w:rFonts w:hint="eastAsia"/>
          <w:snapToGrid/>
        </w:rPr>
        <w:t>岁的有</w:t>
      </w:r>
      <w:r>
        <w:rPr>
          <w:snapToGrid/>
        </w:rPr>
        <w:t>78.6%</w:t>
      </w:r>
      <w:r>
        <w:rPr>
          <w:rFonts w:hint="eastAsia"/>
          <w:snapToGrid/>
        </w:rPr>
        <w:t>，</w:t>
      </w:r>
      <w:r>
        <w:rPr>
          <w:rFonts w:hint="eastAsia"/>
          <w:snapToGrid/>
        </w:rPr>
        <w:t>20-24</w:t>
      </w:r>
      <w:r>
        <w:rPr>
          <w:rFonts w:hint="eastAsia"/>
          <w:snapToGrid/>
        </w:rPr>
        <w:t>岁的有</w:t>
      </w:r>
      <w:r>
        <w:rPr>
          <w:snapToGrid/>
        </w:rPr>
        <w:t>90.4%</w:t>
      </w:r>
      <w:r>
        <w:rPr>
          <w:rFonts w:hint="eastAsia"/>
          <w:snapToGrid/>
        </w:rPr>
        <w:t>，</w:t>
      </w:r>
      <w:r>
        <w:rPr>
          <w:rFonts w:hint="eastAsia"/>
          <w:snapToGrid/>
        </w:rPr>
        <w:t>45</w:t>
      </w:r>
      <w:r>
        <w:rPr>
          <w:snapToGrid/>
        </w:rPr>
        <w:t>-</w:t>
      </w:r>
      <w:r>
        <w:rPr>
          <w:rFonts w:hint="eastAsia"/>
          <w:snapToGrid/>
        </w:rPr>
        <w:t>6</w:t>
      </w:r>
      <w:r>
        <w:rPr>
          <w:snapToGrid/>
        </w:rPr>
        <w:t>4</w:t>
      </w:r>
      <w:r>
        <w:rPr>
          <w:rFonts w:hint="eastAsia"/>
          <w:snapToGrid/>
        </w:rPr>
        <w:t>岁的有</w:t>
      </w:r>
      <w:r>
        <w:rPr>
          <w:snapToGrid/>
        </w:rPr>
        <w:t>95.5%</w:t>
      </w:r>
      <w:r>
        <w:rPr>
          <w:rFonts w:hint="eastAsia"/>
          <w:snapToGrid/>
        </w:rPr>
        <w:t>，</w:t>
      </w:r>
      <w:r>
        <w:rPr>
          <w:rFonts w:hint="eastAsia"/>
          <w:snapToGrid/>
        </w:rPr>
        <w:t>75</w:t>
      </w:r>
      <w:r>
        <w:rPr>
          <w:rFonts w:hint="eastAsia"/>
          <w:snapToGrid/>
        </w:rPr>
        <w:t>岁以上的有</w:t>
      </w:r>
      <w:r>
        <w:rPr>
          <w:snapToGrid/>
        </w:rPr>
        <w:t>98.8%</w:t>
      </w:r>
      <w:r>
        <w:rPr>
          <w:rFonts w:hint="eastAsia"/>
          <w:snapToGrid/>
        </w:rPr>
        <w:t>。</w:t>
      </w:r>
    </w:p>
    <w:p w:rsidR="00000000" w:rsidRDefault="009C1C61">
      <w:pPr>
        <w:rPr>
          <w:snapToGrid/>
        </w:rPr>
      </w:pPr>
      <w:r>
        <w:rPr>
          <w:snapToGrid/>
        </w:rPr>
        <w:tab/>
        <w:t xml:space="preserve">631.  </w:t>
      </w:r>
      <w:r>
        <w:rPr>
          <w:rFonts w:hint="eastAsia"/>
          <w:snapToGrid/>
        </w:rPr>
        <w:t>社会文化、经济、教育、住房和环境等制约非传染病风险的因素，全部都给希望生活健康的</w:t>
      </w:r>
      <w:r>
        <w:rPr>
          <w:rFonts w:hint="eastAsia"/>
          <w:snapToGrid/>
        </w:rPr>
        <w:t>人造成了困难。最穷困群体因各种原因发病率和死亡率最高，患慢性病人的也最多。</w:t>
      </w:r>
    </w:p>
    <w:p w:rsidR="00000000" w:rsidRDefault="009C1C61">
      <w:pPr>
        <w:spacing w:after="240"/>
        <w:rPr>
          <w:snapToGrid/>
          <w:spacing w:val="8"/>
        </w:rPr>
      </w:pPr>
      <w:r>
        <w:rPr>
          <w:snapToGrid/>
          <w:spacing w:val="8"/>
        </w:rPr>
        <w:tab/>
        <w:t xml:space="preserve">632.  </w:t>
      </w:r>
      <w:r>
        <w:rPr>
          <w:rFonts w:hint="eastAsia"/>
          <w:snapToGrid/>
          <w:spacing w:val="8"/>
        </w:rPr>
        <w:t>全民都认为暴力，尤其是家庭暴力，是导致生活质量和健康水平下降的一个重要因素。每</w:t>
      </w:r>
      <w:r>
        <w:rPr>
          <w:rFonts w:hint="eastAsia"/>
          <w:snapToGrid/>
          <w:spacing w:val="8"/>
        </w:rPr>
        <w:t>4</w:t>
      </w:r>
      <w:r>
        <w:rPr>
          <w:rFonts w:hint="eastAsia"/>
          <w:snapToGrid/>
          <w:spacing w:val="8"/>
        </w:rPr>
        <w:t>家就有一家人身体或心理遭受过某种程度的暴力。约有</w:t>
      </w:r>
      <w:r>
        <w:rPr>
          <w:snapToGrid/>
          <w:spacing w:val="8"/>
        </w:rPr>
        <w:t>50%</w:t>
      </w:r>
      <w:r>
        <w:rPr>
          <w:rFonts w:hint="eastAsia"/>
          <w:snapToGrid/>
          <w:spacing w:val="8"/>
        </w:rPr>
        <w:t>的儿童说，曾遭受过某种肉体或心理虐待。</w:t>
      </w:r>
      <w:r>
        <w:rPr>
          <w:rFonts w:hint="eastAsia"/>
          <w:snapToGrid/>
          <w:spacing w:val="8"/>
        </w:rPr>
        <w:t>5%</w:t>
      </w:r>
      <w:r>
        <w:rPr>
          <w:rFonts w:hint="eastAsia"/>
          <w:snapToGrid/>
          <w:spacing w:val="8"/>
        </w:rPr>
        <w:t>的受虐儿童因虐待而身体受伤需要得到专业保健。这常见于</w:t>
      </w:r>
      <w:r>
        <w:rPr>
          <w:rFonts w:hint="eastAsia"/>
          <w:snapToGrid/>
          <w:spacing w:val="8"/>
        </w:rPr>
        <w:t>10</w:t>
      </w:r>
      <w:r>
        <w:rPr>
          <w:rFonts w:hint="eastAsia"/>
          <w:snapToGrid/>
          <w:spacing w:val="8"/>
        </w:rPr>
        <w:t>岁以下的男孩和</w:t>
      </w:r>
      <w:r>
        <w:rPr>
          <w:rFonts w:hint="eastAsia"/>
          <w:snapToGrid/>
          <w:spacing w:val="8"/>
        </w:rPr>
        <w:t>10</w:t>
      </w:r>
      <w:r>
        <w:rPr>
          <w:rFonts w:hint="eastAsia"/>
          <w:snapToGrid/>
          <w:spacing w:val="8"/>
        </w:rPr>
        <w:t>岁以上的女孩。估计有</w:t>
      </w:r>
      <w:r>
        <w:rPr>
          <w:snapToGrid/>
          <w:spacing w:val="8"/>
        </w:rPr>
        <w:t>33.6%</w:t>
      </w:r>
      <w:r>
        <w:rPr>
          <w:rFonts w:hint="eastAsia"/>
          <w:snapToGrid/>
          <w:spacing w:val="8"/>
        </w:rPr>
        <w:t>的妇女在家庭生活中遭受肉体或心理虐待。虽然没有研究过暴力在成人中的盛行程度，但国际研究表明，智利的成年人中的暴力发生率在</w:t>
      </w:r>
      <w:r>
        <w:rPr>
          <w:snapToGrid/>
          <w:spacing w:val="8"/>
        </w:rPr>
        <w:t>4%</w:t>
      </w:r>
      <w:r>
        <w:rPr>
          <w:rFonts w:hint="eastAsia"/>
          <w:snapToGrid/>
          <w:spacing w:val="8"/>
        </w:rPr>
        <w:t>左右。鉴于这个问题</w:t>
      </w:r>
      <w:r>
        <w:rPr>
          <w:rFonts w:hint="eastAsia"/>
          <w:snapToGrid/>
          <w:spacing w:val="8"/>
        </w:rPr>
        <w:t>非常重要，所以已经拟订了一个制止家庭暴力的部门间计划，将由卫生部和全国妇女服务处联合执行。</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国家健康政策</w:t>
      </w:r>
    </w:p>
    <w:p w:rsidR="00000000" w:rsidRDefault="009C1C61">
      <w:pPr>
        <w:rPr>
          <w:rFonts w:hint="eastAsia"/>
          <w:snapToGrid/>
        </w:rPr>
      </w:pPr>
      <w:r>
        <w:rPr>
          <w:snapToGrid/>
        </w:rPr>
        <w:tab/>
        <w:t>633.  1990</w:t>
      </w:r>
      <w:r>
        <w:rPr>
          <w:rFonts w:hint="eastAsia"/>
          <w:snapToGrid/>
        </w:rPr>
        <w:t>年，公共卫生部门在基础设施和运作方面都遇到了严重问题，结果导致获得保健困难重重，致使总体质量下降。医院和医疗及其他设备严重老化陈旧。同时，几乎各级各种服务，都人员短缺，员工对薪金低、工作条件差深感不满。这种情况又因为全体人口所得保健服务不平等而更形复杂。</w:t>
      </w:r>
      <w:r>
        <w:rPr>
          <w:rStyle w:val="FootnoteReference"/>
          <w:bCs/>
          <w:snapToGrid/>
        </w:rPr>
        <w:footnoteReference w:id="289"/>
      </w:r>
      <w:r>
        <w:rPr>
          <w:bCs/>
          <w:snapToGrid/>
          <w:vertAlign w:val="superscript"/>
        </w:rPr>
        <w:t xml:space="preserve"> </w:t>
      </w:r>
      <w:r>
        <w:rPr>
          <w:rFonts w:hint="eastAsia"/>
          <w:snapToGrid/>
        </w:rPr>
        <w:t>面对这种情况，当局决定以振兴公共卫生、尤其是扩大保健覆盖范围和提高质量为第一要务。自</w:t>
      </w:r>
      <w:r>
        <w:rPr>
          <w:snapToGrid/>
        </w:rPr>
        <w:t>1990</w:t>
      </w:r>
      <w:r>
        <w:rPr>
          <w:rFonts w:hint="eastAsia"/>
          <w:snapToGrid/>
        </w:rPr>
        <w:t>年</w:t>
      </w:r>
      <w:r>
        <w:rPr>
          <w:rFonts w:hint="eastAsia"/>
          <w:snapToGrid/>
        </w:rPr>
        <w:t>3</w:t>
      </w:r>
      <w:r>
        <w:rPr>
          <w:rFonts w:hint="eastAsia"/>
          <w:snapToGrid/>
        </w:rPr>
        <w:t>月以来，智利实施了一项卫生政策</w:t>
      </w:r>
      <w:r>
        <w:rPr>
          <w:rFonts w:hint="eastAsia"/>
          <w:snapToGrid/>
        </w:rPr>
        <w:t>，其基本原则如下：</w:t>
      </w:r>
      <w:r>
        <w:rPr>
          <w:rStyle w:val="FootnoteReference"/>
          <w:snapToGrid/>
        </w:rPr>
        <w:footnoteReference w:id="290"/>
      </w:r>
    </w:p>
    <w:p w:rsidR="00000000" w:rsidRDefault="009C1C61">
      <w:pPr>
        <w:numPr>
          <w:ilvl w:val="0"/>
          <w:numId w:val="301"/>
        </w:numPr>
        <w:rPr>
          <w:snapToGrid/>
        </w:rPr>
      </w:pPr>
      <w:r>
        <w:rPr>
          <w:rFonts w:hint="eastAsia"/>
          <w:snapToGrid/>
        </w:rPr>
        <w:t>保健是《宪法》规定神圣不可侵犯的一项普遍权利，它是一种全民即求即得的商品，因此国家有义务保障智利所有人，不论性别、年龄或社会经济地位，都能得到保健服务。这项权利必须得到承认，并由所有有关部门予以落实；</w:t>
      </w:r>
    </w:p>
    <w:p w:rsidR="00000000" w:rsidRDefault="009C1C61">
      <w:pPr>
        <w:numPr>
          <w:ilvl w:val="0"/>
          <w:numId w:val="301"/>
        </w:numPr>
        <w:rPr>
          <w:snapToGrid/>
        </w:rPr>
      </w:pPr>
      <w:r>
        <w:rPr>
          <w:rFonts w:hint="eastAsia"/>
          <w:snapToGrid/>
        </w:rPr>
        <w:t>承认保健是一种普遍权利，就等于确立了共同的社会保护机制，它使得到保护最少的人在获得确保适当保健水平服务方面，不再感到不安全；</w:t>
      </w:r>
    </w:p>
    <w:p w:rsidR="00000000" w:rsidRDefault="009C1C61">
      <w:pPr>
        <w:numPr>
          <w:ilvl w:val="0"/>
          <w:numId w:val="301"/>
        </w:numPr>
        <w:rPr>
          <w:snapToGrid/>
        </w:rPr>
      </w:pPr>
      <w:r>
        <w:rPr>
          <w:rFonts w:hint="eastAsia"/>
          <w:snapToGrid/>
        </w:rPr>
        <w:t>为了保障提供保健，必须建立一种共同出资制度，公民全体出资，全体受益；</w:t>
      </w:r>
    </w:p>
    <w:p w:rsidR="00000000" w:rsidRDefault="009C1C61">
      <w:pPr>
        <w:numPr>
          <w:ilvl w:val="0"/>
          <w:numId w:val="301"/>
        </w:numPr>
        <w:rPr>
          <w:snapToGrid/>
        </w:rPr>
      </w:pPr>
      <w:r>
        <w:rPr>
          <w:rFonts w:hint="eastAsia"/>
          <w:snapToGrid/>
        </w:rPr>
        <w:t>为了保障保健制度切实有效地落实智利人的健康权，必须确定全面保健所需的基础设施、设备和工作人员</w:t>
      </w:r>
      <w:r>
        <w:rPr>
          <w:rFonts w:hint="eastAsia"/>
          <w:snapToGrid/>
        </w:rPr>
        <w:t>方面的质量参数，从而做到患者满意，赢得人们的信任。</w:t>
      </w:r>
    </w:p>
    <w:p w:rsidR="00000000" w:rsidRDefault="009C1C61">
      <w:pPr>
        <w:spacing w:after="240"/>
        <w:rPr>
          <w:snapToGrid/>
        </w:rPr>
      </w:pPr>
      <w:r>
        <w:rPr>
          <w:snapToGrid/>
        </w:rPr>
        <w:tab/>
        <w:t xml:space="preserve">634.  </w:t>
      </w:r>
      <w:r>
        <w:rPr>
          <w:rFonts w:hint="eastAsia"/>
          <w:snapToGrid/>
        </w:rPr>
        <w:t>根据卫生部确定的指导方针和优先事项，卫生政策已经制订了改善全民健康的目标。为了适应过去十年中人口统计学、流行病学和文化的新发展，基本卫生方案已经做了巨大改变。其中主要变化是为儿童、青少年、成人、老年人和妇女分别制订了方案，还针对精神健康、伤害和暴力、吸烟、喝酒、吸毒及艾滋病毒</w:t>
      </w:r>
      <w:r>
        <w:rPr>
          <w:rFonts w:hint="eastAsia"/>
          <w:snapToGrid/>
        </w:rPr>
        <w:t>/</w:t>
      </w:r>
      <w:r>
        <w:rPr>
          <w:rFonts w:hint="eastAsia"/>
          <w:snapToGrid/>
        </w:rPr>
        <w:t>艾滋病等新生问题领域制订了方案。主要目标之一，就是以加强初级保健为切入点，改变保健模式。就医看病难的问题已经解决，延长了保健机构的工作时间，加强了对各种疾病和牙齿问题的</w:t>
      </w:r>
      <w:r>
        <w:rPr>
          <w:rFonts w:hint="eastAsia"/>
          <w:snapToGrid/>
        </w:rPr>
        <w:t>治疗。</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为实施初级保健而采取的措施</w:t>
      </w:r>
    </w:p>
    <w:p w:rsidR="00000000" w:rsidRDefault="009C1C61">
      <w:pPr>
        <w:rPr>
          <w:rFonts w:hint="eastAsia"/>
          <w:snapToGrid/>
        </w:rPr>
      </w:pPr>
      <w:r>
        <w:rPr>
          <w:snapToGrid/>
        </w:rPr>
        <w:tab/>
        <w:t xml:space="preserve">635.  </w:t>
      </w:r>
      <w:r>
        <w:rPr>
          <w:rFonts w:hint="eastAsia"/>
          <w:snapToGrid/>
        </w:rPr>
        <w:t>1987</w:t>
      </w:r>
      <w:r>
        <w:rPr>
          <w:rFonts w:hint="eastAsia"/>
          <w:snapToGrid/>
        </w:rPr>
        <w:t>年阿拉木图会议召开之前，智利就一直都有初级保健规划。智利卫生部门的政策、计划和方案一直都重视疾病的宣传和预防，一个初级保健机构网络已经建立多年，使全国人民都能得到已知各种水平的保健。</w:t>
      </w:r>
    </w:p>
    <w:p w:rsidR="00000000" w:rsidRDefault="009C1C61">
      <w:pPr>
        <w:spacing w:after="240"/>
        <w:rPr>
          <w:snapToGrid/>
        </w:rPr>
      </w:pPr>
      <w:r>
        <w:rPr>
          <w:snapToGrid/>
        </w:rPr>
        <w:tab/>
        <w:t>636.</w:t>
      </w:r>
      <w:r>
        <w:rPr>
          <w:rFonts w:hint="eastAsia"/>
          <w:snapToGrid/>
        </w:rPr>
        <w:t xml:space="preserve">  </w:t>
      </w:r>
      <w:r>
        <w:rPr>
          <w:rFonts w:hint="eastAsia"/>
          <w:snapToGrid/>
        </w:rPr>
        <w:t>根据多功能设施实行的一种适合应门诊病人的新型保健模式，</w:t>
      </w:r>
      <w:r>
        <w:rPr>
          <w:rFonts w:hint="eastAsia"/>
          <w:snapToGrid/>
        </w:rPr>
        <w:t>1990</w:t>
      </w:r>
      <w:r>
        <w:rPr>
          <w:rFonts w:hint="eastAsia"/>
          <w:snapToGrid/>
        </w:rPr>
        <w:t>年代的卫生投资大部都指定用于初级保健。例如，复兴初级急诊点</w:t>
      </w:r>
      <w:r>
        <w:rPr>
          <w:rFonts w:hint="eastAsia"/>
          <w:snapToGrid/>
        </w:rPr>
        <w:t>(</w:t>
      </w:r>
      <w:r>
        <w:rPr>
          <w:rFonts w:hint="eastAsia"/>
          <w:snapToGrid/>
        </w:rPr>
        <w:t>急诊点</w:t>
      </w:r>
      <w:r>
        <w:rPr>
          <w:rFonts w:hint="eastAsia"/>
          <w:snapToGrid/>
        </w:rPr>
        <w:t>)</w:t>
      </w:r>
      <w:r>
        <w:rPr>
          <w:rFonts w:hint="eastAsia"/>
          <w:snapToGrid/>
        </w:rPr>
        <w:t>和急诊手术室；开办短期病房，这帮助减少了婴儿因肺炎所致的死亡；设立了基本实验室；开办了</w:t>
      </w:r>
      <w:r>
        <w:rPr>
          <w:rFonts w:hint="eastAsia"/>
          <w:snapToGrid/>
        </w:rPr>
        <w:t>35</w:t>
      </w:r>
      <w:r>
        <w:rPr>
          <w:rFonts w:hint="eastAsia"/>
          <w:snapToGrid/>
        </w:rPr>
        <w:t>个家庭保健中心；建立了专门从事眼科、</w:t>
      </w:r>
      <w:r>
        <w:rPr>
          <w:rFonts w:hint="eastAsia"/>
          <w:snapToGrid/>
        </w:rPr>
        <w:t>牙科、整形外科及耳鼻喉科治疗的门诊病人设施，等等。</w:t>
      </w:r>
      <w:r>
        <w:rPr>
          <w:rFonts w:hint="eastAsia"/>
          <w:snapToGrid/>
        </w:rPr>
        <w:t>2000</w:t>
      </w:r>
      <w:r>
        <w:rPr>
          <w:rFonts w:hint="eastAsia"/>
          <w:snapToGrid/>
        </w:rPr>
        <w:t>年取得的成就包括</w:t>
      </w:r>
      <w:r>
        <w:rPr>
          <w:rFonts w:hint="eastAsia"/>
          <w:snapToGrid/>
        </w:rPr>
        <w:t>287</w:t>
      </w:r>
      <w:r>
        <w:rPr>
          <w:rFonts w:hint="eastAsia"/>
          <w:snapToGrid/>
        </w:rPr>
        <w:t>个初级保健设施开设了免费咨询热线</w:t>
      </w:r>
      <w:r>
        <w:rPr>
          <w:rFonts w:hint="eastAsia"/>
          <w:snapToGrid/>
        </w:rPr>
        <w:t>(</w:t>
      </w:r>
      <w:r>
        <w:rPr>
          <w:rFonts w:hint="eastAsia"/>
          <w:snapToGrid/>
        </w:rPr>
        <w:t>“热线</w:t>
      </w:r>
      <w:r>
        <w:rPr>
          <w:snapToGrid/>
        </w:rPr>
        <w:t>800</w:t>
      </w:r>
      <w:r>
        <w:rPr>
          <w:rFonts w:hint="eastAsia"/>
          <w:snapToGrid/>
        </w:rPr>
        <w:t>”</w:t>
      </w:r>
      <w:r>
        <w:rPr>
          <w:snapToGrid/>
        </w:rPr>
        <w:t>)</w:t>
      </w:r>
      <w:r>
        <w:rPr>
          <w:rFonts w:hint="eastAsia"/>
          <w:snapToGrid/>
        </w:rPr>
        <w:t>，牙科急诊服务增加了</w:t>
      </w:r>
      <w:r>
        <w:rPr>
          <w:snapToGrid/>
        </w:rPr>
        <w:t>51%</w:t>
      </w:r>
      <w:r>
        <w:rPr>
          <w:rFonts w:hint="eastAsia"/>
          <w:snapToGrid/>
        </w:rPr>
        <w:t>，专科紧急门诊病人中心又看病</w:t>
      </w:r>
      <w:r>
        <w:rPr>
          <w:snapToGrid/>
        </w:rPr>
        <w:t>400,000</w:t>
      </w:r>
      <w:r>
        <w:rPr>
          <w:rFonts w:hint="eastAsia"/>
          <w:snapToGrid/>
        </w:rPr>
        <w:t>多人次，看病排队现象减少了</w:t>
      </w:r>
      <w:r>
        <w:rPr>
          <w:snapToGrid/>
        </w:rPr>
        <w:t>97%</w:t>
      </w:r>
      <w:r>
        <w:rPr>
          <w:rFonts w:hint="eastAsia"/>
          <w:snapToGrid/>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国内生产总值中卫生拨款的百分比及卫生部门的支出总额</w:t>
      </w:r>
    </w:p>
    <w:p w:rsidR="00000000" w:rsidRDefault="009C1C61">
      <w:pPr>
        <w:rPr>
          <w:rFonts w:hint="eastAsia"/>
          <w:snapToGrid/>
        </w:rPr>
      </w:pPr>
      <w:r>
        <w:rPr>
          <w:snapToGrid/>
        </w:rPr>
        <w:tab/>
        <w:t xml:space="preserve">637.  </w:t>
      </w:r>
      <w:r>
        <w:rPr>
          <w:rFonts w:hint="eastAsia"/>
          <w:snapToGrid/>
        </w:rPr>
        <w:t>自</w:t>
      </w:r>
      <w:r>
        <w:rPr>
          <w:rFonts w:hint="eastAsia"/>
          <w:snapToGrid/>
        </w:rPr>
        <w:t>1990</w:t>
      </w:r>
      <w:r>
        <w:rPr>
          <w:rFonts w:hint="eastAsia"/>
          <w:snapToGrid/>
        </w:rPr>
        <w:t>年以来，拨给卫生部门的资源持续增加，目的是要扩大覆盖范围，提高服务质量。</w:t>
      </w:r>
      <w:r>
        <w:rPr>
          <w:rFonts w:hint="eastAsia"/>
          <w:snapToGrid/>
        </w:rPr>
        <w:t>1989</w:t>
      </w:r>
      <w:r>
        <w:rPr>
          <w:rFonts w:hint="eastAsia"/>
          <w:snapToGrid/>
        </w:rPr>
        <w:t>至</w:t>
      </w:r>
      <w:r>
        <w:rPr>
          <w:rFonts w:hint="eastAsia"/>
          <w:snapToGrid/>
        </w:rPr>
        <w:t>2000</w:t>
      </w:r>
      <w:r>
        <w:rPr>
          <w:rFonts w:hint="eastAsia"/>
          <w:snapToGrid/>
        </w:rPr>
        <w:t>年期间保健预算支出增加了</w:t>
      </w:r>
      <w:r>
        <w:rPr>
          <w:snapToGrid/>
        </w:rPr>
        <w:t>226.4%</w:t>
      </w:r>
      <w:r>
        <w:rPr>
          <w:rFonts w:hint="eastAsia"/>
          <w:snapToGrid/>
        </w:rPr>
        <w:t>，使同期公共支出也能够增加</w:t>
      </w:r>
      <w:r>
        <w:rPr>
          <w:snapToGrid/>
        </w:rPr>
        <w:t>135.4%</w:t>
      </w:r>
      <w:r>
        <w:rPr>
          <w:rFonts w:hint="eastAsia"/>
          <w:snapToGrid/>
        </w:rPr>
        <w:t>。</w:t>
      </w:r>
      <w:r>
        <w:rPr>
          <w:snapToGrid/>
        </w:rPr>
        <w:t>2000</w:t>
      </w:r>
      <w:r>
        <w:rPr>
          <w:rFonts w:hint="eastAsia"/>
          <w:snapToGrid/>
        </w:rPr>
        <w:t>年，公共卫生支出升至</w:t>
      </w:r>
      <w:r>
        <w:rPr>
          <w:snapToGrid/>
        </w:rPr>
        <w:t>2037</w:t>
      </w:r>
      <w:r>
        <w:rPr>
          <w:rFonts w:hint="eastAsia"/>
          <w:snapToGrid/>
        </w:rPr>
        <w:t>00</w:t>
      </w:r>
      <w:r>
        <w:rPr>
          <w:rFonts w:hint="eastAsia"/>
          <w:snapToGrid/>
        </w:rPr>
        <w:t>万美元，约占国内生产总值的</w:t>
      </w:r>
      <w:r>
        <w:rPr>
          <w:snapToGrid/>
        </w:rPr>
        <w:t>2.9%</w:t>
      </w:r>
      <w:r>
        <w:rPr>
          <w:rFonts w:hint="eastAsia"/>
          <w:snapToGrid/>
        </w:rPr>
        <w:t>，预算支出达</w:t>
      </w:r>
      <w:r>
        <w:rPr>
          <w:snapToGrid/>
        </w:rPr>
        <w:t>940</w:t>
      </w:r>
      <w:r>
        <w:rPr>
          <w:rFonts w:hint="eastAsia"/>
          <w:snapToGrid/>
        </w:rPr>
        <w:t>00</w:t>
      </w:r>
      <w:r>
        <w:rPr>
          <w:rFonts w:hint="eastAsia"/>
          <w:snapToGrid/>
        </w:rPr>
        <w:t>万美元，即占国内生产总值的</w:t>
      </w:r>
      <w:r>
        <w:rPr>
          <w:snapToGrid/>
        </w:rPr>
        <w:t>1.3%</w:t>
      </w:r>
      <w:r>
        <w:rPr>
          <w:rFonts w:hint="eastAsia"/>
          <w:snapToGrid/>
        </w:rPr>
        <w:t>。</w:t>
      </w:r>
    </w:p>
    <w:p w:rsidR="00000000" w:rsidRDefault="009C1C61">
      <w:pPr>
        <w:rPr>
          <w:rFonts w:hint="eastAsia"/>
          <w:snapToGrid/>
        </w:rPr>
      </w:pPr>
      <w:r>
        <w:rPr>
          <w:snapToGrid/>
        </w:rPr>
        <w:tab/>
        <w:t xml:space="preserve">638.  </w:t>
      </w:r>
      <w:r>
        <w:rPr>
          <w:rFonts w:hint="eastAsia"/>
          <w:snapToGrid/>
        </w:rPr>
        <w:t>公共卫生支出中的预算拨款所占比例由</w:t>
      </w:r>
      <w:r>
        <w:rPr>
          <w:rFonts w:hint="eastAsia"/>
          <w:snapToGrid/>
        </w:rPr>
        <w:t>1989</w:t>
      </w:r>
      <w:r>
        <w:rPr>
          <w:rFonts w:hint="eastAsia"/>
          <w:snapToGrid/>
        </w:rPr>
        <w:t>年的</w:t>
      </w:r>
      <w:r>
        <w:rPr>
          <w:snapToGrid/>
        </w:rPr>
        <w:t>33.3%</w:t>
      </w:r>
      <w:r>
        <w:rPr>
          <w:rFonts w:hint="eastAsia"/>
          <w:snapToGrid/>
        </w:rPr>
        <w:t>增加到</w:t>
      </w:r>
      <w:r>
        <w:rPr>
          <w:rFonts w:hint="eastAsia"/>
          <w:snapToGrid/>
        </w:rPr>
        <w:t>2000</w:t>
      </w:r>
      <w:r>
        <w:rPr>
          <w:rFonts w:hint="eastAsia"/>
          <w:snapToGrid/>
        </w:rPr>
        <w:t>年的</w:t>
      </w:r>
      <w:r>
        <w:rPr>
          <w:snapToGrid/>
        </w:rPr>
        <w:t>46.1%</w:t>
      </w:r>
      <w:r>
        <w:rPr>
          <w:rFonts w:hint="eastAsia"/>
          <w:snapToGrid/>
        </w:rPr>
        <w:t>。</w:t>
      </w:r>
      <w:r>
        <w:rPr>
          <w:snapToGrid/>
        </w:rPr>
        <w:t>1989</w:t>
      </w:r>
      <w:r>
        <w:rPr>
          <w:rFonts w:hint="eastAsia"/>
          <w:snapToGrid/>
        </w:rPr>
        <w:t>至</w:t>
      </w:r>
      <w:r>
        <w:rPr>
          <w:snapToGrid/>
        </w:rPr>
        <w:t>2000</w:t>
      </w:r>
      <w:r>
        <w:rPr>
          <w:rFonts w:hint="eastAsia"/>
          <w:snapToGrid/>
        </w:rPr>
        <w:t>年期间，卫生在公共社会支出中所占比例由</w:t>
      </w:r>
      <w:r>
        <w:rPr>
          <w:snapToGrid/>
        </w:rPr>
        <w:t>15.8%</w:t>
      </w:r>
      <w:r>
        <w:rPr>
          <w:rFonts w:hint="eastAsia"/>
          <w:snapToGrid/>
        </w:rPr>
        <w:t>增加到</w:t>
      </w:r>
      <w:r>
        <w:rPr>
          <w:snapToGrid/>
        </w:rPr>
        <w:t>17.6%</w:t>
      </w:r>
      <w:r>
        <w:rPr>
          <w:rFonts w:hint="eastAsia"/>
          <w:snapToGrid/>
        </w:rPr>
        <w:t>，卫生在社会支出预算中所占比例由</w:t>
      </w:r>
      <w:r>
        <w:rPr>
          <w:snapToGrid/>
        </w:rPr>
        <w:t>7.5%</w:t>
      </w:r>
      <w:r>
        <w:rPr>
          <w:rFonts w:hint="eastAsia"/>
          <w:snapToGrid/>
        </w:rPr>
        <w:t>增加到</w:t>
      </w:r>
      <w:r>
        <w:rPr>
          <w:snapToGrid/>
        </w:rPr>
        <w:t>9.6%</w:t>
      </w:r>
      <w:r>
        <w:rPr>
          <w:rFonts w:hint="eastAsia"/>
          <w:snapToGrid/>
        </w:rPr>
        <w:t>。</w:t>
      </w:r>
      <w:r>
        <w:rPr>
          <w:rStyle w:val="FootnoteReference"/>
          <w:snapToGrid/>
        </w:rPr>
        <w:footnoteReference w:id="291"/>
      </w:r>
    </w:p>
    <w:p w:rsidR="00000000" w:rsidRDefault="009C1C61">
      <w:pPr>
        <w:spacing w:after="320"/>
        <w:rPr>
          <w:rFonts w:hint="eastAsia"/>
          <w:bCs/>
          <w:snapToGrid/>
        </w:rPr>
      </w:pPr>
      <w:r>
        <w:rPr>
          <w:snapToGrid/>
        </w:rPr>
        <w:tab/>
        <w:t>639.  1989</w:t>
      </w:r>
      <w:r>
        <w:rPr>
          <w:rFonts w:hint="eastAsia"/>
          <w:snapToGrid/>
        </w:rPr>
        <w:t>至</w:t>
      </w:r>
      <w:r>
        <w:rPr>
          <w:snapToGrid/>
        </w:rPr>
        <w:t>2000</w:t>
      </w:r>
      <w:r>
        <w:rPr>
          <w:rFonts w:hint="eastAsia"/>
          <w:snapToGrid/>
        </w:rPr>
        <w:t>年期间，公共卫生支出和预算卫生支出，作为国内生产总值的一部分，所占比例都增加了，分别由</w:t>
      </w:r>
      <w:r>
        <w:rPr>
          <w:snapToGrid/>
        </w:rPr>
        <w:t>2.1%</w:t>
      </w:r>
      <w:r>
        <w:rPr>
          <w:rFonts w:hint="eastAsia"/>
          <w:snapToGrid/>
        </w:rPr>
        <w:t>和</w:t>
      </w:r>
      <w:r>
        <w:rPr>
          <w:snapToGrid/>
        </w:rPr>
        <w:t>0.7%</w:t>
      </w:r>
      <w:r>
        <w:rPr>
          <w:rFonts w:hint="eastAsia"/>
          <w:snapToGrid/>
        </w:rPr>
        <w:t>增加到</w:t>
      </w:r>
      <w:r>
        <w:rPr>
          <w:snapToGrid/>
        </w:rPr>
        <w:t>2.9%</w:t>
      </w:r>
      <w:r>
        <w:rPr>
          <w:rFonts w:hint="eastAsia"/>
          <w:snapToGrid/>
        </w:rPr>
        <w:t>和</w:t>
      </w:r>
      <w:r>
        <w:rPr>
          <w:snapToGrid/>
        </w:rPr>
        <w:t>1.3%</w:t>
      </w:r>
      <w:r>
        <w:rPr>
          <w:rFonts w:hint="eastAsia"/>
          <w:snapToGrid/>
        </w:rPr>
        <w:t>。同期，人均</w:t>
      </w:r>
      <w:r>
        <w:rPr>
          <w:rFonts w:hint="eastAsia"/>
          <w:snapToGrid/>
        </w:rPr>
        <w:t>预算卫生支出增加了</w:t>
      </w:r>
      <w:r>
        <w:rPr>
          <w:snapToGrid/>
        </w:rPr>
        <w:t>222.2%</w:t>
      </w:r>
      <w:r>
        <w:rPr>
          <w:rFonts w:hint="eastAsia"/>
          <w:snapToGrid/>
        </w:rPr>
        <w:t>，人均公共卫生支出增加了</w:t>
      </w:r>
      <w:r>
        <w:rPr>
          <w:snapToGrid/>
        </w:rPr>
        <w:t>132.4%</w:t>
      </w:r>
      <w:r>
        <w:rPr>
          <w:rFonts w:hint="eastAsia"/>
          <w:snapToGrid/>
        </w:rPr>
        <w:t>。</w:t>
      </w:r>
      <w:r>
        <w:rPr>
          <w:snapToGrid/>
        </w:rPr>
        <w:t>2000</w:t>
      </w:r>
      <w:r>
        <w:rPr>
          <w:rFonts w:hint="eastAsia"/>
          <w:snapToGrid/>
        </w:rPr>
        <w:t>年，人均公共卫生支出增加到</w:t>
      </w:r>
      <w:r>
        <w:rPr>
          <w:snapToGrid/>
        </w:rPr>
        <w:t>204</w:t>
      </w:r>
      <w:r>
        <w:rPr>
          <w:rFonts w:hint="eastAsia"/>
          <w:snapToGrid/>
        </w:rPr>
        <w:t>美元，人均预算卫生支出增加到</w:t>
      </w:r>
      <w:r>
        <w:rPr>
          <w:snapToGrid/>
        </w:rPr>
        <w:t>94</w:t>
      </w:r>
      <w:r>
        <w:rPr>
          <w:rFonts w:hint="eastAsia"/>
          <w:snapToGrid/>
        </w:rPr>
        <w:t>美元。</w:t>
      </w:r>
      <w:r>
        <w:rPr>
          <w:rStyle w:val="FootnoteReference"/>
          <w:bCs/>
          <w:snapToGrid/>
        </w:rPr>
        <w:footnoteReference w:id="292"/>
      </w:r>
    </w:p>
    <w:p w:rsidR="00000000" w:rsidRDefault="009C1C61">
      <w:pPr>
        <w:pStyle w:val="Heading3"/>
        <w:spacing w:after="160"/>
      </w:pPr>
      <w:r>
        <w:rPr>
          <w:rFonts w:hint="eastAsia"/>
        </w:rPr>
        <w:t>表</w:t>
      </w:r>
      <w:r>
        <w:t xml:space="preserve"> </w:t>
      </w:r>
      <w:r>
        <w:rPr>
          <w:b/>
          <w:bCs/>
        </w:rPr>
        <w:t>36</w:t>
      </w:r>
      <w:r>
        <w:rPr>
          <w:b/>
          <w:bCs/>
        </w:rPr>
        <w:br/>
        <w:t>1989-2000</w:t>
      </w:r>
      <w:r>
        <w:rPr>
          <w:rFonts w:hint="eastAsia"/>
        </w:rPr>
        <w:t>年公共和预算卫生支出</w:t>
      </w:r>
      <w:r>
        <w:br/>
        <w:t>(</w:t>
      </w:r>
      <w:r>
        <w:rPr>
          <w:b/>
          <w:bCs/>
        </w:rPr>
        <w:t>2000</w:t>
      </w:r>
      <w:r>
        <w:rPr>
          <w:rFonts w:hint="eastAsia"/>
        </w:rPr>
        <w:t>年百万比索</w:t>
      </w:r>
      <w:r>
        <w:t>(</w:t>
      </w:r>
      <w:r>
        <w:rPr>
          <w:rFonts w:hint="eastAsia"/>
        </w:rPr>
        <w:t>百万美元</w:t>
      </w:r>
      <w: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1701"/>
        <w:gridCol w:w="1771"/>
        <w:gridCol w:w="1433"/>
      </w:tblGrid>
      <w:tr w:rsidR="00000000">
        <w:tblPrEx>
          <w:tblCellMar>
            <w:top w:w="0" w:type="dxa"/>
            <w:bottom w:w="0" w:type="dxa"/>
          </w:tblCellMar>
        </w:tblPrEx>
        <w:tc>
          <w:tcPr>
            <w:tcW w:w="1134" w:type="dxa"/>
          </w:tcPr>
          <w:p w:rsidR="00000000" w:rsidRDefault="009C1C61">
            <w:pPr>
              <w:pStyle w:val="a2"/>
              <w:jc w:val="center"/>
              <w:rPr>
                <w:rFonts w:hint="eastAsia"/>
                <w:snapToGrid/>
              </w:rPr>
            </w:pPr>
            <w:r>
              <w:rPr>
                <w:rFonts w:hint="eastAsia"/>
                <w:snapToGrid/>
              </w:rPr>
              <w:t>年</w:t>
            </w:r>
          </w:p>
        </w:tc>
        <w:tc>
          <w:tcPr>
            <w:tcW w:w="2552" w:type="dxa"/>
          </w:tcPr>
          <w:p w:rsidR="00000000" w:rsidRDefault="009C1C61">
            <w:pPr>
              <w:pStyle w:val="a2"/>
              <w:jc w:val="center"/>
              <w:rPr>
                <w:rFonts w:hint="eastAsia"/>
                <w:snapToGrid/>
              </w:rPr>
            </w:pPr>
            <w:r>
              <w:rPr>
                <w:rFonts w:hint="eastAsia"/>
                <w:snapToGrid/>
              </w:rPr>
              <w:t>公共支出</w:t>
            </w:r>
          </w:p>
        </w:tc>
        <w:tc>
          <w:tcPr>
            <w:tcW w:w="1701" w:type="dxa"/>
          </w:tcPr>
          <w:p w:rsidR="00000000" w:rsidRDefault="009C1C61">
            <w:pPr>
              <w:pStyle w:val="a2"/>
              <w:jc w:val="center"/>
              <w:rPr>
                <w:rFonts w:hint="eastAsia"/>
                <w:snapToGrid/>
              </w:rPr>
            </w:pPr>
            <w:r>
              <w:rPr>
                <w:rFonts w:hint="eastAsia"/>
                <w:snapToGrid/>
              </w:rPr>
              <w:t>年度变化</w:t>
            </w:r>
          </w:p>
        </w:tc>
        <w:tc>
          <w:tcPr>
            <w:tcW w:w="1771" w:type="dxa"/>
          </w:tcPr>
          <w:p w:rsidR="00000000" w:rsidRDefault="009C1C61">
            <w:pPr>
              <w:pStyle w:val="a2"/>
              <w:jc w:val="center"/>
              <w:rPr>
                <w:rFonts w:hint="eastAsia"/>
                <w:snapToGrid/>
              </w:rPr>
            </w:pPr>
            <w:r>
              <w:rPr>
                <w:rFonts w:hint="eastAsia"/>
                <w:snapToGrid/>
              </w:rPr>
              <w:t>预算支出</w:t>
            </w:r>
          </w:p>
        </w:tc>
        <w:tc>
          <w:tcPr>
            <w:tcW w:w="1433" w:type="dxa"/>
          </w:tcPr>
          <w:p w:rsidR="00000000" w:rsidRDefault="009C1C61">
            <w:pPr>
              <w:pStyle w:val="a2"/>
              <w:jc w:val="center"/>
              <w:rPr>
                <w:rFonts w:hint="eastAsia"/>
                <w:snapToGrid/>
              </w:rPr>
            </w:pPr>
            <w:r>
              <w:rPr>
                <w:rFonts w:hint="eastAsia"/>
                <w:snapToGrid/>
              </w:rPr>
              <w:t>年度变化</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1989</w:t>
            </w:r>
          </w:p>
        </w:tc>
        <w:tc>
          <w:tcPr>
            <w:tcW w:w="2552" w:type="dxa"/>
          </w:tcPr>
          <w:p w:rsidR="00000000" w:rsidRDefault="009C1C61">
            <w:pPr>
              <w:pStyle w:val="a2"/>
              <w:ind w:right="113"/>
              <w:jc w:val="right"/>
              <w:rPr>
                <w:snapToGrid/>
              </w:rPr>
            </w:pPr>
            <w:r>
              <w:rPr>
                <w:snapToGrid/>
              </w:rPr>
              <w:t>466,887 (865)</w:t>
            </w:r>
          </w:p>
        </w:tc>
        <w:tc>
          <w:tcPr>
            <w:tcW w:w="1701" w:type="dxa"/>
          </w:tcPr>
          <w:p w:rsidR="00000000" w:rsidRDefault="009C1C61">
            <w:pPr>
              <w:pStyle w:val="a2"/>
              <w:jc w:val="right"/>
              <w:rPr>
                <w:snapToGrid/>
              </w:rPr>
            </w:pPr>
          </w:p>
        </w:tc>
        <w:tc>
          <w:tcPr>
            <w:tcW w:w="1771" w:type="dxa"/>
          </w:tcPr>
          <w:p w:rsidR="00000000" w:rsidRDefault="009C1C61">
            <w:pPr>
              <w:pStyle w:val="a2"/>
              <w:ind w:right="113"/>
              <w:jc w:val="right"/>
              <w:rPr>
                <w:snapToGrid/>
              </w:rPr>
            </w:pPr>
            <w:r>
              <w:rPr>
                <w:snapToGrid/>
              </w:rPr>
              <w:t>155,383 (288)</w:t>
            </w:r>
          </w:p>
        </w:tc>
        <w:tc>
          <w:tcPr>
            <w:tcW w:w="1433" w:type="dxa"/>
          </w:tcPr>
          <w:p w:rsidR="00000000" w:rsidRDefault="009C1C61">
            <w:pPr>
              <w:pStyle w:val="a2"/>
              <w:jc w:val="right"/>
              <w:rPr>
                <w:snapToGrid/>
              </w:rPr>
            </w:pP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1990</w:t>
            </w:r>
          </w:p>
        </w:tc>
        <w:tc>
          <w:tcPr>
            <w:tcW w:w="2552" w:type="dxa"/>
          </w:tcPr>
          <w:p w:rsidR="00000000" w:rsidRDefault="009C1C61">
            <w:pPr>
              <w:pStyle w:val="a2"/>
              <w:ind w:right="113"/>
              <w:jc w:val="right"/>
              <w:rPr>
                <w:snapToGrid/>
              </w:rPr>
            </w:pPr>
            <w:r>
              <w:rPr>
                <w:snapToGrid/>
              </w:rPr>
              <w:t>445,687 (826)</w:t>
            </w:r>
          </w:p>
        </w:tc>
        <w:tc>
          <w:tcPr>
            <w:tcW w:w="1701" w:type="dxa"/>
          </w:tcPr>
          <w:p w:rsidR="00000000" w:rsidRDefault="009C1C61">
            <w:pPr>
              <w:pStyle w:val="a2"/>
              <w:ind w:right="284"/>
              <w:jc w:val="right"/>
              <w:rPr>
                <w:snapToGrid/>
              </w:rPr>
            </w:pPr>
            <w:r>
              <w:rPr>
                <w:snapToGrid/>
              </w:rPr>
              <w:t>- 4.5</w:t>
            </w:r>
          </w:p>
        </w:tc>
        <w:tc>
          <w:tcPr>
            <w:tcW w:w="1771" w:type="dxa"/>
          </w:tcPr>
          <w:p w:rsidR="00000000" w:rsidRDefault="009C1C61">
            <w:pPr>
              <w:pStyle w:val="a2"/>
              <w:ind w:right="113"/>
              <w:jc w:val="right"/>
              <w:rPr>
                <w:snapToGrid/>
              </w:rPr>
            </w:pPr>
            <w:r>
              <w:rPr>
                <w:snapToGrid/>
              </w:rPr>
              <w:t>167,110 (309)</w:t>
            </w:r>
          </w:p>
        </w:tc>
        <w:tc>
          <w:tcPr>
            <w:tcW w:w="1433" w:type="dxa"/>
          </w:tcPr>
          <w:p w:rsidR="00000000" w:rsidRDefault="009C1C61">
            <w:pPr>
              <w:pStyle w:val="a2"/>
              <w:ind w:right="284"/>
              <w:jc w:val="right"/>
              <w:rPr>
                <w:snapToGrid/>
              </w:rPr>
            </w:pPr>
            <w:r>
              <w:rPr>
                <w:snapToGrid/>
              </w:rPr>
              <w:t>7.5</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1991</w:t>
            </w:r>
          </w:p>
        </w:tc>
        <w:tc>
          <w:tcPr>
            <w:tcW w:w="2552" w:type="dxa"/>
          </w:tcPr>
          <w:p w:rsidR="00000000" w:rsidRDefault="009C1C61">
            <w:pPr>
              <w:pStyle w:val="a2"/>
              <w:ind w:right="113"/>
              <w:jc w:val="right"/>
              <w:rPr>
                <w:snapToGrid/>
              </w:rPr>
            </w:pPr>
            <w:r>
              <w:rPr>
                <w:snapToGrid/>
              </w:rPr>
              <w:t>524,905 (972)</w:t>
            </w:r>
          </w:p>
        </w:tc>
        <w:tc>
          <w:tcPr>
            <w:tcW w:w="1701" w:type="dxa"/>
          </w:tcPr>
          <w:p w:rsidR="00000000" w:rsidRDefault="009C1C61">
            <w:pPr>
              <w:pStyle w:val="a2"/>
              <w:ind w:right="284"/>
              <w:jc w:val="right"/>
              <w:rPr>
                <w:snapToGrid/>
              </w:rPr>
            </w:pPr>
            <w:r>
              <w:rPr>
                <w:snapToGrid/>
              </w:rPr>
              <w:t>17.8</w:t>
            </w:r>
          </w:p>
        </w:tc>
        <w:tc>
          <w:tcPr>
            <w:tcW w:w="1771" w:type="dxa"/>
          </w:tcPr>
          <w:p w:rsidR="00000000" w:rsidRDefault="009C1C61">
            <w:pPr>
              <w:pStyle w:val="a2"/>
              <w:ind w:right="113"/>
              <w:jc w:val="right"/>
              <w:rPr>
                <w:snapToGrid/>
              </w:rPr>
            </w:pPr>
            <w:r>
              <w:rPr>
                <w:snapToGrid/>
              </w:rPr>
              <w:t>210,860 (39</w:t>
            </w:r>
            <w:r>
              <w:rPr>
                <w:snapToGrid/>
              </w:rPr>
              <w:t>0)</w:t>
            </w:r>
          </w:p>
        </w:tc>
        <w:tc>
          <w:tcPr>
            <w:tcW w:w="1433" w:type="dxa"/>
          </w:tcPr>
          <w:p w:rsidR="00000000" w:rsidRDefault="009C1C61">
            <w:pPr>
              <w:pStyle w:val="a2"/>
              <w:ind w:right="284"/>
              <w:jc w:val="right"/>
              <w:rPr>
                <w:snapToGrid/>
              </w:rPr>
            </w:pPr>
            <w:r>
              <w:rPr>
                <w:snapToGrid/>
              </w:rPr>
              <w:t>26.2</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1992</w:t>
            </w:r>
          </w:p>
        </w:tc>
        <w:tc>
          <w:tcPr>
            <w:tcW w:w="2552" w:type="dxa"/>
          </w:tcPr>
          <w:p w:rsidR="00000000" w:rsidRDefault="009C1C61">
            <w:pPr>
              <w:pStyle w:val="a2"/>
              <w:ind w:right="113"/>
              <w:jc w:val="right"/>
              <w:rPr>
                <w:snapToGrid/>
              </w:rPr>
            </w:pPr>
            <w:r>
              <w:rPr>
                <w:snapToGrid/>
              </w:rPr>
              <w:t>613,624 (1,137)</w:t>
            </w:r>
          </w:p>
        </w:tc>
        <w:tc>
          <w:tcPr>
            <w:tcW w:w="1701" w:type="dxa"/>
          </w:tcPr>
          <w:p w:rsidR="00000000" w:rsidRDefault="009C1C61">
            <w:pPr>
              <w:pStyle w:val="a2"/>
              <w:ind w:right="284"/>
              <w:jc w:val="right"/>
              <w:rPr>
                <w:snapToGrid/>
              </w:rPr>
            </w:pPr>
            <w:r>
              <w:rPr>
                <w:snapToGrid/>
              </w:rPr>
              <w:t>16.9</w:t>
            </w:r>
          </w:p>
        </w:tc>
        <w:tc>
          <w:tcPr>
            <w:tcW w:w="1771" w:type="dxa"/>
          </w:tcPr>
          <w:p w:rsidR="00000000" w:rsidRDefault="009C1C61">
            <w:pPr>
              <w:pStyle w:val="a2"/>
              <w:ind w:right="113"/>
              <w:jc w:val="right"/>
              <w:rPr>
                <w:snapToGrid/>
              </w:rPr>
            </w:pPr>
            <w:r>
              <w:rPr>
                <w:snapToGrid/>
              </w:rPr>
              <w:t>260,441 (482)</w:t>
            </w:r>
          </w:p>
        </w:tc>
        <w:tc>
          <w:tcPr>
            <w:tcW w:w="1433" w:type="dxa"/>
          </w:tcPr>
          <w:p w:rsidR="00000000" w:rsidRDefault="009C1C61">
            <w:pPr>
              <w:pStyle w:val="a2"/>
              <w:ind w:right="284"/>
              <w:jc w:val="right"/>
              <w:rPr>
                <w:snapToGrid/>
              </w:rPr>
            </w:pPr>
            <w:r>
              <w:rPr>
                <w:snapToGrid/>
              </w:rPr>
              <w:t>23.5</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1993</w:t>
            </w:r>
          </w:p>
        </w:tc>
        <w:tc>
          <w:tcPr>
            <w:tcW w:w="2552" w:type="dxa"/>
          </w:tcPr>
          <w:p w:rsidR="00000000" w:rsidRDefault="009C1C61">
            <w:pPr>
              <w:pStyle w:val="a2"/>
              <w:ind w:right="113"/>
              <w:jc w:val="right"/>
              <w:rPr>
                <w:snapToGrid/>
              </w:rPr>
            </w:pPr>
            <w:r>
              <w:rPr>
                <w:snapToGrid/>
              </w:rPr>
              <w:t>687,869 (1,275)</w:t>
            </w:r>
          </w:p>
        </w:tc>
        <w:tc>
          <w:tcPr>
            <w:tcW w:w="1701" w:type="dxa"/>
          </w:tcPr>
          <w:p w:rsidR="00000000" w:rsidRDefault="009C1C61">
            <w:pPr>
              <w:pStyle w:val="a2"/>
              <w:ind w:right="284"/>
              <w:jc w:val="right"/>
              <w:rPr>
                <w:snapToGrid/>
              </w:rPr>
            </w:pPr>
            <w:r>
              <w:rPr>
                <w:snapToGrid/>
              </w:rPr>
              <w:t>12.1</w:t>
            </w:r>
          </w:p>
        </w:tc>
        <w:tc>
          <w:tcPr>
            <w:tcW w:w="1771" w:type="dxa"/>
          </w:tcPr>
          <w:p w:rsidR="00000000" w:rsidRDefault="009C1C61">
            <w:pPr>
              <w:pStyle w:val="a2"/>
              <w:ind w:right="113"/>
              <w:jc w:val="right"/>
              <w:rPr>
                <w:snapToGrid/>
              </w:rPr>
            </w:pPr>
            <w:r>
              <w:rPr>
                <w:snapToGrid/>
              </w:rPr>
              <w:t>308,746 (572)</w:t>
            </w:r>
          </w:p>
        </w:tc>
        <w:tc>
          <w:tcPr>
            <w:tcW w:w="1433" w:type="dxa"/>
          </w:tcPr>
          <w:p w:rsidR="00000000" w:rsidRDefault="009C1C61">
            <w:pPr>
              <w:pStyle w:val="a2"/>
              <w:ind w:right="284"/>
              <w:jc w:val="right"/>
              <w:rPr>
                <w:snapToGrid/>
              </w:rPr>
            </w:pPr>
            <w:r>
              <w:rPr>
                <w:snapToGrid/>
              </w:rPr>
              <w:t>18.5</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1994</w:t>
            </w:r>
          </w:p>
        </w:tc>
        <w:tc>
          <w:tcPr>
            <w:tcW w:w="2552" w:type="dxa"/>
          </w:tcPr>
          <w:p w:rsidR="00000000" w:rsidRDefault="009C1C61">
            <w:pPr>
              <w:pStyle w:val="a2"/>
              <w:ind w:right="113"/>
              <w:jc w:val="right"/>
              <w:rPr>
                <w:snapToGrid/>
              </w:rPr>
            </w:pPr>
            <w:r>
              <w:rPr>
                <w:snapToGrid/>
              </w:rPr>
              <w:t>758,221 (1,405)</w:t>
            </w:r>
          </w:p>
        </w:tc>
        <w:tc>
          <w:tcPr>
            <w:tcW w:w="1701" w:type="dxa"/>
          </w:tcPr>
          <w:p w:rsidR="00000000" w:rsidRDefault="009C1C61">
            <w:pPr>
              <w:pStyle w:val="a2"/>
              <w:ind w:right="284"/>
              <w:jc w:val="right"/>
              <w:rPr>
                <w:snapToGrid/>
              </w:rPr>
            </w:pPr>
            <w:r>
              <w:rPr>
                <w:snapToGrid/>
              </w:rPr>
              <w:t>10.2</w:t>
            </w:r>
          </w:p>
        </w:tc>
        <w:tc>
          <w:tcPr>
            <w:tcW w:w="1771" w:type="dxa"/>
          </w:tcPr>
          <w:p w:rsidR="00000000" w:rsidRDefault="009C1C61">
            <w:pPr>
              <w:pStyle w:val="a2"/>
              <w:ind w:right="113"/>
              <w:jc w:val="right"/>
              <w:rPr>
                <w:snapToGrid/>
              </w:rPr>
            </w:pPr>
            <w:r>
              <w:rPr>
                <w:snapToGrid/>
              </w:rPr>
              <w:t>357,673 (662)</w:t>
            </w:r>
          </w:p>
        </w:tc>
        <w:tc>
          <w:tcPr>
            <w:tcW w:w="1433" w:type="dxa"/>
          </w:tcPr>
          <w:p w:rsidR="00000000" w:rsidRDefault="009C1C61">
            <w:pPr>
              <w:pStyle w:val="a2"/>
              <w:ind w:right="284"/>
              <w:jc w:val="right"/>
              <w:rPr>
                <w:snapToGrid/>
              </w:rPr>
            </w:pPr>
            <w:r>
              <w:rPr>
                <w:snapToGrid/>
              </w:rPr>
              <w:t>15.8</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1995</w:t>
            </w:r>
          </w:p>
        </w:tc>
        <w:tc>
          <w:tcPr>
            <w:tcW w:w="2552" w:type="dxa"/>
          </w:tcPr>
          <w:p w:rsidR="00000000" w:rsidRDefault="009C1C61">
            <w:pPr>
              <w:pStyle w:val="a2"/>
              <w:ind w:right="113"/>
              <w:jc w:val="right"/>
              <w:rPr>
                <w:snapToGrid/>
              </w:rPr>
            </w:pPr>
            <w:r>
              <w:rPr>
                <w:snapToGrid/>
              </w:rPr>
              <w:t>790,037 (1,464)</w:t>
            </w:r>
          </w:p>
        </w:tc>
        <w:tc>
          <w:tcPr>
            <w:tcW w:w="1701" w:type="dxa"/>
          </w:tcPr>
          <w:p w:rsidR="00000000" w:rsidRDefault="009C1C61">
            <w:pPr>
              <w:pStyle w:val="a2"/>
              <w:ind w:right="284"/>
              <w:jc w:val="right"/>
              <w:rPr>
                <w:snapToGrid/>
              </w:rPr>
            </w:pPr>
            <w:r>
              <w:rPr>
                <w:snapToGrid/>
              </w:rPr>
              <w:t>4.2</w:t>
            </w:r>
          </w:p>
        </w:tc>
        <w:tc>
          <w:tcPr>
            <w:tcW w:w="1771" w:type="dxa"/>
          </w:tcPr>
          <w:p w:rsidR="00000000" w:rsidRDefault="009C1C61">
            <w:pPr>
              <w:pStyle w:val="a2"/>
              <w:ind w:right="113"/>
              <w:jc w:val="right"/>
              <w:rPr>
                <w:snapToGrid/>
              </w:rPr>
            </w:pPr>
            <w:r>
              <w:rPr>
                <w:snapToGrid/>
              </w:rPr>
              <w:t>367,312 (680)</w:t>
            </w:r>
          </w:p>
        </w:tc>
        <w:tc>
          <w:tcPr>
            <w:tcW w:w="1433" w:type="dxa"/>
          </w:tcPr>
          <w:p w:rsidR="00000000" w:rsidRDefault="009C1C61">
            <w:pPr>
              <w:pStyle w:val="a2"/>
              <w:ind w:right="284"/>
              <w:jc w:val="right"/>
              <w:rPr>
                <w:snapToGrid/>
              </w:rPr>
            </w:pPr>
            <w:r>
              <w:rPr>
                <w:snapToGrid/>
              </w:rPr>
              <w:t>2.7</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1996</w:t>
            </w:r>
          </w:p>
        </w:tc>
        <w:tc>
          <w:tcPr>
            <w:tcW w:w="2552" w:type="dxa"/>
          </w:tcPr>
          <w:p w:rsidR="00000000" w:rsidRDefault="009C1C61">
            <w:pPr>
              <w:pStyle w:val="a2"/>
              <w:ind w:right="113"/>
              <w:jc w:val="right"/>
              <w:rPr>
                <w:snapToGrid/>
              </w:rPr>
            </w:pPr>
            <w:r>
              <w:rPr>
                <w:snapToGrid/>
              </w:rPr>
              <w:t>858,208 (1,590)</w:t>
            </w:r>
          </w:p>
        </w:tc>
        <w:tc>
          <w:tcPr>
            <w:tcW w:w="1701" w:type="dxa"/>
          </w:tcPr>
          <w:p w:rsidR="00000000" w:rsidRDefault="009C1C61">
            <w:pPr>
              <w:pStyle w:val="a2"/>
              <w:ind w:right="284"/>
              <w:jc w:val="right"/>
              <w:rPr>
                <w:snapToGrid/>
              </w:rPr>
            </w:pPr>
            <w:r>
              <w:rPr>
                <w:snapToGrid/>
              </w:rPr>
              <w:t>8.6</w:t>
            </w:r>
          </w:p>
        </w:tc>
        <w:tc>
          <w:tcPr>
            <w:tcW w:w="1771" w:type="dxa"/>
          </w:tcPr>
          <w:p w:rsidR="00000000" w:rsidRDefault="009C1C61">
            <w:pPr>
              <w:pStyle w:val="a2"/>
              <w:ind w:right="113"/>
              <w:jc w:val="right"/>
              <w:rPr>
                <w:snapToGrid/>
              </w:rPr>
            </w:pPr>
            <w:r>
              <w:rPr>
                <w:snapToGrid/>
              </w:rPr>
              <w:t>400,909 (743)</w:t>
            </w:r>
          </w:p>
        </w:tc>
        <w:tc>
          <w:tcPr>
            <w:tcW w:w="1433" w:type="dxa"/>
          </w:tcPr>
          <w:p w:rsidR="00000000" w:rsidRDefault="009C1C61">
            <w:pPr>
              <w:pStyle w:val="a2"/>
              <w:ind w:right="284"/>
              <w:jc w:val="right"/>
              <w:rPr>
                <w:snapToGrid/>
              </w:rPr>
            </w:pPr>
            <w:r>
              <w:rPr>
                <w:snapToGrid/>
              </w:rPr>
              <w:t>9.1</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1997</w:t>
            </w:r>
          </w:p>
        </w:tc>
        <w:tc>
          <w:tcPr>
            <w:tcW w:w="2552" w:type="dxa"/>
          </w:tcPr>
          <w:p w:rsidR="00000000" w:rsidRDefault="009C1C61">
            <w:pPr>
              <w:pStyle w:val="a2"/>
              <w:ind w:right="113"/>
              <w:jc w:val="right"/>
              <w:rPr>
                <w:snapToGrid/>
              </w:rPr>
            </w:pPr>
            <w:r>
              <w:rPr>
                <w:snapToGrid/>
              </w:rPr>
              <w:t>909,711 (1,686)</w:t>
            </w:r>
          </w:p>
        </w:tc>
        <w:tc>
          <w:tcPr>
            <w:tcW w:w="1701" w:type="dxa"/>
          </w:tcPr>
          <w:p w:rsidR="00000000" w:rsidRDefault="009C1C61">
            <w:pPr>
              <w:pStyle w:val="a2"/>
              <w:ind w:right="284"/>
              <w:jc w:val="right"/>
              <w:rPr>
                <w:snapToGrid/>
              </w:rPr>
            </w:pPr>
            <w:r>
              <w:rPr>
                <w:snapToGrid/>
              </w:rPr>
              <w:t>6.0</w:t>
            </w:r>
          </w:p>
        </w:tc>
        <w:tc>
          <w:tcPr>
            <w:tcW w:w="1771" w:type="dxa"/>
          </w:tcPr>
          <w:p w:rsidR="00000000" w:rsidRDefault="009C1C61">
            <w:pPr>
              <w:pStyle w:val="a2"/>
              <w:ind w:right="113"/>
              <w:jc w:val="right"/>
              <w:rPr>
                <w:snapToGrid/>
              </w:rPr>
            </w:pPr>
            <w:r>
              <w:rPr>
                <w:snapToGrid/>
              </w:rPr>
              <w:t>433,936 (804)</w:t>
            </w:r>
          </w:p>
        </w:tc>
        <w:tc>
          <w:tcPr>
            <w:tcW w:w="1433" w:type="dxa"/>
          </w:tcPr>
          <w:p w:rsidR="00000000" w:rsidRDefault="009C1C61">
            <w:pPr>
              <w:pStyle w:val="a2"/>
              <w:ind w:right="284"/>
              <w:jc w:val="right"/>
              <w:rPr>
                <w:snapToGrid/>
              </w:rPr>
            </w:pPr>
            <w:r>
              <w:rPr>
                <w:snapToGrid/>
              </w:rPr>
              <w:t>8.2</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1998</w:t>
            </w:r>
          </w:p>
        </w:tc>
        <w:tc>
          <w:tcPr>
            <w:tcW w:w="2552" w:type="dxa"/>
          </w:tcPr>
          <w:p w:rsidR="00000000" w:rsidRDefault="009C1C61">
            <w:pPr>
              <w:pStyle w:val="a2"/>
              <w:ind w:right="113"/>
              <w:jc w:val="right"/>
              <w:rPr>
                <w:snapToGrid/>
              </w:rPr>
            </w:pPr>
            <w:r>
              <w:rPr>
                <w:snapToGrid/>
              </w:rPr>
              <w:t>984,081 (1,824)</w:t>
            </w:r>
          </w:p>
        </w:tc>
        <w:tc>
          <w:tcPr>
            <w:tcW w:w="1701" w:type="dxa"/>
          </w:tcPr>
          <w:p w:rsidR="00000000" w:rsidRDefault="009C1C61">
            <w:pPr>
              <w:pStyle w:val="a2"/>
              <w:ind w:right="284"/>
              <w:jc w:val="right"/>
              <w:rPr>
                <w:snapToGrid/>
              </w:rPr>
            </w:pPr>
            <w:r>
              <w:rPr>
                <w:snapToGrid/>
              </w:rPr>
              <w:t>8.2</w:t>
            </w:r>
          </w:p>
        </w:tc>
        <w:tc>
          <w:tcPr>
            <w:tcW w:w="1771" w:type="dxa"/>
          </w:tcPr>
          <w:p w:rsidR="00000000" w:rsidRDefault="009C1C61">
            <w:pPr>
              <w:pStyle w:val="a2"/>
              <w:ind w:right="113"/>
              <w:jc w:val="right"/>
              <w:rPr>
                <w:snapToGrid/>
              </w:rPr>
            </w:pPr>
            <w:r>
              <w:rPr>
                <w:snapToGrid/>
              </w:rPr>
              <w:t>454,842 (843)</w:t>
            </w:r>
          </w:p>
        </w:tc>
        <w:tc>
          <w:tcPr>
            <w:tcW w:w="1433" w:type="dxa"/>
          </w:tcPr>
          <w:p w:rsidR="00000000" w:rsidRDefault="009C1C61">
            <w:pPr>
              <w:pStyle w:val="a2"/>
              <w:ind w:right="284"/>
              <w:jc w:val="right"/>
              <w:rPr>
                <w:snapToGrid/>
              </w:rPr>
            </w:pPr>
            <w:r>
              <w:rPr>
                <w:snapToGrid/>
              </w:rPr>
              <w:t>4.8</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1999</w:t>
            </w:r>
          </w:p>
        </w:tc>
        <w:tc>
          <w:tcPr>
            <w:tcW w:w="2552" w:type="dxa"/>
          </w:tcPr>
          <w:p w:rsidR="00000000" w:rsidRDefault="009C1C61">
            <w:pPr>
              <w:pStyle w:val="a2"/>
              <w:ind w:right="113"/>
              <w:jc w:val="right"/>
              <w:rPr>
                <w:snapToGrid/>
              </w:rPr>
            </w:pPr>
            <w:r>
              <w:rPr>
                <w:snapToGrid/>
              </w:rPr>
              <w:t>1,014,263 (1,880)</w:t>
            </w:r>
          </w:p>
        </w:tc>
        <w:tc>
          <w:tcPr>
            <w:tcW w:w="1701" w:type="dxa"/>
          </w:tcPr>
          <w:p w:rsidR="00000000" w:rsidRDefault="009C1C61">
            <w:pPr>
              <w:pStyle w:val="a2"/>
              <w:ind w:right="284"/>
              <w:jc w:val="right"/>
              <w:rPr>
                <w:snapToGrid/>
              </w:rPr>
            </w:pPr>
            <w:r>
              <w:rPr>
                <w:snapToGrid/>
              </w:rPr>
              <w:t>3.1</w:t>
            </w:r>
          </w:p>
        </w:tc>
        <w:tc>
          <w:tcPr>
            <w:tcW w:w="1771" w:type="dxa"/>
          </w:tcPr>
          <w:p w:rsidR="00000000" w:rsidRDefault="009C1C61">
            <w:pPr>
              <w:pStyle w:val="a2"/>
              <w:ind w:right="113"/>
              <w:jc w:val="right"/>
              <w:rPr>
                <w:snapToGrid/>
              </w:rPr>
            </w:pPr>
            <w:r>
              <w:rPr>
                <w:snapToGrid/>
              </w:rPr>
              <w:t>481,177 (891)</w:t>
            </w:r>
          </w:p>
        </w:tc>
        <w:tc>
          <w:tcPr>
            <w:tcW w:w="1433" w:type="dxa"/>
          </w:tcPr>
          <w:p w:rsidR="00000000" w:rsidRDefault="009C1C61">
            <w:pPr>
              <w:pStyle w:val="a2"/>
              <w:ind w:right="284"/>
              <w:jc w:val="right"/>
              <w:rPr>
                <w:snapToGrid/>
              </w:rPr>
            </w:pPr>
            <w:r>
              <w:rPr>
                <w:snapToGrid/>
              </w:rPr>
              <w:t>5.4</w:t>
            </w:r>
          </w:p>
        </w:tc>
      </w:tr>
      <w:tr w:rsidR="00000000">
        <w:tblPrEx>
          <w:tblCellMar>
            <w:top w:w="0" w:type="dxa"/>
            <w:bottom w:w="0" w:type="dxa"/>
          </w:tblCellMar>
        </w:tblPrEx>
        <w:tc>
          <w:tcPr>
            <w:tcW w:w="1134" w:type="dxa"/>
          </w:tcPr>
          <w:p w:rsidR="00000000" w:rsidRDefault="009C1C61">
            <w:pPr>
              <w:pStyle w:val="a2"/>
              <w:jc w:val="center"/>
              <w:rPr>
                <w:snapToGrid/>
              </w:rPr>
            </w:pPr>
            <w:r>
              <w:rPr>
                <w:snapToGrid/>
              </w:rPr>
              <w:t>2000</w:t>
            </w:r>
          </w:p>
        </w:tc>
        <w:tc>
          <w:tcPr>
            <w:tcW w:w="2552" w:type="dxa"/>
          </w:tcPr>
          <w:p w:rsidR="00000000" w:rsidRDefault="009C1C61">
            <w:pPr>
              <w:pStyle w:val="a2"/>
              <w:ind w:right="113"/>
              <w:jc w:val="right"/>
              <w:rPr>
                <w:snapToGrid/>
              </w:rPr>
            </w:pPr>
            <w:r>
              <w:rPr>
                <w:snapToGrid/>
              </w:rPr>
              <w:t>1,099,109 (2,037)</w:t>
            </w:r>
          </w:p>
        </w:tc>
        <w:tc>
          <w:tcPr>
            <w:tcW w:w="1701" w:type="dxa"/>
          </w:tcPr>
          <w:p w:rsidR="00000000" w:rsidRDefault="009C1C61">
            <w:pPr>
              <w:pStyle w:val="a2"/>
              <w:ind w:right="284"/>
              <w:jc w:val="right"/>
              <w:rPr>
                <w:snapToGrid/>
              </w:rPr>
            </w:pPr>
            <w:r>
              <w:rPr>
                <w:snapToGrid/>
              </w:rPr>
              <w:t>8.4</w:t>
            </w:r>
          </w:p>
        </w:tc>
        <w:tc>
          <w:tcPr>
            <w:tcW w:w="1771" w:type="dxa"/>
          </w:tcPr>
          <w:p w:rsidR="00000000" w:rsidRDefault="009C1C61">
            <w:pPr>
              <w:pStyle w:val="a2"/>
              <w:ind w:right="113"/>
              <w:jc w:val="right"/>
              <w:rPr>
                <w:snapToGrid/>
              </w:rPr>
            </w:pPr>
            <w:r>
              <w:rPr>
                <w:snapToGrid/>
              </w:rPr>
              <w:t>507,156 (940)</w:t>
            </w:r>
          </w:p>
        </w:tc>
        <w:tc>
          <w:tcPr>
            <w:tcW w:w="1433" w:type="dxa"/>
          </w:tcPr>
          <w:p w:rsidR="00000000" w:rsidRDefault="009C1C61">
            <w:pPr>
              <w:pStyle w:val="a2"/>
              <w:ind w:right="284"/>
              <w:jc w:val="right"/>
              <w:rPr>
                <w:snapToGrid/>
              </w:rPr>
            </w:pPr>
            <w:r>
              <w:rPr>
                <w:snapToGrid/>
              </w:rPr>
              <w:t>5.4</w:t>
            </w:r>
          </w:p>
        </w:tc>
      </w:tr>
      <w:tr w:rsidR="00000000">
        <w:tblPrEx>
          <w:tblCellMar>
            <w:top w:w="0" w:type="dxa"/>
            <w:bottom w:w="0" w:type="dxa"/>
          </w:tblCellMar>
        </w:tblPrEx>
        <w:trPr>
          <w:cantSplit/>
        </w:trPr>
        <w:tc>
          <w:tcPr>
            <w:tcW w:w="3686" w:type="dxa"/>
            <w:gridSpan w:val="2"/>
          </w:tcPr>
          <w:p w:rsidR="00000000" w:rsidRDefault="009C1C61">
            <w:pPr>
              <w:pStyle w:val="a2"/>
              <w:rPr>
                <w:snapToGrid/>
              </w:rPr>
            </w:pPr>
            <w:r>
              <w:rPr>
                <w:snapToGrid/>
              </w:rPr>
              <w:t>1989-2000</w:t>
            </w:r>
            <w:r>
              <w:rPr>
                <w:rFonts w:hint="eastAsia"/>
                <w:snapToGrid/>
              </w:rPr>
              <w:t>年期间平均年增长</w:t>
            </w:r>
            <w:r>
              <w:rPr>
                <w:snapToGrid/>
              </w:rPr>
              <w:t>%</w:t>
            </w:r>
          </w:p>
        </w:tc>
        <w:tc>
          <w:tcPr>
            <w:tcW w:w="1701" w:type="dxa"/>
          </w:tcPr>
          <w:p w:rsidR="00000000" w:rsidRDefault="009C1C61">
            <w:pPr>
              <w:pStyle w:val="a2"/>
              <w:ind w:right="284"/>
              <w:jc w:val="right"/>
              <w:rPr>
                <w:snapToGrid/>
              </w:rPr>
            </w:pPr>
            <w:r>
              <w:rPr>
                <w:snapToGrid/>
              </w:rPr>
              <w:t>8.9</w:t>
            </w:r>
          </w:p>
        </w:tc>
        <w:tc>
          <w:tcPr>
            <w:tcW w:w="1771" w:type="dxa"/>
          </w:tcPr>
          <w:p w:rsidR="00000000" w:rsidRDefault="009C1C61">
            <w:pPr>
              <w:pStyle w:val="a2"/>
              <w:rPr>
                <w:snapToGrid/>
              </w:rPr>
            </w:pPr>
          </w:p>
        </w:tc>
        <w:tc>
          <w:tcPr>
            <w:tcW w:w="1433" w:type="dxa"/>
          </w:tcPr>
          <w:p w:rsidR="00000000" w:rsidRDefault="009C1C61">
            <w:pPr>
              <w:pStyle w:val="a2"/>
              <w:ind w:right="284"/>
              <w:jc w:val="right"/>
              <w:rPr>
                <w:snapToGrid/>
              </w:rPr>
            </w:pPr>
            <w:r>
              <w:rPr>
                <w:snapToGrid/>
              </w:rPr>
              <w:t>12.6</w:t>
            </w:r>
          </w:p>
        </w:tc>
      </w:tr>
      <w:tr w:rsidR="00000000">
        <w:tblPrEx>
          <w:tblCellMar>
            <w:top w:w="0" w:type="dxa"/>
            <w:bottom w:w="0" w:type="dxa"/>
          </w:tblCellMar>
        </w:tblPrEx>
        <w:trPr>
          <w:cantSplit/>
        </w:trPr>
        <w:tc>
          <w:tcPr>
            <w:tcW w:w="3686" w:type="dxa"/>
            <w:gridSpan w:val="2"/>
          </w:tcPr>
          <w:p w:rsidR="00000000" w:rsidRDefault="009C1C61">
            <w:pPr>
              <w:pStyle w:val="a2"/>
              <w:rPr>
                <w:snapToGrid/>
              </w:rPr>
            </w:pPr>
            <w:r>
              <w:rPr>
                <w:snapToGrid/>
              </w:rPr>
              <w:t>1989-2000</w:t>
            </w:r>
            <w:r>
              <w:rPr>
                <w:rFonts w:hint="eastAsia"/>
                <w:snapToGrid/>
              </w:rPr>
              <w:t>年期间累积增长</w:t>
            </w:r>
            <w:r>
              <w:rPr>
                <w:snapToGrid/>
              </w:rPr>
              <w:t>%</w:t>
            </w:r>
          </w:p>
        </w:tc>
        <w:tc>
          <w:tcPr>
            <w:tcW w:w="1701" w:type="dxa"/>
          </w:tcPr>
          <w:p w:rsidR="00000000" w:rsidRDefault="009C1C61">
            <w:pPr>
              <w:pStyle w:val="a2"/>
              <w:ind w:right="284"/>
              <w:jc w:val="right"/>
              <w:rPr>
                <w:snapToGrid/>
              </w:rPr>
            </w:pPr>
            <w:r>
              <w:rPr>
                <w:snapToGrid/>
              </w:rPr>
              <w:t>135.4</w:t>
            </w:r>
          </w:p>
        </w:tc>
        <w:tc>
          <w:tcPr>
            <w:tcW w:w="1771" w:type="dxa"/>
          </w:tcPr>
          <w:p w:rsidR="00000000" w:rsidRDefault="009C1C61">
            <w:pPr>
              <w:pStyle w:val="a2"/>
              <w:rPr>
                <w:snapToGrid/>
              </w:rPr>
            </w:pPr>
          </w:p>
        </w:tc>
        <w:tc>
          <w:tcPr>
            <w:tcW w:w="1433" w:type="dxa"/>
          </w:tcPr>
          <w:p w:rsidR="00000000" w:rsidRDefault="009C1C61">
            <w:pPr>
              <w:pStyle w:val="a2"/>
              <w:ind w:right="284"/>
              <w:jc w:val="right"/>
              <w:rPr>
                <w:snapToGrid/>
              </w:rPr>
            </w:pPr>
            <w:r>
              <w:rPr>
                <w:snapToGrid/>
              </w:rPr>
              <w:t>226.4</w:t>
            </w:r>
          </w:p>
        </w:tc>
      </w:tr>
    </w:tbl>
    <w:p w:rsidR="00000000" w:rsidRDefault="009C1C61">
      <w:pPr>
        <w:pStyle w:val="EndnoteText"/>
        <w:spacing w:before="120" w:after="240"/>
        <w:rPr>
          <w:rFonts w:hint="eastAsia"/>
          <w:snapToGrid/>
          <w:sz w:val="20"/>
        </w:rPr>
      </w:pPr>
      <w:r>
        <w:rPr>
          <w:rFonts w:hint="eastAsia"/>
          <w:snapToGrid/>
          <w:sz w:val="20"/>
          <w:u w:val="single"/>
        </w:rPr>
        <w:t>资料来源</w:t>
      </w:r>
      <w:r>
        <w:rPr>
          <w:rFonts w:hint="eastAsia"/>
          <w:snapToGrid/>
          <w:sz w:val="20"/>
        </w:rPr>
        <w:t>：财政部，见规合部《经济和社会指标》。</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健康指标</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婴儿死亡率</w:t>
      </w:r>
    </w:p>
    <w:p w:rsidR="00000000" w:rsidRDefault="009C1C61">
      <w:pPr>
        <w:rPr>
          <w:rFonts w:hint="eastAsia"/>
          <w:snapToGrid/>
        </w:rPr>
      </w:pPr>
      <w:r>
        <w:rPr>
          <w:snapToGrid/>
        </w:rPr>
        <w:tab/>
        <w:t xml:space="preserve">640.  </w:t>
      </w:r>
      <w:r>
        <w:rPr>
          <w:rFonts w:hint="eastAsia"/>
          <w:snapToGrid/>
        </w:rPr>
        <w:t>婴儿死亡率是全民健康状况的最重要变量之一。近几十年来，智利这一指标一直呈下降趋势。</w:t>
      </w:r>
      <w:r>
        <w:rPr>
          <w:snapToGrid/>
        </w:rPr>
        <w:t>1950</w:t>
      </w:r>
      <w:r>
        <w:rPr>
          <w:rFonts w:hint="eastAsia"/>
          <w:snapToGrid/>
        </w:rPr>
        <w:t>年，每</w:t>
      </w:r>
      <w:r>
        <w:rPr>
          <w:rFonts w:hint="eastAsia"/>
          <w:snapToGrid/>
        </w:rPr>
        <w:t>1,000</w:t>
      </w:r>
      <w:r>
        <w:rPr>
          <w:rFonts w:hint="eastAsia"/>
          <w:snapToGrid/>
        </w:rPr>
        <w:t>名儿童中有</w:t>
      </w:r>
      <w:r>
        <w:rPr>
          <w:snapToGrid/>
        </w:rPr>
        <w:t>136</w:t>
      </w:r>
      <w:r>
        <w:rPr>
          <w:rFonts w:hint="eastAsia"/>
          <w:snapToGrid/>
        </w:rPr>
        <w:t>个未满</w:t>
      </w:r>
      <w:r>
        <w:rPr>
          <w:rFonts w:hint="eastAsia"/>
          <w:snapToGrid/>
        </w:rPr>
        <w:t>1</w:t>
      </w:r>
      <w:r>
        <w:rPr>
          <w:rFonts w:hint="eastAsia"/>
          <w:snapToGrid/>
        </w:rPr>
        <w:t>岁就死了。</w:t>
      </w:r>
      <w:r>
        <w:rPr>
          <w:snapToGrid/>
        </w:rPr>
        <w:t>1970</w:t>
      </w:r>
      <w:r>
        <w:rPr>
          <w:rFonts w:hint="eastAsia"/>
          <w:snapToGrid/>
        </w:rPr>
        <w:t>年，死亡率为每</w:t>
      </w:r>
      <w:r>
        <w:rPr>
          <w:snapToGrid/>
        </w:rPr>
        <w:t>1,000</w:t>
      </w:r>
      <w:r>
        <w:rPr>
          <w:rFonts w:hint="eastAsia"/>
          <w:snapToGrid/>
        </w:rPr>
        <w:t>胎活产中有</w:t>
      </w:r>
      <w:r>
        <w:rPr>
          <w:rFonts w:hint="eastAsia"/>
          <w:snapToGrid/>
        </w:rPr>
        <w:t>79</w:t>
      </w:r>
      <w:r>
        <w:rPr>
          <w:rFonts w:hint="eastAsia"/>
          <w:snapToGrid/>
        </w:rPr>
        <w:t>例，到了</w:t>
      </w:r>
      <w:r>
        <w:rPr>
          <w:snapToGrid/>
        </w:rPr>
        <w:t>1999</w:t>
      </w:r>
      <w:r>
        <w:rPr>
          <w:rFonts w:hint="eastAsia"/>
          <w:snapToGrid/>
        </w:rPr>
        <w:t>每</w:t>
      </w:r>
      <w:r>
        <w:rPr>
          <w:snapToGrid/>
        </w:rPr>
        <w:t>1,000</w:t>
      </w:r>
      <w:r>
        <w:rPr>
          <w:rFonts w:hint="eastAsia"/>
          <w:snapToGrid/>
        </w:rPr>
        <w:t>名儿童中有</w:t>
      </w:r>
      <w:r>
        <w:rPr>
          <w:rFonts w:hint="eastAsia"/>
          <w:snapToGrid/>
        </w:rPr>
        <w:t>10</w:t>
      </w:r>
      <w:r>
        <w:rPr>
          <w:rFonts w:hint="eastAsia"/>
          <w:snapToGrid/>
        </w:rPr>
        <w:t>个未满</w:t>
      </w:r>
      <w:r>
        <w:rPr>
          <w:rFonts w:hint="eastAsia"/>
          <w:snapToGrid/>
        </w:rPr>
        <w:t>1</w:t>
      </w:r>
      <w:r>
        <w:rPr>
          <w:rFonts w:hint="eastAsia"/>
          <w:snapToGrid/>
        </w:rPr>
        <w:t>岁而亡。关于卫生部门的活动，有些研究人员认为，婴儿死亡人数减少一半以上，应归功于保健范</w:t>
      </w:r>
      <w:r>
        <w:rPr>
          <w:rFonts w:hint="eastAsia"/>
          <w:snapToGrid/>
        </w:rPr>
        <w:t>围的扩大。如今，智利有</w:t>
      </w:r>
      <w:r>
        <w:rPr>
          <w:snapToGrid/>
        </w:rPr>
        <w:t>99%</w:t>
      </w:r>
      <w:r>
        <w:rPr>
          <w:rFonts w:hint="eastAsia"/>
          <w:snapToGrid/>
        </w:rPr>
        <w:t>以上的儿童在妇产单位出生，并得到了专业护理。</w:t>
      </w:r>
    </w:p>
    <w:p w:rsidR="00000000" w:rsidRDefault="009C1C61">
      <w:pPr>
        <w:rPr>
          <w:rFonts w:hint="eastAsia"/>
          <w:snapToGrid/>
        </w:rPr>
      </w:pPr>
      <w:r>
        <w:rPr>
          <w:snapToGrid/>
        </w:rPr>
        <w:tab/>
        <w:t xml:space="preserve">641.  </w:t>
      </w:r>
      <w:r>
        <w:rPr>
          <w:rFonts w:hint="eastAsia"/>
          <w:snapToGrid/>
        </w:rPr>
        <w:t>妇女的生育胎数也有变化：</w:t>
      </w:r>
      <w:r>
        <w:rPr>
          <w:rFonts w:hint="eastAsia"/>
          <w:snapToGrid/>
        </w:rPr>
        <w:t>1965</w:t>
      </w:r>
      <w:r>
        <w:rPr>
          <w:rFonts w:hint="eastAsia"/>
          <w:snapToGrid/>
        </w:rPr>
        <w:t>年人均</w:t>
      </w:r>
      <w:r>
        <w:rPr>
          <w:snapToGrid/>
        </w:rPr>
        <w:t>4.9</w:t>
      </w:r>
      <w:r>
        <w:rPr>
          <w:rFonts w:hint="eastAsia"/>
          <w:snapToGrid/>
        </w:rPr>
        <w:t>个孩子，</w:t>
      </w:r>
      <w:r>
        <w:rPr>
          <w:rFonts w:hint="eastAsia"/>
          <w:snapToGrid/>
        </w:rPr>
        <w:t>1999</w:t>
      </w:r>
      <w:r>
        <w:rPr>
          <w:rFonts w:hint="eastAsia"/>
          <w:snapToGrid/>
        </w:rPr>
        <w:t>年减少到人均</w:t>
      </w:r>
      <w:r>
        <w:rPr>
          <w:snapToGrid/>
        </w:rPr>
        <w:t>2.1</w:t>
      </w:r>
      <w:r>
        <w:rPr>
          <w:rFonts w:hint="eastAsia"/>
          <w:snapToGrid/>
        </w:rPr>
        <w:t>个孩子。</w:t>
      </w:r>
      <w:r>
        <w:rPr>
          <w:rFonts w:hint="eastAsia"/>
          <w:snapToGrid/>
        </w:rPr>
        <w:t>73%</w:t>
      </w:r>
      <w:r>
        <w:rPr>
          <w:rFonts w:hint="eastAsia"/>
          <w:snapToGrid/>
        </w:rPr>
        <w:t>的新生儿是头胎或二胎孩子，而且都是年青妇女所生：有</w:t>
      </w:r>
      <w:r>
        <w:rPr>
          <w:snapToGrid/>
        </w:rPr>
        <w:t>65.4%</w:t>
      </w:r>
      <w:r>
        <w:rPr>
          <w:rFonts w:hint="eastAsia"/>
          <w:snapToGrid/>
        </w:rPr>
        <w:t>的活产婴儿母亲不到</w:t>
      </w:r>
      <w:r>
        <w:rPr>
          <w:snapToGrid/>
        </w:rPr>
        <w:t>30</w:t>
      </w:r>
      <w:r>
        <w:rPr>
          <w:rFonts w:hint="eastAsia"/>
          <w:snapToGrid/>
        </w:rPr>
        <w:t>岁。生育率和家庭规模的变化与母亲所受教育提高密切相关。这种文化变化是婴儿死亡率几乎减少三分之一的潜在原因。另一个重要因素是基本保健、饮用水和排污服务面扩大了。如今，</w:t>
      </w:r>
      <w:r>
        <w:rPr>
          <w:snapToGrid/>
        </w:rPr>
        <w:t>99%</w:t>
      </w:r>
      <w:r>
        <w:rPr>
          <w:rFonts w:hint="eastAsia"/>
          <w:snapToGrid/>
        </w:rPr>
        <w:t>的城市人口都喝上了干净的饮用水，而农村只有</w:t>
      </w:r>
      <w:r>
        <w:rPr>
          <w:snapToGrid/>
        </w:rPr>
        <w:t>40%</w:t>
      </w:r>
      <w:r>
        <w:rPr>
          <w:rFonts w:hint="eastAsia"/>
          <w:snapToGrid/>
        </w:rPr>
        <w:t>的人口能做到这一点。尽管取得进展</w:t>
      </w:r>
      <w:r>
        <w:rPr>
          <w:rFonts w:hint="eastAsia"/>
          <w:snapToGrid/>
        </w:rPr>
        <w:t>，可对全国情况的分析表明，各区差别悬殊，而且生活水准较低的城市婴儿死亡率往往高出三四倍。</w:t>
      </w:r>
    </w:p>
    <w:p w:rsidR="00000000" w:rsidRDefault="009C1C61">
      <w:pPr>
        <w:spacing w:after="240"/>
        <w:rPr>
          <w:rFonts w:hint="eastAsia"/>
          <w:snapToGrid/>
        </w:rPr>
      </w:pPr>
      <w:r>
        <w:rPr>
          <w:snapToGrid/>
        </w:rPr>
        <w:tab/>
        <w:t xml:space="preserve">642.  </w:t>
      </w:r>
      <w:r>
        <w:rPr>
          <w:rFonts w:hint="eastAsia"/>
          <w:snapToGrid/>
        </w:rPr>
        <w:t>至于导致婴儿死亡的主要原因，过去二十年中，由传染病和呼吸道疾病致死大为减少，所以流行病的情况也有了显著变化。同期，围产期感染也显著减少，因此先天缺陷的相对重要性增加，</w:t>
      </w:r>
      <w:r>
        <w:rPr>
          <w:rFonts w:hint="eastAsia"/>
          <w:snapToGrid/>
        </w:rPr>
        <w:t>1</w:t>
      </w:r>
      <w:r>
        <w:rPr>
          <w:rFonts w:hint="eastAsia"/>
          <w:snapToGrid/>
        </w:rPr>
        <w:t>岁以下的孩子有</w:t>
      </w:r>
      <w:r>
        <w:rPr>
          <w:snapToGrid/>
        </w:rPr>
        <w:t>30%</w:t>
      </w:r>
      <w:r>
        <w:rPr>
          <w:rFonts w:hint="eastAsia"/>
          <w:snapToGrid/>
        </w:rPr>
        <w:t>死于先天缺陷。在很大程度上，婴儿死亡率的下降靠的是婴儿死亡推迟，这是大部分新生儿死亡的原因，</w:t>
      </w:r>
      <w:r>
        <w:rPr>
          <w:rFonts w:hint="eastAsia"/>
          <w:snapToGrid/>
        </w:rPr>
        <w:t>1</w:t>
      </w:r>
      <w:r>
        <w:rPr>
          <w:rFonts w:hint="eastAsia"/>
          <w:snapToGrid/>
        </w:rPr>
        <w:t>岁以下的孩子有</w:t>
      </w:r>
      <w:r>
        <w:rPr>
          <w:snapToGrid/>
        </w:rPr>
        <w:t>58%</w:t>
      </w:r>
      <w:r>
        <w:rPr>
          <w:rFonts w:hint="eastAsia"/>
          <w:snapToGrid/>
        </w:rPr>
        <w:t>都是这么死的。在</w:t>
      </w:r>
      <w:r>
        <w:rPr>
          <w:rFonts w:hint="eastAsia"/>
          <w:snapToGrid/>
        </w:rPr>
        <w:t>28</w:t>
      </w:r>
      <w:r>
        <w:rPr>
          <w:rFonts w:hint="eastAsia"/>
          <w:snapToGrid/>
        </w:rPr>
        <w:t>天以下的孩子中，约</w:t>
      </w:r>
      <w:r>
        <w:rPr>
          <w:snapToGrid/>
        </w:rPr>
        <w:t>76%</w:t>
      </w:r>
      <w:r>
        <w:rPr>
          <w:rFonts w:hint="eastAsia"/>
          <w:snapToGrid/>
        </w:rPr>
        <w:t>是在第一周内死去的。新生婴儿死亡的主要原因：极度早产、呼吸器官</w:t>
      </w:r>
      <w:r>
        <w:rPr>
          <w:rFonts w:hint="eastAsia"/>
          <w:snapToGrid/>
        </w:rPr>
        <w:t>问题、宫内低氧和出生时窒息；所有原因都与出生体重轻有关。约有</w:t>
      </w:r>
      <w:r>
        <w:rPr>
          <w:snapToGrid/>
        </w:rPr>
        <w:t>5.5%</w:t>
      </w:r>
      <w:r>
        <w:rPr>
          <w:rFonts w:hint="eastAsia"/>
          <w:snapToGrid/>
        </w:rPr>
        <w:t>的新生婴儿体重不足</w:t>
      </w:r>
      <w:r>
        <w:rPr>
          <w:snapToGrid/>
        </w:rPr>
        <w:t>2,500</w:t>
      </w:r>
      <w:r>
        <w:rPr>
          <w:rFonts w:hint="eastAsia"/>
          <w:snapToGrid/>
        </w:rPr>
        <w:t>克，有</w:t>
      </w:r>
      <w:r>
        <w:rPr>
          <w:snapToGrid/>
        </w:rPr>
        <w:t>15.6%</w:t>
      </w:r>
      <w:r>
        <w:rPr>
          <w:rFonts w:hint="eastAsia"/>
          <w:snapToGrid/>
        </w:rPr>
        <w:t>体重在</w:t>
      </w:r>
      <w:r>
        <w:rPr>
          <w:snapToGrid/>
        </w:rPr>
        <w:t>2,500</w:t>
      </w:r>
      <w:r>
        <w:rPr>
          <w:rFonts w:hint="eastAsia"/>
          <w:snapToGrid/>
        </w:rPr>
        <w:t>至</w:t>
      </w:r>
      <w:r>
        <w:rPr>
          <w:snapToGrid/>
        </w:rPr>
        <w:t>2,999</w:t>
      </w:r>
      <w:r>
        <w:rPr>
          <w:rFonts w:hint="eastAsia"/>
          <w:snapToGrid/>
        </w:rPr>
        <w:t>克之间。这些数字近年来相对保持稳定，而且低于其他发展中国家的同类数字。</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做过白喉、百日咳、破伤风、麻疹、脊髓灰质炎和结核病免疫的儿童</w:t>
      </w:r>
    </w:p>
    <w:p w:rsidR="00000000" w:rsidRDefault="009C1C61">
      <w:pPr>
        <w:rPr>
          <w:rFonts w:hint="eastAsia"/>
          <w:snapToGrid/>
        </w:rPr>
      </w:pPr>
      <w:r>
        <w:rPr>
          <w:snapToGrid/>
        </w:rPr>
        <w:tab/>
        <w:t>643.</w:t>
      </w:r>
      <w:r>
        <w:rPr>
          <w:rFonts w:hint="eastAsia"/>
          <w:snapToGrid/>
        </w:rPr>
        <w:t xml:space="preserve"> </w:t>
      </w:r>
      <w:r>
        <w:rPr>
          <w:snapToGrid/>
        </w:rPr>
        <w:t xml:space="preserve"> </w:t>
      </w:r>
      <w:r>
        <w:rPr>
          <w:rFonts w:hint="eastAsia"/>
          <w:snapToGrid/>
        </w:rPr>
        <w:t>扩大免疫方案是一项人人可以接触的国家方案，</w:t>
      </w:r>
      <w:r>
        <w:rPr>
          <w:rFonts w:hint="eastAsia"/>
          <w:snapToGrid/>
        </w:rPr>
        <w:t>2001</w:t>
      </w:r>
      <w:r>
        <w:rPr>
          <w:rFonts w:hint="eastAsia"/>
          <w:snapToGrid/>
        </w:rPr>
        <w:t>年达到如下的覆盖率：</w:t>
      </w:r>
    </w:p>
    <w:p w:rsidR="00000000" w:rsidRDefault="009C1C61">
      <w:pPr>
        <w:numPr>
          <w:ilvl w:val="0"/>
          <w:numId w:val="303"/>
        </w:numPr>
        <w:rPr>
          <w:snapToGrid/>
        </w:rPr>
      </w:pPr>
      <w:r>
        <w:rPr>
          <w:rFonts w:hint="eastAsia"/>
          <w:snapToGrid/>
        </w:rPr>
        <w:t>白喉、百日咳和破伤风</w:t>
      </w:r>
      <w:r>
        <w:rPr>
          <w:snapToGrid/>
        </w:rPr>
        <w:t>/</w:t>
      </w:r>
      <w:r>
        <w:rPr>
          <w:rFonts w:hint="eastAsia"/>
          <w:snapToGrid/>
        </w:rPr>
        <w:t>脊髓灰质炎第三剂</w:t>
      </w:r>
      <w:r>
        <w:rPr>
          <w:snapToGrid/>
        </w:rPr>
        <w:t>(</w:t>
      </w:r>
      <w:r>
        <w:rPr>
          <w:rFonts w:hint="eastAsia"/>
          <w:snapToGrid/>
        </w:rPr>
        <w:t>白喉、百日咳和破伤风</w:t>
      </w:r>
      <w:r>
        <w:rPr>
          <w:snapToGrid/>
        </w:rPr>
        <w:t>)</w:t>
      </w:r>
      <w:r>
        <w:rPr>
          <w:snapToGrid/>
        </w:rPr>
        <w:t>：</w:t>
      </w:r>
      <w:r>
        <w:rPr>
          <w:snapToGrid/>
        </w:rPr>
        <w:t>95.6%</w:t>
      </w:r>
      <w:r>
        <w:rPr>
          <w:snapToGrid/>
        </w:rPr>
        <w:t>；</w:t>
      </w:r>
    </w:p>
    <w:p w:rsidR="00000000" w:rsidRDefault="009C1C61">
      <w:pPr>
        <w:numPr>
          <w:ilvl w:val="0"/>
          <w:numId w:val="303"/>
        </w:numPr>
        <w:rPr>
          <w:rFonts w:hint="eastAsia"/>
          <w:snapToGrid/>
        </w:rPr>
      </w:pPr>
      <w:r>
        <w:rPr>
          <w:rFonts w:hint="eastAsia"/>
          <w:snapToGrid/>
        </w:rPr>
        <w:t>1</w:t>
      </w:r>
      <w:r>
        <w:rPr>
          <w:rFonts w:hint="eastAsia"/>
          <w:snapToGrid/>
        </w:rPr>
        <w:t>岁以下儿童患的三种病毒病</w:t>
      </w:r>
      <w:r>
        <w:rPr>
          <w:snapToGrid/>
        </w:rPr>
        <w:t>(</w:t>
      </w:r>
      <w:r>
        <w:rPr>
          <w:rFonts w:hint="eastAsia"/>
          <w:snapToGrid/>
        </w:rPr>
        <w:t>麻疹、腮腺炎和风疹</w:t>
      </w:r>
      <w:r>
        <w:rPr>
          <w:snapToGrid/>
        </w:rPr>
        <w:t>)</w:t>
      </w:r>
      <w:r>
        <w:rPr>
          <w:snapToGrid/>
        </w:rPr>
        <w:t>：</w:t>
      </w:r>
      <w:r>
        <w:rPr>
          <w:snapToGrid/>
        </w:rPr>
        <w:t>93.8%</w:t>
      </w:r>
      <w:r>
        <w:rPr>
          <w:snapToGrid/>
        </w:rPr>
        <w:t>；</w:t>
      </w:r>
      <w:r>
        <w:rPr>
          <w:rFonts w:hint="eastAsia"/>
          <w:snapToGrid/>
        </w:rPr>
        <w:t>及</w:t>
      </w:r>
    </w:p>
    <w:p w:rsidR="00000000" w:rsidRDefault="009C1C61">
      <w:pPr>
        <w:numPr>
          <w:ilvl w:val="0"/>
          <w:numId w:val="303"/>
        </w:numPr>
        <w:spacing w:after="240"/>
        <w:rPr>
          <w:rFonts w:hint="eastAsia"/>
          <w:snapToGrid/>
        </w:rPr>
      </w:pPr>
      <w:r>
        <w:rPr>
          <w:rFonts w:hint="eastAsia"/>
          <w:snapToGrid/>
        </w:rPr>
        <w:t>小学生患</w:t>
      </w:r>
      <w:r>
        <w:rPr>
          <w:rFonts w:hint="eastAsia"/>
          <w:snapToGrid/>
        </w:rPr>
        <w:t>的三种病毒病</w:t>
      </w:r>
      <w:r>
        <w:rPr>
          <w:snapToGrid/>
        </w:rPr>
        <w:t>：</w:t>
      </w:r>
      <w:r>
        <w:rPr>
          <w:snapToGrid/>
        </w:rPr>
        <w:t>95%</w:t>
      </w:r>
      <w:r>
        <w:rPr>
          <w:rFonts w:hint="eastAsia"/>
          <w:snapToGrid/>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平均寿命</w:t>
      </w:r>
    </w:p>
    <w:p w:rsidR="00000000" w:rsidRDefault="009C1C61">
      <w:pPr>
        <w:rPr>
          <w:rFonts w:hint="eastAsia"/>
          <w:snapToGrid/>
        </w:rPr>
      </w:pPr>
      <w:r>
        <w:rPr>
          <w:snapToGrid/>
        </w:rPr>
        <w:tab/>
        <w:t xml:space="preserve">644.  </w:t>
      </w:r>
      <w:r>
        <w:rPr>
          <w:rFonts w:hint="eastAsia"/>
          <w:snapToGrid/>
        </w:rPr>
        <w:t>统计材料表明，</w:t>
      </w:r>
      <w:r>
        <w:rPr>
          <w:snapToGrid/>
        </w:rPr>
        <w:t>1990</w:t>
      </w:r>
      <w:r>
        <w:rPr>
          <w:rFonts w:hint="eastAsia"/>
          <w:snapToGrid/>
        </w:rPr>
        <w:t>至</w:t>
      </w:r>
      <w:r>
        <w:rPr>
          <w:rFonts w:hint="eastAsia"/>
          <w:snapToGrid/>
        </w:rPr>
        <w:t>19</w:t>
      </w:r>
      <w:r>
        <w:rPr>
          <w:snapToGrid/>
        </w:rPr>
        <w:t>95</w:t>
      </w:r>
      <w:r>
        <w:rPr>
          <w:rFonts w:hint="eastAsia"/>
          <w:snapToGrid/>
        </w:rPr>
        <w:t>年期间，男性出生时平均预期寿命为</w:t>
      </w:r>
      <w:r>
        <w:rPr>
          <w:snapToGrid/>
        </w:rPr>
        <w:t>71.35</w:t>
      </w:r>
      <w:r>
        <w:rPr>
          <w:rFonts w:hint="eastAsia"/>
          <w:snapToGrid/>
        </w:rPr>
        <w:t>岁，女性为</w:t>
      </w:r>
      <w:r>
        <w:rPr>
          <w:snapToGrid/>
        </w:rPr>
        <w:t>77.44</w:t>
      </w:r>
      <w:r>
        <w:rPr>
          <w:rFonts w:hint="eastAsia"/>
          <w:snapToGrid/>
        </w:rPr>
        <w:t>岁；</w:t>
      </w:r>
      <w:r>
        <w:rPr>
          <w:rFonts w:hint="eastAsia"/>
          <w:snapToGrid/>
        </w:rPr>
        <w:t>1996</w:t>
      </w:r>
      <w:r>
        <w:rPr>
          <w:rFonts w:hint="eastAsia"/>
          <w:snapToGrid/>
        </w:rPr>
        <w:t>至</w:t>
      </w:r>
      <w:r>
        <w:rPr>
          <w:rFonts w:hint="eastAsia"/>
          <w:snapToGrid/>
        </w:rPr>
        <w:t>2000</w:t>
      </w:r>
      <w:r>
        <w:rPr>
          <w:rFonts w:hint="eastAsia"/>
          <w:snapToGrid/>
        </w:rPr>
        <w:t>年期间，男性增加到</w:t>
      </w:r>
      <w:r>
        <w:rPr>
          <w:snapToGrid/>
        </w:rPr>
        <w:t>72.99</w:t>
      </w:r>
      <w:r>
        <w:rPr>
          <w:rFonts w:hint="eastAsia"/>
          <w:snapToGrid/>
        </w:rPr>
        <w:t>岁，女性增加到</w:t>
      </w:r>
      <w:r>
        <w:rPr>
          <w:snapToGrid/>
        </w:rPr>
        <w:t>79.04</w:t>
      </w:r>
      <w:r>
        <w:rPr>
          <w:rFonts w:hint="eastAsia"/>
          <w:snapToGrid/>
        </w:rPr>
        <w:t>岁。</w:t>
      </w:r>
    </w:p>
    <w:p w:rsidR="00000000" w:rsidRDefault="009C1C61">
      <w:pPr>
        <w:pStyle w:val="Heading4"/>
        <w:spacing w:before="300"/>
        <w:rPr>
          <w:rFonts w:ascii="Time New Roman" w:eastAsia="SimHei" w:hAnsi="Time New Roman" w:hint="eastAsia"/>
          <w:u w:val="none"/>
        </w:rPr>
      </w:pPr>
      <w:r>
        <w:rPr>
          <w:rFonts w:ascii="Time New Roman" w:eastAsia="SimHei" w:hAnsi="Time New Roman" w:hint="eastAsia"/>
          <w:u w:val="none"/>
        </w:rPr>
        <w:t>全民、孕妇和儿童获得合格医务人员服务的情况</w:t>
      </w:r>
    </w:p>
    <w:p w:rsidR="00000000" w:rsidRDefault="009C1C61">
      <w:pPr>
        <w:spacing w:after="120"/>
        <w:rPr>
          <w:rFonts w:hint="eastAsia"/>
          <w:snapToGrid/>
        </w:rPr>
      </w:pPr>
      <w:r>
        <w:rPr>
          <w:snapToGrid/>
        </w:rPr>
        <w:tab/>
        <w:t xml:space="preserve">645.  </w:t>
      </w:r>
      <w:r>
        <w:rPr>
          <w:rFonts w:hint="eastAsia"/>
          <w:snapToGrid/>
        </w:rPr>
        <w:t>根据</w:t>
      </w:r>
      <w:r>
        <w:rPr>
          <w:rFonts w:hint="eastAsia"/>
          <w:snapToGrid/>
        </w:rPr>
        <w:t>2000</w:t>
      </w:r>
      <w:r>
        <w:rPr>
          <w:rFonts w:hint="eastAsia"/>
          <w:snapToGrid/>
        </w:rPr>
        <w:t>年社经特征调查的估计，</w:t>
      </w:r>
      <w:r>
        <w:rPr>
          <w:rStyle w:val="FootnoteReference"/>
          <w:bCs/>
          <w:snapToGrid/>
        </w:rPr>
        <w:footnoteReference w:id="293"/>
      </w:r>
      <w:r>
        <w:rPr>
          <w:bCs/>
          <w:snapToGrid/>
          <w:vertAlign w:val="superscript"/>
        </w:rPr>
        <w:t xml:space="preserve"> </w:t>
      </w:r>
      <w:r>
        <w:rPr>
          <w:rFonts w:hint="eastAsia"/>
          <w:snapToGrid/>
        </w:rPr>
        <w:t>除了与世隔绝的很少群体外，</w:t>
      </w:r>
      <w:r>
        <w:rPr>
          <w:snapToGrid/>
        </w:rPr>
        <w:t>95.8%</w:t>
      </w:r>
      <w:r>
        <w:rPr>
          <w:rFonts w:hint="eastAsia"/>
          <w:snapToGrid/>
        </w:rPr>
        <w:t>的人口都可以接触到合格医务人员，获得治疗普通疾病所需的药物。在公立或私立医疗机构中</w:t>
      </w:r>
      <w:r>
        <w:rPr>
          <w:rFonts w:hint="eastAsia"/>
          <w:snapToGrid/>
        </w:rPr>
        <w:t>(1999</w:t>
      </w:r>
      <w:r>
        <w:rPr>
          <w:rFonts w:hint="eastAsia"/>
          <w:snapToGrid/>
        </w:rPr>
        <w:t>年</w:t>
      </w:r>
      <w:r>
        <w:rPr>
          <w:rFonts w:hint="eastAsia"/>
          <w:snapToGrid/>
        </w:rPr>
        <w:t>)</w:t>
      </w:r>
      <w:r>
        <w:rPr>
          <w:rFonts w:hint="eastAsia"/>
          <w:snapToGrid/>
        </w:rPr>
        <w:t>，</w:t>
      </w:r>
      <w:r>
        <w:rPr>
          <w:rFonts w:hint="eastAsia"/>
          <w:snapToGrid/>
        </w:rPr>
        <w:t>90%</w:t>
      </w:r>
      <w:r>
        <w:rPr>
          <w:rFonts w:hint="eastAsia"/>
          <w:snapToGrid/>
        </w:rPr>
        <w:t>的孕妇怀孕期间都由合格医务人员接诊，</w:t>
      </w:r>
      <w:r>
        <w:rPr>
          <w:snapToGrid/>
        </w:rPr>
        <w:t>99.7%</w:t>
      </w:r>
      <w:r>
        <w:rPr>
          <w:rFonts w:hint="eastAsia"/>
          <w:snapToGrid/>
        </w:rPr>
        <w:t>分娩时都</w:t>
      </w:r>
      <w:r>
        <w:rPr>
          <w:rFonts w:hint="eastAsia"/>
          <w:snapToGrid/>
        </w:rPr>
        <w:t>得到了专业护理。</w:t>
      </w:r>
      <w:r>
        <w:rPr>
          <w:rFonts w:hint="eastAsia"/>
          <w:snapToGrid/>
        </w:rPr>
        <w:t>1999</w:t>
      </w:r>
      <w:r>
        <w:rPr>
          <w:rFonts w:hint="eastAsia"/>
          <w:snapToGrid/>
        </w:rPr>
        <w:t>年产妇死亡率为</w:t>
      </w:r>
      <w:r>
        <w:rPr>
          <w:snapToGrid/>
        </w:rPr>
        <w:t>2.3</w:t>
      </w:r>
      <w:r>
        <w:rPr>
          <w:rFonts w:hint="eastAsia"/>
          <w:snapToGrid/>
        </w:rPr>
        <w:t>/</w:t>
      </w:r>
      <w:r>
        <w:rPr>
          <w:snapToGrid/>
        </w:rPr>
        <w:t>10,000</w:t>
      </w:r>
      <w:r>
        <w:rPr>
          <w:rFonts w:hint="eastAsia"/>
          <w:snapToGrid/>
        </w:rPr>
        <w:t>胎活产</w:t>
      </w:r>
      <w:r>
        <w:rPr>
          <w:rFonts w:hint="eastAsia"/>
          <w:snapToGrid/>
        </w:rPr>
        <w:t>(</w:t>
      </w:r>
      <w:r>
        <w:rPr>
          <w:rFonts w:hint="eastAsia"/>
          <w:snapToGrid/>
        </w:rPr>
        <w:t>即每</w:t>
      </w:r>
      <w:r>
        <w:rPr>
          <w:snapToGrid/>
        </w:rPr>
        <w:t>263,867</w:t>
      </w:r>
      <w:r>
        <w:rPr>
          <w:rFonts w:hint="eastAsia"/>
          <w:snapToGrid/>
        </w:rPr>
        <w:t>胎活产中有</w:t>
      </w:r>
      <w:r>
        <w:rPr>
          <w:rFonts w:hint="eastAsia"/>
          <w:snapToGrid/>
        </w:rPr>
        <w:t>60</w:t>
      </w:r>
      <w:r>
        <w:rPr>
          <w:rFonts w:hint="eastAsia"/>
          <w:snapToGrid/>
        </w:rPr>
        <w:t>例死亡</w:t>
      </w:r>
      <w:r>
        <w:rPr>
          <w:snapToGrid/>
        </w:rPr>
        <w:t>)</w:t>
      </w:r>
      <w:r>
        <w:rPr>
          <w:rFonts w:hint="eastAsia"/>
          <w:snapToGrid/>
        </w:rPr>
        <w:t>。在公共保健系统中，智利</w:t>
      </w:r>
      <w:r>
        <w:rPr>
          <w:snapToGrid/>
        </w:rPr>
        <w:t>100%</w:t>
      </w:r>
      <w:r>
        <w:rPr>
          <w:rFonts w:hint="eastAsia"/>
          <w:snapToGrid/>
        </w:rPr>
        <w:t>的儿童都得到了受过正规培训的专业和技术人员的护理。</w:t>
      </w:r>
    </w:p>
    <w:p w:rsidR="00000000" w:rsidRDefault="009C1C61">
      <w:pPr>
        <w:pStyle w:val="Heading4"/>
        <w:spacing w:before="300"/>
        <w:rPr>
          <w:rFonts w:ascii="Time New Roman" w:eastAsia="SimHei" w:hAnsi="Time New Roman" w:hint="eastAsia"/>
          <w:u w:val="none"/>
        </w:rPr>
      </w:pPr>
      <w:r>
        <w:rPr>
          <w:rFonts w:ascii="Time New Roman" w:eastAsia="SimHei" w:hAnsi="Time New Roman" w:hint="eastAsia"/>
          <w:u w:val="none"/>
        </w:rPr>
        <w:t>健康状况远比其他人差的群体</w:t>
      </w:r>
    </w:p>
    <w:p w:rsidR="00000000" w:rsidRDefault="009C1C61">
      <w:pPr>
        <w:spacing w:after="240"/>
        <w:rPr>
          <w:bCs/>
          <w:snapToGrid/>
        </w:rPr>
      </w:pPr>
      <w:r>
        <w:rPr>
          <w:snapToGrid/>
        </w:rPr>
        <w:tab/>
        <w:t xml:space="preserve">646.  </w:t>
      </w:r>
      <w:r>
        <w:rPr>
          <w:rFonts w:hint="eastAsia"/>
          <w:snapToGrid/>
        </w:rPr>
        <w:t>尽管这些全国性指标都不错，可有些人口群体的健康水平远低于全国的平均水平和高收入群体享有的健康水平。这些群体是：</w:t>
      </w:r>
      <w:r>
        <w:rPr>
          <w:rFonts w:hint="eastAsia"/>
          <w:snapToGrid/>
        </w:rPr>
        <w:t>1</w:t>
      </w:r>
      <w:r>
        <w:rPr>
          <w:rFonts w:hint="eastAsia"/>
          <w:snapToGrid/>
        </w:rPr>
        <w:t>岁以下的儿童、</w:t>
      </w:r>
      <w:r>
        <w:rPr>
          <w:snapToGrid/>
        </w:rPr>
        <w:t>45</w:t>
      </w:r>
      <w:r>
        <w:rPr>
          <w:rFonts w:hint="eastAsia"/>
          <w:snapToGrid/>
        </w:rPr>
        <w:t>至</w:t>
      </w:r>
      <w:r>
        <w:rPr>
          <w:snapToGrid/>
        </w:rPr>
        <w:t>64</w:t>
      </w:r>
      <w:r>
        <w:rPr>
          <w:rFonts w:hint="eastAsia"/>
          <w:snapToGrid/>
        </w:rPr>
        <w:t>岁的成年工人、</w:t>
      </w:r>
      <w:r>
        <w:rPr>
          <w:rFonts w:hint="eastAsia"/>
          <w:snapToGrid/>
        </w:rPr>
        <w:t>65</w:t>
      </w:r>
      <w:r>
        <w:rPr>
          <w:rFonts w:hint="eastAsia"/>
          <w:snapToGrid/>
        </w:rPr>
        <w:t>岁以上的成人、低收入群体的临时工</w:t>
      </w:r>
      <w:r>
        <w:rPr>
          <w:rFonts w:hint="eastAsia"/>
          <w:snapToGrid/>
          <w:spacing w:val="-40"/>
        </w:rPr>
        <w:t>——</w:t>
      </w:r>
      <w:r>
        <w:rPr>
          <w:rFonts w:hint="eastAsia"/>
          <w:snapToGrid/>
        </w:rPr>
        <w:t>尤其是女工及全国最贫困区、尤其是农村地区的居民。这一点也反映在婴儿和某些年龄组死亡率最高、</w:t>
      </w:r>
      <w:r>
        <w:rPr>
          <w:rFonts w:hint="eastAsia"/>
          <w:snapToGrid/>
        </w:rPr>
        <w:t>寿损年份水平较高、预期寿命较短和发病率更高中。</w:t>
      </w:r>
      <w:r>
        <w:rPr>
          <w:rStyle w:val="FootnoteReference"/>
          <w:bCs/>
          <w:snapToGrid/>
        </w:rPr>
        <w:footnoteReference w:id="294"/>
      </w:r>
    </w:p>
    <w:p w:rsidR="00000000" w:rsidRDefault="009C1C61">
      <w:pPr>
        <w:pStyle w:val="Heading4"/>
        <w:spacing w:before="300"/>
        <w:rPr>
          <w:rFonts w:ascii="Time New Roman" w:eastAsia="SimHei" w:hAnsi="Time New Roman" w:hint="eastAsia"/>
          <w:u w:val="none"/>
        </w:rPr>
      </w:pPr>
      <w:r>
        <w:rPr>
          <w:rFonts w:ascii="Time New Roman" w:eastAsia="SimHei" w:hAnsi="Time New Roman" w:hint="eastAsia"/>
          <w:u w:val="none"/>
        </w:rPr>
        <w:t>政府改善脆弱和弱势群体身心健康的措施</w:t>
      </w:r>
    </w:p>
    <w:p w:rsidR="00000000" w:rsidRDefault="009C1C61">
      <w:pPr>
        <w:rPr>
          <w:snapToGrid/>
        </w:rPr>
      </w:pPr>
      <w:r>
        <w:rPr>
          <w:snapToGrid/>
        </w:rPr>
        <w:tab/>
        <w:t>647.  2000</w:t>
      </w:r>
      <w:r>
        <w:rPr>
          <w:rFonts w:hint="eastAsia"/>
          <w:snapToGrid/>
        </w:rPr>
        <w:t>至</w:t>
      </w:r>
      <w:r>
        <w:rPr>
          <w:rFonts w:hint="eastAsia"/>
          <w:snapToGrid/>
        </w:rPr>
        <w:t>20</w:t>
      </w:r>
      <w:r>
        <w:rPr>
          <w:snapToGrid/>
        </w:rPr>
        <w:t>06</w:t>
      </w:r>
      <w:r>
        <w:rPr>
          <w:rFonts w:hint="eastAsia"/>
          <w:snapToGrid/>
        </w:rPr>
        <w:t>年期间，政府的目标之一就是要对区内和市内当前的卫生条件做一次彻底检查。所得资料将用以绘制一张全国卫生不平衡图。在开展卫生改革的情况下，</w:t>
      </w:r>
      <w:r>
        <w:rPr>
          <w:snapToGrid/>
        </w:rPr>
        <w:t>2001</w:t>
      </w:r>
      <w:r>
        <w:rPr>
          <w:rFonts w:hint="eastAsia"/>
          <w:snapToGrid/>
        </w:rPr>
        <w:t>年和</w:t>
      </w:r>
      <w:r>
        <w:rPr>
          <w:snapToGrid/>
        </w:rPr>
        <w:t>2002</w:t>
      </w:r>
      <w:r>
        <w:rPr>
          <w:rFonts w:hint="eastAsia"/>
          <w:snapToGrid/>
        </w:rPr>
        <w:t>年已经特别拨出部分预算，用以加强针对最脆弱群体的行动。</w:t>
      </w:r>
    </w:p>
    <w:p w:rsidR="00000000" w:rsidRDefault="009C1C61">
      <w:pPr>
        <w:rPr>
          <w:snapToGrid/>
        </w:rPr>
      </w:pPr>
      <w:r>
        <w:rPr>
          <w:snapToGrid/>
        </w:rPr>
        <w:tab/>
        <w:t xml:space="preserve">648.  </w:t>
      </w:r>
      <w:r>
        <w:rPr>
          <w:rFonts w:hint="eastAsia"/>
          <w:snapToGrid/>
        </w:rPr>
        <w:t>规划与合作部在调整公共方案和政策的过程中确定了</w:t>
      </w:r>
      <w:r>
        <w:rPr>
          <w:rFonts w:hint="eastAsia"/>
          <w:snapToGrid/>
        </w:rPr>
        <w:t>6</w:t>
      </w:r>
      <w:r>
        <w:rPr>
          <w:rFonts w:hint="eastAsia"/>
          <w:snapToGrid/>
        </w:rPr>
        <w:t>个高度优先群体，妇女是其中的一个。卫生部的妇女健康方案意在采取行动，促进妇女在人生各个阶段的生理、心理和社会等方面的全面</w:t>
      </w:r>
      <w:r>
        <w:rPr>
          <w:rFonts w:hint="eastAsia"/>
          <w:snapToGrid/>
        </w:rPr>
        <w:t>发展。</w:t>
      </w:r>
      <w:r>
        <w:rPr>
          <w:rStyle w:val="FootnoteReference"/>
          <w:snapToGrid/>
        </w:rPr>
        <w:footnoteReference w:id="295"/>
      </w:r>
      <w:r>
        <w:rPr>
          <w:snapToGrid/>
          <w:vertAlign w:val="superscript"/>
        </w:rPr>
        <w:t xml:space="preserve"> </w:t>
      </w:r>
      <w:r>
        <w:rPr>
          <w:rFonts w:hint="eastAsia"/>
          <w:snapToGrid/>
        </w:rPr>
        <w:t>这项方案自</w:t>
      </w:r>
      <w:r>
        <w:rPr>
          <w:snapToGrid/>
        </w:rPr>
        <w:t>1997</w:t>
      </w:r>
      <w:r>
        <w:rPr>
          <w:rFonts w:hint="eastAsia"/>
          <w:snapToGrid/>
        </w:rPr>
        <w:t>起实施。在这方面所实施的重要战略，包括与全国妇女服务署、妇女地位提高和发展基金会、教育部、劳工部、司法部、住房部及非政府组织开展的部门间活动，包括妇女本身更加深入地参与旨在改善其处境的方案和项目。</w:t>
      </w:r>
    </w:p>
    <w:p w:rsidR="00000000" w:rsidRDefault="009C1C61">
      <w:pPr>
        <w:rPr>
          <w:snapToGrid/>
        </w:rPr>
      </w:pPr>
      <w:r>
        <w:rPr>
          <w:snapToGrid/>
        </w:rPr>
        <w:tab/>
        <w:t>649.  1995</w:t>
      </w:r>
      <w:r>
        <w:rPr>
          <w:rFonts w:hint="eastAsia"/>
          <w:snapToGrid/>
        </w:rPr>
        <w:t>年，设立了一个老人方案处作为总统府直属机构，目标是为残疾老人提供支助机制，寻求种种办法报销全部的昂贵手术费用。这一举措使</w:t>
      </w:r>
      <w:r>
        <w:rPr>
          <w:rFonts w:hint="eastAsia"/>
          <w:snapToGrid/>
        </w:rPr>
        <w:t>1995</w:t>
      </w:r>
      <w:r>
        <w:rPr>
          <w:rFonts w:hint="eastAsia"/>
          <w:snapToGrid/>
        </w:rPr>
        <w:t>至</w:t>
      </w:r>
      <w:r>
        <w:rPr>
          <w:rFonts w:hint="eastAsia"/>
          <w:snapToGrid/>
        </w:rPr>
        <w:t>2000</w:t>
      </w:r>
      <w:r>
        <w:rPr>
          <w:rFonts w:hint="eastAsia"/>
          <w:snapToGrid/>
        </w:rPr>
        <w:t>年期间的此类服务增加了</w:t>
      </w:r>
      <w:r>
        <w:rPr>
          <w:snapToGrid/>
        </w:rPr>
        <w:t>120.5%</w:t>
      </w:r>
      <w:r>
        <w:rPr>
          <w:rFonts w:hint="eastAsia"/>
          <w:snapToGrid/>
        </w:rPr>
        <w:t>，有</w:t>
      </w:r>
      <w:r>
        <w:rPr>
          <w:snapToGrid/>
        </w:rPr>
        <w:t>488,900</w:t>
      </w:r>
      <w:r>
        <w:rPr>
          <w:rFonts w:hint="eastAsia"/>
          <w:snapToGrid/>
        </w:rPr>
        <w:t>人受益。</w:t>
      </w:r>
    </w:p>
    <w:p w:rsidR="00000000" w:rsidRDefault="009C1C61">
      <w:pPr>
        <w:spacing w:after="240"/>
        <w:rPr>
          <w:rFonts w:hint="eastAsia"/>
          <w:snapToGrid/>
        </w:rPr>
      </w:pPr>
      <w:r>
        <w:rPr>
          <w:snapToGrid/>
        </w:rPr>
        <w:tab/>
        <w:t xml:space="preserve">650.  </w:t>
      </w:r>
      <w:r>
        <w:rPr>
          <w:rFonts w:hint="eastAsia"/>
          <w:snapToGrid/>
        </w:rPr>
        <w:t>初级保健系统新设的牙科方案包括针对老人、青少年、低</w:t>
      </w:r>
      <w:r>
        <w:rPr>
          <w:rFonts w:hint="eastAsia"/>
          <w:snapToGrid/>
        </w:rPr>
        <w:t>收入母亲、临时工和户主等的多个专门治疗次级方案。这一方案还处理补牙、氟化饮用水、每周为在当地受基本教育的儿童发放氢氟酸盐漱口剂以及预防和治疗牙齿和牙龈疾病等问题。</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政府为减少死产和婴儿死亡率、促进儿童发展而采取的措施</w:t>
      </w:r>
    </w:p>
    <w:p w:rsidR="00000000" w:rsidRDefault="009C1C61">
      <w:pPr>
        <w:spacing w:after="320"/>
        <w:rPr>
          <w:snapToGrid/>
        </w:rPr>
      </w:pPr>
      <w:r>
        <w:rPr>
          <w:snapToGrid/>
        </w:rPr>
        <w:tab/>
        <w:t xml:space="preserve">651.  </w:t>
      </w:r>
      <w:r>
        <w:rPr>
          <w:rFonts w:hint="eastAsia"/>
          <w:snapToGrid/>
        </w:rPr>
        <w:t>为了降低死产率，目前正在修订有关妊娠和分娩护理的各项法律。人们关切的核心问题是每个地区内现有护理设施之间的联系，以便确立明确的决策路线，设立能够确保护理部门各种利益冲突得到协调的机构。下表以有关这一问题的主要指标反映了</w:t>
      </w:r>
      <w:r>
        <w:rPr>
          <w:snapToGrid/>
        </w:rPr>
        <w:t>1990</w:t>
      </w:r>
      <w:r>
        <w:rPr>
          <w:rFonts w:hint="eastAsia"/>
          <w:snapToGrid/>
        </w:rPr>
        <w:t>至</w:t>
      </w:r>
      <w:r>
        <w:rPr>
          <w:rFonts w:hint="eastAsia"/>
          <w:snapToGrid/>
        </w:rPr>
        <w:t>19</w:t>
      </w:r>
      <w:r>
        <w:rPr>
          <w:snapToGrid/>
        </w:rPr>
        <w:t>99</w:t>
      </w:r>
      <w:r>
        <w:rPr>
          <w:rFonts w:hint="eastAsia"/>
          <w:snapToGrid/>
        </w:rPr>
        <w:t>年期间这一行动的开展情况。</w:t>
      </w:r>
    </w:p>
    <w:p w:rsidR="00000000" w:rsidRDefault="009C1C61">
      <w:pPr>
        <w:pStyle w:val="Heading3"/>
        <w:spacing w:after="160"/>
      </w:pPr>
      <w:r>
        <w:rPr>
          <w:rFonts w:hint="eastAsia"/>
        </w:rPr>
        <w:t>表</w:t>
      </w:r>
      <w:r>
        <w:rPr>
          <w:b/>
          <w:bCs/>
        </w:rPr>
        <w:t xml:space="preserve"> 37</w:t>
      </w:r>
    </w:p>
    <w:p w:rsidR="00000000" w:rsidRDefault="009C1C61">
      <w:pPr>
        <w:pStyle w:val="Heading3"/>
        <w:spacing w:after="160"/>
        <w:rPr>
          <w:rFonts w:hint="eastAsia"/>
        </w:rPr>
      </w:pPr>
      <w:r>
        <w:rPr>
          <w:b/>
          <w:bCs/>
        </w:rPr>
        <w:t>199</w:t>
      </w:r>
      <w:r>
        <w:rPr>
          <w:b/>
          <w:bCs/>
        </w:rPr>
        <w:t>0-98</w:t>
      </w:r>
      <w:r>
        <w:rPr>
          <w:rFonts w:hint="eastAsia"/>
        </w:rPr>
        <w:t>年智利的死产和婴儿死亡率</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20"/>
        <w:gridCol w:w="2020"/>
        <w:gridCol w:w="2020"/>
        <w:gridCol w:w="2020"/>
      </w:tblGrid>
      <w:tr w:rsidR="00000000">
        <w:tblPrEx>
          <w:tblCellMar>
            <w:top w:w="0" w:type="dxa"/>
            <w:bottom w:w="0" w:type="dxa"/>
          </w:tblCellMar>
        </w:tblPrEx>
        <w:tc>
          <w:tcPr>
            <w:tcW w:w="992" w:type="dxa"/>
            <w:tcBorders>
              <w:bottom w:val="single" w:sz="4" w:space="0" w:color="auto"/>
            </w:tcBorders>
          </w:tcPr>
          <w:p w:rsidR="00000000" w:rsidRDefault="009C1C61">
            <w:pPr>
              <w:pStyle w:val="a2"/>
              <w:jc w:val="center"/>
              <w:rPr>
                <w:rFonts w:hint="eastAsia"/>
                <w:snapToGrid/>
              </w:rPr>
            </w:pPr>
            <w:r>
              <w:rPr>
                <w:rFonts w:hint="eastAsia"/>
                <w:snapToGrid/>
              </w:rPr>
              <w:t>年</w:t>
            </w:r>
          </w:p>
        </w:tc>
        <w:tc>
          <w:tcPr>
            <w:tcW w:w="2020" w:type="dxa"/>
            <w:tcBorders>
              <w:bottom w:val="single" w:sz="4" w:space="0" w:color="auto"/>
            </w:tcBorders>
          </w:tcPr>
          <w:p w:rsidR="00000000" w:rsidRDefault="009C1C61">
            <w:pPr>
              <w:pStyle w:val="a2"/>
              <w:jc w:val="center"/>
              <w:rPr>
                <w:snapToGrid/>
              </w:rPr>
            </w:pPr>
            <w:r>
              <w:rPr>
                <w:rFonts w:hint="eastAsia"/>
                <w:snapToGrid/>
              </w:rPr>
              <w:t>每</w:t>
            </w:r>
            <w:r>
              <w:rPr>
                <w:snapToGrid/>
              </w:rPr>
              <w:t>100,000</w:t>
            </w:r>
            <w:r>
              <w:rPr>
                <w:rFonts w:hint="eastAsia"/>
                <w:snapToGrid/>
              </w:rPr>
              <w:t>胎活产的产妇死亡率</w:t>
            </w:r>
          </w:p>
        </w:tc>
        <w:tc>
          <w:tcPr>
            <w:tcW w:w="2020" w:type="dxa"/>
            <w:tcBorders>
              <w:bottom w:val="single" w:sz="4" w:space="0" w:color="auto"/>
            </w:tcBorders>
          </w:tcPr>
          <w:p w:rsidR="00000000" w:rsidRDefault="009C1C61">
            <w:pPr>
              <w:pStyle w:val="a2"/>
              <w:jc w:val="center"/>
              <w:rPr>
                <w:snapToGrid/>
              </w:rPr>
            </w:pPr>
            <w:r>
              <w:rPr>
                <w:rFonts w:hint="eastAsia"/>
                <w:snapToGrid/>
              </w:rPr>
              <w:t>每</w:t>
            </w:r>
            <w:r>
              <w:rPr>
                <w:snapToGrid/>
              </w:rPr>
              <w:t>1,000</w:t>
            </w:r>
            <w:r>
              <w:rPr>
                <w:rFonts w:hint="eastAsia"/>
                <w:snapToGrid/>
              </w:rPr>
              <w:t>胎活产后期胎儿死亡率</w:t>
            </w:r>
          </w:p>
        </w:tc>
        <w:tc>
          <w:tcPr>
            <w:tcW w:w="2020" w:type="dxa"/>
            <w:tcBorders>
              <w:bottom w:val="single" w:sz="4" w:space="0" w:color="auto"/>
            </w:tcBorders>
          </w:tcPr>
          <w:p w:rsidR="00000000" w:rsidRDefault="009C1C61">
            <w:pPr>
              <w:pStyle w:val="a2"/>
              <w:jc w:val="center"/>
              <w:rPr>
                <w:snapToGrid/>
              </w:rPr>
            </w:pPr>
            <w:r>
              <w:rPr>
                <w:rFonts w:hint="eastAsia"/>
                <w:snapToGrid/>
              </w:rPr>
              <w:t>每</w:t>
            </w:r>
            <w:r>
              <w:rPr>
                <w:snapToGrid/>
              </w:rPr>
              <w:t>1,000</w:t>
            </w:r>
            <w:r>
              <w:rPr>
                <w:rFonts w:hint="eastAsia"/>
                <w:snapToGrid/>
              </w:rPr>
              <w:t>胎活产早期新生儿死亡率</w:t>
            </w:r>
          </w:p>
        </w:tc>
        <w:tc>
          <w:tcPr>
            <w:tcW w:w="2020" w:type="dxa"/>
            <w:tcBorders>
              <w:bottom w:val="single" w:sz="4" w:space="0" w:color="auto"/>
            </w:tcBorders>
          </w:tcPr>
          <w:p w:rsidR="00000000" w:rsidRDefault="009C1C61">
            <w:pPr>
              <w:pStyle w:val="a2"/>
              <w:jc w:val="center"/>
              <w:rPr>
                <w:rFonts w:hint="eastAsia"/>
                <w:snapToGrid/>
              </w:rPr>
            </w:pPr>
            <w:r>
              <w:rPr>
                <w:rFonts w:hint="eastAsia"/>
                <w:snapToGrid/>
              </w:rPr>
              <w:t>每</w:t>
            </w:r>
            <w:r>
              <w:rPr>
                <w:snapToGrid/>
              </w:rPr>
              <w:t>1,000</w:t>
            </w:r>
            <w:r>
              <w:rPr>
                <w:rFonts w:hint="eastAsia"/>
                <w:snapToGrid/>
              </w:rPr>
              <w:t>胎活产</w:t>
            </w:r>
            <w:r>
              <w:rPr>
                <w:snapToGrid/>
              </w:rPr>
              <w:br/>
            </w:r>
            <w:r>
              <w:rPr>
                <w:rFonts w:hint="eastAsia"/>
                <w:snapToGrid/>
              </w:rPr>
              <w:t>婴儿死亡率</w:t>
            </w:r>
          </w:p>
        </w:tc>
      </w:tr>
      <w:tr w:rsidR="00000000">
        <w:tblPrEx>
          <w:tblCellMar>
            <w:top w:w="0" w:type="dxa"/>
            <w:bottom w:w="0" w:type="dxa"/>
          </w:tblCellMar>
        </w:tblPrEx>
        <w:tc>
          <w:tcPr>
            <w:tcW w:w="992" w:type="dxa"/>
            <w:tcBorders>
              <w:bottom w:val="nil"/>
            </w:tcBorders>
          </w:tcPr>
          <w:p w:rsidR="00000000" w:rsidRDefault="009C1C61">
            <w:pPr>
              <w:pStyle w:val="a2"/>
              <w:jc w:val="center"/>
              <w:rPr>
                <w:snapToGrid/>
              </w:rPr>
            </w:pPr>
            <w:r>
              <w:rPr>
                <w:snapToGrid/>
              </w:rPr>
              <w:t>1990</w:t>
            </w:r>
          </w:p>
        </w:tc>
        <w:tc>
          <w:tcPr>
            <w:tcW w:w="2020" w:type="dxa"/>
            <w:tcBorders>
              <w:bottom w:val="nil"/>
            </w:tcBorders>
          </w:tcPr>
          <w:p w:rsidR="00000000" w:rsidRDefault="009C1C61">
            <w:pPr>
              <w:pStyle w:val="a2"/>
              <w:ind w:right="170"/>
              <w:jc w:val="center"/>
              <w:rPr>
                <w:snapToGrid/>
              </w:rPr>
            </w:pPr>
            <w:r>
              <w:rPr>
                <w:snapToGrid/>
              </w:rPr>
              <w:t>39.9</w:t>
            </w:r>
          </w:p>
        </w:tc>
        <w:tc>
          <w:tcPr>
            <w:tcW w:w="2020" w:type="dxa"/>
            <w:tcBorders>
              <w:bottom w:val="nil"/>
            </w:tcBorders>
          </w:tcPr>
          <w:p w:rsidR="00000000" w:rsidRDefault="009C1C61">
            <w:pPr>
              <w:pStyle w:val="a2"/>
              <w:ind w:right="170"/>
              <w:jc w:val="center"/>
              <w:rPr>
                <w:snapToGrid/>
              </w:rPr>
            </w:pPr>
            <w:r>
              <w:rPr>
                <w:snapToGrid/>
              </w:rPr>
              <w:t>5.8</w:t>
            </w:r>
          </w:p>
        </w:tc>
        <w:tc>
          <w:tcPr>
            <w:tcW w:w="2020" w:type="dxa"/>
            <w:tcBorders>
              <w:bottom w:val="nil"/>
            </w:tcBorders>
          </w:tcPr>
          <w:p w:rsidR="00000000" w:rsidRDefault="009C1C61">
            <w:pPr>
              <w:pStyle w:val="a2"/>
              <w:ind w:right="170"/>
              <w:jc w:val="center"/>
              <w:rPr>
                <w:snapToGrid/>
              </w:rPr>
            </w:pPr>
            <w:r>
              <w:rPr>
                <w:snapToGrid/>
              </w:rPr>
              <w:t>7.7</w:t>
            </w:r>
          </w:p>
        </w:tc>
        <w:tc>
          <w:tcPr>
            <w:tcW w:w="2020" w:type="dxa"/>
            <w:tcBorders>
              <w:bottom w:val="nil"/>
            </w:tcBorders>
          </w:tcPr>
          <w:p w:rsidR="00000000" w:rsidRDefault="009C1C61">
            <w:pPr>
              <w:pStyle w:val="a2"/>
              <w:jc w:val="center"/>
              <w:rPr>
                <w:snapToGrid/>
              </w:rPr>
            </w:pPr>
            <w:r>
              <w:rPr>
                <w:snapToGrid/>
              </w:rPr>
              <w:t>16.0</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1991</w:t>
            </w:r>
          </w:p>
        </w:tc>
        <w:tc>
          <w:tcPr>
            <w:tcW w:w="2020" w:type="dxa"/>
            <w:tcBorders>
              <w:top w:val="nil"/>
              <w:bottom w:val="nil"/>
            </w:tcBorders>
          </w:tcPr>
          <w:p w:rsidR="00000000" w:rsidRDefault="009C1C61">
            <w:pPr>
              <w:pStyle w:val="a2"/>
              <w:ind w:right="170"/>
              <w:jc w:val="center"/>
              <w:rPr>
                <w:snapToGrid/>
              </w:rPr>
            </w:pPr>
            <w:r>
              <w:rPr>
                <w:snapToGrid/>
              </w:rPr>
              <w:t>35.3</w:t>
            </w:r>
          </w:p>
        </w:tc>
        <w:tc>
          <w:tcPr>
            <w:tcW w:w="2020" w:type="dxa"/>
            <w:tcBorders>
              <w:top w:val="nil"/>
              <w:bottom w:val="nil"/>
            </w:tcBorders>
          </w:tcPr>
          <w:p w:rsidR="00000000" w:rsidRDefault="009C1C61">
            <w:pPr>
              <w:pStyle w:val="a2"/>
              <w:ind w:right="170"/>
              <w:jc w:val="center"/>
              <w:rPr>
                <w:snapToGrid/>
              </w:rPr>
            </w:pPr>
            <w:r>
              <w:rPr>
                <w:snapToGrid/>
              </w:rPr>
              <w:t>5.9</w:t>
            </w:r>
          </w:p>
        </w:tc>
        <w:tc>
          <w:tcPr>
            <w:tcW w:w="2020" w:type="dxa"/>
            <w:tcBorders>
              <w:top w:val="nil"/>
              <w:bottom w:val="nil"/>
            </w:tcBorders>
          </w:tcPr>
          <w:p w:rsidR="00000000" w:rsidRDefault="009C1C61">
            <w:pPr>
              <w:pStyle w:val="a2"/>
              <w:ind w:right="170"/>
              <w:jc w:val="center"/>
              <w:rPr>
                <w:snapToGrid/>
              </w:rPr>
            </w:pPr>
            <w:r>
              <w:rPr>
                <w:snapToGrid/>
              </w:rPr>
              <w:t>6.4</w:t>
            </w:r>
          </w:p>
        </w:tc>
        <w:tc>
          <w:tcPr>
            <w:tcW w:w="2020" w:type="dxa"/>
            <w:tcBorders>
              <w:top w:val="nil"/>
              <w:bottom w:val="nil"/>
            </w:tcBorders>
          </w:tcPr>
          <w:p w:rsidR="00000000" w:rsidRDefault="009C1C61">
            <w:pPr>
              <w:pStyle w:val="a2"/>
              <w:jc w:val="center"/>
              <w:rPr>
                <w:snapToGrid/>
              </w:rPr>
            </w:pPr>
            <w:r>
              <w:rPr>
                <w:snapToGrid/>
              </w:rPr>
              <w:t>14.6</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1992</w:t>
            </w:r>
          </w:p>
        </w:tc>
        <w:tc>
          <w:tcPr>
            <w:tcW w:w="2020" w:type="dxa"/>
            <w:tcBorders>
              <w:top w:val="nil"/>
              <w:bottom w:val="nil"/>
            </w:tcBorders>
          </w:tcPr>
          <w:p w:rsidR="00000000" w:rsidRDefault="009C1C61">
            <w:pPr>
              <w:pStyle w:val="a2"/>
              <w:ind w:right="170"/>
              <w:jc w:val="center"/>
              <w:rPr>
                <w:snapToGrid/>
              </w:rPr>
            </w:pPr>
            <w:r>
              <w:rPr>
                <w:snapToGrid/>
              </w:rPr>
              <w:t>30.9</w:t>
            </w:r>
          </w:p>
        </w:tc>
        <w:tc>
          <w:tcPr>
            <w:tcW w:w="2020" w:type="dxa"/>
            <w:tcBorders>
              <w:top w:val="nil"/>
              <w:bottom w:val="nil"/>
            </w:tcBorders>
          </w:tcPr>
          <w:p w:rsidR="00000000" w:rsidRDefault="009C1C61">
            <w:pPr>
              <w:pStyle w:val="a2"/>
              <w:ind w:right="170"/>
              <w:jc w:val="center"/>
              <w:rPr>
                <w:snapToGrid/>
              </w:rPr>
            </w:pPr>
            <w:r>
              <w:rPr>
                <w:snapToGrid/>
              </w:rPr>
              <w:t>5.7</w:t>
            </w:r>
          </w:p>
        </w:tc>
        <w:tc>
          <w:tcPr>
            <w:tcW w:w="2020" w:type="dxa"/>
            <w:tcBorders>
              <w:top w:val="nil"/>
              <w:bottom w:val="nil"/>
            </w:tcBorders>
          </w:tcPr>
          <w:p w:rsidR="00000000" w:rsidRDefault="009C1C61">
            <w:pPr>
              <w:pStyle w:val="a2"/>
              <w:ind w:right="170"/>
              <w:jc w:val="center"/>
              <w:rPr>
                <w:snapToGrid/>
              </w:rPr>
            </w:pPr>
            <w:r>
              <w:rPr>
                <w:snapToGrid/>
              </w:rPr>
              <w:t>6.1</w:t>
            </w:r>
          </w:p>
        </w:tc>
        <w:tc>
          <w:tcPr>
            <w:tcW w:w="2020" w:type="dxa"/>
            <w:tcBorders>
              <w:top w:val="nil"/>
              <w:bottom w:val="nil"/>
            </w:tcBorders>
          </w:tcPr>
          <w:p w:rsidR="00000000" w:rsidRDefault="009C1C61">
            <w:pPr>
              <w:pStyle w:val="a2"/>
              <w:jc w:val="center"/>
              <w:rPr>
                <w:snapToGrid/>
              </w:rPr>
            </w:pPr>
            <w:r>
              <w:rPr>
                <w:snapToGrid/>
              </w:rPr>
              <w:t>14.3</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1993</w:t>
            </w:r>
          </w:p>
        </w:tc>
        <w:tc>
          <w:tcPr>
            <w:tcW w:w="2020" w:type="dxa"/>
            <w:tcBorders>
              <w:top w:val="nil"/>
              <w:bottom w:val="nil"/>
            </w:tcBorders>
          </w:tcPr>
          <w:p w:rsidR="00000000" w:rsidRDefault="009C1C61">
            <w:pPr>
              <w:pStyle w:val="a2"/>
              <w:ind w:right="170"/>
              <w:jc w:val="center"/>
              <w:rPr>
                <w:snapToGrid/>
              </w:rPr>
            </w:pPr>
            <w:r>
              <w:rPr>
                <w:snapToGrid/>
              </w:rPr>
              <w:t>34.4</w:t>
            </w:r>
          </w:p>
        </w:tc>
        <w:tc>
          <w:tcPr>
            <w:tcW w:w="2020" w:type="dxa"/>
            <w:tcBorders>
              <w:top w:val="nil"/>
              <w:bottom w:val="nil"/>
            </w:tcBorders>
          </w:tcPr>
          <w:p w:rsidR="00000000" w:rsidRDefault="009C1C61">
            <w:pPr>
              <w:pStyle w:val="a2"/>
              <w:ind w:right="170"/>
              <w:jc w:val="center"/>
              <w:rPr>
                <w:snapToGrid/>
              </w:rPr>
            </w:pPr>
            <w:r>
              <w:rPr>
                <w:snapToGrid/>
              </w:rPr>
              <w:t>5.3</w:t>
            </w:r>
          </w:p>
        </w:tc>
        <w:tc>
          <w:tcPr>
            <w:tcW w:w="2020" w:type="dxa"/>
            <w:tcBorders>
              <w:top w:val="nil"/>
              <w:bottom w:val="nil"/>
            </w:tcBorders>
          </w:tcPr>
          <w:p w:rsidR="00000000" w:rsidRDefault="009C1C61">
            <w:pPr>
              <w:pStyle w:val="a2"/>
              <w:ind w:right="170"/>
              <w:jc w:val="center"/>
              <w:rPr>
                <w:snapToGrid/>
              </w:rPr>
            </w:pPr>
            <w:r>
              <w:rPr>
                <w:snapToGrid/>
              </w:rPr>
              <w:t>5.3</w:t>
            </w:r>
          </w:p>
        </w:tc>
        <w:tc>
          <w:tcPr>
            <w:tcW w:w="2020" w:type="dxa"/>
            <w:tcBorders>
              <w:top w:val="nil"/>
              <w:bottom w:val="nil"/>
            </w:tcBorders>
          </w:tcPr>
          <w:p w:rsidR="00000000" w:rsidRDefault="009C1C61">
            <w:pPr>
              <w:pStyle w:val="a2"/>
              <w:jc w:val="center"/>
              <w:rPr>
                <w:snapToGrid/>
              </w:rPr>
            </w:pPr>
            <w:r>
              <w:rPr>
                <w:snapToGrid/>
              </w:rPr>
              <w:t>13.1</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1994</w:t>
            </w:r>
          </w:p>
        </w:tc>
        <w:tc>
          <w:tcPr>
            <w:tcW w:w="2020" w:type="dxa"/>
            <w:tcBorders>
              <w:top w:val="nil"/>
              <w:bottom w:val="nil"/>
            </w:tcBorders>
          </w:tcPr>
          <w:p w:rsidR="00000000" w:rsidRDefault="009C1C61">
            <w:pPr>
              <w:pStyle w:val="a2"/>
              <w:ind w:right="170"/>
              <w:jc w:val="center"/>
              <w:rPr>
                <w:snapToGrid/>
              </w:rPr>
            </w:pPr>
            <w:r>
              <w:rPr>
                <w:snapToGrid/>
              </w:rPr>
              <w:t>25.3</w:t>
            </w:r>
          </w:p>
        </w:tc>
        <w:tc>
          <w:tcPr>
            <w:tcW w:w="2020" w:type="dxa"/>
            <w:tcBorders>
              <w:top w:val="nil"/>
              <w:bottom w:val="nil"/>
            </w:tcBorders>
          </w:tcPr>
          <w:p w:rsidR="00000000" w:rsidRDefault="009C1C61">
            <w:pPr>
              <w:pStyle w:val="a2"/>
              <w:ind w:right="170"/>
              <w:jc w:val="center"/>
              <w:rPr>
                <w:snapToGrid/>
              </w:rPr>
            </w:pPr>
            <w:r>
              <w:rPr>
                <w:snapToGrid/>
              </w:rPr>
              <w:t>4.6</w:t>
            </w:r>
          </w:p>
        </w:tc>
        <w:tc>
          <w:tcPr>
            <w:tcW w:w="2020" w:type="dxa"/>
            <w:tcBorders>
              <w:top w:val="nil"/>
              <w:bottom w:val="nil"/>
            </w:tcBorders>
          </w:tcPr>
          <w:p w:rsidR="00000000" w:rsidRDefault="009C1C61">
            <w:pPr>
              <w:pStyle w:val="a2"/>
              <w:ind w:right="170"/>
              <w:jc w:val="center"/>
              <w:rPr>
                <w:snapToGrid/>
              </w:rPr>
            </w:pPr>
            <w:r>
              <w:rPr>
                <w:snapToGrid/>
              </w:rPr>
              <w:t>5.2</w:t>
            </w:r>
          </w:p>
        </w:tc>
        <w:tc>
          <w:tcPr>
            <w:tcW w:w="2020" w:type="dxa"/>
            <w:tcBorders>
              <w:top w:val="nil"/>
              <w:bottom w:val="nil"/>
            </w:tcBorders>
          </w:tcPr>
          <w:p w:rsidR="00000000" w:rsidRDefault="009C1C61">
            <w:pPr>
              <w:pStyle w:val="a2"/>
              <w:jc w:val="center"/>
              <w:rPr>
                <w:snapToGrid/>
              </w:rPr>
            </w:pPr>
            <w:r>
              <w:rPr>
                <w:snapToGrid/>
              </w:rPr>
              <w:t>12.0</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1995</w:t>
            </w:r>
          </w:p>
        </w:tc>
        <w:tc>
          <w:tcPr>
            <w:tcW w:w="2020" w:type="dxa"/>
            <w:tcBorders>
              <w:top w:val="nil"/>
              <w:bottom w:val="nil"/>
            </w:tcBorders>
          </w:tcPr>
          <w:p w:rsidR="00000000" w:rsidRDefault="009C1C61">
            <w:pPr>
              <w:pStyle w:val="a2"/>
              <w:ind w:right="170"/>
              <w:jc w:val="center"/>
              <w:rPr>
                <w:snapToGrid/>
              </w:rPr>
            </w:pPr>
            <w:r>
              <w:rPr>
                <w:snapToGrid/>
              </w:rPr>
              <w:t>30.7</w:t>
            </w:r>
          </w:p>
        </w:tc>
        <w:tc>
          <w:tcPr>
            <w:tcW w:w="2020" w:type="dxa"/>
            <w:tcBorders>
              <w:top w:val="nil"/>
              <w:bottom w:val="nil"/>
            </w:tcBorders>
          </w:tcPr>
          <w:p w:rsidR="00000000" w:rsidRDefault="009C1C61">
            <w:pPr>
              <w:pStyle w:val="a2"/>
              <w:ind w:right="170"/>
              <w:jc w:val="center"/>
              <w:rPr>
                <w:snapToGrid/>
              </w:rPr>
            </w:pPr>
            <w:r>
              <w:rPr>
                <w:snapToGrid/>
              </w:rPr>
              <w:t>4.6</w:t>
            </w:r>
          </w:p>
        </w:tc>
        <w:tc>
          <w:tcPr>
            <w:tcW w:w="2020" w:type="dxa"/>
            <w:tcBorders>
              <w:top w:val="nil"/>
              <w:bottom w:val="nil"/>
            </w:tcBorders>
          </w:tcPr>
          <w:p w:rsidR="00000000" w:rsidRDefault="009C1C61">
            <w:pPr>
              <w:pStyle w:val="a2"/>
              <w:ind w:right="170"/>
              <w:jc w:val="center"/>
              <w:rPr>
                <w:snapToGrid/>
              </w:rPr>
            </w:pPr>
            <w:r>
              <w:rPr>
                <w:snapToGrid/>
              </w:rPr>
              <w:t>4.6</w:t>
            </w:r>
          </w:p>
        </w:tc>
        <w:tc>
          <w:tcPr>
            <w:tcW w:w="2020" w:type="dxa"/>
            <w:tcBorders>
              <w:top w:val="nil"/>
              <w:bottom w:val="nil"/>
            </w:tcBorders>
          </w:tcPr>
          <w:p w:rsidR="00000000" w:rsidRDefault="009C1C61">
            <w:pPr>
              <w:pStyle w:val="a2"/>
              <w:jc w:val="center"/>
              <w:rPr>
                <w:snapToGrid/>
              </w:rPr>
            </w:pPr>
            <w:r>
              <w:rPr>
                <w:snapToGrid/>
              </w:rPr>
              <w:t>11.1</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1996</w:t>
            </w:r>
          </w:p>
        </w:tc>
        <w:tc>
          <w:tcPr>
            <w:tcW w:w="2020" w:type="dxa"/>
            <w:tcBorders>
              <w:top w:val="nil"/>
              <w:bottom w:val="nil"/>
            </w:tcBorders>
          </w:tcPr>
          <w:p w:rsidR="00000000" w:rsidRDefault="009C1C61">
            <w:pPr>
              <w:pStyle w:val="a2"/>
              <w:ind w:right="170"/>
              <w:jc w:val="center"/>
              <w:rPr>
                <w:snapToGrid/>
              </w:rPr>
            </w:pPr>
            <w:r>
              <w:rPr>
                <w:snapToGrid/>
              </w:rPr>
              <w:t>22.6</w:t>
            </w:r>
          </w:p>
        </w:tc>
        <w:tc>
          <w:tcPr>
            <w:tcW w:w="2020" w:type="dxa"/>
            <w:tcBorders>
              <w:top w:val="nil"/>
              <w:bottom w:val="nil"/>
            </w:tcBorders>
          </w:tcPr>
          <w:p w:rsidR="00000000" w:rsidRDefault="009C1C61">
            <w:pPr>
              <w:pStyle w:val="a2"/>
              <w:ind w:right="170"/>
              <w:jc w:val="center"/>
              <w:rPr>
                <w:snapToGrid/>
              </w:rPr>
            </w:pPr>
            <w:r>
              <w:rPr>
                <w:snapToGrid/>
              </w:rPr>
              <w:t>4.5</w:t>
            </w:r>
          </w:p>
        </w:tc>
        <w:tc>
          <w:tcPr>
            <w:tcW w:w="2020" w:type="dxa"/>
            <w:tcBorders>
              <w:top w:val="nil"/>
              <w:bottom w:val="nil"/>
            </w:tcBorders>
          </w:tcPr>
          <w:p w:rsidR="00000000" w:rsidRDefault="009C1C61">
            <w:pPr>
              <w:pStyle w:val="a2"/>
              <w:ind w:right="170"/>
              <w:jc w:val="center"/>
              <w:rPr>
                <w:snapToGrid/>
              </w:rPr>
            </w:pPr>
            <w:r>
              <w:rPr>
                <w:snapToGrid/>
              </w:rPr>
              <w:t>4.8</w:t>
            </w:r>
          </w:p>
        </w:tc>
        <w:tc>
          <w:tcPr>
            <w:tcW w:w="2020" w:type="dxa"/>
            <w:tcBorders>
              <w:top w:val="nil"/>
              <w:bottom w:val="nil"/>
            </w:tcBorders>
          </w:tcPr>
          <w:p w:rsidR="00000000" w:rsidRDefault="009C1C61">
            <w:pPr>
              <w:pStyle w:val="a2"/>
              <w:jc w:val="center"/>
              <w:rPr>
                <w:snapToGrid/>
              </w:rPr>
            </w:pPr>
            <w:r>
              <w:rPr>
                <w:snapToGrid/>
              </w:rPr>
              <w:t>11.1</w:t>
            </w:r>
          </w:p>
        </w:tc>
      </w:tr>
      <w:tr w:rsidR="00000000">
        <w:tblPrEx>
          <w:tblCellMar>
            <w:top w:w="0" w:type="dxa"/>
            <w:bottom w:w="0" w:type="dxa"/>
          </w:tblCellMar>
        </w:tblPrEx>
        <w:tc>
          <w:tcPr>
            <w:tcW w:w="992" w:type="dxa"/>
            <w:tcBorders>
              <w:top w:val="nil"/>
              <w:bottom w:val="nil"/>
            </w:tcBorders>
          </w:tcPr>
          <w:p w:rsidR="00000000" w:rsidRDefault="009C1C61">
            <w:pPr>
              <w:pStyle w:val="a2"/>
              <w:jc w:val="center"/>
              <w:rPr>
                <w:snapToGrid/>
              </w:rPr>
            </w:pPr>
            <w:r>
              <w:rPr>
                <w:snapToGrid/>
              </w:rPr>
              <w:t>1997</w:t>
            </w:r>
          </w:p>
        </w:tc>
        <w:tc>
          <w:tcPr>
            <w:tcW w:w="2020" w:type="dxa"/>
            <w:tcBorders>
              <w:top w:val="nil"/>
              <w:bottom w:val="nil"/>
            </w:tcBorders>
          </w:tcPr>
          <w:p w:rsidR="00000000" w:rsidRDefault="009C1C61">
            <w:pPr>
              <w:pStyle w:val="a2"/>
              <w:ind w:right="170"/>
              <w:jc w:val="center"/>
              <w:rPr>
                <w:snapToGrid/>
              </w:rPr>
            </w:pPr>
            <w:r>
              <w:rPr>
                <w:snapToGrid/>
              </w:rPr>
              <w:t>22.3</w:t>
            </w:r>
          </w:p>
        </w:tc>
        <w:tc>
          <w:tcPr>
            <w:tcW w:w="2020" w:type="dxa"/>
            <w:tcBorders>
              <w:top w:val="nil"/>
              <w:bottom w:val="nil"/>
            </w:tcBorders>
          </w:tcPr>
          <w:p w:rsidR="00000000" w:rsidRDefault="009C1C61">
            <w:pPr>
              <w:pStyle w:val="a2"/>
              <w:ind w:right="170"/>
              <w:jc w:val="center"/>
              <w:rPr>
                <w:snapToGrid/>
              </w:rPr>
            </w:pPr>
            <w:r>
              <w:rPr>
                <w:snapToGrid/>
              </w:rPr>
              <w:t>4.5</w:t>
            </w:r>
          </w:p>
        </w:tc>
        <w:tc>
          <w:tcPr>
            <w:tcW w:w="2020" w:type="dxa"/>
            <w:tcBorders>
              <w:top w:val="nil"/>
              <w:bottom w:val="nil"/>
            </w:tcBorders>
          </w:tcPr>
          <w:p w:rsidR="00000000" w:rsidRDefault="009C1C61">
            <w:pPr>
              <w:pStyle w:val="a2"/>
              <w:ind w:right="170"/>
              <w:jc w:val="center"/>
              <w:rPr>
                <w:snapToGrid/>
              </w:rPr>
            </w:pPr>
            <w:r>
              <w:rPr>
                <w:snapToGrid/>
              </w:rPr>
              <w:t>4.5</w:t>
            </w:r>
          </w:p>
        </w:tc>
        <w:tc>
          <w:tcPr>
            <w:tcW w:w="2020" w:type="dxa"/>
            <w:tcBorders>
              <w:top w:val="nil"/>
              <w:bottom w:val="nil"/>
            </w:tcBorders>
          </w:tcPr>
          <w:p w:rsidR="00000000" w:rsidRDefault="009C1C61">
            <w:pPr>
              <w:pStyle w:val="a2"/>
              <w:jc w:val="center"/>
              <w:rPr>
                <w:snapToGrid/>
              </w:rPr>
            </w:pPr>
            <w:r>
              <w:rPr>
                <w:snapToGrid/>
              </w:rPr>
              <w:t>10.0</w:t>
            </w:r>
          </w:p>
        </w:tc>
      </w:tr>
      <w:tr w:rsidR="00000000">
        <w:tblPrEx>
          <w:tblCellMar>
            <w:top w:w="0" w:type="dxa"/>
            <w:bottom w:w="0" w:type="dxa"/>
          </w:tblCellMar>
        </w:tblPrEx>
        <w:tc>
          <w:tcPr>
            <w:tcW w:w="992" w:type="dxa"/>
            <w:tcBorders>
              <w:top w:val="nil"/>
            </w:tcBorders>
          </w:tcPr>
          <w:p w:rsidR="00000000" w:rsidRDefault="009C1C61">
            <w:pPr>
              <w:pStyle w:val="a2"/>
              <w:jc w:val="center"/>
              <w:rPr>
                <w:snapToGrid/>
              </w:rPr>
            </w:pPr>
            <w:r>
              <w:rPr>
                <w:snapToGrid/>
              </w:rPr>
              <w:t>1998</w:t>
            </w:r>
          </w:p>
        </w:tc>
        <w:tc>
          <w:tcPr>
            <w:tcW w:w="2020" w:type="dxa"/>
            <w:tcBorders>
              <w:top w:val="nil"/>
            </w:tcBorders>
          </w:tcPr>
          <w:p w:rsidR="00000000" w:rsidRDefault="009C1C61">
            <w:pPr>
              <w:pStyle w:val="a2"/>
              <w:ind w:right="170"/>
              <w:jc w:val="center"/>
              <w:rPr>
                <w:snapToGrid/>
              </w:rPr>
            </w:pPr>
            <w:r>
              <w:rPr>
                <w:snapToGrid/>
              </w:rPr>
              <w:t>20.3</w:t>
            </w:r>
          </w:p>
        </w:tc>
        <w:tc>
          <w:tcPr>
            <w:tcW w:w="2020" w:type="dxa"/>
            <w:tcBorders>
              <w:top w:val="nil"/>
            </w:tcBorders>
          </w:tcPr>
          <w:p w:rsidR="00000000" w:rsidRDefault="009C1C61">
            <w:pPr>
              <w:pStyle w:val="a2"/>
              <w:ind w:right="170"/>
              <w:jc w:val="center"/>
              <w:rPr>
                <w:snapToGrid/>
              </w:rPr>
            </w:pPr>
            <w:r>
              <w:rPr>
                <w:snapToGrid/>
              </w:rPr>
              <w:t>4.3</w:t>
            </w:r>
          </w:p>
        </w:tc>
        <w:tc>
          <w:tcPr>
            <w:tcW w:w="2020" w:type="dxa"/>
            <w:tcBorders>
              <w:top w:val="nil"/>
            </w:tcBorders>
          </w:tcPr>
          <w:p w:rsidR="00000000" w:rsidRDefault="009C1C61">
            <w:pPr>
              <w:pStyle w:val="a2"/>
              <w:ind w:right="170"/>
              <w:jc w:val="center"/>
              <w:rPr>
                <w:snapToGrid/>
              </w:rPr>
            </w:pPr>
            <w:r>
              <w:rPr>
                <w:snapToGrid/>
              </w:rPr>
              <w:t>4.5</w:t>
            </w:r>
          </w:p>
        </w:tc>
        <w:tc>
          <w:tcPr>
            <w:tcW w:w="2020" w:type="dxa"/>
            <w:tcBorders>
              <w:top w:val="nil"/>
            </w:tcBorders>
          </w:tcPr>
          <w:p w:rsidR="00000000" w:rsidRDefault="009C1C61">
            <w:pPr>
              <w:pStyle w:val="a2"/>
              <w:jc w:val="center"/>
              <w:rPr>
                <w:snapToGrid/>
              </w:rPr>
            </w:pPr>
            <w:r>
              <w:rPr>
                <w:snapToGrid/>
              </w:rPr>
              <w:t>10.3</w:t>
            </w:r>
          </w:p>
        </w:tc>
      </w:tr>
    </w:tbl>
    <w:p w:rsidR="00000000" w:rsidRDefault="009C1C61">
      <w:pPr>
        <w:spacing w:before="240"/>
        <w:rPr>
          <w:rFonts w:hint="eastAsia"/>
          <w:snapToGrid/>
        </w:rPr>
      </w:pPr>
      <w:r>
        <w:rPr>
          <w:snapToGrid/>
        </w:rPr>
        <w:tab/>
        <w:t xml:space="preserve">652.  </w:t>
      </w:r>
      <w:r>
        <w:rPr>
          <w:rFonts w:hint="eastAsia"/>
          <w:snapToGrid/>
        </w:rPr>
        <w:t>儿童抗癌方案提供了</w:t>
      </w:r>
      <w:r>
        <w:rPr>
          <w:rFonts w:hint="eastAsia"/>
          <w:snapToGrid/>
        </w:rPr>
        <w:t>100%</w:t>
      </w:r>
      <w:r>
        <w:rPr>
          <w:rFonts w:hint="eastAsia"/>
          <w:snapToGrid/>
        </w:rPr>
        <w:t>的治疗各种儿童癌症所用的化疗，实施了国际承认的治疗方案。这一方案使病儿能生活</w:t>
      </w:r>
      <w:r>
        <w:rPr>
          <w:rFonts w:hint="eastAsia"/>
          <w:snapToGrid/>
        </w:rPr>
        <w:t>10</w:t>
      </w:r>
      <w:r>
        <w:rPr>
          <w:rFonts w:hint="eastAsia"/>
          <w:snapToGrid/>
        </w:rPr>
        <w:t>年不犯癌症；如果治疗及时适当，存活率是</w:t>
      </w:r>
      <w:r>
        <w:rPr>
          <w:snapToGrid/>
        </w:rPr>
        <w:t>60%</w:t>
      </w:r>
      <w:r>
        <w:rPr>
          <w:rFonts w:hint="eastAsia"/>
          <w:snapToGrid/>
        </w:rPr>
        <w:t>。</w:t>
      </w:r>
    </w:p>
    <w:p w:rsidR="00000000" w:rsidRDefault="009C1C61">
      <w:pPr>
        <w:rPr>
          <w:snapToGrid/>
        </w:rPr>
      </w:pPr>
      <w:r>
        <w:rPr>
          <w:snapToGrid/>
        </w:rPr>
        <w:tab/>
        <w:t xml:space="preserve">653.  </w:t>
      </w:r>
      <w:r>
        <w:rPr>
          <w:rFonts w:hint="eastAsia"/>
          <w:snapToGrid/>
        </w:rPr>
        <w:t>心理健康方案，系与教育部全国学校福利和奖学金委员会合办，目前正在全国各个健康服务机构开展越来越多的宣传和预防活动，鼓励青年养成防止心理病态爆发的习惯。这些活动着重家庭稳定、情感联系、认知规定、家庭对各个发展阶段的调整适应以及获得人际</w:t>
      </w:r>
      <w:r>
        <w:rPr>
          <w:rFonts w:hint="eastAsia"/>
          <w:snapToGrid/>
        </w:rPr>
        <w:t>交流和解决冲突的必要技能。此项工作目前正在学校和社区开展，特别重视虐待儿童、酗酒和吸毒问题。</w:t>
      </w:r>
    </w:p>
    <w:p w:rsidR="00000000" w:rsidRDefault="009C1C61">
      <w:pPr>
        <w:rPr>
          <w:rFonts w:hint="eastAsia"/>
          <w:snapToGrid/>
        </w:rPr>
      </w:pPr>
      <w:r>
        <w:rPr>
          <w:snapToGrid/>
        </w:rPr>
        <w:tab/>
        <w:t xml:space="preserve">654.  </w:t>
      </w:r>
      <w:r>
        <w:rPr>
          <w:rFonts w:hint="eastAsia"/>
          <w:snapToGrid/>
        </w:rPr>
        <w:t>流行病对</w:t>
      </w:r>
      <w:r>
        <w:rPr>
          <w:snapToGrid/>
        </w:rPr>
        <w:t>0</w:t>
      </w:r>
      <w:r>
        <w:rPr>
          <w:rFonts w:hint="eastAsia"/>
          <w:snapToGrid/>
        </w:rPr>
        <w:t>至</w:t>
      </w:r>
      <w:r>
        <w:rPr>
          <w:snapToGrid/>
        </w:rPr>
        <w:t>5</w:t>
      </w:r>
      <w:r>
        <w:rPr>
          <w:rFonts w:hint="eastAsia"/>
          <w:snapToGrid/>
        </w:rPr>
        <w:t>岁年龄组儿童死亡主要原因不断变化的描述表明，有几种慢性病正在侵袭着儿童，而且正成为一个公共卫生问题；其后果和局限损害了儿童的生物和社会心理发展，降低了儿童的生活质量。慢性病之一就是血友病，它对病人及其亲人产生了恒久的灾难性影响。现在已经拟订了一项改善这些病人治疗条件的综合方案。该方案设立了一个管理机构，为患者及其亲人提供培训和教育，还为他们提供高纯度生物制品。自</w:t>
      </w:r>
      <w:r>
        <w:rPr>
          <w:snapToGrid/>
        </w:rPr>
        <w:t>2000</w:t>
      </w:r>
      <w:r>
        <w:rPr>
          <w:rFonts w:hint="eastAsia"/>
          <w:snapToGrid/>
        </w:rPr>
        <w:t>年以来，血友病患者</w:t>
      </w:r>
      <w:r>
        <w:rPr>
          <w:rFonts w:hint="eastAsia"/>
          <w:snapToGrid/>
        </w:rPr>
        <w:t>一直在接受一种新的治疗，以</w:t>
      </w:r>
      <w:r>
        <w:rPr>
          <w:snapToGrid/>
        </w:rPr>
        <w:t>99%</w:t>
      </w:r>
      <w:r>
        <w:rPr>
          <w:rFonts w:hint="eastAsia"/>
          <w:snapToGrid/>
        </w:rPr>
        <w:t>准确率确保他们不会因为输血而受传染。</w:t>
      </w:r>
    </w:p>
    <w:p w:rsidR="00000000" w:rsidRDefault="009C1C61">
      <w:pPr>
        <w:rPr>
          <w:snapToGrid/>
        </w:rPr>
      </w:pPr>
      <w:r>
        <w:rPr>
          <w:snapToGrid/>
        </w:rPr>
        <w:tab/>
        <w:t xml:space="preserve">655.  </w:t>
      </w:r>
      <w:r>
        <w:rPr>
          <w:rFonts w:hint="eastAsia"/>
          <w:snapToGrid/>
        </w:rPr>
        <w:t>至于伤害和事故，卫生部启动了一项新的事故控制方案，适合培训和多部门协调，尤其是对警察和消防人员的培训和协调，力图解决交通事故和溺死问题。</w:t>
      </w:r>
    </w:p>
    <w:p w:rsidR="00000000" w:rsidRDefault="009C1C61">
      <w:pPr>
        <w:rPr>
          <w:rFonts w:hint="eastAsia"/>
        </w:rPr>
      </w:pPr>
      <w:r>
        <w:rPr>
          <w:rFonts w:hint="eastAsia"/>
        </w:rPr>
        <w:tab/>
      </w:r>
      <w:r>
        <w:t>656.</w:t>
      </w:r>
      <w:r>
        <w:rPr>
          <w:rFonts w:hint="eastAsia"/>
        </w:rPr>
        <w:t xml:space="preserve">  </w:t>
      </w:r>
      <w:r>
        <w:rPr>
          <w:rFonts w:hint="eastAsia"/>
        </w:rPr>
        <w:t>卫生部开办一系列事故预防周活动，进行大力宣传。这些活动都在复活节前一周、法定假日和新年期间举行。卫生部也是全国道路安全委员会的一个活跃成员，另外还有</w:t>
      </w:r>
      <w:r>
        <w:rPr>
          <w:rFonts w:hint="eastAsia"/>
        </w:rPr>
        <w:t>8</w:t>
      </w:r>
      <w:r>
        <w:rPr>
          <w:rFonts w:hint="eastAsia"/>
        </w:rPr>
        <w:t>个部的代表参加</w:t>
      </w:r>
      <w:r>
        <w:rPr>
          <w:rFonts w:hint="eastAsia"/>
          <w:spacing w:val="-40"/>
        </w:rPr>
        <w:t>——</w:t>
      </w:r>
      <w:r>
        <w:rPr>
          <w:rFonts w:hint="eastAsia"/>
        </w:rPr>
        <w:t>总统府秘书长办公室、内政部、政府秘书长办公室、教育部、司法部、公共工程部、住房及城市发展部、运输部及警察部。</w:t>
      </w:r>
    </w:p>
    <w:p w:rsidR="00000000" w:rsidRDefault="009C1C61">
      <w:pPr>
        <w:rPr>
          <w:rFonts w:hint="eastAsia"/>
        </w:rPr>
      </w:pPr>
      <w:r>
        <w:rPr>
          <w:rFonts w:hint="eastAsia"/>
        </w:rPr>
        <w:tab/>
      </w:r>
      <w:r>
        <w:t>657.</w:t>
      </w:r>
      <w:r>
        <w:rPr>
          <w:rFonts w:hint="eastAsia"/>
        </w:rPr>
        <w:t xml:space="preserve">  </w:t>
      </w:r>
      <w:r>
        <w:rPr>
          <w:rFonts w:hint="eastAsia"/>
        </w:rPr>
        <w:t>为了遏制口腔疾病流行，卫生部特别强调宣传、预防和教育活动。全国饮用水氟化运动已经加紧开展，它是解决龋齿问题的最有效办法。全国氢氟酸盐漱口剂方案已经使</w:t>
      </w:r>
      <w:r>
        <w:t>980,000</w:t>
      </w:r>
      <w:r>
        <w:rPr>
          <w:rFonts w:hint="eastAsia"/>
        </w:rPr>
        <w:t>接受基本教育的儿童受益。儿童健康检查已经增加了一个内容，以便教育母亲注意预防，宣传有病要及早治疗。</w:t>
      </w:r>
    </w:p>
    <w:p w:rsidR="00000000" w:rsidRDefault="009C1C61">
      <w:pPr>
        <w:rPr>
          <w:rFonts w:hint="eastAsia"/>
        </w:rPr>
      </w:pPr>
      <w:r>
        <w:rPr>
          <w:rFonts w:hint="eastAsia"/>
        </w:rPr>
        <w:tab/>
      </w:r>
      <w:r>
        <w:t>658.</w:t>
      </w:r>
      <w:r>
        <w:rPr>
          <w:rFonts w:hint="eastAsia"/>
        </w:rPr>
        <w:t xml:space="preserve">  </w:t>
      </w:r>
      <w:r>
        <w:rPr>
          <w:rFonts w:hint="eastAsia"/>
        </w:rPr>
        <w:t>确保住院儿童得到更为系统的治疗问题得到了特别的注意。</w:t>
      </w:r>
      <w:r>
        <w:t>1995</w:t>
      </w:r>
      <w:r>
        <w:rPr>
          <w:rFonts w:hint="eastAsia"/>
        </w:rPr>
        <w:t>年</w:t>
      </w:r>
      <w:r>
        <w:rPr>
          <w:rFonts w:hint="eastAsia"/>
        </w:rPr>
        <w:t>12</w:t>
      </w:r>
      <w:r>
        <w:rPr>
          <w:rFonts w:hint="eastAsia"/>
        </w:rPr>
        <w:t>月</w:t>
      </w:r>
      <w:r>
        <w:rPr>
          <w:rFonts w:hint="eastAsia"/>
        </w:rPr>
        <w:t>1</w:t>
      </w:r>
      <w:r>
        <w:rPr>
          <w:rFonts w:hint="eastAsia"/>
        </w:rPr>
        <w:t>日第</w:t>
      </w:r>
      <w:r>
        <w:rPr>
          <w:rFonts w:hint="eastAsia"/>
        </w:rPr>
        <w:t>4</w:t>
      </w:r>
      <w:r>
        <w:rPr>
          <w:rFonts w:hint="eastAsia"/>
        </w:rPr>
        <w:t>号一般行政条例特别申明如下：</w:t>
      </w:r>
    </w:p>
    <w:p w:rsidR="00000000" w:rsidRDefault="009C1C61">
      <w:pPr>
        <w:numPr>
          <w:ilvl w:val="0"/>
          <w:numId w:val="305"/>
        </w:numPr>
        <w:rPr>
          <w:rFonts w:hint="eastAsia"/>
        </w:rPr>
      </w:pPr>
      <w:r>
        <w:rPr>
          <w:rFonts w:hint="eastAsia"/>
        </w:rPr>
        <w:t>儿童可以由母亲直接护理，因医疗原因无法如此时除外；</w:t>
      </w:r>
    </w:p>
    <w:p w:rsidR="00000000" w:rsidRDefault="009C1C61">
      <w:pPr>
        <w:numPr>
          <w:ilvl w:val="0"/>
          <w:numId w:val="305"/>
        </w:numPr>
        <w:rPr>
          <w:rFonts w:hint="eastAsia"/>
        </w:rPr>
      </w:pPr>
      <w:r>
        <w:rPr>
          <w:rFonts w:hint="eastAsia"/>
        </w:rPr>
        <w:t>儿童必须得到医生和支助人员提供的、医学认为适宜病人情况的一切必</w:t>
      </w:r>
      <w:r>
        <w:rPr>
          <w:rFonts w:hint="eastAsia"/>
        </w:rPr>
        <w:t>要的护理和治疗；</w:t>
      </w:r>
    </w:p>
    <w:p w:rsidR="00000000" w:rsidRDefault="009C1C61">
      <w:pPr>
        <w:numPr>
          <w:ilvl w:val="0"/>
          <w:numId w:val="305"/>
        </w:numPr>
      </w:pPr>
      <w:r>
        <w:rPr>
          <w:rFonts w:hint="eastAsia"/>
        </w:rPr>
        <w:t>儿童的父母或他们指定的成人可以陪伴住院儿童，主治医生因特殊原因决定不让陪伴或根据医院有关规定不能陪伴者除外；</w:t>
      </w:r>
    </w:p>
    <w:p w:rsidR="00000000" w:rsidRDefault="009C1C61">
      <w:pPr>
        <w:numPr>
          <w:ilvl w:val="0"/>
          <w:numId w:val="305"/>
        </w:numPr>
        <w:rPr>
          <w:rFonts w:hint="eastAsia"/>
        </w:rPr>
      </w:pPr>
      <w:r>
        <w:rPr>
          <w:rFonts w:hint="eastAsia"/>
        </w:rPr>
        <w:t>儿童的父母或监护人应当得到有关孩子的病情、将采取的治疗办法、进展情况、后果及可能出现的并发症的及时而全面的信息；</w:t>
      </w:r>
    </w:p>
    <w:p w:rsidR="00000000" w:rsidRDefault="009C1C61">
      <w:pPr>
        <w:numPr>
          <w:ilvl w:val="0"/>
          <w:numId w:val="305"/>
        </w:numPr>
        <w:rPr>
          <w:rFonts w:hint="eastAsia"/>
        </w:rPr>
      </w:pPr>
      <w:r>
        <w:rPr>
          <w:rFonts w:hint="eastAsia"/>
        </w:rPr>
        <w:t>儿童如果需要长期住院，则应当得到一切可能的便利，以继续学业；</w:t>
      </w:r>
    </w:p>
    <w:p w:rsidR="00000000" w:rsidRDefault="009C1C61">
      <w:pPr>
        <w:numPr>
          <w:ilvl w:val="0"/>
          <w:numId w:val="305"/>
        </w:numPr>
        <w:rPr>
          <w:rFonts w:hint="eastAsia"/>
        </w:rPr>
      </w:pPr>
      <w:r>
        <w:rPr>
          <w:rFonts w:hint="eastAsia"/>
        </w:rPr>
        <w:t>儿童有权接见探视者，包括未成年人，除非医生有令禁止，除非根据医院的规章条例不准。</w:t>
      </w:r>
    </w:p>
    <w:p w:rsidR="00000000" w:rsidRDefault="009C1C61">
      <w:pPr>
        <w:spacing w:after="320"/>
      </w:pPr>
      <w:r>
        <w:rPr>
          <w:rFonts w:hint="eastAsia"/>
        </w:rPr>
        <w:tab/>
      </w:r>
      <w:r>
        <w:t>659.</w:t>
      </w:r>
      <w:r>
        <w:rPr>
          <w:rFonts w:hint="eastAsia"/>
        </w:rPr>
        <w:t xml:space="preserve">  </w:t>
      </w:r>
      <w:r>
        <w:rPr>
          <w:rFonts w:hint="eastAsia"/>
        </w:rPr>
        <w:t>几乎所有的保健服务机构都推出了使母亲能够陪伴住院子女的方案。</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改善环境和工业卫生的措施</w:t>
      </w:r>
    </w:p>
    <w:p w:rsidR="00000000" w:rsidRDefault="009C1C61">
      <w:r>
        <w:rPr>
          <w:rFonts w:hint="eastAsia"/>
        </w:rPr>
        <w:tab/>
      </w:r>
      <w:r>
        <w:t>660.</w:t>
      </w:r>
      <w:r>
        <w:rPr>
          <w:rFonts w:hint="eastAsia"/>
        </w:rPr>
        <w:t xml:space="preserve">  </w:t>
      </w:r>
      <w:r>
        <w:rPr>
          <w:rFonts w:hint="eastAsia"/>
        </w:rPr>
        <w:t>环境污染方</w:t>
      </w:r>
      <w:r>
        <w:rPr>
          <w:rFonts w:hint="eastAsia"/>
        </w:rPr>
        <w:t>面已经出台了有关下列各方面的条例</w:t>
      </w:r>
      <w:r>
        <w:t>：</w:t>
      </w:r>
    </w:p>
    <w:p w:rsidR="00000000" w:rsidRDefault="009C1C61">
      <w:pPr>
        <w:numPr>
          <w:ilvl w:val="0"/>
          <w:numId w:val="306"/>
        </w:numPr>
      </w:pPr>
      <w:r>
        <w:rPr>
          <w:rFonts w:hint="eastAsia"/>
        </w:rPr>
        <w:t>首都区住所和其他建筑的供暖烟道的运作；</w:t>
      </w:r>
    </w:p>
    <w:p w:rsidR="00000000" w:rsidRDefault="009C1C61">
      <w:pPr>
        <w:numPr>
          <w:ilvl w:val="0"/>
          <w:numId w:val="306"/>
        </w:numPr>
      </w:pPr>
      <w:r>
        <w:rPr>
          <w:rFonts w:hint="eastAsia"/>
        </w:rPr>
        <w:t>首都区固定专用口大气污染物的排放</w:t>
      </w:r>
      <w:r>
        <w:t>；</w:t>
      </w:r>
    </w:p>
    <w:p w:rsidR="00000000" w:rsidRDefault="009C1C61">
      <w:pPr>
        <w:numPr>
          <w:ilvl w:val="0"/>
          <w:numId w:val="306"/>
        </w:numPr>
        <w:rPr>
          <w:rFonts w:hint="eastAsia"/>
        </w:rPr>
      </w:pPr>
      <w:r>
        <w:rPr>
          <w:rFonts w:hint="eastAsia"/>
        </w:rPr>
        <w:t>在紧急情况下使用的大气污染物排放源</w:t>
      </w:r>
      <w:r>
        <w:t>；</w:t>
      </w:r>
    </w:p>
    <w:p w:rsidR="00000000" w:rsidRDefault="009C1C61">
      <w:pPr>
        <w:numPr>
          <w:ilvl w:val="0"/>
          <w:numId w:val="306"/>
        </w:numPr>
      </w:pPr>
      <w:r>
        <w:rPr>
          <w:rFonts w:hint="eastAsia"/>
        </w:rPr>
        <w:t>确定在紧急情况下或出现紧急情况前减少微粒排放的标准和百分比。已要求制订有关首都区工业固定排放口的条例。</w:t>
      </w:r>
    </w:p>
    <w:p w:rsidR="00000000" w:rsidRDefault="009C1C61">
      <w:r>
        <w:rPr>
          <w:rFonts w:hint="eastAsia"/>
        </w:rPr>
        <w:tab/>
      </w:r>
      <w:r>
        <w:t>661.</w:t>
      </w:r>
      <w:r>
        <w:rPr>
          <w:rFonts w:hint="eastAsia"/>
        </w:rPr>
        <w:t xml:space="preserve">  </w:t>
      </w:r>
      <w:r>
        <w:rPr>
          <w:rFonts w:hint="eastAsia"/>
        </w:rPr>
        <w:t>为保护工人的健康和安全，已经采取的加强措施如下：</w:t>
      </w:r>
    </w:p>
    <w:p w:rsidR="00000000" w:rsidRDefault="009C1C61">
      <w:pPr>
        <w:numPr>
          <w:ilvl w:val="0"/>
          <w:numId w:val="307"/>
        </w:numPr>
        <w:rPr>
          <w:rFonts w:hint="eastAsia"/>
        </w:rPr>
      </w:pPr>
      <w:r>
        <w:rPr>
          <w:rFonts w:hint="eastAsia"/>
        </w:rPr>
        <w:t>有关工作场所基本卫生和环境条件的新条例已经实施；</w:t>
      </w:r>
    </w:p>
    <w:p w:rsidR="00000000" w:rsidRDefault="009C1C61">
      <w:pPr>
        <w:numPr>
          <w:ilvl w:val="0"/>
          <w:numId w:val="307"/>
        </w:numPr>
      </w:pPr>
      <w:r>
        <w:rPr>
          <w:rFonts w:hint="eastAsia"/>
        </w:rPr>
        <w:t>智利成了拉丁美洲第一个禁止在工作场所使用石棉的国家；</w:t>
      </w:r>
    </w:p>
    <w:p w:rsidR="00000000" w:rsidRDefault="009C1C61">
      <w:pPr>
        <w:numPr>
          <w:ilvl w:val="0"/>
          <w:numId w:val="307"/>
        </w:numPr>
        <w:rPr>
          <w:rFonts w:hint="eastAsia"/>
        </w:rPr>
      </w:pPr>
      <w:r>
        <w:rPr>
          <w:rFonts w:hint="eastAsia"/>
        </w:rPr>
        <w:t>已经为农业女临时工制订了一项特别方案，强调了杀虫剂的使用。</w:t>
      </w:r>
    </w:p>
    <w:p w:rsidR="00000000" w:rsidRDefault="009C1C61">
      <w:pPr>
        <w:rPr>
          <w:rFonts w:hint="eastAsia"/>
        </w:rPr>
      </w:pPr>
      <w:r>
        <w:rPr>
          <w:rFonts w:hint="eastAsia"/>
        </w:rPr>
        <w:tab/>
      </w:r>
      <w:r>
        <w:t>662.</w:t>
      </w:r>
      <w:r>
        <w:rPr>
          <w:rFonts w:hint="eastAsia"/>
        </w:rPr>
        <w:t xml:space="preserve">  </w:t>
      </w:r>
      <w:r>
        <w:rPr>
          <w:rFonts w:hint="eastAsia"/>
        </w:rPr>
        <w:t>关于卫生控制问题</w:t>
      </w:r>
      <w:r>
        <w:rPr>
          <w:rFonts w:hint="eastAsia"/>
        </w:rPr>
        <w:t>，食品卫生方案已经得到加强，对使用污水浇灌蔬菜，对熟食，尤其是鱼和海鲜的出售条件进行更加严格的检查。对固体废物的处理，尤其是在偷偷运走垃圾的地方，实行更加严格的检查。</w:t>
      </w:r>
    </w:p>
    <w:p w:rsidR="00000000" w:rsidRDefault="009C1C61">
      <w:pPr>
        <w:rPr>
          <w:rFonts w:hint="eastAsia"/>
        </w:rPr>
      </w:pPr>
      <w:r>
        <w:rPr>
          <w:rFonts w:hint="eastAsia"/>
        </w:rPr>
        <w:tab/>
      </w:r>
      <w:r>
        <w:t>663.</w:t>
      </w:r>
      <w:r>
        <w:rPr>
          <w:rFonts w:hint="eastAsia"/>
        </w:rPr>
        <w:t xml:space="preserve">  </w:t>
      </w:r>
      <w:r>
        <w:rPr>
          <w:rFonts w:hint="eastAsia"/>
        </w:rPr>
        <w:t>促进有关环境的健康所用战略之一，称为“智利生活场所”</w:t>
      </w:r>
      <w:r>
        <w:t>，</w:t>
      </w:r>
      <w:r>
        <w:rPr>
          <w:rFonts w:hint="eastAsia"/>
        </w:rPr>
        <w:t>包括重建公共空间，用于开展休闲、体育、社交及文化艺术活动，特别重视有关健康和生活质量的宣传与教育。</w:t>
      </w:r>
      <w:r>
        <w:t>2001</w:t>
      </w:r>
      <w:r>
        <w:rPr>
          <w:rFonts w:hint="eastAsia"/>
        </w:rPr>
        <w:t>年，有</w:t>
      </w:r>
      <w:r>
        <w:t>290</w:t>
      </w:r>
      <w:r>
        <w:rPr>
          <w:rFonts w:hint="eastAsia"/>
        </w:rPr>
        <w:t>个这样的场所在</w:t>
      </w:r>
      <w:r>
        <w:t>259</w:t>
      </w:r>
      <w:r>
        <w:rPr>
          <w:rFonts w:hint="eastAsia"/>
        </w:rPr>
        <w:t>个城市开办。此举是住房、城市发展和国家财产部协调开展了公共空间恢复运动之外开展的，全国环境委员会</w:t>
      </w:r>
      <w:r>
        <w:rPr>
          <w:rFonts w:hint="eastAsia"/>
        </w:rPr>
        <w:t>(</w:t>
      </w:r>
      <w:r>
        <w:rPr>
          <w:rFonts w:hint="eastAsia"/>
        </w:rPr>
        <w:t>环委会</w:t>
      </w:r>
      <w:r>
        <w:rPr>
          <w:rFonts w:hint="eastAsia"/>
        </w:rPr>
        <w:t>)</w:t>
      </w:r>
      <w:r>
        <w:rPr>
          <w:rFonts w:hint="eastAsia"/>
        </w:rPr>
        <w:t>政府秘书长办公室、国家体育研究所</w:t>
      </w:r>
      <w:r>
        <w:rPr>
          <w:rFonts w:hint="eastAsia"/>
        </w:rPr>
        <w:t>等等也积极参与。</w:t>
      </w:r>
    </w:p>
    <w:p w:rsidR="00000000" w:rsidRDefault="009C1C61">
      <w:r>
        <w:rPr>
          <w:rFonts w:hint="eastAsia"/>
        </w:rPr>
        <w:tab/>
      </w:r>
      <w:r>
        <w:t>664.</w:t>
      </w:r>
      <w:r>
        <w:rPr>
          <w:rFonts w:hint="eastAsia"/>
        </w:rPr>
        <w:t xml:space="preserve">  </w:t>
      </w:r>
      <w:r>
        <w:rPr>
          <w:rFonts w:hint="eastAsia"/>
        </w:rPr>
        <w:t>至</w:t>
      </w:r>
      <w:r>
        <w:t>1993</w:t>
      </w:r>
      <w:r>
        <w:rPr>
          <w:rFonts w:hint="eastAsia"/>
        </w:rPr>
        <w:t>年</w:t>
      </w:r>
      <w:r>
        <w:rPr>
          <w:rFonts w:hint="eastAsia"/>
        </w:rPr>
        <w:t>12</w:t>
      </w:r>
      <w:r>
        <w:rPr>
          <w:rFonts w:hint="eastAsia"/>
        </w:rPr>
        <w:t>月，有</w:t>
      </w:r>
      <w:r>
        <w:t>99.6%</w:t>
      </w:r>
      <w:r>
        <w:rPr>
          <w:rFonts w:hint="eastAsia"/>
        </w:rPr>
        <w:t>的城市人口喝上了饮用水。至</w:t>
      </w:r>
      <w:r>
        <w:t>1997</w:t>
      </w:r>
      <w:r>
        <w:rPr>
          <w:rFonts w:hint="eastAsia"/>
        </w:rPr>
        <w:t>年，有</w:t>
      </w:r>
      <w:r>
        <w:t>62%</w:t>
      </w:r>
      <w:r>
        <w:rPr>
          <w:rFonts w:hint="eastAsia"/>
        </w:rPr>
        <w:t>的农村人口也喝上了饮用水。</w:t>
      </w:r>
    </w:p>
    <w:p w:rsidR="00000000" w:rsidRDefault="009C1C61">
      <w:pPr>
        <w:spacing w:after="320"/>
      </w:pPr>
      <w:r>
        <w:rPr>
          <w:rFonts w:hint="eastAsia"/>
        </w:rPr>
        <w:tab/>
      </w:r>
      <w:r>
        <w:t>665.</w:t>
      </w:r>
      <w:r>
        <w:rPr>
          <w:rFonts w:hint="eastAsia"/>
        </w:rPr>
        <w:t xml:space="preserve">  </w:t>
      </w:r>
      <w:r>
        <w:t>2000</w:t>
      </w:r>
      <w:r>
        <w:rPr>
          <w:rFonts w:hint="eastAsia"/>
        </w:rPr>
        <w:t>年</w:t>
      </w:r>
      <w:r>
        <w:rPr>
          <w:rFonts w:hint="eastAsia"/>
        </w:rPr>
        <w:t>12</w:t>
      </w:r>
      <w:r>
        <w:rPr>
          <w:rFonts w:hint="eastAsia"/>
        </w:rPr>
        <w:t>月，有</w:t>
      </w:r>
      <w:r>
        <w:t>93.3%</w:t>
      </w:r>
      <w:r>
        <w:rPr>
          <w:rFonts w:hint="eastAsia"/>
        </w:rPr>
        <w:t>的城市人口用上了污水处理设施，也就说为他们提供了一种处理排泄物的办法。</w:t>
      </w:r>
      <w:r>
        <w:t>1997</w:t>
      </w:r>
      <w:r>
        <w:rPr>
          <w:rFonts w:hint="eastAsia"/>
        </w:rPr>
        <w:t>年的数据表明，这是一种</w:t>
      </w:r>
      <w:r>
        <w:t>15%</w:t>
      </w:r>
      <w:r>
        <w:rPr>
          <w:rFonts w:hint="eastAsia"/>
        </w:rPr>
        <w:t>的农村人口享受到的一种服务。</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预防和控制传染病的措施</w:t>
      </w:r>
    </w:p>
    <w:p w:rsidR="00000000" w:rsidRDefault="009C1C61">
      <w:pPr>
        <w:rPr>
          <w:rFonts w:hint="eastAsia"/>
        </w:rPr>
      </w:pPr>
      <w:r>
        <w:rPr>
          <w:rFonts w:hint="eastAsia"/>
        </w:rPr>
        <w:tab/>
      </w:r>
      <w:r>
        <w:t>666.</w:t>
      </w:r>
      <w:r>
        <w:rPr>
          <w:rFonts w:hint="eastAsia"/>
        </w:rPr>
        <w:t xml:space="preserve"> </w:t>
      </w:r>
      <w:r>
        <w:rPr>
          <w:rFonts w:hint="eastAsia"/>
        </w:rPr>
        <w:t>对传染病的流行病学监测制度已经改善。传染病监测准则规定了四种方法：</w:t>
      </w:r>
      <w:r>
        <w:rPr>
          <w:rStyle w:val="FootnoteReference"/>
        </w:rPr>
        <w:footnoteReference w:id="296"/>
      </w:r>
    </w:p>
    <w:p w:rsidR="00000000" w:rsidRDefault="009C1C61">
      <w:pPr>
        <w:numPr>
          <w:ilvl w:val="0"/>
          <w:numId w:val="308"/>
        </w:numPr>
        <w:rPr>
          <w:rFonts w:hint="eastAsia"/>
        </w:rPr>
      </w:pPr>
      <w:r>
        <w:rPr>
          <w:rFonts w:hint="eastAsia"/>
        </w:rPr>
        <w:t>对</w:t>
      </w:r>
      <w:r>
        <w:rPr>
          <w:rFonts w:hint="eastAsia"/>
        </w:rPr>
        <w:t>36</w:t>
      </w:r>
      <w:r>
        <w:rPr>
          <w:rFonts w:hint="eastAsia"/>
        </w:rPr>
        <w:t>种疾病逐例监测其发病率、全面免疫和强制通报情况；</w:t>
      </w:r>
    </w:p>
    <w:p w:rsidR="00000000" w:rsidRDefault="009C1C61">
      <w:pPr>
        <w:numPr>
          <w:ilvl w:val="0"/>
          <w:numId w:val="308"/>
        </w:numPr>
        <w:rPr>
          <w:rFonts w:hint="eastAsia"/>
        </w:rPr>
      </w:pPr>
      <w:r>
        <w:rPr>
          <w:rFonts w:hint="eastAsia"/>
        </w:rPr>
        <w:t>通过“监控地点”和通报小组监测多</w:t>
      </w:r>
      <w:r>
        <w:rPr>
          <w:rFonts w:hint="eastAsia"/>
        </w:rPr>
        <w:t>发病；</w:t>
      </w:r>
    </w:p>
    <w:p w:rsidR="00000000" w:rsidRDefault="009C1C61">
      <w:pPr>
        <w:numPr>
          <w:ilvl w:val="0"/>
          <w:numId w:val="308"/>
        </w:numPr>
        <w:rPr>
          <w:rFonts w:hint="eastAsia"/>
        </w:rPr>
      </w:pPr>
      <w:r>
        <w:rPr>
          <w:rFonts w:hint="eastAsia"/>
        </w:rPr>
        <w:t>通过提供全面免疫的临床实验室，监测病原体，以编制一个包含细菌、病毒和立克次氏体的病原体一览表；</w:t>
      </w:r>
    </w:p>
    <w:p w:rsidR="00000000" w:rsidRDefault="009C1C61">
      <w:pPr>
        <w:numPr>
          <w:ilvl w:val="0"/>
          <w:numId w:val="308"/>
        </w:numPr>
        <w:rPr>
          <w:rFonts w:hint="eastAsia"/>
        </w:rPr>
      </w:pPr>
      <w:r>
        <w:rPr>
          <w:rFonts w:hint="eastAsia"/>
        </w:rPr>
        <w:t>在全国各医院监测抗菌情况，以编制一个特殊药剂一览表。此外还辅以水</w:t>
      </w:r>
      <w:r>
        <w:rPr>
          <w:rFonts w:hint="eastAsia"/>
        </w:rPr>
        <w:t>(</w:t>
      </w:r>
      <w:r>
        <w:rPr>
          <w:rFonts w:hint="eastAsia"/>
        </w:rPr>
        <w:t>水库、向量、质量</w:t>
      </w:r>
      <w:r>
        <w:rPr>
          <w:rFonts w:hint="eastAsia"/>
        </w:rPr>
        <w:t>)</w:t>
      </w:r>
      <w:r>
        <w:rPr>
          <w:rFonts w:hint="eastAsia"/>
        </w:rPr>
        <w:t>、空气、土壤及食物监测。</w:t>
      </w:r>
    </w:p>
    <w:p w:rsidR="00000000" w:rsidRDefault="009C1C61">
      <w:pPr>
        <w:spacing w:after="320"/>
      </w:pPr>
      <w:r>
        <w:rPr>
          <w:rFonts w:hint="eastAsia"/>
        </w:rPr>
        <w:tab/>
      </w:r>
      <w:r>
        <w:t>667.</w:t>
      </w:r>
      <w:r>
        <w:rPr>
          <w:rFonts w:hint="eastAsia"/>
        </w:rPr>
        <w:t xml:space="preserve">  </w:t>
      </w:r>
      <w:r>
        <w:rPr>
          <w:rFonts w:hint="eastAsia"/>
        </w:rPr>
        <w:t>卫生部协调有关环境信息、实验数据和发病率统计资料</w:t>
      </w:r>
      <w:r>
        <w:rPr>
          <w:rFonts w:hint="eastAsia"/>
          <w:spacing w:val="-40"/>
        </w:rPr>
        <w:t>——</w:t>
      </w:r>
      <w:r>
        <w:rPr>
          <w:rFonts w:hint="eastAsia"/>
        </w:rPr>
        <w:t>环境监测与发病率的子系统。公共卫生研究所是负责研究这些疾病的全国基准实验室。全国监测网在三级开办，反映了全国的卫生系统结构。这三级为地方</w:t>
      </w:r>
      <w:r>
        <w:rPr>
          <w:rFonts w:hint="eastAsia"/>
        </w:rPr>
        <w:t>(</w:t>
      </w:r>
      <w:r>
        <w:rPr>
          <w:rFonts w:hint="eastAsia"/>
        </w:rPr>
        <w:t>治疗中心</w:t>
      </w:r>
      <w:r>
        <w:rPr>
          <w:rFonts w:hint="eastAsia"/>
        </w:rPr>
        <w:t>)</w:t>
      </w:r>
      <w:r>
        <w:rPr>
          <w:rFonts w:hint="eastAsia"/>
        </w:rPr>
        <w:t>、中级</w:t>
      </w:r>
      <w:r>
        <w:rPr>
          <w:rFonts w:hint="eastAsia"/>
        </w:rPr>
        <w:t>(</w:t>
      </w:r>
      <w:r>
        <w:rPr>
          <w:rFonts w:hint="eastAsia"/>
        </w:rPr>
        <w:t>医务处</w:t>
      </w:r>
      <w:r>
        <w:rPr>
          <w:rFonts w:hint="eastAsia"/>
        </w:rPr>
        <w:t>)</w:t>
      </w:r>
      <w:r>
        <w:rPr>
          <w:rFonts w:hint="eastAsia"/>
        </w:rPr>
        <w:t>和中央。有了这种安排，才可能综合各种信息，提供一种渐进而有别的应对办</w:t>
      </w:r>
      <w:r>
        <w:rPr>
          <w:rFonts w:hint="eastAsia"/>
        </w:rPr>
        <w:t>法，以确保及时实施控制措施。这个网络也得到了所有公立和私立保健机构和临床实验室、卫生单位、区部级办公厅、全卫所及卫生部的支持。此系统所获信息，都在流行病监测评论季刊</w:t>
      </w:r>
      <w:r>
        <w:rPr>
          <w:rFonts w:eastAsia="KaiTi_GB2312"/>
          <w:snapToGrid/>
          <w:spacing w:val="0"/>
        </w:rPr>
        <w:t>El Vigia</w:t>
      </w:r>
      <w:r>
        <w:rPr>
          <w:rFonts w:hint="eastAsia"/>
        </w:rPr>
        <w:t>及其电子版月刊</w:t>
      </w:r>
      <w:r>
        <w:t xml:space="preserve">e-vigia, </w:t>
      </w:r>
      <w:r>
        <w:rPr>
          <w:rFonts w:hint="eastAsia"/>
        </w:rPr>
        <w:t>和卫生部的网站</w:t>
      </w:r>
      <w:r>
        <w:t>(www.minsal.cl)</w:t>
      </w:r>
      <w:r>
        <w:rPr>
          <w:rFonts w:hint="eastAsia"/>
        </w:rPr>
        <w:t>上传播。</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被认为需要优先监测的疾病</w:t>
      </w:r>
    </w:p>
    <w:p w:rsidR="00000000" w:rsidRDefault="009C1C61">
      <w:r>
        <w:rPr>
          <w:rFonts w:hint="eastAsia"/>
        </w:rPr>
        <w:tab/>
      </w:r>
      <w:r>
        <w:t>668.</w:t>
      </w:r>
      <w:r>
        <w:rPr>
          <w:rFonts w:hint="eastAsia"/>
        </w:rPr>
        <w:t xml:space="preserve">  </w:t>
      </w:r>
      <w:r>
        <w:rPr>
          <w:rFonts w:hint="eastAsia"/>
        </w:rPr>
        <w:t>根据上述第</w:t>
      </w:r>
      <w:r>
        <w:t>712</w:t>
      </w:r>
      <w:r>
        <w:rPr>
          <w:rFonts w:hint="eastAsia"/>
        </w:rPr>
        <w:t>号政令而列入的疾病，包括从国际和全国角度来看需要作为优先问题加以监测的疾病，因为疾病很容易跨界传播。编制此类疾病名单时考虑了下列标准：对生产率和死亡率的间接影响、流行潜力、作为控制方案</w:t>
      </w:r>
      <w:r>
        <w:rPr>
          <w:rFonts w:hint="eastAsia"/>
        </w:rPr>
        <w:t>(</w:t>
      </w:r>
      <w:r>
        <w:rPr>
          <w:rFonts w:hint="eastAsia"/>
        </w:rPr>
        <w:t>如，</w:t>
      </w:r>
      <w:r>
        <w:rPr>
          <w:rFonts w:hint="eastAsia"/>
        </w:rPr>
        <w:t>国际卫生条例</w:t>
      </w:r>
      <w:r>
        <w:rPr>
          <w:rFonts w:hint="eastAsia"/>
        </w:rPr>
        <w:t>)</w:t>
      </w:r>
      <w:r>
        <w:rPr>
          <w:rFonts w:hint="eastAsia"/>
        </w:rPr>
        <w:t>的具体目标而存在及对后一种情况的认识是否导致采取了重大公共卫生行动。</w:t>
      </w:r>
    </w:p>
    <w:p w:rsidR="00000000" w:rsidRDefault="009C1C61">
      <w:pPr>
        <w:rPr>
          <w:rFonts w:hint="eastAsia"/>
        </w:rPr>
      </w:pPr>
      <w:r>
        <w:rPr>
          <w:rFonts w:hint="eastAsia"/>
        </w:rPr>
        <w:tab/>
      </w:r>
      <w:r>
        <w:t>669.</w:t>
      </w:r>
      <w:r>
        <w:rPr>
          <w:rFonts w:hint="eastAsia"/>
        </w:rPr>
        <w:t xml:space="preserve">  </w:t>
      </w:r>
      <w:r>
        <w:rPr>
          <w:rFonts w:hint="eastAsia"/>
        </w:rPr>
        <w:t>要求强制通报的疾病列明如下：</w:t>
      </w:r>
    </w:p>
    <w:p w:rsidR="00000000" w:rsidRDefault="009C1C61">
      <w:pPr>
        <w:numPr>
          <w:ilvl w:val="0"/>
          <w:numId w:val="309"/>
        </w:numPr>
      </w:pPr>
      <w:r>
        <w:rPr>
          <w:rFonts w:hint="eastAsia"/>
        </w:rPr>
        <w:t>立即通报：肉毒中毒、布鲁氏菌病、红疹、霍乱、登革热、白喉、汉塔病毒肺部综合症、扩散性流感嗜血杆菌、脑膜炎球菌病、黄热病、疟疾、瘟疫、脊髓灰质炎、狂犬病、麻疹、旋毛虫病、食品传播疾病的爆发；</w:t>
      </w:r>
    </w:p>
    <w:p w:rsidR="00000000" w:rsidRDefault="009C1C61">
      <w:pPr>
        <w:numPr>
          <w:ilvl w:val="0"/>
          <w:numId w:val="309"/>
        </w:numPr>
        <w:rPr>
          <w:spacing w:val="8"/>
        </w:rPr>
      </w:pPr>
      <w:r>
        <w:rPr>
          <w:rFonts w:hint="eastAsia"/>
          <w:spacing w:val="8"/>
        </w:rPr>
        <w:t>每日通报：百日咳、恰加斯病</w:t>
      </w:r>
      <w:r>
        <w:rPr>
          <w:rFonts w:hint="eastAsia"/>
          <w:spacing w:val="8"/>
        </w:rPr>
        <w:t>(</w:t>
      </w:r>
      <w:r>
        <w:rPr>
          <w:rFonts w:hint="eastAsia"/>
          <w:spacing w:val="8"/>
        </w:rPr>
        <w:t>美洲锥虫病</w:t>
      </w:r>
      <w:r>
        <w:rPr>
          <w:rFonts w:hint="eastAsia"/>
          <w:spacing w:val="8"/>
        </w:rPr>
        <w:t>)</w:t>
      </w:r>
      <w:r>
        <w:rPr>
          <w:rFonts w:hint="eastAsia"/>
          <w:spacing w:val="8"/>
        </w:rPr>
        <w:t>、伤寒和副伤寒、淋病、病毒性肝炎</w:t>
      </w:r>
      <w:r>
        <w:rPr>
          <w:rFonts w:hint="eastAsia"/>
          <w:spacing w:val="8"/>
        </w:rPr>
        <w:t>(</w:t>
      </w:r>
      <w:r>
        <w:rPr>
          <w:rFonts w:hint="eastAsia"/>
          <w:spacing w:val="8"/>
        </w:rPr>
        <w:t>甲型肝炎、乙型肝炎、丙型肝炎和戊型肝炎</w:t>
      </w:r>
      <w:r>
        <w:rPr>
          <w:rFonts w:hint="eastAsia"/>
          <w:spacing w:val="8"/>
        </w:rPr>
        <w:t>)</w:t>
      </w:r>
      <w:r>
        <w:rPr>
          <w:rFonts w:hint="eastAsia"/>
          <w:spacing w:val="8"/>
        </w:rPr>
        <w:t>、包虫病、麻风病、腮腺炎、鹦鹉热、风疹、先天性风疹、各种形式和各种部位的梅毒、艾</w:t>
      </w:r>
      <w:r>
        <w:rPr>
          <w:rFonts w:hint="eastAsia"/>
          <w:spacing w:val="8"/>
        </w:rPr>
        <w:t>滋病、破伤风、各种形式和各种部位的结核、疹病流行伤寒；</w:t>
      </w:r>
    </w:p>
    <w:p w:rsidR="00000000" w:rsidRDefault="009C1C61">
      <w:pPr>
        <w:numPr>
          <w:ilvl w:val="0"/>
          <w:numId w:val="309"/>
        </w:numPr>
      </w:pPr>
      <w:r>
        <w:rPr>
          <w:rFonts w:hint="eastAsia"/>
        </w:rPr>
        <w:t>专门通过监控地点通报：流感、急性呼吸道感染、腹泻、性传染病</w:t>
      </w:r>
      <w:r>
        <w:rPr>
          <w:rFonts w:hint="eastAsia"/>
        </w:rPr>
        <w:t>(</w:t>
      </w:r>
      <w:r>
        <w:rPr>
          <w:rFonts w:hint="eastAsia"/>
        </w:rPr>
        <w:t>不包括淋病、梅毒和艾滋病</w:t>
      </w:r>
      <w:r>
        <w:rPr>
          <w:rFonts w:hint="eastAsia"/>
        </w:rPr>
        <w:t>)</w:t>
      </w:r>
      <w:r>
        <w:rPr>
          <w:rFonts w:hint="eastAsia"/>
        </w:rPr>
        <w:t>。</w:t>
      </w:r>
    </w:p>
    <w:p w:rsidR="00000000" w:rsidRDefault="009C1C61">
      <w:pPr>
        <w:rPr>
          <w:rFonts w:hint="eastAsia"/>
        </w:rPr>
      </w:pPr>
      <w:r>
        <w:rPr>
          <w:rFonts w:hint="eastAsia"/>
        </w:rPr>
        <w:tab/>
      </w:r>
      <w:r>
        <w:t>670.</w:t>
      </w:r>
      <w:r>
        <w:rPr>
          <w:rFonts w:hint="eastAsia"/>
        </w:rPr>
        <w:t xml:space="preserve">  </w:t>
      </w:r>
      <w:r>
        <w:rPr>
          <w:rFonts w:hint="eastAsia"/>
        </w:rPr>
        <w:t>下列致病微生物媒介将受到实验室的监测：</w:t>
      </w:r>
      <w:r>
        <w:rPr>
          <w:rFonts w:eastAsia="KaiTi_GB2312"/>
          <w:bCs/>
        </w:rPr>
        <w:t>E.coli verotoxigenica</w:t>
      </w:r>
      <w:r>
        <w:t xml:space="preserve">(0157 </w:t>
      </w:r>
      <w:r>
        <w:rPr>
          <w:rFonts w:hint="eastAsia"/>
        </w:rPr>
        <w:t>等</w:t>
      </w:r>
      <w:r>
        <w:t>)</w:t>
      </w:r>
      <w:r>
        <w:rPr>
          <w:rFonts w:hint="eastAsia"/>
        </w:rPr>
        <w:t>、</w:t>
      </w:r>
      <w:r>
        <w:rPr>
          <w:rFonts w:eastAsia="KaiTi_GB2312" w:hint="eastAsia"/>
          <w:bCs/>
        </w:rPr>
        <w:t>肺炎支原体、鹦鹉热衣原体、钩端螺旋体属、伯纳特氏柯克斯氏体、克鲁斯门氏锥虫、苍白密螺旋体、</w:t>
      </w:r>
      <w:r>
        <w:rPr>
          <w:rFonts w:eastAsia="KaiTi_GB2312" w:hint="eastAsia"/>
          <w:bCs/>
        </w:rPr>
        <w:t>A</w:t>
      </w:r>
      <w:r>
        <w:rPr>
          <w:rFonts w:eastAsia="KaiTi_GB2312" w:hint="eastAsia"/>
          <w:bCs/>
        </w:rPr>
        <w:t>型β溶血性链球菌</w:t>
      </w:r>
      <w:r>
        <w:rPr>
          <w:rFonts w:eastAsia="KaiTi_GB2312" w:hint="eastAsia"/>
          <w:bCs/>
        </w:rPr>
        <w:t>(</w:t>
      </w:r>
      <w:r>
        <w:rPr>
          <w:rFonts w:eastAsia="KaiTi_GB2312" w:hint="eastAsia"/>
          <w:bCs/>
        </w:rPr>
        <w:t>扩散性</w:t>
      </w:r>
      <w:r>
        <w:rPr>
          <w:rFonts w:eastAsia="KaiTi_GB2312" w:hint="eastAsia"/>
          <w:bCs/>
        </w:rPr>
        <w:t>)</w:t>
      </w:r>
      <w:r>
        <w:rPr>
          <w:rFonts w:eastAsia="KaiTi_GB2312" w:hint="eastAsia"/>
          <w:bCs/>
        </w:rPr>
        <w:t>。</w:t>
      </w:r>
      <w:r>
        <w:rPr>
          <w:rFonts w:hint="eastAsia"/>
          <w:bCs/>
        </w:rPr>
        <w:t>肠道病原体</w:t>
      </w:r>
      <w:r>
        <w:rPr>
          <w:bCs/>
        </w:rPr>
        <w:t>：</w:t>
      </w:r>
      <w:r>
        <w:rPr>
          <w:rFonts w:eastAsia="KaiTi_GB2312"/>
          <w:bCs/>
        </w:rPr>
        <w:t>paraehemolitico</w:t>
      </w:r>
      <w:r>
        <w:rPr>
          <w:rFonts w:eastAsia="KaiTi_GB2312" w:hint="eastAsia"/>
          <w:bCs/>
        </w:rPr>
        <w:t>弧菌、霍乱弧菌、弯曲杆菌属、耶尔森氏菌属、沙门氏菌</w:t>
      </w:r>
      <w:r>
        <w:rPr>
          <w:rFonts w:eastAsia="KaiTi_GB2312"/>
          <w:bCs/>
        </w:rPr>
        <w:t>属</w:t>
      </w:r>
      <w:r>
        <w:rPr>
          <w:rFonts w:eastAsia="KaiTi_GB2312" w:hint="eastAsia"/>
          <w:bCs/>
        </w:rPr>
        <w:t>、志贺氏菌</w:t>
      </w:r>
      <w:r>
        <w:rPr>
          <w:rFonts w:eastAsia="KaiTi_GB2312"/>
          <w:bCs/>
        </w:rPr>
        <w:t>属</w:t>
      </w:r>
      <w:r>
        <w:rPr>
          <w:rFonts w:eastAsia="KaiTi_GB2312" w:hint="eastAsia"/>
          <w:bCs/>
        </w:rPr>
        <w:t>、乙型肝炎和丙型肝炎、</w:t>
      </w:r>
      <w:r>
        <w:rPr>
          <w:rFonts w:eastAsia="KaiTi_GB2312"/>
          <w:bCs/>
        </w:rPr>
        <w:t>pne</w:t>
      </w:r>
      <w:r>
        <w:rPr>
          <w:rFonts w:eastAsia="KaiTi_GB2312"/>
          <w:bCs/>
        </w:rPr>
        <w:t>umophila</w:t>
      </w:r>
      <w:r>
        <w:rPr>
          <w:rFonts w:eastAsia="KaiTi_GB2312" w:hint="eastAsia"/>
          <w:bCs/>
        </w:rPr>
        <w:t>军团菌、埃乐利希氏菌属及肺炎链球菌</w:t>
      </w:r>
      <w:r>
        <w:rPr>
          <w:rFonts w:eastAsia="KaiTi_GB2312"/>
          <w:b/>
        </w:rPr>
        <w:t>(</w:t>
      </w:r>
      <w:r>
        <w:rPr>
          <w:rFonts w:hint="eastAsia"/>
        </w:rPr>
        <w:t>扩散性</w:t>
      </w:r>
      <w:r>
        <w:rPr>
          <w:rFonts w:eastAsia="KaiTi_GB2312"/>
          <w:b/>
        </w:rPr>
        <w:t>)</w:t>
      </w:r>
      <w:r>
        <w:rPr>
          <w:rFonts w:eastAsia="KaiTi_GB2312" w:hint="eastAsia"/>
          <w:b/>
        </w:rPr>
        <w:t>。</w:t>
      </w:r>
    </w:p>
    <w:p w:rsidR="00000000" w:rsidRDefault="009C1C61">
      <w:pPr>
        <w:rPr>
          <w:rFonts w:hint="eastAsia"/>
        </w:rPr>
      </w:pPr>
      <w:r>
        <w:rPr>
          <w:rFonts w:hint="eastAsia"/>
        </w:rPr>
        <w:tab/>
      </w:r>
      <w:r>
        <w:t>671.</w:t>
      </w:r>
      <w:r>
        <w:rPr>
          <w:rFonts w:hint="eastAsia"/>
        </w:rPr>
        <w:t xml:space="preserve">  </w:t>
      </w:r>
      <w:r>
        <w:rPr>
          <w:rFonts w:hint="eastAsia"/>
        </w:rPr>
        <w:t>根据现行立法，下列媒介因抗杀菌治疗将受到监测：</w:t>
      </w:r>
      <w:r>
        <w:rPr>
          <w:rFonts w:eastAsia="KaiTi_GB2312" w:hint="eastAsia"/>
          <w:bCs/>
        </w:rPr>
        <w:t>肺炎链球菌、结核分支杆菌、志贺氏菌</w:t>
      </w:r>
      <w:r>
        <w:rPr>
          <w:rFonts w:eastAsia="KaiTi_GB2312"/>
          <w:bCs/>
        </w:rPr>
        <w:t>属</w:t>
      </w:r>
      <w:r>
        <w:rPr>
          <w:rFonts w:eastAsia="KaiTi_GB2312" w:hint="eastAsia"/>
          <w:bCs/>
        </w:rPr>
        <w:t>、沙门氏菌</w:t>
      </w:r>
      <w:r>
        <w:rPr>
          <w:rFonts w:eastAsia="KaiTi_GB2312"/>
          <w:bCs/>
        </w:rPr>
        <w:t>属</w:t>
      </w:r>
      <w:r>
        <w:rPr>
          <w:rFonts w:eastAsia="KaiTi_GB2312" w:hint="eastAsia"/>
          <w:bCs/>
        </w:rPr>
        <w:t>、</w:t>
      </w:r>
      <w:r>
        <w:rPr>
          <w:rFonts w:eastAsia="KaiTi_GB2312" w:hint="eastAsia"/>
          <w:bCs/>
        </w:rPr>
        <w:t>b</w:t>
      </w:r>
      <w:r>
        <w:rPr>
          <w:rFonts w:eastAsia="KaiTi_GB2312" w:hint="eastAsia"/>
          <w:bCs/>
        </w:rPr>
        <w:t>型流感嗜血杆菌、金黄色酿脓葡萄球菌、脑膜炎双球菌、淋病双球菌</w:t>
      </w:r>
      <w:r>
        <w:rPr>
          <w:rFonts w:hint="eastAsia"/>
        </w:rPr>
        <w:t>及医院传染病的孤立媒介。</w:t>
      </w:r>
    </w:p>
    <w:p w:rsidR="00000000" w:rsidRDefault="009C1C61">
      <w:pPr>
        <w:pStyle w:val="Heading4"/>
        <w:spacing w:before="180" w:after="120"/>
        <w:rPr>
          <w:rFonts w:ascii="Time New Roman" w:eastAsia="SimHei" w:hAnsi="Time New Roman" w:hint="eastAsia"/>
          <w:u w:val="none"/>
        </w:rPr>
      </w:pPr>
      <w:r>
        <w:rPr>
          <w:rFonts w:ascii="Time New Roman" w:eastAsia="SimHei" w:hAnsi="Time New Roman" w:hint="eastAsia"/>
          <w:u w:val="none"/>
        </w:rPr>
        <w:t>社区疾病通报特别控制机制和预防措施</w:t>
      </w:r>
    </w:p>
    <w:p w:rsidR="00000000" w:rsidRDefault="009C1C61">
      <w:pPr>
        <w:rPr>
          <w:rFonts w:hint="eastAsia"/>
        </w:rPr>
      </w:pPr>
      <w:r>
        <w:rPr>
          <w:rFonts w:hint="eastAsia"/>
        </w:rPr>
        <w:tab/>
      </w:r>
      <w:r>
        <w:t>672.</w:t>
      </w:r>
      <w:r>
        <w:rPr>
          <w:rFonts w:hint="eastAsia"/>
        </w:rPr>
        <w:t xml:space="preserve">  </w:t>
      </w:r>
      <w:r>
        <w:t>2000</w:t>
      </w:r>
      <w:r>
        <w:rPr>
          <w:rFonts w:hint="eastAsia"/>
        </w:rPr>
        <w:t>年</w:t>
      </w:r>
      <w:r>
        <w:rPr>
          <w:rFonts w:hint="eastAsia"/>
        </w:rPr>
        <w:t>12</w:t>
      </w:r>
      <w:r>
        <w:rPr>
          <w:rFonts w:hint="eastAsia"/>
        </w:rPr>
        <w:t>月，颁布了《传染病监测条例》，</w:t>
      </w:r>
      <w:r>
        <w:rPr>
          <w:rStyle w:val="FootnoteReference"/>
        </w:rPr>
        <w:footnoteReference w:id="297"/>
      </w:r>
      <w:r>
        <w:rPr>
          <w:rFonts w:hint="eastAsia"/>
        </w:rPr>
        <w:t xml:space="preserve"> </w:t>
      </w:r>
      <w:r>
        <w:rPr>
          <w:rFonts w:hint="eastAsia"/>
        </w:rPr>
        <w:t>概述了普遍、监测和爆发三级水平上开展疾病监测的条例。对每种疾病，都给出监测理由、疾病特征说明、病例描述、监测类型、已实施的控制条例及国际疾病分类</w:t>
      </w:r>
      <w:r>
        <w:t>9</w:t>
      </w:r>
      <w:r>
        <w:rPr>
          <w:rFonts w:hint="eastAsia"/>
        </w:rPr>
        <w:t>与</w:t>
      </w:r>
      <w:r>
        <w:t>10</w:t>
      </w:r>
      <w:r>
        <w:rPr>
          <w:rFonts w:hint="eastAsia"/>
        </w:rPr>
        <w:t>号编码。</w:t>
      </w:r>
    </w:p>
    <w:p w:rsidR="00000000" w:rsidRDefault="009C1C61">
      <w:pPr>
        <w:rPr>
          <w:rFonts w:hint="eastAsia"/>
          <w:spacing w:val="8"/>
        </w:rPr>
      </w:pPr>
      <w:r>
        <w:rPr>
          <w:rFonts w:hint="eastAsia"/>
          <w:spacing w:val="8"/>
        </w:rPr>
        <w:tab/>
      </w:r>
      <w:r>
        <w:rPr>
          <w:spacing w:val="8"/>
        </w:rPr>
        <w:t>673.</w:t>
      </w:r>
      <w:r>
        <w:rPr>
          <w:rFonts w:hint="eastAsia"/>
          <w:spacing w:val="8"/>
        </w:rPr>
        <w:t xml:space="preserve">  </w:t>
      </w:r>
      <w:r>
        <w:rPr>
          <w:rFonts w:hint="eastAsia"/>
          <w:spacing w:val="8"/>
        </w:rPr>
        <w:t>关于汉塔病毒，有汉塔病毒心肺综合症疑似病例，区流行病保健服务部门和卫生部必须立即通报；通报和发送实验结果，都要单填一张表。区服务部门启动调查和控制程序，包括亲临现场检查流行条件和环境条件。有三个达标诊断实验室；公卫所是基准实验室，检查所有实验阳性病例，加以确认。全国卫生研究所把结果直接告诉请求鉴定的组织和卫生部。信息由流行病司加以收集和分析，然后张贴在自己的网站上，每出现一个病例更新一次。在过去一年里，开展了预防宣传运动，对专业人员进行了汉塔病毒病例早发现早处理培训，全国专家编写了一</w:t>
      </w:r>
      <w:r>
        <w:rPr>
          <w:rFonts w:hint="eastAsia"/>
          <w:spacing w:val="8"/>
        </w:rPr>
        <w:t>本汉塔病毒临床治疗手册，有关汉塔病毒的流行病学监测、实验检查和控制的条例也得到了审查。</w:t>
      </w:r>
    </w:p>
    <w:p w:rsidR="00000000" w:rsidRDefault="009C1C61">
      <w:r>
        <w:rPr>
          <w:rFonts w:hint="eastAsia"/>
        </w:rPr>
        <w:tab/>
      </w:r>
      <w:r>
        <w:t>674.</w:t>
      </w:r>
      <w:r>
        <w:rPr>
          <w:rFonts w:hint="eastAsia"/>
        </w:rPr>
        <w:t xml:space="preserve">  </w:t>
      </w:r>
      <w:r>
        <w:rPr>
          <w:rFonts w:hint="eastAsia"/>
        </w:rPr>
        <w:t>对脑膜炎球菌引发的脑膜炎，卫生司接到疑似病例通报，就会开始积极寻找所接触者，以便实行化学预防。样品送公卫所加以分类。</w:t>
      </w:r>
      <w:r>
        <w:t>2000</w:t>
      </w:r>
      <w:r>
        <w:rPr>
          <w:rFonts w:hint="eastAsia"/>
        </w:rPr>
        <w:t>年，在艾森和康塞普西翁发现爆发了两次丙型脑膜炎，结果导致在周围地区开展了疫苗接种运动。</w:t>
      </w:r>
    </w:p>
    <w:p w:rsidR="00000000" w:rsidRDefault="009C1C61">
      <w:pPr>
        <w:rPr>
          <w:rFonts w:hint="eastAsia"/>
        </w:rPr>
      </w:pPr>
      <w:r>
        <w:rPr>
          <w:rFonts w:hint="eastAsia"/>
        </w:rPr>
        <w:tab/>
      </w:r>
      <w:r>
        <w:t>675.</w:t>
      </w:r>
      <w:r>
        <w:rPr>
          <w:rFonts w:hint="eastAsia"/>
        </w:rPr>
        <w:t xml:space="preserve">  </w:t>
      </w:r>
      <w:r>
        <w:rPr>
          <w:rFonts w:hint="eastAsia"/>
        </w:rPr>
        <w:t>流感监测有两个方面：一是用间接免疫荧光技术，对通过全国卫生研究所</w:t>
      </w:r>
      <w:r>
        <w:rPr>
          <w:rFonts w:hint="eastAsia"/>
        </w:rPr>
        <w:t>16</w:t>
      </w:r>
      <w:r>
        <w:rPr>
          <w:rFonts w:hint="eastAsia"/>
        </w:rPr>
        <w:t>个快速诊断实验室网络收到的样例进行病毒检验；其中多数样例取自患急性呼吸器官综合症的儿童。一是监测中心对疾病的监测，中</w:t>
      </w:r>
      <w:r>
        <w:rPr>
          <w:rFonts w:hint="eastAsia"/>
        </w:rPr>
        <w:t>心将所得资料发送给卫生部流行病司。这种监测包括根据特殊病例定义每周通报病例总数，通报有关流感致死人数的综合信息。这种信息作为一个整体经过编辑和分析，每周发表在网站上。卫生部每年都为</w:t>
      </w:r>
      <w:r>
        <w:rPr>
          <w:rFonts w:hint="eastAsia"/>
        </w:rPr>
        <w:t>65</w:t>
      </w:r>
      <w:r>
        <w:rPr>
          <w:rFonts w:hint="eastAsia"/>
        </w:rPr>
        <w:t>岁以上老人和其他脆弱群体开展流感疫苗接种运动。</w:t>
      </w:r>
    </w:p>
    <w:p w:rsidR="00000000" w:rsidRDefault="009C1C61">
      <w:pPr>
        <w:rPr>
          <w:rFonts w:hint="eastAsia"/>
        </w:rPr>
      </w:pPr>
      <w:r>
        <w:rPr>
          <w:rFonts w:hint="eastAsia"/>
        </w:rPr>
        <w:tab/>
      </w:r>
      <w:r>
        <w:t>676.</w:t>
      </w:r>
      <w:r>
        <w:rPr>
          <w:rFonts w:hint="eastAsia"/>
        </w:rPr>
        <w:t xml:space="preserve">  2000</w:t>
      </w:r>
      <w:r>
        <w:rPr>
          <w:rFonts w:hint="eastAsia"/>
        </w:rPr>
        <w:t>年，登革热也被列入了强制通报疾病名单。全国卫生研究所正在进行血清学研究，以便在阴性麻疹和汉塔病毒样例中，在来自发生登革热国家的疑似病例中，查出登革热。</w:t>
      </w:r>
      <w:r>
        <w:rPr>
          <w:rFonts w:hint="eastAsia"/>
        </w:rPr>
        <w:t>2001</w:t>
      </w:r>
      <w:r>
        <w:rPr>
          <w:rFonts w:hint="eastAsia"/>
        </w:rPr>
        <w:t>年</w:t>
      </w:r>
      <w:r>
        <w:rPr>
          <w:rFonts w:hint="eastAsia"/>
        </w:rPr>
        <w:t>3</w:t>
      </w:r>
      <w:r>
        <w:rPr>
          <w:rFonts w:hint="eastAsia"/>
        </w:rPr>
        <w:t>月，诊断出首例患登革热的土著人，昭示着复活节岛上爆发了登革热，至今还在流行。自</w:t>
      </w:r>
      <w:r>
        <w:rPr>
          <w:rFonts w:hint="eastAsia"/>
        </w:rPr>
        <w:t>2000</w:t>
      </w:r>
      <w:r>
        <w:rPr>
          <w:rFonts w:hint="eastAsia"/>
        </w:rPr>
        <w:t>年以来，都</w:t>
      </w:r>
      <w:r>
        <w:rPr>
          <w:rFonts w:hint="eastAsia"/>
        </w:rPr>
        <w:t>已经知道复活节岛上有埃及伊蚊，侵扰了</w:t>
      </w:r>
      <w:r>
        <w:t xml:space="preserve">70% </w:t>
      </w:r>
      <w:r>
        <w:rPr>
          <w:rFonts w:hint="eastAsia"/>
        </w:rPr>
        <w:t>的病人。去年开展了一场消灭这种传病媒介的运动，虽然将伊蚊侵扰降到了平均</w:t>
      </w:r>
      <w:r>
        <w:t>5%</w:t>
      </w:r>
      <w:r>
        <w:rPr>
          <w:rFonts w:hint="eastAsia"/>
        </w:rPr>
        <w:t>，可城镇有些地区的传染率仍然是</w:t>
      </w:r>
      <w:r>
        <w:rPr>
          <w:rFonts w:hint="eastAsia"/>
        </w:rPr>
        <w:t>25%</w:t>
      </w:r>
      <w:r>
        <w:rPr>
          <w:rFonts w:hint="eastAsia"/>
        </w:rPr>
        <w:t>甚至</w:t>
      </w:r>
      <w:r>
        <w:rPr>
          <w:rFonts w:hint="eastAsia"/>
        </w:rPr>
        <w:t>30%</w:t>
      </w:r>
      <w:r>
        <w:rPr>
          <w:rFonts w:hint="eastAsia"/>
        </w:rPr>
        <w:t>。在高危地区，主要是智利遥远的北部，在港口和机场，都连续不断开展了消灭传病媒介运动。自</w:t>
      </w:r>
      <w:r>
        <w:rPr>
          <w:rFonts w:hint="eastAsia"/>
        </w:rPr>
        <w:t>2001</w:t>
      </w:r>
      <w:r>
        <w:rPr>
          <w:rFonts w:hint="eastAsia"/>
        </w:rPr>
        <w:t>年以来，已经在阿里卡和复活节岛对登革热实施了监测制度。</w:t>
      </w:r>
    </w:p>
    <w:p w:rsidR="00000000" w:rsidRDefault="009C1C61">
      <w:r>
        <w:rPr>
          <w:rFonts w:hint="eastAsia"/>
        </w:rPr>
        <w:tab/>
      </w:r>
      <w:r>
        <w:t>677.</w:t>
      </w:r>
      <w:r>
        <w:rPr>
          <w:rFonts w:hint="eastAsia"/>
        </w:rPr>
        <w:t xml:space="preserve">  </w:t>
      </w:r>
      <w:r>
        <w:rPr>
          <w:rFonts w:hint="eastAsia"/>
        </w:rPr>
        <w:t>关于疟疾和黄热病，国内报告没有发现这样的病例；现在认为，自从</w:t>
      </w:r>
      <w:r>
        <w:rPr>
          <w:rFonts w:hint="eastAsia"/>
        </w:rPr>
        <w:t>20</w:t>
      </w:r>
      <w:r>
        <w:rPr>
          <w:rFonts w:hint="eastAsia"/>
        </w:rPr>
        <w:t>世纪前半期以来，已经彻底消灭了这种两种疾病。高危地区采取了消灭传病媒介的措施，北部也实行了监测。</w:t>
      </w:r>
    </w:p>
    <w:p w:rsidR="00000000" w:rsidRDefault="009C1C61">
      <w:pPr>
        <w:rPr>
          <w:rFonts w:hint="eastAsia"/>
        </w:rPr>
      </w:pPr>
      <w:r>
        <w:rPr>
          <w:rFonts w:hint="eastAsia"/>
        </w:rPr>
        <w:tab/>
      </w:r>
      <w:r>
        <w:t>678.</w:t>
      </w:r>
      <w:r>
        <w:rPr>
          <w:rFonts w:hint="eastAsia"/>
        </w:rPr>
        <w:t xml:space="preserve">  </w:t>
      </w:r>
      <w:r>
        <w:rPr>
          <w:rFonts w:hint="eastAsia"/>
        </w:rPr>
        <w:t>智利仍在</w:t>
      </w:r>
      <w:r>
        <w:rPr>
          <w:rFonts w:hint="eastAsia"/>
        </w:rPr>
        <w:t>卫生组织无霍乱国家的名单上。现在仍在环境层次上，通过临床取样，实施积极</w:t>
      </w:r>
      <w:r>
        <w:rPr>
          <w:rFonts w:hint="eastAsia"/>
        </w:rPr>
        <w:t>(</w:t>
      </w:r>
      <w:r>
        <w:rPr>
          <w:rFonts w:hint="eastAsia"/>
        </w:rPr>
        <w:t>根据现行条例监测供水</w:t>
      </w:r>
      <w:r>
        <w:rPr>
          <w:rFonts w:hint="eastAsia"/>
        </w:rPr>
        <w:t>)</w:t>
      </w:r>
      <w:r>
        <w:rPr>
          <w:rFonts w:hint="eastAsia"/>
        </w:rPr>
        <w:t>。关于临床取样，目前在受</w:t>
      </w:r>
      <w:r>
        <w:rPr>
          <w:rFonts w:hint="eastAsia"/>
        </w:rPr>
        <w:t>1991</w:t>
      </w:r>
      <w:r>
        <w:rPr>
          <w:rFonts w:hint="eastAsia"/>
        </w:rPr>
        <w:t>年霍乱爆发影响的区，对所有腹泻病人进行</w:t>
      </w:r>
      <w:r>
        <w:t>colera</w:t>
      </w:r>
      <w:r>
        <w:rPr>
          <w:rFonts w:hint="eastAsia"/>
        </w:rPr>
        <w:t>弧菌检查。在其他区，有腹泻症状时，就做大便取样。上次霍乱在第二区阿塔卡马的圣佩德罗爆发，</w:t>
      </w:r>
      <w:r>
        <w:rPr>
          <w:rFonts w:hint="eastAsia"/>
        </w:rPr>
        <w:t>2000</w:t>
      </w:r>
      <w:r>
        <w:rPr>
          <w:rFonts w:hint="eastAsia"/>
        </w:rPr>
        <w:t>年最后确认的环境取样取自第四区的一个污水排放口。</w:t>
      </w:r>
    </w:p>
    <w:p w:rsidR="00000000" w:rsidRDefault="009C1C61">
      <w:pPr>
        <w:spacing w:after="320"/>
        <w:rPr>
          <w:rFonts w:hint="eastAsia"/>
        </w:rPr>
      </w:pPr>
      <w:r>
        <w:rPr>
          <w:rFonts w:hint="eastAsia"/>
        </w:rPr>
        <w:tab/>
      </w:r>
      <w:r>
        <w:t>679.</w:t>
      </w:r>
      <w:r>
        <w:rPr>
          <w:rFonts w:hint="eastAsia"/>
        </w:rPr>
        <w:t xml:space="preserve">  </w:t>
      </w:r>
      <w:r>
        <w:t>1998</w:t>
      </w:r>
      <w:r>
        <w:rPr>
          <w:rFonts w:hint="eastAsia"/>
        </w:rPr>
        <w:t>年，风疹爆发，影响的主要是成年人，结果在全国</w:t>
      </w:r>
      <w:r>
        <w:rPr>
          <w:rFonts w:hint="eastAsia"/>
        </w:rPr>
        <w:t>10-29</w:t>
      </w:r>
      <w:r>
        <w:rPr>
          <w:rFonts w:hint="eastAsia"/>
        </w:rPr>
        <w:t>岁年龄组的女性中引发了一场疫苗接种运动。当时还建立了监测先天性风疹综合症的制度。</w:t>
      </w:r>
    </w:p>
    <w:p w:rsidR="00000000" w:rsidRDefault="009C1C61">
      <w:pPr>
        <w:pStyle w:val="Heading4"/>
        <w:rPr>
          <w:rFonts w:ascii="Time New Roman" w:eastAsia="SimHei" w:hAnsi="Time New Roman"/>
          <w:u w:val="none"/>
        </w:rPr>
      </w:pPr>
      <w:r>
        <w:rPr>
          <w:rFonts w:ascii="Time New Roman" w:eastAsia="SimHei" w:hAnsi="Time New Roman" w:hint="eastAsia"/>
          <w:u w:val="none"/>
        </w:rPr>
        <w:t>社区预防传染病的措施</w:t>
      </w:r>
      <w:r>
        <w:rPr>
          <w:rFonts w:ascii="Time New Roman" w:eastAsia="SimHei" w:hAnsi="Time New Roman"/>
          <w:u w:val="none"/>
        </w:rPr>
        <w:t xml:space="preserve"> </w:t>
      </w:r>
    </w:p>
    <w:p w:rsidR="00000000" w:rsidRDefault="009C1C61">
      <w:pPr>
        <w:spacing w:after="320"/>
        <w:rPr>
          <w:rFonts w:hint="eastAsia"/>
        </w:rPr>
      </w:pPr>
      <w:r>
        <w:rPr>
          <w:rFonts w:hint="eastAsia"/>
        </w:rPr>
        <w:tab/>
      </w:r>
      <w:r>
        <w:t>680</w:t>
      </w:r>
      <w:r>
        <w:t>.</w:t>
      </w:r>
      <w:r>
        <w:rPr>
          <w:rFonts w:hint="eastAsia"/>
        </w:rPr>
        <w:t xml:space="preserve">  </w:t>
      </w:r>
      <w:r>
        <w:rPr>
          <w:rFonts w:hint="eastAsia"/>
        </w:rPr>
        <w:t>除了上述措施外，还开展过防治霍乱、汉塔病毒等疾病的单独宣传运动。卫生部的网站有一部分专门登载预防和控制传染病的措施，题为“大众信息”。</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环境监测支助</w:t>
      </w:r>
    </w:p>
    <w:p w:rsidR="00000000" w:rsidRDefault="009C1C61">
      <w:pPr>
        <w:spacing w:after="320"/>
      </w:pPr>
      <w:r>
        <w:rPr>
          <w:rFonts w:hint="eastAsia"/>
        </w:rPr>
        <w:tab/>
      </w:r>
      <w:r>
        <w:t>681.</w:t>
      </w:r>
      <w:r>
        <w:rPr>
          <w:rFonts w:hint="eastAsia"/>
        </w:rPr>
        <w:t xml:space="preserve">  </w:t>
      </w:r>
      <w:r>
        <w:rPr>
          <w:rFonts w:hint="eastAsia"/>
        </w:rPr>
        <w:t>危险因素，诸如农村环境，住家、工作场所中或附近有传病媒介或水体，水或土壤污染，都为在环境各个部门：水、空气、土壤、食物和水体中实施监测和控制制度提供了依据。它们包括实施防治狂犬病方案，检查水体汉塔病毒，执行布鲁低病、包虫病和哈加斯病控制方案，以及监测“红潮”。鉴于邻国的流行病局势，在危险地区和已知有传病媒介聚积的地区，也实施了昆虫学监测方案</w:t>
      </w:r>
      <w:r>
        <w:rPr>
          <w:rFonts w:hint="eastAsia"/>
        </w:rPr>
        <w:t>。还对致命的工作事故进行系统监测，以便在最危险地区集中实施控制措施。</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减少婴儿死亡率和传染病的措施的效果</w:t>
      </w:r>
    </w:p>
    <w:p w:rsidR="00000000" w:rsidRDefault="009C1C61">
      <w:r>
        <w:rPr>
          <w:rFonts w:hint="eastAsia"/>
        </w:rPr>
        <w:tab/>
      </w:r>
      <w:r>
        <w:t>682.</w:t>
      </w:r>
      <w:r>
        <w:rPr>
          <w:rFonts w:hint="eastAsia"/>
        </w:rPr>
        <w:t xml:space="preserve">  </w:t>
      </w:r>
      <w:r>
        <w:rPr>
          <w:rFonts w:hint="eastAsia"/>
        </w:rPr>
        <w:t>由于采取了上文几段所述措施，在过去十年中，全民的总体健康水平和全面获得更多、更好保健的情况，都大为改善。</w:t>
      </w:r>
    </w:p>
    <w:p w:rsidR="00000000" w:rsidRDefault="009C1C61">
      <w:pPr>
        <w:rPr>
          <w:rFonts w:hint="eastAsia"/>
        </w:rPr>
      </w:pPr>
      <w:r>
        <w:rPr>
          <w:rFonts w:hint="eastAsia"/>
        </w:rPr>
        <w:tab/>
      </w:r>
      <w:r>
        <w:t>683.</w:t>
      </w:r>
      <w:r>
        <w:rPr>
          <w:rFonts w:hint="eastAsia"/>
        </w:rPr>
        <w:t xml:space="preserve">  </w:t>
      </w:r>
      <w:r>
        <w:rPr>
          <w:rFonts w:hint="eastAsia"/>
        </w:rPr>
        <w:t>婴儿、</w:t>
      </w:r>
      <w:r>
        <w:rPr>
          <w:rFonts w:hint="eastAsia"/>
        </w:rPr>
        <w:t>5</w:t>
      </w:r>
      <w:r>
        <w:rPr>
          <w:rFonts w:hint="eastAsia"/>
        </w:rPr>
        <w:t>岁以下儿童、</w:t>
      </w:r>
      <w:r>
        <w:rPr>
          <w:rFonts w:hint="eastAsia"/>
        </w:rPr>
        <w:t>65</w:t>
      </w:r>
      <w:r>
        <w:rPr>
          <w:rFonts w:hint="eastAsia"/>
        </w:rPr>
        <w:t>岁以上老人以及妇女的死亡率，都继续下降。</w:t>
      </w:r>
      <w:r>
        <w:rPr>
          <w:rFonts w:hint="eastAsia"/>
        </w:rPr>
        <w:t>5</w:t>
      </w:r>
      <w:r>
        <w:rPr>
          <w:rFonts w:hint="eastAsia"/>
        </w:rPr>
        <w:t>岁至</w:t>
      </w:r>
      <w:r>
        <w:rPr>
          <w:rFonts w:hint="eastAsia"/>
        </w:rPr>
        <w:t>65</w:t>
      </w:r>
      <w:r>
        <w:rPr>
          <w:rFonts w:hint="eastAsia"/>
        </w:rPr>
        <w:t>岁的人，其死亡率仍保持稳定。结核的致死率和发病率，</w:t>
      </w:r>
      <w:r>
        <w:rPr>
          <w:rFonts w:hint="eastAsia"/>
        </w:rPr>
        <w:t>1980</w:t>
      </w:r>
      <w:r>
        <w:rPr>
          <w:rFonts w:hint="eastAsia"/>
        </w:rPr>
        <w:t>年代初曾出现下降趋势，如今再次呈现下降趋势；这种病在有几个区几近消灭。在</w:t>
      </w:r>
      <w:r>
        <w:rPr>
          <w:rFonts w:hint="eastAsia"/>
        </w:rPr>
        <w:t>65</w:t>
      </w:r>
      <w:r>
        <w:rPr>
          <w:rFonts w:hint="eastAsia"/>
        </w:rPr>
        <w:t>岁以上年龄组中死于支气管肺炎的人连续</w:t>
      </w:r>
      <w:r>
        <w:rPr>
          <w:rFonts w:hint="eastAsia"/>
        </w:rPr>
        <w:t>3</w:t>
      </w:r>
      <w:r>
        <w:rPr>
          <w:rFonts w:hint="eastAsia"/>
        </w:rPr>
        <w:t>年一直在减少：</w:t>
      </w:r>
      <w:r>
        <w:rPr>
          <w:rFonts w:hint="eastAsia"/>
        </w:rPr>
        <w:t>1999</w:t>
      </w:r>
      <w:r>
        <w:rPr>
          <w:rFonts w:hint="eastAsia"/>
        </w:rPr>
        <w:t>年上</w:t>
      </w:r>
      <w:r>
        <w:rPr>
          <w:rFonts w:hint="eastAsia"/>
        </w:rPr>
        <w:t>半年共死</w:t>
      </w:r>
      <w:r>
        <w:t>2,817</w:t>
      </w:r>
      <w:r>
        <w:rPr>
          <w:rFonts w:hint="eastAsia"/>
        </w:rPr>
        <w:t>人，</w:t>
      </w:r>
      <w:r>
        <w:t>2000</w:t>
      </w:r>
      <w:r>
        <w:rPr>
          <w:rFonts w:hint="eastAsia"/>
        </w:rPr>
        <w:t>年同期共死</w:t>
      </w:r>
      <w:r>
        <w:t>1,776</w:t>
      </w:r>
      <w:r>
        <w:rPr>
          <w:rFonts w:hint="eastAsia"/>
        </w:rPr>
        <w:t>人。</w:t>
      </w:r>
      <w:r>
        <w:rPr>
          <w:rFonts w:hint="eastAsia"/>
        </w:rPr>
        <w:t>1</w:t>
      </w:r>
      <w:r>
        <w:rPr>
          <w:rFonts w:hint="eastAsia"/>
        </w:rPr>
        <w:t>岁以下的婴儿相应死亡人数分别为</w:t>
      </w:r>
      <w:r>
        <w:rPr>
          <w:rFonts w:hint="eastAsia"/>
        </w:rPr>
        <w:t>93</w:t>
      </w:r>
      <w:r>
        <w:rPr>
          <w:rFonts w:hint="eastAsia"/>
        </w:rPr>
        <w:t>人和</w:t>
      </w:r>
      <w:r>
        <w:rPr>
          <w:rFonts w:hint="eastAsia"/>
        </w:rPr>
        <w:t>64</w:t>
      </w:r>
      <w:r>
        <w:rPr>
          <w:rFonts w:hint="eastAsia"/>
        </w:rPr>
        <w:t>人。</w:t>
      </w:r>
    </w:p>
    <w:p w:rsidR="00000000" w:rsidRDefault="009C1C61">
      <w:pPr>
        <w:spacing w:after="320"/>
        <w:rPr>
          <w:rFonts w:hint="eastAsia"/>
        </w:rPr>
      </w:pPr>
      <w:r>
        <w:rPr>
          <w:rFonts w:hint="eastAsia"/>
        </w:rPr>
        <w:tab/>
      </w:r>
      <w:r>
        <w:t>684.</w:t>
      </w:r>
      <w:r>
        <w:rPr>
          <w:rFonts w:hint="eastAsia"/>
        </w:rPr>
        <w:t xml:space="preserve">  </w:t>
      </w:r>
      <w:r>
        <w:rPr>
          <w:rFonts w:hint="eastAsia"/>
        </w:rPr>
        <w:t>自</w:t>
      </w:r>
      <w:r>
        <w:t>1994</w:t>
      </w:r>
      <w:r>
        <w:rPr>
          <w:rFonts w:hint="eastAsia"/>
        </w:rPr>
        <w:t>年初至</w:t>
      </w:r>
      <w:r>
        <w:t>1999</w:t>
      </w:r>
      <w:r>
        <w:rPr>
          <w:rFonts w:hint="eastAsia"/>
        </w:rPr>
        <w:t>年底，因预防和治疗都有了改善，估计有</w:t>
      </w:r>
      <w:r>
        <w:t>2,696</w:t>
      </w:r>
      <w:r>
        <w:rPr>
          <w:rFonts w:hint="eastAsia"/>
        </w:rPr>
        <w:t>个</w:t>
      </w:r>
      <w:r>
        <w:rPr>
          <w:rFonts w:hint="eastAsia"/>
        </w:rPr>
        <w:t>1</w:t>
      </w:r>
      <w:r>
        <w:rPr>
          <w:rFonts w:hint="eastAsia"/>
        </w:rPr>
        <w:t>岁以下患肺炎的婴儿性命得救。</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政府为保证向病人提供全面医疗和医疗服务而采取的措施</w:t>
      </w:r>
    </w:p>
    <w:p w:rsidR="00000000" w:rsidRDefault="009C1C61">
      <w:pPr>
        <w:spacing w:after="320"/>
        <w:rPr>
          <w:rFonts w:hint="eastAsia"/>
        </w:rPr>
      </w:pPr>
      <w:r>
        <w:rPr>
          <w:rFonts w:hint="eastAsia"/>
        </w:rPr>
        <w:tab/>
      </w:r>
      <w:r>
        <w:t>685.</w:t>
      </w:r>
      <w:r>
        <w:rPr>
          <w:rFonts w:hint="eastAsia"/>
        </w:rPr>
        <w:t xml:space="preserve">  </w:t>
      </w:r>
      <w:r>
        <w:rPr>
          <w:rFonts w:hint="eastAsia"/>
        </w:rPr>
        <w:t>当前立法保证通过一个公立和私立子系统网为所有智利居民提供保健服务。全国卫生服务署为大约</w:t>
      </w:r>
      <w:r>
        <w:t>70%</w:t>
      </w:r>
      <w:r>
        <w:rPr>
          <w:rFonts w:hint="eastAsia"/>
        </w:rPr>
        <w:t>的人口提供了保健服务，</w:t>
      </w:r>
      <w:r>
        <w:t>(</w:t>
      </w:r>
      <w:r>
        <w:rPr>
          <w:rFonts w:hint="eastAsia"/>
        </w:rPr>
        <w:t>如果虑及宣传和预防运动的则为</w:t>
      </w:r>
      <w:r>
        <w:t>100%)</w:t>
      </w:r>
      <w:r>
        <w:rPr>
          <w:rFonts w:hint="eastAsia"/>
        </w:rPr>
        <w:t>。</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改善全民获得良好健康机会的方案和行动</w:t>
      </w:r>
    </w:p>
    <w:p w:rsidR="00000000" w:rsidRDefault="009C1C61">
      <w:pPr>
        <w:rPr>
          <w:rFonts w:hint="eastAsia"/>
        </w:rPr>
      </w:pPr>
      <w:r>
        <w:rPr>
          <w:rFonts w:hint="eastAsia"/>
        </w:rPr>
        <w:tab/>
      </w:r>
      <w:r>
        <w:t>686.</w:t>
      </w:r>
      <w:r>
        <w:rPr>
          <w:rFonts w:hint="eastAsia"/>
        </w:rPr>
        <w:t xml:space="preserve">  </w:t>
      </w:r>
      <w:r>
        <w:rPr>
          <w:rFonts w:hint="eastAsia"/>
        </w:rPr>
        <w:t>社会卫生改革是</w:t>
      </w:r>
      <w:r>
        <w:rPr>
          <w:rFonts w:hint="eastAsia"/>
        </w:rPr>
        <w:t>里卡多·拉戈斯总统政府采取的重大普遍措施。它为确定</w:t>
      </w:r>
      <w:r>
        <w:t>2000</w:t>
      </w:r>
      <w:r>
        <w:rPr>
          <w:rFonts w:hint="eastAsia"/>
        </w:rPr>
        <w:t>至</w:t>
      </w:r>
      <w:r>
        <w:t>2010</w:t>
      </w:r>
      <w:r>
        <w:rPr>
          <w:rFonts w:hint="eastAsia"/>
        </w:rPr>
        <w:t>年期间的国家卫生目标提供了一个框架，开展非常需要的紧急行动都以这些目标为基本参照点。</w:t>
      </w:r>
    </w:p>
    <w:p w:rsidR="00000000" w:rsidRDefault="009C1C61">
      <w:pPr>
        <w:rPr>
          <w:rFonts w:hint="eastAsia"/>
        </w:rPr>
      </w:pPr>
      <w:r>
        <w:rPr>
          <w:rFonts w:hint="eastAsia"/>
        </w:rPr>
        <w:tab/>
        <w:t xml:space="preserve">687.  </w:t>
      </w:r>
      <w:r>
        <w:rPr>
          <w:rFonts w:hint="eastAsia"/>
        </w:rPr>
        <w:t>政府推出了一项计划，确保人们普遍有机会利用机会、质量和财政保护有明确保障的卫生方案，政府的目标和承诺是要实现卫生权。这项计划是社会卫生改革的核心，包括下列目标：</w:t>
      </w:r>
      <w:r>
        <w:rPr>
          <w:rStyle w:val="FootnoteReference"/>
        </w:rPr>
        <w:footnoteReference w:id="298"/>
      </w:r>
    </w:p>
    <w:p w:rsidR="00000000" w:rsidRDefault="009C1C61">
      <w:pPr>
        <w:numPr>
          <w:ilvl w:val="0"/>
          <w:numId w:val="311"/>
        </w:numPr>
      </w:pPr>
      <w:r>
        <w:rPr>
          <w:rFonts w:hint="eastAsia"/>
        </w:rPr>
        <w:t>保障不论支付能力如何，都平等享受保健的机会，确保根据健康状况施行治疗；</w:t>
      </w:r>
    </w:p>
    <w:p w:rsidR="00000000" w:rsidRDefault="009C1C61">
      <w:pPr>
        <w:numPr>
          <w:ilvl w:val="0"/>
          <w:numId w:val="311"/>
        </w:numPr>
      </w:pPr>
      <w:r>
        <w:rPr>
          <w:rFonts w:hint="eastAsia"/>
        </w:rPr>
        <w:t>促进实现健康目标；</w:t>
      </w:r>
    </w:p>
    <w:p w:rsidR="00000000" w:rsidRDefault="009C1C61">
      <w:pPr>
        <w:numPr>
          <w:ilvl w:val="0"/>
          <w:numId w:val="311"/>
        </w:numPr>
      </w:pPr>
      <w:r>
        <w:rPr>
          <w:rFonts w:hint="eastAsia"/>
        </w:rPr>
        <w:t>关于有关享受卫生方案、确保卫生方案适宜和质量的规定，要加强相关条例；</w:t>
      </w:r>
    </w:p>
    <w:p w:rsidR="00000000" w:rsidRDefault="009C1C61">
      <w:pPr>
        <w:numPr>
          <w:ilvl w:val="0"/>
          <w:numId w:val="311"/>
        </w:numPr>
        <w:rPr>
          <w:rFonts w:hint="eastAsia"/>
        </w:rPr>
      </w:pPr>
      <w:r>
        <w:rPr>
          <w:rFonts w:hint="eastAsia"/>
        </w:rPr>
        <w:t>实行一种特殊健康模</w:t>
      </w:r>
      <w:r>
        <w:rPr>
          <w:rFonts w:hint="eastAsia"/>
        </w:rPr>
        <w:t>式，强调宣传和预防，侧重初级保健和门诊病人的保健，突出治本和治标类的行动和服务；</w:t>
      </w:r>
    </w:p>
    <w:p w:rsidR="00000000" w:rsidRDefault="009C1C61">
      <w:pPr>
        <w:numPr>
          <w:ilvl w:val="0"/>
          <w:numId w:val="311"/>
        </w:numPr>
      </w:pPr>
      <w:r>
        <w:rPr>
          <w:rFonts w:hint="eastAsia"/>
        </w:rPr>
        <w:t>支持该部门交付方案和提供服务。此外，这项计划还包括着一项普遍内容，使所有捐者和没有资金的人都受益。</w:t>
      </w:r>
    </w:p>
    <w:p w:rsidR="00000000" w:rsidRDefault="009C1C61">
      <w:pPr>
        <w:rPr>
          <w:rFonts w:hint="eastAsia"/>
        </w:rPr>
      </w:pPr>
      <w:r>
        <w:rPr>
          <w:rFonts w:hint="eastAsia"/>
        </w:rPr>
        <w:tab/>
      </w:r>
      <w:r>
        <w:t>688.</w:t>
      </w:r>
      <w:r>
        <w:rPr>
          <w:rFonts w:hint="eastAsia"/>
        </w:rPr>
        <w:t xml:space="preserve">  </w:t>
      </w:r>
      <w:r>
        <w:rPr>
          <w:rFonts w:hint="eastAsia"/>
        </w:rPr>
        <w:t>关于免费治疗程度问题，此项计划规定：</w:t>
      </w:r>
    </w:p>
    <w:p w:rsidR="00000000" w:rsidRDefault="009C1C61">
      <w:pPr>
        <w:numPr>
          <w:ilvl w:val="0"/>
          <w:numId w:val="312"/>
        </w:numPr>
      </w:pPr>
      <w:r>
        <w:rPr>
          <w:rFonts w:hint="eastAsia"/>
        </w:rPr>
        <w:t>国家保健服务系统自开始实施以来就提供的免费机构保健，从</w:t>
      </w:r>
      <w:r>
        <w:rPr>
          <w:rFonts w:hint="eastAsia"/>
        </w:rPr>
        <w:t>2001</w:t>
      </w:r>
      <w:r>
        <w:rPr>
          <w:rFonts w:hint="eastAsia"/>
        </w:rPr>
        <w:t>年起向</w:t>
      </w:r>
      <w:r>
        <w:rPr>
          <w:rFonts w:hint="eastAsia"/>
        </w:rPr>
        <w:t>A</w:t>
      </w:r>
      <w:r>
        <w:rPr>
          <w:rFonts w:hint="eastAsia"/>
        </w:rPr>
        <w:t>组和</w:t>
      </w:r>
      <w:r>
        <w:rPr>
          <w:rFonts w:hint="eastAsia"/>
        </w:rPr>
        <w:t>B</w:t>
      </w:r>
      <w:r>
        <w:rPr>
          <w:rFonts w:hint="eastAsia"/>
        </w:rPr>
        <w:t>组及</w:t>
      </w:r>
      <w:r>
        <w:rPr>
          <w:rFonts w:hint="eastAsia"/>
        </w:rPr>
        <w:t>65</w:t>
      </w:r>
      <w:r>
        <w:rPr>
          <w:rFonts w:hint="eastAsia"/>
        </w:rPr>
        <w:t>岁以上的成人提供，从</w:t>
      </w:r>
      <w:r>
        <w:rPr>
          <w:rFonts w:hint="eastAsia"/>
        </w:rPr>
        <w:t>1997</w:t>
      </w:r>
      <w:r>
        <w:rPr>
          <w:rFonts w:hint="eastAsia"/>
        </w:rPr>
        <w:t>年起</w:t>
      </w:r>
      <w:r>
        <w:t>C</w:t>
      </w:r>
      <w:r>
        <w:rPr>
          <w:rFonts w:hint="eastAsia"/>
        </w:rPr>
        <w:t>组和</w:t>
      </w:r>
      <w:r>
        <w:t>D</w:t>
      </w:r>
      <w:r>
        <w:rPr>
          <w:rFonts w:hint="eastAsia"/>
        </w:rPr>
        <w:t>组的捐助分别从</w:t>
      </w:r>
      <w:r>
        <w:t>25</w:t>
      </w:r>
      <w:r>
        <w:rPr>
          <w:rFonts w:hint="eastAsia"/>
        </w:rPr>
        <w:t>%</w:t>
      </w:r>
      <w:r>
        <w:rPr>
          <w:rFonts w:hint="eastAsia"/>
        </w:rPr>
        <w:t>和</w:t>
      </w:r>
      <w:r>
        <w:t xml:space="preserve"> 50% </w:t>
      </w:r>
      <w:r>
        <w:rPr>
          <w:rFonts w:hint="eastAsia"/>
        </w:rPr>
        <w:t>减少到</w:t>
      </w:r>
      <w:r>
        <w:t>10</w:t>
      </w:r>
      <w:r>
        <w:rPr>
          <w:rFonts w:hint="eastAsia"/>
        </w:rPr>
        <w:t>%</w:t>
      </w:r>
      <w:r>
        <w:rPr>
          <w:rFonts w:hint="eastAsia"/>
        </w:rPr>
        <w:t>和</w:t>
      </w:r>
      <w:r>
        <w:t>20</w:t>
      </w:r>
      <w:r>
        <w:rPr>
          <w:rFonts w:hint="eastAsia"/>
        </w:rPr>
        <w:t>%</w:t>
      </w:r>
      <w:r>
        <w:rPr>
          <w:rFonts w:hint="eastAsia"/>
        </w:rPr>
        <w:t>；</w:t>
      </w:r>
      <w:r>
        <w:rPr>
          <w:rStyle w:val="FootnoteReference"/>
        </w:rPr>
        <w:footnoteReference w:id="299"/>
      </w:r>
    </w:p>
    <w:p w:rsidR="00000000" w:rsidRDefault="009C1C61">
      <w:pPr>
        <w:numPr>
          <w:ilvl w:val="0"/>
          <w:numId w:val="312"/>
        </w:numPr>
        <w:rPr>
          <w:rFonts w:hint="eastAsia"/>
        </w:rPr>
      </w:pPr>
      <w:r>
        <w:rPr>
          <w:rFonts w:hint="eastAsia"/>
        </w:rPr>
        <w:t>与</w:t>
      </w:r>
      <w:r>
        <w:t>1990</w:t>
      </w:r>
      <w:r>
        <w:rPr>
          <w:rFonts w:hint="eastAsia"/>
        </w:rPr>
        <w:t>至</w:t>
      </w:r>
      <w:r>
        <w:t>2000</w:t>
      </w:r>
      <w:r>
        <w:rPr>
          <w:rFonts w:hint="eastAsia"/>
        </w:rPr>
        <w:t>年相比，加大了药品供应</w:t>
      </w:r>
      <w:r>
        <w:t>：</w:t>
      </w:r>
      <w:r>
        <w:rPr>
          <w:rFonts w:hint="eastAsia"/>
        </w:rPr>
        <w:t>处方药由</w:t>
      </w:r>
      <w:r>
        <w:t>38%</w:t>
      </w:r>
      <w:r>
        <w:rPr>
          <w:rFonts w:hint="eastAsia"/>
        </w:rPr>
        <w:t>增加到</w:t>
      </w:r>
      <w:r>
        <w:t>80%</w:t>
      </w:r>
      <w:r>
        <w:rPr>
          <w:rFonts w:hint="eastAsia"/>
        </w:rPr>
        <w:t>。</w:t>
      </w:r>
    </w:p>
    <w:p w:rsidR="00000000" w:rsidRDefault="009C1C61">
      <w:pPr>
        <w:rPr>
          <w:rFonts w:hint="eastAsia"/>
        </w:rPr>
      </w:pPr>
      <w:r>
        <w:rPr>
          <w:rFonts w:hint="eastAsia"/>
        </w:rPr>
        <w:tab/>
      </w:r>
      <w:r>
        <w:t>689.</w:t>
      </w:r>
      <w:r>
        <w:rPr>
          <w:rFonts w:hint="eastAsia"/>
        </w:rPr>
        <w:t xml:space="preserve">  </w:t>
      </w:r>
      <w:r>
        <w:rPr>
          <w:rFonts w:hint="eastAsia"/>
        </w:rPr>
        <w:t>至于人力</w:t>
      </w:r>
      <w:r>
        <w:rPr>
          <w:rFonts w:hint="eastAsia"/>
        </w:rPr>
        <w:t>资源，</w:t>
      </w:r>
      <w:r>
        <w:t>1990</w:t>
      </w:r>
      <w:r>
        <w:rPr>
          <w:rFonts w:hint="eastAsia"/>
        </w:rPr>
        <w:t>至</w:t>
      </w:r>
      <w:r>
        <w:t>1998</w:t>
      </w:r>
      <w:r>
        <w:rPr>
          <w:rFonts w:hint="eastAsia"/>
        </w:rPr>
        <w:t>年期间，初级保健系统已经征聘了更多、资格更过硬的职员，内科医生、牙医和药剂师由</w:t>
      </w:r>
      <w:r>
        <w:t>2,039</w:t>
      </w:r>
      <w:r>
        <w:rPr>
          <w:rFonts w:hint="eastAsia"/>
        </w:rPr>
        <w:t>人增加到</w:t>
      </w:r>
      <w:r>
        <w:t>2,903</w:t>
      </w:r>
      <w:r>
        <w:rPr>
          <w:rFonts w:hint="eastAsia"/>
        </w:rPr>
        <w:t>人，护士和心理医生由</w:t>
      </w:r>
      <w:r>
        <w:t>580</w:t>
      </w:r>
      <w:r>
        <w:rPr>
          <w:rFonts w:hint="eastAsia"/>
        </w:rPr>
        <w:t>人增加到</w:t>
      </w:r>
      <w:r>
        <w:t>3,600</w:t>
      </w:r>
      <w:r>
        <w:rPr>
          <w:rFonts w:hint="eastAsia"/>
        </w:rPr>
        <w:t>人。有更多的非专业人员接受了训练。</w:t>
      </w:r>
    </w:p>
    <w:p w:rsidR="00000000" w:rsidRDefault="009C1C61">
      <w:r>
        <w:rPr>
          <w:rFonts w:hint="eastAsia"/>
        </w:rPr>
        <w:tab/>
      </w:r>
      <w:r>
        <w:t>690.</w:t>
      </w:r>
      <w:r>
        <w:rPr>
          <w:rFonts w:hint="eastAsia"/>
        </w:rPr>
        <w:t xml:space="preserve">  </w:t>
      </w:r>
      <w:r>
        <w:t>1990</w:t>
      </w:r>
      <w:r>
        <w:rPr>
          <w:rFonts w:hint="eastAsia"/>
        </w:rPr>
        <w:t>至</w:t>
      </w:r>
      <w:r>
        <w:t>2002</w:t>
      </w:r>
      <w:r>
        <w:rPr>
          <w:rFonts w:hint="eastAsia"/>
        </w:rPr>
        <w:t>年期间，因加强了初级保健而取得了如下成就</w:t>
      </w:r>
      <w:r>
        <w:t>：</w:t>
      </w:r>
      <w:r>
        <w:t xml:space="preserve"> </w:t>
      </w:r>
      <w:r>
        <w:rPr>
          <w:rFonts w:hint="eastAsia"/>
        </w:rPr>
        <w:t>建造和修理了农村手术室和中心；设立了</w:t>
      </w:r>
      <w:r>
        <w:t>73</w:t>
      </w:r>
      <w:r>
        <w:rPr>
          <w:rFonts w:hint="eastAsia"/>
        </w:rPr>
        <w:t>个初级急诊中心；城乡各手术室的开放时间延长到</w:t>
      </w:r>
      <w:r>
        <w:rPr>
          <w:rFonts w:hint="eastAsia"/>
        </w:rPr>
        <w:t>20</w:t>
      </w:r>
      <w:r>
        <w:rPr>
          <w:rFonts w:hint="eastAsia"/>
        </w:rPr>
        <w:t>个小时；建立了</w:t>
      </w:r>
      <w:r>
        <w:t>162</w:t>
      </w:r>
      <w:r>
        <w:rPr>
          <w:rFonts w:hint="eastAsia"/>
        </w:rPr>
        <w:t>个基本化验室，一个城市一个；</w:t>
      </w:r>
      <w:r>
        <w:t>308</w:t>
      </w:r>
      <w:r>
        <w:rPr>
          <w:rFonts w:hint="eastAsia"/>
        </w:rPr>
        <w:t>个手术室的牙科护理</w:t>
      </w:r>
      <w:r>
        <w:rPr>
          <w:rFonts w:hint="eastAsia"/>
          <w:spacing w:val="-40"/>
        </w:rPr>
        <w:t>——</w:t>
      </w:r>
      <w:r>
        <w:rPr>
          <w:rFonts w:hint="eastAsia"/>
        </w:rPr>
        <w:t>预防、治疗、康复和急诊</w:t>
      </w:r>
      <w:r>
        <w:rPr>
          <w:rFonts w:hint="eastAsia"/>
          <w:spacing w:val="-40"/>
        </w:rPr>
        <w:t>——</w:t>
      </w:r>
      <w:r>
        <w:rPr>
          <w:rFonts w:hint="eastAsia"/>
        </w:rPr>
        <w:t>更普及；实施了一项治疗儿童支气管阻塞</w:t>
      </w:r>
      <w:r>
        <w:rPr>
          <w:rFonts w:hint="eastAsia"/>
        </w:rPr>
        <w:t>和急性呼吸器官感染的方案，包括</w:t>
      </w:r>
      <w:r>
        <w:t>490</w:t>
      </w:r>
      <w:r>
        <w:rPr>
          <w:rFonts w:hint="eastAsia"/>
        </w:rPr>
        <w:t>个短期住院病房；实施了一项成人呼吸器官疾病防治的试验方案；由手术室监测慢性疾病，以扩大初级保健服务面，提高其效果。此外，还建立了</w:t>
      </w:r>
      <w:r>
        <w:t>45</w:t>
      </w:r>
      <w:r>
        <w:rPr>
          <w:rFonts w:hint="eastAsia"/>
        </w:rPr>
        <w:t>个家庭保健中心。有</w:t>
      </w:r>
      <w:r>
        <w:t>35%</w:t>
      </w:r>
      <w:r>
        <w:rPr>
          <w:rFonts w:hint="eastAsia"/>
        </w:rPr>
        <w:t>的手术室提供电话预约，</w:t>
      </w:r>
      <w:r>
        <w:rPr>
          <w:rFonts w:hint="eastAsia"/>
        </w:rPr>
        <w:t>1</w:t>
      </w:r>
      <w:r>
        <w:rPr>
          <w:rFonts w:hint="eastAsia"/>
        </w:rPr>
        <w:t>岁以下的婴儿和</w:t>
      </w:r>
      <w:r>
        <w:rPr>
          <w:rFonts w:hint="eastAsia"/>
        </w:rPr>
        <w:t>65</w:t>
      </w:r>
      <w:r>
        <w:rPr>
          <w:rFonts w:hint="eastAsia"/>
        </w:rPr>
        <w:t>岁以上的老人保证在</w:t>
      </w:r>
      <w:r>
        <w:t>48</w:t>
      </w:r>
      <w:r>
        <w:rPr>
          <w:rFonts w:hint="eastAsia"/>
        </w:rPr>
        <w:t>小时内得到治疗。</w:t>
      </w:r>
    </w:p>
    <w:p w:rsidR="00000000" w:rsidRDefault="009C1C61">
      <w:pPr>
        <w:rPr>
          <w:rFonts w:hint="eastAsia"/>
        </w:rPr>
      </w:pPr>
      <w:r>
        <w:rPr>
          <w:rFonts w:hint="eastAsia"/>
        </w:rPr>
        <w:tab/>
      </w:r>
      <w:r>
        <w:t>691.</w:t>
      </w:r>
      <w:r>
        <w:rPr>
          <w:rFonts w:hint="eastAsia"/>
        </w:rPr>
        <w:t xml:space="preserve">  </w:t>
      </w:r>
      <w:r>
        <w:t>1996</w:t>
      </w:r>
      <w:r>
        <w:rPr>
          <w:rFonts w:hint="eastAsia"/>
        </w:rPr>
        <w:t>年，实施了及时治疗方案，以缩短手术等待名单。现在有了这项方案，</w:t>
      </w:r>
      <w:r>
        <w:rPr>
          <w:rFonts w:hint="eastAsia"/>
        </w:rPr>
        <w:t>8</w:t>
      </w:r>
      <w:r>
        <w:rPr>
          <w:rFonts w:hint="eastAsia"/>
        </w:rPr>
        <w:t>种主要疾病患者可以立即接受</w:t>
      </w:r>
      <w:r>
        <w:rPr>
          <w:rFonts w:hint="eastAsia"/>
        </w:rPr>
        <w:t>11</w:t>
      </w:r>
      <w:r>
        <w:rPr>
          <w:rFonts w:hint="eastAsia"/>
        </w:rPr>
        <w:t>种手术。这项方案使服务提供商保证在医生提出必须手术的建议后</w:t>
      </w:r>
      <w:r>
        <w:rPr>
          <w:rFonts w:hint="eastAsia"/>
        </w:rPr>
        <w:t>3</w:t>
      </w:r>
      <w:r>
        <w:rPr>
          <w:rFonts w:hint="eastAsia"/>
        </w:rPr>
        <w:t>个月内要解决这些保健问题。这也就意味着，</w:t>
      </w:r>
      <w:r>
        <w:rPr>
          <w:rFonts w:hint="eastAsia"/>
        </w:rPr>
        <w:t>1996</w:t>
      </w:r>
      <w:r>
        <w:rPr>
          <w:rFonts w:hint="eastAsia"/>
        </w:rPr>
        <w:t>至</w:t>
      </w:r>
      <w:r>
        <w:rPr>
          <w:rFonts w:hint="eastAsia"/>
        </w:rPr>
        <w:t>2000</w:t>
      </w:r>
      <w:r>
        <w:rPr>
          <w:rFonts w:hint="eastAsia"/>
        </w:rPr>
        <w:t>年期</w:t>
      </w:r>
      <w:r>
        <w:rPr>
          <w:rFonts w:hint="eastAsia"/>
        </w:rPr>
        <w:t>间手术室数量增加了</w:t>
      </w:r>
      <w:r>
        <w:t>45%</w:t>
      </w:r>
      <w:r>
        <w:rPr>
          <w:rFonts w:hint="eastAsia"/>
        </w:rPr>
        <w:t>。</w:t>
      </w:r>
    </w:p>
    <w:p w:rsidR="00000000" w:rsidRDefault="009C1C61">
      <w:pPr>
        <w:rPr>
          <w:rFonts w:hint="eastAsia"/>
        </w:rPr>
      </w:pPr>
      <w:r>
        <w:rPr>
          <w:rFonts w:hint="eastAsia"/>
        </w:rPr>
        <w:tab/>
      </w:r>
      <w:r>
        <w:t>692.</w:t>
      </w:r>
      <w:r>
        <w:rPr>
          <w:rFonts w:hint="eastAsia"/>
        </w:rPr>
        <w:t xml:space="preserve">  </w:t>
      </w:r>
      <w:r>
        <w:rPr>
          <w:rFonts w:hint="eastAsia"/>
        </w:rPr>
        <w:t>等待名单已经缩短，以加速住院治疗。为成人和儿童服务的几乎所有医学领域都涵盖了。</w:t>
      </w:r>
      <w:r>
        <w:rPr>
          <w:rFonts w:hint="eastAsia"/>
        </w:rPr>
        <w:t>1991</w:t>
      </w:r>
      <w:r>
        <w:rPr>
          <w:rFonts w:hint="eastAsia"/>
        </w:rPr>
        <w:t>至</w:t>
      </w:r>
      <w:r>
        <w:rPr>
          <w:rFonts w:hint="eastAsia"/>
        </w:rPr>
        <w:t>1993</w:t>
      </w:r>
      <w:r>
        <w:rPr>
          <w:rFonts w:hint="eastAsia"/>
        </w:rPr>
        <w:t>年，首次尝试通过卫生部开办一项的方案缩短等待名单。于是，在成人手术、儿童手术、眼科、整形外科、耳鼻喉科等领域产生了令人满意的结果。遗憾的是，该方案中断了。</w:t>
      </w:r>
      <w:r>
        <w:t>1996</w:t>
      </w:r>
      <w:r>
        <w:rPr>
          <w:rFonts w:hint="eastAsia"/>
        </w:rPr>
        <w:t>年，又重新再来，引入了按诊断收费的概念，力求缩短首都区和比尼亚德尔马</w:t>
      </w:r>
      <w:r>
        <w:rPr>
          <w:rFonts w:hint="eastAsia"/>
        </w:rPr>
        <w:t>-</w:t>
      </w:r>
      <w:r>
        <w:rPr>
          <w:rFonts w:hint="eastAsia"/>
        </w:rPr>
        <w:t>基约塔的保健服务等待名单。所选这些疾病都反映了当地的保健服务情况。</w:t>
      </w:r>
    </w:p>
    <w:p w:rsidR="00000000" w:rsidRDefault="009C1C61">
      <w:pPr>
        <w:spacing w:after="320"/>
        <w:rPr>
          <w:rFonts w:hint="eastAsia"/>
        </w:rPr>
      </w:pPr>
      <w:r>
        <w:rPr>
          <w:rFonts w:hint="eastAsia"/>
        </w:rPr>
        <w:tab/>
        <w:t xml:space="preserve">693.  </w:t>
      </w:r>
      <w:r>
        <w:rPr>
          <w:rFonts w:hint="eastAsia"/>
        </w:rPr>
        <w:t>复杂治疗，包括心脏手术、脑外科、肾移植、肝移植、透析、囊性纤</w:t>
      </w:r>
      <w:r>
        <w:rPr>
          <w:rFonts w:hint="eastAsia"/>
        </w:rPr>
        <w:t>维化、服用抑制免疫药物及肿瘤治疗，都实行收费。</w:t>
      </w:r>
      <w:r>
        <w:t>1998</w:t>
      </w:r>
      <w:r>
        <w:rPr>
          <w:rFonts w:hint="eastAsia"/>
        </w:rPr>
        <w:t>年以来，享受公共卫生制度的大病患者，各种费用全部报销。这些服务在技术非常先进的公立医院或转包的私立医院，都通过国卫基金筹资。</w:t>
      </w:r>
    </w:p>
    <w:p w:rsidR="00000000" w:rsidRDefault="009C1C61">
      <w:pPr>
        <w:pStyle w:val="Heading4"/>
        <w:rPr>
          <w:rFonts w:ascii="Time New Roman" w:eastAsia="SimHei" w:hAnsi="Time New Roman"/>
          <w:u w:val="none"/>
        </w:rPr>
      </w:pPr>
      <w:r>
        <w:rPr>
          <w:rFonts w:ascii="Time New Roman" w:eastAsia="SimHei" w:hAnsi="Time New Roman" w:hint="eastAsia"/>
          <w:u w:val="none"/>
        </w:rPr>
        <w:t>社区参与初级保健的规划、组织、经营和控制</w:t>
      </w:r>
    </w:p>
    <w:p w:rsidR="00000000" w:rsidRDefault="009C1C61">
      <w:pPr>
        <w:rPr>
          <w:rFonts w:hint="eastAsia"/>
        </w:rPr>
      </w:pPr>
      <w:r>
        <w:rPr>
          <w:rFonts w:hint="eastAsia"/>
        </w:rPr>
        <w:tab/>
      </w:r>
      <w:r>
        <w:t>694.</w:t>
      </w:r>
      <w:r>
        <w:rPr>
          <w:rFonts w:hint="eastAsia"/>
        </w:rPr>
        <w:t xml:space="preserve">  </w:t>
      </w:r>
      <w:r>
        <w:rPr>
          <w:rFonts w:hint="eastAsia"/>
        </w:rPr>
        <w:t>自</w:t>
      </w:r>
      <w:r>
        <w:t>1998</w:t>
      </w:r>
      <w:r>
        <w:rPr>
          <w:rFonts w:hint="eastAsia"/>
        </w:rPr>
        <w:t>年以来，为了满足全民的需要，达到全国最新流行病情况的要求，智利已经制订了一项全国增进健康计划和卫生部区计划，采取权力下放和跨部门合作的方针，以社会参与为基础，加强区和地方管理。该计划强调健康食品、体育锻练、无烟环境、齐心协力和健康空地。</w:t>
      </w:r>
    </w:p>
    <w:p w:rsidR="00000000" w:rsidRDefault="009C1C61">
      <w:pPr>
        <w:spacing w:after="320"/>
        <w:rPr>
          <w:rFonts w:hint="eastAsia"/>
        </w:rPr>
      </w:pPr>
      <w:r>
        <w:rPr>
          <w:rFonts w:hint="eastAsia"/>
        </w:rPr>
        <w:tab/>
      </w:r>
      <w:r>
        <w:t>695.</w:t>
      </w:r>
      <w:r>
        <w:rPr>
          <w:rFonts w:hint="eastAsia"/>
        </w:rPr>
        <w:t xml:space="preserve">  </w:t>
      </w:r>
      <w:r>
        <w:rPr>
          <w:rFonts w:hint="eastAsia"/>
        </w:rPr>
        <w:t>最后，在市一级</w:t>
      </w:r>
      <w:r>
        <w:rPr>
          <w:rFonts w:hint="eastAsia"/>
        </w:rPr>
        <w:t>建立了市级“智利生活”委员会。这些委员会都是跨部门的、参与性的机构，目的是协助拟订、实施市级增进健康计划，协助采取后续行动。全国</w:t>
      </w:r>
      <w:r>
        <w:rPr>
          <w:rFonts w:hint="eastAsia"/>
        </w:rPr>
        <w:t>90%</w:t>
      </w:r>
      <w:r>
        <w:rPr>
          <w:rFonts w:hint="eastAsia"/>
        </w:rPr>
        <w:t>的城市都有一个这样的委员会，它指导当地开展与创造一个健康的生活环境有关的活动。市级计划是区级计划的组成部分，并促进实现全国增进健康目标。</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与健康问题有关的培训、预防和控制措施</w:t>
      </w:r>
    </w:p>
    <w:p w:rsidR="00000000" w:rsidRDefault="009C1C61">
      <w:r>
        <w:rPr>
          <w:rFonts w:hint="eastAsia"/>
        </w:rPr>
        <w:tab/>
      </w:r>
      <w:r>
        <w:t>696.</w:t>
      </w:r>
      <w:r>
        <w:rPr>
          <w:rFonts w:hint="eastAsia"/>
        </w:rPr>
        <w:t xml:space="preserve">  </w:t>
      </w:r>
      <w:r>
        <w:rPr>
          <w:rFonts w:hint="eastAsia"/>
        </w:rPr>
        <w:t>关于卫生组织向各国提出的改善其心理健康政策与服务的建议，智利在如下方面取得了进展：</w:t>
      </w:r>
    </w:p>
    <w:p w:rsidR="00000000" w:rsidRDefault="009C1C61">
      <w:pPr>
        <w:numPr>
          <w:ilvl w:val="0"/>
          <w:numId w:val="313"/>
        </w:numPr>
      </w:pPr>
      <w:r>
        <w:rPr>
          <w:rFonts w:hint="eastAsia"/>
        </w:rPr>
        <w:t>初级保健中心治疗抑郁症。自</w:t>
      </w:r>
      <w:r>
        <w:rPr>
          <w:rFonts w:hint="eastAsia"/>
        </w:rPr>
        <w:t>2001</w:t>
      </w:r>
      <w:r>
        <w:rPr>
          <w:rFonts w:hint="eastAsia"/>
        </w:rPr>
        <w:t>年以来，由于投资增加，有了新药物，也开展了心理社会咨询，初级保健质量提</w:t>
      </w:r>
      <w:r>
        <w:rPr>
          <w:rFonts w:hint="eastAsia"/>
        </w:rPr>
        <w:t>高了。有</w:t>
      </w:r>
      <w:r>
        <w:rPr>
          <w:rFonts w:hint="eastAsia"/>
        </w:rPr>
        <w:t>14</w:t>
      </w:r>
      <w:r>
        <w:rPr>
          <w:rFonts w:hint="eastAsia"/>
        </w:rPr>
        <w:t>个城市实施了学校心理健康方案。初级保健负责接收和治疗家庭暴力的受害者和攻击者，至今已经接治过</w:t>
      </w:r>
      <w:r>
        <w:t>14,000</w:t>
      </w:r>
      <w:r>
        <w:rPr>
          <w:rFonts w:hint="eastAsia"/>
        </w:rPr>
        <w:t>个这样的人。全国各市共设立了</w:t>
      </w:r>
      <w:r>
        <w:rPr>
          <w:rFonts w:hint="eastAsia"/>
        </w:rPr>
        <w:t>167</w:t>
      </w:r>
      <w:r>
        <w:rPr>
          <w:rFonts w:hint="eastAsia"/>
        </w:rPr>
        <w:t>个保健和预防网络；</w:t>
      </w:r>
    </w:p>
    <w:p w:rsidR="00000000" w:rsidRDefault="009C1C61">
      <w:pPr>
        <w:numPr>
          <w:ilvl w:val="0"/>
          <w:numId w:val="313"/>
        </w:numPr>
      </w:pPr>
      <w:r>
        <w:rPr>
          <w:rFonts w:hint="eastAsia"/>
        </w:rPr>
        <w:t>提供精神药物，目前有</w:t>
      </w:r>
      <w:r>
        <w:t>653</w:t>
      </w:r>
      <w:r>
        <w:rPr>
          <w:rFonts w:hint="eastAsia"/>
        </w:rPr>
        <w:t>个患者在服用；</w:t>
      </w:r>
    </w:p>
    <w:p w:rsidR="00000000" w:rsidRDefault="009C1C61">
      <w:pPr>
        <w:numPr>
          <w:ilvl w:val="0"/>
          <w:numId w:val="313"/>
        </w:numPr>
      </w:pPr>
      <w:r>
        <w:rPr>
          <w:rFonts w:hint="eastAsia"/>
        </w:rPr>
        <w:t>社区治疗：</w:t>
      </w:r>
      <w:r>
        <w:rPr>
          <w:rFonts w:hint="eastAsia"/>
        </w:rPr>
        <w:t>25</w:t>
      </w:r>
      <w:r>
        <w:rPr>
          <w:rFonts w:hint="eastAsia"/>
        </w:rPr>
        <w:t>所日间医院，设有</w:t>
      </w:r>
      <w:r>
        <w:t>500</w:t>
      </w:r>
      <w:r>
        <w:rPr>
          <w:rFonts w:hint="eastAsia"/>
        </w:rPr>
        <w:t>个床位，有</w:t>
      </w:r>
      <w:r>
        <w:t>1,500</w:t>
      </w:r>
      <w:r>
        <w:rPr>
          <w:rFonts w:hint="eastAsia"/>
        </w:rPr>
        <w:t>人正在接受治疗；有日间康复中心，接收了</w:t>
      </w:r>
      <w:r>
        <w:t>800</w:t>
      </w:r>
      <w:r>
        <w:rPr>
          <w:rFonts w:hint="eastAsia"/>
        </w:rPr>
        <w:t>个病人；有</w:t>
      </w:r>
      <w:r>
        <w:t>15</w:t>
      </w:r>
      <w:r>
        <w:rPr>
          <w:rFonts w:hint="eastAsia"/>
        </w:rPr>
        <w:t>个联谊会，有个</w:t>
      </w:r>
      <w:r>
        <w:t>300</w:t>
      </w:r>
      <w:r>
        <w:rPr>
          <w:rFonts w:hint="eastAsia"/>
        </w:rPr>
        <w:t>精神病人参加</w:t>
      </w:r>
      <w:r>
        <w:t>；</w:t>
      </w:r>
      <w:r>
        <w:rPr>
          <w:rFonts w:hint="eastAsia"/>
        </w:rPr>
        <w:t>还有</w:t>
      </w:r>
      <w:r>
        <w:t>60</w:t>
      </w:r>
      <w:r>
        <w:rPr>
          <w:rFonts w:hint="eastAsia"/>
        </w:rPr>
        <w:t>个福利之家，可容纳</w:t>
      </w:r>
      <w:r>
        <w:t>453</w:t>
      </w:r>
      <w:r>
        <w:rPr>
          <w:rFonts w:hint="eastAsia"/>
        </w:rPr>
        <w:t>人住在社区；</w:t>
      </w:r>
    </w:p>
    <w:p w:rsidR="00000000" w:rsidRDefault="009C1C61">
      <w:pPr>
        <w:numPr>
          <w:ilvl w:val="0"/>
          <w:numId w:val="313"/>
        </w:numPr>
      </w:pPr>
      <w:r>
        <w:rPr>
          <w:rFonts w:hint="eastAsia"/>
        </w:rPr>
        <w:t>通过社区活动教育公众。初级保健工作队开展有关精神健康问题的宣传和预防活动；</w:t>
      </w:r>
    </w:p>
    <w:p w:rsidR="00000000" w:rsidRDefault="009C1C61">
      <w:pPr>
        <w:numPr>
          <w:ilvl w:val="0"/>
          <w:numId w:val="313"/>
        </w:numPr>
        <w:rPr>
          <w:rFonts w:hint="eastAsia"/>
        </w:rPr>
      </w:pPr>
      <w:r>
        <w:rPr>
          <w:rFonts w:hint="eastAsia"/>
        </w:rPr>
        <w:t>卫生部已经制订了一项全国心理健</w:t>
      </w:r>
      <w:r>
        <w:rPr>
          <w:rFonts w:hint="eastAsia"/>
        </w:rPr>
        <w:t>康和精神病治疗计划。保障病人权利和义务的国际条例已经实施，保护精神病人的全国委员会已经正式开始工作；</w:t>
      </w:r>
    </w:p>
    <w:p w:rsidR="00000000" w:rsidRDefault="009C1C61">
      <w:pPr>
        <w:numPr>
          <w:ilvl w:val="0"/>
          <w:numId w:val="313"/>
        </w:numPr>
        <w:rPr>
          <w:rFonts w:hint="eastAsia"/>
        </w:rPr>
      </w:pPr>
      <w:r>
        <w:rPr>
          <w:rFonts w:hint="eastAsia"/>
        </w:rPr>
        <w:t>从事心理健康工作的人员，不管是初级保健人员还是专业工作队成员，都增加了，可是他们的合同地位仍有点不稳定；</w:t>
      </w:r>
    </w:p>
    <w:p w:rsidR="00000000" w:rsidRDefault="009C1C61">
      <w:pPr>
        <w:numPr>
          <w:ilvl w:val="0"/>
          <w:numId w:val="313"/>
        </w:numPr>
        <w:rPr>
          <w:rFonts w:hint="eastAsia"/>
        </w:rPr>
      </w:pPr>
      <w:r>
        <w:rPr>
          <w:rFonts w:hint="eastAsia"/>
        </w:rPr>
        <w:t>通过法院精神病方案与司法部保持持久的部门间联系，通过全国麻醉品管制委员会在家庭暴力和严肃性行为问题上与内政部保持持久的部门间联系，在学校心理健康、酗酒及吸毒问题领域与教育部保持持久的部门间联系；</w:t>
      </w:r>
    </w:p>
    <w:p w:rsidR="00000000" w:rsidRDefault="009C1C61">
      <w:pPr>
        <w:numPr>
          <w:ilvl w:val="0"/>
          <w:numId w:val="313"/>
        </w:numPr>
        <w:spacing w:after="320"/>
        <w:rPr>
          <w:rFonts w:hint="eastAsia"/>
        </w:rPr>
      </w:pPr>
      <w:r>
        <w:rPr>
          <w:rFonts w:hint="eastAsia"/>
        </w:rPr>
        <w:t>开展了霍乱、麻疹和风疹预防运动，还开展了冬季运动、妇女认识和反省运动以及防治艾滋病和性传染病运动。</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智利全国</w:t>
      </w:r>
      <w:r>
        <w:rPr>
          <w:rFonts w:ascii="Time New Roman" w:eastAsia="SimHei" w:hAnsi="Time New Roman" w:hint="eastAsia"/>
          <w:u w:val="none"/>
        </w:rPr>
        <w:t>艾滋病</w:t>
      </w:r>
      <w:r>
        <w:rPr>
          <w:rFonts w:ascii="Time New Roman" w:eastAsia="SimHei" w:hAnsi="Time New Roman" w:hint="eastAsia"/>
          <w:u w:val="none"/>
        </w:rPr>
        <w:t>/</w:t>
      </w:r>
      <w:r>
        <w:rPr>
          <w:rFonts w:ascii="Time New Roman" w:eastAsia="SimHei" w:hAnsi="Time New Roman" w:hint="eastAsia"/>
          <w:u w:val="none"/>
        </w:rPr>
        <w:t>艾滋病毒预防和治疗运动</w:t>
      </w:r>
    </w:p>
    <w:p w:rsidR="00000000" w:rsidRDefault="009C1C61">
      <w:pPr>
        <w:rPr>
          <w:rFonts w:hint="eastAsia"/>
        </w:rPr>
      </w:pPr>
      <w:r>
        <w:rPr>
          <w:rFonts w:hint="eastAsia"/>
        </w:rPr>
        <w:tab/>
      </w:r>
      <w:r>
        <w:t>697.</w:t>
      </w:r>
      <w:r>
        <w:rPr>
          <w:rFonts w:hint="eastAsia"/>
        </w:rPr>
        <w:t xml:space="preserve">  </w:t>
      </w:r>
      <w:r>
        <w:t>1990</w:t>
      </w:r>
      <w:r>
        <w:rPr>
          <w:rFonts w:hint="eastAsia"/>
        </w:rPr>
        <w:t>年，建立了全国艾滋病防治委员会。艾滋病是一种生物和社会心理问题，从这个意义上讲，全国艾滋病防治委员会在行政管理方面率先执行了政府的下放、平等和参与政策。这一点也体现在一项全国工作计划中。各个有关行为者，诸如成员感染艾滋病毒</w:t>
      </w:r>
      <w:r>
        <w:rPr>
          <w:rFonts w:hint="eastAsia"/>
        </w:rPr>
        <w:t>/</w:t>
      </w:r>
      <w:r>
        <w:rPr>
          <w:rFonts w:hint="eastAsia"/>
        </w:rPr>
        <w:t>艾滋病的组织、关注艾滋病的非政府组织及各个有关保健工作队等拟订该项全国工作计划；它们还拟订了艾滋病毒</w:t>
      </w:r>
      <w:r>
        <w:rPr>
          <w:rFonts w:hint="eastAsia"/>
        </w:rPr>
        <w:t>/</w:t>
      </w:r>
      <w:r>
        <w:rPr>
          <w:rFonts w:hint="eastAsia"/>
        </w:rPr>
        <w:t>艾滋病感染者区预防和治疗计划，由卫生部门、国家其他部门和民间社会执行。</w:t>
      </w:r>
    </w:p>
    <w:p w:rsidR="00000000" w:rsidRDefault="009C1C61">
      <w:pPr>
        <w:rPr>
          <w:rFonts w:hint="eastAsia"/>
        </w:rPr>
      </w:pPr>
      <w:r>
        <w:rPr>
          <w:rFonts w:hint="eastAsia"/>
        </w:rPr>
        <w:tab/>
      </w:r>
      <w:r>
        <w:t>698.</w:t>
      </w:r>
      <w:r>
        <w:rPr>
          <w:rFonts w:hint="eastAsia"/>
        </w:rPr>
        <w:t xml:space="preserve">  1984</w:t>
      </w:r>
      <w:r>
        <w:rPr>
          <w:rFonts w:hint="eastAsia"/>
        </w:rPr>
        <w:t>年，智利通报了第一个艾滋病病例。</w:t>
      </w:r>
      <w:r>
        <w:rPr>
          <w:rStyle w:val="FootnoteReference"/>
        </w:rPr>
        <w:footnoteReference w:id="300"/>
      </w:r>
      <w:r>
        <w:t xml:space="preserve"> </w:t>
      </w:r>
      <w:r>
        <w:rPr>
          <w:rFonts w:hint="eastAsia"/>
        </w:rPr>
        <w:t>自</w:t>
      </w:r>
      <w:r>
        <w:rPr>
          <w:rFonts w:hint="eastAsia"/>
        </w:rPr>
        <w:t>那时至</w:t>
      </w:r>
      <w:r>
        <w:rPr>
          <w:rFonts w:hint="eastAsia"/>
        </w:rPr>
        <w:t>2000</w:t>
      </w:r>
      <w:r>
        <w:rPr>
          <w:rFonts w:hint="eastAsia"/>
        </w:rPr>
        <w:t>年</w:t>
      </w:r>
      <w:r>
        <w:rPr>
          <w:rFonts w:hint="eastAsia"/>
        </w:rPr>
        <w:t>12</w:t>
      </w:r>
      <w:r>
        <w:rPr>
          <w:rFonts w:hint="eastAsia"/>
        </w:rPr>
        <w:t>月</w:t>
      </w:r>
      <w:r>
        <w:rPr>
          <w:rFonts w:hint="eastAsia"/>
        </w:rPr>
        <w:t>30</w:t>
      </w:r>
      <w:r>
        <w:rPr>
          <w:rFonts w:hint="eastAsia"/>
        </w:rPr>
        <w:t>日，共通报了</w:t>
      </w:r>
      <w:r>
        <w:t>3,741</w:t>
      </w:r>
      <w:r>
        <w:rPr>
          <w:rFonts w:hint="eastAsia"/>
        </w:rPr>
        <w:t>例。其中</w:t>
      </w:r>
      <w:r>
        <w:t>89.7%</w:t>
      </w:r>
      <w:r>
        <w:rPr>
          <w:rFonts w:hint="eastAsia"/>
        </w:rPr>
        <w:t>是男人，</w:t>
      </w:r>
      <w:r>
        <w:t>10.3%</w:t>
      </w:r>
      <w:r>
        <w:rPr>
          <w:rFonts w:hint="eastAsia"/>
        </w:rPr>
        <w:t>是女人。在这些感染者中，</w:t>
      </w:r>
      <w:r>
        <w:t>85.1%</w:t>
      </w:r>
      <w:r>
        <w:rPr>
          <w:rFonts w:hint="eastAsia"/>
        </w:rPr>
        <w:t>的人年龄为</w:t>
      </w:r>
      <w:r>
        <w:t>2</w:t>
      </w:r>
      <w:r>
        <w:rPr>
          <w:rFonts w:hint="eastAsia"/>
        </w:rPr>
        <w:t>4</w:t>
      </w:r>
      <w:r>
        <w:rPr>
          <w:rFonts w:hint="eastAsia"/>
        </w:rPr>
        <w:t>至</w:t>
      </w:r>
      <w:r>
        <w:t>49</w:t>
      </w:r>
      <w:r>
        <w:rPr>
          <w:rFonts w:hint="eastAsia"/>
        </w:rPr>
        <w:t>岁，而且有</w:t>
      </w:r>
      <w:r>
        <w:t>93.1%</w:t>
      </w:r>
      <w:r>
        <w:rPr>
          <w:rFonts w:hint="eastAsia"/>
        </w:rPr>
        <w:t>都是通过性交感染的。因注射毒品而导致血液传染的占</w:t>
      </w:r>
      <w:r>
        <w:t>5.3%</w:t>
      </w:r>
      <w:r>
        <w:rPr>
          <w:rFonts w:hint="eastAsia"/>
        </w:rPr>
        <w:t>，母子纵向传染的占</w:t>
      </w:r>
      <w:r>
        <w:t>1.5%</w:t>
      </w:r>
      <w:r>
        <w:rPr>
          <w:rFonts w:hint="eastAsia"/>
        </w:rPr>
        <w:t>。</w:t>
      </w:r>
    </w:p>
    <w:p w:rsidR="00000000" w:rsidRDefault="009C1C61">
      <w:r>
        <w:rPr>
          <w:rFonts w:hint="eastAsia"/>
        </w:rPr>
        <w:tab/>
      </w:r>
      <w:r>
        <w:t>699.</w:t>
      </w:r>
      <w:r>
        <w:rPr>
          <w:rFonts w:hint="eastAsia"/>
        </w:rPr>
        <w:t xml:space="preserve">  </w:t>
      </w:r>
      <w:r>
        <w:rPr>
          <w:rFonts w:hint="eastAsia"/>
        </w:rPr>
        <w:t>此流行病有如下特点：主要发生在城市，但越来越甚地向农村蔓延；感染的主要是同性恋或两性恋的男人；女性受害者人数越来越多；妇女因为社会和工作环境中及夫妇间存在的男女不平等文化观念而感染的人数大增；感染的男女越来越贫困；青年人为主。</w:t>
      </w:r>
    </w:p>
    <w:p w:rsidR="00000000" w:rsidRDefault="009C1C61">
      <w:r>
        <w:rPr>
          <w:rFonts w:hint="eastAsia"/>
        </w:rPr>
        <w:tab/>
      </w:r>
      <w:r>
        <w:t>700.</w:t>
      </w:r>
      <w:r>
        <w:rPr>
          <w:rFonts w:hint="eastAsia"/>
        </w:rPr>
        <w:t xml:space="preserve">  </w:t>
      </w:r>
      <w:r>
        <w:rPr>
          <w:rFonts w:hint="eastAsia"/>
        </w:rPr>
        <w:t>全国有</w:t>
      </w:r>
      <w:r>
        <w:rPr>
          <w:rFonts w:hint="eastAsia"/>
        </w:rPr>
        <w:t>26</w:t>
      </w:r>
      <w:r>
        <w:rPr>
          <w:rFonts w:hint="eastAsia"/>
        </w:rPr>
        <w:t>个</w:t>
      </w:r>
      <w:r>
        <w:rPr>
          <w:rFonts w:hint="eastAsia"/>
        </w:rPr>
        <w:t>专门中心，根据最新临床治疗方案，为艾滋病毒携带者提供全面关怀。最新临床治疗方案规定如下：提供抗逆转录酶病毒药物；对保健工作队继续进行全面治疗培训；提供翔实材料协助艾滋病毒</w:t>
      </w:r>
      <w:r>
        <w:rPr>
          <w:rFonts w:hint="eastAsia"/>
        </w:rPr>
        <w:t>/</w:t>
      </w:r>
      <w:r>
        <w:rPr>
          <w:rFonts w:hint="eastAsia"/>
        </w:rPr>
        <w:t>艾滋病感染者做出决策和参与；在检患者积极参与的基础上，提供社会心理支助以促进治疗和临床检查，推进二级预防；接受筛选和抗逆转录酶病毒治疗。</w:t>
      </w:r>
    </w:p>
    <w:p w:rsidR="00000000" w:rsidRDefault="009C1C61">
      <w:r>
        <w:rPr>
          <w:rFonts w:hint="eastAsia"/>
        </w:rPr>
        <w:tab/>
      </w:r>
      <w:r>
        <w:t>701.</w:t>
      </w:r>
      <w:r>
        <w:rPr>
          <w:rFonts w:hint="eastAsia"/>
        </w:rPr>
        <w:t xml:space="preserve">  </w:t>
      </w:r>
      <w:r>
        <w:rPr>
          <w:rFonts w:hint="eastAsia"/>
        </w:rPr>
        <w:t>对感染艾滋病毒</w:t>
      </w:r>
      <w:r>
        <w:rPr>
          <w:rFonts w:hint="eastAsia"/>
        </w:rPr>
        <w:t>/</w:t>
      </w:r>
      <w:r>
        <w:rPr>
          <w:rFonts w:hint="eastAsia"/>
        </w:rPr>
        <w:t>毒艾滋的青年的覆盖率为</w:t>
      </w:r>
      <w:r>
        <w:t>100%</w:t>
      </w:r>
      <w:r>
        <w:rPr>
          <w:rFonts w:hint="eastAsia"/>
        </w:rPr>
        <w:t>。对公私部门中血清反应阳性的孕妇也是</w:t>
      </w:r>
      <w:r>
        <w:rPr>
          <w:rFonts w:hint="eastAsia"/>
        </w:rPr>
        <w:t>100%</w:t>
      </w:r>
      <w:r>
        <w:rPr>
          <w:rFonts w:hint="eastAsia"/>
        </w:rPr>
        <w:t>覆盖，以防止艾滋病毒垂直传播。对感染艾滋病毒</w:t>
      </w:r>
      <w:r>
        <w:rPr>
          <w:rFonts w:hint="eastAsia"/>
        </w:rPr>
        <w:t>/</w:t>
      </w:r>
      <w:r>
        <w:rPr>
          <w:rFonts w:hint="eastAsia"/>
        </w:rPr>
        <w:t>毒艾滋病的成人的覆盖率为</w:t>
      </w:r>
      <w:r>
        <w:t>84%</w:t>
      </w:r>
      <w:r>
        <w:rPr>
          <w:rFonts w:hint="eastAsia"/>
        </w:rPr>
        <w:t>，包括在公共卫生系统中</w:t>
      </w:r>
      <w:r>
        <w:rPr>
          <w:rFonts w:hint="eastAsia"/>
        </w:rPr>
        <w:t>可以接受三种治疗的人。这一预防战略在三级实施：</w:t>
      </w:r>
    </w:p>
    <w:p w:rsidR="00000000" w:rsidRDefault="009C1C61">
      <w:pPr>
        <w:numPr>
          <w:ilvl w:val="0"/>
          <w:numId w:val="314"/>
        </w:numPr>
      </w:pPr>
      <w:r>
        <w:rPr>
          <w:rFonts w:hint="eastAsia"/>
        </w:rPr>
        <w:t>在社会上：开展适合预防的全国运动，让媒体名人和公共卫生系统都参与；</w:t>
      </w:r>
    </w:p>
    <w:p w:rsidR="00000000" w:rsidRDefault="009C1C61">
      <w:pPr>
        <w:numPr>
          <w:ilvl w:val="0"/>
          <w:numId w:val="314"/>
        </w:numPr>
      </w:pPr>
      <w:r>
        <w:rPr>
          <w:rFonts w:hint="eastAsia"/>
        </w:rPr>
        <w:t>在团体中：以公认最危险的特定社会群体，如色情行业的男女工作者、与其他男人性交的男人、狱中囚犯、吸毒者等为目标，开展教育和训练。还着重教育和训练因缺乏信息或因社会文化问题通常没有认识到自己在冒险的群体，如青少年和家庭妇女；</w:t>
      </w:r>
    </w:p>
    <w:p w:rsidR="00000000" w:rsidRDefault="009C1C61">
      <w:pPr>
        <w:numPr>
          <w:ilvl w:val="0"/>
          <w:numId w:val="314"/>
        </w:numPr>
      </w:pPr>
      <w:r>
        <w:rPr>
          <w:rFonts w:hint="eastAsia"/>
        </w:rPr>
        <w:t>针对个人：直接或通过全国艾滋病防治委员会的电话服务提供有关艾滋病毒</w:t>
      </w:r>
      <w:r>
        <w:rPr>
          <w:rFonts w:hint="eastAsia"/>
        </w:rPr>
        <w:t>/</w:t>
      </w:r>
      <w:r>
        <w:rPr>
          <w:rFonts w:hint="eastAsia"/>
        </w:rPr>
        <w:t>艾滋病预防的咨询意见。两种办法都要借助在</w:t>
      </w:r>
      <w:r>
        <w:rPr>
          <w:rFonts w:hint="eastAsia"/>
        </w:rPr>
        <w:t>28</w:t>
      </w:r>
      <w:r>
        <w:rPr>
          <w:rFonts w:hint="eastAsia"/>
        </w:rPr>
        <w:t>个保健服务中心工作的顾问所组成的网络。</w:t>
      </w:r>
    </w:p>
    <w:p w:rsidR="00000000" w:rsidRDefault="009C1C61">
      <w:pPr>
        <w:rPr>
          <w:rFonts w:hint="eastAsia"/>
        </w:rPr>
      </w:pPr>
      <w:r>
        <w:rPr>
          <w:rFonts w:hint="eastAsia"/>
        </w:rPr>
        <w:tab/>
      </w:r>
      <w:r>
        <w:t>702.</w:t>
      </w:r>
      <w:r>
        <w:rPr>
          <w:rFonts w:hint="eastAsia"/>
        </w:rPr>
        <w:t xml:space="preserve">  </w:t>
      </w:r>
      <w:r>
        <w:rPr>
          <w:rFonts w:hint="eastAsia"/>
        </w:rPr>
        <w:t>此项战略</w:t>
      </w:r>
      <w:r>
        <w:rPr>
          <w:rFonts w:hint="eastAsia"/>
        </w:rPr>
        <w:t>较为显著的成果是：由于因艾滋病而早死的人减少了，所以全民死亡率、艾滋病毒</w:t>
      </w:r>
      <w:r>
        <w:rPr>
          <w:rFonts w:hint="eastAsia"/>
        </w:rPr>
        <w:t>/</w:t>
      </w:r>
      <w:r>
        <w:rPr>
          <w:rFonts w:hint="eastAsia"/>
        </w:rPr>
        <w:t>艾滋病感染者的死亡率及潜在寿命损失年份</w:t>
      </w:r>
      <w:r>
        <w:rPr>
          <w:rFonts w:hint="eastAsia"/>
        </w:rPr>
        <w:t>(</w:t>
      </w:r>
      <w:r>
        <w:rPr>
          <w:rFonts w:hint="eastAsia"/>
        </w:rPr>
        <w:t>寿损年份</w:t>
      </w:r>
      <w:r>
        <w:rPr>
          <w:rFonts w:hint="eastAsia"/>
        </w:rPr>
        <w:t>)</w:t>
      </w:r>
      <w:r>
        <w:rPr>
          <w:rFonts w:hint="eastAsia"/>
        </w:rPr>
        <w:t>指标都降低了；由于机会感染可以得到治疗，所以住院人数减少了；关于艾滋病毒</w:t>
      </w:r>
      <w:r>
        <w:rPr>
          <w:rFonts w:hint="eastAsia"/>
        </w:rPr>
        <w:t>/</w:t>
      </w:r>
      <w:r>
        <w:rPr>
          <w:rFonts w:hint="eastAsia"/>
        </w:rPr>
        <w:t>艾滋病的信息和知识增加了；全国</w:t>
      </w:r>
      <w:r>
        <w:rPr>
          <w:rFonts w:hint="eastAsia"/>
        </w:rPr>
        <w:t>13</w:t>
      </w:r>
      <w:r>
        <w:rPr>
          <w:rFonts w:hint="eastAsia"/>
        </w:rPr>
        <w:t>个区参与艾滋病毒</w:t>
      </w:r>
      <w:r>
        <w:rPr>
          <w:rFonts w:hint="eastAsia"/>
        </w:rPr>
        <w:t>/</w:t>
      </w:r>
      <w:r>
        <w:rPr>
          <w:rFonts w:hint="eastAsia"/>
        </w:rPr>
        <w:t>艾滋病预防活动的社会组织与机构多了；根据中央银行的统计材料，社会接受了为预防而使用安全套的做法，所以安全套进口数量增加了；</w:t>
      </w:r>
      <w:r>
        <w:rPr>
          <w:rFonts w:hint="eastAsia"/>
        </w:rPr>
        <w:t>15</w:t>
      </w:r>
      <w:r>
        <w:rPr>
          <w:rFonts w:hint="eastAsia"/>
        </w:rPr>
        <w:t>至</w:t>
      </w:r>
      <w:r>
        <w:rPr>
          <w:rFonts w:hint="eastAsia"/>
        </w:rPr>
        <w:t>24</w:t>
      </w:r>
      <w:r>
        <w:rPr>
          <w:rFonts w:hint="eastAsia"/>
        </w:rPr>
        <w:t>岁因行为不羁而感染艾滋病毒</w:t>
      </w:r>
      <w:r>
        <w:rPr>
          <w:rFonts w:hint="eastAsia"/>
        </w:rPr>
        <w:t>/</w:t>
      </w:r>
      <w:r>
        <w:rPr>
          <w:rFonts w:hint="eastAsia"/>
        </w:rPr>
        <w:t>艾滋病危险更大的青年人打来的电话更密了</w:t>
      </w:r>
      <w:r>
        <w:rPr>
          <w:rFonts w:hint="eastAsia"/>
        </w:rPr>
        <w:t>(65%)</w:t>
      </w:r>
      <w:r>
        <w:rPr>
          <w:rFonts w:hint="eastAsia"/>
        </w:rPr>
        <w:t>。</w:t>
      </w:r>
    </w:p>
    <w:p w:rsidR="00000000" w:rsidRDefault="009C1C61">
      <w:pPr>
        <w:spacing w:after="320"/>
        <w:rPr>
          <w:rFonts w:hint="eastAsia"/>
        </w:rPr>
      </w:pPr>
      <w:r>
        <w:rPr>
          <w:rFonts w:hint="eastAsia"/>
        </w:rPr>
        <w:tab/>
      </w:r>
      <w:r>
        <w:t>703.</w:t>
      </w:r>
      <w:r>
        <w:rPr>
          <w:rFonts w:hint="eastAsia"/>
        </w:rPr>
        <w:t xml:space="preserve">  </w:t>
      </w:r>
      <w:r>
        <w:rPr>
          <w:rFonts w:hint="eastAsia"/>
        </w:rPr>
        <w:t>自</w:t>
      </w:r>
      <w:r>
        <w:t>2001</w:t>
      </w:r>
      <w:r>
        <w:rPr>
          <w:rFonts w:hint="eastAsia"/>
        </w:rPr>
        <w:t>年</w:t>
      </w:r>
      <w:r>
        <w:rPr>
          <w:rFonts w:hint="eastAsia"/>
        </w:rPr>
        <w:t>12</w:t>
      </w:r>
      <w:r>
        <w:rPr>
          <w:rFonts w:hint="eastAsia"/>
        </w:rPr>
        <w:t>月以来，法律规定了国</w:t>
      </w:r>
      <w:r>
        <w:rPr>
          <w:rFonts w:hint="eastAsia"/>
        </w:rPr>
        <w:t>家的预防义务，规定在做诊断检查时要征得知情同意。</w:t>
      </w:r>
      <w:r>
        <w:rPr>
          <w:rStyle w:val="FootnoteReference"/>
        </w:rPr>
        <w:footnoteReference w:id="301"/>
      </w:r>
      <w:r>
        <w:t xml:space="preserve"> </w:t>
      </w:r>
      <w:r>
        <w:rPr>
          <w:rFonts w:hint="eastAsia"/>
        </w:rPr>
        <w:t>此外，法律还规定在诊断前后要提供咨询，惩罚就学、工作和保健中的歧视行为。该法在有关艾滋病和大病的过渡条款中，规定设立一个年度基金，意在用于归还向通过非营利机构进口药物的人征收的税款。</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其他预防和关怀方案</w:t>
      </w:r>
    </w:p>
    <w:p w:rsidR="00000000" w:rsidRDefault="009C1C61">
      <w:pPr>
        <w:rPr>
          <w:rFonts w:hint="eastAsia"/>
        </w:rPr>
      </w:pPr>
      <w:r>
        <w:rPr>
          <w:rFonts w:hint="eastAsia"/>
        </w:rPr>
        <w:tab/>
      </w:r>
      <w:r>
        <w:t>704.</w:t>
      </w:r>
      <w:r>
        <w:rPr>
          <w:rFonts w:hint="eastAsia"/>
        </w:rPr>
        <w:t xml:space="preserve">  </w:t>
      </w:r>
      <w:r>
        <w:rPr>
          <w:rFonts w:hint="eastAsia"/>
        </w:rPr>
        <w:t>妇女健康方案开展了有利于妇女在人生各个阶段生理、心理和社会全面发展的活动。在初级保健层次，重点强调宣传活动</w:t>
      </w:r>
      <w:r>
        <w:rPr>
          <w:rFonts w:hint="eastAsia"/>
        </w:rPr>
        <w:t>(</w:t>
      </w:r>
      <w:r>
        <w:rPr>
          <w:rFonts w:hint="eastAsia"/>
        </w:rPr>
        <w:t>咨询</w:t>
      </w:r>
      <w:r>
        <w:rPr>
          <w:rFonts w:hint="eastAsia"/>
        </w:rPr>
        <w:t>)</w:t>
      </w:r>
      <w:r>
        <w:rPr>
          <w:rFonts w:hint="eastAsia"/>
        </w:rPr>
        <w:t>、预防活动</w:t>
      </w:r>
      <w:r>
        <w:rPr>
          <w:rFonts w:hint="eastAsia"/>
        </w:rPr>
        <w:t>(</w:t>
      </w:r>
      <w:r>
        <w:rPr>
          <w:rFonts w:hint="eastAsia"/>
        </w:rPr>
        <w:t>产前检查、节育和妇科预防</w:t>
      </w:r>
      <w:r>
        <w:rPr>
          <w:rFonts w:hint="eastAsia"/>
        </w:rPr>
        <w:t>)</w:t>
      </w:r>
      <w:r>
        <w:rPr>
          <w:rFonts w:hint="eastAsia"/>
        </w:rPr>
        <w:t>以及全面体检</w:t>
      </w:r>
      <w:r>
        <w:rPr>
          <w:rFonts w:hint="eastAsia"/>
        </w:rPr>
        <w:t>(</w:t>
      </w:r>
      <w:r>
        <w:rPr>
          <w:rFonts w:hint="eastAsia"/>
        </w:rPr>
        <w:t>产科、妇科和肿瘤</w:t>
      </w:r>
      <w:r>
        <w:rPr>
          <w:rFonts w:hint="eastAsia"/>
        </w:rPr>
        <w:t>)</w:t>
      </w:r>
      <w:r>
        <w:rPr>
          <w:rFonts w:hint="eastAsia"/>
        </w:rPr>
        <w:t>。</w:t>
      </w:r>
      <w:r>
        <w:rPr>
          <w:rFonts w:hint="eastAsia"/>
        </w:rPr>
        <w:t>1995</w:t>
      </w:r>
      <w:r>
        <w:rPr>
          <w:rFonts w:hint="eastAsia"/>
        </w:rPr>
        <w:t>年，实施了一项乳腺癌查出和控制方案，并加紧实施宫</w:t>
      </w:r>
      <w:r>
        <w:rPr>
          <w:rFonts w:hint="eastAsia"/>
        </w:rPr>
        <w:t>颈癌防治方案。</w:t>
      </w:r>
    </w:p>
    <w:p w:rsidR="00000000" w:rsidRDefault="009C1C61">
      <w:r>
        <w:tab/>
        <w:t xml:space="preserve">705.  </w:t>
      </w:r>
      <w:r>
        <w:rPr>
          <w:rFonts w:hint="eastAsia"/>
        </w:rPr>
        <w:t>老人健康方案，意在预防慢性病及其致残后果，降低因可预防、可避免的原因而致死的比率，鼓励开展有利于活跃老年生活的宣传、预防及康复活动。</w:t>
      </w:r>
      <w:r>
        <w:rPr>
          <w:rFonts w:hint="eastAsia"/>
        </w:rPr>
        <w:t>65</w:t>
      </w:r>
      <w:r>
        <w:rPr>
          <w:rFonts w:hint="eastAsia"/>
        </w:rPr>
        <w:t>岁以上的人都有权享受这项方案的益处。为此，他们必须携带个人身份证亲自到最近的咨询中心登记，或必须是国卫基金的受益人。</w:t>
      </w:r>
    </w:p>
    <w:p w:rsidR="00000000" w:rsidRDefault="009C1C61">
      <w:pPr>
        <w:rPr>
          <w:rFonts w:hint="eastAsia"/>
        </w:rPr>
      </w:pPr>
      <w:r>
        <w:rPr>
          <w:rFonts w:hint="eastAsia"/>
        </w:rPr>
        <w:tab/>
      </w:r>
      <w:r>
        <w:t>706.</w:t>
      </w:r>
      <w:r>
        <w:rPr>
          <w:rFonts w:hint="eastAsia"/>
        </w:rPr>
        <w:t xml:space="preserve">  </w:t>
      </w:r>
      <w:r>
        <w:rPr>
          <w:rFonts w:hint="eastAsia"/>
        </w:rPr>
        <w:t>一项青少年方案已经纳入初级保健，以区别于儿童方案。</w:t>
      </w:r>
    </w:p>
    <w:p w:rsidR="00000000" w:rsidRDefault="009C1C61">
      <w:pPr>
        <w:rPr>
          <w:rFonts w:hint="eastAsia"/>
        </w:rPr>
      </w:pPr>
      <w:r>
        <w:rPr>
          <w:rFonts w:hint="eastAsia"/>
        </w:rPr>
        <w:tab/>
      </w:r>
      <w:r>
        <w:t>707.</w:t>
      </w:r>
      <w:r>
        <w:rPr>
          <w:rFonts w:hint="eastAsia"/>
        </w:rPr>
        <w:t xml:space="preserve">  </w:t>
      </w:r>
      <w:r>
        <w:rPr>
          <w:rFonts w:hint="eastAsia"/>
        </w:rPr>
        <w:t>关于部门间的行动，全国卫生宣传计划和矫生活理事会已经确定了影响危险因素</w:t>
      </w:r>
      <w:r>
        <w:rPr>
          <w:rFonts w:hint="eastAsia"/>
        </w:rPr>
        <w:t>(</w:t>
      </w:r>
      <w:r>
        <w:rPr>
          <w:rFonts w:hint="eastAsia"/>
        </w:rPr>
        <w:t>肥胖、习惯久坐的生活和吸烟</w:t>
      </w:r>
      <w:r>
        <w:rPr>
          <w:rFonts w:hint="eastAsia"/>
        </w:rPr>
        <w:t>)</w:t>
      </w:r>
      <w:r>
        <w:rPr>
          <w:rFonts w:hint="eastAsia"/>
        </w:rPr>
        <w:t>和保护因素</w:t>
      </w:r>
      <w:r>
        <w:rPr>
          <w:rFonts w:hint="eastAsia"/>
        </w:rPr>
        <w:t>(</w:t>
      </w:r>
      <w:r>
        <w:rPr>
          <w:rFonts w:hint="eastAsia"/>
        </w:rPr>
        <w:t>社会心理和环境因素</w:t>
      </w:r>
      <w:r>
        <w:rPr>
          <w:rFonts w:hint="eastAsia"/>
        </w:rPr>
        <w:t>)</w:t>
      </w:r>
      <w:r>
        <w:rPr>
          <w:rFonts w:hint="eastAsia"/>
        </w:rPr>
        <w:t>的目标。</w:t>
      </w:r>
    </w:p>
    <w:p w:rsidR="00000000" w:rsidRDefault="009C1C61">
      <w:r>
        <w:rPr>
          <w:rFonts w:hint="eastAsia"/>
        </w:rPr>
        <w:tab/>
      </w:r>
      <w:r>
        <w:t>70</w:t>
      </w:r>
      <w:r>
        <w:t>8.</w:t>
      </w:r>
      <w:r>
        <w:rPr>
          <w:rFonts w:hint="eastAsia"/>
        </w:rPr>
        <w:t xml:space="preserve">  </w:t>
      </w:r>
      <w:r>
        <w:rPr>
          <w:rFonts w:hint="eastAsia"/>
        </w:rPr>
        <w:t>在卫生政策框架内及其宣传方面，政府通过卫生部一直在发展社会和机构促进全国卫生宣传计划执行的能力。特别注意创造机会，让不同部门在全国和各区联合开展落实公共卫生政策的活动。促成此类活动的重要因素是智利生活，它是一个联合几个部和政府组织或私立组织的机构。智利生活计划</w:t>
      </w:r>
      <w:r>
        <w:t>2000</w:t>
      </w:r>
      <w:r>
        <w:rPr>
          <w:rFonts w:hint="eastAsia"/>
        </w:rPr>
        <w:t>至</w:t>
      </w:r>
      <w:r>
        <w:rPr>
          <w:rFonts w:hint="eastAsia"/>
        </w:rPr>
        <w:t>20</w:t>
      </w:r>
      <w:r>
        <w:t>06</w:t>
      </w:r>
      <w:r>
        <w:rPr>
          <w:rFonts w:hint="eastAsia"/>
        </w:rPr>
        <w:t>年期间将实现下列目标</w:t>
      </w:r>
      <w:r>
        <w:t>：</w:t>
      </w:r>
    </w:p>
    <w:p w:rsidR="00000000" w:rsidRDefault="009C1C61">
      <w:pPr>
        <w:numPr>
          <w:ilvl w:val="0"/>
          <w:numId w:val="315"/>
        </w:numPr>
      </w:pPr>
      <w:r>
        <w:rPr>
          <w:rFonts w:hint="eastAsia"/>
        </w:rPr>
        <w:t>制止危险因素爆发</w:t>
      </w:r>
      <w:r>
        <w:t>；</w:t>
      </w:r>
    </w:p>
    <w:p w:rsidR="00000000" w:rsidRDefault="009C1C61">
      <w:pPr>
        <w:numPr>
          <w:ilvl w:val="0"/>
          <w:numId w:val="315"/>
        </w:numPr>
      </w:pPr>
      <w:r>
        <w:rPr>
          <w:rFonts w:hint="eastAsia"/>
        </w:rPr>
        <w:t>发展保护健康的社会心理和环境因素</w:t>
      </w:r>
      <w:r>
        <w:t>；</w:t>
      </w:r>
    </w:p>
    <w:p w:rsidR="00000000" w:rsidRDefault="009C1C61">
      <w:pPr>
        <w:numPr>
          <w:ilvl w:val="0"/>
          <w:numId w:val="315"/>
        </w:numPr>
      </w:pPr>
      <w:r>
        <w:rPr>
          <w:rFonts w:hint="eastAsia"/>
        </w:rPr>
        <w:t>加强公民参与和社会网络</w:t>
      </w:r>
      <w:r>
        <w:t>；</w:t>
      </w:r>
    </w:p>
    <w:p w:rsidR="00000000" w:rsidRDefault="009C1C61">
      <w:pPr>
        <w:numPr>
          <w:ilvl w:val="0"/>
          <w:numId w:val="315"/>
        </w:numPr>
      </w:pPr>
      <w:r>
        <w:rPr>
          <w:rFonts w:hint="eastAsia"/>
        </w:rPr>
        <w:t>巩固国家在处理影响健康因素方面的调节作用</w:t>
      </w:r>
      <w:r>
        <w:t>；</w:t>
      </w:r>
    </w:p>
    <w:p w:rsidR="00000000" w:rsidRDefault="009C1C61">
      <w:pPr>
        <w:numPr>
          <w:ilvl w:val="0"/>
          <w:numId w:val="315"/>
        </w:numPr>
        <w:spacing w:after="320"/>
        <w:rPr>
          <w:rFonts w:hint="eastAsia"/>
        </w:rPr>
      </w:pPr>
      <w:r>
        <w:rPr>
          <w:rFonts w:hint="eastAsia"/>
        </w:rPr>
        <w:t>制订一项新的关于健康和生活质量公共政策</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协助公共卫生系统复兴、加强及实现现代</w:t>
      </w:r>
      <w:r>
        <w:rPr>
          <w:rFonts w:ascii="Time New Roman" w:eastAsia="SimHei" w:hAnsi="Time New Roman" w:hint="eastAsia"/>
          <w:u w:val="none"/>
        </w:rPr>
        <w:t>化的方案和行动</w:t>
      </w:r>
    </w:p>
    <w:p w:rsidR="00000000" w:rsidRDefault="009C1C61">
      <w:pPr>
        <w:rPr>
          <w:rFonts w:hint="eastAsia"/>
        </w:rPr>
      </w:pPr>
      <w:r>
        <w:rPr>
          <w:rFonts w:hint="eastAsia"/>
        </w:rPr>
        <w:tab/>
      </w:r>
      <w:r>
        <w:t>709.</w:t>
      </w:r>
      <w:r>
        <w:rPr>
          <w:rFonts w:hint="eastAsia"/>
        </w:rPr>
        <w:t xml:space="preserve">  </w:t>
      </w:r>
      <w:r>
        <w:rPr>
          <w:rFonts w:hint="eastAsia"/>
        </w:rPr>
        <w:t>为了扭转</w:t>
      </w:r>
      <w:r>
        <w:rPr>
          <w:rFonts w:hint="eastAsia"/>
        </w:rPr>
        <w:t>1990</w:t>
      </w:r>
      <w:r>
        <w:rPr>
          <w:rFonts w:hint="eastAsia"/>
        </w:rPr>
        <w:t>年代初公共卫生部门退化和受忽视的局面，民主政府着手实施了一项宏大的投资和支出方案。</w:t>
      </w:r>
      <w:r>
        <w:t>1990</w:t>
      </w:r>
      <w:r>
        <w:rPr>
          <w:rFonts w:hint="eastAsia"/>
        </w:rPr>
        <w:t>至</w:t>
      </w:r>
      <w:r>
        <w:t>2002</w:t>
      </w:r>
      <w:r>
        <w:rPr>
          <w:rFonts w:hint="eastAsia"/>
        </w:rPr>
        <w:t>年期间，补充和扩大基础设施、为医院配备适当设备的费用，超过了</w:t>
      </w:r>
      <w:r>
        <w:t>683</w:t>
      </w:r>
      <w:r>
        <w:rPr>
          <w:rFonts w:hint="eastAsia"/>
        </w:rPr>
        <w:t>亿比索</w:t>
      </w:r>
      <w:r>
        <w:t xml:space="preserve">(991,378,000 </w:t>
      </w:r>
      <w:r>
        <w:rPr>
          <w:rFonts w:hint="eastAsia"/>
        </w:rPr>
        <w:t>美元</w:t>
      </w:r>
      <w:r>
        <w:t xml:space="preserve">) </w:t>
      </w:r>
      <w:r>
        <w:rPr>
          <w:rStyle w:val="FootnoteReference"/>
        </w:rPr>
        <w:footnoteReference w:id="302"/>
      </w:r>
      <w:r>
        <w:rPr>
          <w:vertAlign w:val="superscript"/>
        </w:rPr>
        <w:t xml:space="preserve"> </w:t>
      </w:r>
      <w:r>
        <w:rPr>
          <w:rFonts w:hint="eastAsia"/>
        </w:rPr>
        <w:t>。结果是：</w:t>
      </w:r>
    </w:p>
    <w:p w:rsidR="00000000" w:rsidRDefault="009C1C61">
      <w:pPr>
        <w:numPr>
          <w:ilvl w:val="0"/>
          <w:numId w:val="316"/>
        </w:numPr>
      </w:pPr>
      <w:r>
        <w:rPr>
          <w:rFonts w:hint="eastAsia"/>
        </w:rPr>
        <w:t>建造了</w:t>
      </w:r>
      <w:r>
        <w:rPr>
          <w:rFonts w:hint="eastAsia"/>
        </w:rPr>
        <w:t>12</w:t>
      </w:r>
      <w:r>
        <w:rPr>
          <w:rFonts w:hint="eastAsia"/>
        </w:rPr>
        <w:t>所新医院</w:t>
      </w:r>
      <w:r>
        <w:t>；</w:t>
      </w:r>
    </w:p>
    <w:p w:rsidR="00000000" w:rsidRDefault="009C1C61">
      <w:pPr>
        <w:numPr>
          <w:ilvl w:val="0"/>
          <w:numId w:val="316"/>
        </w:numPr>
      </w:pPr>
      <w:r>
        <w:rPr>
          <w:rFonts w:hint="eastAsia"/>
        </w:rPr>
        <w:t>使</w:t>
      </w:r>
      <w:r>
        <w:rPr>
          <w:rFonts w:hint="eastAsia"/>
        </w:rPr>
        <w:t>71</w:t>
      </w:r>
      <w:r>
        <w:rPr>
          <w:rFonts w:hint="eastAsia"/>
        </w:rPr>
        <w:t>所医院实现了现代化</w:t>
      </w:r>
      <w:r>
        <w:t>；</w:t>
      </w:r>
    </w:p>
    <w:p w:rsidR="00000000" w:rsidRDefault="009C1C61">
      <w:pPr>
        <w:numPr>
          <w:ilvl w:val="0"/>
          <w:numId w:val="316"/>
        </w:numPr>
        <w:rPr>
          <w:rFonts w:hint="eastAsia"/>
        </w:rPr>
      </w:pPr>
      <w:r>
        <w:t>1990</w:t>
      </w:r>
      <w:r>
        <w:rPr>
          <w:rFonts w:hint="eastAsia"/>
        </w:rPr>
        <w:t>至</w:t>
      </w:r>
      <w:r>
        <w:t>1998</w:t>
      </w:r>
      <w:r>
        <w:rPr>
          <w:rFonts w:hint="eastAsia"/>
        </w:rPr>
        <w:t>年期间，为首都区、安托法加斯塔区、瓦尔迪维亚、圣费利佩</w:t>
      </w:r>
      <w:r>
        <w:rPr>
          <w:rFonts w:hint="eastAsia"/>
        </w:rPr>
        <w:t>-</w:t>
      </w:r>
      <w:r>
        <w:rPr>
          <w:rFonts w:hint="eastAsia"/>
        </w:rPr>
        <w:t>洛斯安第斯及</w:t>
      </w:r>
      <w:r>
        <w:t>Llanchipal</w:t>
      </w:r>
      <w:r>
        <w:rPr>
          <w:rFonts w:hint="eastAsia"/>
        </w:rPr>
        <w:t xml:space="preserve"> (</w:t>
      </w:r>
      <w:r>
        <w:rPr>
          <w:rFonts w:hint="eastAsia"/>
        </w:rPr>
        <w:t>兰奇胡亚、奇洛埃和帕雷拉</w:t>
      </w:r>
      <w:r>
        <w:rPr>
          <w:rFonts w:hint="eastAsia"/>
        </w:rPr>
        <w:t>)</w:t>
      </w:r>
      <w:r>
        <w:rPr>
          <w:rFonts w:hint="eastAsia"/>
        </w:rPr>
        <w:t>的卫生服务机构创立</w:t>
      </w:r>
      <w:r>
        <w:rPr>
          <w:rFonts w:hint="eastAsia"/>
        </w:rPr>
        <w:t>13</w:t>
      </w:r>
      <w:r>
        <w:rPr>
          <w:rFonts w:hint="eastAsia"/>
        </w:rPr>
        <w:t>个特别保健中心</w:t>
      </w:r>
      <w:r>
        <w:rPr>
          <w:rFonts w:hint="eastAsia"/>
          <w:spacing w:val="-40"/>
        </w:rPr>
        <w:t>——</w:t>
      </w:r>
      <w:r>
        <w:rPr>
          <w:rFonts w:hint="eastAsia"/>
        </w:rPr>
        <w:t>委托保健中心和治疗</w:t>
      </w:r>
      <w:r>
        <w:rPr>
          <w:rFonts w:hint="eastAsia"/>
        </w:rPr>
        <w:t>与诊断中心。</w:t>
      </w:r>
    </w:p>
    <w:p w:rsidR="00000000" w:rsidRDefault="009C1C61">
      <w:r>
        <w:rPr>
          <w:rFonts w:hint="eastAsia"/>
        </w:rPr>
        <w:tab/>
      </w:r>
      <w:r>
        <w:t>710.</w:t>
      </w:r>
      <w:r>
        <w:rPr>
          <w:rFonts w:hint="eastAsia"/>
        </w:rPr>
        <w:t xml:space="preserve">  </w:t>
      </w:r>
      <w:r>
        <w:rPr>
          <w:rFonts w:hint="eastAsia"/>
        </w:rPr>
        <w:t>在初级保健方面，该方案促成：</w:t>
      </w:r>
    </w:p>
    <w:p w:rsidR="00000000" w:rsidRDefault="009C1C61">
      <w:pPr>
        <w:numPr>
          <w:ilvl w:val="0"/>
          <w:numId w:val="317"/>
        </w:numPr>
      </w:pPr>
      <w:r>
        <w:rPr>
          <w:rFonts w:hint="eastAsia"/>
        </w:rPr>
        <w:t>创建新手术室</w:t>
      </w:r>
      <w:r>
        <w:t>126</w:t>
      </w:r>
      <w:r>
        <w:rPr>
          <w:rFonts w:hint="eastAsia"/>
        </w:rPr>
        <w:t>个，改造旧手术室</w:t>
      </w:r>
      <w:r>
        <w:t>68</w:t>
      </w:r>
      <w:r>
        <w:rPr>
          <w:rFonts w:hint="eastAsia"/>
        </w:rPr>
        <w:t>个</w:t>
      </w:r>
      <w:r>
        <w:t>；</w:t>
      </w:r>
    </w:p>
    <w:p w:rsidR="00000000" w:rsidRDefault="009C1C61">
      <w:pPr>
        <w:numPr>
          <w:ilvl w:val="0"/>
          <w:numId w:val="317"/>
        </w:numPr>
      </w:pPr>
      <w:r>
        <w:rPr>
          <w:rFonts w:hint="eastAsia"/>
        </w:rPr>
        <w:t>更新了急诊服务的物质基础设施</w:t>
      </w:r>
      <w:r>
        <w:t>；</w:t>
      </w:r>
    </w:p>
    <w:p w:rsidR="00000000" w:rsidRDefault="009C1C61">
      <w:pPr>
        <w:numPr>
          <w:ilvl w:val="0"/>
          <w:numId w:val="317"/>
        </w:numPr>
      </w:pPr>
      <w:r>
        <w:rPr>
          <w:rFonts w:hint="eastAsia"/>
        </w:rPr>
        <w:t>购买了亟需的急诊设备，加强了支助单位</w:t>
      </w:r>
      <w:r>
        <w:t>；</w:t>
      </w:r>
    </w:p>
    <w:p w:rsidR="00000000" w:rsidRDefault="009C1C61">
      <w:pPr>
        <w:numPr>
          <w:ilvl w:val="0"/>
          <w:numId w:val="317"/>
        </w:numPr>
      </w:pPr>
      <w:r>
        <w:rPr>
          <w:rFonts w:hint="eastAsia"/>
        </w:rPr>
        <w:t>雇用了必要的专业服务，采购了基本消费品</w:t>
      </w:r>
      <w:r>
        <w:t>；</w:t>
      </w:r>
    </w:p>
    <w:p w:rsidR="00000000" w:rsidRDefault="009C1C61">
      <w:pPr>
        <w:numPr>
          <w:ilvl w:val="0"/>
          <w:numId w:val="317"/>
        </w:numPr>
      </w:pPr>
      <w:r>
        <w:rPr>
          <w:rFonts w:hint="eastAsia"/>
        </w:rPr>
        <w:t>设置了初级急诊点。</w:t>
      </w:r>
    </w:p>
    <w:p w:rsidR="00000000" w:rsidRDefault="009C1C61">
      <w:pPr>
        <w:spacing w:after="320"/>
      </w:pPr>
      <w:r>
        <w:rPr>
          <w:rFonts w:hint="eastAsia"/>
        </w:rPr>
        <w:tab/>
      </w:r>
      <w:r>
        <w:t>711.</w:t>
      </w:r>
      <w:r>
        <w:rPr>
          <w:rFonts w:hint="eastAsia"/>
        </w:rPr>
        <w:t xml:space="preserve">  </w:t>
      </w:r>
      <w:r>
        <w:rPr>
          <w:rFonts w:hint="eastAsia"/>
        </w:rPr>
        <w:t>至</w:t>
      </w:r>
      <w:r>
        <w:t>1999</w:t>
      </w:r>
      <w:r>
        <w:rPr>
          <w:rFonts w:hint="eastAsia"/>
        </w:rPr>
        <w:t>年，在第一区和第十区创立了</w:t>
      </w:r>
      <w:r>
        <w:t>60</w:t>
      </w:r>
      <w:r>
        <w:rPr>
          <w:rFonts w:hint="eastAsia"/>
        </w:rPr>
        <w:t>个急诊点</w:t>
      </w:r>
      <w:r>
        <w:rPr>
          <w:rFonts w:hint="eastAsia"/>
        </w:rPr>
        <w:t>(</w:t>
      </w:r>
      <w:r>
        <w:t>SAPUs</w:t>
      </w:r>
      <w:r>
        <w:rPr>
          <w:rFonts w:hint="eastAsia"/>
        </w:rPr>
        <w:t>)</w:t>
      </w:r>
      <w:r>
        <w:rPr>
          <w:rFonts w:hint="eastAsia"/>
        </w:rPr>
        <w:t>，在首都区新建了</w:t>
      </w:r>
      <w:r>
        <w:rPr>
          <w:rFonts w:hint="eastAsia"/>
        </w:rPr>
        <w:t>30</w:t>
      </w:r>
      <w:r>
        <w:rPr>
          <w:rFonts w:hint="eastAsia"/>
        </w:rPr>
        <w:t>个急诊点。</w:t>
      </w:r>
      <w:r>
        <w:rPr>
          <w:rFonts w:hint="eastAsia"/>
        </w:rPr>
        <w:t>1994</w:t>
      </w:r>
      <w:r>
        <w:rPr>
          <w:rFonts w:hint="eastAsia"/>
        </w:rPr>
        <w:t>年建立了急诊站，增加了因疾病或事故而处于危急状态的人的生存希望。这个急诊站网目前每年救治</w:t>
      </w:r>
      <w:r>
        <w:t>80,000</w:t>
      </w:r>
      <w:r>
        <w:rPr>
          <w:rFonts w:hint="eastAsia"/>
        </w:rPr>
        <w:t>人。</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提高卫生部门机构能力的方案和行动</w:t>
      </w:r>
    </w:p>
    <w:p w:rsidR="00000000" w:rsidRDefault="009C1C61">
      <w:r>
        <w:rPr>
          <w:rFonts w:hint="eastAsia"/>
        </w:rPr>
        <w:tab/>
      </w:r>
      <w:r>
        <w:t>712.</w:t>
      </w:r>
      <w:r>
        <w:rPr>
          <w:rFonts w:hint="eastAsia"/>
        </w:rPr>
        <w:t xml:space="preserve">  </w:t>
      </w:r>
      <w:r>
        <w:rPr>
          <w:rFonts w:hint="eastAsia"/>
        </w:rPr>
        <w:t>为提高公</w:t>
      </w:r>
      <w:r>
        <w:rPr>
          <w:rFonts w:hint="eastAsia"/>
        </w:rPr>
        <w:t>共卫生机构的效率而实施的方案，得到了一些关键机构，即预防性卫生机构监督局、改组后的国家卫生基金</w:t>
      </w:r>
      <w:r>
        <w:rPr>
          <w:rFonts w:hint="eastAsia"/>
        </w:rPr>
        <w:t>(</w:t>
      </w:r>
      <w:r>
        <w:rPr>
          <w:rFonts w:hint="eastAsia"/>
        </w:rPr>
        <w:t>国卫基金</w:t>
      </w:r>
      <w:r>
        <w:rPr>
          <w:rFonts w:hint="eastAsia"/>
        </w:rPr>
        <w:t>)</w:t>
      </w:r>
      <w:r>
        <w:rPr>
          <w:rFonts w:hint="eastAsia"/>
        </w:rPr>
        <w:t>、中央供应机构</w:t>
      </w:r>
      <w:r>
        <w:rPr>
          <w:rFonts w:hint="eastAsia"/>
        </w:rPr>
        <w:t>(</w:t>
      </w:r>
      <w:r>
        <w:rPr>
          <w:rFonts w:hint="eastAsia"/>
        </w:rPr>
        <w:t>中供机构</w:t>
      </w:r>
      <w:r>
        <w:rPr>
          <w:rFonts w:hint="eastAsia"/>
        </w:rPr>
        <w:t>)</w:t>
      </w:r>
      <w:r>
        <w:rPr>
          <w:rFonts w:hint="eastAsia"/>
        </w:rPr>
        <w:t>和公共卫生研究所的支持。改组了各卫生方案机构，推出了新的保健服务一般条例，设立了新的机构负责初级保健中心和保健服务医院的资源分配。</w:t>
      </w:r>
    </w:p>
    <w:p w:rsidR="00000000" w:rsidRDefault="009C1C61">
      <w:r>
        <w:rPr>
          <w:rFonts w:hint="eastAsia"/>
        </w:rPr>
        <w:tab/>
      </w:r>
      <w:r>
        <w:t>713.</w:t>
      </w:r>
      <w:r>
        <w:rPr>
          <w:rFonts w:hint="eastAsia"/>
        </w:rPr>
        <w:t xml:space="preserve">  </w:t>
      </w:r>
      <w:r>
        <w:rPr>
          <w:rFonts w:hint="eastAsia"/>
        </w:rPr>
        <w:t>管理支助方案改善了中央、各区以及中供机构和全国卫生研究所等被移交机构的通信和管理，提高了它们的生产率。</w:t>
      </w:r>
    </w:p>
    <w:p w:rsidR="00000000" w:rsidRDefault="009C1C61">
      <w:pPr>
        <w:spacing w:after="320"/>
      </w:pPr>
      <w:r>
        <w:rPr>
          <w:rFonts w:hint="eastAsia"/>
        </w:rPr>
        <w:tab/>
      </w:r>
      <w:r>
        <w:t>714.</w:t>
      </w:r>
      <w:r>
        <w:rPr>
          <w:rFonts w:hint="eastAsia"/>
        </w:rPr>
        <w:t xml:space="preserve">  </w:t>
      </w:r>
      <w:r>
        <w:rPr>
          <w:rFonts w:hint="eastAsia"/>
        </w:rPr>
        <w:t>自</w:t>
      </w:r>
      <w:r>
        <w:t>1994</w:t>
      </w:r>
      <w:r>
        <w:rPr>
          <w:rFonts w:hint="eastAsia"/>
        </w:rPr>
        <w:t>年以来，根据行政管理承诺制度，各个保健服务机构都与中央机构商定了要达到的战略目标，以精确的指标来衡量结果。</w:t>
      </w:r>
      <w:r>
        <w:rPr>
          <w:rFonts w:hint="eastAsia"/>
        </w:rPr>
        <w:t>这一切都是在扩大每个保健服务机构的参与和谈判机会的框架内开展的。</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国际援助的作用</w:t>
      </w:r>
    </w:p>
    <w:p w:rsidR="00000000" w:rsidRDefault="009C1C61">
      <w:r>
        <w:rPr>
          <w:rFonts w:hint="eastAsia"/>
        </w:rPr>
        <w:tab/>
      </w:r>
      <w:r>
        <w:t>715.</w:t>
      </w:r>
      <w:r>
        <w:rPr>
          <w:rFonts w:hint="eastAsia"/>
        </w:rPr>
        <w:t xml:space="preserve">  </w:t>
      </w:r>
      <w:r>
        <w:rPr>
          <w:rFonts w:hint="eastAsia"/>
        </w:rPr>
        <w:t>智利在努力改善全民的身心健康，以此作为提高全民生活水准的一种基本因素，所以不断寻求新的预算资源，也通过国际合作寻求可能得到的帮助。智利是《联合国宪章》的签署国，自恢复民主之后，根据《联合国宪章》第五十五和第五十六条，大大加紧了对国际帮助的寻求。</w:t>
      </w:r>
    </w:p>
    <w:p w:rsidR="00000000" w:rsidRDefault="009C1C61">
      <w:r>
        <w:rPr>
          <w:rFonts w:hint="eastAsia"/>
        </w:rPr>
        <w:tab/>
      </w:r>
      <w:r>
        <w:t>716.</w:t>
      </w:r>
      <w:r>
        <w:rPr>
          <w:rFonts w:hint="eastAsia"/>
        </w:rPr>
        <w:t xml:space="preserve">  </w:t>
      </w:r>
      <w:r>
        <w:rPr>
          <w:rFonts w:hint="eastAsia"/>
        </w:rPr>
        <w:t>在身心健康方面，正在执行如下协定：</w:t>
      </w:r>
    </w:p>
    <w:p w:rsidR="00000000" w:rsidRDefault="009C1C61">
      <w:pPr>
        <w:numPr>
          <w:ilvl w:val="0"/>
          <w:numId w:val="318"/>
        </w:numPr>
      </w:pPr>
      <w:r>
        <w:rPr>
          <w:rFonts w:hint="eastAsia"/>
        </w:rPr>
        <w:t>残疾人康复项目；日本国际合作署日本合作</w:t>
      </w:r>
      <w:r>
        <w:t>/</w:t>
      </w:r>
      <w:r>
        <w:rPr>
          <w:color w:val="008000"/>
        </w:rPr>
        <w:t>Pedro Aguirre Cerda</w:t>
      </w:r>
      <w:r>
        <w:t xml:space="preserve"> </w:t>
      </w:r>
      <w:r>
        <w:rPr>
          <w:rFonts w:hint="eastAsia"/>
        </w:rPr>
        <w:t>国家康复研究所</w:t>
      </w:r>
      <w:r>
        <w:t>)</w:t>
      </w:r>
      <w:r>
        <w:t>；</w:t>
      </w:r>
    </w:p>
    <w:p w:rsidR="00000000" w:rsidRDefault="009C1C61">
      <w:pPr>
        <w:numPr>
          <w:ilvl w:val="0"/>
          <w:numId w:val="318"/>
        </w:numPr>
      </w:pPr>
      <w:r>
        <w:rPr>
          <w:rFonts w:hint="eastAsia"/>
        </w:rPr>
        <w:t>卫生组织国际功能、残</w:t>
      </w:r>
      <w:r>
        <w:rPr>
          <w:rFonts w:hint="eastAsia"/>
        </w:rPr>
        <w:t>疾和健康分类</w:t>
      </w:r>
      <w:r>
        <w:t>；</w:t>
      </w:r>
    </w:p>
    <w:p w:rsidR="00000000" w:rsidRDefault="009C1C61">
      <w:pPr>
        <w:numPr>
          <w:ilvl w:val="0"/>
          <w:numId w:val="318"/>
        </w:numPr>
      </w:pPr>
      <w:r>
        <w:rPr>
          <w:rFonts w:hint="eastAsia"/>
        </w:rPr>
        <w:t>普塔恩多菲利佩·皮内尔精神病医院与法国蒂尔精神病医院之间的对口安排；</w:t>
      </w:r>
    </w:p>
    <w:p w:rsidR="00000000" w:rsidRDefault="009C1C61">
      <w:pPr>
        <w:numPr>
          <w:ilvl w:val="0"/>
          <w:numId w:val="318"/>
        </w:numPr>
        <w:spacing w:after="320"/>
        <w:rPr>
          <w:rFonts w:hint="eastAsia"/>
        </w:rPr>
      </w:pPr>
      <w:r>
        <w:rPr>
          <w:rFonts w:hint="eastAsia"/>
        </w:rPr>
        <w:t>南锥共同体静脉注射吸毒者艾滋病</w:t>
      </w:r>
      <w:r>
        <w:rPr>
          <w:rFonts w:hint="eastAsia"/>
        </w:rPr>
        <w:t>/</w:t>
      </w:r>
      <w:r>
        <w:rPr>
          <w:rFonts w:hint="eastAsia"/>
        </w:rPr>
        <w:t>艾滋病毒预防项目</w:t>
      </w:r>
      <w:r>
        <w:t>；</w:t>
      </w:r>
      <w:r>
        <w:rPr>
          <w:rFonts w:hint="eastAsia"/>
        </w:rPr>
        <w:t>艾滋病规划署</w:t>
      </w:r>
      <w:r>
        <w:rPr>
          <w:rFonts w:hint="eastAsia"/>
        </w:rPr>
        <w:t>/</w:t>
      </w:r>
      <w:r>
        <w:rPr>
          <w:rFonts w:hint="eastAsia"/>
        </w:rPr>
        <w:t>全国艾滋病防治委员会</w:t>
      </w:r>
      <w:r>
        <w:rPr>
          <w:rFonts w:hint="eastAsia"/>
        </w:rPr>
        <w:t>(</w:t>
      </w:r>
      <w:r>
        <w:rPr>
          <w:rFonts w:hint="eastAsia"/>
        </w:rPr>
        <w:t>卫生部</w:t>
      </w:r>
      <w:r>
        <w:rPr>
          <w:rFonts w:hint="eastAsia"/>
        </w:rPr>
        <w:t>)</w:t>
      </w:r>
      <w:r>
        <w:rPr>
          <w:rFonts w:hint="eastAsia"/>
        </w:rPr>
        <w:t>。</w:t>
      </w:r>
    </w:p>
    <w:p w:rsidR="00000000" w:rsidRDefault="009C1C61">
      <w:pPr>
        <w:pStyle w:val="Heading3"/>
        <w:rPr>
          <w:rFonts w:ascii="Time New Roman" w:hAnsi="Time New Roman"/>
        </w:rPr>
      </w:pPr>
      <w:r>
        <w:rPr>
          <w:rFonts w:ascii="Time New Roman" w:hAnsi="Time New Roman" w:hint="eastAsia"/>
        </w:rPr>
        <w:t>第</w:t>
      </w:r>
      <w:r>
        <w:rPr>
          <w:rFonts w:ascii="Time New Roman" w:hAnsi="Time New Roman"/>
        </w:rPr>
        <w:t xml:space="preserve"> </w:t>
      </w:r>
      <w:r>
        <w:rPr>
          <w:rFonts w:ascii="Time New Roman" w:hAnsi="Time New Roman" w:hint="eastAsia"/>
        </w:rPr>
        <w:t>十三</w:t>
      </w:r>
      <w:r>
        <w:rPr>
          <w:rFonts w:ascii="Time New Roman" w:hAnsi="Time New Roman"/>
        </w:rPr>
        <w:t xml:space="preserve"> </w:t>
      </w:r>
      <w:r>
        <w:rPr>
          <w:rFonts w:ascii="Time New Roman" w:hAnsi="Time New Roman" w:hint="eastAsia"/>
        </w:rPr>
        <w:t>条</w:t>
      </w:r>
    </w:p>
    <w:p w:rsidR="00000000" w:rsidRDefault="009C1C61">
      <w:pPr>
        <w:pStyle w:val="Heading3"/>
        <w:rPr>
          <w:rFonts w:ascii="Time New Roman" w:hAnsi="Time New Roman" w:hint="eastAsia"/>
        </w:rPr>
      </w:pPr>
      <w:r>
        <w:rPr>
          <w:rFonts w:ascii="Time New Roman" w:hAnsi="Time New Roman" w:hint="eastAsia"/>
        </w:rPr>
        <w:t>受教育权</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实现人人受教育权的情况</w:t>
      </w:r>
      <w:r>
        <w:rPr>
          <w:rFonts w:ascii="Time New Roman" w:eastAsia="SimHei" w:hAnsi="Time New Roman"/>
          <w:u w:val="none"/>
        </w:rPr>
        <w:t xml:space="preserve"> </w:t>
      </w:r>
    </w:p>
    <w:p w:rsidR="00000000" w:rsidRDefault="009C1C61">
      <w:pPr>
        <w:rPr>
          <w:rFonts w:hint="eastAsia"/>
        </w:rPr>
      </w:pPr>
      <w:r>
        <w:rPr>
          <w:rFonts w:hint="eastAsia"/>
        </w:rPr>
        <w:tab/>
      </w:r>
      <w:r>
        <w:t xml:space="preserve">717.  </w:t>
      </w:r>
      <w:r>
        <w:rPr>
          <w:rFonts w:hint="eastAsia"/>
        </w:rPr>
        <w:t>政府教育方针的一般目标是改善教育质量和平等状况，由此产生下列各项特定目标：</w:t>
      </w:r>
    </w:p>
    <w:p w:rsidR="00000000" w:rsidRDefault="009C1C61">
      <w:pPr>
        <w:numPr>
          <w:ilvl w:val="0"/>
          <w:numId w:val="217"/>
        </w:numPr>
        <w:rPr>
          <w:rFonts w:hint="eastAsia"/>
        </w:rPr>
      </w:pPr>
      <w:r>
        <w:rPr>
          <w:rFonts w:hint="eastAsia"/>
        </w:rPr>
        <w:t>按照机会均等和向有无力受教育危险的群体积极倾斜的原则，大量改善学前班、小学和中学教育的条件、进程和成果；</w:t>
      </w:r>
    </w:p>
    <w:p w:rsidR="00000000" w:rsidRDefault="009C1C61">
      <w:pPr>
        <w:numPr>
          <w:ilvl w:val="0"/>
          <w:numId w:val="217"/>
        </w:numPr>
        <w:rPr>
          <w:rFonts w:hint="eastAsia"/>
        </w:rPr>
      </w:pPr>
      <w:r>
        <w:rPr>
          <w:rFonts w:hint="eastAsia"/>
        </w:rPr>
        <w:t>改革中小学教育课程，更新内容、提高教育质量，并分散进行课程制定工作；</w:t>
      </w:r>
    </w:p>
    <w:p w:rsidR="00000000" w:rsidRDefault="009C1C61">
      <w:pPr>
        <w:numPr>
          <w:ilvl w:val="0"/>
          <w:numId w:val="217"/>
        </w:numPr>
        <w:rPr>
          <w:rFonts w:hint="eastAsia"/>
        </w:rPr>
      </w:pPr>
      <w:r>
        <w:rPr>
          <w:rFonts w:hint="eastAsia"/>
        </w:rPr>
        <w:t>增加中小学上</w:t>
      </w:r>
      <w:r>
        <w:rPr>
          <w:rFonts w:hint="eastAsia"/>
        </w:rPr>
        <w:t>课时间，以安排更多时间落实课程和教学方法改革；</w:t>
      </w:r>
    </w:p>
    <w:p w:rsidR="00000000" w:rsidRDefault="009C1C61">
      <w:pPr>
        <w:numPr>
          <w:ilvl w:val="0"/>
          <w:numId w:val="217"/>
        </w:numPr>
        <w:spacing w:after="320"/>
        <w:rPr>
          <w:rFonts w:hint="eastAsia"/>
        </w:rPr>
      </w:pPr>
      <w:r>
        <w:rPr>
          <w:rFonts w:hint="eastAsia"/>
        </w:rPr>
        <w:t>加强教师</w:t>
      </w:r>
      <w:r>
        <w:rPr>
          <w:rFonts w:hint="eastAsia"/>
          <w:color w:val="000000"/>
        </w:rPr>
        <w:t>职业</w:t>
      </w:r>
      <w:r>
        <w:rPr>
          <w:rFonts w:hint="eastAsia"/>
        </w:rPr>
        <w:t>。</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学制概况</w:t>
      </w:r>
    </w:p>
    <w:p w:rsidR="00000000" w:rsidRDefault="009C1C61">
      <w:pPr>
        <w:rPr>
          <w:rFonts w:hint="eastAsia"/>
        </w:rPr>
      </w:pPr>
      <w:r>
        <w:rPr>
          <w:rFonts w:hint="eastAsia"/>
        </w:rPr>
        <w:tab/>
      </w:r>
      <w:r>
        <w:t xml:space="preserve">718.  </w:t>
      </w:r>
      <w:r>
        <w:rPr>
          <w:rFonts w:hint="eastAsia"/>
        </w:rPr>
        <w:t>智利的学制包括：一般小学教育</w:t>
      </w:r>
      <w:r>
        <w:rPr>
          <w:rFonts w:hint="eastAsia"/>
        </w:rPr>
        <w:t>(</w:t>
      </w:r>
      <w:r>
        <w:rPr>
          <w:rFonts w:hint="eastAsia"/>
        </w:rPr>
        <w:t>涵括八个年级，学生年龄</w:t>
      </w:r>
      <w:r>
        <w:rPr>
          <w:rFonts w:hint="eastAsia"/>
        </w:rPr>
        <w:t>6</w:t>
      </w:r>
      <w:r>
        <w:rPr>
          <w:rFonts w:hint="eastAsia"/>
        </w:rPr>
        <w:t>至</w:t>
      </w:r>
      <w:r>
        <w:rPr>
          <w:rFonts w:hint="eastAsia"/>
        </w:rPr>
        <w:t>13</w:t>
      </w:r>
      <w:r>
        <w:rPr>
          <w:rFonts w:hint="eastAsia"/>
        </w:rPr>
        <w:t>岁，为义务教育</w:t>
      </w:r>
      <w:r>
        <w:rPr>
          <w:rFonts w:hint="eastAsia"/>
        </w:rPr>
        <w:t>)</w:t>
      </w:r>
      <w:r>
        <w:rPr>
          <w:rFonts w:hint="eastAsia"/>
        </w:rPr>
        <w:t>及中学教育</w:t>
      </w:r>
      <w:r>
        <w:rPr>
          <w:rFonts w:hint="eastAsia"/>
        </w:rPr>
        <w:t>(</w:t>
      </w:r>
      <w:r>
        <w:rPr>
          <w:rFonts w:hint="eastAsia"/>
        </w:rPr>
        <w:t>小学后四个年级，划分为两个阶段。中学前两个年级属一般性教育，后两个年级则划分为两种倾向，即文科</w:t>
      </w:r>
      <w:r>
        <w:rPr>
          <w:rFonts w:hint="eastAsia"/>
        </w:rPr>
        <w:t>/</w:t>
      </w:r>
      <w:r>
        <w:rPr>
          <w:rFonts w:hint="eastAsia"/>
        </w:rPr>
        <w:t>理工科倾向或技术</w:t>
      </w:r>
      <w:r>
        <w:rPr>
          <w:rFonts w:hint="eastAsia"/>
        </w:rPr>
        <w:t>/</w:t>
      </w:r>
      <w:r>
        <w:rPr>
          <w:rFonts w:hint="eastAsia"/>
        </w:rPr>
        <w:t>职业教育倾向</w:t>
      </w:r>
      <w:r>
        <w:rPr>
          <w:rFonts w:hint="eastAsia"/>
        </w:rPr>
        <w:t>)</w:t>
      </w:r>
      <w:r>
        <w:rPr>
          <w:rFonts w:hint="eastAsia"/>
        </w:rPr>
        <w:t>。此外，六岁以下儿童则有学前班或托儿所，这又分为</w:t>
      </w:r>
      <w:r>
        <w:rPr>
          <w:rFonts w:hint="eastAsia"/>
        </w:rPr>
        <w:t>0</w:t>
      </w:r>
      <w:r>
        <w:rPr>
          <w:rFonts w:hint="eastAsia"/>
        </w:rPr>
        <w:t>至</w:t>
      </w:r>
      <w:r>
        <w:rPr>
          <w:rFonts w:hint="eastAsia"/>
        </w:rPr>
        <w:t>2</w:t>
      </w:r>
      <w:r>
        <w:rPr>
          <w:rFonts w:hint="eastAsia"/>
        </w:rPr>
        <w:t>岁幼童幼儿园；</w:t>
      </w:r>
      <w:r>
        <w:rPr>
          <w:rFonts w:hint="eastAsia"/>
        </w:rPr>
        <w:t>3</w:t>
      </w:r>
      <w:r>
        <w:rPr>
          <w:rFonts w:hint="eastAsia"/>
        </w:rPr>
        <w:t>至</w:t>
      </w:r>
      <w:r>
        <w:rPr>
          <w:rFonts w:hint="eastAsia"/>
        </w:rPr>
        <w:t>4</w:t>
      </w:r>
      <w:r>
        <w:rPr>
          <w:rFonts w:hint="eastAsia"/>
        </w:rPr>
        <w:t>岁儿童中等学前班；及</w:t>
      </w:r>
      <w:r>
        <w:rPr>
          <w:rFonts w:hint="eastAsia"/>
        </w:rPr>
        <w:t>5</w:t>
      </w:r>
      <w:r>
        <w:rPr>
          <w:rFonts w:hint="eastAsia"/>
        </w:rPr>
        <w:t>至</w:t>
      </w:r>
      <w:r>
        <w:rPr>
          <w:rFonts w:hint="eastAsia"/>
        </w:rPr>
        <w:t>6</w:t>
      </w:r>
      <w:r>
        <w:rPr>
          <w:rFonts w:hint="eastAsia"/>
        </w:rPr>
        <w:t>岁儿童过渡班。</w:t>
      </w:r>
    </w:p>
    <w:p w:rsidR="00000000" w:rsidRDefault="009C1C61">
      <w:pPr>
        <w:rPr>
          <w:rFonts w:hint="eastAsia"/>
        </w:rPr>
      </w:pPr>
      <w:r>
        <w:rPr>
          <w:rFonts w:hint="eastAsia"/>
        </w:rPr>
        <w:tab/>
      </w:r>
      <w:r>
        <w:t xml:space="preserve">719.  </w:t>
      </w:r>
      <w:r>
        <w:rPr>
          <w:rFonts w:hint="eastAsia"/>
        </w:rPr>
        <w:t>学校教育根据学校所有权及其管理方式分为四个部分：市立公共教育；私立国家补贴教育</w:t>
      </w:r>
      <w:r>
        <w:rPr>
          <w:rFonts w:hint="eastAsia"/>
        </w:rPr>
        <w:t>；家庭自费私立教育；及由私营公司代表国家经营、工商协会开办的本行业专门领域技术</w:t>
      </w:r>
      <w:r>
        <w:rPr>
          <w:rFonts w:hint="eastAsia"/>
        </w:rPr>
        <w:t>/</w:t>
      </w:r>
      <w:r>
        <w:rPr>
          <w:rFonts w:hint="eastAsia"/>
        </w:rPr>
        <w:t>职业学校。</w:t>
      </w:r>
    </w:p>
    <w:p w:rsidR="00000000" w:rsidRDefault="009C1C61">
      <w:pPr>
        <w:rPr>
          <w:rFonts w:hint="eastAsia"/>
        </w:rPr>
      </w:pPr>
      <w:r>
        <w:rPr>
          <w:rFonts w:hint="eastAsia"/>
        </w:rPr>
        <w:tab/>
      </w:r>
      <w:r>
        <w:t xml:space="preserve">720.  </w:t>
      </w:r>
      <w:r>
        <w:rPr>
          <w:rFonts w:hint="eastAsia"/>
        </w:rPr>
        <w:t>教育部担负着学校教育的总体责任，但根据权力下放的原则，教育部并不管理学校或教职人员。公立教育机构由市政当局拥有，而市政当局是独立的公共机构，有权凭借中央政府支付的补贴另加市政当局自备资金，自行管理学校工作人员、基础设施、学校设备和预算。</w:t>
      </w:r>
    </w:p>
    <w:p w:rsidR="00000000" w:rsidRDefault="009C1C61">
      <w:pPr>
        <w:rPr>
          <w:rFonts w:hint="eastAsia"/>
        </w:rPr>
      </w:pPr>
      <w:r>
        <w:rPr>
          <w:rFonts w:hint="eastAsia"/>
        </w:rPr>
        <w:tab/>
      </w:r>
      <w:r>
        <w:t xml:space="preserve">721.  </w:t>
      </w:r>
      <w:r>
        <w:rPr>
          <w:rFonts w:hint="eastAsia"/>
        </w:rPr>
        <w:t>根据国家行政结构，教育部划分为</w:t>
      </w:r>
      <w:r>
        <w:rPr>
          <w:rFonts w:hint="eastAsia"/>
        </w:rPr>
        <w:t>13</w:t>
      </w:r>
      <w:r>
        <w:rPr>
          <w:rFonts w:hint="eastAsia"/>
        </w:rPr>
        <w:t>个大区部级秘书处，每个秘书处都与其所在大区政府有关，还有</w:t>
      </w:r>
      <w:r>
        <w:rPr>
          <w:rFonts w:hint="eastAsia"/>
        </w:rPr>
        <w:t>40</w:t>
      </w:r>
      <w:r>
        <w:rPr>
          <w:rFonts w:hint="eastAsia"/>
        </w:rPr>
        <w:t>个省级教育部门。有着地区划分结构的教育部负责课程和教学方法方</w:t>
      </w:r>
      <w:r>
        <w:rPr>
          <w:rFonts w:hint="eastAsia"/>
        </w:rPr>
        <w:t>面的总体政策指导，并对技术和财政支助以及评估和信息提供指导。</w:t>
      </w:r>
    </w:p>
    <w:p w:rsidR="00000000" w:rsidRDefault="009C1C61">
      <w:pPr>
        <w:rPr>
          <w:rFonts w:hint="eastAsia"/>
        </w:rPr>
      </w:pPr>
      <w:r>
        <w:rPr>
          <w:rFonts w:hint="eastAsia"/>
        </w:rPr>
        <w:tab/>
      </w:r>
      <w:r>
        <w:t xml:space="preserve">722.  </w:t>
      </w:r>
      <w:r>
        <w:rPr>
          <w:rFonts w:hint="eastAsia"/>
        </w:rPr>
        <w:t>学校的建筑、维护、修理和扩展问题原则上是市政当局或私立学校主办人的责任。大部分公立教育机构的投资由大区政府根据市政当局或教育部提出的建议进行。根据最近的立法，教育部也可为公立学校和私立国家补贴学校的建筑维修提供资金。根据这项立法，可拨款补贴那些希望扩展校舍以延长每日工作时间的私立学校。</w:t>
      </w:r>
    </w:p>
    <w:p w:rsidR="00000000" w:rsidRDefault="009C1C61">
      <w:pPr>
        <w:spacing w:after="320"/>
        <w:rPr>
          <w:rFonts w:hint="eastAsia"/>
        </w:rPr>
      </w:pPr>
      <w:r>
        <w:rPr>
          <w:rFonts w:hint="eastAsia"/>
        </w:rPr>
        <w:tab/>
      </w:r>
      <w:r>
        <w:t xml:space="preserve">723.  </w:t>
      </w:r>
      <w:r>
        <w:rPr>
          <w:rFonts w:hint="eastAsia"/>
        </w:rPr>
        <w:t>没有乡村学校分布方面的总体数据。农村人口占总人口的</w:t>
      </w:r>
      <w:r>
        <w:rPr>
          <w:rFonts w:hint="eastAsia"/>
        </w:rPr>
        <w:t>17%</w:t>
      </w:r>
      <w:r>
        <w:rPr>
          <w:rFonts w:hint="eastAsia"/>
        </w:rPr>
        <w:t>，而这类人口的分散程度较低。一般而论，市立公共教育系统尽一切可能通过下列办法使</w:t>
      </w:r>
      <w:r>
        <w:rPr>
          <w:rFonts w:hint="eastAsia"/>
        </w:rPr>
        <w:t>初级和中等教育适应分散的乡村人口的需要，其方式有：非完全学校，并办上课；设有或没有膳宿设施的完全小学；校车系统；村镇学生之家；及其他解决办法，由于这些办法，学校网络覆盖面十分广泛。</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免费、义务初等教育</w:t>
      </w:r>
    </w:p>
    <w:p w:rsidR="00000000" w:rsidRDefault="009C1C61">
      <w:pPr>
        <w:rPr>
          <w:rFonts w:hint="eastAsia"/>
        </w:rPr>
      </w:pPr>
      <w:r>
        <w:rPr>
          <w:rFonts w:hint="eastAsia"/>
        </w:rPr>
        <w:tab/>
      </w:r>
      <w:r>
        <w:t xml:space="preserve">724.  </w:t>
      </w:r>
      <w:r>
        <w:rPr>
          <w:rFonts w:hint="eastAsia"/>
        </w:rPr>
        <w:t>初等教育是义务的，通常称为“基础普通教育”，在总共八年的时间里，一般为</w:t>
      </w:r>
      <w:r>
        <w:rPr>
          <w:rFonts w:hint="eastAsia"/>
        </w:rPr>
        <w:t>6</w:t>
      </w:r>
      <w:r>
        <w:rPr>
          <w:rFonts w:hint="eastAsia"/>
        </w:rPr>
        <w:t>至</w:t>
      </w:r>
      <w:r>
        <w:rPr>
          <w:rFonts w:hint="eastAsia"/>
        </w:rPr>
        <w:t>13</w:t>
      </w:r>
      <w:r>
        <w:rPr>
          <w:rFonts w:hint="eastAsia"/>
        </w:rPr>
        <w:t>岁的儿童分六个程度进行。根据《宪法》，政府为免费学校体系提供资金，从而使这类学校可以义务为所有儿童提供初等教育机会。根据教育部</w:t>
      </w:r>
      <w:r>
        <w:rPr>
          <w:rFonts w:hint="eastAsia"/>
        </w:rPr>
        <w:t>1998</w:t>
      </w:r>
      <w:r>
        <w:rPr>
          <w:rFonts w:hint="eastAsia"/>
        </w:rPr>
        <w:t>年的数据，</w:t>
      </w:r>
      <w:r>
        <w:rPr>
          <w:rStyle w:val="FootnoteReference"/>
        </w:rPr>
        <w:footnoteReference w:id="303"/>
      </w:r>
      <w:r>
        <w:t xml:space="preserve"> </w:t>
      </w:r>
      <w:r>
        <w:rPr>
          <w:rFonts w:hint="eastAsia"/>
        </w:rPr>
        <w:t>政府在物质和技术上资助和支助国内</w:t>
      </w:r>
      <w:r>
        <w:rPr>
          <w:rFonts w:hint="eastAsia"/>
        </w:rPr>
        <w:t>341</w:t>
      </w:r>
      <w:r>
        <w:rPr>
          <w:rFonts w:hint="eastAsia"/>
        </w:rPr>
        <w:t>个城市或私营主办人开办的</w:t>
      </w:r>
      <w:r>
        <w:rPr>
          <w:rFonts w:hint="eastAsia"/>
        </w:rPr>
        <w:t>8,50</w:t>
      </w:r>
      <w:r>
        <w:rPr>
          <w:rFonts w:hint="eastAsia"/>
        </w:rPr>
        <w:t>7</w:t>
      </w:r>
      <w:r>
        <w:rPr>
          <w:rFonts w:hint="eastAsia"/>
        </w:rPr>
        <w:t>所学校网。市立学校注册生占这一程度就学人数的</w:t>
      </w:r>
      <w:r>
        <w:rPr>
          <w:rFonts w:hint="eastAsia"/>
        </w:rPr>
        <w:t>57</w:t>
      </w:r>
      <w:r>
        <w:t>.</w:t>
      </w:r>
      <w:r>
        <w:rPr>
          <w:rFonts w:hint="eastAsia"/>
        </w:rPr>
        <w:t>7%</w:t>
      </w:r>
      <w:r>
        <w:rPr>
          <w:rFonts w:hint="eastAsia"/>
        </w:rPr>
        <w:t>，而国家补贴的私立学校注册人数则占小学生总数的</w:t>
      </w:r>
      <w:r>
        <w:rPr>
          <w:rFonts w:hint="eastAsia"/>
        </w:rPr>
        <w:t>34</w:t>
      </w:r>
      <w:r>
        <w:t>.</w:t>
      </w:r>
      <w:r>
        <w:rPr>
          <w:rFonts w:hint="eastAsia"/>
        </w:rPr>
        <w:t>2%</w:t>
      </w:r>
      <w:r>
        <w:rPr>
          <w:rFonts w:hint="eastAsia"/>
        </w:rPr>
        <w:t>。其余</w:t>
      </w:r>
      <w:r>
        <w:rPr>
          <w:rFonts w:hint="eastAsia"/>
        </w:rPr>
        <w:t>8</w:t>
      </w:r>
      <w:r>
        <w:t>.</w:t>
      </w:r>
      <w:r>
        <w:rPr>
          <w:rFonts w:hint="eastAsia"/>
        </w:rPr>
        <w:t>1%</w:t>
      </w:r>
      <w:r>
        <w:rPr>
          <w:rFonts w:hint="eastAsia"/>
        </w:rPr>
        <w:t>的小学生在家长付学费的</w:t>
      </w:r>
      <w:r>
        <w:rPr>
          <w:rFonts w:hint="eastAsia"/>
        </w:rPr>
        <w:t>764</w:t>
      </w:r>
      <w:r>
        <w:rPr>
          <w:rFonts w:hint="eastAsia"/>
        </w:rPr>
        <w:t>所私立小学就读。</w:t>
      </w:r>
    </w:p>
    <w:p w:rsidR="00000000" w:rsidRDefault="009C1C61">
      <w:pPr>
        <w:rPr>
          <w:rFonts w:hint="eastAsia"/>
        </w:rPr>
      </w:pPr>
      <w:r>
        <w:rPr>
          <w:rFonts w:hint="eastAsia"/>
        </w:rPr>
        <w:tab/>
      </w:r>
      <w:r>
        <w:t xml:space="preserve">725.  </w:t>
      </w:r>
      <w:r>
        <w:rPr>
          <w:rFonts w:hint="eastAsia"/>
        </w:rPr>
        <w:t>1990</w:t>
      </w:r>
      <w:r>
        <w:rPr>
          <w:rFonts w:hint="eastAsia"/>
        </w:rPr>
        <w:t>年初等教育覆盖面在</w:t>
      </w:r>
      <w:r>
        <w:rPr>
          <w:rFonts w:hint="eastAsia"/>
        </w:rPr>
        <w:t>6</w:t>
      </w:r>
      <w:r>
        <w:rPr>
          <w:rFonts w:hint="eastAsia"/>
        </w:rPr>
        <w:t>至</w:t>
      </w:r>
      <w:r>
        <w:rPr>
          <w:rFonts w:hint="eastAsia"/>
        </w:rPr>
        <w:t>13</w:t>
      </w:r>
      <w:r>
        <w:rPr>
          <w:rFonts w:hint="eastAsia"/>
        </w:rPr>
        <w:t>岁人口中高达</w:t>
      </w:r>
      <w:r>
        <w:rPr>
          <w:rFonts w:hint="eastAsia"/>
        </w:rPr>
        <w:t>96</w:t>
      </w:r>
      <w:r>
        <w:t>.</w:t>
      </w:r>
      <w:r>
        <w:rPr>
          <w:rFonts w:hint="eastAsia"/>
        </w:rPr>
        <w:t>8%</w:t>
      </w:r>
      <w:r>
        <w:rPr>
          <w:rFonts w:hint="eastAsia"/>
        </w:rPr>
        <w:t>，而至</w:t>
      </w:r>
      <w:r>
        <w:rPr>
          <w:rFonts w:hint="eastAsia"/>
        </w:rPr>
        <w:t>1998</w:t>
      </w:r>
      <w:r>
        <w:rPr>
          <w:rFonts w:hint="eastAsia"/>
        </w:rPr>
        <w:t>年，这一数字又上升为</w:t>
      </w:r>
      <w:r>
        <w:rPr>
          <w:rFonts w:hint="eastAsia"/>
        </w:rPr>
        <w:t>98</w:t>
      </w:r>
      <w:r>
        <w:t>.</w:t>
      </w:r>
      <w:r>
        <w:rPr>
          <w:rFonts w:hint="eastAsia"/>
        </w:rPr>
        <w:t>3%</w:t>
      </w:r>
      <w:r>
        <w:rPr>
          <w:rFonts w:hint="eastAsia"/>
        </w:rPr>
        <w:t>。同年，有</w:t>
      </w:r>
      <w:r>
        <w:rPr>
          <w:rFonts w:hint="eastAsia"/>
        </w:rPr>
        <w:t>91</w:t>
      </w:r>
      <w:r>
        <w:t>.</w:t>
      </w:r>
      <w:r>
        <w:rPr>
          <w:rFonts w:hint="eastAsia"/>
        </w:rPr>
        <w:t>2%</w:t>
      </w:r>
      <w:r>
        <w:rPr>
          <w:rFonts w:hint="eastAsia"/>
        </w:rPr>
        <w:t>的就学人口在公共资源资助的教育设施接受初等教育。不收费学校主要通过国家为每个就学学生补贴的方式资助。这类学校由国家通过下列办法提供资金：免费教科书、技术协助、就餐、膳宿设备、奖学金、考试、医疗保健和其他补助</w:t>
      </w:r>
      <w:r>
        <w:rPr>
          <w:rFonts w:hint="eastAsia"/>
        </w:rPr>
        <w:t>金和资源，旨在协助小学生入学、继续学业和取得成功。</w:t>
      </w:r>
    </w:p>
    <w:p w:rsidR="00000000" w:rsidRDefault="009C1C61">
      <w:pPr>
        <w:rPr>
          <w:rFonts w:hint="eastAsia"/>
        </w:rPr>
      </w:pPr>
      <w:r>
        <w:rPr>
          <w:rFonts w:hint="eastAsia"/>
        </w:rPr>
        <w:tab/>
      </w:r>
      <w:r>
        <w:t xml:space="preserve">726.  </w:t>
      </w:r>
      <w:r>
        <w:rPr>
          <w:rFonts w:hint="eastAsia"/>
        </w:rPr>
        <w:t>在</w:t>
      </w:r>
      <w:r>
        <w:rPr>
          <w:rFonts w:hint="eastAsia"/>
        </w:rPr>
        <w:t>1998</w:t>
      </w:r>
      <w:r>
        <w:rPr>
          <w:rFonts w:hint="eastAsia"/>
        </w:rPr>
        <w:t>年，根据社经特征调查，</w:t>
      </w:r>
      <w:r>
        <w:rPr>
          <w:rStyle w:val="FootnoteReference"/>
        </w:rPr>
        <w:footnoteReference w:id="304"/>
      </w:r>
      <w:r>
        <w:rPr>
          <w:rFonts w:hint="eastAsia"/>
          <w:vertAlign w:val="superscript"/>
        </w:rPr>
        <w:t xml:space="preserve"> </w:t>
      </w:r>
      <w:r>
        <w:rPr>
          <w:rFonts w:hint="eastAsia"/>
        </w:rPr>
        <w:t>不上小学的主要原因为“伤残性疾病”</w:t>
      </w:r>
      <w:r>
        <w:rPr>
          <w:rFonts w:hint="eastAsia"/>
        </w:rPr>
        <w:t>(24%)</w:t>
      </w:r>
      <w:r>
        <w:rPr>
          <w:rFonts w:hint="eastAsia"/>
        </w:rPr>
        <w:t>、“行为表现和成绩问题”</w:t>
      </w:r>
      <w:r>
        <w:rPr>
          <w:rFonts w:hint="eastAsia"/>
        </w:rPr>
        <w:t>(</w:t>
      </w:r>
      <w:r>
        <w:t>17.9%)</w:t>
      </w:r>
      <w:r>
        <w:rPr>
          <w:rFonts w:hint="eastAsia"/>
        </w:rPr>
        <w:t>、“缺乏兴趣”</w:t>
      </w:r>
      <w:r>
        <w:rPr>
          <w:rFonts w:hint="eastAsia"/>
        </w:rPr>
        <w:t>(</w:t>
      </w:r>
      <w:r>
        <w:t>12.7%)</w:t>
      </w:r>
      <w:r>
        <w:rPr>
          <w:rFonts w:hint="eastAsia"/>
        </w:rPr>
        <w:t>和“经济困难”</w:t>
      </w:r>
      <w:r>
        <w:rPr>
          <w:rFonts w:hint="eastAsia"/>
        </w:rPr>
        <w:t>(</w:t>
      </w:r>
      <w:r>
        <w:t>10.2%)</w:t>
      </w:r>
      <w:r>
        <w:rPr>
          <w:rFonts w:hint="eastAsia"/>
        </w:rPr>
        <w:t>。“不上学的男女儿童生活的家庭平均薪金等于上学儿童家庭所挣薪水的</w:t>
      </w:r>
      <w:r>
        <w:rPr>
          <w:rFonts w:hint="eastAsia"/>
        </w:rPr>
        <w:t>52</w:t>
      </w:r>
      <w:r>
        <w:t>.</w:t>
      </w:r>
      <w:r>
        <w:rPr>
          <w:rFonts w:hint="eastAsia"/>
        </w:rPr>
        <w:t>2%</w:t>
      </w:r>
      <w:r>
        <w:rPr>
          <w:rFonts w:hint="eastAsia"/>
        </w:rPr>
        <w:t>。</w:t>
      </w:r>
    </w:p>
    <w:p w:rsidR="00000000" w:rsidRDefault="009C1C61">
      <w:pPr>
        <w:spacing w:after="320"/>
        <w:rPr>
          <w:rFonts w:hint="eastAsia"/>
        </w:rPr>
      </w:pPr>
      <w:r>
        <w:rPr>
          <w:rFonts w:hint="eastAsia"/>
        </w:rPr>
        <w:tab/>
      </w:r>
      <w:r>
        <w:t xml:space="preserve">727. </w:t>
      </w:r>
      <w:r>
        <w:rPr>
          <w:rFonts w:hint="eastAsia"/>
        </w:rPr>
        <w:t>根据目前的筹资制度，国家补贴的私立学校</w:t>
      </w:r>
      <w:r>
        <w:rPr>
          <w:rFonts w:hint="eastAsia"/>
          <w:vertAlign w:val="superscript"/>
        </w:rPr>
        <w:t xml:space="preserve"> </w:t>
      </w:r>
      <w:r>
        <w:rPr>
          <w:rStyle w:val="FootnoteReference"/>
        </w:rPr>
        <w:footnoteReference w:id="305"/>
      </w:r>
      <w:r>
        <w:rPr>
          <w:rFonts w:hint="eastAsia"/>
          <w:vertAlign w:val="superscript"/>
        </w:rPr>
        <w:t xml:space="preserve"> </w:t>
      </w:r>
      <w:r>
        <w:rPr>
          <w:rFonts w:hint="eastAsia"/>
        </w:rPr>
        <w:t>可从核定赞助人处筹集资金。这类资金数额受教育部限制，自国家补贴中按比例折扣。这一筹资制度经济来源可能会相当零散，为抵消其影响，采用了奖学金</w:t>
      </w:r>
      <w:r>
        <w:rPr>
          <w:rFonts w:hint="eastAsia"/>
        </w:rPr>
        <w:t>制度。此外还规定市立学校必须录取所有报名者。</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中学教育</w:t>
      </w:r>
    </w:p>
    <w:p w:rsidR="00000000" w:rsidRDefault="009C1C61">
      <w:pPr>
        <w:rPr>
          <w:rFonts w:hint="eastAsia"/>
        </w:rPr>
      </w:pPr>
      <w:r>
        <w:rPr>
          <w:rFonts w:hint="eastAsia"/>
        </w:rPr>
        <w:tab/>
      </w:r>
      <w:r>
        <w:t xml:space="preserve">728.  </w:t>
      </w:r>
      <w:r>
        <w:rPr>
          <w:rFonts w:hint="eastAsia"/>
        </w:rPr>
        <w:t>智利的中学教育通常叫作“中等教育”，划分为两个倾向：“文科</w:t>
      </w:r>
      <w:r>
        <w:rPr>
          <w:rFonts w:hint="eastAsia"/>
        </w:rPr>
        <w:t>/</w:t>
      </w:r>
      <w:r>
        <w:rPr>
          <w:rFonts w:hint="eastAsia"/>
        </w:rPr>
        <w:t>理工科”，亦即普通学科和“技术</w:t>
      </w:r>
      <w:r>
        <w:rPr>
          <w:rFonts w:hint="eastAsia"/>
        </w:rPr>
        <w:t>/</w:t>
      </w:r>
      <w:r>
        <w:rPr>
          <w:rFonts w:hint="eastAsia"/>
        </w:rPr>
        <w:t>职业”倾向。两者都是在普通初等教育后再设四个年级。中等教育不是义务教育，但可以广泛获得。在</w:t>
      </w:r>
      <w:r>
        <w:rPr>
          <w:rFonts w:hint="eastAsia"/>
        </w:rPr>
        <w:t>1990</w:t>
      </w:r>
      <w:r>
        <w:rPr>
          <w:rFonts w:hint="eastAsia"/>
        </w:rPr>
        <w:t>年，中等教育在</w:t>
      </w:r>
      <w:r>
        <w:rPr>
          <w:rFonts w:hint="eastAsia"/>
        </w:rPr>
        <w:t>14</w:t>
      </w:r>
      <w:r>
        <w:rPr>
          <w:rFonts w:hint="eastAsia"/>
        </w:rPr>
        <w:t>至</w:t>
      </w:r>
      <w:r>
        <w:rPr>
          <w:rFonts w:hint="eastAsia"/>
        </w:rPr>
        <w:t>17</w:t>
      </w:r>
      <w:r>
        <w:rPr>
          <w:rFonts w:hint="eastAsia"/>
        </w:rPr>
        <w:t>岁人口中实现了</w:t>
      </w:r>
      <w:r>
        <w:rPr>
          <w:rFonts w:hint="eastAsia"/>
        </w:rPr>
        <w:t>80</w:t>
      </w:r>
      <w:r>
        <w:t>.</w:t>
      </w:r>
      <w:r>
        <w:rPr>
          <w:rFonts w:hint="eastAsia"/>
        </w:rPr>
        <w:t>5%</w:t>
      </w:r>
      <w:r>
        <w:rPr>
          <w:rFonts w:hint="eastAsia"/>
        </w:rPr>
        <w:t>的覆盖率，这一数字至</w:t>
      </w:r>
      <w:r>
        <w:rPr>
          <w:rFonts w:hint="eastAsia"/>
        </w:rPr>
        <w:t>1998</w:t>
      </w:r>
      <w:r>
        <w:rPr>
          <w:rFonts w:hint="eastAsia"/>
        </w:rPr>
        <w:t>年上升为</w:t>
      </w:r>
      <w:r>
        <w:rPr>
          <w:rFonts w:hint="eastAsia"/>
        </w:rPr>
        <w:t>86</w:t>
      </w:r>
      <w:r>
        <w:t>.</w:t>
      </w:r>
      <w:r>
        <w:rPr>
          <w:rFonts w:hint="eastAsia"/>
        </w:rPr>
        <w:t>9%</w:t>
      </w:r>
      <w:r>
        <w:rPr>
          <w:rFonts w:hint="eastAsia"/>
        </w:rPr>
        <w:t>。中等教育招收的女生达</w:t>
      </w:r>
      <w:r>
        <w:rPr>
          <w:rFonts w:hint="eastAsia"/>
        </w:rPr>
        <w:t>87</w:t>
      </w:r>
      <w:r>
        <w:t>.</w:t>
      </w:r>
      <w:r>
        <w:rPr>
          <w:rFonts w:hint="eastAsia"/>
        </w:rPr>
        <w:t>6%</w:t>
      </w:r>
      <w:r>
        <w:rPr>
          <w:rFonts w:hint="eastAsia"/>
        </w:rPr>
        <w:t>，与男生的</w:t>
      </w:r>
      <w:r>
        <w:rPr>
          <w:rFonts w:hint="eastAsia"/>
        </w:rPr>
        <w:t>86</w:t>
      </w:r>
      <w:r>
        <w:t>.</w:t>
      </w:r>
      <w:r>
        <w:rPr>
          <w:rFonts w:hint="eastAsia"/>
        </w:rPr>
        <w:t>3%</w:t>
      </w:r>
      <w:r>
        <w:rPr>
          <w:rFonts w:hint="eastAsia"/>
        </w:rPr>
        <w:t>相比略高。在校生五等分层中，第五层的</w:t>
      </w:r>
      <w:r>
        <w:rPr>
          <w:rFonts w:hint="eastAsia"/>
          <w:noProof/>
        </w:rPr>
        <w:t>女生</w:t>
      </w:r>
      <w:r>
        <w:rPr>
          <w:rFonts w:hint="eastAsia"/>
        </w:rPr>
        <w:t>入学率同男生相等，</w:t>
      </w:r>
      <w:r>
        <w:rPr>
          <w:rFonts w:hint="eastAsia"/>
          <w:noProof/>
        </w:rPr>
        <w:t>其他层次的男女比例均</w:t>
      </w:r>
      <w:r>
        <w:rPr>
          <w:rFonts w:hint="eastAsia"/>
        </w:rPr>
        <w:t>属这种情况。</w:t>
      </w:r>
    </w:p>
    <w:p w:rsidR="00000000" w:rsidRDefault="009C1C61">
      <w:pPr>
        <w:rPr>
          <w:rFonts w:hint="eastAsia"/>
        </w:rPr>
      </w:pPr>
      <w:r>
        <w:rPr>
          <w:rFonts w:hint="eastAsia"/>
        </w:rPr>
        <w:tab/>
      </w:r>
      <w:r>
        <w:t xml:space="preserve">729.  </w:t>
      </w:r>
      <w:r>
        <w:rPr>
          <w:rFonts w:hint="eastAsia"/>
        </w:rPr>
        <w:t>在</w:t>
      </w:r>
      <w:r>
        <w:rPr>
          <w:rFonts w:hint="eastAsia"/>
        </w:rPr>
        <w:t>1998</w:t>
      </w:r>
      <w:r>
        <w:rPr>
          <w:rFonts w:hint="eastAsia"/>
        </w:rPr>
        <w:t>年，不上中学的三个主要原因为：“目前正在工作或寻找工作”</w:t>
      </w:r>
      <w:r>
        <w:rPr>
          <w:rFonts w:hint="eastAsia"/>
        </w:rPr>
        <w:t>(22</w:t>
      </w:r>
      <w:r>
        <w:t>.</w:t>
      </w:r>
      <w:r>
        <w:rPr>
          <w:rFonts w:hint="eastAsia"/>
        </w:rPr>
        <w:t>2%)</w:t>
      </w:r>
      <w:r>
        <w:rPr>
          <w:rFonts w:hint="eastAsia"/>
        </w:rPr>
        <w:t>、“经济困难”</w:t>
      </w:r>
      <w:r>
        <w:rPr>
          <w:rFonts w:hint="eastAsia"/>
        </w:rPr>
        <w:t>(15</w:t>
      </w:r>
      <w:r>
        <w:t>.</w:t>
      </w:r>
      <w:r>
        <w:rPr>
          <w:rFonts w:hint="eastAsia"/>
        </w:rPr>
        <w:t>4%)</w:t>
      </w:r>
      <w:r>
        <w:rPr>
          <w:rFonts w:hint="eastAsia"/>
        </w:rPr>
        <w:t>和“缺乏继续上中学的兴趣”</w:t>
      </w:r>
      <w:r>
        <w:rPr>
          <w:rFonts w:hint="eastAsia"/>
        </w:rPr>
        <w:t>(14</w:t>
      </w:r>
      <w:r>
        <w:t>.</w:t>
      </w:r>
      <w:r>
        <w:rPr>
          <w:rFonts w:hint="eastAsia"/>
        </w:rPr>
        <w:t>9%)</w:t>
      </w:r>
      <w:r>
        <w:rPr>
          <w:rFonts w:hint="eastAsia"/>
        </w:rPr>
        <w:t>。较贫穷部分人口中不上中学的人数较多，在第一层中不上中学的比例较高，其中大部分年轻人，即</w:t>
      </w:r>
      <w:r>
        <w:rPr>
          <w:rFonts w:hint="eastAsia"/>
        </w:rPr>
        <w:t>72</w:t>
      </w:r>
      <w:r>
        <w:t>.</w:t>
      </w:r>
      <w:r>
        <w:rPr>
          <w:rFonts w:hint="eastAsia"/>
        </w:rPr>
        <w:t>7%</w:t>
      </w:r>
      <w:r>
        <w:rPr>
          <w:rFonts w:hint="eastAsia"/>
        </w:rPr>
        <w:t>来自</w:t>
      </w:r>
      <w:r>
        <w:rPr>
          <w:rFonts w:hint="eastAsia"/>
        </w:rPr>
        <w:t>40%</w:t>
      </w:r>
      <w:r>
        <w:rPr>
          <w:rFonts w:hint="eastAsia"/>
        </w:rPr>
        <w:t>的最低收入家庭。</w:t>
      </w:r>
    </w:p>
    <w:p w:rsidR="00000000" w:rsidRDefault="009C1C61">
      <w:pPr>
        <w:rPr>
          <w:rFonts w:hint="eastAsia"/>
        </w:rPr>
      </w:pPr>
      <w:r>
        <w:rPr>
          <w:rFonts w:hint="eastAsia"/>
        </w:rPr>
        <w:tab/>
      </w:r>
      <w:r>
        <w:t xml:space="preserve">730.  </w:t>
      </w:r>
      <w:r>
        <w:rPr>
          <w:rFonts w:hint="eastAsia"/>
        </w:rPr>
        <w:t>为了支助免费或低收费中学教育，政府提供与小学教育相当的资源和资金。</w:t>
      </w:r>
      <w:r>
        <w:rPr>
          <w:rFonts w:hint="eastAsia"/>
        </w:rPr>
        <w:t>1998</w:t>
      </w:r>
      <w:r>
        <w:rPr>
          <w:rFonts w:hint="eastAsia"/>
        </w:rPr>
        <w:t>年提供了政府援助的中学教育的有</w:t>
      </w:r>
      <w:r>
        <w:rPr>
          <w:rFonts w:hint="eastAsia"/>
        </w:rPr>
        <w:t>952</w:t>
      </w:r>
      <w:r>
        <w:rPr>
          <w:rFonts w:hint="eastAsia"/>
        </w:rPr>
        <w:t>所称为“初级中学</w:t>
      </w:r>
      <w:r>
        <w:rPr>
          <w:rFonts w:hint="eastAsia"/>
        </w:rPr>
        <w:t>(</w:t>
      </w:r>
      <w:r>
        <w:rPr>
          <w:rFonts w:eastAsia="KaiTi_GB2312"/>
          <w:bCs/>
          <w:iCs/>
        </w:rPr>
        <w:t>Liceos</w:t>
      </w:r>
      <w:r>
        <w:rPr>
          <w:rFonts w:hint="eastAsia"/>
        </w:rPr>
        <w:t>)</w:t>
      </w:r>
      <w:r>
        <w:rPr>
          <w:rFonts w:hint="eastAsia"/>
        </w:rPr>
        <w:t>”的市立学校、此外还有一般称作</w:t>
      </w:r>
      <w:r>
        <w:t>college</w:t>
      </w:r>
      <w:r>
        <w:rPr>
          <w:rFonts w:hint="eastAsia"/>
        </w:rPr>
        <w:t>(</w:t>
      </w:r>
      <w:r>
        <w:rPr>
          <w:rFonts w:hint="eastAsia"/>
        </w:rPr>
        <w:t>私立中学</w:t>
      </w:r>
      <w:r>
        <w:rPr>
          <w:rFonts w:hint="eastAsia"/>
        </w:rPr>
        <w:t>)</w:t>
      </w:r>
      <w:r>
        <w:rPr>
          <w:rFonts w:hint="eastAsia"/>
        </w:rPr>
        <w:t>或“初级中学”的</w:t>
      </w:r>
      <w:r>
        <w:rPr>
          <w:rFonts w:hint="eastAsia"/>
        </w:rPr>
        <w:t>938</w:t>
      </w:r>
      <w:r>
        <w:rPr>
          <w:rFonts w:hint="eastAsia"/>
        </w:rPr>
        <w:t>所国</w:t>
      </w:r>
      <w:r>
        <w:rPr>
          <w:rFonts w:hint="eastAsia"/>
        </w:rPr>
        <w:t>家援助的私立学校以及工商协会资助、私营公司经营的</w:t>
      </w:r>
      <w:r>
        <w:rPr>
          <w:rFonts w:hint="eastAsia"/>
        </w:rPr>
        <w:t>88</w:t>
      </w:r>
      <w:r>
        <w:rPr>
          <w:rFonts w:hint="eastAsia"/>
        </w:rPr>
        <w:t>所技术</w:t>
      </w:r>
      <w:r>
        <w:rPr>
          <w:rFonts w:hint="eastAsia"/>
        </w:rPr>
        <w:t>/</w:t>
      </w:r>
      <w:r>
        <w:rPr>
          <w:rFonts w:hint="eastAsia"/>
        </w:rPr>
        <w:t>职业学校。此外还有家庭付学费的</w:t>
      </w:r>
      <w:r>
        <w:rPr>
          <w:rFonts w:hint="eastAsia"/>
        </w:rPr>
        <w:t>481</w:t>
      </w:r>
      <w:r>
        <w:rPr>
          <w:rFonts w:hint="eastAsia"/>
        </w:rPr>
        <w:t>所私立中学。</w:t>
      </w:r>
    </w:p>
    <w:p w:rsidR="00000000" w:rsidRDefault="009C1C61">
      <w:pPr>
        <w:spacing w:after="240"/>
        <w:rPr>
          <w:rFonts w:hint="eastAsia"/>
        </w:rPr>
      </w:pPr>
      <w:r>
        <w:rPr>
          <w:rFonts w:hint="eastAsia"/>
        </w:rPr>
        <w:tab/>
      </w:r>
      <w:r>
        <w:t xml:space="preserve">731.  </w:t>
      </w:r>
      <w:r>
        <w:rPr>
          <w:rFonts w:hint="eastAsia"/>
        </w:rPr>
        <w:t>自</w:t>
      </w:r>
      <w:r>
        <w:rPr>
          <w:rFonts w:hint="eastAsia"/>
        </w:rPr>
        <w:t>1993</w:t>
      </w:r>
      <w:r>
        <w:rPr>
          <w:rFonts w:hint="eastAsia"/>
        </w:rPr>
        <w:t>年以来，部分由公共资金资助提供中学教育的学校可以向负责监护儿童的人士收取资金。此类资金收取数额受教育部规定最高数额的限制，并自国家拨款中按比例折扣。该制度规定了新的学校运作条件，即市政当局和提供技术</w:t>
      </w:r>
      <w:r>
        <w:rPr>
          <w:rFonts w:hint="eastAsia"/>
        </w:rPr>
        <w:t>/</w:t>
      </w:r>
      <w:r>
        <w:rPr>
          <w:rFonts w:hint="eastAsia"/>
        </w:rPr>
        <w:t>职业教育的公司开办的学校必须征得大部分家长或负责监护学生的人士同意才能管理学校。</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接受高等教育的机会</w:t>
      </w:r>
    </w:p>
    <w:p w:rsidR="00000000" w:rsidRDefault="009C1C61">
      <w:pPr>
        <w:rPr>
          <w:rFonts w:hint="eastAsia"/>
        </w:rPr>
      </w:pPr>
      <w:r>
        <w:rPr>
          <w:rFonts w:hint="eastAsia"/>
        </w:rPr>
        <w:tab/>
      </w:r>
      <w:r>
        <w:t xml:space="preserve">732.  </w:t>
      </w:r>
      <w:r>
        <w:rPr>
          <w:rFonts w:hint="eastAsia"/>
        </w:rPr>
        <w:t>学生完成了中等教育中任何一个倾向的学习的才可以有机会进入大学、</w:t>
      </w:r>
      <w:r>
        <w:rPr>
          <w:rFonts w:hint="eastAsia"/>
        </w:rPr>
        <w:t>专业研究所和技术培训中心获得高等教育。后者提供短期大专学习课程。</w:t>
      </w:r>
    </w:p>
    <w:p w:rsidR="00000000" w:rsidRDefault="009C1C61">
      <w:pPr>
        <w:spacing w:after="320"/>
      </w:pPr>
      <w:r>
        <w:rPr>
          <w:rFonts w:hint="eastAsia"/>
        </w:rPr>
        <w:tab/>
      </w:r>
      <w:r>
        <w:t xml:space="preserve">733.  </w:t>
      </w:r>
      <w:r>
        <w:rPr>
          <w:rFonts w:hint="eastAsia"/>
        </w:rPr>
        <w:t>学生必须拿到中等教育文凭才能录取进入高等院校。然后需经过一项甄选过程，即所谓学术能力测验，这些测验给学生打分，以在不同学科没有足够位置时帮助高等教育机构选拔申请人。获得高等教育的机会有限，因为在智利这类教育不是免费的。学生必须付费，支付大部分教学费用。而国家和其他组织则提供奖学金和贷款，资助难以支付费用学生的学习。高等教育注册人数自</w:t>
      </w:r>
      <w:r>
        <w:rPr>
          <w:rFonts w:hint="eastAsia"/>
        </w:rPr>
        <w:t>1990</w:t>
      </w:r>
      <w:r>
        <w:rPr>
          <w:rFonts w:hint="eastAsia"/>
        </w:rPr>
        <w:t>年的</w:t>
      </w:r>
      <w:r>
        <w:rPr>
          <w:rFonts w:hint="eastAsia"/>
        </w:rPr>
        <w:t>245,408</w:t>
      </w:r>
      <w:r>
        <w:rPr>
          <w:rFonts w:hint="eastAsia"/>
        </w:rPr>
        <w:t>名学生增加到</w:t>
      </w:r>
      <w:r>
        <w:rPr>
          <w:rFonts w:hint="eastAsia"/>
        </w:rPr>
        <w:t>1998</w:t>
      </w:r>
      <w:r>
        <w:rPr>
          <w:rFonts w:hint="eastAsia"/>
        </w:rPr>
        <w:t>年的</w:t>
      </w:r>
      <w:r>
        <w:rPr>
          <w:rFonts w:hint="eastAsia"/>
        </w:rPr>
        <w:t>390,169</w:t>
      </w:r>
      <w:r>
        <w:rPr>
          <w:rFonts w:hint="eastAsia"/>
        </w:rPr>
        <w:t>名。从普及率方面说来，</w:t>
      </w:r>
      <w:r>
        <w:rPr>
          <w:rFonts w:hint="eastAsia"/>
        </w:rPr>
        <w:t>1998</w:t>
      </w:r>
      <w:r>
        <w:rPr>
          <w:rFonts w:hint="eastAsia"/>
        </w:rPr>
        <w:t>年为</w:t>
      </w:r>
      <w:r>
        <w:rPr>
          <w:rFonts w:hint="eastAsia"/>
        </w:rPr>
        <w:t>29</w:t>
      </w:r>
      <w:r>
        <w:t>.</w:t>
      </w:r>
      <w:r>
        <w:rPr>
          <w:rFonts w:hint="eastAsia"/>
        </w:rPr>
        <w:t>3%</w:t>
      </w:r>
      <w:r>
        <w:rPr>
          <w:rFonts w:hint="eastAsia"/>
        </w:rPr>
        <w:t>，收入五等分层的第一和第五层之间差距很大</w:t>
      </w:r>
      <w:r>
        <w:rPr>
          <w:rFonts w:hint="eastAsia"/>
        </w:rPr>
        <w:t>(</w:t>
      </w:r>
      <w:r>
        <w:rPr>
          <w:rFonts w:hint="eastAsia"/>
        </w:rPr>
        <w:t>普及率分别为</w:t>
      </w:r>
      <w:r>
        <w:rPr>
          <w:rFonts w:hint="eastAsia"/>
        </w:rPr>
        <w:t>8</w:t>
      </w:r>
      <w:r>
        <w:t>.</w:t>
      </w:r>
      <w:r>
        <w:rPr>
          <w:rFonts w:hint="eastAsia"/>
        </w:rPr>
        <w:t>7%</w:t>
      </w:r>
      <w:r>
        <w:rPr>
          <w:rFonts w:hint="eastAsia"/>
        </w:rPr>
        <w:t>和</w:t>
      </w:r>
      <w:r>
        <w:rPr>
          <w:rFonts w:hint="eastAsia"/>
        </w:rPr>
        <w:t>65</w:t>
      </w:r>
      <w:r>
        <w:t>.</w:t>
      </w:r>
      <w:r>
        <w:rPr>
          <w:rFonts w:hint="eastAsia"/>
        </w:rPr>
        <w:t>5%)</w:t>
      </w:r>
      <w:r>
        <w:rPr>
          <w:rFonts w:hint="eastAsia"/>
        </w:rPr>
        <w:t>。</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完成小学学习的设施</w:t>
      </w:r>
    </w:p>
    <w:p w:rsidR="00000000" w:rsidRDefault="009C1C61">
      <w:pPr>
        <w:rPr>
          <w:rFonts w:hint="eastAsia"/>
        </w:rPr>
      </w:pPr>
      <w:r>
        <w:rPr>
          <w:rFonts w:hint="eastAsia"/>
        </w:rPr>
        <w:tab/>
      </w:r>
      <w:r>
        <w:t xml:space="preserve">734.  </w:t>
      </w:r>
      <w:r>
        <w:rPr>
          <w:rFonts w:hint="eastAsia"/>
        </w:rPr>
        <w:t>未能完成小学学习的年轻人和成年人可以进入成人教育次级系统，这一系统为他们提供机会，完成他们未能以正常方式完成的小学学习。一般而论，后面这类学习以晚上或夜间课程的形式在前面段落提到的学校和“初级中学”内进行。然后从公共资金中为每名上课的学生支付学费补贴。国家还提供诸如课本和技术援助等更多的支助。</w:t>
      </w:r>
      <w:r>
        <w:rPr>
          <w:rFonts w:hint="eastAsia"/>
        </w:rPr>
        <w:t>1998</w:t>
      </w:r>
      <w:r>
        <w:rPr>
          <w:rFonts w:hint="eastAsia"/>
        </w:rPr>
        <w:t>年，有</w:t>
      </w:r>
      <w:r>
        <w:rPr>
          <w:noProof/>
        </w:rPr>
        <w:t>21,387</w:t>
      </w:r>
      <w:r>
        <w:rPr>
          <w:rFonts w:hint="eastAsia"/>
          <w:noProof/>
        </w:rPr>
        <w:t>人参加初等成人教育课程。</w:t>
      </w:r>
    </w:p>
    <w:p w:rsidR="00000000" w:rsidRDefault="009C1C61">
      <w:pPr>
        <w:spacing w:after="240"/>
        <w:rPr>
          <w:rFonts w:hint="eastAsia"/>
        </w:rPr>
      </w:pPr>
      <w:r>
        <w:rPr>
          <w:rFonts w:hint="eastAsia"/>
        </w:rPr>
        <w:tab/>
      </w:r>
      <w:r>
        <w:t xml:space="preserve">735.  </w:t>
      </w:r>
      <w:r>
        <w:rPr>
          <w:rFonts w:hint="eastAsia"/>
        </w:rPr>
        <w:t>此外，还设有免费考试制度，提</w:t>
      </w:r>
      <w:r>
        <w:rPr>
          <w:rFonts w:hint="eastAsia"/>
        </w:rPr>
        <w:t>供一个途径，承认独立自学和日常活动及工作中取得的经验；考试结果与达到就业要求的正规学习同等有效。</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充分实现受教育权的障碍和克服这些障碍的措施</w:t>
      </w:r>
    </w:p>
    <w:p w:rsidR="00000000" w:rsidRDefault="009C1C61">
      <w:pPr>
        <w:rPr>
          <w:rFonts w:hint="eastAsia"/>
        </w:rPr>
      </w:pPr>
      <w:r>
        <w:rPr>
          <w:rFonts w:hint="eastAsia"/>
        </w:rPr>
        <w:tab/>
      </w:r>
      <w:r>
        <w:t xml:space="preserve">736.  </w:t>
      </w:r>
      <w:r>
        <w:rPr>
          <w:rFonts w:hint="eastAsia"/>
        </w:rPr>
        <w:t>受教育权一方面受教育体系能力有限的限制，另一方面，又受到影响人口不同部分的文化和社会经济局限的制约。由于全球化的要求、经济竞争力、民主化和机会均等更加严格的要求，政府规定了实现受教育权的新目标。政府希望在</w:t>
      </w:r>
      <w:r>
        <w:rPr>
          <w:rFonts w:hint="eastAsia"/>
        </w:rPr>
        <w:t>2006</w:t>
      </w:r>
      <w:r>
        <w:rPr>
          <w:rFonts w:hint="eastAsia"/>
        </w:rPr>
        <w:t>年六年执政期的期末：</w:t>
      </w:r>
    </w:p>
    <w:p w:rsidR="00000000" w:rsidRDefault="009C1C61">
      <w:pPr>
        <w:numPr>
          <w:ilvl w:val="0"/>
          <w:numId w:val="218"/>
        </w:numPr>
        <w:rPr>
          <w:rFonts w:hint="eastAsia"/>
        </w:rPr>
      </w:pPr>
      <w:r>
        <w:rPr>
          <w:rFonts w:hint="eastAsia"/>
        </w:rPr>
        <w:t>为低收入家庭和儿童创造</w:t>
      </w:r>
      <w:r>
        <w:rPr>
          <w:szCs w:val="24"/>
        </w:rPr>
        <w:t>120,000</w:t>
      </w:r>
      <w:r>
        <w:rPr>
          <w:rFonts w:hint="eastAsia"/>
          <w:szCs w:val="24"/>
        </w:rPr>
        <w:t>个新的学前班位置，比目前的普及率大概增长</w:t>
      </w:r>
      <w:r>
        <w:rPr>
          <w:rFonts w:hint="eastAsia"/>
          <w:szCs w:val="24"/>
        </w:rPr>
        <w:t>36%</w:t>
      </w:r>
      <w:r>
        <w:rPr>
          <w:rFonts w:hint="eastAsia"/>
          <w:szCs w:val="24"/>
        </w:rPr>
        <w:t>；</w:t>
      </w:r>
    </w:p>
    <w:p w:rsidR="00000000" w:rsidRDefault="009C1C61">
      <w:pPr>
        <w:numPr>
          <w:ilvl w:val="0"/>
          <w:numId w:val="218"/>
        </w:numPr>
        <w:rPr>
          <w:rFonts w:hint="eastAsia"/>
        </w:rPr>
      </w:pPr>
      <w:r>
        <w:rPr>
          <w:rFonts w:hint="eastAsia"/>
          <w:szCs w:val="24"/>
        </w:rPr>
        <w:t>普及中等教育，从而根据“普及中等教育</w:t>
      </w:r>
      <w:r>
        <w:rPr>
          <w:rFonts w:hint="eastAsia"/>
          <w:szCs w:val="24"/>
        </w:rPr>
        <w:t>”的指导原则，保障所有儿童和青年就学达到</w:t>
      </w:r>
      <w:r>
        <w:rPr>
          <w:rFonts w:hint="eastAsia"/>
          <w:szCs w:val="24"/>
        </w:rPr>
        <w:t>12</w:t>
      </w:r>
      <w:r>
        <w:rPr>
          <w:rFonts w:hint="eastAsia"/>
          <w:szCs w:val="24"/>
        </w:rPr>
        <w:t>年，这意味着设法使儿童在这一程度就学时间越久越好。为此，将向有孩子在中学就读的贫困户提供补贴，并采用若干方案，改善中学本身的吸引力和保留学生的能力；</w:t>
      </w:r>
    </w:p>
    <w:p w:rsidR="00000000" w:rsidRDefault="009C1C61">
      <w:pPr>
        <w:numPr>
          <w:ilvl w:val="0"/>
          <w:numId w:val="218"/>
        </w:numPr>
        <w:spacing w:after="240"/>
        <w:rPr>
          <w:rFonts w:hint="eastAsia"/>
        </w:rPr>
      </w:pPr>
      <w:r>
        <w:rPr>
          <w:rFonts w:hint="eastAsia"/>
          <w:szCs w:val="24"/>
        </w:rPr>
        <w:t>建立奖学金和贷款制度，资助技术培训中心和高等职业学院低收入学生的录取和继续学业工作，国家支助形式现今仅使大学内低收入学生获益。</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全国教育统计数字</w:t>
      </w:r>
    </w:p>
    <w:p w:rsidR="00000000" w:rsidRDefault="009C1C61">
      <w:r>
        <w:rPr>
          <w:rFonts w:hint="eastAsia"/>
        </w:rPr>
        <w:tab/>
      </w:r>
      <w:r>
        <w:t>737.  1990</w:t>
      </w:r>
      <w:r>
        <w:rPr>
          <w:rFonts w:hint="eastAsia"/>
        </w:rPr>
        <w:t>年的文盲率为</w:t>
      </w:r>
      <w:r>
        <w:t>6.3%</w:t>
      </w:r>
      <w:r>
        <w:rPr>
          <w:rFonts w:hint="eastAsia"/>
        </w:rPr>
        <w:t>，而</w:t>
      </w:r>
      <w:r>
        <w:rPr>
          <w:rFonts w:hint="eastAsia"/>
        </w:rPr>
        <w:t>1995</w:t>
      </w:r>
      <w:r>
        <w:rPr>
          <w:rFonts w:hint="eastAsia"/>
        </w:rPr>
        <w:t>年则降至</w:t>
      </w:r>
      <w:r>
        <w:t>4.9%</w:t>
      </w:r>
      <w:r>
        <w:rPr>
          <w:rFonts w:hint="eastAsia"/>
        </w:rPr>
        <w:t>，</w:t>
      </w:r>
      <w:r>
        <w:t>1998</w:t>
      </w:r>
      <w:r>
        <w:rPr>
          <w:rFonts w:hint="eastAsia"/>
        </w:rPr>
        <w:t>降至</w:t>
      </w:r>
      <w:r>
        <w:t>4.6%</w:t>
      </w:r>
      <w:r>
        <w:rPr>
          <w:rFonts w:hint="eastAsia"/>
        </w:rPr>
        <w:t>。智利仍然是世界上文盲率最低的国家之一。</w:t>
      </w:r>
      <w:r>
        <w:rPr>
          <w:rStyle w:val="FootnoteReference"/>
        </w:rPr>
        <w:footnoteReference w:id="306"/>
      </w:r>
    </w:p>
    <w:p w:rsidR="00000000" w:rsidRDefault="009C1C61">
      <w:pPr>
        <w:spacing w:after="240"/>
        <w:rPr>
          <w:rFonts w:hint="eastAsia"/>
        </w:rPr>
      </w:pPr>
      <w:r>
        <w:rPr>
          <w:rFonts w:hint="eastAsia"/>
        </w:rPr>
        <w:tab/>
      </w:r>
      <w:r>
        <w:t xml:space="preserve">738.  </w:t>
      </w:r>
      <w:r>
        <w:rPr>
          <w:rFonts w:hint="eastAsia"/>
        </w:rPr>
        <w:t>扫除文盲的主要长期性努</w:t>
      </w:r>
      <w:r>
        <w:rPr>
          <w:rFonts w:hint="eastAsia"/>
        </w:rPr>
        <w:t>力重点放在扩展初等教育上。识字运动和方案有限，因为多数文盲已经上了年纪，大多属于分散的农村人口。在</w:t>
      </w:r>
      <w:r>
        <w:rPr>
          <w:rFonts w:hint="eastAsia"/>
        </w:rPr>
        <w:t>1998</w:t>
      </w:r>
      <w:r>
        <w:rPr>
          <w:rFonts w:hint="eastAsia"/>
        </w:rPr>
        <w:t>年，有</w:t>
      </w:r>
      <w:r>
        <w:rPr>
          <w:rFonts w:hint="eastAsia"/>
        </w:rPr>
        <w:t>1,786</w:t>
      </w:r>
      <w:r>
        <w:rPr>
          <w:rFonts w:hint="eastAsia"/>
        </w:rPr>
        <w:t>人扫了盲。表</w:t>
      </w:r>
      <w:r>
        <w:rPr>
          <w:rFonts w:hint="eastAsia"/>
        </w:rPr>
        <w:t>38</w:t>
      </w:r>
      <w:r>
        <w:rPr>
          <w:rFonts w:hint="eastAsia"/>
        </w:rPr>
        <w:t>显示不同教育程度男女入学数字。</w:t>
      </w:r>
    </w:p>
    <w:p w:rsidR="00000000" w:rsidRDefault="009C1C61">
      <w:pPr>
        <w:pStyle w:val="a3"/>
        <w:spacing w:after="0"/>
        <w:rPr>
          <w:rFonts w:ascii="Time New Roman" w:hAnsi="Time New Roman" w:hint="eastAsia"/>
        </w:rPr>
      </w:pPr>
      <w:r>
        <w:rPr>
          <w:rFonts w:ascii="Time New Roman" w:hAnsi="Time New Roman" w:hint="eastAsia"/>
        </w:rPr>
        <w:t>表</w:t>
      </w:r>
      <w:r>
        <w:rPr>
          <w:rFonts w:ascii="Time New Roman" w:hAnsi="Time New Roman"/>
        </w:rPr>
        <w:t xml:space="preserve">  </w:t>
      </w:r>
      <w:r>
        <w:rPr>
          <w:rFonts w:ascii="Time New Roman" w:hAnsi="Time New Roman" w:hint="eastAsia"/>
          <w:b/>
        </w:rPr>
        <w:t>38</w:t>
      </w:r>
    </w:p>
    <w:p w:rsidR="00000000" w:rsidRDefault="009C1C61">
      <w:pPr>
        <w:pStyle w:val="a3"/>
        <w:spacing w:after="120"/>
        <w:rPr>
          <w:rFonts w:ascii="Time New Roman" w:hAnsi="Time New Roman" w:hint="eastAsia"/>
        </w:rPr>
      </w:pPr>
      <w:r>
        <w:rPr>
          <w:rFonts w:ascii="Time New Roman" w:hAnsi="Time New Roman" w:hint="eastAsia"/>
          <w:b/>
        </w:rPr>
        <w:t>1998</w:t>
      </w:r>
      <w:r>
        <w:rPr>
          <w:rFonts w:ascii="Time New Roman" w:hAnsi="Time New Roman" w:hint="eastAsia"/>
        </w:rPr>
        <w:t>年智利按教育层次和性别分列的招生情况</w:t>
      </w:r>
      <w:r>
        <w:rPr>
          <w:rFonts w:ascii="Time New Roman" w:hAnsi="Time New Roman" w:hint="eastAsia"/>
        </w:rPr>
        <w:t xml:space="preserve"> </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299"/>
        <w:gridCol w:w="1174"/>
        <w:gridCol w:w="1174"/>
        <w:gridCol w:w="1176"/>
        <w:gridCol w:w="1174"/>
        <w:gridCol w:w="1174"/>
        <w:gridCol w:w="1174"/>
        <w:gridCol w:w="1180"/>
      </w:tblGrid>
      <w:tr w:rsidR="00000000">
        <w:tblPrEx>
          <w:tblCellMar>
            <w:top w:w="0" w:type="dxa"/>
            <w:bottom w:w="0" w:type="dxa"/>
          </w:tblCellMar>
        </w:tblPrEx>
        <w:trPr>
          <w:jc w:val="center"/>
        </w:trPr>
        <w:tc>
          <w:tcPr>
            <w:tcW w:w="2473" w:type="dxa"/>
            <w:gridSpan w:val="2"/>
          </w:tcPr>
          <w:p w:rsidR="00000000" w:rsidRDefault="009C1C61">
            <w:pPr>
              <w:pStyle w:val="a2"/>
              <w:spacing w:before="80"/>
              <w:rPr>
                <w:spacing w:val="0"/>
              </w:rPr>
            </w:pPr>
            <w:r>
              <w:rPr>
                <w:spacing w:val="0"/>
              </w:rPr>
              <w:t>小</w:t>
            </w:r>
            <w:r>
              <w:rPr>
                <w:rFonts w:hint="eastAsia"/>
                <w:spacing w:val="0"/>
              </w:rPr>
              <w:t xml:space="preserve">  </w:t>
            </w:r>
            <w:r>
              <w:rPr>
                <w:spacing w:val="0"/>
              </w:rPr>
              <w:t>学</w:t>
            </w:r>
          </w:p>
        </w:tc>
        <w:tc>
          <w:tcPr>
            <w:tcW w:w="2350" w:type="dxa"/>
            <w:gridSpan w:val="2"/>
          </w:tcPr>
          <w:p w:rsidR="00000000" w:rsidRDefault="009C1C61">
            <w:pPr>
              <w:pStyle w:val="a2"/>
              <w:spacing w:before="80"/>
              <w:rPr>
                <w:spacing w:val="0"/>
              </w:rPr>
            </w:pPr>
            <w:r>
              <w:rPr>
                <w:spacing w:val="0"/>
              </w:rPr>
              <w:t>中</w:t>
            </w:r>
            <w:r>
              <w:rPr>
                <w:spacing w:val="0"/>
              </w:rPr>
              <w:t xml:space="preserve">  </w:t>
            </w:r>
            <w:r>
              <w:rPr>
                <w:spacing w:val="0"/>
              </w:rPr>
              <w:t>学</w:t>
            </w:r>
          </w:p>
        </w:tc>
        <w:tc>
          <w:tcPr>
            <w:tcW w:w="2348" w:type="dxa"/>
            <w:gridSpan w:val="2"/>
          </w:tcPr>
          <w:p w:rsidR="00000000" w:rsidRDefault="009C1C61">
            <w:pPr>
              <w:pStyle w:val="a2"/>
              <w:spacing w:before="80"/>
              <w:rPr>
                <w:spacing w:val="0"/>
              </w:rPr>
            </w:pPr>
            <w:r>
              <w:rPr>
                <w:spacing w:val="0"/>
              </w:rPr>
              <w:t>学前</w:t>
            </w:r>
            <w:r>
              <w:rPr>
                <w:rFonts w:hint="eastAsia"/>
                <w:spacing w:val="0"/>
              </w:rPr>
              <w:t>教育</w:t>
            </w:r>
            <w:r>
              <w:rPr>
                <w:spacing w:val="0"/>
              </w:rPr>
              <w:t>*</w:t>
            </w:r>
          </w:p>
        </w:tc>
        <w:tc>
          <w:tcPr>
            <w:tcW w:w="2354" w:type="dxa"/>
            <w:gridSpan w:val="2"/>
          </w:tcPr>
          <w:p w:rsidR="00000000" w:rsidRDefault="009C1C61">
            <w:pPr>
              <w:pStyle w:val="a2"/>
              <w:spacing w:before="80"/>
              <w:rPr>
                <w:spacing w:val="0"/>
              </w:rPr>
            </w:pPr>
            <w:r>
              <w:rPr>
                <w:spacing w:val="0"/>
              </w:rPr>
              <w:t>成人教育</w:t>
            </w:r>
          </w:p>
        </w:tc>
      </w:tr>
      <w:tr w:rsidR="00000000">
        <w:tblPrEx>
          <w:tblCellMar>
            <w:top w:w="0" w:type="dxa"/>
            <w:bottom w:w="0" w:type="dxa"/>
          </w:tblCellMar>
        </w:tblPrEx>
        <w:trPr>
          <w:jc w:val="center"/>
        </w:trPr>
        <w:tc>
          <w:tcPr>
            <w:tcW w:w="1299" w:type="dxa"/>
            <w:vAlign w:val="center"/>
          </w:tcPr>
          <w:p w:rsidR="00000000" w:rsidRDefault="009C1C61">
            <w:pPr>
              <w:pStyle w:val="a2"/>
              <w:spacing w:before="80"/>
              <w:rPr>
                <w:spacing w:val="0"/>
              </w:rPr>
            </w:pPr>
            <w:r>
              <w:rPr>
                <w:spacing w:val="0"/>
              </w:rPr>
              <w:t>男女</w:t>
            </w:r>
            <w:r>
              <w:rPr>
                <w:spacing w:val="0"/>
              </w:rPr>
              <w:t>**</w:t>
            </w:r>
          </w:p>
        </w:tc>
        <w:tc>
          <w:tcPr>
            <w:tcW w:w="1174" w:type="dxa"/>
            <w:vAlign w:val="center"/>
          </w:tcPr>
          <w:p w:rsidR="00000000" w:rsidRDefault="009C1C61">
            <w:pPr>
              <w:pStyle w:val="a2"/>
              <w:spacing w:before="80"/>
              <w:rPr>
                <w:spacing w:val="0"/>
              </w:rPr>
            </w:pPr>
            <w:r>
              <w:rPr>
                <w:spacing w:val="0"/>
              </w:rPr>
              <w:t>女</w:t>
            </w:r>
          </w:p>
        </w:tc>
        <w:tc>
          <w:tcPr>
            <w:tcW w:w="1174" w:type="dxa"/>
            <w:vAlign w:val="center"/>
          </w:tcPr>
          <w:p w:rsidR="00000000" w:rsidRDefault="009C1C61">
            <w:pPr>
              <w:pStyle w:val="a2"/>
              <w:spacing w:before="80"/>
              <w:rPr>
                <w:spacing w:val="0"/>
              </w:rPr>
            </w:pPr>
            <w:r>
              <w:rPr>
                <w:spacing w:val="0"/>
              </w:rPr>
              <w:t>男女</w:t>
            </w:r>
          </w:p>
        </w:tc>
        <w:tc>
          <w:tcPr>
            <w:tcW w:w="1176" w:type="dxa"/>
            <w:vAlign w:val="center"/>
          </w:tcPr>
          <w:p w:rsidR="00000000" w:rsidRDefault="009C1C61">
            <w:pPr>
              <w:pStyle w:val="a2"/>
              <w:spacing w:before="80"/>
              <w:rPr>
                <w:spacing w:val="0"/>
              </w:rPr>
            </w:pPr>
            <w:r>
              <w:rPr>
                <w:spacing w:val="0"/>
              </w:rPr>
              <w:t>女</w:t>
            </w:r>
          </w:p>
        </w:tc>
        <w:tc>
          <w:tcPr>
            <w:tcW w:w="1174" w:type="dxa"/>
            <w:vAlign w:val="center"/>
          </w:tcPr>
          <w:p w:rsidR="00000000" w:rsidRDefault="009C1C61">
            <w:pPr>
              <w:pStyle w:val="a2"/>
              <w:spacing w:before="80"/>
              <w:rPr>
                <w:spacing w:val="0"/>
              </w:rPr>
            </w:pPr>
            <w:r>
              <w:rPr>
                <w:spacing w:val="0"/>
              </w:rPr>
              <w:t>男女</w:t>
            </w:r>
          </w:p>
        </w:tc>
        <w:tc>
          <w:tcPr>
            <w:tcW w:w="1174" w:type="dxa"/>
            <w:vAlign w:val="center"/>
          </w:tcPr>
          <w:p w:rsidR="00000000" w:rsidRDefault="009C1C61">
            <w:pPr>
              <w:pStyle w:val="a2"/>
              <w:spacing w:before="80"/>
              <w:rPr>
                <w:spacing w:val="0"/>
              </w:rPr>
            </w:pPr>
            <w:r>
              <w:rPr>
                <w:spacing w:val="0"/>
              </w:rPr>
              <w:t>女</w:t>
            </w:r>
          </w:p>
        </w:tc>
        <w:tc>
          <w:tcPr>
            <w:tcW w:w="1174" w:type="dxa"/>
            <w:vAlign w:val="center"/>
          </w:tcPr>
          <w:p w:rsidR="00000000" w:rsidRDefault="009C1C61">
            <w:pPr>
              <w:pStyle w:val="a2"/>
              <w:spacing w:before="80"/>
              <w:rPr>
                <w:spacing w:val="0"/>
              </w:rPr>
            </w:pPr>
            <w:r>
              <w:rPr>
                <w:spacing w:val="0"/>
              </w:rPr>
              <w:t>男女</w:t>
            </w:r>
          </w:p>
        </w:tc>
        <w:tc>
          <w:tcPr>
            <w:tcW w:w="1180" w:type="dxa"/>
            <w:vAlign w:val="center"/>
          </w:tcPr>
          <w:p w:rsidR="00000000" w:rsidRDefault="009C1C61">
            <w:pPr>
              <w:pStyle w:val="a2"/>
              <w:spacing w:before="80"/>
              <w:rPr>
                <w:spacing w:val="0"/>
              </w:rPr>
            </w:pPr>
            <w:r>
              <w:rPr>
                <w:spacing w:val="0"/>
              </w:rPr>
              <w:t>女</w:t>
            </w:r>
          </w:p>
        </w:tc>
      </w:tr>
      <w:tr w:rsidR="00000000">
        <w:tblPrEx>
          <w:tblCellMar>
            <w:top w:w="0" w:type="dxa"/>
            <w:bottom w:w="0" w:type="dxa"/>
          </w:tblCellMar>
        </w:tblPrEx>
        <w:trPr>
          <w:jc w:val="center"/>
        </w:trPr>
        <w:tc>
          <w:tcPr>
            <w:tcW w:w="1299" w:type="dxa"/>
          </w:tcPr>
          <w:p w:rsidR="00000000" w:rsidRDefault="009C1C61">
            <w:pPr>
              <w:pStyle w:val="a2"/>
              <w:spacing w:before="80"/>
              <w:rPr>
                <w:spacing w:val="0"/>
              </w:rPr>
            </w:pPr>
            <w:r>
              <w:rPr>
                <w:spacing w:val="0"/>
              </w:rPr>
              <w:t>2,253,171</w:t>
            </w:r>
          </w:p>
        </w:tc>
        <w:tc>
          <w:tcPr>
            <w:tcW w:w="1174" w:type="dxa"/>
          </w:tcPr>
          <w:p w:rsidR="00000000" w:rsidRDefault="009C1C61">
            <w:pPr>
              <w:pStyle w:val="a2"/>
              <w:spacing w:before="80"/>
              <w:rPr>
                <w:spacing w:val="0"/>
              </w:rPr>
            </w:pPr>
            <w:r>
              <w:rPr>
                <w:spacing w:val="0"/>
              </w:rPr>
              <w:t>1,094,663</w:t>
            </w:r>
          </w:p>
        </w:tc>
        <w:tc>
          <w:tcPr>
            <w:tcW w:w="1174" w:type="dxa"/>
          </w:tcPr>
          <w:p w:rsidR="00000000" w:rsidRDefault="009C1C61">
            <w:pPr>
              <w:pStyle w:val="a2"/>
              <w:spacing w:before="80"/>
              <w:rPr>
                <w:spacing w:val="0"/>
              </w:rPr>
            </w:pPr>
            <w:r>
              <w:rPr>
                <w:spacing w:val="0"/>
              </w:rPr>
              <w:t>774,034</w:t>
            </w:r>
          </w:p>
        </w:tc>
        <w:tc>
          <w:tcPr>
            <w:tcW w:w="1176" w:type="dxa"/>
          </w:tcPr>
          <w:p w:rsidR="00000000" w:rsidRDefault="009C1C61">
            <w:pPr>
              <w:pStyle w:val="a2"/>
              <w:spacing w:before="80"/>
              <w:rPr>
                <w:spacing w:val="0"/>
              </w:rPr>
            </w:pPr>
            <w:r>
              <w:rPr>
                <w:spacing w:val="0"/>
              </w:rPr>
              <w:t>393,251</w:t>
            </w:r>
          </w:p>
        </w:tc>
        <w:tc>
          <w:tcPr>
            <w:tcW w:w="1174" w:type="dxa"/>
          </w:tcPr>
          <w:p w:rsidR="00000000" w:rsidRDefault="009C1C61">
            <w:pPr>
              <w:pStyle w:val="a2"/>
              <w:spacing w:before="80"/>
              <w:rPr>
                <w:spacing w:val="0"/>
              </w:rPr>
            </w:pPr>
            <w:r>
              <w:rPr>
                <w:spacing w:val="0"/>
              </w:rPr>
              <w:t>270,267</w:t>
            </w:r>
          </w:p>
        </w:tc>
        <w:tc>
          <w:tcPr>
            <w:tcW w:w="1174" w:type="dxa"/>
          </w:tcPr>
          <w:p w:rsidR="00000000" w:rsidRDefault="009C1C61">
            <w:pPr>
              <w:pStyle w:val="a2"/>
              <w:spacing w:before="80"/>
              <w:rPr>
                <w:spacing w:val="0"/>
              </w:rPr>
            </w:pPr>
            <w:r>
              <w:rPr>
                <w:spacing w:val="0"/>
              </w:rPr>
              <w:t>132,749</w:t>
            </w:r>
          </w:p>
        </w:tc>
        <w:tc>
          <w:tcPr>
            <w:tcW w:w="1174" w:type="dxa"/>
          </w:tcPr>
          <w:p w:rsidR="00000000" w:rsidRDefault="009C1C61">
            <w:pPr>
              <w:pStyle w:val="a2"/>
              <w:spacing w:before="80"/>
              <w:rPr>
                <w:spacing w:val="0"/>
              </w:rPr>
            </w:pPr>
            <w:r>
              <w:rPr>
                <w:spacing w:val="0"/>
              </w:rPr>
              <w:t>97,612</w:t>
            </w:r>
          </w:p>
        </w:tc>
        <w:tc>
          <w:tcPr>
            <w:tcW w:w="1180" w:type="dxa"/>
          </w:tcPr>
          <w:p w:rsidR="00000000" w:rsidRDefault="009C1C61">
            <w:pPr>
              <w:pStyle w:val="a2"/>
              <w:spacing w:before="80"/>
              <w:rPr>
                <w:spacing w:val="0"/>
              </w:rPr>
            </w:pPr>
            <w:r>
              <w:rPr>
                <w:spacing w:val="0"/>
              </w:rPr>
              <w:t>41,819</w:t>
            </w:r>
          </w:p>
        </w:tc>
      </w:tr>
    </w:tbl>
    <w:p w:rsidR="00000000" w:rsidRDefault="009C1C61">
      <w:pPr>
        <w:spacing w:before="200" w:line="240" w:lineRule="auto"/>
        <w:ind w:firstLine="113"/>
        <w:rPr>
          <w:rFonts w:eastAsia="KaiTi_GB2312" w:hint="eastAsia"/>
          <w:spacing w:val="0"/>
        </w:rPr>
      </w:pPr>
      <w:r>
        <w:rPr>
          <w:rFonts w:eastAsia="KaiTi_GB2312" w:hint="eastAsia"/>
          <w:spacing w:val="0"/>
          <w:u w:val="single"/>
        </w:rPr>
        <w:t>资料来源</w:t>
      </w:r>
      <w:r>
        <w:rPr>
          <w:rFonts w:eastAsia="KaiTi_GB2312" w:hint="eastAsia"/>
          <w:spacing w:val="0"/>
        </w:rPr>
        <w:t>：教育部规划和预算司。</w:t>
      </w:r>
    </w:p>
    <w:p w:rsidR="00000000" w:rsidRDefault="009C1C61">
      <w:pPr>
        <w:tabs>
          <w:tab w:val="left" w:pos="1300"/>
        </w:tabs>
        <w:spacing w:line="240" w:lineRule="auto"/>
        <w:ind w:left="780"/>
        <w:rPr>
          <w:rFonts w:eastAsia="KaiTi_GB2312" w:hint="eastAsia"/>
          <w:spacing w:val="0"/>
        </w:rPr>
      </w:pPr>
      <w:r>
        <w:rPr>
          <w:rFonts w:eastAsia="KaiTi_GB2312" w:hint="eastAsia"/>
          <w:spacing w:val="0"/>
        </w:rPr>
        <w:t>*</w:t>
      </w:r>
      <w:r>
        <w:rPr>
          <w:rFonts w:eastAsia="KaiTi_GB2312" w:hint="eastAsia"/>
          <w:spacing w:val="0"/>
        </w:rPr>
        <w:tab/>
      </w:r>
      <w:r>
        <w:rPr>
          <w:rFonts w:eastAsia="KaiTi_GB2312" w:hint="eastAsia"/>
          <w:spacing w:val="0"/>
        </w:rPr>
        <w:t>不包括国家幼儿园委员会</w:t>
      </w:r>
      <w:r>
        <w:rPr>
          <w:rFonts w:eastAsia="KaiTi_GB2312" w:hint="eastAsia"/>
          <w:spacing w:val="0"/>
        </w:rPr>
        <w:t>和</w:t>
      </w:r>
      <w:r>
        <w:rPr>
          <w:rFonts w:eastAsia="KaiTi_GB2312"/>
          <w:spacing w:val="0"/>
        </w:rPr>
        <w:t>Integra</w:t>
      </w:r>
      <w:r>
        <w:rPr>
          <w:rFonts w:eastAsia="KaiTi_GB2312" w:hint="eastAsia"/>
          <w:spacing w:val="0"/>
        </w:rPr>
        <w:t xml:space="preserve"> </w:t>
      </w:r>
      <w:r>
        <w:rPr>
          <w:rFonts w:eastAsia="KaiTi_GB2312" w:hint="eastAsia"/>
          <w:spacing w:val="0"/>
        </w:rPr>
        <w:t>基金会学校。</w:t>
      </w:r>
    </w:p>
    <w:p w:rsidR="00000000" w:rsidRDefault="009C1C61">
      <w:pPr>
        <w:tabs>
          <w:tab w:val="left" w:pos="1300"/>
        </w:tabs>
        <w:spacing w:after="240" w:line="240" w:lineRule="auto"/>
        <w:ind w:left="780"/>
        <w:rPr>
          <w:rFonts w:eastAsia="KaiTi_GB2312"/>
          <w:spacing w:val="0"/>
        </w:rPr>
      </w:pPr>
      <w:r>
        <w:rPr>
          <w:rFonts w:eastAsia="KaiTi_GB2312" w:hint="eastAsia"/>
          <w:spacing w:val="0"/>
        </w:rPr>
        <w:t>**</w:t>
      </w:r>
      <w:r>
        <w:rPr>
          <w:rFonts w:eastAsia="KaiTi_GB2312" w:hint="eastAsia"/>
          <w:spacing w:val="0"/>
        </w:rPr>
        <w:tab/>
      </w:r>
      <w:r>
        <w:rPr>
          <w:rFonts w:eastAsia="KaiTi_GB2312" w:hint="eastAsia"/>
          <w:spacing w:val="0"/>
        </w:rPr>
        <w:t>仅有</w:t>
      </w:r>
      <w:r>
        <w:rPr>
          <w:rFonts w:eastAsia="KaiTi_GB2312" w:hint="eastAsia"/>
          <w:spacing w:val="0"/>
        </w:rPr>
        <w:t>334,317</w:t>
      </w:r>
      <w:r>
        <w:rPr>
          <w:rFonts w:eastAsia="KaiTi_GB2312" w:hint="eastAsia"/>
          <w:spacing w:val="0"/>
        </w:rPr>
        <w:t>处于乡村地区，即</w:t>
      </w:r>
      <w:r>
        <w:rPr>
          <w:rFonts w:eastAsia="KaiTi_GB2312" w:hint="eastAsia"/>
          <w:spacing w:val="0"/>
        </w:rPr>
        <w:t>14.8%</w:t>
      </w:r>
      <w:r>
        <w:rPr>
          <w:rFonts w:eastAsia="KaiTi_GB2312" w:hint="eastAsia"/>
          <w:spacing w:val="0"/>
        </w:rPr>
        <w:t>。</w:t>
      </w:r>
    </w:p>
    <w:p w:rsidR="00000000" w:rsidRDefault="009C1C61">
      <w:pPr>
        <w:rPr>
          <w:rFonts w:hint="eastAsia"/>
        </w:rPr>
      </w:pPr>
      <w:r>
        <w:rPr>
          <w:rFonts w:hint="eastAsia"/>
        </w:rPr>
        <w:tab/>
      </w:r>
      <w:r>
        <w:t xml:space="preserve">739.  </w:t>
      </w:r>
      <w:r>
        <w:rPr>
          <w:rFonts w:hint="eastAsia"/>
        </w:rPr>
        <w:t>在</w:t>
      </w:r>
      <w:r>
        <w:rPr>
          <w:rFonts w:hint="eastAsia"/>
        </w:rPr>
        <w:t>1990</w:t>
      </w:r>
      <w:r>
        <w:rPr>
          <w:rFonts w:hint="eastAsia"/>
        </w:rPr>
        <w:t>至</w:t>
      </w:r>
      <w:r>
        <w:rPr>
          <w:rFonts w:hint="eastAsia"/>
        </w:rPr>
        <w:t>1998</w:t>
      </w:r>
      <w:r>
        <w:rPr>
          <w:rFonts w:hint="eastAsia"/>
        </w:rPr>
        <w:t>年，平均就学时间从</w:t>
      </w:r>
      <w:r>
        <w:rPr>
          <w:rFonts w:hint="eastAsia"/>
        </w:rPr>
        <w:t>7</w:t>
      </w:r>
      <w:r>
        <w:rPr>
          <w:rFonts w:hint="eastAsia"/>
        </w:rPr>
        <w:t>年增至</w:t>
      </w:r>
      <w:r>
        <w:rPr>
          <w:rFonts w:hint="eastAsia"/>
        </w:rPr>
        <w:t>9.7</w:t>
      </w:r>
      <w:r>
        <w:rPr>
          <w:rFonts w:hint="eastAsia"/>
        </w:rPr>
        <w:t>年。也许可以看到，随着收入水平的增长，就学持续时间也在增长，从五等分层第一层平均</w:t>
      </w:r>
      <w:r>
        <w:rPr>
          <w:rFonts w:hint="eastAsia"/>
        </w:rPr>
        <w:t>7.4</w:t>
      </w:r>
      <w:r>
        <w:rPr>
          <w:rFonts w:hint="eastAsia"/>
        </w:rPr>
        <w:t>年到第五层</w:t>
      </w:r>
      <w:r>
        <w:rPr>
          <w:rFonts w:hint="eastAsia"/>
        </w:rPr>
        <w:t>(1998</w:t>
      </w:r>
      <w:r>
        <w:rPr>
          <w:rFonts w:hint="eastAsia"/>
        </w:rPr>
        <w:t>年</w:t>
      </w:r>
      <w:r>
        <w:rPr>
          <w:rFonts w:hint="eastAsia"/>
        </w:rPr>
        <w:t>)</w:t>
      </w:r>
      <w:r>
        <w:rPr>
          <w:rFonts w:hint="eastAsia"/>
        </w:rPr>
        <w:t>的平均</w:t>
      </w:r>
      <w:r>
        <w:rPr>
          <w:rFonts w:hint="eastAsia"/>
        </w:rPr>
        <w:t>13.1</w:t>
      </w:r>
      <w:r>
        <w:rPr>
          <w:rFonts w:hint="eastAsia"/>
        </w:rPr>
        <w:t>年。第一至第五层之间就学时间的差距随年龄降低而缩小，从</w:t>
      </w:r>
      <w:r>
        <w:rPr>
          <w:rFonts w:hint="eastAsia"/>
        </w:rPr>
        <w:t>25</w:t>
      </w:r>
      <w:r>
        <w:rPr>
          <w:rFonts w:hint="eastAsia"/>
        </w:rPr>
        <w:t>岁以上一代的</w:t>
      </w:r>
      <w:r>
        <w:rPr>
          <w:rFonts w:hint="eastAsia"/>
        </w:rPr>
        <w:t>6.5</w:t>
      </w:r>
      <w:r>
        <w:rPr>
          <w:rFonts w:hint="eastAsia"/>
        </w:rPr>
        <w:t>年降到</w:t>
      </w:r>
      <w:r>
        <w:rPr>
          <w:rFonts w:hint="eastAsia"/>
        </w:rPr>
        <w:t>15</w:t>
      </w:r>
      <w:r>
        <w:rPr>
          <w:rFonts w:hint="eastAsia"/>
        </w:rPr>
        <w:t>至</w:t>
      </w:r>
      <w:r>
        <w:rPr>
          <w:rFonts w:hint="eastAsia"/>
        </w:rPr>
        <w:t>24</w:t>
      </w:r>
      <w:r>
        <w:rPr>
          <w:rFonts w:hint="eastAsia"/>
        </w:rPr>
        <w:t>岁一代仅只</w:t>
      </w:r>
      <w:r>
        <w:rPr>
          <w:rFonts w:hint="eastAsia"/>
        </w:rPr>
        <w:t>3.7</w:t>
      </w:r>
      <w:r>
        <w:rPr>
          <w:rFonts w:hint="eastAsia"/>
        </w:rPr>
        <w:t>年的差额。</w:t>
      </w:r>
      <w:r>
        <w:rPr>
          <w:rStyle w:val="FootnoteReference"/>
        </w:rPr>
        <w:footnoteReference w:id="307"/>
      </w:r>
    </w:p>
    <w:p w:rsidR="00000000" w:rsidRDefault="009C1C61">
      <w:pPr>
        <w:rPr>
          <w:rFonts w:hint="eastAsia"/>
        </w:rPr>
      </w:pPr>
      <w:r>
        <w:rPr>
          <w:rFonts w:hint="eastAsia"/>
        </w:rPr>
        <w:tab/>
      </w:r>
      <w:r>
        <w:t xml:space="preserve">740.  </w:t>
      </w:r>
      <w:r>
        <w:rPr>
          <w:rFonts w:hint="eastAsia"/>
        </w:rPr>
        <w:t>在</w:t>
      </w:r>
      <w:r>
        <w:rPr>
          <w:rFonts w:hint="eastAsia"/>
        </w:rPr>
        <w:t>1990</w:t>
      </w:r>
      <w:r>
        <w:rPr>
          <w:rFonts w:hint="eastAsia"/>
        </w:rPr>
        <w:t>至</w:t>
      </w:r>
      <w:r>
        <w:rPr>
          <w:rFonts w:hint="eastAsia"/>
        </w:rPr>
        <w:t>1998</w:t>
      </w:r>
      <w:r>
        <w:rPr>
          <w:rFonts w:hint="eastAsia"/>
        </w:rPr>
        <w:t>年期间，所有各级教育程度的覆盖率均有增长。由于中等和初等教育已经实现较高覆盖率，</w:t>
      </w:r>
      <w:r>
        <w:rPr>
          <w:rFonts w:hint="eastAsia"/>
        </w:rPr>
        <w:t>学前教育每年都达到最高平均增长率。</w:t>
      </w:r>
    </w:p>
    <w:p w:rsidR="00000000" w:rsidRDefault="009C1C61">
      <w:pPr>
        <w:rPr>
          <w:rFonts w:hint="eastAsia"/>
        </w:rPr>
      </w:pPr>
      <w:r>
        <w:rPr>
          <w:rFonts w:hint="eastAsia"/>
        </w:rPr>
        <w:tab/>
      </w:r>
      <w:r>
        <w:t xml:space="preserve">741.  </w:t>
      </w:r>
      <w:r>
        <w:rPr>
          <w:rFonts w:hint="eastAsia"/>
        </w:rPr>
        <w:t>就初等教育来说，对所有收入五等分层次来说，国家实际上实现了普遍覆盖率，但是中等和学前教育则根据收入水平存在着巨大差异。</w:t>
      </w:r>
    </w:p>
    <w:p w:rsidR="00000000" w:rsidRDefault="009C1C61">
      <w:pPr>
        <w:pStyle w:val="a3"/>
        <w:spacing w:after="160" w:line="240" w:lineRule="auto"/>
        <w:rPr>
          <w:rFonts w:ascii="Time New Roman" w:hAnsi="Time New Roman"/>
        </w:rPr>
      </w:pPr>
      <w:r>
        <w:rPr>
          <w:rFonts w:ascii="Time New Roman" w:hAnsi="Time New Roman"/>
        </w:rPr>
        <w:t>表</w:t>
      </w:r>
      <w:r>
        <w:rPr>
          <w:rFonts w:ascii="Time New Roman" w:hAnsi="Time New Roman"/>
        </w:rPr>
        <w:t xml:space="preserve"> </w:t>
      </w:r>
      <w:r>
        <w:rPr>
          <w:rFonts w:ascii="Time New Roman" w:hAnsi="Time New Roman"/>
          <w:b/>
        </w:rPr>
        <w:t>39</w:t>
      </w:r>
      <w:r>
        <w:rPr>
          <w:rFonts w:ascii="Time New Roman" w:hAnsi="Time New Roman"/>
        </w:rPr>
        <w:br/>
      </w:r>
      <w:r>
        <w:rPr>
          <w:rFonts w:ascii="Time New Roman" w:hAnsi="Time New Roman" w:hint="eastAsia"/>
        </w:rPr>
        <w:t>按教育层次分列的</w:t>
      </w:r>
      <w:r>
        <w:rPr>
          <w:rFonts w:ascii="Time New Roman" w:hAnsi="Time New Roman"/>
          <w:b/>
        </w:rPr>
        <w:t>1990</w:t>
      </w:r>
      <w:r>
        <w:rPr>
          <w:rFonts w:ascii="Time New Roman" w:hAnsi="Time New Roman" w:hint="eastAsia"/>
        </w:rPr>
        <w:t>至</w:t>
      </w:r>
      <w:r>
        <w:rPr>
          <w:rFonts w:ascii="Time New Roman" w:hAnsi="Time New Roman"/>
          <w:b/>
        </w:rPr>
        <w:t>1998</w:t>
      </w:r>
      <w:r>
        <w:rPr>
          <w:rFonts w:ascii="Time New Roman" w:hAnsi="Time New Roman" w:hint="eastAsia"/>
        </w:rPr>
        <w:t>年覆盖率</w:t>
      </w:r>
      <w:r>
        <w:rPr>
          <w:rFonts w:ascii="Time New Roman" w:hAnsi="Time New Roman"/>
        </w:rPr>
        <w:br/>
        <w:t>(</w:t>
      </w:r>
      <w:r>
        <w:rPr>
          <w:rFonts w:ascii="Times New Roman" w:eastAsia="KaiTi_GB2312" w:hAnsi="Times New Roman" w:hint="eastAsia"/>
          <w:spacing w:val="0"/>
          <w:kern w:val="0"/>
        </w:rPr>
        <w:t>百分比</w:t>
      </w:r>
      <w:r>
        <w:rPr>
          <w:rFonts w:ascii="Time New Roman" w:hAnsi="Time New Roman"/>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73"/>
        <w:gridCol w:w="1122"/>
        <w:gridCol w:w="1122"/>
        <w:gridCol w:w="1122"/>
        <w:gridCol w:w="1122"/>
        <w:gridCol w:w="1122"/>
        <w:gridCol w:w="1922"/>
      </w:tblGrid>
      <w:tr w:rsidR="00000000">
        <w:tblPrEx>
          <w:tblCellMar>
            <w:top w:w="0" w:type="dxa"/>
            <w:bottom w:w="0" w:type="dxa"/>
          </w:tblCellMar>
        </w:tblPrEx>
        <w:trPr>
          <w:jc w:val="center"/>
        </w:trPr>
        <w:tc>
          <w:tcPr>
            <w:tcW w:w="1873" w:type="dxa"/>
            <w:tcBorders>
              <w:bottom w:val="single" w:sz="2" w:space="0" w:color="auto"/>
            </w:tcBorders>
            <w:vAlign w:val="center"/>
          </w:tcPr>
          <w:p w:rsidR="00000000" w:rsidRDefault="009C1C61">
            <w:pPr>
              <w:pStyle w:val="a2"/>
              <w:spacing w:line="240" w:lineRule="auto"/>
              <w:rPr>
                <w:rFonts w:hint="eastAsia"/>
              </w:rPr>
            </w:pPr>
            <w:r>
              <w:rPr>
                <w:rFonts w:hint="eastAsia"/>
              </w:rPr>
              <w:t>教育层次</w:t>
            </w:r>
          </w:p>
        </w:tc>
        <w:tc>
          <w:tcPr>
            <w:tcW w:w="1122" w:type="dxa"/>
            <w:tcBorders>
              <w:bottom w:val="single" w:sz="2" w:space="0" w:color="auto"/>
            </w:tcBorders>
            <w:vAlign w:val="center"/>
          </w:tcPr>
          <w:p w:rsidR="00000000" w:rsidRDefault="009C1C61">
            <w:pPr>
              <w:pStyle w:val="a2"/>
              <w:spacing w:line="240" w:lineRule="auto"/>
              <w:jc w:val="center"/>
            </w:pPr>
            <w:r>
              <w:t>1990</w:t>
            </w:r>
          </w:p>
        </w:tc>
        <w:tc>
          <w:tcPr>
            <w:tcW w:w="1122" w:type="dxa"/>
            <w:tcBorders>
              <w:bottom w:val="single" w:sz="2" w:space="0" w:color="auto"/>
            </w:tcBorders>
            <w:vAlign w:val="center"/>
          </w:tcPr>
          <w:p w:rsidR="00000000" w:rsidRDefault="009C1C61">
            <w:pPr>
              <w:pStyle w:val="a2"/>
              <w:spacing w:line="240" w:lineRule="auto"/>
              <w:jc w:val="center"/>
            </w:pPr>
            <w:r>
              <w:t>1992</w:t>
            </w:r>
          </w:p>
        </w:tc>
        <w:tc>
          <w:tcPr>
            <w:tcW w:w="1122" w:type="dxa"/>
            <w:tcBorders>
              <w:bottom w:val="single" w:sz="2" w:space="0" w:color="auto"/>
            </w:tcBorders>
            <w:vAlign w:val="center"/>
          </w:tcPr>
          <w:p w:rsidR="00000000" w:rsidRDefault="009C1C61">
            <w:pPr>
              <w:pStyle w:val="a2"/>
              <w:spacing w:line="240" w:lineRule="auto"/>
              <w:jc w:val="center"/>
            </w:pPr>
            <w:r>
              <w:t>1994</w:t>
            </w:r>
          </w:p>
        </w:tc>
        <w:tc>
          <w:tcPr>
            <w:tcW w:w="1122" w:type="dxa"/>
            <w:tcBorders>
              <w:bottom w:val="single" w:sz="2" w:space="0" w:color="auto"/>
            </w:tcBorders>
            <w:vAlign w:val="center"/>
          </w:tcPr>
          <w:p w:rsidR="00000000" w:rsidRDefault="009C1C61">
            <w:pPr>
              <w:pStyle w:val="a2"/>
              <w:spacing w:line="240" w:lineRule="auto"/>
              <w:jc w:val="center"/>
            </w:pPr>
            <w:r>
              <w:t>1996</w:t>
            </w:r>
          </w:p>
        </w:tc>
        <w:tc>
          <w:tcPr>
            <w:tcW w:w="1122" w:type="dxa"/>
            <w:tcBorders>
              <w:bottom w:val="single" w:sz="2" w:space="0" w:color="auto"/>
            </w:tcBorders>
            <w:vAlign w:val="center"/>
          </w:tcPr>
          <w:p w:rsidR="00000000" w:rsidRDefault="009C1C61">
            <w:pPr>
              <w:pStyle w:val="a2"/>
              <w:spacing w:line="240" w:lineRule="auto"/>
              <w:jc w:val="center"/>
            </w:pPr>
            <w:r>
              <w:t>1998</w:t>
            </w:r>
          </w:p>
        </w:tc>
        <w:tc>
          <w:tcPr>
            <w:tcW w:w="1922" w:type="dxa"/>
            <w:tcBorders>
              <w:bottom w:val="single" w:sz="2" w:space="0" w:color="auto"/>
            </w:tcBorders>
            <w:vAlign w:val="center"/>
          </w:tcPr>
          <w:p w:rsidR="00000000" w:rsidRDefault="009C1C61">
            <w:pPr>
              <w:pStyle w:val="a2"/>
              <w:spacing w:line="240" w:lineRule="auto"/>
              <w:jc w:val="center"/>
              <w:rPr>
                <w:rFonts w:hint="eastAsia"/>
              </w:rPr>
            </w:pPr>
            <w:r>
              <w:rPr>
                <w:rFonts w:hint="eastAsia"/>
              </w:rPr>
              <w:t>年均增长率</w:t>
            </w:r>
          </w:p>
        </w:tc>
      </w:tr>
      <w:tr w:rsidR="00000000">
        <w:tblPrEx>
          <w:tblCellMar>
            <w:top w:w="0" w:type="dxa"/>
            <w:bottom w:w="0" w:type="dxa"/>
          </w:tblCellMar>
        </w:tblPrEx>
        <w:trPr>
          <w:jc w:val="center"/>
        </w:trPr>
        <w:tc>
          <w:tcPr>
            <w:tcW w:w="1873" w:type="dxa"/>
            <w:tcBorders>
              <w:bottom w:val="nil"/>
            </w:tcBorders>
          </w:tcPr>
          <w:p w:rsidR="00000000" w:rsidRDefault="009C1C61">
            <w:pPr>
              <w:pStyle w:val="a2"/>
              <w:spacing w:line="240" w:lineRule="auto"/>
              <w:rPr>
                <w:rFonts w:hint="eastAsia"/>
              </w:rPr>
            </w:pPr>
            <w:r>
              <w:rPr>
                <w:rFonts w:hint="eastAsia"/>
              </w:rPr>
              <w:t>学前教育</w:t>
            </w:r>
          </w:p>
        </w:tc>
        <w:tc>
          <w:tcPr>
            <w:tcW w:w="1122" w:type="dxa"/>
            <w:tcBorders>
              <w:bottom w:val="nil"/>
            </w:tcBorders>
          </w:tcPr>
          <w:p w:rsidR="00000000" w:rsidRDefault="009C1C61">
            <w:pPr>
              <w:pStyle w:val="a2"/>
              <w:spacing w:line="240" w:lineRule="auto"/>
              <w:jc w:val="center"/>
            </w:pPr>
            <w:r>
              <w:t>20.9</w:t>
            </w:r>
          </w:p>
        </w:tc>
        <w:tc>
          <w:tcPr>
            <w:tcW w:w="1122" w:type="dxa"/>
            <w:tcBorders>
              <w:bottom w:val="nil"/>
            </w:tcBorders>
          </w:tcPr>
          <w:p w:rsidR="00000000" w:rsidRDefault="009C1C61">
            <w:pPr>
              <w:pStyle w:val="a2"/>
              <w:spacing w:line="240" w:lineRule="auto"/>
              <w:jc w:val="center"/>
            </w:pPr>
            <w:r>
              <w:t>24.7</w:t>
            </w:r>
          </w:p>
        </w:tc>
        <w:tc>
          <w:tcPr>
            <w:tcW w:w="1122" w:type="dxa"/>
            <w:tcBorders>
              <w:bottom w:val="nil"/>
            </w:tcBorders>
          </w:tcPr>
          <w:p w:rsidR="00000000" w:rsidRDefault="009C1C61">
            <w:pPr>
              <w:pStyle w:val="a2"/>
              <w:spacing w:line="240" w:lineRule="auto"/>
              <w:jc w:val="center"/>
            </w:pPr>
            <w:r>
              <w:t>26.9</w:t>
            </w:r>
          </w:p>
        </w:tc>
        <w:tc>
          <w:tcPr>
            <w:tcW w:w="1122" w:type="dxa"/>
            <w:tcBorders>
              <w:bottom w:val="nil"/>
            </w:tcBorders>
          </w:tcPr>
          <w:p w:rsidR="00000000" w:rsidRDefault="009C1C61">
            <w:pPr>
              <w:pStyle w:val="a2"/>
              <w:spacing w:line="240" w:lineRule="auto"/>
              <w:jc w:val="center"/>
            </w:pPr>
            <w:r>
              <w:t>29.8</w:t>
            </w:r>
          </w:p>
        </w:tc>
        <w:tc>
          <w:tcPr>
            <w:tcW w:w="1122" w:type="dxa"/>
            <w:tcBorders>
              <w:bottom w:val="nil"/>
            </w:tcBorders>
          </w:tcPr>
          <w:p w:rsidR="00000000" w:rsidRDefault="009C1C61">
            <w:pPr>
              <w:pStyle w:val="a2"/>
              <w:spacing w:line="240" w:lineRule="auto"/>
              <w:jc w:val="center"/>
            </w:pPr>
            <w:r>
              <w:t>30.3</w:t>
            </w:r>
          </w:p>
        </w:tc>
        <w:tc>
          <w:tcPr>
            <w:tcW w:w="1922" w:type="dxa"/>
            <w:tcBorders>
              <w:bottom w:val="nil"/>
            </w:tcBorders>
          </w:tcPr>
          <w:p w:rsidR="00000000" w:rsidRDefault="009C1C61">
            <w:pPr>
              <w:pStyle w:val="a2"/>
              <w:spacing w:line="240" w:lineRule="auto"/>
              <w:jc w:val="center"/>
            </w:pPr>
            <w:r>
              <w:t>4.8</w:t>
            </w:r>
          </w:p>
        </w:tc>
      </w:tr>
      <w:tr w:rsidR="00000000">
        <w:tblPrEx>
          <w:tblCellMar>
            <w:top w:w="0" w:type="dxa"/>
            <w:bottom w:w="0" w:type="dxa"/>
          </w:tblCellMar>
        </w:tblPrEx>
        <w:trPr>
          <w:jc w:val="center"/>
        </w:trPr>
        <w:tc>
          <w:tcPr>
            <w:tcW w:w="1873" w:type="dxa"/>
            <w:tcBorders>
              <w:top w:val="nil"/>
              <w:bottom w:val="nil"/>
            </w:tcBorders>
          </w:tcPr>
          <w:p w:rsidR="00000000" w:rsidRDefault="009C1C61">
            <w:pPr>
              <w:pStyle w:val="a2"/>
              <w:spacing w:line="240" w:lineRule="auto"/>
              <w:rPr>
                <w:rFonts w:hint="eastAsia"/>
              </w:rPr>
            </w:pPr>
            <w:r>
              <w:rPr>
                <w:rFonts w:hint="eastAsia"/>
              </w:rPr>
              <w:t>小</w:t>
            </w:r>
            <w:r>
              <w:t xml:space="preserve">  </w:t>
            </w:r>
            <w:r>
              <w:rPr>
                <w:rFonts w:hint="eastAsia"/>
              </w:rPr>
              <w:t>学</w:t>
            </w:r>
          </w:p>
        </w:tc>
        <w:tc>
          <w:tcPr>
            <w:tcW w:w="1122" w:type="dxa"/>
            <w:tcBorders>
              <w:top w:val="nil"/>
              <w:bottom w:val="nil"/>
            </w:tcBorders>
          </w:tcPr>
          <w:p w:rsidR="00000000" w:rsidRDefault="009C1C61">
            <w:pPr>
              <w:pStyle w:val="a2"/>
              <w:spacing w:line="240" w:lineRule="auto"/>
              <w:jc w:val="center"/>
            </w:pPr>
            <w:r>
              <w:t>96.8</w:t>
            </w:r>
          </w:p>
        </w:tc>
        <w:tc>
          <w:tcPr>
            <w:tcW w:w="1122" w:type="dxa"/>
            <w:tcBorders>
              <w:top w:val="nil"/>
              <w:bottom w:val="nil"/>
            </w:tcBorders>
          </w:tcPr>
          <w:p w:rsidR="00000000" w:rsidRDefault="009C1C61">
            <w:pPr>
              <w:pStyle w:val="a2"/>
              <w:spacing w:line="240" w:lineRule="auto"/>
              <w:jc w:val="center"/>
            </w:pPr>
            <w:r>
              <w:t>97.4</w:t>
            </w:r>
          </w:p>
        </w:tc>
        <w:tc>
          <w:tcPr>
            <w:tcW w:w="1122" w:type="dxa"/>
            <w:tcBorders>
              <w:top w:val="nil"/>
              <w:bottom w:val="nil"/>
            </w:tcBorders>
          </w:tcPr>
          <w:p w:rsidR="00000000" w:rsidRDefault="009C1C61">
            <w:pPr>
              <w:pStyle w:val="a2"/>
              <w:spacing w:line="240" w:lineRule="auto"/>
              <w:jc w:val="center"/>
            </w:pPr>
            <w:r>
              <w:t>97.6</w:t>
            </w:r>
          </w:p>
        </w:tc>
        <w:tc>
          <w:tcPr>
            <w:tcW w:w="1122" w:type="dxa"/>
            <w:tcBorders>
              <w:top w:val="nil"/>
              <w:bottom w:val="nil"/>
            </w:tcBorders>
          </w:tcPr>
          <w:p w:rsidR="00000000" w:rsidRDefault="009C1C61">
            <w:pPr>
              <w:pStyle w:val="a2"/>
              <w:spacing w:line="240" w:lineRule="auto"/>
              <w:jc w:val="center"/>
            </w:pPr>
            <w:r>
              <w:t>98.2</w:t>
            </w:r>
          </w:p>
        </w:tc>
        <w:tc>
          <w:tcPr>
            <w:tcW w:w="1122" w:type="dxa"/>
            <w:tcBorders>
              <w:top w:val="nil"/>
              <w:bottom w:val="nil"/>
            </w:tcBorders>
          </w:tcPr>
          <w:p w:rsidR="00000000" w:rsidRDefault="009C1C61">
            <w:pPr>
              <w:pStyle w:val="a2"/>
              <w:spacing w:line="240" w:lineRule="auto"/>
              <w:jc w:val="center"/>
            </w:pPr>
            <w:r>
              <w:t>98.3</w:t>
            </w:r>
          </w:p>
        </w:tc>
        <w:tc>
          <w:tcPr>
            <w:tcW w:w="1922" w:type="dxa"/>
            <w:tcBorders>
              <w:top w:val="nil"/>
              <w:bottom w:val="nil"/>
            </w:tcBorders>
          </w:tcPr>
          <w:p w:rsidR="00000000" w:rsidRDefault="009C1C61">
            <w:pPr>
              <w:pStyle w:val="a2"/>
              <w:spacing w:line="240" w:lineRule="auto"/>
              <w:jc w:val="center"/>
            </w:pPr>
            <w:r>
              <w:t>0.2</w:t>
            </w:r>
          </w:p>
        </w:tc>
      </w:tr>
      <w:tr w:rsidR="00000000">
        <w:tblPrEx>
          <w:tblCellMar>
            <w:top w:w="0" w:type="dxa"/>
            <w:bottom w:w="0" w:type="dxa"/>
          </w:tblCellMar>
        </w:tblPrEx>
        <w:trPr>
          <w:jc w:val="center"/>
        </w:trPr>
        <w:tc>
          <w:tcPr>
            <w:tcW w:w="1873" w:type="dxa"/>
            <w:tcBorders>
              <w:top w:val="nil"/>
            </w:tcBorders>
          </w:tcPr>
          <w:p w:rsidR="00000000" w:rsidRDefault="009C1C61">
            <w:pPr>
              <w:pStyle w:val="a2"/>
              <w:spacing w:line="240" w:lineRule="auto"/>
              <w:rPr>
                <w:rFonts w:hint="eastAsia"/>
              </w:rPr>
            </w:pPr>
            <w:r>
              <w:rPr>
                <w:rFonts w:hint="eastAsia"/>
              </w:rPr>
              <w:t>中</w:t>
            </w:r>
            <w:r>
              <w:t xml:space="preserve">  </w:t>
            </w:r>
            <w:r>
              <w:rPr>
                <w:rFonts w:hint="eastAsia"/>
              </w:rPr>
              <w:t>学</w:t>
            </w:r>
          </w:p>
        </w:tc>
        <w:tc>
          <w:tcPr>
            <w:tcW w:w="1122" w:type="dxa"/>
            <w:tcBorders>
              <w:top w:val="nil"/>
            </w:tcBorders>
          </w:tcPr>
          <w:p w:rsidR="00000000" w:rsidRDefault="009C1C61">
            <w:pPr>
              <w:pStyle w:val="a2"/>
              <w:spacing w:line="240" w:lineRule="auto"/>
              <w:jc w:val="center"/>
            </w:pPr>
            <w:r>
              <w:t>80.5</w:t>
            </w:r>
          </w:p>
        </w:tc>
        <w:tc>
          <w:tcPr>
            <w:tcW w:w="1122" w:type="dxa"/>
            <w:tcBorders>
              <w:top w:val="nil"/>
            </w:tcBorders>
          </w:tcPr>
          <w:p w:rsidR="00000000" w:rsidRDefault="009C1C61">
            <w:pPr>
              <w:pStyle w:val="a2"/>
              <w:spacing w:line="240" w:lineRule="auto"/>
              <w:jc w:val="center"/>
            </w:pPr>
            <w:r>
              <w:t>82.2</w:t>
            </w:r>
          </w:p>
        </w:tc>
        <w:tc>
          <w:tcPr>
            <w:tcW w:w="1122" w:type="dxa"/>
            <w:tcBorders>
              <w:top w:val="nil"/>
            </w:tcBorders>
          </w:tcPr>
          <w:p w:rsidR="00000000" w:rsidRDefault="009C1C61">
            <w:pPr>
              <w:pStyle w:val="a2"/>
              <w:spacing w:line="240" w:lineRule="auto"/>
              <w:jc w:val="center"/>
            </w:pPr>
            <w:r>
              <w:t>83.9</w:t>
            </w:r>
          </w:p>
        </w:tc>
        <w:tc>
          <w:tcPr>
            <w:tcW w:w="1122" w:type="dxa"/>
            <w:tcBorders>
              <w:top w:val="nil"/>
            </w:tcBorders>
          </w:tcPr>
          <w:p w:rsidR="00000000" w:rsidRDefault="009C1C61">
            <w:pPr>
              <w:pStyle w:val="a2"/>
              <w:spacing w:line="240" w:lineRule="auto"/>
              <w:jc w:val="center"/>
            </w:pPr>
            <w:r>
              <w:t>86.9</w:t>
            </w:r>
          </w:p>
        </w:tc>
        <w:tc>
          <w:tcPr>
            <w:tcW w:w="1122" w:type="dxa"/>
            <w:tcBorders>
              <w:top w:val="nil"/>
            </w:tcBorders>
          </w:tcPr>
          <w:p w:rsidR="00000000" w:rsidRDefault="009C1C61">
            <w:pPr>
              <w:pStyle w:val="a2"/>
              <w:spacing w:line="240" w:lineRule="auto"/>
              <w:jc w:val="center"/>
            </w:pPr>
            <w:r>
              <w:t>86.9</w:t>
            </w:r>
          </w:p>
        </w:tc>
        <w:tc>
          <w:tcPr>
            <w:tcW w:w="1922" w:type="dxa"/>
            <w:tcBorders>
              <w:top w:val="nil"/>
            </w:tcBorders>
          </w:tcPr>
          <w:p w:rsidR="00000000" w:rsidRDefault="009C1C61">
            <w:pPr>
              <w:pStyle w:val="a2"/>
              <w:spacing w:line="240" w:lineRule="auto"/>
              <w:jc w:val="center"/>
            </w:pPr>
            <w:r>
              <w:t>1</w:t>
            </w:r>
            <w:r>
              <w:t>.0</w:t>
            </w:r>
          </w:p>
        </w:tc>
      </w:tr>
    </w:tbl>
    <w:p w:rsidR="00000000" w:rsidRDefault="009C1C61">
      <w:pPr>
        <w:tabs>
          <w:tab w:val="left" w:pos="284"/>
        </w:tabs>
        <w:spacing w:before="120" w:after="320"/>
        <w:rPr>
          <w:rFonts w:eastAsia="KaiTi_GB2312" w:hint="eastAsia"/>
          <w:spacing w:val="0"/>
        </w:rPr>
      </w:pPr>
      <w:r>
        <w:rPr>
          <w:rFonts w:eastAsia="KaiTi_GB2312"/>
          <w:spacing w:val="0"/>
        </w:rPr>
        <w:tab/>
      </w:r>
      <w:r>
        <w:rPr>
          <w:rFonts w:eastAsia="KaiTi_GB2312" w:hint="eastAsia"/>
          <w:spacing w:val="0"/>
          <w:u w:val="single"/>
        </w:rPr>
        <w:t>资料来源</w:t>
      </w:r>
      <w:r>
        <w:rPr>
          <w:rFonts w:eastAsia="KaiTi_GB2312"/>
          <w:spacing w:val="0"/>
        </w:rPr>
        <w:t>：</w:t>
      </w:r>
      <w:r>
        <w:rPr>
          <w:rFonts w:eastAsia="KaiTi_GB2312" w:hint="eastAsia"/>
          <w:spacing w:val="0"/>
        </w:rPr>
        <w:t>规合部，社经特征调查。</w:t>
      </w:r>
    </w:p>
    <w:p w:rsidR="00000000" w:rsidRDefault="009C1C61">
      <w:pPr>
        <w:pStyle w:val="a3"/>
        <w:spacing w:after="160" w:line="240" w:lineRule="auto"/>
        <w:rPr>
          <w:rFonts w:eastAsia="KaiTi_GB2312"/>
          <w:b/>
          <w:bCs/>
          <w:szCs w:val="24"/>
        </w:rPr>
      </w:pPr>
      <w:r>
        <w:rPr>
          <w:rFonts w:ascii="Time New Roman" w:hAnsi="Time New Roman"/>
          <w:b/>
          <w:bCs/>
          <w:szCs w:val="24"/>
        </w:rPr>
        <w:t>表</w:t>
      </w:r>
      <w:r>
        <w:rPr>
          <w:rFonts w:ascii="Time New Roman" w:hAnsi="Time New Roman"/>
          <w:b/>
          <w:bCs/>
          <w:szCs w:val="24"/>
        </w:rPr>
        <w:t xml:space="preserve">  40</w:t>
      </w:r>
      <w:r>
        <w:rPr>
          <w:rFonts w:ascii="Time New Roman" w:hAnsi="Time New Roman"/>
          <w:b/>
          <w:bCs/>
          <w:szCs w:val="24"/>
        </w:rPr>
        <w:br/>
      </w:r>
      <w:r>
        <w:rPr>
          <w:rFonts w:hint="eastAsia"/>
          <w:b/>
          <w:bCs/>
          <w:szCs w:val="24"/>
        </w:rPr>
        <w:t>根据</w:t>
      </w:r>
      <w:r>
        <w:rPr>
          <w:rFonts w:ascii="Time New Roman" w:hAnsi="Time New Roman"/>
          <w:b/>
          <w:bCs/>
          <w:szCs w:val="24"/>
        </w:rPr>
        <w:t>1990</w:t>
      </w:r>
      <w:r>
        <w:rPr>
          <w:rFonts w:ascii="Time New Roman" w:hAnsi="Time New Roman" w:hint="eastAsia"/>
          <w:b/>
          <w:bCs/>
          <w:szCs w:val="24"/>
        </w:rPr>
        <w:t>至</w:t>
      </w:r>
      <w:r>
        <w:rPr>
          <w:rFonts w:ascii="Time New Roman" w:hAnsi="Time New Roman"/>
          <w:b/>
          <w:bCs/>
          <w:szCs w:val="24"/>
        </w:rPr>
        <w:t>2000</w:t>
      </w:r>
      <w:r>
        <w:rPr>
          <w:rFonts w:ascii="Time New Roman" w:hAnsi="Time New Roman" w:hint="eastAsia"/>
          <w:b/>
          <w:szCs w:val="24"/>
        </w:rPr>
        <w:t>年</w:t>
      </w:r>
      <w:r>
        <w:rPr>
          <w:rFonts w:ascii="Time New Roman" w:hAnsi="Time New Roman" w:hint="eastAsia"/>
          <w:b/>
          <w:bCs/>
          <w:szCs w:val="24"/>
        </w:rPr>
        <w:t>人均独立户收入五等分层按教育层次分列</w:t>
      </w:r>
      <w:r>
        <w:rPr>
          <w:rFonts w:ascii="Time New Roman" w:hAnsi="Time New Roman"/>
          <w:b/>
          <w:bCs/>
          <w:szCs w:val="24"/>
        </w:rPr>
        <w:t xml:space="preserve"> </w:t>
      </w:r>
      <w:r>
        <w:rPr>
          <w:rStyle w:val="FootnoteReference"/>
          <w:rFonts w:ascii="Time New Roman" w:hAnsi="Time New Roman"/>
          <w:szCs w:val="24"/>
        </w:rPr>
        <w:footnoteReference w:id="308"/>
      </w:r>
      <w:r>
        <w:rPr>
          <w:rFonts w:ascii="Time New Roman" w:hAnsi="Time New Roman"/>
          <w:szCs w:val="24"/>
        </w:rPr>
        <w:t xml:space="preserve"> </w:t>
      </w:r>
      <w:r>
        <w:rPr>
          <w:rFonts w:ascii="Time New Roman" w:hAnsi="Time New Roman" w:hint="eastAsia"/>
          <w:b/>
          <w:bCs/>
          <w:szCs w:val="24"/>
        </w:rPr>
        <w:t>的覆盖率</w:t>
      </w:r>
      <w:r>
        <w:rPr>
          <w:rFonts w:ascii="Time New Roman" w:hAnsi="Time New Roman" w:hint="eastAsia"/>
          <w:b/>
          <w:bCs/>
          <w:szCs w:val="24"/>
        </w:rPr>
        <w:br/>
      </w:r>
      <w:r>
        <w:rPr>
          <w:rFonts w:eastAsia="KaiTi_GB2312"/>
          <w:b/>
          <w:bCs/>
          <w:szCs w:val="24"/>
        </w:rPr>
        <w:t>(</w:t>
      </w:r>
      <w:r>
        <w:rPr>
          <w:rFonts w:eastAsia="KaiTi_GB2312" w:hint="eastAsia"/>
          <w:b/>
          <w:bCs/>
          <w:szCs w:val="24"/>
        </w:rPr>
        <w:t>百分比</w:t>
      </w:r>
      <w:r>
        <w:rPr>
          <w:rFonts w:eastAsia="KaiTi_GB2312"/>
          <w:b/>
          <w:bCs/>
          <w:szCs w:val="24"/>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38"/>
        <w:gridCol w:w="1080"/>
        <w:gridCol w:w="1080"/>
        <w:gridCol w:w="1081"/>
        <w:gridCol w:w="1080"/>
        <w:gridCol w:w="1081"/>
        <w:gridCol w:w="1080"/>
        <w:gridCol w:w="1084"/>
      </w:tblGrid>
      <w:tr w:rsidR="00000000">
        <w:tblPrEx>
          <w:tblCellMar>
            <w:top w:w="0" w:type="dxa"/>
            <w:bottom w:w="0" w:type="dxa"/>
          </w:tblCellMar>
        </w:tblPrEx>
        <w:trPr>
          <w:jc w:val="center"/>
        </w:trPr>
        <w:tc>
          <w:tcPr>
            <w:tcW w:w="2918" w:type="dxa"/>
            <w:gridSpan w:val="2"/>
          </w:tcPr>
          <w:p w:rsidR="00000000" w:rsidRDefault="009C1C61">
            <w:pPr>
              <w:pStyle w:val="a2"/>
              <w:spacing w:line="220" w:lineRule="exact"/>
            </w:pPr>
          </w:p>
        </w:tc>
        <w:tc>
          <w:tcPr>
            <w:tcW w:w="1080" w:type="dxa"/>
          </w:tcPr>
          <w:p w:rsidR="00000000" w:rsidRDefault="009C1C61">
            <w:pPr>
              <w:pStyle w:val="a2"/>
              <w:spacing w:line="220" w:lineRule="exact"/>
              <w:jc w:val="center"/>
              <w:rPr>
                <w:rFonts w:hint="eastAsia"/>
                <w:lang w:val="es-ES_tradnl"/>
              </w:rPr>
            </w:pPr>
            <w:r>
              <w:rPr>
                <w:rFonts w:hint="eastAsia"/>
                <w:lang w:val="es-ES_tradnl"/>
              </w:rPr>
              <w:t>一</w:t>
            </w:r>
          </w:p>
        </w:tc>
        <w:tc>
          <w:tcPr>
            <w:tcW w:w="1081" w:type="dxa"/>
          </w:tcPr>
          <w:p w:rsidR="00000000" w:rsidRDefault="009C1C61">
            <w:pPr>
              <w:pStyle w:val="a2"/>
              <w:spacing w:line="220" w:lineRule="exact"/>
              <w:jc w:val="center"/>
              <w:rPr>
                <w:rFonts w:hint="eastAsia"/>
                <w:lang w:val="es-ES_tradnl"/>
              </w:rPr>
            </w:pPr>
            <w:r>
              <w:rPr>
                <w:rFonts w:hint="eastAsia"/>
                <w:lang w:val="es-ES_tradnl"/>
              </w:rPr>
              <w:t>二</w:t>
            </w:r>
          </w:p>
        </w:tc>
        <w:tc>
          <w:tcPr>
            <w:tcW w:w="1080" w:type="dxa"/>
          </w:tcPr>
          <w:p w:rsidR="00000000" w:rsidRDefault="009C1C61">
            <w:pPr>
              <w:pStyle w:val="a2"/>
              <w:spacing w:line="220" w:lineRule="exact"/>
              <w:jc w:val="center"/>
              <w:rPr>
                <w:rFonts w:hint="eastAsia"/>
                <w:lang w:val="es-ES_tradnl"/>
              </w:rPr>
            </w:pPr>
            <w:r>
              <w:rPr>
                <w:rFonts w:hint="eastAsia"/>
                <w:lang w:val="es-ES_tradnl"/>
              </w:rPr>
              <w:t>三</w:t>
            </w:r>
          </w:p>
        </w:tc>
        <w:tc>
          <w:tcPr>
            <w:tcW w:w="1081" w:type="dxa"/>
          </w:tcPr>
          <w:p w:rsidR="00000000" w:rsidRDefault="009C1C61">
            <w:pPr>
              <w:pStyle w:val="a2"/>
              <w:spacing w:line="220" w:lineRule="exact"/>
              <w:jc w:val="center"/>
              <w:rPr>
                <w:rFonts w:hint="eastAsia"/>
                <w:lang w:val="es-ES_tradnl"/>
              </w:rPr>
            </w:pPr>
            <w:r>
              <w:rPr>
                <w:rFonts w:hint="eastAsia"/>
              </w:rPr>
              <w:t>四</w:t>
            </w:r>
          </w:p>
        </w:tc>
        <w:tc>
          <w:tcPr>
            <w:tcW w:w="1080" w:type="dxa"/>
          </w:tcPr>
          <w:p w:rsidR="00000000" w:rsidRDefault="009C1C61">
            <w:pPr>
              <w:pStyle w:val="a2"/>
              <w:spacing w:line="220" w:lineRule="exact"/>
              <w:jc w:val="center"/>
              <w:rPr>
                <w:rFonts w:hint="eastAsia"/>
                <w:lang w:val="es-ES_tradnl"/>
              </w:rPr>
            </w:pPr>
            <w:r>
              <w:rPr>
                <w:rFonts w:hint="eastAsia"/>
              </w:rPr>
              <w:t>五</w:t>
            </w:r>
          </w:p>
        </w:tc>
        <w:tc>
          <w:tcPr>
            <w:tcW w:w="1084" w:type="dxa"/>
          </w:tcPr>
          <w:p w:rsidR="00000000" w:rsidRDefault="009C1C61">
            <w:pPr>
              <w:pStyle w:val="a2"/>
              <w:spacing w:line="220" w:lineRule="exact"/>
              <w:jc w:val="center"/>
              <w:rPr>
                <w:rFonts w:hint="eastAsia"/>
              </w:rPr>
            </w:pPr>
            <w:r>
              <w:rPr>
                <w:rFonts w:hint="eastAsia"/>
              </w:rPr>
              <w:t>总</w:t>
            </w:r>
            <w:r>
              <w:t xml:space="preserve"> </w:t>
            </w:r>
            <w:r>
              <w:rPr>
                <w:rFonts w:hint="eastAsia"/>
              </w:rPr>
              <w:t>数</w:t>
            </w:r>
          </w:p>
        </w:tc>
      </w:tr>
      <w:tr w:rsidR="00000000">
        <w:tblPrEx>
          <w:tblCellMar>
            <w:top w:w="0" w:type="dxa"/>
            <w:bottom w:w="0" w:type="dxa"/>
          </w:tblCellMar>
        </w:tblPrEx>
        <w:trPr>
          <w:jc w:val="center"/>
        </w:trPr>
        <w:tc>
          <w:tcPr>
            <w:tcW w:w="1838" w:type="dxa"/>
            <w:tcBorders>
              <w:bottom w:val="nil"/>
            </w:tcBorders>
          </w:tcPr>
          <w:p w:rsidR="00000000" w:rsidRDefault="009C1C61">
            <w:pPr>
              <w:pStyle w:val="a2"/>
              <w:spacing w:line="220" w:lineRule="exact"/>
              <w:rPr>
                <w:rFonts w:hint="eastAsia"/>
              </w:rPr>
            </w:pPr>
            <w:r>
              <w:rPr>
                <w:rFonts w:hint="eastAsia"/>
              </w:rPr>
              <w:t>学前班</w:t>
            </w:r>
          </w:p>
        </w:tc>
        <w:tc>
          <w:tcPr>
            <w:tcW w:w="1080" w:type="dxa"/>
            <w:tcBorders>
              <w:bottom w:val="nil"/>
            </w:tcBorders>
          </w:tcPr>
          <w:p w:rsidR="00000000" w:rsidRDefault="009C1C61">
            <w:pPr>
              <w:pStyle w:val="a2"/>
              <w:spacing w:line="220" w:lineRule="exact"/>
            </w:pPr>
            <w:r>
              <w:t>1990</w:t>
            </w:r>
          </w:p>
        </w:tc>
        <w:tc>
          <w:tcPr>
            <w:tcW w:w="1080" w:type="dxa"/>
            <w:tcBorders>
              <w:bottom w:val="nil"/>
            </w:tcBorders>
          </w:tcPr>
          <w:p w:rsidR="00000000" w:rsidRDefault="009C1C61">
            <w:pPr>
              <w:pStyle w:val="a2"/>
              <w:spacing w:line="220" w:lineRule="exact"/>
              <w:jc w:val="center"/>
            </w:pPr>
            <w:r>
              <w:t>16.9</w:t>
            </w:r>
          </w:p>
        </w:tc>
        <w:tc>
          <w:tcPr>
            <w:tcW w:w="1081" w:type="dxa"/>
            <w:tcBorders>
              <w:bottom w:val="nil"/>
            </w:tcBorders>
          </w:tcPr>
          <w:p w:rsidR="00000000" w:rsidRDefault="009C1C61">
            <w:pPr>
              <w:pStyle w:val="a2"/>
              <w:spacing w:line="220" w:lineRule="exact"/>
              <w:jc w:val="center"/>
            </w:pPr>
            <w:r>
              <w:t>17.5</w:t>
            </w:r>
          </w:p>
        </w:tc>
        <w:tc>
          <w:tcPr>
            <w:tcW w:w="1080" w:type="dxa"/>
            <w:tcBorders>
              <w:bottom w:val="nil"/>
            </w:tcBorders>
          </w:tcPr>
          <w:p w:rsidR="00000000" w:rsidRDefault="009C1C61">
            <w:pPr>
              <w:pStyle w:val="a2"/>
              <w:spacing w:line="220" w:lineRule="exact"/>
              <w:jc w:val="center"/>
            </w:pPr>
            <w:r>
              <w:t>20.4</w:t>
            </w:r>
          </w:p>
        </w:tc>
        <w:tc>
          <w:tcPr>
            <w:tcW w:w="1081" w:type="dxa"/>
            <w:tcBorders>
              <w:bottom w:val="nil"/>
            </w:tcBorders>
          </w:tcPr>
          <w:p w:rsidR="00000000" w:rsidRDefault="009C1C61">
            <w:pPr>
              <w:pStyle w:val="a2"/>
              <w:spacing w:line="220" w:lineRule="exact"/>
              <w:jc w:val="center"/>
            </w:pPr>
            <w:r>
              <w:t>27.2</w:t>
            </w:r>
          </w:p>
        </w:tc>
        <w:tc>
          <w:tcPr>
            <w:tcW w:w="1080" w:type="dxa"/>
            <w:tcBorders>
              <w:bottom w:val="nil"/>
            </w:tcBorders>
          </w:tcPr>
          <w:p w:rsidR="00000000" w:rsidRDefault="009C1C61">
            <w:pPr>
              <w:pStyle w:val="a2"/>
              <w:spacing w:line="220" w:lineRule="exact"/>
              <w:jc w:val="center"/>
            </w:pPr>
            <w:r>
              <w:t>32.4</w:t>
            </w:r>
          </w:p>
        </w:tc>
        <w:tc>
          <w:tcPr>
            <w:tcW w:w="1084" w:type="dxa"/>
            <w:tcBorders>
              <w:bottom w:val="nil"/>
            </w:tcBorders>
          </w:tcPr>
          <w:p w:rsidR="00000000" w:rsidRDefault="009C1C61">
            <w:pPr>
              <w:pStyle w:val="a2"/>
              <w:spacing w:line="220" w:lineRule="exact"/>
              <w:jc w:val="center"/>
            </w:pPr>
            <w:r>
              <w:t>20.9</w:t>
            </w:r>
          </w:p>
        </w:tc>
      </w:tr>
      <w:tr w:rsidR="00000000">
        <w:tblPrEx>
          <w:tblCellMar>
            <w:top w:w="0" w:type="dxa"/>
            <w:bottom w:w="0" w:type="dxa"/>
          </w:tblCellMar>
        </w:tblPrEx>
        <w:trPr>
          <w:jc w:val="center"/>
        </w:trPr>
        <w:tc>
          <w:tcPr>
            <w:tcW w:w="1838" w:type="dxa"/>
            <w:tcBorders>
              <w:top w:val="nil"/>
            </w:tcBorders>
          </w:tcPr>
          <w:p w:rsidR="00000000" w:rsidRDefault="009C1C61">
            <w:pPr>
              <w:pStyle w:val="a2"/>
              <w:spacing w:line="220" w:lineRule="exact"/>
            </w:pPr>
          </w:p>
        </w:tc>
        <w:tc>
          <w:tcPr>
            <w:tcW w:w="1080" w:type="dxa"/>
            <w:tcBorders>
              <w:top w:val="nil"/>
            </w:tcBorders>
          </w:tcPr>
          <w:p w:rsidR="00000000" w:rsidRDefault="009C1C61">
            <w:pPr>
              <w:pStyle w:val="a2"/>
              <w:spacing w:line="220" w:lineRule="exact"/>
            </w:pPr>
            <w:r>
              <w:t>2000</w:t>
            </w:r>
          </w:p>
        </w:tc>
        <w:tc>
          <w:tcPr>
            <w:tcW w:w="1080" w:type="dxa"/>
            <w:tcBorders>
              <w:top w:val="nil"/>
            </w:tcBorders>
          </w:tcPr>
          <w:p w:rsidR="00000000" w:rsidRDefault="009C1C61">
            <w:pPr>
              <w:pStyle w:val="a2"/>
              <w:spacing w:line="220" w:lineRule="exact"/>
              <w:jc w:val="center"/>
            </w:pPr>
            <w:r>
              <w:t>25.5</w:t>
            </w:r>
          </w:p>
        </w:tc>
        <w:tc>
          <w:tcPr>
            <w:tcW w:w="1081" w:type="dxa"/>
            <w:tcBorders>
              <w:top w:val="nil"/>
            </w:tcBorders>
          </w:tcPr>
          <w:p w:rsidR="00000000" w:rsidRDefault="009C1C61">
            <w:pPr>
              <w:pStyle w:val="a2"/>
              <w:spacing w:line="220" w:lineRule="exact"/>
              <w:jc w:val="center"/>
            </w:pPr>
            <w:r>
              <w:t>29.6</w:t>
            </w:r>
          </w:p>
        </w:tc>
        <w:tc>
          <w:tcPr>
            <w:tcW w:w="1080" w:type="dxa"/>
            <w:tcBorders>
              <w:top w:val="nil"/>
            </w:tcBorders>
          </w:tcPr>
          <w:p w:rsidR="00000000" w:rsidRDefault="009C1C61">
            <w:pPr>
              <w:pStyle w:val="a2"/>
              <w:spacing w:line="220" w:lineRule="exact"/>
              <w:jc w:val="center"/>
            </w:pPr>
            <w:r>
              <w:t>32.7</w:t>
            </w:r>
          </w:p>
        </w:tc>
        <w:tc>
          <w:tcPr>
            <w:tcW w:w="1081" w:type="dxa"/>
            <w:tcBorders>
              <w:top w:val="nil"/>
            </w:tcBorders>
          </w:tcPr>
          <w:p w:rsidR="00000000" w:rsidRDefault="009C1C61">
            <w:pPr>
              <w:pStyle w:val="a2"/>
              <w:spacing w:line="220" w:lineRule="exact"/>
              <w:jc w:val="center"/>
            </w:pPr>
            <w:r>
              <w:t>37.6</w:t>
            </w:r>
          </w:p>
        </w:tc>
        <w:tc>
          <w:tcPr>
            <w:tcW w:w="1080" w:type="dxa"/>
            <w:tcBorders>
              <w:top w:val="nil"/>
            </w:tcBorders>
          </w:tcPr>
          <w:p w:rsidR="00000000" w:rsidRDefault="009C1C61">
            <w:pPr>
              <w:pStyle w:val="a2"/>
              <w:spacing w:line="220" w:lineRule="exact"/>
              <w:jc w:val="center"/>
            </w:pPr>
            <w:r>
              <w:t>50.2</w:t>
            </w:r>
          </w:p>
        </w:tc>
        <w:tc>
          <w:tcPr>
            <w:tcW w:w="1084" w:type="dxa"/>
            <w:tcBorders>
              <w:top w:val="nil"/>
            </w:tcBorders>
          </w:tcPr>
          <w:p w:rsidR="00000000" w:rsidRDefault="009C1C61">
            <w:pPr>
              <w:pStyle w:val="a2"/>
              <w:spacing w:line="220" w:lineRule="exact"/>
              <w:jc w:val="center"/>
            </w:pPr>
            <w:r>
              <w:t>32.4</w:t>
            </w:r>
          </w:p>
        </w:tc>
      </w:tr>
      <w:tr w:rsidR="00000000">
        <w:tblPrEx>
          <w:tblCellMar>
            <w:top w:w="0" w:type="dxa"/>
            <w:bottom w:w="0" w:type="dxa"/>
          </w:tblCellMar>
        </w:tblPrEx>
        <w:trPr>
          <w:jc w:val="center"/>
        </w:trPr>
        <w:tc>
          <w:tcPr>
            <w:tcW w:w="1838" w:type="dxa"/>
            <w:tcBorders>
              <w:bottom w:val="nil"/>
            </w:tcBorders>
          </w:tcPr>
          <w:p w:rsidR="00000000" w:rsidRDefault="009C1C61">
            <w:pPr>
              <w:pStyle w:val="a2"/>
              <w:spacing w:line="220" w:lineRule="exact"/>
              <w:rPr>
                <w:rFonts w:hint="eastAsia"/>
              </w:rPr>
            </w:pPr>
            <w:r>
              <w:rPr>
                <w:rFonts w:hint="eastAsia"/>
              </w:rPr>
              <w:t>小</w:t>
            </w:r>
            <w:r>
              <w:t xml:space="preserve">  </w:t>
            </w:r>
            <w:r>
              <w:rPr>
                <w:rFonts w:hint="eastAsia"/>
              </w:rPr>
              <w:t>学</w:t>
            </w:r>
          </w:p>
        </w:tc>
        <w:tc>
          <w:tcPr>
            <w:tcW w:w="1080" w:type="dxa"/>
            <w:tcBorders>
              <w:bottom w:val="nil"/>
            </w:tcBorders>
          </w:tcPr>
          <w:p w:rsidR="00000000" w:rsidRDefault="009C1C61">
            <w:pPr>
              <w:pStyle w:val="a2"/>
              <w:spacing w:line="220" w:lineRule="exact"/>
            </w:pPr>
            <w:r>
              <w:t>1990</w:t>
            </w:r>
          </w:p>
        </w:tc>
        <w:tc>
          <w:tcPr>
            <w:tcW w:w="1080" w:type="dxa"/>
            <w:tcBorders>
              <w:bottom w:val="nil"/>
            </w:tcBorders>
          </w:tcPr>
          <w:p w:rsidR="00000000" w:rsidRDefault="009C1C61">
            <w:pPr>
              <w:pStyle w:val="a2"/>
              <w:spacing w:line="220" w:lineRule="exact"/>
              <w:jc w:val="center"/>
            </w:pPr>
            <w:r>
              <w:t>95.5</w:t>
            </w:r>
          </w:p>
        </w:tc>
        <w:tc>
          <w:tcPr>
            <w:tcW w:w="1081" w:type="dxa"/>
            <w:tcBorders>
              <w:bottom w:val="nil"/>
            </w:tcBorders>
          </w:tcPr>
          <w:p w:rsidR="00000000" w:rsidRDefault="009C1C61">
            <w:pPr>
              <w:pStyle w:val="a2"/>
              <w:spacing w:line="220" w:lineRule="exact"/>
              <w:jc w:val="center"/>
            </w:pPr>
            <w:r>
              <w:t>96.9</w:t>
            </w:r>
          </w:p>
        </w:tc>
        <w:tc>
          <w:tcPr>
            <w:tcW w:w="1080" w:type="dxa"/>
            <w:tcBorders>
              <w:bottom w:val="nil"/>
            </w:tcBorders>
          </w:tcPr>
          <w:p w:rsidR="00000000" w:rsidRDefault="009C1C61">
            <w:pPr>
              <w:pStyle w:val="a2"/>
              <w:spacing w:line="220" w:lineRule="exact"/>
              <w:jc w:val="center"/>
            </w:pPr>
            <w:r>
              <w:t>97.6</w:t>
            </w:r>
          </w:p>
        </w:tc>
        <w:tc>
          <w:tcPr>
            <w:tcW w:w="1081" w:type="dxa"/>
            <w:tcBorders>
              <w:bottom w:val="nil"/>
            </w:tcBorders>
          </w:tcPr>
          <w:p w:rsidR="00000000" w:rsidRDefault="009C1C61">
            <w:pPr>
              <w:pStyle w:val="a2"/>
              <w:spacing w:line="220" w:lineRule="exact"/>
              <w:jc w:val="center"/>
            </w:pPr>
            <w:r>
              <w:t>98.9</w:t>
            </w:r>
          </w:p>
        </w:tc>
        <w:tc>
          <w:tcPr>
            <w:tcW w:w="1080" w:type="dxa"/>
            <w:tcBorders>
              <w:bottom w:val="nil"/>
            </w:tcBorders>
          </w:tcPr>
          <w:p w:rsidR="00000000" w:rsidRDefault="009C1C61">
            <w:pPr>
              <w:pStyle w:val="a2"/>
              <w:spacing w:line="220" w:lineRule="exact"/>
              <w:jc w:val="center"/>
            </w:pPr>
            <w:r>
              <w:t>96.8</w:t>
            </w:r>
          </w:p>
        </w:tc>
        <w:tc>
          <w:tcPr>
            <w:tcW w:w="1084" w:type="dxa"/>
            <w:tcBorders>
              <w:bottom w:val="nil"/>
            </w:tcBorders>
          </w:tcPr>
          <w:p w:rsidR="00000000" w:rsidRDefault="009C1C61">
            <w:pPr>
              <w:pStyle w:val="a2"/>
              <w:spacing w:line="220" w:lineRule="exact"/>
              <w:jc w:val="center"/>
            </w:pPr>
            <w:r>
              <w:t>96.8</w:t>
            </w:r>
          </w:p>
        </w:tc>
      </w:tr>
      <w:tr w:rsidR="00000000">
        <w:tblPrEx>
          <w:tblCellMar>
            <w:top w:w="0" w:type="dxa"/>
            <w:bottom w:w="0" w:type="dxa"/>
          </w:tblCellMar>
        </w:tblPrEx>
        <w:trPr>
          <w:jc w:val="center"/>
        </w:trPr>
        <w:tc>
          <w:tcPr>
            <w:tcW w:w="1838" w:type="dxa"/>
            <w:tcBorders>
              <w:top w:val="nil"/>
            </w:tcBorders>
          </w:tcPr>
          <w:p w:rsidR="00000000" w:rsidRDefault="009C1C61">
            <w:pPr>
              <w:pStyle w:val="a2"/>
              <w:spacing w:line="220" w:lineRule="exact"/>
            </w:pPr>
          </w:p>
        </w:tc>
        <w:tc>
          <w:tcPr>
            <w:tcW w:w="1080" w:type="dxa"/>
            <w:tcBorders>
              <w:top w:val="nil"/>
            </w:tcBorders>
          </w:tcPr>
          <w:p w:rsidR="00000000" w:rsidRDefault="009C1C61">
            <w:pPr>
              <w:pStyle w:val="a2"/>
              <w:spacing w:line="220" w:lineRule="exact"/>
            </w:pPr>
            <w:r>
              <w:t>2000</w:t>
            </w:r>
          </w:p>
        </w:tc>
        <w:tc>
          <w:tcPr>
            <w:tcW w:w="1080" w:type="dxa"/>
            <w:tcBorders>
              <w:top w:val="nil"/>
            </w:tcBorders>
          </w:tcPr>
          <w:p w:rsidR="00000000" w:rsidRDefault="009C1C61">
            <w:pPr>
              <w:pStyle w:val="a2"/>
              <w:spacing w:line="220" w:lineRule="exact"/>
              <w:jc w:val="center"/>
            </w:pPr>
            <w:r>
              <w:t>97.7</w:t>
            </w:r>
          </w:p>
        </w:tc>
        <w:tc>
          <w:tcPr>
            <w:tcW w:w="1081" w:type="dxa"/>
            <w:tcBorders>
              <w:top w:val="nil"/>
            </w:tcBorders>
          </w:tcPr>
          <w:p w:rsidR="00000000" w:rsidRDefault="009C1C61">
            <w:pPr>
              <w:pStyle w:val="a2"/>
              <w:spacing w:line="220" w:lineRule="exact"/>
              <w:jc w:val="center"/>
            </w:pPr>
            <w:r>
              <w:t>98.6</w:t>
            </w:r>
          </w:p>
        </w:tc>
        <w:tc>
          <w:tcPr>
            <w:tcW w:w="1080" w:type="dxa"/>
            <w:tcBorders>
              <w:top w:val="nil"/>
            </w:tcBorders>
          </w:tcPr>
          <w:p w:rsidR="00000000" w:rsidRDefault="009C1C61">
            <w:pPr>
              <w:pStyle w:val="a2"/>
              <w:spacing w:line="220" w:lineRule="exact"/>
              <w:jc w:val="center"/>
            </w:pPr>
            <w:r>
              <w:t>98.9</w:t>
            </w:r>
          </w:p>
        </w:tc>
        <w:tc>
          <w:tcPr>
            <w:tcW w:w="1081" w:type="dxa"/>
            <w:tcBorders>
              <w:top w:val="nil"/>
            </w:tcBorders>
          </w:tcPr>
          <w:p w:rsidR="00000000" w:rsidRDefault="009C1C61">
            <w:pPr>
              <w:pStyle w:val="a2"/>
              <w:spacing w:line="220" w:lineRule="exact"/>
              <w:jc w:val="center"/>
            </w:pPr>
            <w:r>
              <w:t>99.3</w:t>
            </w:r>
          </w:p>
        </w:tc>
        <w:tc>
          <w:tcPr>
            <w:tcW w:w="1080" w:type="dxa"/>
            <w:tcBorders>
              <w:top w:val="nil"/>
            </w:tcBorders>
          </w:tcPr>
          <w:p w:rsidR="00000000" w:rsidRDefault="009C1C61">
            <w:pPr>
              <w:pStyle w:val="a2"/>
              <w:spacing w:line="220" w:lineRule="exact"/>
              <w:jc w:val="center"/>
            </w:pPr>
            <w:r>
              <w:t>99.7</w:t>
            </w:r>
          </w:p>
        </w:tc>
        <w:tc>
          <w:tcPr>
            <w:tcW w:w="1084" w:type="dxa"/>
            <w:tcBorders>
              <w:top w:val="nil"/>
            </w:tcBorders>
          </w:tcPr>
          <w:p w:rsidR="00000000" w:rsidRDefault="009C1C61">
            <w:pPr>
              <w:pStyle w:val="a2"/>
              <w:spacing w:line="220" w:lineRule="exact"/>
              <w:jc w:val="center"/>
            </w:pPr>
            <w:r>
              <w:t>98.6</w:t>
            </w:r>
          </w:p>
        </w:tc>
      </w:tr>
      <w:tr w:rsidR="00000000">
        <w:tblPrEx>
          <w:tblCellMar>
            <w:top w:w="0" w:type="dxa"/>
            <w:bottom w:w="0" w:type="dxa"/>
          </w:tblCellMar>
        </w:tblPrEx>
        <w:trPr>
          <w:jc w:val="center"/>
        </w:trPr>
        <w:tc>
          <w:tcPr>
            <w:tcW w:w="1838" w:type="dxa"/>
            <w:tcBorders>
              <w:bottom w:val="nil"/>
            </w:tcBorders>
          </w:tcPr>
          <w:p w:rsidR="00000000" w:rsidRDefault="009C1C61">
            <w:pPr>
              <w:pStyle w:val="a2"/>
              <w:spacing w:line="220" w:lineRule="exact"/>
              <w:rPr>
                <w:rFonts w:hint="eastAsia"/>
              </w:rPr>
            </w:pPr>
            <w:r>
              <w:rPr>
                <w:rFonts w:hint="eastAsia"/>
              </w:rPr>
              <w:t>中</w:t>
            </w:r>
            <w:r>
              <w:t xml:space="preserve">  </w:t>
            </w:r>
            <w:r>
              <w:rPr>
                <w:rFonts w:hint="eastAsia"/>
              </w:rPr>
              <w:t>学</w:t>
            </w:r>
          </w:p>
        </w:tc>
        <w:tc>
          <w:tcPr>
            <w:tcW w:w="1080" w:type="dxa"/>
            <w:tcBorders>
              <w:bottom w:val="nil"/>
            </w:tcBorders>
          </w:tcPr>
          <w:p w:rsidR="00000000" w:rsidRDefault="009C1C61">
            <w:pPr>
              <w:pStyle w:val="a2"/>
              <w:spacing w:line="220" w:lineRule="exact"/>
            </w:pPr>
            <w:r>
              <w:t>1990</w:t>
            </w:r>
          </w:p>
        </w:tc>
        <w:tc>
          <w:tcPr>
            <w:tcW w:w="1080" w:type="dxa"/>
            <w:tcBorders>
              <w:bottom w:val="nil"/>
            </w:tcBorders>
          </w:tcPr>
          <w:p w:rsidR="00000000" w:rsidRDefault="009C1C61">
            <w:pPr>
              <w:pStyle w:val="a2"/>
              <w:spacing w:line="220" w:lineRule="exact"/>
              <w:jc w:val="center"/>
            </w:pPr>
            <w:r>
              <w:t>73.</w:t>
            </w:r>
            <w:r>
              <w:t>3</w:t>
            </w:r>
          </w:p>
        </w:tc>
        <w:tc>
          <w:tcPr>
            <w:tcW w:w="1081" w:type="dxa"/>
            <w:tcBorders>
              <w:bottom w:val="nil"/>
            </w:tcBorders>
          </w:tcPr>
          <w:p w:rsidR="00000000" w:rsidRDefault="009C1C61">
            <w:pPr>
              <w:pStyle w:val="a2"/>
              <w:spacing w:line="220" w:lineRule="exact"/>
              <w:jc w:val="center"/>
            </w:pPr>
            <w:r>
              <w:t>76.3</w:t>
            </w:r>
          </w:p>
        </w:tc>
        <w:tc>
          <w:tcPr>
            <w:tcW w:w="1080" w:type="dxa"/>
            <w:tcBorders>
              <w:bottom w:val="nil"/>
            </w:tcBorders>
          </w:tcPr>
          <w:p w:rsidR="00000000" w:rsidRDefault="009C1C61">
            <w:pPr>
              <w:pStyle w:val="a2"/>
              <w:spacing w:line="220" w:lineRule="exact"/>
              <w:jc w:val="center"/>
            </w:pPr>
            <w:r>
              <w:t>80.5</w:t>
            </w:r>
          </w:p>
        </w:tc>
        <w:tc>
          <w:tcPr>
            <w:tcW w:w="1081" w:type="dxa"/>
            <w:tcBorders>
              <w:bottom w:val="nil"/>
            </w:tcBorders>
          </w:tcPr>
          <w:p w:rsidR="00000000" w:rsidRDefault="009C1C61">
            <w:pPr>
              <w:pStyle w:val="a2"/>
              <w:spacing w:line="220" w:lineRule="exact"/>
              <w:jc w:val="center"/>
            </w:pPr>
            <w:r>
              <w:t>87.2</w:t>
            </w:r>
          </w:p>
        </w:tc>
        <w:tc>
          <w:tcPr>
            <w:tcW w:w="1080" w:type="dxa"/>
            <w:tcBorders>
              <w:bottom w:val="nil"/>
            </w:tcBorders>
          </w:tcPr>
          <w:p w:rsidR="00000000" w:rsidRDefault="009C1C61">
            <w:pPr>
              <w:pStyle w:val="a2"/>
              <w:spacing w:line="220" w:lineRule="exact"/>
              <w:jc w:val="center"/>
            </w:pPr>
            <w:r>
              <w:t>94.3</w:t>
            </w:r>
          </w:p>
        </w:tc>
        <w:tc>
          <w:tcPr>
            <w:tcW w:w="1084" w:type="dxa"/>
            <w:tcBorders>
              <w:bottom w:val="nil"/>
            </w:tcBorders>
          </w:tcPr>
          <w:p w:rsidR="00000000" w:rsidRDefault="009C1C61">
            <w:pPr>
              <w:pStyle w:val="a2"/>
              <w:spacing w:line="220" w:lineRule="exact"/>
              <w:jc w:val="center"/>
            </w:pPr>
            <w:r>
              <w:t>80.3</w:t>
            </w:r>
          </w:p>
        </w:tc>
      </w:tr>
      <w:tr w:rsidR="00000000">
        <w:tblPrEx>
          <w:tblCellMar>
            <w:top w:w="0" w:type="dxa"/>
            <w:bottom w:w="0" w:type="dxa"/>
          </w:tblCellMar>
        </w:tblPrEx>
        <w:trPr>
          <w:jc w:val="center"/>
        </w:trPr>
        <w:tc>
          <w:tcPr>
            <w:tcW w:w="1838" w:type="dxa"/>
            <w:tcBorders>
              <w:top w:val="nil"/>
            </w:tcBorders>
          </w:tcPr>
          <w:p w:rsidR="00000000" w:rsidRDefault="009C1C61">
            <w:pPr>
              <w:pStyle w:val="a2"/>
              <w:spacing w:line="220" w:lineRule="exact"/>
            </w:pPr>
          </w:p>
        </w:tc>
        <w:tc>
          <w:tcPr>
            <w:tcW w:w="1080" w:type="dxa"/>
            <w:tcBorders>
              <w:top w:val="nil"/>
            </w:tcBorders>
          </w:tcPr>
          <w:p w:rsidR="00000000" w:rsidRDefault="009C1C61">
            <w:pPr>
              <w:pStyle w:val="a2"/>
              <w:spacing w:line="220" w:lineRule="exact"/>
            </w:pPr>
            <w:r>
              <w:t>2000</w:t>
            </w:r>
          </w:p>
        </w:tc>
        <w:tc>
          <w:tcPr>
            <w:tcW w:w="1080" w:type="dxa"/>
            <w:tcBorders>
              <w:top w:val="nil"/>
            </w:tcBorders>
          </w:tcPr>
          <w:p w:rsidR="00000000" w:rsidRDefault="009C1C61">
            <w:pPr>
              <w:pStyle w:val="a2"/>
              <w:spacing w:line="220" w:lineRule="exact"/>
              <w:jc w:val="center"/>
            </w:pPr>
            <w:r>
              <w:t>82.3</w:t>
            </w:r>
          </w:p>
        </w:tc>
        <w:tc>
          <w:tcPr>
            <w:tcW w:w="1081" w:type="dxa"/>
            <w:tcBorders>
              <w:top w:val="nil"/>
            </w:tcBorders>
          </w:tcPr>
          <w:p w:rsidR="00000000" w:rsidRDefault="009C1C61">
            <w:pPr>
              <w:pStyle w:val="a2"/>
              <w:spacing w:line="220" w:lineRule="exact"/>
              <w:jc w:val="center"/>
            </w:pPr>
            <w:r>
              <w:t>88.0</w:t>
            </w:r>
          </w:p>
        </w:tc>
        <w:tc>
          <w:tcPr>
            <w:tcW w:w="1080" w:type="dxa"/>
            <w:tcBorders>
              <w:top w:val="nil"/>
            </w:tcBorders>
          </w:tcPr>
          <w:p w:rsidR="00000000" w:rsidRDefault="009C1C61">
            <w:pPr>
              <w:pStyle w:val="a2"/>
              <w:spacing w:line="220" w:lineRule="exact"/>
              <w:jc w:val="center"/>
            </w:pPr>
            <w:r>
              <w:t>92.4</w:t>
            </w:r>
          </w:p>
        </w:tc>
        <w:tc>
          <w:tcPr>
            <w:tcW w:w="1081" w:type="dxa"/>
            <w:tcBorders>
              <w:top w:val="nil"/>
            </w:tcBorders>
          </w:tcPr>
          <w:p w:rsidR="00000000" w:rsidRDefault="009C1C61">
            <w:pPr>
              <w:pStyle w:val="a2"/>
              <w:spacing w:line="220" w:lineRule="exact"/>
              <w:jc w:val="center"/>
            </w:pPr>
            <w:r>
              <w:t>96.1</w:t>
            </w:r>
          </w:p>
        </w:tc>
        <w:tc>
          <w:tcPr>
            <w:tcW w:w="1080" w:type="dxa"/>
            <w:tcBorders>
              <w:top w:val="nil"/>
            </w:tcBorders>
          </w:tcPr>
          <w:p w:rsidR="00000000" w:rsidRDefault="009C1C61">
            <w:pPr>
              <w:pStyle w:val="a2"/>
              <w:spacing w:line="220" w:lineRule="exact"/>
              <w:jc w:val="center"/>
            </w:pPr>
            <w:r>
              <w:t>98.5</w:t>
            </w:r>
          </w:p>
        </w:tc>
        <w:tc>
          <w:tcPr>
            <w:tcW w:w="1084" w:type="dxa"/>
            <w:tcBorders>
              <w:top w:val="nil"/>
            </w:tcBorders>
          </w:tcPr>
          <w:p w:rsidR="00000000" w:rsidRDefault="009C1C61">
            <w:pPr>
              <w:pStyle w:val="a2"/>
              <w:spacing w:line="220" w:lineRule="exact"/>
              <w:jc w:val="center"/>
            </w:pPr>
            <w:r>
              <w:t>90.0</w:t>
            </w:r>
          </w:p>
        </w:tc>
      </w:tr>
    </w:tbl>
    <w:p w:rsidR="00000000" w:rsidRDefault="009C1C61">
      <w:pPr>
        <w:pStyle w:val="a2"/>
        <w:spacing w:before="240" w:after="320"/>
        <w:rPr>
          <w:rFonts w:eastAsia="KaiTi_GB2312"/>
          <w:snapToGrid/>
          <w:sz w:val="20"/>
        </w:rPr>
      </w:pPr>
      <w:r>
        <w:rPr>
          <w:rFonts w:eastAsia="KaiTi_GB2312"/>
          <w:snapToGrid/>
          <w:sz w:val="20"/>
        </w:rPr>
        <w:tab/>
      </w:r>
      <w:r>
        <w:rPr>
          <w:rFonts w:eastAsia="KaiTi_GB2312" w:hint="eastAsia"/>
          <w:snapToGrid/>
          <w:sz w:val="20"/>
          <w:u w:val="single"/>
        </w:rPr>
        <w:t>资料来源</w:t>
      </w:r>
      <w:r>
        <w:rPr>
          <w:rFonts w:eastAsia="KaiTi_GB2312"/>
          <w:snapToGrid/>
          <w:sz w:val="20"/>
        </w:rPr>
        <w:t>：</w:t>
      </w:r>
      <w:r>
        <w:rPr>
          <w:rFonts w:eastAsia="KaiTi_GB2312" w:hint="eastAsia"/>
          <w:snapToGrid/>
          <w:sz w:val="20"/>
        </w:rPr>
        <w:t>规合部，</w:t>
      </w:r>
      <w:r>
        <w:rPr>
          <w:rFonts w:eastAsia="KaiTi_GB2312" w:hint="eastAsia"/>
          <w:snapToGrid/>
          <w:sz w:val="20"/>
        </w:rPr>
        <w:t>2002</w:t>
      </w:r>
      <w:r>
        <w:rPr>
          <w:rFonts w:eastAsia="KaiTi_GB2312" w:hint="eastAsia"/>
          <w:snapToGrid/>
          <w:sz w:val="20"/>
        </w:rPr>
        <w:t>年经济和社会指标。</w:t>
      </w:r>
    </w:p>
    <w:p w:rsidR="00000000" w:rsidRDefault="009C1C61">
      <w:pPr>
        <w:rPr>
          <w:rFonts w:hint="eastAsia"/>
          <w:szCs w:val="24"/>
        </w:rPr>
      </w:pPr>
      <w:r>
        <w:rPr>
          <w:rFonts w:hint="eastAsia"/>
        </w:rPr>
        <w:tab/>
      </w:r>
      <w:r>
        <w:t xml:space="preserve">742.  </w:t>
      </w:r>
      <w:r>
        <w:rPr>
          <w:rFonts w:hint="eastAsia"/>
          <w:szCs w:val="24"/>
        </w:rPr>
        <w:t>在</w:t>
      </w:r>
      <w:r>
        <w:rPr>
          <w:szCs w:val="24"/>
        </w:rPr>
        <w:t>1990</w:t>
      </w:r>
      <w:r>
        <w:rPr>
          <w:rFonts w:hint="eastAsia"/>
          <w:szCs w:val="24"/>
        </w:rPr>
        <w:t>至</w:t>
      </w:r>
      <w:r>
        <w:rPr>
          <w:szCs w:val="24"/>
        </w:rPr>
        <w:t>1998</w:t>
      </w:r>
      <w:r>
        <w:rPr>
          <w:rFonts w:hint="eastAsia"/>
          <w:szCs w:val="24"/>
        </w:rPr>
        <w:t>年期间，小学不及格和辍学率稳步下降。在</w:t>
      </w:r>
      <w:r>
        <w:rPr>
          <w:szCs w:val="24"/>
        </w:rPr>
        <w:t>1990</w:t>
      </w:r>
      <w:r>
        <w:rPr>
          <w:rFonts w:hint="eastAsia"/>
          <w:szCs w:val="24"/>
        </w:rPr>
        <w:t>年，有</w:t>
      </w:r>
      <w:r>
        <w:rPr>
          <w:szCs w:val="24"/>
        </w:rPr>
        <w:t xml:space="preserve">89.9% </w:t>
      </w:r>
      <w:r>
        <w:rPr>
          <w:rFonts w:hint="eastAsia"/>
          <w:szCs w:val="24"/>
        </w:rPr>
        <w:t>的儿童及格</w:t>
      </w:r>
      <w:r>
        <w:rPr>
          <w:szCs w:val="24"/>
        </w:rPr>
        <w:t>，</w:t>
      </w:r>
      <w:r>
        <w:rPr>
          <w:szCs w:val="24"/>
        </w:rPr>
        <w:t>7.8%</w:t>
      </w:r>
      <w:r>
        <w:rPr>
          <w:rFonts w:hint="eastAsia"/>
          <w:szCs w:val="24"/>
        </w:rPr>
        <w:t>的儿童不及格，有</w:t>
      </w:r>
      <w:r>
        <w:rPr>
          <w:szCs w:val="24"/>
        </w:rPr>
        <w:t>2.3%</w:t>
      </w:r>
      <w:r>
        <w:rPr>
          <w:rFonts w:hint="eastAsia"/>
          <w:szCs w:val="24"/>
        </w:rPr>
        <w:t>的儿童退学。在</w:t>
      </w:r>
      <w:r>
        <w:rPr>
          <w:szCs w:val="24"/>
        </w:rPr>
        <w:t>2000</w:t>
      </w:r>
      <w:r>
        <w:rPr>
          <w:rFonts w:hint="eastAsia"/>
          <w:szCs w:val="24"/>
        </w:rPr>
        <w:t>年，这三项百分比分别提高到</w:t>
      </w:r>
      <w:r>
        <w:rPr>
          <w:szCs w:val="24"/>
        </w:rPr>
        <w:t>95</w:t>
      </w:r>
      <w:r>
        <w:rPr>
          <w:rFonts w:hint="eastAsia"/>
          <w:szCs w:val="24"/>
        </w:rPr>
        <w:t>、</w:t>
      </w:r>
      <w:r>
        <w:rPr>
          <w:szCs w:val="24"/>
        </w:rPr>
        <w:t xml:space="preserve">3.5 </w:t>
      </w:r>
      <w:r>
        <w:rPr>
          <w:rFonts w:hint="eastAsia"/>
          <w:szCs w:val="24"/>
        </w:rPr>
        <w:t>和</w:t>
      </w:r>
      <w:r>
        <w:rPr>
          <w:szCs w:val="24"/>
        </w:rPr>
        <w:t xml:space="preserve"> 1.5</w:t>
      </w:r>
      <w:r>
        <w:rPr>
          <w:rFonts w:hint="eastAsia"/>
          <w:szCs w:val="24"/>
        </w:rPr>
        <w:t>。中学的不及格和辍学率也分别自</w:t>
      </w:r>
      <w:r>
        <w:rPr>
          <w:szCs w:val="24"/>
        </w:rPr>
        <w:t>12.4%</w:t>
      </w:r>
      <w:r>
        <w:rPr>
          <w:rFonts w:hint="eastAsia"/>
          <w:szCs w:val="24"/>
        </w:rPr>
        <w:t>下降到</w:t>
      </w:r>
      <w:r>
        <w:rPr>
          <w:szCs w:val="24"/>
        </w:rPr>
        <w:t>7.9%</w:t>
      </w:r>
      <w:r>
        <w:rPr>
          <w:rFonts w:hint="eastAsia"/>
          <w:szCs w:val="24"/>
        </w:rPr>
        <w:t>和</w:t>
      </w:r>
      <w:r>
        <w:rPr>
          <w:szCs w:val="24"/>
        </w:rPr>
        <w:t>7.4%</w:t>
      </w:r>
      <w:r>
        <w:rPr>
          <w:rFonts w:hint="eastAsia"/>
          <w:szCs w:val="24"/>
        </w:rPr>
        <w:t>下降到</w:t>
      </w:r>
      <w:r>
        <w:rPr>
          <w:szCs w:val="24"/>
        </w:rPr>
        <w:t>4.9%</w:t>
      </w:r>
      <w:r>
        <w:rPr>
          <w:rFonts w:hint="eastAsia"/>
          <w:szCs w:val="24"/>
        </w:rPr>
        <w:t>。在这一阶段里，及格率从</w:t>
      </w:r>
      <w:r>
        <w:rPr>
          <w:szCs w:val="24"/>
        </w:rPr>
        <w:t>80.3%</w:t>
      </w:r>
      <w:r>
        <w:rPr>
          <w:rFonts w:hint="eastAsia"/>
          <w:szCs w:val="24"/>
        </w:rPr>
        <w:t>增长到</w:t>
      </w:r>
      <w:r>
        <w:rPr>
          <w:szCs w:val="24"/>
        </w:rPr>
        <w:t>8</w:t>
      </w:r>
      <w:r>
        <w:rPr>
          <w:szCs w:val="24"/>
        </w:rPr>
        <w:t>7.2%</w:t>
      </w:r>
      <w:r>
        <w:rPr>
          <w:rFonts w:hint="eastAsia"/>
          <w:szCs w:val="24"/>
        </w:rPr>
        <w:t>。</w:t>
      </w:r>
      <w:r>
        <w:rPr>
          <w:rStyle w:val="FootnoteReference"/>
          <w:szCs w:val="24"/>
        </w:rPr>
        <w:footnoteReference w:id="309"/>
      </w:r>
    </w:p>
    <w:p w:rsidR="00000000" w:rsidRDefault="009C1C61">
      <w:pPr>
        <w:pStyle w:val="TableNotitle"/>
        <w:spacing w:before="0" w:after="160"/>
        <w:rPr>
          <w:rFonts w:ascii="Time New Roman" w:eastAsia="SimHei" w:hAnsi="Time New Roman" w:hint="eastAsia"/>
          <w:b w:val="0"/>
          <w:bCs/>
          <w:szCs w:val="24"/>
          <w:lang w:eastAsia="zh-CN"/>
        </w:rPr>
      </w:pPr>
      <w:r>
        <w:rPr>
          <w:rFonts w:ascii="Time New Roman" w:eastAsia="SimHei" w:hAnsi="Time New Roman"/>
          <w:b w:val="0"/>
          <w:bCs/>
          <w:szCs w:val="24"/>
          <w:lang w:eastAsia="zh-CN"/>
        </w:rPr>
        <w:t>表</w:t>
      </w:r>
      <w:r>
        <w:rPr>
          <w:rFonts w:ascii="Time New Roman" w:eastAsia="SimHei" w:hAnsi="Time New Roman"/>
          <w:b w:val="0"/>
          <w:bCs/>
          <w:szCs w:val="24"/>
          <w:lang w:eastAsia="zh-CN"/>
        </w:rPr>
        <w:t xml:space="preserve">  </w:t>
      </w:r>
      <w:r>
        <w:rPr>
          <w:rFonts w:ascii="Time New Roman" w:eastAsia="SimHei" w:hAnsi="Time New Roman"/>
          <w:bCs/>
          <w:szCs w:val="24"/>
          <w:lang w:eastAsia="zh-CN"/>
        </w:rPr>
        <w:t>41</w:t>
      </w:r>
      <w:r>
        <w:rPr>
          <w:rFonts w:ascii="Time New Roman" w:eastAsia="SimHei" w:hAnsi="Time New Roman"/>
          <w:b w:val="0"/>
          <w:bCs/>
          <w:szCs w:val="24"/>
          <w:lang w:eastAsia="zh-CN"/>
        </w:rPr>
        <w:br/>
      </w:r>
      <w:r>
        <w:rPr>
          <w:rFonts w:ascii="Time New Roman" w:eastAsia="SimHei" w:hAnsi="Time New Roman" w:hint="eastAsia"/>
          <w:b w:val="0"/>
          <w:bCs/>
          <w:szCs w:val="24"/>
          <w:lang w:eastAsia="zh-CN"/>
        </w:rPr>
        <w:t>按教育层次分列的智利</w:t>
      </w:r>
      <w:r>
        <w:rPr>
          <w:rFonts w:ascii="Time New Roman" w:eastAsia="SimHei" w:hAnsi="Time New Roman"/>
          <w:bCs/>
          <w:szCs w:val="24"/>
          <w:lang w:eastAsia="zh-CN"/>
        </w:rPr>
        <w:t>1990</w:t>
      </w:r>
      <w:r>
        <w:rPr>
          <w:rFonts w:ascii="Time New Roman" w:eastAsia="SimHei" w:hAnsi="Time New Roman" w:hint="eastAsia"/>
          <w:b w:val="0"/>
          <w:bCs/>
          <w:szCs w:val="24"/>
          <w:lang w:eastAsia="zh-CN"/>
        </w:rPr>
        <w:t>至</w:t>
      </w:r>
      <w:r>
        <w:rPr>
          <w:rFonts w:ascii="Time New Roman" w:eastAsia="SimHei" w:hAnsi="Time New Roman"/>
          <w:bCs/>
          <w:szCs w:val="24"/>
          <w:lang w:eastAsia="zh-CN"/>
        </w:rPr>
        <w:t>1998</w:t>
      </w:r>
      <w:r>
        <w:rPr>
          <w:rFonts w:ascii="Time New Roman" w:eastAsia="SimHei" w:hAnsi="Time New Roman" w:hint="eastAsia"/>
          <w:b w:val="0"/>
          <w:bCs/>
          <w:szCs w:val="24"/>
          <w:lang w:eastAsia="zh-CN"/>
        </w:rPr>
        <w:t>年的辍学率</w:t>
      </w:r>
      <w:r>
        <w:rPr>
          <w:rFonts w:ascii="Time New Roman" w:eastAsia="SimHei" w:hAnsi="Time New Roman" w:hint="eastAsia"/>
          <w:b w:val="0"/>
          <w:bCs/>
          <w:szCs w:val="24"/>
          <w:lang w:eastAsia="zh-CN"/>
        </w:rPr>
        <w:t xml:space="preserve"> </w:t>
      </w:r>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8"/>
        <w:gridCol w:w="2015"/>
        <w:gridCol w:w="2015"/>
        <w:gridCol w:w="2015"/>
        <w:gridCol w:w="2015"/>
      </w:tblGrid>
      <w:tr w:rsidR="00000000">
        <w:tblPrEx>
          <w:tblCellMar>
            <w:top w:w="0" w:type="dxa"/>
            <w:bottom w:w="0" w:type="dxa"/>
          </w:tblCellMar>
        </w:tblPrEx>
        <w:trPr>
          <w:cantSplit/>
          <w:jc w:val="center"/>
        </w:trPr>
        <w:tc>
          <w:tcPr>
            <w:tcW w:w="1198" w:type="dxa"/>
            <w:vMerge w:val="restart"/>
            <w:vAlign w:val="center"/>
          </w:tcPr>
          <w:p w:rsidR="00000000" w:rsidRDefault="009C1C61">
            <w:pPr>
              <w:jc w:val="center"/>
              <w:rPr>
                <w:rFonts w:hint="eastAsia"/>
              </w:rPr>
            </w:pPr>
            <w:r>
              <w:rPr>
                <w:rFonts w:hint="eastAsia"/>
              </w:rPr>
              <w:t>比</w:t>
            </w:r>
            <w:r>
              <w:t xml:space="preserve"> </w:t>
            </w:r>
            <w:r>
              <w:rPr>
                <w:rFonts w:hint="eastAsia"/>
              </w:rPr>
              <w:t>率</w:t>
            </w:r>
          </w:p>
        </w:tc>
        <w:tc>
          <w:tcPr>
            <w:tcW w:w="4030" w:type="dxa"/>
            <w:gridSpan w:val="2"/>
          </w:tcPr>
          <w:p w:rsidR="00000000" w:rsidRDefault="009C1C61">
            <w:pPr>
              <w:pStyle w:val="a2"/>
              <w:spacing w:line="240" w:lineRule="atLeast"/>
              <w:jc w:val="center"/>
            </w:pPr>
            <w:r>
              <w:t>小</w:t>
            </w:r>
            <w:r>
              <w:t xml:space="preserve">   </w:t>
            </w:r>
            <w:r>
              <w:t>学</w:t>
            </w:r>
          </w:p>
        </w:tc>
        <w:tc>
          <w:tcPr>
            <w:tcW w:w="4030" w:type="dxa"/>
            <w:gridSpan w:val="2"/>
          </w:tcPr>
          <w:p w:rsidR="00000000" w:rsidRDefault="009C1C61">
            <w:pPr>
              <w:pStyle w:val="a2"/>
              <w:spacing w:line="240" w:lineRule="atLeast"/>
              <w:jc w:val="center"/>
            </w:pPr>
            <w:r>
              <w:t>中</w:t>
            </w:r>
            <w:r>
              <w:t xml:space="preserve">   </w:t>
            </w:r>
            <w:r>
              <w:t>学</w:t>
            </w:r>
          </w:p>
        </w:tc>
      </w:tr>
      <w:tr w:rsidR="00000000">
        <w:tblPrEx>
          <w:tblCellMar>
            <w:top w:w="0" w:type="dxa"/>
            <w:bottom w:w="0" w:type="dxa"/>
          </w:tblCellMar>
        </w:tblPrEx>
        <w:trPr>
          <w:cantSplit/>
          <w:jc w:val="center"/>
        </w:trPr>
        <w:tc>
          <w:tcPr>
            <w:tcW w:w="1198" w:type="dxa"/>
            <w:vMerge/>
          </w:tcPr>
          <w:p w:rsidR="00000000" w:rsidRDefault="009C1C61">
            <w:pPr>
              <w:jc w:val="center"/>
              <w:rPr>
                <w:rFonts w:hint="eastAsia"/>
              </w:rPr>
            </w:pPr>
          </w:p>
        </w:tc>
        <w:tc>
          <w:tcPr>
            <w:tcW w:w="2015" w:type="dxa"/>
          </w:tcPr>
          <w:p w:rsidR="00000000" w:rsidRDefault="009C1C61">
            <w:pPr>
              <w:pStyle w:val="a2"/>
              <w:tabs>
                <w:tab w:val="decimal" w:pos="681"/>
              </w:tabs>
              <w:spacing w:line="240" w:lineRule="atLeast"/>
              <w:jc w:val="center"/>
            </w:pPr>
            <w:r>
              <w:t>1990</w:t>
            </w:r>
          </w:p>
        </w:tc>
        <w:tc>
          <w:tcPr>
            <w:tcW w:w="2015" w:type="dxa"/>
          </w:tcPr>
          <w:p w:rsidR="00000000" w:rsidRDefault="009C1C61">
            <w:pPr>
              <w:pStyle w:val="a2"/>
              <w:tabs>
                <w:tab w:val="decimal" w:pos="681"/>
              </w:tabs>
              <w:spacing w:line="240" w:lineRule="atLeast"/>
              <w:jc w:val="center"/>
            </w:pPr>
            <w:r>
              <w:t>1998</w:t>
            </w:r>
          </w:p>
        </w:tc>
        <w:tc>
          <w:tcPr>
            <w:tcW w:w="2015" w:type="dxa"/>
          </w:tcPr>
          <w:p w:rsidR="00000000" w:rsidRDefault="009C1C61">
            <w:pPr>
              <w:pStyle w:val="a2"/>
              <w:tabs>
                <w:tab w:val="decimal" w:pos="681"/>
              </w:tabs>
              <w:spacing w:line="240" w:lineRule="atLeast"/>
              <w:jc w:val="center"/>
            </w:pPr>
            <w:r>
              <w:t>1990</w:t>
            </w:r>
          </w:p>
        </w:tc>
        <w:tc>
          <w:tcPr>
            <w:tcW w:w="2015" w:type="dxa"/>
          </w:tcPr>
          <w:p w:rsidR="00000000" w:rsidRDefault="009C1C61">
            <w:pPr>
              <w:pStyle w:val="a2"/>
              <w:tabs>
                <w:tab w:val="decimal" w:pos="681"/>
              </w:tabs>
              <w:spacing w:line="240" w:lineRule="atLeast"/>
              <w:jc w:val="center"/>
            </w:pPr>
            <w:r>
              <w:t>1998</w:t>
            </w:r>
          </w:p>
        </w:tc>
      </w:tr>
      <w:tr w:rsidR="00000000">
        <w:tblPrEx>
          <w:tblCellMar>
            <w:top w:w="0" w:type="dxa"/>
            <w:bottom w:w="0" w:type="dxa"/>
          </w:tblCellMar>
        </w:tblPrEx>
        <w:trPr>
          <w:jc w:val="center"/>
        </w:trPr>
        <w:tc>
          <w:tcPr>
            <w:tcW w:w="1198" w:type="dxa"/>
          </w:tcPr>
          <w:p w:rsidR="00000000" w:rsidRDefault="009C1C61">
            <w:pPr>
              <w:pStyle w:val="a2"/>
              <w:spacing w:line="240" w:lineRule="atLeast"/>
              <w:jc w:val="center"/>
              <w:rPr>
                <w:rFonts w:hint="eastAsia"/>
              </w:rPr>
            </w:pPr>
            <w:r>
              <w:rPr>
                <w:rFonts w:hint="eastAsia"/>
              </w:rPr>
              <w:t>辍学率</w:t>
            </w:r>
          </w:p>
        </w:tc>
        <w:tc>
          <w:tcPr>
            <w:tcW w:w="2015" w:type="dxa"/>
          </w:tcPr>
          <w:p w:rsidR="00000000" w:rsidRDefault="009C1C61">
            <w:pPr>
              <w:pStyle w:val="a2"/>
              <w:tabs>
                <w:tab w:val="decimal" w:pos="1196"/>
              </w:tabs>
              <w:spacing w:line="240" w:lineRule="atLeast"/>
            </w:pPr>
            <w:r>
              <w:t>2.29</w:t>
            </w:r>
          </w:p>
        </w:tc>
        <w:tc>
          <w:tcPr>
            <w:tcW w:w="2015" w:type="dxa"/>
          </w:tcPr>
          <w:p w:rsidR="00000000" w:rsidRDefault="009C1C61">
            <w:pPr>
              <w:pStyle w:val="a2"/>
              <w:tabs>
                <w:tab w:val="decimal" w:pos="1196"/>
              </w:tabs>
              <w:spacing w:line="240" w:lineRule="atLeast"/>
            </w:pPr>
            <w:r>
              <w:t>1.49</w:t>
            </w:r>
          </w:p>
        </w:tc>
        <w:tc>
          <w:tcPr>
            <w:tcW w:w="2015" w:type="dxa"/>
          </w:tcPr>
          <w:p w:rsidR="00000000" w:rsidRDefault="009C1C61">
            <w:pPr>
              <w:pStyle w:val="a2"/>
              <w:tabs>
                <w:tab w:val="decimal" w:pos="1196"/>
              </w:tabs>
              <w:spacing w:line="240" w:lineRule="atLeast"/>
            </w:pPr>
            <w:r>
              <w:t>7.37</w:t>
            </w:r>
          </w:p>
        </w:tc>
        <w:tc>
          <w:tcPr>
            <w:tcW w:w="2015" w:type="dxa"/>
          </w:tcPr>
          <w:p w:rsidR="00000000" w:rsidRDefault="009C1C61">
            <w:pPr>
              <w:pStyle w:val="a2"/>
              <w:tabs>
                <w:tab w:val="decimal" w:pos="1196"/>
              </w:tabs>
              <w:spacing w:line="240" w:lineRule="atLeast"/>
              <w:rPr>
                <w:rFonts w:hint="eastAsia"/>
              </w:rPr>
            </w:pPr>
            <w:r>
              <w:t>4.95</w:t>
            </w:r>
          </w:p>
        </w:tc>
      </w:tr>
      <w:tr w:rsidR="00000000">
        <w:tblPrEx>
          <w:tblCellMar>
            <w:top w:w="0" w:type="dxa"/>
            <w:bottom w:w="0" w:type="dxa"/>
          </w:tblCellMar>
        </w:tblPrEx>
        <w:trPr>
          <w:jc w:val="center"/>
        </w:trPr>
        <w:tc>
          <w:tcPr>
            <w:tcW w:w="1198" w:type="dxa"/>
          </w:tcPr>
          <w:p w:rsidR="00000000" w:rsidRDefault="009C1C61">
            <w:pPr>
              <w:pStyle w:val="a2"/>
              <w:spacing w:line="240" w:lineRule="atLeast"/>
              <w:jc w:val="center"/>
              <w:rPr>
                <w:rFonts w:hint="eastAsia"/>
              </w:rPr>
            </w:pPr>
            <w:r>
              <w:rPr>
                <w:rFonts w:hint="eastAsia"/>
              </w:rPr>
              <w:t>及格率</w:t>
            </w:r>
          </w:p>
        </w:tc>
        <w:tc>
          <w:tcPr>
            <w:tcW w:w="2015" w:type="dxa"/>
          </w:tcPr>
          <w:p w:rsidR="00000000" w:rsidRDefault="009C1C61">
            <w:pPr>
              <w:pStyle w:val="a2"/>
              <w:tabs>
                <w:tab w:val="decimal" w:pos="1196"/>
              </w:tabs>
              <w:spacing w:line="240" w:lineRule="atLeast"/>
            </w:pPr>
            <w:r>
              <w:t>63.21</w:t>
            </w:r>
          </w:p>
        </w:tc>
        <w:tc>
          <w:tcPr>
            <w:tcW w:w="2015" w:type="dxa"/>
          </w:tcPr>
          <w:p w:rsidR="00000000" w:rsidRDefault="009C1C61">
            <w:pPr>
              <w:pStyle w:val="a2"/>
              <w:tabs>
                <w:tab w:val="decimal" w:pos="1196"/>
              </w:tabs>
              <w:spacing w:line="240" w:lineRule="atLeast"/>
            </w:pPr>
            <w:r>
              <w:t>77.76</w:t>
            </w:r>
          </w:p>
        </w:tc>
        <w:tc>
          <w:tcPr>
            <w:tcW w:w="2015" w:type="dxa"/>
          </w:tcPr>
          <w:p w:rsidR="00000000" w:rsidRDefault="009C1C61">
            <w:pPr>
              <w:pStyle w:val="a2"/>
              <w:tabs>
                <w:tab w:val="decimal" w:pos="1196"/>
              </w:tabs>
              <w:spacing w:line="240" w:lineRule="atLeast"/>
            </w:pPr>
            <w:r>
              <w:t>67.98</w:t>
            </w:r>
          </w:p>
        </w:tc>
        <w:tc>
          <w:tcPr>
            <w:tcW w:w="2015" w:type="dxa"/>
          </w:tcPr>
          <w:p w:rsidR="00000000" w:rsidRDefault="009C1C61">
            <w:pPr>
              <w:pStyle w:val="a2"/>
              <w:tabs>
                <w:tab w:val="decimal" w:pos="1196"/>
              </w:tabs>
              <w:spacing w:line="240" w:lineRule="atLeast"/>
            </w:pPr>
            <w:r>
              <w:t>68.43</w:t>
            </w:r>
          </w:p>
        </w:tc>
      </w:tr>
    </w:tbl>
    <w:p w:rsidR="00000000" w:rsidRDefault="009C1C61">
      <w:pPr>
        <w:tabs>
          <w:tab w:val="left" w:pos="284"/>
        </w:tabs>
        <w:spacing w:before="240"/>
        <w:rPr>
          <w:rFonts w:eastAsia="KaiTi_GB2312" w:hint="eastAsia"/>
          <w:spacing w:val="0"/>
          <w:sz w:val="20"/>
        </w:rPr>
      </w:pPr>
      <w:r>
        <w:rPr>
          <w:rFonts w:eastAsia="KaiTi_GB2312"/>
          <w:spacing w:val="0"/>
          <w:sz w:val="20"/>
        </w:rPr>
        <w:tab/>
      </w:r>
      <w:r>
        <w:rPr>
          <w:rFonts w:eastAsia="KaiTi_GB2312" w:hint="eastAsia"/>
          <w:spacing w:val="0"/>
          <w:sz w:val="20"/>
          <w:u w:val="single"/>
        </w:rPr>
        <w:t>资料来源</w:t>
      </w:r>
      <w:r>
        <w:rPr>
          <w:rFonts w:eastAsia="KaiTi_GB2312"/>
          <w:spacing w:val="0"/>
          <w:sz w:val="20"/>
        </w:rPr>
        <w:t>：</w:t>
      </w:r>
      <w:r>
        <w:rPr>
          <w:rFonts w:eastAsia="KaiTi_GB2312" w:hint="eastAsia"/>
          <w:spacing w:val="0"/>
          <w:sz w:val="20"/>
        </w:rPr>
        <w:t>教育部规划和预算司。</w:t>
      </w:r>
    </w:p>
    <w:p w:rsidR="00000000" w:rsidRDefault="009C1C61">
      <w:pPr>
        <w:pStyle w:val="a3"/>
        <w:spacing w:before="180" w:after="60"/>
        <w:jc w:val="both"/>
        <w:rPr>
          <w:rFonts w:hint="eastAsia"/>
        </w:rPr>
      </w:pPr>
      <w:r>
        <w:rPr>
          <w:rFonts w:hint="eastAsia"/>
        </w:rPr>
        <w:t>教育预算</w:t>
      </w:r>
    </w:p>
    <w:p w:rsidR="00000000" w:rsidRDefault="009C1C61">
      <w:pPr>
        <w:rPr>
          <w:rFonts w:ascii="Time New Roman" w:hAnsi="Time New Roman" w:hint="eastAsia"/>
          <w:spacing w:val="8"/>
        </w:rPr>
      </w:pPr>
      <w:r>
        <w:rPr>
          <w:rFonts w:hint="eastAsia"/>
          <w:spacing w:val="8"/>
        </w:rPr>
        <w:tab/>
        <w:t>743.</w:t>
      </w:r>
      <w:r>
        <w:rPr>
          <w:spacing w:val="8"/>
        </w:rPr>
        <w:t xml:space="preserve">  </w:t>
      </w:r>
      <w:r>
        <w:rPr>
          <w:rFonts w:hint="eastAsia"/>
          <w:spacing w:val="8"/>
        </w:rPr>
        <w:t>为了实施广泛的改革和各项方案，改善教育质量和平等状况，</w:t>
      </w:r>
      <w:r>
        <w:rPr>
          <w:rFonts w:hint="eastAsia"/>
          <w:spacing w:val="8"/>
        </w:rPr>
        <w:t>1990</w:t>
      </w:r>
      <w:r>
        <w:rPr>
          <w:rFonts w:hint="eastAsia"/>
          <w:spacing w:val="8"/>
        </w:rPr>
        <w:t>年以后极大地增加了教育方面的公共和财政开支。</w:t>
      </w:r>
      <w:r>
        <w:rPr>
          <w:rFonts w:hint="eastAsia"/>
          <w:spacing w:val="8"/>
        </w:rPr>
        <w:t>1989</w:t>
      </w:r>
      <w:r>
        <w:rPr>
          <w:rFonts w:hint="eastAsia"/>
          <w:spacing w:val="8"/>
        </w:rPr>
        <w:t>年至</w:t>
      </w:r>
      <w:r>
        <w:rPr>
          <w:rFonts w:hint="eastAsia"/>
          <w:spacing w:val="8"/>
        </w:rPr>
        <w:t>2000</w:t>
      </w:r>
      <w:r>
        <w:rPr>
          <w:rFonts w:hint="eastAsia"/>
          <w:spacing w:val="8"/>
        </w:rPr>
        <w:t>年之间，教育方面的财政开支提高</w:t>
      </w:r>
      <w:r>
        <w:rPr>
          <w:spacing w:val="8"/>
        </w:rPr>
        <w:t>176%</w:t>
      </w:r>
      <w:r>
        <w:rPr>
          <w:rFonts w:hint="eastAsia"/>
          <w:spacing w:val="8"/>
        </w:rPr>
        <w:t>，使这一期间的公共开支增长</w:t>
      </w:r>
      <w:r>
        <w:rPr>
          <w:rFonts w:hint="eastAsia"/>
          <w:spacing w:val="8"/>
        </w:rPr>
        <w:t>了</w:t>
      </w:r>
      <w:r>
        <w:rPr>
          <w:spacing w:val="8"/>
        </w:rPr>
        <w:t>165%</w:t>
      </w:r>
      <w:r>
        <w:rPr>
          <w:rFonts w:hint="eastAsia"/>
          <w:spacing w:val="8"/>
        </w:rPr>
        <w:t>，这反映出把教育作为优先事项。</w:t>
      </w:r>
      <w:r>
        <w:rPr>
          <w:spacing w:val="8"/>
        </w:rPr>
        <w:t>2000</w:t>
      </w:r>
      <w:r>
        <w:rPr>
          <w:rFonts w:hint="eastAsia"/>
          <w:spacing w:val="8"/>
        </w:rPr>
        <w:t>年，公共教育开支达到</w:t>
      </w:r>
      <w:r>
        <w:rPr>
          <w:rFonts w:hint="eastAsia"/>
          <w:spacing w:val="8"/>
        </w:rPr>
        <w:t>29.23</w:t>
      </w:r>
      <w:r>
        <w:rPr>
          <w:rFonts w:hint="eastAsia"/>
          <w:spacing w:val="8"/>
        </w:rPr>
        <w:t>亿美元，占国内生产总值的</w:t>
      </w:r>
      <w:r>
        <w:rPr>
          <w:spacing w:val="8"/>
        </w:rPr>
        <w:t>4.2%</w:t>
      </w:r>
      <w:r>
        <w:rPr>
          <w:rFonts w:hint="eastAsia"/>
          <w:spacing w:val="8"/>
        </w:rPr>
        <w:t>(</w:t>
      </w:r>
      <w:r>
        <w:rPr>
          <w:rFonts w:hint="eastAsia"/>
          <w:spacing w:val="8"/>
        </w:rPr>
        <w:t>见表</w:t>
      </w:r>
      <w:r>
        <w:rPr>
          <w:rFonts w:hint="eastAsia"/>
          <w:spacing w:val="8"/>
        </w:rPr>
        <w:t>42)</w:t>
      </w:r>
      <w:r>
        <w:rPr>
          <w:rFonts w:hint="eastAsia"/>
          <w:spacing w:val="8"/>
        </w:rPr>
        <w:t>。</w:t>
      </w:r>
    </w:p>
    <w:p w:rsidR="00000000" w:rsidRDefault="009C1C61">
      <w:pPr>
        <w:spacing w:before="120" w:after="60"/>
        <w:jc w:val="center"/>
        <w:rPr>
          <w:rFonts w:ascii="Time New Roman" w:eastAsia="SimHei" w:hAnsi="Time New Roman"/>
        </w:rPr>
      </w:pPr>
      <w:r>
        <w:rPr>
          <w:rFonts w:ascii="Time New Roman" w:eastAsia="SimHei" w:hAnsi="Time New Roman"/>
        </w:rPr>
        <w:t>表</w:t>
      </w:r>
      <w:r>
        <w:rPr>
          <w:rFonts w:ascii="Time New Roman" w:eastAsia="SimHei" w:hAnsi="Time New Roman"/>
        </w:rPr>
        <w:t xml:space="preserve"> </w:t>
      </w:r>
      <w:r>
        <w:rPr>
          <w:rFonts w:ascii="Time New Roman" w:eastAsia="SimHei" w:hAnsi="Time New Roman"/>
          <w:b/>
        </w:rPr>
        <w:t>42</w:t>
      </w:r>
      <w:r>
        <w:rPr>
          <w:rFonts w:ascii="Time New Roman" w:eastAsia="SimHei" w:hAnsi="Time New Roman"/>
        </w:rPr>
        <w:br/>
      </w:r>
      <w:r>
        <w:rPr>
          <w:rFonts w:ascii="Time New Roman" w:eastAsia="SimHei" w:hAnsi="Time New Roman"/>
          <w:b/>
        </w:rPr>
        <w:t>1989</w:t>
      </w:r>
      <w:r>
        <w:rPr>
          <w:rFonts w:ascii="Time New Roman" w:eastAsia="SimHei" w:hAnsi="Time New Roman" w:hint="eastAsia"/>
        </w:rPr>
        <w:t>至</w:t>
      </w:r>
      <w:r>
        <w:rPr>
          <w:rFonts w:ascii="Time New Roman" w:eastAsia="SimHei" w:hAnsi="Time New Roman"/>
          <w:b/>
        </w:rPr>
        <w:t>2000</w:t>
      </w:r>
      <w:r>
        <w:rPr>
          <w:rFonts w:ascii="Time New Roman" w:eastAsia="SimHei" w:hAnsi="Time New Roman" w:hint="eastAsia"/>
        </w:rPr>
        <w:t>年公共和财政的教育支出</w:t>
      </w:r>
      <w:r>
        <w:rPr>
          <w:rFonts w:ascii="Time New Roman" w:eastAsia="SimHei" w:hAnsi="Time New Roman"/>
        </w:rPr>
        <w:br/>
        <w:t>(</w:t>
      </w:r>
      <w:r>
        <w:rPr>
          <w:rFonts w:ascii="Time New Roman" w:eastAsia="SimHei" w:hAnsi="Time New Roman" w:hint="eastAsia"/>
        </w:rPr>
        <w:t>按</w:t>
      </w:r>
      <w:r>
        <w:rPr>
          <w:rFonts w:ascii="Time New Roman" w:eastAsia="SimHei" w:hAnsi="Time New Roman"/>
          <w:b/>
        </w:rPr>
        <w:t>2000</w:t>
      </w:r>
      <w:r>
        <w:rPr>
          <w:rFonts w:ascii="Time New Roman" w:eastAsia="SimHei" w:hAnsi="Time New Roman" w:hint="eastAsia"/>
        </w:rPr>
        <w:t>年币值计算的百万比索</w:t>
      </w:r>
      <w:r>
        <w:rPr>
          <w:rFonts w:ascii="Time New Roman" w:eastAsia="SimHei" w:hAnsi="Time New Roman" w:hint="eastAsia"/>
        </w:rPr>
        <w:t>(</w:t>
      </w:r>
      <w:r>
        <w:rPr>
          <w:rFonts w:ascii="Time New Roman" w:eastAsia="SimHei" w:hAnsi="Time New Roman" w:hint="eastAsia"/>
        </w:rPr>
        <w:t>按</w:t>
      </w:r>
      <w:r>
        <w:rPr>
          <w:rFonts w:ascii="Time New Roman" w:eastAsia="SimHei" w:hAnsi="Time New Roman"/>
          <w:b/>
        </w:rPr>
        <w:t>2000</w:t>
      </w:r>
      <w:r>
        <w:rPr>
          <w:rFonts w:ascii="Time New Roman" w:eastAsia="SimHei" w:hAnsi="Time New Roman" w:hint="eastAsia"/>
        </w:rPr>
        <w:t>年币值计算的百万美元</w:t>
      </w:r>
      <w:r>
        <w:rPr>
          <w:rFonts w:ascii="Time New Roman" w:eastAsia="SimHei" w:hAnsi="Time New Roman"/>
        </w:rPr>
        <w:t>))</w:t>
      </w:r>
    </w:p>
    <w:tbl>
      <w:tblPr>
        <w:tblW w:w="0" w:type="auto"/>
        <w:jc w:val="center"/>
        <w:tblInd w:w="-23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249"/>
        <w:gridCol w:w="2067"/>
        <w:gridCol w:w="1854"/>
        <w:gridCol w:w="2163"/>
        <w:gridCol w:w="1832"/>
      </w:tblGrid>
      <w:tr w:rsidR="00000000">
        <w:tblPrEx>
          <w:tblCellMar>
            <w:top w:w="0" w:type="dxa"/>
            <w:bottom w:w="0" w:type="dxa"/>
          </w:tblCellMar>
        </w:tblPrEx>
        <w:trPr>
          <w:jc w:val="center"/>
        </w:trPr>
        <w:tc>
          <w:tcPr>
            <w:tcW w:w="1249" w:type="dxa"/>
            <w:vAlign w:val="center"/>
          </w:tcPr>
          <w:p w:rsidR="00000000" w:rsidRDefault="009C1C61">
            <w:pPr>
              <w:pStyle w:val="a2"/>
              <w:spacing w:before="40" w:after="60" w:line="220" w:lineRule="exact"/>
              <w:jc w:val="center"/>
              <w:rPr>
                <w:rFonts w:hint="eastAsia"/>
                <w:sz w:val="20"/>
              </w:rPr>
            </w:pPr>
            <w:r>
              <w:rPr>
                <w:rFonts w:hint="eastAsia"/>
                <w:sz w:val="20"/>
              </w:rPr>
              <w:t>年</w:t>
            </w:r>
            <w:r>
              <w:rPr>
                <w:sz w:val="20"/>
              </w:rPr>
              <w:t xml:space="preserve"> </w:t>
            </w:r>
            <w:r>
              <w:rPr>
                <w:rFonts w:hint="eastAsia"/>
                <w:sz w:val="20"/>
              </w:rPr>
              <w:t>份</w:t>
            </w:r>
          </w:p>
        </w:tc>
        <w:tc>
          <w:tcPr>
            <w:tcW w:w="2067" w:type="dxa"/>
            <w:vAlign w:val="center"/>
          </w:tcPr>
          <w:p w:rsidR="00000000" w:rsidRDefault="009C1C61">
            <w:pPr>
              <w:pStyle w:val="a2"/>
              <w:spacing w:before="40" w:after="60" w:line="220" w:lineRule="exact"/>
              <w:jc w:val="center"/>
              <w:rPr>
                <w:rFonts w:hint="eastAsia"/>
                <w:sz w:val="20"/>
              </w:rPr>
            </w:pPr>
            <w:r>
              <w:rPr>
                <w:rFonts w:hint="eastAsia"/>
                <w:sz w:val="20"/>
              </w:rPr>
              <w:t>公共支出</w:t>
            </w:r>
          </w:p>
        </w:tc>
        <w:tc>
          <w:tcPr>
            <w:tcW w:w="1854" w:type="dxa"/>
            <w:vAlign w:val="center"/>
          </w:tcPr>
          <w:p w:rsidR="00000000" w:rsidRDefault="009C1C61">
            <w:pPr>
              <w:pStyle w:val="a2"/>
              <w:spacing w:before="40" w:after="60" w:line="220" w:lineRule="exact"/>
              <w:jc w:val="center"/>
              <w:rPr>
                <w:sz w:val="20"/>
              </w:rPr>
            </w:pPr>
            <w:r>
              <w:rPr>
                <w:rFonts w:hint="eastAsia"/>
                <w:sz w:val="20"/>
              </w:rPr>
              <w:t>每年的变化</w:t>
            </w:r>
            <w:r>
              <w:rPr>
                <w:sz w:val="20"/>
              </w:rPr>
              <w:t xml:space="preserve"> (%)</w:t>
            </w:r>
          </w:p>
        </w:tc>
        <w:tc>
          <w:tcPr>
            <w:tcW w:w="2163" w:type="dxa"/>
            <w:vAlign w:val="center"/>
          </w:tcPr>
          <w:p w:rsidR="00000000" w:rsidRDefault="009C1C61">
            <w:pPr>
              <w:pStyle w:val="a2"/>
              <w:spacing w:before="40" w:after="60" w:line="220" w:lineRule="exact"/>
              <w:jc w:val="center"/>
              <w:rPr>
                <w:rFonts w:hint="eastAsia"/>
                <w:sz w:val="20"/>
              </w:rPr>
            </w:pPr>
            <w:r>
              <w:rPr>
                <w:rFonts w:hint="eastAsia"/>
                <w:sz w:val="20"/>
              </w:rPr>
              <w:t>财政支出</w:t>
            </w:r>
          </w:p>
        </w:tc>
        <w:tc>
          <w:tcPr>
            <w:tcW w:w="1832" w:type="dxa"/>
            <w:vAlign w:val="center"/>
          </w:tcPr>
          <w:p w:rsidR="00000000" w:rsidRDefault="009C1C61">
            <w:pPr>
              <w:pStyle w:val="a2"/>
              <w:spacing w:before="40" w:after="60" w:line="220" w:lineRule="exact"/>
              <w:jc w:val="center"/>
              <w:rPr>
                <w:sz w:val="20"/>
              </w:rPr>
            </w:pPr>
            <w:r>
              <w:rPr>
                <w:rFonts w:hint="eastAsia"/>
                <w:sz w:val="20"/>
              </w:rPr>
              <w:t>每年的变化</w:t>
            </w:r>
            <w:r>
              <w:rPr>
                <w:sz w:val="20"/>
              </w:rPr>
              <w:t xml:space="preserve"> (%)</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rPr>
            </w:pPr>
            <w:r>
              <w:rPr>
                <w:sz w:val="20"/>
              </w:rPr>
              <w:t>1989</w:t>
            </w:r>
          </w:p>
        </w:tc>
        <w:tc>
          <w:tcPr>
            <w:tcW w:w="2067" w:type="dxa"/>
          </w:tcPr>
          <w:p w:rsidR="00000000" w:rsidRDefault="009C1C61">
            <w:pPr>
              <w:pStyle w:val="a2"/>
              <w:spacing w:before="40" w:line="220" w:lineRule="exact"/>
              <w:ind w:right="227"/>
              <w:jc w:val="right"/>
              <w:rPr>
                <w:sz w:val="20"/>
              </w:rPr>
            </w:pPr>
            <w:r>
              <w:rPr>
                <w:sz w:val="20"/>
              </w:rPr>
              <w:t>595,113 (1,103)</w:t>
            </w:r>
          </w:p>
        </w:tc>
        <w:tc>
          <w:tcPr>
            <w:tcW w:w="1854" w:type="dxa"/>
          </w:tcPr>
          <w:p w:rsidR="00000000" w:rsidRDefault="009C1C61">
            <w:pPr>
              <w:pStyle w:val="a2"/>
              <w:spacing w:before="40" w:line="220" w:lineRule="exact"/>
              <w:ind w:right="227"/>
              <w:jc w:val="right"/>
              <w:rPr>
                <w:sz w:val="20"/>
                <w:lang w:val="es-ES_tradnl"/>
              </w:rPr>
            </w:pPr>
            <w:r>
              <w:rPr>
                <w:sz w:val="20"/>
                <w:lang w:val="es-ES_tradnl"/>
              </w:rPr>
              <w:t>–</w:t>
            </w:r>
          </w:p>
        </w:tc>
        <w:tc>
          <w:tcPr>
            <w:tcW w:w="2163" w:type="dxa"/>
          </w:tcPr>
          <w:p w:rsidR="00000000" w:rsidRDefault="009C1C61">
            <w:pPr>
              <w:pStyle w:val="a2"/>
              <w:spacing w:before="40" w:line="220" w:lineRule="exact"/>
              <w:ind w:right="227"/>
              <w:jc w:val="right"/>
              <w:rPr>
                <w:sz w:val="20"/>
                <w:lang w:val="es-ES_tradnl"/>
              </w:rPr>
            </w:pPr>
            <w:r>
              <w:rPr>
                <w:sz w:val="20"/>
                <w:lang w:val="es-ES_tradnl"/>
              </w:rPr>
              <w:t>573,763 (1,063)</w:t>
            </w:r>
          </w:p>
        </w:tc>
        <w:tc>
          <w:tcPr>
            <w:tcW w:w="1832" w:type="dxa"/>
          </w:tcPr>
          <w:p w:rsidR="00000000" w:rsidRDefault="009C1C61">
            <w:pPr>
              <w:pStyle w:val="a2"/>
              <w:spacing w:before="40" w:line="220" w:lineRule="exact"/>
              <w:ind w:right="227"/>
              <w:jc w:val="right"/>
              <w:rPr>
                <w:sz w:val="20"/>
                <w:lang w:val="es-ES_tradnl"/>
              </w:rPr>
            </w:pPr>
            <w:r>
              <w:rPr>
                <w:sz w:val="20"/>
                <w:lang w:val="es-ES_tradnl"/>
              </w:rPr>
              <w:t>–</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1990</w:t>
            </w:r>
          </w:p>
        </w:tc>
        <w:tc>
          <w:tcPr>
            <w:tcW w:w="2067" w:type="dxa"/>
          </w:tcPr>
          <w:p w:rsidR="00000000" w:rsidRDefault="009C1C61">
            <w:pPr>
              <w:pStyle w:val="a2"/>
              <w:spacing w:before="40" w:line="220" w:lineRule="exact"/>
              <w:ind w:right="227"/>
              <w:jc w:val="right"/>
              <w:rPr>
                <w:sz w:val="20"/>
                <w:lang w:val="es-ES_tradnl"/>
              </w:rPr>
            </w:pPr>
            <w:r>
              <w:rPr>
                <w:sz w:val="20"/>
                <w:lang w:val="es-ES_tradnl"/>
              </w:rPr>
              <w:t>568,995 (1,054)</w:t>
            </w:r>
          </w:p>
        </w:tc>
        <w:tc>
          <w:tcPr>
            <w:tcW w:w="1854" w:type="dxa"/>
          </w:tcPr>
          <w:p w:rsidR="00000000" w:rsidRDefault="009C1C61">
            <w:pPr>
              <w:pStyle w:val="a2"/>
              <w:spacing w:before="40" w:line="220" w:lineRule="exact"/>
              <w:ind w:right="227"/>
              <w:jc w:val="right"/>
              <w:rPr>
                <w:sz w:val="20"/>
                <w:lang w:val="es-ES_tradnl"/>
              </w:rPr>
            </w:pPr>
            <w:r>
              <w:rPr>
                <w:sz w:val="20"/>
                <w:lang w:val="es-ES_tradnl"/>
              </w:rPr>
              <w:t>–4.4</w:t>
            </w:r>
          </w:p>
        </w:tc>
        <w:tc>
          <w:tcPr>
            <w:tcW w:w="2163" w:type="dxa"/>
          </w:tcPr>
          <w:p w:rsidR="00000000" w:rsidRDefault="009C1C61">
            <w:pPr>
              <w:pStyle w:val="a2"/>
              <w:spacing w:before="40" w:line="220" w:lineRule="exact"/>
              <w:ind w:right="227"/>
              <w:jc w:val="right"/>
              <w:rPr>
                <w:sz w:val="20"/>
                <w:lang w:val="es-ES_tradnl"/>
              </w:rPr>
            </w:pPr>
            <w:r>
              <w:rPr>
                <w:sz w:val="20"/>
                <w:lang w:val="es-ES_tradnl"/>
              </w:rPr>
              <w:t>561,530 (1,040)</w:t>
            </w:r>
          </w:p>
        </w:tc>
        <w:tc>
          <w:tcPr>
            <w:tcW w:w="1832" w:type="dxa"/>
          </w:tcPr>
          <w:p w:rsidR="00000000" w:rsidRDefault="009C1C61">
            <w:pPr>
              <w:pStyle w:val="a2"/>
              <w:spacing w:before="40" w:line="220" w:lineRule="exact"/>
              <w:ind w:right="227"/>
              <w:jc w:val="right"/>
              <w:rPr>
                <w:sz w:val="20"/>
                <w:lang w:val="es-ES_tradnl"/>
              </w:rPr>
            </w:pPr>
            <w:r>
              <w:rPr>
                <w:sz w:val="20"/>
                <w:lang w:val="es-ES_tradnl"/>
              </w:rPr>
              <w:t>–2.1</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1991</w:t>
            </w:r>
          </w:p>
        </w:tc>
        <w:tc>
          <w:tcPr>
            <w:tcW w:w="2067" w:type="dxa"/>
          </w:tcPr>
          <w:p w:rsidR="00000000" w:rsidRDefault="009C1C61">
            <w:pPr>
              <w:pStyle w:val="a2"/>
              <w:spacing w:before="40" w:line="220" w:lineRule="exact"/>
              <w:ind w:right="227"/>
              <w:jc w:val="right"/>
              <w:rPr>
                <w:sz w:val="20"/>
                <w:lang w:val="es-ES_tradnl"/>
              </w:rPr>
            </w:pPr>
            <w:r>
              <w:rPr>
                <w:sz w:val="20"/>
                <w:lang w:val="es-ES_tradnl"/>
              </w:rPr>
              <w:t>64</w:t>
            </w:r>
            <w:r>
              <w:rPr>
                <w:sz w:val="20"/>
                <w:lang w:val="es-ES_tradnl"/>
              </w:rPr>
              <w:t>5,459 (1,196)</w:t>
            </w:r>
          </w:p>
        </w:tc>
        <w:tc>
          <w:tcPr>
            <w:tcW w:w="1854" w:type="dxa"/>
          </w:tcPr>
          <w:p w:rsidR="00000000" w:rsidRDefault="009C1C61">
            <w:pPr>
              <w:pStyle w:val="a2"/>
              <w:spacing w:before="40" w:line="220" w:lineRule="exact"/>
              <w:ind w:right="227"/>
              <w:jc w:val="right"/>
              <w:rPr>
                <w:sz w:val="20"/>
                <w:lang w:val="es-ES_tradnl"/>
              </w:rPr>
            </w:pPr>
            <w:r>
              <w:rPr>
                <w:sz w:val="20"/>
                <w:lang w:val="es-ES_tradnl"/>
              </w:rPr>
              <w:t>13.4</w:t>
            </w:r>
          </w:p>
        </w:tc>
        <w:tc>
          <w:tcPr>
            <w:tcW w:w="2163" w:type="dxa"/>
          </w:tcPr>
          <w:p w:rsidR="00000000" w:rsidRDefault="009C1C61">
            <w:pPr>
              <w:pStyle w:val="a2"/>
              <w:spacing w:before="40" w:line="220" w:lineRule="exact"/>
              <w:ind w:right="227"/>
              <w:jc w:val="right"/>
              <w:rPr>
                <w:sz w:val="20"/>
                <w:lang w:val="es-ES_tradnl"/>
              </w:rPr>
            </w:pPr>
            <w:r>
              <w:rPr>
                <w:sz w:val="20"/>
                <w:lang w:val="es-ES_tradnl"/>
              </w:rPr>
              <w:t>630,530 (1,168)</w:t>
            </w:r>
          </w:p>
        </w:tc>
        <w:tc>
          <w:tcPr>
            <w:tcW w:w="1832" w:type="dxa"/>
          </w:tcPr>
          <w:p w:rsidR="00000000" w:rsidRDefault="009C1C61">
            <w:pPr>
              <w:pStyle w:val="a2"/>
              <w:spacing w:before="40" w:line="220" w:lineRule="exact"/>
              <w:ind w:right="227"/>
              <w:jc w:val="right"/>
              <w:rPr>
                <w:sz w:val="20"/>
                <w:lang w:val="es-ES_tradnl"/>
              </w:rPr>
            </w:pPr>
            <w:r>
              <w:rPr>
                <w:sz w:val="20"/>
                <w:lang w:val="es-ES_tradnl"/>
              </w:rPr>
              <w:t>12.3</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1992</w:t>
            </w:r>
          </w:p>
        </w:tc>
        <w:tc>
          <w:tcPr>
            <w:tcW w:w="2067" w:type="dxa"/>
          </w:tcPr>
          <w:p w:rsidR="00000000" w:rsidRDefault="009C1C61">
            <w:pPr>
              <w:pStyle w:val="a2"/>
              <w:spacing w:before="40" w:line="220" w:lineRule="exact"/>
              <w:ind w:right="227"/>
              <w:jc w:val="right"/>
              <w:rPr>
                <w:sz w:val="20"/>
                <w:lang w:val="es-ES_tradnl"/>
              </w:rPr>
            </w:pPr>
            <w:r>
              <w:rPr>
                <w:sz w:val="20"/>
                <w:lang w:val="es-ES_tradnl"/>
              </w:rPr>
              <w:t>742,070 (1,375)</w:t>
            </w:r>
          </w:p>
        </w:tc>
        <w:tc>
          <w:tcPr>
            <w:tcW w:w="1854" w:type="dxa"/>
          </w:tcPr>
          <w:p w:rsidR="00000000" w:rsidRDefault="009C1C61">
            <w:pPr>
              <w:pStyle w:val="a2"/>
              <w:spacing w:before="40" w:line="220" w:lineRule="exact"/>
              <w:ind w:right="227"/>
              <w:jc w:val="right"/>
              <w:rPr>
                <w:sz w:val="20"/>
                <w:lang w:val="es-ES_tradnl"/>
              </w:rPr>
            </w:pPr>
            <w:r>
              <w:rPr>
                <w:sz w:val="20"/>
                <w:lang w:val="es-ES_tradnl"/>
              </w:rPr>
              <w:t>15.0</w:t>
            </w:r>
          </w:p>
        </w:tc>
        <w:tc>
          <w:tcPr>
            <w:tcW w:w="2163" w:type="dxa"/>
          </w:tcPr>
          <w:p w:rsidR="00000000" w:rsidRDefault="009C1C61">
            <w:pPr>
              <w:pStyle w:val="a2"/>
              <w:spacing w:before="40" w:line="220" w:lineRule="exact"/>
              <w:ind w:right="227"/>
              <w:jc w:val="right"/>
              <w:rPr>
                <w:sz w:val="20"/>
                <w:lang w:val="es-ES_tradnl"/>
              </w:rPr>
            </w:pPr>
            <w:r>
              <w:rPr>
                <w:sz w:val="20"/>
                <w:lang w:val="es-ES_tradnl"/>
              </w:rPr>
              <w:t>722,575 (1,339)</w:t>
            </w:r>
          </w:p>
        </w:tc>
        <w:tc>
          <w:tcPr>
            <w:tcW w:w="1832" w:type="dxa"/>
          </w:tcPr>
          <w:p w:rsidR="00000000" w:rsidRDefault="009C1C61">
            <w:pPr>
              <w:pStyle w:val="a2"/>
              <w:spacing w:before="40" w:line="220" w:lineRule="exact"/>
              <w:ind w:right="227"/>
              <w:jc w:val="right"/>
              <w:rPr>
                <w:sz w:val="20"/>
                <w:lang w:val="es-ES_tradnl"/>
              </w:rPr>
            </w:pPr>
            <w:r>
              <w:rPr>
                <w:sz w:val="20"/>
                <w:lang w:val="es-ES_tradnl"/>
              </w:rPr>
              <w:t>14.6</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1993</w:t>
            </w:r>
          </w:p>
        </w:tc>
        <w:tc>
          <w:tcPr>
            <w:tcW w:w="2067" w:type="dxa"/>
          </w:tcPr>
          <w:p w:rsidR="00000000" w:rsidRDefault="009C1C61">
            <w:pPr>
              <w:pStyle w:val="a2"/>
              <w:spacing w:before="40" w:line="220" w:lineRule="exact"/>
              <w:ind w:right="227"/>
              <w:jc w:val="right"/>
              <w:rPr>
                <w:sz w:val="20"/>
                <w:lang w:val="es-ES_tradnl"/>
              </w:rPr>
            </w:pPr>
            <w:r>
              <w:rPr>
                <w:sz w:val="20"/>
                <w:lang w:val="es-ES_tradnl"/>
              </w:rPr>
              <w:t>805,630 (1,493)</w:t>
            </w:r>
          </w:p>
        </w:tc>
        <w:tc>
          <w:tcPr>
            <w:tcW w:w="1854" w:type="dxa"/>
          </w:tcPr>
          <w:p w:rsidR="00000000" w:rsidRDefault="009C1C61">
            <w:pPr>
              <w:pStyle w:val="a2"/>
              <w:spacing w:before="40" w:line="220" w:lineRule="exact"/>
              <w:ind w:right="227"/>
              <w:jc w:val="right"/>
              <w:rPr>
                <w:sz w:val="20"/>
                <w:lang w:val="es-ES_tradnl"/>
              </w:rPr>
            </w:pPr>
            <w:r>
              <w:rPr>
                <w:sz w:val="20"/>
                <w:lang w:val="es-ES_tradnl"/>
              </w:rPr>
              <w:t>8.6</w:t>
            </w:r>
          </w:p>
        </w:tc>
        <w:tc>
          <w:tcPr>
            <w:tcW w:w="2163" w:type="dxa"/>
          </w:tcPr>
          <w:p w:rsidR="00000000" w:rsidRDefault="009C1C61">
            <w:pPr>
              <w:pStyle w:val="a2"/>
              <w:spacing w:before="40" w:line="220" w:lineRule="exact"/>
              <w:ind w:right="227"/>
              <w:jc w:val="right"/>
              <w:rPr>
                <w:sz w:val="20"/>
                <w:lang w:val="es-ES_tradnl"/>
              </w:rPr>
            </w:pPr>
            <w:r>
              <w:rPr>
                <w:sz w:val="20"/>
                <w:lang w:val="es-ES_tradnl"/>
              </w:rPr>
              <w:t>774,737 (1,436)</w:t>
            </w:r>
          </w:p>
        </w:tc>
        <w:tc>
          <w:tcPr>
            <w:tcW w:w="1832" w:type="dxa"/>
          </w:tcPr>
          <w:p w:rsidR="00000000" w:rsidRDefault="009C1C61">
            <w:pPr>
              <w:pStyle w:val="a2"/>
              <w:spacing w:before="40" w:line="220" w:lineRule="exact"/>
              <w:ind w:right="227"/>
              <w:jc w:val="right"/>
              <w:rPr>
                <w:sz w:val="20"/>
                <w:lang w:val="es-ES_tradnl"/>
              </w:rPr>
            </w:pPr>
            <w:r>
              <w:rPr>
                <w:sz w:val="20"/>
                <w:lang w:val="es-ES_tradnl"/>
              </w:rPr>
              <w:t>7.2</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1994</w:t>
            </w:r>
          </w:p>
        </w:tc>
        <w:tc>
          <w:tcPr>
            <w:tcW w:w="2067" w:type="dxa"/>
          </w:tcPr>
          <w:p w:rsidR="00000000" w:rsidRDefault="009C1C61">
            <w:pPr>
              <w:pStyle w:val="a2"/>
              <w:spacing w:before="40" w:line="220" w:lineRule="exact"/>
              <w:ind w:right="227"/>
              <w:jc w:val="right"/>
              <w:rPr>
                <w:sz w:val="20"/>
                <w:lang w:val="es-ES_tradnl"/>
              </w:rPr>
            </w:pPr>
            <w:r>
              <w:rPr>
                <w:sz w:val="20"/>
                <w:lang w:val="es-ES_tradnl"/>
              </w:rPr>
              <w:t>878,556 (1,628)</w:t>
            </w:r>
          </w:p>
        </w:tc>
        <w:tc>
          <w:tcPr>
            <w:tcW w:w="1854" w:type="dxa"/>
          </w:tcPr>
          <w:p w:rsidR="00000000" w:rsidRDefault="009C1C61">
            <w:pPr>
              <w:pStyle w:val="a2"/>
              <w:spacing w:before="40" w:line="220" w:lineRule="exact"/>
              <w:ind w:right="227"/>
              <w:jc w:val="right"/>
              <w:rPr>
                <w:sz w:val="20"/>
                <w:lang w:val="es-ES_tradnl"/>
              </w:rPr>
            </w:pPr>
            <w:r>
              <w:rPr>
                <w:sz w:val="20"/>
                <w:lang w:val="es-ES_tradnl"/>
              </w:rPr>
              <w:t>9.1</w:t>
            </w:r>
          </w:p>
        </w:tc>
        <w:tc>
          <w:tcPr>
            <w:tcW w:w="2163" w:type="dxa"/>
          </w:tcPr>
          <w:p w:rsidR="00000000" w:rsidRDefault="009C1C61">
            <w:pPr>
              <w:pStyle w:val="a2"/>
              <w:spacing w:before="40" w:line="220" w:lineRule="exact"/>
              <w:ind w:right="227"/>
              <w:jc w:val="right"/>
              <w:rPr>
                <w:sz w:val="20"/>
                <w:lang w:val="es-ES_tradnl"/>
              </w:rPr>
            </w:pPr>
            <w:r>
              <w:rPr>
                <w:sz w:val="20"/>
                <w:lang w:val="es-ES_tradnl"/>
              </w:rPr>
              <w:t>859,484 (1,593)</w:t>
            </w:r>
          </w:p>
        </w:tc>
        <w:tc>
          <w:tcPr>
            <w:tcW w:w="1832" w:type="dxa"/>
          </w:tcPr>
          <w:p w:rsidR="00000000" w:rsidRDefault="009C1C61">
            <w:pPr>
              <w:pStyle w:val="a2"/>
              <w:spacing w:before="40" w:line="220" w:lineRule="exact"/>
              <w:ind w:right="227"/>
              <w:jc w:val="right"/>
              <w:rPr>
                <w:sz w:val="20"/>
                <w:lang w:val="es-ES_tradnl"/>
              </w:rPr>
            </w:pPr>
            <w:r>
              <w:rPr>
                <w:sz w:val="20"/>
                <w:lang w:val="es-ES_tradnl"/>
              </w:rPr>
              <w:t>10.9</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1995</w:t>
            </w:r>
          </w:p>
        </w:tc>
        <w:tc>
          <w:tcPr>
            <w:tcW w:w="2067" w:type="dxa"/>
          </w:tcPr>
          <w:p w:rsidR="00000000" w:rsidRDefault="009C1C61">
            <w:pPr>
              <w:pStyle w:val="a2"/>
              <w:spacing w:before="40" w:line="220" w:lineRule="exact"/>
              <w:ind w:right="227"/>
              <w:jc w:val="right"/>
              <w:rPr>
                <w:sz w:val="20"/>
                <w:lang w:val="es-ES_tradnl"/>
              </w:rPr>
            </w:pPr>
            <w:r>
              <w:rPr>
                <w:sz w:val="20"/>
                <w:lang w:val="es-ES_tradnl"/>
              </w:rPr>
              <w:t>981,300 (1,818)</w:t>
            </w:r>
          </w:p>
        </w:tc>
        <w:tc>
          <w:tcPr>
            <w:tcW w:w="1854" w:type="dxa"/>
          </w:tcPr>
          <w:p w:rsidR="00000000" w:rsidRDefault="009C1C61">
            <w:pPr>
              <w:pStyle w:val="a2"/>
              <w:spacing w:before="40" w:line="220" w:lineRule="exact"/>
              <w:ind w:right="227"/>
              <w:jc w:val="right"/>
              <w:rPr>
                <w:sz w:val="20"/>
                <w:lang w:val="es-ES_tradnl"/>
              </w:rPr>
            </w:pPr>
            <w:r>
              <w:rPr>
                <w:sz w:val="20"/>
                <w:lang w:val="es-ES_tradnl"/>
              </w:rPr>
              <w:t>11.7</w:t>
            </w:r>
          </w:p>
        </w:tc>
        <w:tc>
          <w:tcPr>
            <w:tcW w:w="2163" w:type="dxa"/>
          </w:tcPr>
          <w:p w:rsidR="00000000" w:rsidRDefault="009C1C61">
            <w:pPr>
              <w:pStyle w:val="a2"/>
              <w:spacing w:before="40" w:line="220" w:lineRule="exact"/>
              <w:ind w:right="227"/>
              <w:jc w:val="right"/>
              <w:rPr>
                <w:sz w:val="20"/>
                <w:lang w:val="es-ES_tradnl"/>
              </w:rPr>
            </w:pPr>
            <w:r>
              <w:rPr>
                <w:sz w:val="20"/>
                <w:lang w:val="es-ES_tradnl"/>
              </w:rPr>
              <w:t>965,267 (1,789)</w:t>
            </w:r>
          </w:p>
        </w:tc>
        <w:tc>
          <w:tcPr>
            <w:tcW w:w="1832" w:type="dxa"/>
          </w:tcPr>
          <w:p w:rsidR="00000000" w:rsidRDefault="009C1C61">
            <w:pPr>
              <w:pStyle w:val="a2"/>
              <w:spacing w:before="40" w:line="220" w:lineRule="exact"/>
              <w:ind w:right="227"/>
              <w:jc w:val="right"/>
              <w:rPr>
                <w:sz w:val="20"/>
                <w:lang w:val="es-ES_tradnl"/>
              </w:rPr>
            </w:pPr>
            <w:r>
              <w:rPr>
                <w:sz w:val="20"/>
                <w:lang w:val="es-ES_tradnl"/>
              </w:rPr>
              <w:t>12.3</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1996</w:t>
            </w:r>
          </w:p>
        </w:tc>
        <w:tc>
          <w:tcPr>
            <w:tcW w:w="2067" w:type="dxa"/>
          </w:tcPr>
          <w:p w:rsidR="00000000" w:rsidRDefault="009C1C61">
            <w:pPr>
              <w:pStyle w:val="a2"/>
              <w:spacing w:before="40" w:line="220" w:lineRule="exact"/>
              <w:ind w:right="227"/>
              <w:jc w:val="right"/>
              <w:rPr>
                <w:sz w:val="20"/>
                <w:lang w:val="es-ES_tradnl"/>
              </w:rPr>
            </w:pPr>
            <w:r>
              <w:rPr>
                <w:sz w:val="20"/>
                <w:lang w:val="es-ES_tradnl"/>
              </w:rPr>
              <w:t>1,108,321 (2,054)</w:t>
            </w:r>
          </w:p>
        </w:tc>
        <w:tc>
          <w:tcPr>
            <w:tcW w:w="1854" w:type="dxa"/>
          </w:tcPr>
          <w:p w:rsidR="00000000" w:rsidRDefault="009C1C61">
            <w:pPr>
              <w:pStyle w:val="a2"/>
              <w:spacing w:before="40" w:line="220" w:lineRule="exact"/>
              <w:ind w:right="227"/>
              <w:jc w:val="right"/>
              <w:rPr>
                <w:sz w:val="20"/>
                <w:lang w:val="es-ES_tradnl"/>
              </w:rPr>
            </w:pPr>
            <w:r>
              <w:rPr>
                <w:sz w:val="20"/>
                <w:lang w:val="es-ES_tradnl"/>
              </w:rPr>
              <w:t>12.</w:t>
            </w:r>
            <w:r>
              <w:rPr>
                <w:sz w:val="20"/>
                <w:lang w:val="es-ES_tradnl"/>
              </w:rPr>
              <w:t>9</w:t>
            </w:r>
          </w:p>
        </w:tc>
        <w:tc>
          <w:tcPr>
            <w:tcW w:w="2163" w:type="dxa"/>
          </w:tcPr>
          <w:p w:rsidR="00000000" w:rsidRDefault="009C1C61">
            <w:pPr>
              <w:pStyle w:val="a2"/>
              <w:spacing w:before="40" w:line="220" w:lineRule="exact"/>
              <w:ind w:right="227"/>
              <w:jc w:val="right"/>
              <w:rPr>
                <w:sz w:val="20"/>
                <w:lang w:val="es-ES_tradnl"/>
              </w:rPr>
            </w:pPr>
            <w:r>
              <w:rPr>
                <w:sz w:val="20"/>
                <w:lang w:val="es-ES_tradnl"/>
              </w:rPr>
              <w:t>1,111,571 (2,060)</w:t>
            </w:r>
          </w:p>
        </w:tc>
        <w:tc>
          <w:tcPr>
            <w:tcW w:w="1832" w:type="dxa"/>
          </w:tcPr>
          <w:p w:rsidR="00000000" w:rsidRDefault="009C1C61">
            <w:pPr>
              <w:pStyle w:val="a2"/>
              <w:spacing w:before="40" w:line="220" w:lineRule="exact"/>
              <w:ind w:right="227"/>
              <w:jc w:val="right"/>
              <w:rPr>
                <w:sz w:val="20"/>
                <w:lang w:val="es-ES_tradnl"/>
              </w:rPr>
            </w:pPr>
            <w:r>
              <w:rPr>
                <w:sz w:val="20"/>
                <w:lang w:val="es-ES_tradnl"/>
              </w:rPr>
              <w:t>15.2</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1997</w:t>
            </w:r>
          </w:p>
        </w:tc>
        <w:tc>
          <w:tcPr>
            <w:tcW w:w="2067" w:type="dxa"/>
          </w:tcPr>
          <w:p w:rsidR="00000000" w:rsidRDefault="009C1C61">
            <w:pPr>
              <w:pStyle w:val="a2"/>
              <w:spacing w:before="40" w:line="220" w:lineRule="exact"/>
              <w:ind w:right="227"/>
              <w:jc w:val="right"/>
              <w:rPr>
                <w:sz w:val="20"/>
                <w:lang w:val="es-ES_tradnl"/>
              </w:rPr>
            </w:pPr>
            <w:r>
              <w:rPr>
                <w:sz w:val="20"/>
                <w:lang w:val="es-ES_tradnl"/>
              </w:rPr>
              <w:t>1,220,842 (2,262)</w:t>
            </w:r>
          </w:p>
        </w:tc>
        <w:tc>
          <w:tcPr>
            <w:tcW w:w="1854" w:type="dxa"/>
          </w:tcPr>
          <w:p w:rsidR="00000000" w:rsidRDefault="009C1C61">
            <w:pPr>
              <w:pStyle w:val="a2"/>
              <w:spacing w:before="40" w:line="220" w:lineRule="exact"/>
              <w:ind w:right="227"/>
              <w:jc w:val="right"/>
              <w:rPr>
                <w:sz w:val="20"/>
                <w:lang w:val="es-ES_tradnl"/>
              </w:rPr>
            </w:pPr>
            <w:r>
              <w:rPr>
                <w:sz w:val="20"/>
                <w:lang w:val="es-ES_tradnl"/>
              </w:rPr>
              <w:t>10.2</w:t>
            </w:r>
          </w:p>
        </w:tc>
        <w:tc>
          <w:tcPr>
            <w:tcW w:w="2163" w:type="dxa"/>
          </w:tcPr>
          <w:p w:rsidR="00000000" w:rsidRDefault="009C1C61">
            <w:pPr>
              <w:pStyle w:val="a2"/>
              <w:spacing w:before="40" w:line="220" w:lineRule="exact"/>
              <w:ind w:right="227"/>
              <w:jc w:val="right"/>
              <w:rPr>
                <w:sz w:val="20"/>
                <w:lang w:val="es-ES_tradnl"/>
              </w:rPr>
            </w:pPr>
            <w:r>
              <w:rPr>
                <w:sz w:val="20"/>
                <w:lang w:val="es-ES_tradnl"/>
              </w:rPr>
              <w:t>1,251,980 (2,320)</w:t>
            </w:r>
          </w:p>
        </w:tc>
        <w:tc>
          <w:tcPr>
            <w:tcW w:w="1832" w:type="dxa"/>
          </w:tcPr>
          <w:p w:rsidR="00000000" w:rsidRDefault="009C1C61">
            <w:pPr>
              <w:pStyle w:val="a2"/>
              <w:spacing w:before="40" w:line="220" w:lineRule="exact"/>
              <w:ind w:right="227"/>
              <w:jc w:val="right"/>
              <w:rPr>
                <w:sz w:val="20"/>
                <w:lang w:val="es-ES_tradnl"/>
              </w:rPr>
            </w:pPr>
            <w:r>
              <w:rPr>
                <w:sz w:val="20"/>
                <w:lang w:val="es-ES_tradnl"/>
              </w:rPr>
              <w:t>12.6</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1998</w:t>
            </w:r>
          </w:p>
        </w:tc>
        <w:tc>
          <w:tcPr>
            <w:tcW w:w="2067" w:type="dxa"/>
          </w:tcPr>
          <w:p w:rsidR="00000000" w:rsidRDefault="009C1C61">
            <w:pPr>
              <w:pStyle w:val="a2"/>
              <w:spacing w:before="40" w:line="220" w:lineRule="exact"/>
              <w:ind w:right="227"/>
              <w:jc w:val="right"/>
              <w:rPr>
                <w:sz w:val="20"/>
                <w:lang w:val="es-ES_tradnl"/>
              </w:rPr>
            </w:pPr>
            <w:r>
              <w:rPr>
                <w:sz w:val="20"/>
                <w:lang w:val="es-ES_tradnl"/>
              </w:rPr>
              <w:t>1,359,860 (2,520)</w:t>
            </w:r>
          </w:p>
        </w:tc>
        <w:tc>
          <w:tcPr>
            <w:tcW w:w="1854" w:type="dxa"/>
          </w:tcPr>
          <w:p w:rsidR="00000000" w:rsidRDefault="009C1C61">
            <w:pPr>
              <w:pStyle w:val="a2"/>
              <w:spacing w:before="40" w:line="220" w:lineRule="exact"/>
              <w:ind w:right="227"/>
              <w:jc w:val="right"/>
              <w:rPr>
                <w:sz w:val="20"/>
                <w:lang w:val="es-ES_tradnl"/>
              </w:rPr>
            </w:pPr>
            <w:r>
              <w:rPr>
                <w:sz w:val="20"/>
                <w:lang w:val="es-ES_tradnl"/>
              </w:rPr>
              <w:t>11.4</w:t>
            </w:r>
          </w:p>
        </w:tc>
        <w:tc>
          <w:tcPr>
            <w:tcW w:w="2163" w:type="dxa"/>
          </w:tcPr>
          <w:p w:rsidR="00000000" w:rsidRDefault="009C1C61">
            <w:pPr>
              <w:pStyle w:val="a2"/>
              <w:spacing w:before="40" w:line="220" w:lineRule="exact"/>
              <w:ind w:right="227"/>
              <w:jc w:val="right"/>
              <w:rPr>
                <w:sz w:val="20"/>
                <w:lang w:val="es-ES_tradnl"/>
              </w:rPr>
            </w:pPr>
            <w:r>
              <w:rPr>
                <w:sz w:val="20"/>
                <w:lang w:val="es-ES_tradnl"/>
              </w:rPr>
              <w:t>1,349,180 (2,500)</w:t>
            </w:r>
          </w:p>
        </w:tc>
        <w:tc>
          <w:tcPr>
            <w:tcW w:w="1832" w:type="dxa"/>
          </w:tcPr>
          <w:p w:rsidR="00000000" w:rsidRDefault="009C1C61">
            <w:pPr>
              <w:pStyle w:val="a2"/>
              <w:spacing w:before="40" w:line="220" w:lineRule="exact"/>
              <w:ind w:right="227"/>
              <w:jc w:val="right"/>
              <w:rPr>
                <w:sz w:val="20"/>
                <w:lang w:val="es-ES_tradnl"/>
              </w:rPr>
            </w:pPr>
            <w:r>
              <w:rPr>
                <w:sz w:val="20"/>
                <w:lang w:val="es-ES_tradnl"/>
              </w:rPr>
              <w:t>7.8</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lang w:val="es-ES_tradnl"/>
              </w:rPr>
            </w:pPr>
            <w:r>
              <w:rPr>
                <w:sz w:val="20"/>
                <w:lang w:val="es-ES_tradnl"/>
              </w:rPr>
              <w:t>1999</w:t>
            </w:r>
          </w:p>
        </w:tc>
        <w:tc>
          <w:tcPr>
            <w:tcW w:w="2067" w:type="dxa"/>
          </w:tcPr>
          <w:p w:rsidR="00000000" w:rsidRDefault="009C1C61">
            <w:pPr>
              <w:pStyle w:val="a2"/>
              <w:spacing w:before="40" w:line="220" w:lineRule="exact"/>
              <w:ind w:right="227"/>
              <w:jc w:val="right"/>
              <w:rPr>
                <w:sz w:val="20"/>
                <w:lang w:val="es-ES_tradnl"/>
              </w:rPr>
            </w:pPr>
            <w:r>
              <w:rPr>
                <w:sz w:val="20"/>
                <w:lang w:val="es-ES_tradnl"/>
              </w:rPr>
              <w:t>1,454,355 (2,696)</w:t>
            </w:r>
          </w:p>
        </w:tc>
        <w:tc>
          <w:tcPr>
            <w:tcW w:w="1854" w:type="dxa"/>
          </w:tcPr>
          <w:p w:rsidR="00000000" w:rsidRDefault="009C1C61">
            <w:pPr>
              <w:pStyle w:val="a2"/>
              <w:spacing w:before="40" w:line="220" w:lineRule="exact"/>
              <w:ind w:right="227"/>
              <w:jc w:val="right"/>
              <w:rPr>
                <w:sz w:val="20"/>
                <w:lang w:val="es-ES_tradnl"/>
              </w:rPr>
            </w:pPr>
            <w:r>
              <w:rPr>
                <w:sz w:val="20"/>
                <w:lang w:val="es-ES_tradnl"/>
              </w:rPr>
              <w:t>6.9</w:t>
            </w:r>
          </w:p>
        </w:tc>
        <w:tc>
          <w:tcPr>
            <w:tcW w:w="2163" w:type="dxa"/>
          </w:tcPr>
          <w:p w:rsidR="00000000" w:rsidRDefault="009C1C61">
            <w:pPr>
              <w:pStyle w:val="a2"/>
              <w:spacing w:before="40" w:line="220" w:lineRule="exact"/>
              <w:ind w:right="227"/>
              <w:jc w:val="right"/>
              <w:rPr>
                <w:sz w:val="20"/>
                <w:lang w:val="es-ES_tradnl"/>
              </w:rPr>
            </w:pPr>
            <w:r>
              <w:rPr>
                <w:sz w:val="20"/>
                <w:lang w:val="es-ES_tradnl"/>
              </w:rPr>
              <w:t>1,461,476 (2,708)</w:t>
            </w:r>
          </w:p>
        </w:tc>
        <w:tc>
          <w:tcPr>
            <w:tcW w:w="1832" w:type="dxa"/>
          </w:tcPr>
          <w:p w:rsidR="00000000" w:rsidRDefault="009C1C61">
            <w:pPr>
              <w:pStyle w:val="a2"/>
              <w:spacing w:before="40" w:line="220" w:lineRule="exact"/>
              <w:ind w:right="227"/>
              <w:jc w:val="right"/>
              <w:rPr>
                <w:sz w:val="20"/>
              </w:rPr>
            </w:pPr>
            <w:r>
              <w:rPr>
                <w:sz w:val="20"/>
              </w:rPr>
              <w:t>8.3</w:t>
            </w:r>
          </w:p>
        </w:tc>
      </w:tr>
      <w:tr w:rsidR="00000000">
        <w:tblPrEx>
          <w:tblCellMar>
            <w:top w:w="0" w:type="dxa"/>
            <w:bottom w:w="0" w:type="dxa"/>
          </w:tblCellMar>
        </w:tblPrEx>
        <w:trPr>
          <w:jc w:val="center"/>
        </w:trPr>
        <w:tc>
          <w:tcPr>
            <w:tcW w:w="1249" w:type="dxa"/>
          </w:tcPr>
          <w:p w:rsidR="00000000" w:rsidRDefault="009C1C61">
            <w:pPr>
              <w:pStyle w:val="a2"/>
              <w:spacing w:before="40" w:line="220" w:lineRule="exact"/>
              <w:rPr>
                <w:sz w:val="20"/>
              </w:rPr>
            </w:pPr>
            <w:r>
              <w:rPr>
                <w:sz w:val="20"/>
              </w:rPr>
              <w:t>2000</w:t>
            </w:r>
          </w:p>
        </w:tc>
        <w:tc>
          <w:tcPr>
            <w:tcW w:w="2067" w:type="dxa"/>
          </w:tcPr>
          <w:p w:rsidR="00000000" w:rsidRDefault="009C1C61">
            <w:pPr>
              <w:pStyle w:val="a2"/>
              <w:spacing w:before="40" w:line="220" w:lineRule="exact"/>
              <w:ind w:right="227"/>
              <w:jc w:val="right"/>
              <w:rPr>
                <w:sz w:val="20"/>
              </w:rPr>
            </w:pPr>
            <w:r>
              <w:rPr>
                <w:sz w:val="20"/>
              </w:rPr>
              <w:t>1,577,035 (2,923)</w:t>
            </w:r>
          </w:p>
        </w:tc>
        <w:tc>
          <w:tcPr>
            <w:tcW w:w="1854" w:type="dxa"/>
          </w:tcPr>
          <w:p w:rsidR="00000000" w:rsidRDefault="009C1C61">
            <w:pPr>
              <w:pStyle w:val="a2"/>
              <w:spacing w:before="40" w:line="220" w:lineRule="exact"/>
              <w:ind w:right="227"/>
              <w:jc w:val="right"/>
              <w:rPr>
                <w:sz w:val="20"/>
              </w:rPr>
            </w:pPr>
            <w:r>
              <w:rPr>
                <w:sz w:val="20"/>
              </w:rPr>
              <w:t>8.4</w:t>
            </w:r>
          </w:p>
        </w:tc>
        <w:tc>
          <w:tcPr>
            <w:tcW w:w="2163" w:type="dxa"/>
          </w:tcPr>
          <w:p w:rsidR="00000000" w:rsidRDefault="009C1C61">
            <w:pPr>
              <w:pStyle w:val="a2"/>
              <w:spacing w:before="40" w:line="220" w:lineRule="exact"/>
              <w:ind w:right="227"/>
              <w:jc w:val="right"/>
              <w:rPr>
                <w:sz w:val="20"/>
              </w:rPr>
            </w:pPr>
            <w:r>
              <w:rPr>
                <w:sz w:val="20"/>
              </w:rPr>
              <w:t>1,583,555 (2,935)</w:t>
            </w:r>
          </w:p>
        </w:tc>
        <w:tc>
          <w:tcPr>
            <w:tcW w:w="1832" w:type="dxa"/>
          </w:tcPr>
          <w:p w:rsidR="00000000" w:rsidRDefault="009C1C61">
            <w:pPr>
              <w:pStyle w:val="a2"/>
              <w:spacing w:before="40" w:line="220" w:lineRule="exact"/>
              <w:ind w:right="227"/>
              <w:jc w:val="right"/>
              <w:rPr>
                <w:sz w:val="20"/>
              </w:rPr>
            </w:pPr>
            <w:r>
              <w:rPr>
                <w:sz w:val="20"/>
              </w:rPr>
              <w:t>8.4</w:t>
            </w:r>
          </w:p>
        </w:tc>
      </w:tr>
      <w:tr w:rsidR="00000000">
        <w:tblPrEx>
          <w:tblCellMar>
            <w:top w:w="0" w:type="dxa"/>
            <w:bottom w:w="0" w:type="dxa"/>
          </w:tblCellMar>
        </w:tblPrEx>
        <w:trPr>
          <w:cantSplit/>
          <w:jc w:val="center"/>
        </w:trPr>
        <w:tc>
          <w:tcPr>
            <w:tcW w:w="3316" w:type="dxa"/>
            <w:gridSpan w:val="2"/>
          </w:tcPr>
          <w:p w:rsidR="00000000" w:rsidRDefault="009C1C61">
            <w:pPr>
              <w:pStyle w:val="a2"/>
              <w:spacing w:before="40" w:line="220" w:lineRule="exact"/>
              <w:rPr>
                <w:sz w:val="20"/>
              </w:rPr>
            </w:pPr>
            <w:r>
              <w:rPr>
                <w:rFonts w:hint="eastAsia"/>
                <w:sz w:val="20"/>
              </w:rPr>
              <w:t>年均增长率</w:t>
            </w:r>
            <w:r>
              <w:rPr>
                <w:sz w:val="20"/>
              </w:rPr>
              <w:t>(%)</w:t>
            </w:r>
          </w:p>
        </w:tc>
        <w:tc>
          <w:tcPr>
            <w:tcW w:w="1854" w:type="dxa"/>
          </w:tcPr>
          <w:p w:rsidR="00000000" w:rsidRDefault="009C1C61">
            <w:pPr>
              <w:pStyle w:val="a2"/>
              <w:spacing w:before="40" w:line="220" w:lineRule="exact"/>
              <w:ind w:right="227"/>
              <w:jc w:val="right"/>
              <w:rPr>
                <w:sz w:val="20"/>
              </w:rPr>
            </w:pPr>
            <w:r>
              <w:rPr>
                <w:sz w:val="20"/>
              </w:rPr>
              <w:t>9.3</w:t>
            </w:r>
          </w:p>
        </w:tc>
        <w:tc>
          <w:tcPr>
            <w:tcW w:w="2163" w:type="dxa"/>
          </w:tcPr>
          <w:p w:rsidR="00000000" w:rsidRDefault="009C1C61">
            <w:pPr>
              <w:pStyle w:val="a2"/>
              <w:spacing w:before="40" w:line="220" w:lineRule="exact"/>
              <w:ind w:right="227"/>
              <w:jc w:val="right"/>
              <w:rPr>
                <w:sz w:val="20"/>
              </w:rPr>
            </w:pPr>
          </w:p>
        </w:tc>
        <w:tc>
          <w:tcPr>
            <w:tcW w:w="1832" w:type="dxa"/>
          </w:tcPr>
          <w:p w:rsidR="00000000" w:rsidRDefault="009C1C61">
            <w:pPr>
              <w:pStyle w:val="a2"/>
              <w:spacing w:before="40" w:line="220" w:lineRule="exact"/>
              <w:ind w:right="227"/>
              <w:jc w:val="right"/>
              <w:rPr>
                <w:sz w:val="20"/>
              </w:rPr>
            </w:pPr>
            <w:r>
              <w:rPr>
                <w:sz w:val="20"/>
              </w:rPr>
              <w:t>9.7</w:t>
            </w:r>
          </w:p>
        </w:tc>
      </w:tr>
      <w:tr w:rsidR="00000000">
        <w:tblPrEx>
          <w:tblCellMar>
            <w:top w:w="0" w:type="dxa"/>
            <w:bottom w:w="0" w:type="dxa"/>
          </w:tblCellMar>
        </w:tblPrEx>
        <w:trPr>
          <w:cantSplit/>
          <w:jc w:val="center"/>
        </w:trPr>
        <w:tc>
          <w:tcPr>
            <w:tcW w:w="3316" w:type="dxa"/>
            <w:gridSpan w:val="2"/>
          </w:tcPr>
          <w:p w:rsidR="00000000" w:rsidRDefault="009C1C61">
            <w:pPr>
              <w:pStyle w:val="a2"/>
              <w:spacing w:before="40" w:line="220" w:lineRule="exact"/>
              <w:rPr>
                <w:sz w:val="20"/>
              </w:rPr>
            </w:pPr>
            <w:r>
              <w:rPr>
                <w:rFonts w:hint="eastAsia"/>
                <w:sz w:val="20"/>
              </w:rPr>
              <w:t>累计增长率</w:t>
            </w:r>
            <w:r>
              <w:rPr>
                <w:sz w:val="20"/>
              </w:rPr>
              <w:t>(%)</w:t>
            </w:r>
          </w:p>
        </w:tc>
        <w:tc>
          <w:tcPr>
            <w:tcW w:w="1854" w:type="dxa"/>
          </w:tcPr>
          <w:p w:rsidR="00000000" w:rsidRDefault="009C1C61">
            <w:pPr>
              <w:pStyle w:val="a2"/>
              <w:spacing w:before="40" w:line="220" w:lineRule="exact"/>
              <w:ind w:right="227"/>
              <w:jc w:val="right"/>
              <w:rPr>
                <w:sz w:val="20"/>
              </w:rPr>
            </w:pPr>
            <w:r>
              <w:rPr>
                <w:sz w:val="20"/>
              </w:rPr>
              <w:t>165.0</w:t>
            </w:r>
          </w:p>
        </w:tc>
        <w:tc>
          <w:tcPr>
            <w:tcW w:w="2163" w:type="dxa"/>
          </w:tcPr>
          <w:p w:rsidR="00000000" w:rsidRDefault="009C1C61">
            <w:pPr>
              <w:pStyle w:val="a2"/>
              <w:spacing w:before="40" w:line="220" w:lineRule="exact"/>
              <w:ind w:right="227"/>
              <w:jc w:val="right"/>
              <w:rPr>
                <w:sz w:val="20"/>
              </w:rPr>
            </w:pPr>
          </w:p>
        </w:tc>
        <w:tc>
          <w:tcPr>
            <w:tcW w:w="1832" w:type="dxa"/>
          </w:tcPr>
          <w:p w:rsidR="00000000" w:rsidRDefault="009C1C61">
            <w:pPr>
              <w:pStyle w:val="a2"/>
              <w:spacing w:before="40" w:line="220" w:lineRule="exact"/>
              <w:ind w:right="227"/>
              <w:jc w:val="right"/>
              <w:rPr>
                <w:sz w:val="20"/>
              </w:rPr>
            </w:pPr>
            <w:r>
              <w:rPr>
                <w:sz w:val="20"/>
              </w:rPr>
              <w:t>176.0</w:t>
            </w:r>
          </w:p>
        </w:tc>
      </w:tr>
    </w:tbl>
    <w:p w:rsidR="00000000" w:rsidRDefault="009C1C61">
      <w:pPr>
        <w:spacing w:before="240" w:line="240" w:lineRule="auto"/>
        <w:ind w:left="510"/>
        <w:rPr>
          <w:rFonts w:eastAsia="KaiTi_GB2312"/>
          <w:spacing w:val="0"/>
          <w:sz w:val="20"/>
        </w:rPr>
      </w:pPr>
      <w:r>
        <w:rPr>
          <w:rFonts w:eastAsia="KaiTi_GB2312" w:hint="eastAsia"/>
          <w:spacing w:val="0"/>
          <w:sz w:val="20"/>
          <w:u w:val="single"/>
        </w:rPr>
        <w:t>资料来源</w:t>
      </w:r>
      <w:r>
        <w:rPr>
          <w:rFonts w:eastAsia="KaiTi_GB2312"/>
          <w:spacing w:val="0"/>
          <w:sz w:val="20"/>
        </w:rPr>
        <w:t>：</w:t>
      </w:r>
      <w:r>
        <w:rPr>
          <w:rFonts w:eastAsia="KaiTi_GB2312" w:hint="eastAsia"/>
          <w:spacing w:val="0"/>
          <w:sz w:val="20"/>
        </w:rPr>
        <w:t>经济部，规合部《经济和社会指标》。</w:t>
      </w:r>
    </w:p>
    <w:p w:rsidR="00000000" w:rsidRDefault="009C1C61">
      <w:pPr>
        <w:rPr>
          <w:rFonts w:hint="eastAsia"/>
          <w:spacing w:val="4"/>
        </w:rPr>
      </w:pPr>
      <w:r>
        <w:rPr>
          <w:rFonts w:hint="eastAsia"/>
          <w:spacing w:val="4"/>
        </w:rPr>
        <w:tab/>
      </w:r>
      <w:r>
        <w:rPr>
          <w:spacing w:val="4"/>
        </w:rPr>
        <w:t>74</w:t>
      </w:r>
      <w:r>
        <w:rPr>
          <w:rFonts w:hint="eastAsia"/>
          <w:spacing w:val="4"/>
        </w:rPr>
        <w:t>4.</w:t>
      </w:r>
      <w:r>
        <w:rPr>
          <w:spacing w:val="4"/>
        </w:rPr>
        <w:t xml:space="preserve">  </w:t>
      </w:r>
      <w:r>
        <w:rPr>
          <w:spacing w:val="4"/>
          <w:szCs w:val="24"/>
        </w:rPr>
        <w:t>1989</w:t>
      </w:r>
      <w:r>
        <w:rPr>
          <w:rFonts w:hint="eastAsia"/>
          <w:spacing w:val="4"/>
          <w:szCs w:val="24"/>
        </w:rPr>
        <w:t>至</w:t>
      </w:r>
      <w:r>
        <w:rPr>
          <w:spacing w:val="4"/>
          <w:szCs w:val="24"/>
        </w:rPr>
        <w:t>2000</w:t>
      </w:r>
      <w:r>
        <w:rPr>
          <w:rFonts w:hint="eastAsia"/>
          <w:spacing w:val="4"/>
          <w:szCs w:val="24"/>
        </w:rPr>
        <w:t>年期间</w:t>
      </w:r>
      <w:r>
        <w:rPr>
          <w:spacing w:val="4"/>
          <w:szCs w:val="24"/>
        </w:rPr>
        <w:t>，</w:t>
      </w:r>
      <w:r>
        <w:rPr>
          <w:rFonts w:hint="eastAsia"/>
          <w:spacing w:val="4"/>
          <w:szCs w:val="24"/>
        </w:rPr>
        <w:t>几乎所有公共教育支出都来自于财政收入。</w:t>
      </w:r>
      <w:r>
        <w:rPr>
          <w:spacing w:val="4"/>
          <w:szCs w:val="24"/>
        </w:rPr>
        <w:t>1990</w:t>
      </w:r>
      <w:r>
        <w:rPr>
          <w:rFonts w:hint="eastAsia"/>
          <w:spacing w:val="4"/>
          <w:szCs w:val="24"/>
        </w:rPr>
        <w:t>年的比例为</w:t>
      </w:r>
      <w:r>
        <w:rPr>
          <w:spacing w:val="4"/>
          <w:szCs w:val="24"/>
        </w:rPr>
        <w:t>98.4%</w:t>
      </w:r>
      <w:r>
        <w:rPr>
          <w:spacing w:val="4"/>
          <w:szCs w:val="24"/>
        </w:rPr>
        <w:t>；</w:t>
      </w:r>
      <w:r>
        <w:rPr>
          <w:rFonts w:hint="eastAsia"/>
          <w:spacing w:val="4"/>
          <w:szCs w:val="24"/>
        </w:rPr>
        <w:t>至</w:t>
      </w:r>
      <w:r>
        <w:rPr>
          <w:spacing w:val="4"/>
          <w:szCs w:val="24"/>
        </w:rPr>
        <w:t>1995</w:t>
      </w:r>
      <w:r>
        <w:rPr>
          <w:rFonts w:hint="eastAsia"/>
          <w:spacing w:val="4"/>
          <w:szCs w:val="24"/>
        </w:rPr>
        <w:t>年则上升为</w:t>
      </w:r>
      <w:r>
        <w:rPr>
          <w:spacing w:val="4"/>
          <w:szCs w:val="24"/>
        </w:rPr>
        <w:t>98.3%</w:t>
      </w:r>
      <w:r>
        <w:rPr>
          <w:rFonts w:hint="eastAsia"/>
          <w:spacing w:val="4"/>
          <w:szCs w:val="24"/>
        </w:rPr>
        <w:t>，截至</w:t>
      </w:r>
      <w:r>
        <w:rPr>
          <w:spacing w:val="4"/>
          <w:szCs w:val="24"/>
        </w:rPr>
        <w:t>2000</w:t>
      </w:r>
      <w:r>
        <w:rPr>
          <w:rFonts w:hint="eastAsia"/>
          <w:spacing w:val="4"/>
          <w:szCs w:val="24"/>
        </w:rPr>
        <w:t>年，比例高达</w:t>
      </w:r>
      <w:r>
        <w:rPr>
          <w:spacing w:val="4"/>
          <w:szCs w:val="24"/>
        </w:rPr>
        <w:t>100.4%</w:t>
      </w:r>
      <w:r>
        <w:rPr>
          <w:rFonts w:hint="eastAsia"/>
          <w:spacing w:val="4"/>
          <w:szCs w:val="24"/>
        </w:rPr>
        <w:t>。此外，社会公共支出用于教育部分的比例在</w:t>
      </w:r>
      <w:r>
        <w:rPr>
          <w:spacing w:val="4"/>
          <w:szCs w:val="24"/>
        </w:rPr>
        <w:t>1990</w:t>
      </w:r>
      <w:r>
        <w:rPr>
          <w:rFonts w:hint="eastAsia"/>
          <w:spacing w:val="4"/>
          <w:szCs w:val="24"/>
        </w:rPr>
        <w:t>至</w:t>
      </w:r>
      <w:r>
        <w:rPr>
          <w:spacing w:val="4"/>
          <w:szCs w:val="24"/>
        </w:rPr>
        <w:t>1995</w:t>
      </w:r>
      <w:r>
        <w:rPr>
          <w:rFonts w:hint="eastAsia"/>
          <w:spacing w:val="4"/>
          <w:szCs w:val="24"/>
        </w:rPr>
        <w:t>年期间从</w:t>
      </w:r>
      <w:r>
        <w:rPr>
          <w:spacing w:val="4"/>
          <w:szCs w:val="24"/>
        </w:rPr>
        <w:t>20.2%</w:t>
      </w:r>
      <w:r>
        <w:rPr>
          <w:rFonts w:hint="eastAsia"/>
          <w:spacing w:val="4"/>
          <w:szCs w:val="24"/>
        </w:rPr>
        <w:t>增至</w:t>
      </w:r>
      <w:r>
        <w:rPr>
          <w:spacing w:val="4"/>
          <w:szCs w:val="24"/>
        </w:rPr>
        <w:t xml:space="preserve">25.2% </w:t>
      </w:r>
      <w:r>
        <w:rPr>
          <w:rFonts w:hint="eastAsia"/>
          <w:spacing w:val="4"/>
          <w:szCs w:val="24"/>
        </w:rPr>
        <w:t>，</w:t>
      </w:r>
      <w:r>
        <w:rPr>
          <w:rFonts w:hint="eastAsia"/>
          <w:spacing w:val="4"/>
          <w:szCs w:val="24"/>
        </w:rPr>
        <w:t>2000</w:t>
      </w:r>
      <w:r>
        <w:rPr>
          <w:rFonts w:hint="eastAsia"/>
          <w:spacing w:val="4"/>
          <w:szCs w:val="24"/>
        </w:rPr>
        <w:t>年则增至</w:t>
      </w:r>
      <w:r>
        <w:rPr>
          <w:spacing w:val="4"/>
          <w:szCs w:val="24"/>
        </w:rPr>
        <w:t>29.9%</w:t>
      </w:r>
      <w:r>
        <w:rPr>
          <w:rFonts w:hint="eastAsia"/>
          <w:spacing w:val="4"/>
          <w:szCs w:val="24"/>
        </w:rPr>
        <w:t>。在</w:t>
      </w:r>
      <w:r>
        <w:rPr>
          <w:spacing w:val="4"/>
          <w:szCs w:val="24"/>
        </w:rPr>
        <w:t>1989</w:t>
      </w:r>
      <w:r>
        <w:rPr>
          <w:rFonts w:hint="eastAsia"/>
          <w:spacing w:val="4"/>
          <w:szCs w:val="24"/>
        </w:rPr>
        <w:t>至</w:t>
      </w:r>
      <w:r>
        <w:rPr>
          <w:spacing w:val="4"/>
          <w:szCs w:val="24"/>
        </w:rPr>
        <w:t>2000</w:t>
      </w:r>
      <w:r>
        <w:rPr>
          <w:rFonts w:hint="eastAsia"/>
          <w:spacing w:val="4"/>
          <w:szCs w:val="24"/>
        </w:rPr>
        <w:t>年期间</w:t>
      </w:r>
      <w:r>
        <w:rPr>
          <w:spacing w:val="4"/>
          <w:szCs w:val="24"/>
        </w:rPr>
        <w:t>，</w:t>
      </w:r>
      <w:r>
        <w:rPr>
          <w:rFonts w:hint="eastAsia"/>
          <w:spacing w:val="4"/>
          <w:szCs w:val="24"/>
        </w:rPr>
        <w:t>公共教育支出份额和国内生产总值财政教育支出部分分别自</w:t>
      </w:r>
      <w:r>
        <w:rPr>
          <w:spacing w:val="4"/>
          <w:szCs w:val="24"/>
        </w:rPr>
        <w:t>2.</w:t>
      </w:r>
      <w:r>
        <w:rPr>
          <w:spacing w:val="4"/>
          <w:szCs w:val="24"/>
        </w:rPr>
        <w:t>6%</w:t>
      </w:r>
      <w:r>
        <w:rPr>
          <w:rFonts w:hint="eastAsia"/>
          <w:spacing w:val="4"/>
          <w:szCs w:val="24"/>
        </w:rPr>
        <w:t>增至</w:t>
      </w:r>
      <w:r>
        <w:rPr>
          <w:spacing w:val="4"/>
          <w:szCs w:val="24"/>
        </w:rPr>
        <w:t>4.2%</w:t>
      </w:r>
      <w:r>
        <w:rPr>
          <w:rFonts w:hint="eastAsia"/>
          <w:spacing w:val="4"/>
          <w:szCs w:val="24"/>
        </w:rPr>
        <w:t>和</w:t>
      </w:r>
      <w:r>
        <w:rPr>
          <w:spacing w:val="4"/>
          <w:szCs w:val="24"/>
        </w:rPr>
        <w:t>2.5%</w:t>
      </w:r>
      <w:r>
        <w:rPr>
          <w:rFonts w:hint="eastAsia"/>
          <w:spacing w:val="4"/>
          <w:szCs w:val="24"/>
        </w:rPr>
        <w:t>增至</w:t>
      </w:r>
      <w:r>
        <w:rPr>
          <w:spacing w:val="4"/>
          <w:szCs w:val="24"/>
        </w:rPr>
        <w:t>4.2%</w:t>
      </w:r>
      <w:r>
        <w:rPr>
          <w:rFonts w:hint="eastAsia"/>
          <w:spacing w:val="4"/>
          <w:szCs w:val="24"/>
        </w:rPr>
        <w:t>。最后，人均财政教育支出增长</w:t>
      </w:r>
      <w:r>
        <w:rPr>
          <w:spacing w:val="4"/>
          <w:szCs w:val="24"/>
        </w:rPr>
        <w:t>128.6%</w:t>
      </w:r>
      <w:r>
        <w:rPr>
          <w:spacing w:val="4"/>
          <w:szCs w:val="24"/>
        </w:rPr>
        <w:t>，</w:t>
      </w:r>
      <w:r>
        <w:rPr>
          <w:rFonts w:hint="eastAsia"/>
          <w:spacing w:val="4"/>
          <w:szCs w:val="24"/>
        </w:rPr>
        <w:t>而人均公共支出则增长</w:t>
      </w:r>
      <w:r>
        <w:rPr>
          <w:spacing w:val="4"/>
          <w:szCs w:val="24"/>
        </w:rPr>
        <w:t>119.5%</w:t>
      </w:r>
      <w:r>
        <w:rPr>
          <w:rFonts w:hint="eastAsia"/>
          <w:spacing w:val="4"/>
          <w:szCs w:val="24"/>
        </w:rPr>
        <w:t>。在</w:t>
      </w:r>
      <w:r>
        <w:rPr>
          <w:spacing w:val="4"/>
          <w:szCs w:val="24"/>
        </w:rPr>
        <w:t>2000</w:t>
      </w:r>
      <w:r>
        <w:rPr>
          <w:rFonts w:hint="eastAsia"/>
          <w:spacing w:val="4"/>
          <w:szCs w:val="24"/>
        </w:rPr>
        <w:t>年，人均公共教育支出达</w:t>
      </w:r>
      <w:r>
        <w:rPr>
          <w:spacing w:val="4"/>
          <w:szCs w:val="24"/>
        </w:rPr>
        <w:t>826</w:t>
      </w:r>
      <w:r>
        <w:rPr>
          <w:rFonts w:hint="eastAsia"/>
          <w:spacing w:val="4"/>
          <w:szCs w:val="24"/>
        </w:rPr>
        <w:t>美元。</w:t>
      </w:r>
      <w:r>
        <w:rPr>
          <w:rStyle w:val="FootnoteReference"/>
          <w:spacing w:val="4"/>
          <w:szCs w:val="24"/>
        </w:rPr>
        <w:footnoteReference w:id="310"/>
      </w:r>
    </w:p>
    <w:p w:rsidR="00000000" w:rsidRDefault="009C1C61">
      <w:pPr>
        <w:rPr>
          <w:rFonts w:hint="eastAsia"/>
        </w:rPr>
      </w:pPr>
      <w:r>
        <w:rPr>
          <w:rFonts w:hint="eastAsia"/>
        </w:rPr>
        <w:tab/>
      </w:r>
      <w:r>
        <w:t>74</w:t>
      </w:r>
      <w:r>
        <w:rPr>
          <w:rFonts w:hint="eastAsia"/>
        </w:rPr>
        <w:t>5.</w:t>
      </w:r>
      <w:r>
        <w:t xml:space="preserve">  </w:t>
      </w:r>
      <w:r>
        <w:rPr>
          <w:rFonts w:hint="eastAsia"/>
        </w:rPr>
        <w:t>筹措资金的主要来源是财政收入款项，达到教育部门公共预算的</w:t>
      </w:r>
      <w:r>
        <w:rPr>
          <w:rFonts w:hint="eastAsia"/>
        </w:rPr>
        <w:t>99%</w:t>
      </w:r>
      <w:r>
        <w:rPr>
          <w:rFonts w:hint="eastAsia"/>
        </w:rPr>
        <w:t>。转拨款占支出的</w:t>
      </w:r>
      <w:r>
        <w:rPr>
          <w:rFonts w:hint="eastAsia"/>
        </w:rPr>
        <w:t>85.9%</w:t>
      </w:r>
      <w:r>
        <w:rPr>
          <w:rFonts w:hint="eastAsia"/>
        </w:rPr>
        <w:t>，包括补贴费用、转给高等教育拨款等。</w:t>
      </w:r>
      <w:r>
        <w:rPr>
          <w:rStyle w:val="FootnoteReference"/>
        </w:rPr>
        <w:footnoteReference w:id="311"/>
      </w:r>
    </w:p>
    <w:p w:rsidR="00000000" w:rsidRDefault="009C1C61">
      <w:pPr>
        <w:pStyle w:val="Heading4"/>
        <w:spacing w:before="180" w:after="60"/>
        <w:rPr>
          <w:rFonts w:ascii="Time New Roman" w:eastAsia="SimHei" w:hAnsi="Time New Roman" w:hint="eastAsia"/>
          <w:u w:val="none"/>
        </w:rPr>
      </w:pPr>
      <w:r>
        <w:rPr>
          <w:rFonts w:ascii="Time New Roman" w:eastAsia="SimHei" w:hAnsi="Time New Roman" w:hint="eastAsia"/>
          <w:u w:val="none"/>
        </w:rPr>
        <w:t>学校体系中男女生比例和识字率</w:t>
      </w:r>
    </w:p>
    <w:p w:rsidR="00000000" w:rsidRDefault="009C1C61">
      <w:pPr>
        <w:rPr>
          <w:rFonts w:hint="eastAsia"/>
        </w:rPr>
      </w:pPr>
      <w:r>
        <w:rPr>
          <w:rFonts w:hint="eastAsia"/>
        </w:rPr>
        <w:tab/>
      </w:r>
      <w:r>
        <w:t>74</w:t>
      </w:r>
      <w:r>
        <w:rPr>
          <w:rFonts w:hint="eastAsia"/>
        </w:rPr>
        <w:t>6.</w:t>
      </w:r>
      <w:r>
        <w:t xml:space="preserve">  1998</w:t>
      </w:r>
      <w:r>
        <w:rPr>
          <w:rFonts w:hint="eastAsia"/>
        </w:rPr>
        <w:t>年在各种不同教育层次就学的女生比例如下：</w:t>
      </w:r>
      <w:r>
        <w:rPr>
          <w:rFonts w:hint="eastAsia"/>
          <w:noProof/>
        </w:rPr>
        <w:t>学前班</w:t>
      </w:r>
      <w:r>
        <w:t>49.11%</w:t>
      </w:r>
      <w:r>
        <w:t>；</w:t>
      </w:r>
      <w:r>
        <w:rPr>
          <w:rFonts w:hint="eastAsia"/>
        </w:rPr>
        <w:t>小学</w:t>
      </w:r>
      <w:r>
        <w:t>48.58%</w:t>
      </w:r>
      <w:r>
        <w:t>；</w:t>
      </w:r>
      <w:r>
        <w:rPr>
          <w:rFonts w:hint="eastAsia"/>
        </w:rPr>
        <w:t>中学</w:t>
      </w:r>
      <w:r>
        <w:t>50.8%</w:t>
      </w:r>
      <w:r>
        <w:rPr>
          <w:rFonts w:hint="eastAsia"/>
        </w:rPr>
        <w:t>。</w:t>
      </w:r>
      <w:r>
        <w:t>1998</w:t>
      </w:r>
      <w:r>
        <w:rPr>
          <w:rFonts w:hint="eastAsia"/>
        </w:rPr>
        <w:t>年，有</w:t>
      </w:r>
      <w:r>
        <w:t>1,786</w:t>
      </w:r>
      <w:r>
        <w:rPr>
          <w:rFonts w:hint="eastAsia"/>
        </w:rPr>
        <w:t>人摘掉文盲帽子，其中</w:t>
      </w:r>
      <w:r>
        <w:t xml:space="preserve">32.2% </w:t>
      </w:r>
      <w:r>
        <w:rPr>
          <w:rFonts w:hint="eastAsia"/>
        </w:rPr>
        <w:t>为女性</w:t>
      </w:r>
      <w:r>
        <w:rPr>
          <w:rFonts w:hint="eastAsia"/>
        </w:rPr>
        <w:t>。</w:t>
      </w:r>
    </w:p>
    <w:p w:rsidR="00000000" w:rsidRDefault="009C1C61">
      <w:pPr>
        <w:pStyle w:val="Heading4"/>
        <w:spacing w:before="180" w:after="60"/>
        <w:rPr>
          <w:rFonts w:ascii="Time New Roman" w:eastAsia="SimHei" w:hAnsi="Time New Roman" w:hint="eastAsia"/>
          <w:u w:val="none"/>
        </w:rPr>
      </w:pPr>
      <w:r>
        <w:rPr>
          <w:rFonts w:ascii="Time New Roman" w:eastAsia="SimHei" w:hAnsi="Time New Roman" w:hint="eastAsia"/>
          <w:u w:val="none"/>
        </w:rPr>
        <w:t>教育平等</w:t>
      </w:r>
    </w:p>
    <w:p w:rsidR="00000000" w:rsidRDefault="009C1C61">
      <w:pPr>
        <w:rPr>
          <w:rFonts w:ascii="Time New Roman" w:hAnsi="Time New Roman" w:hint="eastAsia"/>
        </w:rPr>
      </w:pPr>
      <w:r>
        <w:rPr>
          <w:rFonts w:hint="eastAsia"/>
        </w:rPr>
        <w:tab/>
      </w:r>
      <w:r>
        <w:t>74</w:t>
      </w:r>
      <w:r>
        <w:rPr>
          <w:rFonts w:hint="eastAsia"/>
        </w:rPr>
        <w:t>7.</w:t>
      </w:r>
      <w:r>
        <w:t xml:space="preserve">  </w:t>
      </w:r>
      <w:r>
        <w:rPr>
          <w:rFonts w:hint="eastAsia"/>
        </w:rPr>
        <w:t>自</w:t>
      </w:r>
      <w:r>
        <w:rPr>
          <w:rFonts w:hint="eastAsia"/>
        </w:rPr>
        <w:t>1990</w:t>
      </w:r>
      <w:r>
        <w:rPr>
          <w:rFonts w:hint="eastAsia"/>
        </w:rPr>
        <w:t>至</w:t>
      </w:r>
      <w:r>
        <w:rPr>
          <w:rFonts w:hint="eastAsia"/>
        </w:rPr>
        <w:t>1998</w:t>
      </w:r>
      <w:r>
        <w:rPr>
          <w:rFonts w:hint="eastAsia"/>
        </w:rPr>
        <w:t>年，人口中属于收入五等分层的第一和第五层的两个部分之间的小学和中学教育覆盖率的差距均有下降。然而，</w:t>
      </w:r>
      <w:r>
        <w:rPr>
          <w:rFonts w:hint="eastAsia"/>
          <w:noProof/>
        </w:rPr>
        <w:t>学龄前</w:t>
      </w:r>
      <w:r>
        <w:rPr>
          <w:rFonts w:hint="eastAsia"/>
        </w:rPr>
        <w:t>教育的情况并非如此</w:t>
      </w:r>
      <w:r>
        <w:rPr>
          <w:rFonts w:hint="eastAsia"/>
        </w:rPr>
        <w:t>(</w:t>
      </w:r>
      <w:r>
        <w:rPr>
          <w:rFonts w:hint="eastAsia"/>
        </w:rPr>
        <w:t>见表</w:t>
      </w:r>
      <w:r>
        <w:rPr>
          <w:rFonts w:hint="eastAsia"/>
        </w:rPr>
        <w:t>43)</w:t>
      </w:r>
      <w:r>
        <w:rPr>
          <w:rFonts w:hint="eastAsia"/>
        </w:rPr>
        <w:t>。</w:t>
      </w:r>
    </w:p>
    <w:p w:rsidR="00000000" w:rsidRDefault="009C1C61">
      <w:pPr>
        <w:spacing w:before="300" w:line="240" w:lineRule="auto"/>
        <w:jc w:val="center"/>
        <w:rPr>
          <w:rFonts w:eastAsia="SimHei"/>
          <w:spacing w:val="0"/>
        </w:rPr>
      </w:pPr>
      <w:r>
        <w:rPr>
          <w:rFonts w:eastAsia="SimHei"/>
        </w:rPr>
        <w:t>表</w:t>
      </w:r>
      <w:r>
        <w:rPr>
          <w:rFonts w:eastAsia="SimHei"/>
        </w:rPr>
        <w:t xml:space="preserve"> </w:t>
      </w:r>
      <w:r>
        <w:rPr>
          <w:rFonts w:eastAsia="SimHei"/>
          <w:b/>
        </w:rPr>
        <w:t>43</w:t>
      </w:r>
      <w:r>
        <w:rPr>
          <w:rFonts w:eastAsia="SimHei"/>
          <w:b/>
        </w:rPr>
        <w:br/>
      </w:r>
      <w:r>
        <w:rPr>
          <w:rFonts w:eastAsia="SimHei" w:hint="eastAsia"/>
          <w:b/>
        </w:rPr>
        <w:t>根据</w:t>
      </w:r>
      <w:r>
        <w:rPr>
          <w:rFonts w:eastAsia="SimHei"/>
          <w:b/>
        </w:rPr>
        <w:t>1990</w:t>
      </w:r>
      <w:r>
        <w:rPr>
          <w:rFonts w:eastAsia="SimHei" w:hint="eastAsia"/>
          <w:bCs/>
        </w:rPr>
        <w:t>至</w:t>
      </w:r>
      <w:r>
        <w:rPr>
          <w:rFonts w:eastAsia="SimHei"/>
          <w:b/>
        </w:rPr>
        <w:t>1998</w:t>
      </w:r>
      <w:r>
        <w:rPr>
          <w:rFonts w:eastAsia="SimHei" w:hint="eastAsia"/>
        </w:rPr>
        <w:t>年智利独立户人均收入五等分层的</w:t>
      </w:r>
      <w:r>
        <w:rPr>
          <w:rFonts w:eastAsia="SimHei"/>
        </w:rPr>
        <w:br/>
      </w:r>
      <w:r>
        <w:rPr>
          <w:rFonts w:eastAsia="SimHei" w:hint="eastAsia"/>
        </w:rPr>
        <w:t>第一层和第五层按教育层次分列的覆盖率</w:t>
      </w:r>
      <w:r>
        <w:rPr>
          <w:rFonts w:eastAsia="SimHei" w:hint="eastAsia"/>
          <w:lang w:val="en-GB"/>
        </w:rPr>
        <w:t>：</w:t>
      </w:r>
      <w:r>
        <w:rPr>
          <w:rFonts w:eastAsia="SimHei"/>
        </w:rPr>
        <w:br/>
      </w:r>
      <w:r>
        <w:rPr>
          <w:rFonts w:eastAsia="SimHei"/>
          <w:spacing w:val="0"/>
        </w:rPr>
        <w:t>(</w:t>
      </w:r>
      <w:r>
        <w:rPr>
          <w:rFonts w:eastAsia="SimHei" w:hint="eastAsia"/>
          <w:spacing w:val="0"/>
        </w:rPr>
        <w:t>百分比</w:t>
      </w:r>
      <w:r>
        <w:rPr>
          <w:rFonts w:eastAsia="SimHei"/>
          <w:spacing w:val="0"/>
        </w:rPr>
        <w:t>)</w:t>
      </w:r>
    </w:p>
    <w:tbl>
      <w:tblPr>
        <w:tblW w:w="0" w:type="auto"/>
        <w:jc w:val="center"/>
        <w:tblInd w:w="30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281"/>
        <w:gridCol w:w="2080"/>
        <w:gridCol w:w="2015"/>
      </w:tblGrid>
      <w:tr w:rsidR="00000000">
        <w:tblPrEx>
          <w:tblCellMar>
            <w:top w:w="0" w:type="dxa"/>
            <w:bottom w:w="0" w:type="dxa"/>
          </w:tblCellMar>
        </w:tblPrEx>
        <w:trPr>
          <w:cantSplit/>
          <w:tblHeader/>
          <w:jc w:val="center"/>
        </w:trPr>
        <w:tc>
          <w:tcPr>
            <w:tcW w:w="2281" w:type="dxa"/>
            <w:vMerge w:val="restart"/>
          </w:tcPr>
          <w:p w:rsidR="00000000" w:rsidRDefault="009C1C61">
            <w:pPr>
              <w:pStyle w:val="a2"/>
              <w:spacing w:before="20" w:line="220" w:lineRule="exact"/>
            </w:pPr>
          </w:p>
        </w:tc>
        <w:tc>
          <w:tcPr>
            <w:tcW w:w="4095" w:type="dxa"/>
            <w:gridSpan w:val="2"/>
          </w:tcPr>
          <w:p w:rsidR="00000000" w:rsidRDefault="009C1C61">
            <w:pPr>
              <w:pStyle w:val="a2"/>
              <w:spacing w:before="20" w:line="220" w:lineRule="exact"/>
              <w:jc w:val="center"/>
              <w:rPr>
                <w:rFonts w:hint="eastAsia"/>
              </w:rPr>
            </w:pPr>
            <w:r>
              <w:rPr>
                <w:rFonts w:hint="eastAsia"/>
              </w:rPr>
              <w:t>收入五等分层</w:t>
            </w:r>
          </w:p>
        </w:tc>
      </w:tr>
      <w:tr w:rsidR="00000000">
        <w:tblPrEx>
          <w:tblCellMar>
            <w:top w:w="0" w:type="dxa"/>
            <w:bottom w:w="0" w:type="dxa"/>
          </w:tblCellMar>
        </w:tblPrEx>
        <w:trPr>
          <w:cantSplit/>
          <w:tblHeader/>
          <w:jc w:val="center"/>
        </w:trPr>
        <w:tc>
          <w:tcPr>
            <w:tcW w:w="2281" w:type="dxa"/>
            <w:vMerge/>
          </w:tcPr>
          <w:p w:rsidR="00000000" w:rsidRDefault="009C1C61">
            <w:pPr>
              <w:pStyle w:val="a2"/>
              <w:spacing w:before="20" w:line="220" w:lineRule="exact"/>
            </w:pPr>
          </w:p>
        </w:tc>
        <w:tc>
          <w:tcPr>
            <w:tcW w:w="2080" w:type="dxa"/>
          </w:tcPr>
          <w:p w:rsidR="00000000" w:rsidRDefault="009C1C61">
            <w:pPr>
              <w:pStyle w:val="a2"/>
              <w:spacing w:before="20" w:line="220" w:lineRule="exact"/>
              <w:jc w:val="center"/>
              <w:rPr>
                <w:rFonts w:hint="eastAsia"/>
              </w:rPr>
            </w:pPr>
            <w:r>
              <w:rPr>
                <w:rFonts w:hint="eastAsia"/>
              </w:rPr>
              <w:t>第一层</w:t>
            </w:r>
          </w:p>
        </w:tc>
        <w:tc>
          <w:tcPr>
            <w:tcW w:w="2015" w:type="dxa"/>
          </w:tcPr>
          <w:p w:rsidR="00000000" w:rsidRDefault="009C1C61">
            <w:pPr>
              <w:pStyle w:val="a2"/>
              <w:spacing w:before="20" w:line="220" w:lineRule="exact"/>
              <w:jc w:val="center"/>
              <w:rPr>
                <w:rFonts w:hint="eastAsia"/>
              </w:rPr>
            </w:pPr>
            <w:r>
              <w:rPr>
                <w:rFonts w:hint="eastAsia"/>
              </w:rPr>
              <w:t>第五层</w:t>
            </w:r>
          </w:p>
        </w:tc>
      </w:tr>
      <w:tr w:rsidR="00000000">
        <w:tblPrEx>
          <w:tblCellMar>
            <w:top w:w="0" w:type="dxa"/>
            <w:bottom w:w="0" w:type="dxa"/>
          </w:tblCellMar>
        </w:tblPrEx>
        <w:trPr>
          <w:jc w:val="center"/>
        </w:trPr>
        <w:tc>
          <w:tcPr>
            <w:tcW w:w="2281" w:type="dxa"/>
            <w:tcBorders>
              <w:bottom w:val="nil"/>
            </w:tcBorders>
          </w:tcPr>
          <w:p w:rsidR="00000000" w:rsidRDefault="009C1C61">
            <w:pPr>
              <w:pStyle w:val="a2"/>
              <w:spacing w:before="20" w:line="220" w:lineRule="exact"/>
              <w:rPr>
                <w:rFonts w:hint="eastAsia"/>
              </w:rPr>
            </w:pPr>
            <w:r>
              <w:t>学前</w:t>
            </w:r>
            <w:r>
              <w:rPr>
                <w:rFonts w:hint="eastAsia"/>
              </w:rPr>
              <w:t>教育</w:t>
            </w:r>
          </w:p>
        </w:tc>
        <w:tc>
          <w:tcPr>
            <w:tcW w:w="2080" w:type="dxa"/>
            <w:tcBorders>
              <w:bottom w:val="nil"/>
            </w:tcBorders>
          </w:tcPr>
          <w:p w:rsidR="00000000" w:rsidRDefault="009C1C61">
            <w:pPr>
              <w:pStyle w:val="a2"/>
              <w:spacing w:before="20" w:line="220" w:lineRule="exact"/>
            </w:pPr>
          </w:p>
        </w:tc>
        <w:tc>
          <w:tcPr>
            <w:tcW w:w="2015" w:type="dxa"/>
            <w:tcBorders>
              <w:bottom w:val="nil"/>
            </w:tcBorders>
          </w:tcPr>
          <w:p w:rsidR="00000000" w:rsidRDefault="009C1C61">
            <w:pPr>
              <w:pStyle w:val="a2"/>
              <w:spacing w:before="20" w:line="220" w:lineRule="exact"/>
            </w:pPr>
          </w:p>
        </w:tc>
      </w:tr>
      <w:tr w:rsidR="00000000">
        <w:tblPrEx>
          <w:tblCellMar>
            <w:top w:w="0" w:type="dxa"/>
            <w:bottom w:w="0" w:type="dxa"/>
          </w:tblCellMar>
        </w:tblPrEx>
        <w:trPr>
          <w:jc w:val="center"/>
        </w:trPr>
        <w:tc>
          <w:tcPr>
            <w:tcW w:w="2281" w:type="dxa"/>
            <w:tcBorders>
              <w:top w:val="nil"/>
              <w:bottom w:val="nil"/>
            </w:tcBorders>
          </w:tcPr>
          <w:p w:rsidR="00000000" w:rsidRDefault="009C1C61">
            <w:pPr>
              <w:pStyle w:val="a2"/>
              <w:spacing w:before="20" w:line="220" w:lineRule="exact"/>
              <w:ind w:left="260"/>
            </w:pPr>
            <w:r>
              <w:t>1990</w:t>
            </w:r>
          </w:p>
        </w:tc>
        <w:tc>
          <w:tcPr>
            <w:tcW w:w="2080" w:type="dxa"/>
            <w:tcBorders>
              <w:top w:val="nil"/>
              <w:bottom w:val="nil"/>
            </w:tcBorders>
          </w:tcPr>
          <w:p w:rsidR="00000000" w:rsidRDefault="009C1C61">
            <w:pPr>
              <w:pStyle w:val="a2"/>
              <w:tabs>
                <w:tab w:val="decimal" w:pos="886"/>
              </w:tabs>
              <w:spacing w:before="20" w:line="220" w:lineRule="exact"/>
            </w:pPr>
            <w:r>
              <w:t>16.9</w:t>
            </w:r>
          </w:p>
        </w:tc>
        <w:tc>
          <w:tcPr>
            <w:tcW w:w="2015" w:type="dxa"/>
            <w:tcBorders>
              <w:top w:val="nil"/>
              <w:bottom w:val="nil"/>
            </w:tcBorders>
          </w:tcPr>
          <w:p w:rsidR="00000000" w:rsidRDefault="009C1C61">
            <w:pPr>
              <w:pStyle w:val="a2"/>
              <w:tabs>
                <w:tab w:val="decimal" w:pos="886"/>
              </w:tabs>
              <w:spacing w:before="20" w:line="220" w:lineRule="exact"/>
            </w:pPr>
            <w:r>
              <w:t>32.4</w:t>
            </w:r>
          </w:p>
        </w:tc>
      </w:tr>
      <w:tr w:rsidR="00000000">
        <w:tblPrEx>
          <w:tblCellMar>
            <w:top w:w="0" w:type="dxa"/>
            <w:bottom w:w="0" w:type="dxa"/>
          </w:tblCellMar>
        </w:tblPrEx>
        <w:trPr>
          <w:jc w:val="center"/>
        </w:trPr>
        <w:tc>
          <w:tcPr>
            <w:tcW w:w="2281" w:type="dxa"/>
            <w:tcBorders>
              <w:top w:val="nil"/>
            </w:tcBorders>
          </w:tcPr>
          <w:p w:rsidR="00000000" w:rsidRDefault="009C1C61">
            <w:pPr>
              <w:pStyle w:val="a2"/>
              <w:spacing w:before="20" w:line="220" w:lineRule="exact"/>
              <w:ind w:left="260"/>
            </w:pPr>
            <w:r>
              <w:t>1998</w:t>
            </w:r>
          </w:p>
        </w:tc>
        <w:tc>
          <w:tcPr>
            <w:tcW w:w="2080" w:type="dxa"/>
            <w:tcBorders>
              <w:top w:val="nil"/>
            </w:tcBorders>
          </w:tcPr>
          <w:p w:rsidR="00000000" w:rsidRDefault="009C1C61">
            <w:pPr>
              <w:pStyle w:val="a2"/>
              <w:tabs>
                <w:tab w:val="decimal" w:pos="886"/>
              </w:tabs>
              <w:spacing w:before="20" w:line="220" w:lineRule="exact"/>
            </w:pPr>
            <w:r>
              <w:t>23.6</w:t>
            </w:r>
          </w:p>
        </w:tc>
        <w:tc>
          <w:tcPr>
            <w:tcW w:w="2015" w:type="dxa"/>
            <w:tcBorders>
              <w:top w:val="nil"/>
            </w:tcBorders>
          </w:tcPr>
          <w:p w:rsidR="00000000" w:rsidRDefault="009C1C61">
            <w:pPr>
              <w:pStyle w:val="a2"/>
              <w:tabs>
                <w:tab w:val="decimal" w:pos="886"/>
              </w:tabs>
              <w:spacing w:before="20" w:line="220" w:lineRule="exact"/>
            </w:pPr>
            <w:r>
              <w:t>44.8</w:t>
            </w:r>
          </w:p>
        </w:tc>
      </w:tr>
      <w:tr w:rsidR="00000000">
        <w:tblPrEx>
          <w:tblCellMar>
            <w:top w:w="0" w:type="dxa"/>
            <w:bottom w:w="0" w:type="dxa"/>
          </w:tblCellMar>
        </w:tblPrEx>
        <w:trPr>
          <w:jc w:val="center"/>
        </w:trPr>
        <w:tc>
          <w:tcPr>
            <w:tcW w:w="2281" w:type="dxa"/>
            <w:tcBorders>
              <w:bottom w:val="nil"/>
            </w:tcBorders>
          </w:tcPr>
          <w:p w:rsidR="00000000" w:rsidRDefault="009C1C61">
            <w:pPr>
              <w:pStyle w:val="a2"/>
              <w:spacing w:before="20" w:line="220" w:lineRule="exact"/>
            </w:pPr>
            <w:r>
              <w:t>小</w:t>
            </w:r>
            <w:r>
              <w:t xml:space="preserve">  </w:t>
            </w:r>
            <w:r>
              <w:t>学</w:t>
            </w:r>
          </w:p>
        </w:tc>
        <w:tc>
          <w:tcPr>
            <w:tcW w:w="2080" w:type="dxa"/>
            <w:tcBorders>
              <w:bottom w:val="nil"/>
            </w:tcBorders>
          </w:tcPr>
          <w:p w:rsidR="00000000" w:rsidRDefault="009C1C61">
            <w:pPr>
              <w:pStyle w:val="a2"/>
              <w:tabs>
                <w:tab w:val="decimal" w:pos="886"/>
              </w:tabs>
              <w:spacing w:before="20" w:line="220" w:lineRule="exact"/>
            </w:pPr>
          </w:p>
        </w:tc>
        <w:tc>
          <w:tcPr>
            <w:tcW w:w="2015" w:type="dxa"/>
            <w:tcBorders>
              <w:bottom w:val="nil"/>
            </w:tcBorders>
          </w:tcPr>
          <w:p w:rsidR="00000000" w:rsidRDefault="009C1C61">
            <w:pPr>
              <w:pStyle w:val="a2"/>
              <w:tabs>
                <w:tab w:val="decimal" w:pos="886"/>
              </w:tabs>
              <w:spacing w:before="20" w:line="220" w:lineRule="exact"/>
            </w:pPr>
          </w:p>
        </w:tc>
      </w:tr>
      <w:tr w:rsidR="00000000">
        <w:tblPrEx>
          <w:tblCellMar>
            <w:top w:w="0" w:type="dxa"/>
            <w:bottom w:w="0" w:type="dxa"/>
          </w:tblCellMar>
        </w:tblPrEx>
        <w:trPr>
          <w:jc w:val="center"/>
        </w:trPr>
        <w:tc>
          <w:tcPr>
            <w:tcW w:w="2281" w:type="dxa"/>
            <w:tcBorders>
              <w:top w:val="nil"/>
              <w:bottom w:val="nil"/>
            </w:tcBorders>
          </w:tcPr>
          <w:p w:rsidR="00000000" w:rsidRDefault="009C1C61">
            <w:pPr>
              <w:pStyle w:val="a2"/>
              <w:spacing w:before="20" w:line="220" w:lineRule="exact"/>
              <w:ind w:left="260"/>
            </w:pPr>
            <w:r>
              <w:t>1990</w:t>
            </w:r>
          </w:p>
        </w:tc>
        <w:tc>
          <w:tcPr>
            <w:tcW w:w="2080" w:type="dxa"/>
            <w:tcBorders>
              <w:top w:val="nil"/>
              <w:bottom w:val="nil"/>
            </w:tcBorders>
          </w:tcPr>
          <w:p w:rsidR="00000000" w:rsidRDefault="009C1C61">
            <w:pPr>
              <w:pStyle w:val="a2"/>
              <w:tabs>
                <w:tab w:val="decimal" w:pos="886"/>
              </w:tabs>
              <w:spacing w:before="20" w:line="220" w:lineRule="exact"/>
            </w:pPr>
            <w:r>
              <w:t>95.5</w:t>
            </w:r>
          </w:p>
        </w:tc>
        <w:tc>
          <w:tcPr>
            <w:tcW w:w="2015" w:type="dxa"/>
            <w:tcBorders>
              <w:top w:val="nil"/>
              <w:bottom w:val="nil"/>
            </w:tcBorders>
          </w:tcPr>
          <w:p w:rsidR="00000000" w:rsidRDefault="009C1C61">
            <w:pPr>
              <w:pStyle w:val="a2"/>
              <w:tabs>
                <w:tab w:val="decimal" w:pos="886"/>
              </w:tabs>
              <w:spacing w:before="20" w:line="220" w:lineRule="exact"/>
            </w:pPr>
            <w:r>
              <w:t>98.9</w:t>
            </w:r>
          </w:p>
        </w:tc>
      </w:tr>
      <w:tr w:rsidR="00000000">
        <w:tblPrEx>
          <w:tblCellMar>
            <w:top w:w="0" w:type="dxa"/>
            <w:bottom w:w="0" w:type="dxa"/>
          </w:tblCellMar>
        </w:tblPrEx>
        <w:trPr>
          <w:jc w:val="center"/>
        </w:trPr>
        <w:tc>
          <w:tcPr>
            <w:tcW w:w="2281" w:type="dxa"/>
            <w:tcBorders>
              <w:top w:val="nil"/>
            </w:tcBorders>
          </w:tcPr>
          <w:p w:rsidR="00000000" w:rsidRDefault="009C1C61">
            <w:pPr>
              <w:pStyle w:val="a2"/>
              <w:spacing w:before="20" w:line="220" w:lineRule="exact"/>
              <w:ind w:left="260"/>
            </w:pPr>
            <w:r>
              <w:t>1998</w:t>
            </w:r>
          </w:p>
        </w:tc>
        <w:tc>
          <w:tcPr>
            <w:tcW w:w="2080" w:type="dxa"/>
            <w:tcBorders>
              <w:top w:val="nil"/>
            </w:tcBorders>
          </w:tcPr>
          <w:p w:rsidR="00000000" w:rsidRDefault="009C1C61">
            <w:pPr>
              <w:pStyle w:val="a2"/>
              <w:tabs>
                <w:tab w:val="decimal" w:pos="886"/>
              </w:tabs>
              <w:spacing w:before="20" w:line="220" w:lineRule="exact"/>
            </w:pPr>
            <w:r>
              <w:t>97.2</w:t>
            </w:r>
          </w:p>
        </w:tc>
        <w:tc>
          <w:tcPr>
            <w:tcW w:w="2015" w:type="dxa"/>
            <w:tcBorders>
              <w:top w:val="nil"/>
            </w:tcBorders>
          </w:tcPr>
          <w:p w:rsidR="00000000" w:rsidRDefault="009C1C61">
            <w:pPr>
              <w:pStyle w:val="a2"/>
              <w:tabs>
                <w:tab w:val="decimal" w:pos="886"/>
              </w:tabs>
              <w:spacing w:before="20" w:line="220" w:lineRule="exact"/>
            </w:pPr>
            <w:r>
              <w:t>99.5</w:t>
            </w:r>
          </w:p>
        </w:tc>
      </w:tr>
      <w:tr w:rsidR="00000000">
        <w:tblPrEx>
          <w:tblCellMar>
            <w:top w:w="0" w:type="dxa"/>
            <w:bottom w:w="0" w:type="dxa"/>
          </w:tblCellMar>
        </w:tblPrEx>
        <w:trPr>
          <w:jc w:val="center"/>
        </w:trPr>
        <w:tc>
          <w:tcPr>
            <w:tcW w:w="2281" w:type="dxa"/>
            <w:tcBorders>
              <w:bottom w:val="nil"/>
            </w:tcBorders>
          </w:tcPr>
          <w:p w:rsidR="00000000" w:rsidRDefault="009C1C61">
            <w:pPr>
              <w:pStyle w:val="a2"/>
              <w:spacing w:before="20" w:line="220" w:lineRule="exact"/>
            </w:pPr>
            <w:r>
              <w:t>中</w:t>
            </w:r>
            <w:r>
              <w:t xml:space="preserve">  </w:t>
            </w:r>
            <w:r>
              <w:t>学</w:t>
            </w:r>
          </w:p>
        </w:tc>
        <w:tc>
          <w:tcPr>
            <w:tcW w:w="2080" w:type="dxa"/>
            <w:tcBorders>
              <w:bottom w:val="nil"/>
            </w:tcBorders>
          </w:tcPr>
          <w:p w:rsidR="00000000" w:rsidRDefault="009C1C61">
            <w:pPr>
              <w:pStyle w:val="a2"/>
              <w:tabs>
                <w:tab w:val="decimal" w:pos="886"/>
              </w:tabs>
              <w:spacing w:before="20" w:line="220" w:lineRule="exact"/>
            </w:pPr>
          </w:p>
        </w:tc>
        <w:tc>
          <w:tcPr>
            <w:tcW w:w="2015" w:type="dxa"/>
            <w:tcBorders>
              <w:bottom w:val="nil"/>
            </w:tcBorders>
          </w:tcPr>
          <w:p w:rsidR="00000000" w:rsidRDefault="009C1C61">
            <w:pPr>
              <w:pStyle w:val="a2"/>
              <w:tabs>
                <w:tab w:val="decimal" w:pos="886"/>
              </w:tabs>
              <w:spacing w:before="20" w:line="220" w:lineRule="exact"/>
            </w:pPr>
          </w:p>
        </w:tc>
      </w:tr>
      <w:tr w:rsidR="00000000">
        <w:tblPrEx>
          <w:tblCellMar>
            <w:top w:w="0" w:type="dxa"/>
            <w:bottom w:w="0" w:type="dxa"/>
          </w:tblCellMar>
        </w:tblPrEx>
        <w:trPr>
          <w:jc w:val="center"/>
        </w:trPr>
        <w:tc>
          <w:tcPr>
            <w:tcW w:w="2281" w:type="dxa"/>
            <w:tcBorders>
              <w:top w:val="nil"/>
              <w:bottom w:val="nil"/>
            </w:tcBorders>
          </w:tcPr>
          <w:p w:rsidR="00000000" w:rsidRDefault="009C1C61">
            <w:pPr>
              <w:pStyle w:val="a2"/>
              <w:spacing w:before="20" w:line="220" w:lineRule="exact"/>
              <w:ind w:left="260"/>
            </w:pPr>
            <w:r>
              <w:t>1990</w:t>
            </w:r>
          </w:p>
        </w:tc>
        <w:tc>
          <w:tcPr>
            <w:tcW w:w="2080" w:type="dxa"/>
            <w:tcBorders>
              <w:top w:val="nil"/>
              <w:bottom w:val="nil"/>
            </w:tcBorders>
          </w:tcPr>
          <w:p w:rsidR="00000000" w:rsidRDefault="009C1C61">
            <w:pPr>
              <w:pStyle w:val="a2"/>
              <w:tabs>
                <w:tab w:val="decimal" w:pos="886"/>
              </w:tabs>
              <w:spacing w:before="20" w:line="220" w:lineRule="exact"/>
            </w:pPr>
            <w:r>
              <w:t>73.3</w:t>
            </w:r>
          </w:p>
        </w:tc>
        <w:tc>
          <w:tcPr>
            <w:tcW w:w="2015" w:type="dxa"/>
            <w:tcBorders>
              <w:top w:val="nil"/>
              <w:bottom w:val="nil"/>
            </w:tcBorders>
          </w:tcPr>
          <w:p w:rsidR="00000000" w:rsidRDefault="009C1C61">
            <w:pPr>
              <w:pStyle w:val="a2"/>
              <w:tabs>
                <w:tab w:val="decimal" w:pos="886"/>
              </w:tabs>
              <w:spacing w:before="20" w:line="220" w:lineRule="exact"/>
            </w:pPr>
            <w:r>
              <w:t>94.3</w:t>
            </w:r>
          </w:p>
        </w:tc>
      </w:tr>
      <w:tr w:rsidR="00000000">
        <w:tblPrEx>
          <w:tblCellMar>
            <w:top w:w="0" w:type="dxa"/>
            <w:bottom w:w="0" w:type="dxa"/>
          </w:tblCellMar>
        </w:tblPrEx>
        <w:trPr>
          <w:jc w:val="center"/>
        </w:trPr>
        <w:tc>
          <w:tcPr>
            <w:tcW w:w="2281" w:type="dxa"/>
            <w:tcBorders>
              <w:top w:val="nil"/>
            </w:tcBorders>
          </w:tcPr>
          <w:p w:rsidR="00000000" w:rsidRDefault="009C1C61">
            <w:pPr>
              <w:pStyle w:val="a2"/>
              <w:spacing w:before="20" w:line="220" w:lineRule="exact"/>
              <w:ind w:left="260"/>
            </w:pPr>
            <w:r>
              <w:t>1998</w:t>
            </w:r>
          </w:p>
        </w:tc>
        <w:tc>
          <w:tcPr>
            <w:tcW w:w="2080" w:type="dxa"/>
            <w:tcBorders>
              <w:top w:val="nil"/>
            </w:tcBorders>
          </w:tcPr>
          <w:p w:rsidR="00000000" w:rsidRDefault="009C1C61">
            <w:pPr>
              <w:pStyle w:val="a2"/>
              <w:tabs>
                <w:tab w:val="decimal" w:pos="886"/>
              </w:tabs>
              <w:spacing w:before="20" w:line="220" w:lineRule="exact"/>
            </w:pPr>
            <w:r>
              <w:t>77.4</w:t>
            </w:r>
          </w:p>
        </w:tc>
        <w:tc>
          <w:tcPr>
            <w:tcW w:w="2015" w:type="dxa"/>
            <w:tcBorders>
              <w:top w:val="nil"/>
            </w:tcBorders>
          </w:tcPr>
          <w:p w:rsidR="00000000" w:rsidRDefault="009C1C61">
            <w:pPr>
              <w:pStyle w:val="a2"/>
              <w:tabs>
                <w:tab w:val="decimal" w:pos="886"/>
              </w:tabs>
              <w:spacing w:before="20" w:line="220" w:lineRule="exact"/>
            </w:pPr>
            <w:r>
              <w:t>97.7</w:t>
            </w:r>
          </w:p>
        </w:tc>
      </w:tr>
    </w:tbl>
    <w:p w:rsidR="00000000" w:rsidRDefault="009C1C61">
      <w:pPr>
        <w:spacing w:before="80" w:line="480" w:lineRule="auto"/>
        <w:ind w:left="1600"/>
        <w:rPr>
          <w:noProof/>
          <w:sz w:val="20"/>
        </w:rPr>
      </w:pPr>
      <w:r>
        <w:rPr>
          <w:rFonts w:eastAsia="KaiTi_GB2312" w:hint="eastAsia"/>
          <w:spacing w:val="0"/>
          <w:sz w:val="20"/>
          <w:u w:val="single"/>
        </w:rPr>
        <w:t>资料来源</w:t>
      </w:r>
      <w:r>
        <w:rPr>
          <w:rFonts w:eastAsia="KaiTi_GB2312"/>
          <w:spacing w:val="0"/>
          <w:sz w:val="20"/>
        </w:rPr>
        <w:t>：</w:t>
      </w:r>
      <w:r>
        <w:rPr>
          <w:rFonts w:eastAsia="KaiTi_GB2312" w:hint="eastAsia"/>
          <w:spacing w:val="0"/>
          <w:sz w:val="20"/>
        </w:rPr>
        <w:t>规合部，</w:t>
      </w:r>
      <w:r>
        <w:rPr>
          <w:rFonts w:eastAsia="KaiTi_GB2312"/>
          <w:spacing w:val="0"/>
          <w:sz w:val="20"/>
        </w:rPr>
        <w:t>1990</w:t>
      </w:r>
      <w:r>
        <w:rPr>
          <w:rFonts w:eastAsia="KaiTi_GB2312" w:hint="eastAsia"/>
          <w:spacing w:val="0"/>
          <w:sz w:val="20"/>
        </w:rPr>
        <w:t>至</w:t>
      </w:r>
      <w:r>
        <w:rPr>
          <w:rFonts w:eastAsia="KaiTi_GB2312"/>
          <w:spacing w:val="0"/>
          <w:sz w:val="20"/>
        </w:rPr>
        <w:t>1998</w:t>
      </w:r>
      <w:r>
        <w:rPr>
          <w:rFonts w:eastAsia="KaiTi_GB2312" w:hint="eastAsia"/>
          <w:spacing w:val="0"/>
          <w:sz w:val="20"/>
        </w:rPr>
        <w:t>年社经特征调查。</w:t>
      </w:r>
    </w:p>
    <w:p w:rsidR="00000000" w:rsidRDefault="009C1C61">
      <w:pPr>
        <w:rPr>
          <w:rFonts w:hint="eastAsia"/>
        </w:rPr>
      </w:pPr>
      <w:r>
        <w:rPr>
          <w:rFonts w:hint="eastAsia"/>
        </w:rPr>
        <w:tab/>
        <w:t xml:space="preserve">748.  </w:t>
      </w:r>
      <w:r>
        <w:rPr>
          <w:rFonts w:hint="eastAsia"/>
        </w:rPr>
        <w:t>教育质评系统对小学四年级的测验结果</w:t>
      </w:r>
      <w:r>
        <w:rPr>
          <w:rFonts w:hint="eastAsia"/>
        </w:rPr>
        <w:t>(S</w:t>
      </w:r>
      <w:r>
        <w:t>imce</w:t>
      </w:r>
      <w:r>
        <w:rPr>
          <w:rFonts w:hint="eastAsia"/>
        </w:rPr>
        <w:t>)</w:t>
      </w:r>
      <w:r>
        <w:rPr>
          <w:rFonts w:hint="eastAsia"/>
          <w:vertAlign w:val="superscript"/>
        </w:rPr>
        <w:t xml:space="preserve"> </w:t>
      </w:r>
      <w:r>
        <w:rPr>
          <w:rStyle w:val="FootnoteReference"/>
        </w:rPr>
        <w:footnoteReference w:id="312"/>
      </w:r>
      <w:r>
        <w:rPr>
          <w:rFonts w:hint="eastAsia"/>
        </w:rPr>
        <w:t xml:space="preserve"> </w:t>
      </w:r>
      <w:r>
        <w:rPr>
          <w:rFonts w:hint="eastAsia"/>
        </w:rPr>
        <w:t>显示付费私立教育和市立教育之间的差异趋于缩小。</w:t>
      </w:r>
    </w:p>
    <w:p w:rsidR="00000000" w:rsidRDefault="009C1C61">
      <w:pPr>
        <w:pStyle w:val="Heading3"/>
        <w:spacing w:after="0"/>
        <w:rPr>
          <w:rFonts w:ascii="Time New Roman" w:hAnsi="Time New Roman" w:hint="eastAsia"/>
        </w:rPr>
      </w:pPr>
      <w:r>
        <w:rPr>
          <w:rFonts w:ascii="Time New Roman" w:hAnsi="Time New Roman" w:hint="eastAsia"/>
        </w:rPr>
        <w:t>图</w:t>
      </w:r>
      <w:r>
        <w:rPr>
          <w:rFonts w:ascii="Time New Roman" w:hAnsi="Time New Roman" w:hint="eastAsia"/>
        </w:rPr>
        <w:t xml:space="preserve">  </w:t>
      </w:r>
      <w:r>
        <w:rPr>
          <w:rFonts w:ascii="Time New Roman" w:hAnsi="Time New Roman" w:hint="eastAsia"/>
        </w:rPr>
        <w:t>一</w:t>
      </w:r>
    </w:p>
    <w:p w:rsidR="00000000" w:rsidRDefault="009C1C61">
      <w:pPr>
        <w:pStyle w:val="Heading3"/>
        <w:spacing w:after="0" w:line="240" w:lineRule="auto"/>
        <w:rPr>
          <w:rFonts w:ascii="Time New Roman" w:hAnsi="Time New Roman" w:hint="eastAsia"/>
        </w:rPr>
      </w:pPr>
      <w:r>
        <w:rPr>
          <w:rFonts w:ascii="Time New Roman" w:hAnsi="Time New Roman" w:hint="eastAsia"/>
          <w:b/>
        </w:rPr>
        <w:t>1990</w:t>
      </w:r>
      <w:r>
        <w:rPr>
          <w:rFonts w:ascii="Time New Roman" w:hAnsi="Time New Roman" w:hint="eastAsia"/>
        </w:rPr>
        <w:t>年和</w:t>
      </w:r>
      <w:r>
        <w:rPr>
          <w:rFonts w:ascii="Time New Roman" w:hAnsi="Time New Roman" w:hint="eastAsia"/>
          <w:b/>
        </w:rPr>
        <w:t>1996</w:t>
      </w:r>
      <w:r>
        <w:rPr>
          <w:rFonts w:ascii="Time New Roman" w:hAnsi="Time New Roman" w:hint="eastAsia"/>
        </w:rPr>
        <w:t>年，小四按科目和学校类别</w:t>
      </w:r>
      <w:r>
        <w:rPr>
          <w:rFonts w:ascii="Time New Roman" w:hAnsi="Time New Roman"/>
        </w:rPr>
        <w:br/>
      </w:r>
      <w:r>
        <w:rPr>
          <w:rFonts w:ascii="Time New Roman" w:hAnsi="Time New Roman" w:hint="eastAsia"/>
        </w:rPr>
        <w:t>分列的教育质评系统测验结果</w:t>
      </w:r>
    </w:p>
    <w:p w:rsidR="00000000" w:rsidRDefault="009C1C61"/>
    <w:tbl>
      <w:tblPr>
        <w:tblW w:w="95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32"/>
        <w:gridCol w:w="4678"/>
      </w:tblGrid>
      <w:tr w:rsidR="00000000">
        <w:tblPrEx>
          <w:tblCellMar>
            <w:top w:w="0" w:type="dxa"/>
            <w:bottom w:w="0" w:type="dxa"/>
          </w:tblCellMar>
        </w:tblPrEx>
        <w:trPr>
          <w:trHeight w:val="2833"/>
          <w:jc w:val="center"/>
        </w:trPr>
        <w:tc>
          <w:tcPr>
            <w:tcW w:w="4832" w:type="dxa"/>
          </w:tcPr>
          <w:bookmarkStart w:id="0" w:name="_MON_1156748578"/>
          <w:bookmarkStart w:id="1" w:name="_MON_1156750493"/>
          <w:bookmarkStart w:id="2" w:name="_MON_1162037373"/>
          <w:bookmarkStart w:id="3" w:name="_MON_1162037424"/>
          <w:bookmarkStart w:id="4" w:name="_MON_1162037495"/>
          <w:bookmarkStart w:id="5" w:name="_MON_1165059544"/>
          <w:bookmarkStart w:id="6" w:name="_MON_1165060522"/>
          <w:bookmarkStart w:id="7" w:name="_MON_1165060653"/>
          <w:bookmarkEnd w:id="0"/>
          <w:bookmarkEnd w:id="1"/>
          <w:bookmarkEnd w:id="2"/>
          <w:bookmarkEnd w:id="3"/>
          <w:bookmarkEnd w:id="4"/>
          <w:bookmarkEnd w:id="5"/>
          <w:bookmarkEnd w:id="6"/>
          <w:bookmarkEnd w:id="7"/>
          <w:p w:rsidR="00000000" w:rsidRDefault="009C1C61">
            <w:pPr>
              <w:keepNext/>
            </w:pPr>
            <w:r>
              <w:object w:dxaOrig="3450" w:dyaOrig="28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41.75pt" o:ole="" fillcolor="window">
                  <v:imagedata r:id="rId7" o:title="" croptop="2045f" cropbottom="2045f"/>
                </v:shape>
                <o:OLEObject Type="Embed" ProgID="Word.Picture.8" ShapeID="_x0000_i1025" DrawAspect="Content" ObjectID="_1395868641" r:id="rId8"/>
              </w:object>
            </w:r>
          </w:p>
        </w:tc>
        <w:bookmarkStart w:id="8" w:name="_MON_1156749147"/>
        <w:bookmarkStart w:id="9" w:name="_MON_1162037430"/>
        <w:bookmarkStart w:id="10" w:name="_MON_1162037454"/>
        <w:bookmarkStart w:id="11" w:name="_MON_1162037468"/>
        <w:bookmarkStart w:id="12" w:name="_MON_1165059533"/>
        <w:bookmarkStart w:id="13" w:name="_MON_1165060576"/>
        <w:bookmarkStart w:id="14" w:name="_MON_1165060611"/>
        <w:bookmarkStart w:id="15" w:name="_MON_1165060666"/>
        <w:bookmarkStart w:id="16" w:name="_MON_1165060675"/>
        <w:bookmarkStart w:id="17" w:name="_MON_1165060695"/>
        <w:bookmarkEnd w:id="8"/>
        <w:bookmarkEnd w:id="9"/>
        <w:bookmarkEnd w:id="10"/>
        <w:bookmarkEnd w:id="11"/>
        <w:bookmarkEnd w:id="12"/>
        <w:bookmarkEnd w:id="13"/>
        <w:bookmarkEnd w:id="14"/>
        <w:bookmarkEnd w:id="15"/>
        <w:bookmarkEnd w:id="16"/>
        <w:bookmarkEnd w:id="17"/>
        <w:tc>
          <w:tcPr>
            <w:tcW w:w="4678" w:type="dxa"/>
          </w:tcPr>
          <w:p w:rsidR="00000000" w:rsidRDefault="009C1C61">
            <w:pPr>
              <w:keepNext/>
            </w:pPr>
            <w:r>
              <w:object w:dxaOrig="3521" w:dyaOrig="3070">
                <v:shape id="_x0000_i1026" type="#_x0000_t75" style="width:176.25pt;height:153.75pt" o:ole="" fillcolor="window">
                  <v:imagedata r:id="rId9" o:title="" croptop="2119f" cropbottom="2119f"/>
                </v:shape>
                <o:OLEObject Type="Embed" ProgID="Word.Picture.8" ShapeID="_x0000_i1026" DrawAspect="Content" ObjectID="_1395868642" r:id="rId10"/>
              </w:object>
            </w:r>
          </w:p>
        </w:tc>
      </w:tr>
    </w:tbl>
    <w:p w:rsidR="00000000" w:rsidRDefault="009C1C61">
      <w:pPr>
        <w:pStyle w:val="FootnoteText"/>
        <w:spacing w:before="180" w:after="120"/>
        <w:rPr>
          <w:rFonts w:hint="eastAsia"/>
          <w:sz w:val="20"/>
        </w:rPr>
      </w:pPr>
      <w:r>
        <w:rPr>
          <w:rFonts w:hint="eastAsia"/>
          <w:sz w:val="20"/>
          <w:u w:val="single"/>
        </w:rPr>
        <w:t>资料来源</w:t>
      </w:r>
      <w:r>
        <w:rPr>
          <w:rFonts w:hint="eastAsia"/>
          <w:sz w:val="20"/>
        </w:rPr>
        <w:t>：教育质评系统国家协调。</w:t>
      </w:r>
    </w:p>
    <w:p w:rsidR="00000000" w:rsidRDefault="009C1C61">
      <w:pPr>
        <w:ind w:firstLine="510"/>
        <w:rPr>
          <w:rFonts w:hint="eastAsia"/>
          <w:spacing w:val="4"/>
        </w:rPr>
      </w:pPr>
      <w:r>
        <w:rPr>
          <w:rFonts w:hint="eastAsia"/>
          <w:spacing w:val="4"/>
        </w:rPr>
        <w:t xml:space="preserve">749.  </w:t>
      </w:r>
      <w:r>
        <w:rPr>
          <w:rFonts w:hint="eastAsia"/>
          <w:spacing w:val="4"/>
        </w:rPr>
        <w:t>参与为贫穷、成绩差的学校制定</w:t>
      </w:r>
      <w:r>
        <w:rPr>
          <w:rFonts w:hint="eastAsia"/>
          <w:spacing w:val="4"/>
        </w:rPr>
        <w:t>的方案</w:t>
      </w:r>
      <w:r>
        <w:rPr>
          <w:rFonts w:hint="eastAsia"/>
          <w:spacing w:val="4"/>
        </w:rPr>
        <w:t>(</w:t>
      </w:r>
      <w:r>
        <w:rPr>
          <w:rFonts w:hint="eastAsia"/>
          <w:spacing w:val="4"/>
        </w:rPr>
        <w:t>乡村学校</w:t>
      </w:r>
      <w:r>
        <w:rPr>
          <w:rFonts w:hint="eastAsia"/>
          <w:spacing w:val="4"/>
        </w:rPr>
        <w:t>P-900</w:t>
      </w:r>
      <w:r>
        <w:rPr>
          <w:rFonts w:hint="eastAsia"/>
          <w:spacing w:val="4"/>
        </w:rPr>
        <w:t>促进公平教育并提高教育质量方案</w:t>
      </w:r>
      <w:r>
        <w:rPr>
          <w:rFonts w:hint="eastAsia"/>
          <w:spacing w:val="4"/>
        </w:rPr>
        <w:t>)</w:t>
      </w:r>
      <w:r>
        <w:rPr>
          <w:rFonts w:hint="eastAsia"/>
          <w:spacing w:val="4"/>
        </w:rPr>
        <w:t>的学校取得显著的进步，减少了这些学校和一般市立学校之间的差距。</w:t>
      </w:r>
    </w:p>
    <w:p w:rsidR="00000000" w:rsidRDefault="009C1C61">
      <w:pPr>
        <w:ind w:firstLine="510"/>
        <w:jc w:val="center"/>
        <w:rPr>
          <w:rFonts w:ascii="Time New Roman" w:eastAsia="SimHei" w:hAnsi="Time New Roman" w:hint="eastAsia"/>
        </w:rPr>
      </w:pPr>
      <w:r>
        <w:rPr>
          <w:rFonts w:ascii="Time New Roman" w:eastAsia="SimHei" w:hAnsi="Time New Roman" w:hint="eastAsia"/>
        </w:rPr>
        <w:t>图</w:t>
      </w:r>
      <w:r>
        <w:rPr>
          <w:rFonts w:ascii="Time New Roman" w:eastAsia="SimHei" w:hAnsi="Time New Roman" w:hint="eastAsia"/>
        </w:rPr>
        <w:t xml:space="preserve">  </w:t>
      </w:r>
      <w:r>
        <w:rPr>
          <w:rFonts w:ascii="Time New Roman" w:eastAsia="SimHei" w:hAnsi="Time New Roman" w:hint="eastAsia"/>
        </w:rPr>
        <w:t>二</w:t>
      </w:r>
    </w:p>
    <w:p w:rsidR="00000000" w:rsidRDefault="009C1C61">
      <w:pPr>
        <w:pStyle w:val="Heading3"/>
        <w:spacing w:after="120" w:line="240" w:lineRule="auto"/>
        <w:rPr>
          <w:rFonts w:hint="eastAsia"/>
        </w:rPr>
      </w:pPr>
      <w:r>
        <w:rPr>
          <w:rFonts w:ascii="Time New Roman" w:hAnsi="Time New Roman" w:hint="eastAsia"/>
          <w:b/>
        </w:rPr>
        <w:t>1992</w:t>
      </w:r>
      <w:r>
        <w:rPr>
          <w:rFonts w:ascii="Time New Roman" w:hAnsi="Time New Roman" w:hint="eastAsia"/>
        </w:rPr>
        <w:t>年和</w:t>
      </w:r>
      <w:r>
        <w:rPr>
          <w:rFonts w:ascii="Time New Roman" w:hAnsi="Time New Roman" w:hint="eastAsia"/>
          <w:b/>
        </w:rPr>
        <w:t>1996</w:t>
      </w:r>
      <w:r>
        <w:rPr>
          <w:rFonts w:ascii="Time New Roman" w:hAnsi="Time New Roman" w:hint="eastAsia"/>
        </w:rPr>
        <w:t>年，小四按科目以及按市立学校、</w:t>
      </w:r>
      <w:r>
        <w:rPr>
          <w:rFonts w:ascii="Time New Roman" w:hAnsi="Time New Roman"/>
        </w:rPr>
        <w:br/>
      </w:r>
      <w:r>
        <w:rPr>
          <w:rFonts w:ascii="Time New Roman" w:hAnsi="Time New Roman" w:hint="eastAsia"/>
          <w:b/>
        </w:rPr>
        <w:t>P</w:t>
      </w:r>
      <w:r>
        <w:rPr>
          <w:rFonts w:ascii="Time New Roman" w:hAnsi="Time New Roman" w:hint="eastAsia"/>
        </w:rPr>
        <w:t>-</w:t>
      </w:r>
      <w:r>
        <w:rPr>
          <w:rFonts w:ascii="Time New Roman" w:hAnsi="Time New Roman" w:hint="eastAsia"/>
          <w:b/>
        </w:rPr>
        <w:t>900</w:t>
      </w:r>
      <w:r>
        <w:rPr>
          <w:rFonts w:ascii="Time New Roman" w:hAnsi="Time New Roman" w:hint="eastAsia"/>
        </w:rPr>
        <w:t>学校和参加乡村学校提高教育质量方案的</w:t>
      </w:r>
      <w:r>
        <w:rPr>
          <w:rFonts w:ascii="Time New Roman" w:hAnsi="Time New Roman"/>
        </w:rPr>
        <w:br/>
      </w:r>
      <w:r>
        <w:rPr>
          <w:rFonts w:ascii="Time New Roman" w:hAnsi="Time New Roman" w:hint="eastAsia"/>
        </w:rPr>
        <w:t>乡村学校分列的教育质评系统测验结果</w:t>
      </w:r>
    </w:p>
    <w:tbl>
      <w:tblPr>
        <w:tblW w:w="0" w:type="auto"/>
        <w:jc w:val="center"/>
        <w:tblInd w:w="-2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40"/>
        <w:gridCol w:w="4529"/>
      </w:tblGrid>
      <w:tr w:rsidR="00000000">
        <w:tblPrEx>
          <w:tblCellMar>
            <w:top w:w="0" w:type="dxa"/>
            <w:bottom w:w="0" w:type="dxa"/>
          </w:tblCellMar>
        </w:tblPrEx>
        <w:trPr>
          <w:trHeight w:val="2834"/>
          <w:jc w:val="center"/>
        </w:trPr>
        <w:tc>
          <w:tcPr>
            <w:tcW w:w="5040" w:type="dxa"/>
            <w:vAlign w:val="center"/>
          </w:tcPr>
          <w:p w:rsidR="00000000" w:rsidRDefault="009C1C61">
            <w:pPr>
              <w:keepNext/>
              <w:keepLines/>
            </w:pPr>
            <w:r>
              <w:rPr>
                <w:noProof/>
              </w:rPr>
              <w:pict>
                <v:shapetype id="_x0000_t202" coordsize="21600,21600" o:spt="202" path="m,l,21600r21600,l21600,xe">
                  <v:stroke joinstyle="miter"/>
                  <v:path gradientshapeok="t" o:connecttype="rect"/>
                </v:shapetype>
                <v:shape id="_x0000_s2055" type="#_x0000_t202" style="position:absolute;left:0;text-align:left;margin-left:40.75pt;margin-top:7.15pt;width:123.9pt;height:17.9pt;z-index:1;mso-wrap-edited:f" wrapcoords="-180 0 -180 20700 21600 20700 21600 0 -180 0" stroked="f">
                  <v:textbox style="mso-next-textbox:#_x0000_s2055" inset="0,0,0,0">
                    <w:txbxContent>
                      <w:p w:rsidR="00000000" w:rsidRDefault="009C1C61">
                        <w:pPr>
                          <w:spacing w:line="240" w:lineRule="atLeast"/>
                          <w:jc w:val="center"/>
                          <w:rPr>
                            <w:b/>
                            <w:bCs/>
                            <w:sz w:val="12"/>
                          </w:rPr>
                        </w:pPr>
                        <w:r>
                          <w:rPr>
                            <w:rFonts w:hint="eastAsia"/>
                            <w:sz w:val="20"/>
                          </w:rPr>
                          <w:t>小学四年级西班牙文</w:t>
                        </w:r>
                      </w:p>
                    </w:txbxContent>
                  </v:textbox>
                </v:shape>
              </w:pict>
            </w:r>
            <w:r>
              <w:rPr>
                <w:noProof/>
              </w:rPr>
              <w:pict>
                <v:shape id="_x0000_s2057" type="#_x0000_t202" style="position:absolute;left:0;text-align:left;margin-left:-3.25pt;margin-top:54.95pt;width:35.45pt;height:37.7pt;z-index:3;mso-wrap-edited:f" wrapcoords="-200 0 -200 21000 21600 21000 21600 0 -200 0" stroked="f">
                  <v:textbox style="mso-next-textbox:#_x0000_s2057" inset="0,0,0,0">
                    <w:txbxContent>
                      <w:p w:rsidR="00000000" w:rsidRDefault="009C1C61">
                        <w:pPr>
                          <w:spacing w:line="264" w:lineRule="auto"/>
                          <w:rPr>
                            <w:rFonts w:hint="eastAsia"/>
                            <w:b/>
                            <w:bCs/>
                            <w:spacing w:val="2"/>
                            <w:sz w:val="16"/>
                          </w:rPr>
                        </w:pPr>
                        <w:r>
                          <w:rPr>
                            <w:rFonts w:eastAsia="KaiTi_GB2312" w:hint="eastAsia"/>
                            <w:snapToGrid/>
                            <w:spacing w:val="0"/>
                            <w:sz w:val="16"/>
                          </w:rPr>
                          <w:t>私立收费学校</w:t>
                        </w:r>
                        <w:r>
                          <w:rPr>
                            <w:spacing w:val="2"/>
                            <w:sz w:val="16"/>
                          </w:rPr>
                          <w:br/>
                        </w:r>
                        <w:r>
                          <w:rPr>
                            <w:rFonts w:hint="eastAsia"/>
                            <w:spacing w:val="2"/>
                            <w:sz w:val="16"/>
                          </w:rPr>
                          <w:t xml:space="preserve"> </w:t>
                        </w:r>
                        <w:r>
                          <w:rPr>
                            <w:spacing w:val="2"/>
                            <w:sz w:val="16"/>
                          </w:rPr>
                          <w:t>P-900</w:t>
                        </w:r>
                      </w:p>
                    </w:txbxContent>
                  </v:textbox>
                </v:shape>
              </w:pict>
            </w:r>
            <w:bookmarkStart w:id="18" w:name="_MON_1156752173"/>
            <w:bookmarkStart w:id="19" w:name="_MON_1156752427"/>
            <w:bookmarkStart w:id="20" w:name="_MON_1156752741"/>
            <w:bookmarkStart w:id="21" w:name="_MON_1156752887"/>
            <w:bookmarkStart w:id="22" w:name="_MON_1156753256"/>
            <w:bookmarkStart w:id="23" w:name="_MON_1165038878"/>
            <w:bookmarkStart w:id="24" w:name="_MON_1165039191"/>
            <w:bookmarkStart w:id="25" w:name="_MON_1165039229"/>
            <w:bookmarkStart w:id="26" w:name="_MON_1165039242"/>
            <w:bookmarkStart w:id="27" w:name="_MON_1165059440"/>
            <w:bookmarkStart w:id="28" w:name="_MON_1165059488"/>
            <w:bookmarkStart w:id="29" w:name="_MON_1165059640"/>
            <w:bookmarkStart w:id="30" w:name="_MON_1165059660"/>
            <w:bookmarkStart w:id="31" w:name="_MON_1165059688"/>
            <w:bookmarkStart w:id="32" w:name="_MON_1165060024"/>
            <w:bookmarkStart w:id="33" w:name="_MON_1165060166"/>
            <w:bookmarkStart w:id="34" w:name="_MON_1165060181"/>
            <w:bookmarkStart w:id="35" w:name="_MON_1165060285"/>
            <w:bookmarkStart w:id="36" w:name="_MON_1165060301"/>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object w:dxaOrig="3736" w:dyaOrig="2521">
                <v:shape id="_x0000_i1027" type="#_x0000_t75" style="width:186.75pt;height:126pt" o:ole="" fillcolor="window">
                  <v:imagedata r:id="rId11" o:title=""/>
                </v:shape>
                <o:OLEObject Type="Embed" ProgID="Word.Picture.8" ShapeID="_x0000_i1027" DrawAspect="Content" ObjectID="_1395868643" r:id="rId12"/>
              </w:object>
            </w:r>
          </w:p>
        </w:tc>
        <w:tc>
          <w:tcPr>
            <w:tcW w:w="4529" w:type="dxa"/>
            <w:vAlign w:val="center"/>
          </w:tcPr>
          <w:p w:rsidR="00000000" w:rsidRDefault="009C1C61">
            <w:pPr>
              <w:keepNext/>
              <w:keepLines/>
            </w:pPr>
            <w:r>
              <w:rPr>
                <w:noProof/>
              </w:rPr>
              <w:pict>
                <v:shape id="_x0000_s2059" type="#_x0000_t202" style="position:absolute;left:0;text-align:left;margin-left:75.4pt;margin-top:122.5pt;width:63pt;height:15.6pt;flip:y;z-index:5;mso-wrap-edited:f;mso-position-horizontal-relative:text;mso-position-vertical-relative:text" wrapcoords="-225 0 -225 20700 21600 20700 21600 0 -225 0" stroked="f">
                  <v:textbox style="mso-next-textbox:#_x0000_s2059" inset="0,0,0,0">
                    <w:txbxContent>
                      <w:p w:rsidR="00000000" w:rsidRDefault="009C1C61">
                        <w:pPr>
                          <w:rPr>
                            <w:rFonts w:eastAsia="KaiTi_GB2312" w:hint="eastAsia"/>
                            <w:snapToGrid/>
                            <w:spacing w:val="0"/>
                            <w:sz w:val="20"/>
                          </w:rPr>
                        </w:pPr>
                        <w:r>
                          <w:rPr>
                            <w:rFonts w:eastAsia="KaiTi_GB2312" w:hint="eastAsia"/>
                            <w:snapToGrid/>
                            <w:spacing w:val="0"/>
                            <w:sz w:val="20"/>
                          </w:rPr>
                          <w:t>及格百分比</w:t>
                        </w:r>
                      </w:p>
                    </w:txbxContent>
                  </v:textbox>
                </v:shape>
              </w:pict>
            </w:r>
            <w:r>
              <w:rPr>
                <w:noProof/>
              </w:rPr>
              <w:pict>
                <v:shape id="_x0000_s2058" type="#_x0000_t202" style="position:absolute;left:0;text-align:left;margin-left:-1.65pt;margin-top:54.55pt;width:33pt;height:21.15pt;z-index:4;mso-wrap-edited:f;mso-position-horizontal-relative:text;mso-position-vertical-relative:text" wrapcoords="-200 0 -200 21000 21600 21000 21600 0 -200 0" stroked="f">
                  <v:textbox style="mso-next-textbox:#_x0000_s2058" inset="0,0,0,0">
                    <w:txbxContent>
                      <w:p w:rsidR="00000000" w:rsidRDefault="009C1C61">
                        <w:pPr>
                          <w:spacing w:line="264" w:lineRule="auto"/>
                          <w:rPr>
                            <w:rFonts w:eastAsia="KaiTi_GB2312"/>
                            <w:snapToGrid/>
                            <w:spacing w:val="0"/>
                            <w:sz w:val="16"/>
                          </w:rPr>
                        </w:pPr>
                        <w:r>
                          <w:rPr>
                            <w:rFonts w:eastAsia="KaiTi_GB2312" w:hint="eastAsia"/>
                            <w:snapToGrid/>
                            <w:spacing w:val="0"/>
                            <w:sz w:val="16"/>
                          </w:rPr>
                          <w:t>私立收费学校</w:t>
                        </w:r>
                      </w:p>
                    </w:txbxContent>
                  </v:textbox>
                </v:shape>
              </w:pict>
            </w:r>
            <w:r>
              <w:rPr>
                <w:noProof/>
              </w:rPr>
              <w:pict>
                <v:shape id="_x0000_s2056" type="#_x0000_t202" style="position:absolute;left:0;text-align:left;margin-left:44.7pt;margin-top:6.25pt;width:86.75pt;height:16.1pt;z-index:2;mso-wrap-edited:f;mso-position-horizontal-relative:text;mso-position-vertical-relative:text" wrapcoords="-150 0 -150 20700 21600 20700 21600 0 -150 0" stroked="f">
                  <v:textbox style="mso-next-textbox:#_x0000_s2056" inset="0,0,0,0">
                    <w:txbxContent>
                      <w:p w:rsidR="00000000" w:rsidRDefault="009C1C61">
                        <w:pPr>
                          <w:pStyle w:val="BodyText3"/>
                          <w:jc w:val="center"/>
                          <w:rPr>
                            <w:rFonts w:eastAsia="SimSun" w:hint="eastAsia"/>
                            <w:b w:val="0"/>
                            <w:bCs w:val="0"/>
                            <w:sz w:val="20"/>
                            <w:lang w:eastAsia="zh-CN"/>
                          </w:rPr>
                        </w:pPr>
                        <w:r>
                          <w:rPr>
                            <w:rFonts w:eastAsia="SimSun" w:hint="eastAsia"/>
                            <w:b w:val="0"/>
                            <w:bCs w:val="0"/>
                            <w:sz w:val="20"/>
                            <w:lang w:eastAsia="zh-CN"/>
                          </w:rPr>
                          <w:t>小学四年级数学</w:t>
                        </w:r>
                      </w:p>
                    </w:txbxContent>
                  </v:textbox>
                </v:shape>
              </w:pict>
            </w:r>
            <w:bookmarkStart w:id="37" w:name="_MON_1156752523"/>
            <w:bookmarkStart w:id="38" w:name="_MON_1156752915"/>
            <w:bookmarkStart w:id="39" w:name="_MON_1162038028"/>
            <w:bookmarkStart w:id="40" w:name="_MON_1162038211"/>
            <w:bookmarkStart w:id="41" w:name="_MON_1162038264"/>
            <w:bookmarkStart w:id="42" w:name="_MON_1162038355"/>
            <w:bookmarkStart w:id="43" w:name="_MON_1165038817"/>
            <w:bookmarkStart w:id="44" w:name="_MON_1165038851"/>
            <w:bookmarkStart w:id="45" w:name="_MON_1165038910"/>
            <w:bookmarkStart w:id="46" w:name="_MON_1165038977"/>
            <w:bookmarkStart w:id="47" w:name="_MON_1165039020"/>
            <w:bookmarkStart w:id="48" w:name="_MON_1165059699"/>
            <w:bookmarkStart w:id="49" w:name="_MON_1165059721"/>
            <w:bookmarkStart w:id="50" w:name="_MON_1165059763"/>
            <w:bookmarkStart w:id="51" w:name="_MON_1165059786"/>
            <w:bookmarkStart w:id="52" w:name="_MON_1165059889"/>
            <w:bookmarkStart w:id="53" w:name="_MON_1165059948"/>
            <w:bookmarkStart w:id="54" w:name="_MON_1165059973"/>
            <w:bookmarkStart w:id="55" w:name="_MON_1165060001"/>
            <w:bookmarkStart w:id="56" w:name="_MON_1165060074"/>
            <w:bookmarkStart w:id="57" w:name="_MON_1165060273"/>
            <w:bookmarkStart w:id="58" w:name="_MON_116506045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object w:dxaOrig="3385" w:dyaOrig="2310">
                <v:shape id="_x0000_i1028" type="#_x0000_t75" style="width:191.25pt;height:130.5pt" o:ole="" fillcolor="window">
                  <v:imagedata r:id="rId13" o:title=""/>
                </v:shape>
                <o:OLEObject Type="Embed" ProgID="Word.Picture.8" ShapeID="_x0000_i1028" DrawAspect="Content" ObjectID="_1395868644" r:id="rId14"/>
              </w:object>
            </w:r>
          </w:p>
        </w:tc>
      </w:tr>
    </w:tbl>
    <w:p w:rsidR="00000000" w:rsidRDefault="009C1C61">
      <w:pPr>
        <w:spacing w:before="180" w:after="120"/>
        <w:rPr>
          <w:rFonts w:eastAsia="KaiTi_GB2312" w:hint="eastAsia"/>
          <w:snapToGrid/>
          <w:spacing w:val="0"/>
          <w:sz w:val="20"/>
        </w:rPr>
      </w:pPr>
      <w:r>
        <w:rPr>
          <w:rFonts w:hint="eastAsia"/>
          <w:sz w:val="20"/>
        </w:rPr>
        <w:tab/>
      </w:r>
      <w:r>
        <w:rPr>
          <w:rFonts w:eastAsia="KaiTi_GB2312" w:hint="eastAsia"/>
          <w:snapToGrid/>
          <w:spacing w:val="0"/>
          <w:sz w:val="20"/>
          <w:u w:val="single"/>
        </w:rPr>
        <w:t>资料来源</w:t>
      </w:r>
      <w:r>
        <w:rPr>
          <w:rFonts w:eastAsia="KaiTi_GB2312" w:hint="eastAsia"/>
          <w:snapToGrid/>
          <w:spacing w:val="0"/>
          <w:sz w:val="20"/>
        </w:rPr>
        <w:t>：教育部。</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保障教育平等的措施</w:t>
      </w:r>
    </w:p>
    <w:p w:rsidR="00000000" w:rsidRDefault="009C1C61">
      <w:pPr>
        <w:rPr>
          <w:rFonts w:hint="eastAsia"/>
        </w:rPr>
      </w:pPr>
      <w:r>
        <w:rPr>
          <w:rFonts w:hint="eastAsia"/>
        </w:rPr>
        <w:tab/>
        <w:t xml:space="preserve">750.  </w:t>
      </w:r>
      <w:r>
        <w:rPr>
          <w:rFonts w:hint="eastAsia"/>
        </w:rPr>
        <w:t>强调教育质量并不排除或限制在平等方面取得进展，社会平等仍然是教育</w:t>
      </w:r>
      <w:r>
        <w:rPr>
          <w:rFonts w:hint="eastAsia"/>
        </w:rPr>
        <w:t>方针的原则与指导标准之一。近年以来，这一部门的政策采用各种资源和战略，使国家能够继续保留某些改进平等标准的传统机制。</w:t>
      </w:r>
    </w:p>
    <w:p w:rsidR="00000000" w:rsidRDefault="009C1C61">
      <w:pPr>
        <w:rPr>
          <w:rFonts w:hint="eastAsia"/>
        </w:rPr>
      </w:pPr>
      <w:r>
        <w:rPr>
          <w:rFonts w:hint="eastAsia"/>
        </w:rPr>
        <w:tab/>
        <w:t xml:space="preserve">751.  </w:t>
      </w:r>
      <w:r>
        <w:rPr>
          <w:rFonts w:hint="eastAsia"/>
        </w:rPr>
        <w:t>首先在学前教育和小学教育中持续广泛提供免费教育。尽管公立学校提供的中学教育从法律上来说并非不付费，但收费很低。由于国家努力维持学校补贴，小学生和中学生免费或交付少量学费上学的占到</w:t>
      </w:r>
      <w:r>
        <w:rPr>
          <w:rFonts w:hint="eastAsia"/>
        </w:rPr>
        <w:t>91%</w:t>
      </w:r>
      <w:r>
        <w:rPr>
          <w:rFonts w:hint="eastAsia"/>
        </w:rPr>
        <w:t>左右。</w:t>
      </w:r>
    </w:p>
    <w:p w:rsidR="00000000" w:rsidRDefault="009C1C61">
      <w:pPr>
        <w:rPr>
          <w:rFonts w:hint="eastAsia"/>
        </w:rPr>
      </w:pPr>
      <w:r>
        <w:rPr>
          <w:rFonts w:hint="eastAsia"/>
        </w:rPr>
        <w:tab/>
        <w:t xml:space="preserve">752.  </w:t>
      </w:r>
      <w:r>
        <w:rPr>
          <w:rFonts w:hint="eastAsia"/>
        </w:rPr>
        <w:t>另一个传统的拓展机会的机制是通过国家投资和开支创设或扩大学校或招生名额。</w:t>
      </w:r>
      <w:r>
        <w:rPr>
          <w:rFonts w:hint="eastAsia"/>
        </w:rPr>
        <w:t>1990</w:t>
      </w:r>
      <w:r>
        <w:rPr>
          <w:rFonts w:hint="eastAsia"/>
        </w:rPr>
        <w:t>年基础设施投资达</w:t>
      </w:r>
      <w:r>
        <w:rPr>
          <w:rFonts w:hint="eastAsia"/>
        </w:rPr>
        <w:t>120.23</w:t>
      </w:r>
      <w:r>
        <w:rPr>
          <w:rFonts w:hint="eastAsia"/>
        </w:rPr>
        <w:t>亿比索</w:t>
      </w:r>
      <w:r>
        <w:rPr>
          <w:rFonts w:hint="eastAsia"/>
        </w:rPr>
        <w:t>(39,432,600</w:t>
      </w:r>
      <w:r>
        <w:rPr>
          <w:rFonts w:hint="eastAsia"/>
        </w:rPr>
        <w:t>美元</w:t>
      </w:r>
      <w:r>
        <w:rPr>
          <w:rFonts w:hint="eastAsia"/>
        </w:rPr>
        <w:t>)</w:t>
      </w:r>
      <w:r>
        <w:rPr>
          <w:rFonts w:hint="eastAsia"/>
        </w:rPr>
        <w:t>，</w:t>
      </w:r>
      <w:r>
        <w:rPr>
          <w:rFonts w:hint="eastAsia"/>
        </w:rPr>
        <w:t>1999</w:t>
      </w:r>
      <w:r>
        <w:rPr>
          <w:rFonts w:hint="eastAsia"/>
        </w:rPr>
        <w:t>年为</w:t>
      </w:r>
      <w:r>
        <w:rPr>
          <w:rFonts w:hint="eastAsia"/>
        </w:rPr>
        <w:t>1,157.35</w:t>
      </w:r>
      <w:r>
        <w:rPr>
          <w:rFonts w:hint="eastAsia"/>
        </w:rPr>
        <w:t>亿</w:t>
      </w:r>
      <w:r>
        <w:rPr>
          <w:rFonts w:hint="eastAsia"/>
        </w:rPr>
        <w:t>比索</w:t>
      </w:r>
      <w:r>
        <w:rPr>
          <w:rFonts w:hint="eastAsia"/>
        </w:rPr>
        <w:t>(227,475.530</w:t>
      </w:r>
      <w:r>
        <w:rPr>
          <w:rFonts w:hint="eastAsia"/>
        </w:rPr>
        <w:t>美元</w:t>
      </w:r>
      <w:r>
        <w:rPr>
          <w:rFonts w:hint="eastAsia"/>
        </w:rPr>
        <w:t>)</w:t>
      </w:r>
      <w:r>
        <w:rPr>
          <w:rFonts w:hint="eastAsia"/>
        </w:rPr>
        <w:t>。由于这项支助和其他形式的支助与奖励，</w:t>
      </w:r>
      <w:r>
        <w:rPr>
          <w:rFonts w:hint="eastAsia"/>
        </w:rPr>
        <w:t>1994</w:t>
      </w:r>
      <w:r>
        <w:rPr>
          <w:rFonts w:hint="eastAsia"/>
        </w:rPr>
        <w:t>至</w:t>
      </w:r>
      <w:r>
        <w:rPr>
          <w:rFonts w:hint="eastAsia"/>
        </w:rPr>
        <w:t>1998</w:t>
      </w:r>
      <w:r>
        <w:rPr>
          <w:rFonts w:hint="eastAsia"/>
        </w:rPr>
        <w:t>年受补贴部门注册学生增加</w:t>
      </w:r>
      <w:r>
        <w:rPr>
          <w:rFonts w:hint="eastAsia"/>
        </w:rPr>
        <w:t>278,611</w:t>
      </w:r>
      <w:r>
        <w:rPr>
          <w:rFonts w:hint="eastAsia"/>
        </w:rPr>
        <w:t>名，表明又增长</w:t>
      </w:r>
      <w:r>
        <w:rPr>
          <w:rFonts w:hint="eastAsia"/>
        </w:rPr>
        <w:t>10%</w:t>
      </w:r>
      <w:r>
        <w:rPr>
          <w:rFonts w:hint="eastAsia"/>
        </w:rPr>
        <w:t>。</w:t>
      </w:r>
    </w:p>
    <w:p w:rsidR="00000000" w:rsidRDefault="009C1C61">
      <w:pPr>
        <w:rPr>
          <w:rFonts w:hint="eastAsia"/>
        </w:rPr>
      </w:pPr>
      <w:r>
        <w:rPr>
          <w:rFonts w:hint="eastAsia"/>
        </w:rPr>
        <w:tab/>
        <w:t xml:space="preserve">753.  </w:t>
      </w:r>
      <w:r>
        <w:rPr>
          <w:rFonts w:hint="eastAsia"/>
        </w:rPr>
        <w:t>各种学校都按在学学生得到教育补贴，资助所有提供免费教育的新学校以及现有希望扩大招生的学校的基本运作经费。这为无法支付教育费用的大多数人口提供支助。尽管</w:t>
      </w:r>
      <w:r>
        <w:rPr>
          <w:rFonts w:hint="eastAsia"/>
        </w:rPr>
        <w:t>1990</w:t>
      </w:r>
      <w:r>
        <w:rPr>
          <w:rFonts w:hint="eastAsia"/>
        </w:rPr>
        <w:t>年学校补贴</w:t>
      </w:r>
      <w:r>
        <w:rPr>
          <w:rFonts w:hint="eastAsia"/>
        </w:rPr>
        <w:t>32,639,610</w:t>
      </w:r>
      <w:r>
        <w:rPr>
          <w:rFonts w:hint="eastAsia"/>
        </w:rPr>
        <w:t>万比索</w:t>
      </w:r>
      <w:r>
        <w:rPr>
          <w:rFonts w:hint="eastAsia"/>
        </w:rPr>
        <w:t>(1,070,502,132</w:t>
      </w:r>
      <w:r>
        <w:rPr>
          <w:rFonts w:hint="eastAsia"/>
        </w:rPr>
        <w:t>美元</w:t>
      </w:r>
      <w:r>
        <w:rPr>
          <w:rFonts w:hint="eastAsia"/>
        </w:rPr>
        <w:t>)</w:t>
      </w:r>
      <w:r>
        <w:rPr>
          <w:rFonts w:hint="eastAsia"/>
        </w:rPr>
        <w:t>增至</w:t>
      </w:r>
      <w:r>
        <w:rPr>
          <w:rFonts w:hint="eastAsia"/>
        </w:rPr>
        <w:t>2000</w:t>
      </w:r>
      <w:r>
        <w:rPr>
          <w:rFonts w:hint="eastAsia"/>
        </w:rPr>
        <w:t>年预算的</w:t>
      </w:r>
      <w:r>
        <w:rPr>
          <w:rFonts w:hint="eastAsia"/>
        </w:rPr>
        <w:t>91,066,680</w:t>
      </w:r>
      <w:r>
        <w:rPr>
          <w:rFonts w:hint="eastAsia"/>
        </w:rPr>
        <w:t>万比索</w:t>
      </w:r>
      <w:r>
        <w:rPr>
          <w:rFonts w:hint="eastAsia"/>
        </w:rPr>
        <w:t>(1,688,014,236</w:t>
      </w:r>
      <w:r>
        <w:rPr>
          <w:rFonts w:hint="eastAsia"/>
        </w:rPr>
        <w:t>美元</w:t>
      </w:r>
      <w:r>
        <w:rPr>
          <w:rFonts w:hint="eastAsia"/>
        </w:rPr>
        <w:t>)</w:t>
      </w:r>
      <w:r>
        <w:rPr>
          <w:rFonts w:hint="eastAsia"/>
        </w:rPr>
        <w:t>，但估计</w:t>
      </w:r>
      <w:r>
        <w:rPr>
          <w:rFonts w:hint="eastAsia"/>
        </w:rPr>
        <w:t>2000</w:t>
      </w:r>
      <w:r>
        <w:rPr>
          <w:rFonts w:hint="eastAsia"/>
        </w:rPr>
        <w:t>年注册学生人数将增长</w:t>
      </w:r>
      <w:r>
        <w:rPr>
          <w:rFonts w:hint="eastAsia"/>
        </w:rPr>
        <w:t>2</w:t>
      </w:r>
      <w:r>
        <w:rPr>
          <w:rFonts w:hint="eastAsia"/>
        </w:rPr>
        <w:t>0.9%</w:t>
      </w:r>
      <w:r>
        <w:rPr>
          <w:rFonts w:hint="eastAsia"/>
        </w:rPr>
        <w:t>。同样，</w:t>
      </w:r>
      <w:r>
        <w:rPr>
          <w:rFonts w:hint="eastAsia"/>
        </w:rPr>
        <w:t>1990</w:t>
      </w:r>
      <w:r>
        <w:rPr>
          <w:rFonts w:hint="eastAsia"/>
        </w:rPr>
        <w:t>年人均月补贴达</w:t>
      </w:r>
      <w:r>
        <w:rPr>
          <w:rFonts w:hint="eastAsia"/>
        </w:rPr>
        <w:t>10,103</w:t>
      </w:r>
      <w:r>
        <w:rPr>
          <w:rFonts w:hint="eastAsia"/>
        </w:rPr>
        <w:t>比索</w:t>
      </w:r>
      <w:r>
        <w:rPr>
          <w:rFonts w:hint="eastAsia"/>
        </w:rPr>
        <w:t>(33</w:t>
      </w:r>
      <w:r>
        <w:rPr>
          <w:rFonts w:hint="eastAsia"/>
        </w:rPr>
        <w:t>美元</w:t>
      </w:r>
      <w:r>
        <w:rPr>
          <w:rFonts w:hint="eastAsia"/>
        </w:rPr>
        <w:t>)</w:t>
      </w:r>
      <w:r>
        <w:rPr>
          <w:rFonts w:hint="eastAsia"/>
        </w:rPr>
        <w:t>，估计</w:t>
      </w:r>
      <w:r>
        <w:rPr>
          <w:rFonts w:hint="eastAsia"/>
        </w:rPr>
        <w:t>2000</w:t>
      </w:r>
      <w:r>
        <w:rPr>
          <w:rFonts w:hint="eastAsia"/>
        </w:rPr>
        <w:t>年将增至</w:t>
      </w:r>
      <w:r>
        <w:rPr>
          <w:rFonts w:hint="eastAsia"/>
        </w:rPr>
        <w:t>23,310</w:t>
      </w:r>
      <w:r>
        <w:rPr>
          <w:rFonts w:hint="eastAsia"/>
        </w:rPr>
        <w:t>比索</w:t>
      </w:r>
      <w:r>
        <w:rPr>
          <w:rFonts w:hint="eastAsia"/>
        </w:rPr>
        <w:t>(43</w:t>
      </w:r>
      <w:r>
        <w:rPr>
          <w:rFonts w:hint="eastAsia"/>
        </w:rPr>
        <w:t>美元</w:t>
      </w:r>
      <w:r>
        <w:rPr>
          <w:rFonts w:hint="eastAsia"/>
        </w:rPr>
        <w:t>)</w:t>
      </w:r>
      <w:r>
        <w:rPr>
          <w:rFonts w:hint="eastAsia"/>
        </w:rPr>
        <w:t>，增长</w:t>
      </w:r>
      <w:r>
        <w:rPr>
          <w:rFonts w:hint="eastAsia"/>
        </w:rPr>
        <w:t>30.3%</w:t>
      </w:r>
      <w:r>
        <w:rPr>
          <w:rFonts w:hint="eastAsia"/>
        </w:rPr>
        <w:t>。</w:t>
      </w:r>
    </w:p>
    <w:p w:rsidR="00000000" w:rsidRDefault="009C1C61">
      <w:pPr>
        <w:rPr>
          <w:rFonts w:hint="eastAsia"/>
        </w:rPr>
      </w:pPr>
      <w:r>
        <w:rPr>
          <w:rFonts w:hint="eastAsia"/>
        </w:rPr>
        <w:tab/>
        <w:t xml:space="preserve">754.  </w:t>
      </w:r>
      <w:r>
        <w:rPr>
          <w:rFonts w:hint="eastAsia"/>
        </w:rPr>
        <w:t>另外一个促进平等的传统机制是大规模提供某些投入或支助，协助学生入学和继续学业。这类措施在</w:t>
      </w:r>
      <w:r>
        <w:rPr>
          <w:rFonts w:hint="eastAsia"/>
        </w:rPr>
        <w:t>1980</w:t>
      </w:r>
      <w:r>
        <w:rPr>
          <w:rFonts w:hint="eastAsia"/>
        </w:rPr>
        <w:t>年代暂时终止，但在</w:t>
      </w:r>
      <w:r>
        <w:rPr>
          <w:rFonts w:hint="eastAsia"/>
        </w:rPr>
        <w:t>1990</w:t>
      </w:r>
      <w:r>
        <w:rPr>
          <w:rFonts w:hint="eastAsia"/>
        </w:rPr>
        <w:t>年代得到进一步的推动。这具体表现在免费分发的课本增加，上学津贴改善。</w:t>
      </w:r>
      <w:r>
        <w:rPr>
          <w:rFonts w:hint="eastAsia"/>
        </w:rPr>
        <w:t>1990</w:t>
      </w:r>
      <w:r>
        <w:rPr>
          <w:rFonts w:hint="eastAsia"/>
        </w:rPr>
        <w:t>年，为小学发放了</w:t>
      </w:r>
      <w:r>
        <w:rPr>
          <w:rFonts w:hint="eastAsia"/>
        </w:rPr>
        <w:t>1,900,000</w:t>
      </w:r>
      <w:r>
        <w:rPr>
          <w:rFonts w:hint="eastAsia"/>
        </w:rPr>
        <w:t>本课本，而至</w:t>
      </w:r>
      <w:r>
        <w:rPr>
          <w:rFonts w:hint="eastAsia"/>
        </w:rPr>
        <w:t>1999</w:t>
      </w:r>
      <w:r>
        <w:rPr>
          <w:rFonts w:hint="eastAsia"/>
        </w:rPr>
        <w:t>年，这一数字则上升为</w:t>
      </w:r>
      <w:r>
        <w:rPr>
          <w:rFonts w:hint="eastAsia"/>
        </w:rPr>
        <w:t>7,380,000</w:t>
      </w:r>
      <w:r>
        <w:rPr>
          <w:rFonts w:hint="eastAsia"/>
        </w:rPr>
        <w:t>本。</w:t>
      </w:r>
      <w:r>
        <w:rPr>
          <w:rFonts w:hint="eastAsia"/>
        </w:rPr>
        <w:t>1999</w:t>
      </w:r>
      <w:r>
        <w:rPr>
          <w:rFonts w:hint="eastAsia"/>
        </w:rPr>
        <w:t>年向</w:t>
      </w:r>
      <w:r>
        <w:rPr>
          <w:rFonts w:hint="eastAsia"/>
        </w:rPr>
        <w:t>630,000</w:t>
      </w:r>
      <w:r>
        <w:rPr>
          <w:rFonts w:hint="eastAsia"/>
        </w:rPr>
        <w:t>名一至三年级学生发放了</w:t>
      </w:r>
      <w:r>
        <w:rPr>
          <w:rFonts w:hint="eastAsia"/>
        </w:rPr>
        <w:t>1,537,000</w:t>
      </w:r>
      <w:r>
        <w:rPr>
          <w:rFonts w:hint="eastAsia"/>
        </w:rPr>
        <w:t>本</w:t>
      </w:r>
      <w:r>
        <w:rPr>
          <w:rFonts w:hint="eastAsia"/>
        </w:rPr>
        <w:t>课本。从</w:t>
      </w:r>
      <w:r>
        <w:rPr>
          <w:rFonts w:hint="eastAsia"/>
        </w:rPr>
        <w:t>1995</w:t>
      </w:r>
      <w:r>
        <w:rPr>
          <w:rFonts w:hint="eastAsia"/>
        </w:rPr>
        <w:t>到</w:t>
      </w:r>
      <w:r>
        <w:rPr>
          <w:rFonts w:hint="eastAsia"/>
        </w:rPr>
        <w:t>1998</w:t>
      </w:r>
      <w:r>
        <w:rPr>
          <w:rFonts w:hint="eastAsia"/>
        </w:rPr>
        <w:t>年，中等教育推出了提高教育质量方案，自此之后这一方案的行动、补贴和奖励几乎推广到所有受补贴的中学。全日制上课方案运也采用了同样的普及办法，旨在使私立收费学校和国家补贴教育的学时相等。迄今为止，受补贴学生几乎已达到</w:t>
      </w:r>
      <w:r>
        <w:rPr>
          <w:rFonts w:hint="eastAsia"/>
        </w:rPr>
        <w:t>300</w:t>
      </w:r>
      <w:r>
        <w:rPr>
          <w:rFonts w:hint="eastAsia"/>
        </w:rPr>
        <w:t>万名，他们全日上课，而非每周两次半日上课，这是该项方案采用之前的通常做法。在这一点上，公立学校学生的时刻表同私立学校</w:t>
      </w:r>
      <w:r>
        <w:rPr>
          <w:rFonts w:hint="eastAsia"/>
        </w:rPr>
        <w:t>28</w:t>
      </w:r>
      <w:r>
        <w:rPr>
          <w:rFonts w:hint="eastAsia"/>
        </w:rPr>
        <w:t>万学生的相同。</w:t>
      </w:r>
    </w:p>
    <w:p w:rsidR="00000000" w:rsidRDefault="009C1C61">
      <w:pPr>
        <w:rPr>
          <w:noProof/>
        </w:rPr>
      </w:pPr>
      <w:r>
        <w:rPr>
          <w:rFonts w:hint="eastAsia"/>
        </w:rPr>
        <w:tab/>
        <w:t>755.  1990</w:t>
      </w:r>
      <w:r>
        <w:rPr>
          <w:rFonts w:hint="eastAsia"/>
        </w:rPr>
        <w:t>年代促进教育平等政策的主要创新之处在于应用积极倾斜的原则，下面描述了这方面的体现和最近的进展，先描述更加明确、</w:t>
      </w:r>
      <w:r>
        <w:rPr>
          <w:rFonts w:hint="eastAsia"/>
        </w:rPr>
        <w:t>更加积极地向最弱势部分人口倾斜的政策。</w:t>
      </w:r>
    </w:p>
    <w:p w:rsidR="00000000" w:rsidRDefault="009C1C61">
      <w:pPr>
        <w:rPr>
          <w:noProof/>
        </w:rPr>
      </w:pPr>
      <w:r>
        <w:rPr>
          <w:rFonts w:hint="eastAsia"/>
          <w:noProof/>
        </w:rPr>
        <w:tab/>
      </w:r>
      <w:r>
        <w:rPr>
          <w:noProof/>
        </w:rPr>
        <w:t xml:space="preserve">756.  </w:t>
      </w:r>
      <w:r>
        <w:rPr>
          <w:rFonts w:hint="eastAsia"/>
          <w:noProof/>
        </w:rPr>
        <w:t>对</w:t>
      </w:r>
      <w:r>
        <w:rPr>
          <w:rFonts w:hint="eastAsia"/>
          <w:noProof/>
        </w:rPr>
        <w:t xml:space="preserve"> </w:t>
      </w:r>
      <w:r>
        <w:rPr>
          <w:rFonts w:hint="eastAsia"/>
          <w:noProof/>
        </w:rPr>
        <w:t>“</w:t>
      </w:r>
      <w:r>
        <w:rPr>
          <w:rFonts w:hint="eastAsia"/>
          <w:noProof/>
        </w:rPr>
        <w:t>900</w:t>
      </w:r>
      <w:r>
        <w:rPr>
          <w:rFonts w:hint="eastAsia"/>
          <w:noProof/>
        </w:rPr>
        <w:t>学校方案”</w:t>
      </w:r>
      <w:r>
        <w:rPr>
          <w:noProof/>
        </w:rPr>
        <w:t xml:space="preserve"> (P</w:t>
      </w:r>
      <w:r>
        <w:rPr>
          <w:noProof/>
        </w:rPr>
        <w:noBreakHyphen/>
        <w:t>900)</w:t>
      </w:r>
      <w:r>
        <w:rPr>
          <w:rFonts w:hint="eastAsia"/>
          <w:noProof/>
        </w:rPr>
        <w:t>作出进一步努力，该项方案在各个省份都协助</w:t>
      </w:r>
      <w:r>
        <w:rPr>
          <w:rFonts w:hint="eastAsia"/>
          <w:noProof/>
        </w:rPr>
        <w:t>1</w:t>
      </w:r>
      <w:r>
        <w:rPr>
          <w:noProof/>
        </w:rPr>
        <w:t xml:space="preserve">0% </w:t>
      </w:r>
      <w:r>
        <w:rPr>
          <w:rFonts w:hint="eastAsia"/>
          <w:noProof/>
        </w:rPr>
        <w:t>最弱势和表现最差的学校，采取技术及教学法方面优惠、强化支助的战略，提高学生的基本知识水平，弥补这些学校和小学教育平均水平之间的差距。在</w:t>
      </w:r>
      <w:r>
        <w:rPr>
          <w:rFonts w:hint="eastAsia"/>
          <w:noProof/>
        </w:rPr>
        <w:t>1990</w:t>
      </w:r>
      <w:r>
        <w:rPr>
          <w:rFonts w:hint="eastAsia"/>
          <w:noProof/>
        </w:rPr>
        <w:t>至</w:t>
      </w:r>
      <w:r>
        <w:rPr>
          <w:rFonts w:hint="eastAsia"/>
          <w:noProof/>
        </w:rPr>
        <w:t>1998</w:t>
      </w:r>
      <w:r>
        <w:rPr>
          <w:rFonts w:hint="eastAsia"/>
          <w:noProof/>
        </w:rPr>
        <w:t>年间，这个方案平均帮助了</w:t>
      </w:r>
      <w:r>
        <w:rPr>
          <w:noProof/>
        </w:rPr>
        <w:t>164,443</w:t>
      </w:r>
      <w:r>
        <w:rPr>
          <w:rFonts w:hint="eastAsia"/>
          <w:noProof/>
        </w:rPr>
        <w:t>名小学一年级至四年级学生。方案平均由</w:t>
      </w:r>
      <w:r>
        <w:rPr>
          <w:noProof/>
        </w:rPr>
        <w:t>5,440</w:t>
      </w:r>
      <w:r>
        <w:rPr>
          <w:rFonts w:hint="eastAsia"/>
          <w:noProof/>
        </w:rPr>
        <w:t>名男女教师管理，另外，每年平均有</w:t>
      </w:r>
      <w:r>
        <w:rPr>
          <w:noProof/>
        </w:rPr>
        <w:t>2,174</w:t>
      </w:r>
      <w:r>
        <w:rPr>
          <w:rFonts w:hint="eastAsia"/>
          <w:noProof/>
        </w:rPr>
        <w:t>名自愿监督人员协助辅导功课不及格的学生大约</w:t>
      </w:r>
      <w:r>
        <w:rPr>
          <w:noProof/>
        </w:rPr>
        <w:t>32,000</w:t>
      </w:r>
      <w:r>
        <w:rPr>
          <w:rFonts w:hint="eastAsia"/>
          <w:noProof/>
        </w:rPr>
        <w:t>名。方案从</w:t>
      </w:r>
      <w:r>
        <w:rPr>
          <w:rFonts w:hint="eastAsia"/>
          <w:noProof/>
        </w:rPr>
        <w:t>1998</w:t>
      </w:r>
      <w:r>
        <w:rPr>
          <w:rFonts w:hint="eastAsia"/>
          <w:noProof/>
        </w:rPr>
        <w:t>年起开始扩大，所有学校</w:t>
      </w:r>
      <w:r>
        <w:rPr>
          <w:rFonts w:hint="eastAsia"/>
          <w:noProof/>
        </w:rPr>
        <w:t>都把</w:t>
      </w:r>
      <w:r>
        <w:rPr>
          <w:rFonts w:hint="eastAsia"/>
          <w:noProof/>
        </w:rPr>
        <w:t>1997</w:t>
      </w:r>
      <w:r>
        <w:rPr>
          <w:rFonts w:hint="eastAsia"/>
          <w:noProof/>
        </w:rPr>
        <w:t>年以前不属于方案范围的学前班和小学五至八年级也纳入方案之内。</w:t>
      </w:r>
    </w:p>
    <w:p w:rsidR="00000000" w:rsidRDefault="009C1C61">
      <w:pPr>
        <w:rPr>
          <w:noProof/>
        </w:rPr>
      </w:pPr>
      <w:r>
        <w:rPr>
          <w:rFonts w:hint="eastAsia"/>
          <w:noProof/>
        </w:rPr>
        <w:tab/>
      </w:r>
      <w:r>
        <w:rPr>
          <w:noProof/>
        </w:rPr>
        <w:t xml:space="preserve">757.  </w:t>
      </w:r>
      <w:r>
        <w:rPr>
          <w:rFonts w:hint="eastAsia"/>
          <w:noProof/>
        </w:rPr>
        <w:t>拟订乡村小学方案是为了帮助“一个班多个年级”的乡村小学：这些学校只有三名或不到三名教师，班上的学生可以学习小学一至六年级的课程。比较而言，这种学校往往都在交通极不方便的穷乡僻壤，学生家境贫困，明显增加了不同年级学生在一个班上课的困难。这个方案也着眼于提供技术教学法支助，其主要内容是，供教师进一步自学进修的“微型中心”、创造革新和使用适应乡村实况和同一个班多个年级情况的教科书和练习本。实行这种方案的学校　除了得到教育部省级</w:t>
      </w:r>
      <w:r>
        <w:rPr>
          <w:rFonts w:hint="eastAsia"/>
          <w:noProof/>
        </w:rPr>
        <w:t>厅处的特惠技术咨询以外，也有机会执行教育改革的各种项目，例如：教育改进项目</w:t>
      </w:r>
      <w:r>
        <w:rPr>
          <w:noProof/>
        </w:rPr>
        <w:t xml:space="preserve"> (</w:t>
      </w:r>
      <w:r>
        <w:rPr>
          <w:rFonts w:hint="eastAsia"/>
          <w:noProof/>
        </w:rPr>
        <w:t>这直接涉及的是“微型中心”而不是学校</w:t>
      </w:r>
      <w:r>
        <w:rPr>
          <w:noProof/>
        </w:rPr>
        <w:t>)</w:t>
      </w:r>
      <w:r>
        <w:rPr>
          <w:rFonts w:hint="eastAsia"/>
          <w:noProof/>
        </w:rPr>
        <w:t>，“链接”</w:t>
      </w:r>
      <w:r>
        <w:rPr>
          <w:noProof/>
        </w:rPr>
        <w:t xml:space="preserve"> (</w:t>
      </w:r>
      <w:r>
        <w:rPr>
          <w:rFonts w:hint="eastAsia"/>
          <w:noProof/>
        </w:rPr>
        <w:t>捆扎</w:t>
      </w:r>
      <w:r>
        <w:rPr>
          <w:noProof/>
        </w:rPr>
        <w:t xml:space="preserve">) </w:t>
      </w:r>
      <w:r>
        <w:rPr>
          <w:rFonts w:hint="eastAsia"/>
          <w:noProof/>
        </w:rPr>
        <w:t>网络和供教师进行专业进修的其他一些机会。这些学校也由于成为国家助学方案的重点对象而获益。乡村小学教育方案于</w:t>
      </w:r>
      <w:r>
        <w:rPr>
          <w:rFonts w:hint="eastAsia"/>
          <w:noProof/>
        </w:rPr>
        <w:t>1992</w:t>
      </w:r>
      <w:r>
        <w:rPr>
          <w:rFonts w:hint="eastAsia"/>
          <w:noProof/>
        </w:rPr>
        <w:t>年开始实行，</w:t>
      </w:r>
      <w:r>
        <w:rPr>
          <w:rFonts w:hint="eastAsia"/>
          <w:noProof/>
        </w:rPr>
        <w:t xml:space="preserve"> </w:t>
      </w:r>
      <w:r>
        <w:rPr>
          <w:rFonts w:hint="eastAsia"/>
          <w:noProof/>
        </w:rPr>
        <w:t>覆盖</w:t>
      </w:r>
      <w:r>
        <w:rPr>
          <w:rFonts w:hint="eastAsia"/>
          <w:noProof/>
        </w:rPr>
        <w:t>623</w:t>
      </w:r>
      <w:r>
        <w:rPr>
          <w:rFonts w:hint="eastAsia"/>
          <w:noProof/>
        </w:rPr>
        <w:t>所学校、</w:t>
      </w:r>
      <w:r>
        <w:rPr>
          <w:noProof/>
        </w:rPr>
        <w:t>20,993</w:t>
      </w:r>
      <w:r>
        <w:rPr>
          <w:rFonts w:hint="eastAsia"/>
          <w:noProof/>
        </w:rPr>
        <w:t>名学生和</w:t>
      </w:r>
      <w:r>
        <w:rPr>
          <w:rFonts w:hint="eastAsia"/>
          <w:noProof/>
        </w:rPr>
        <w:t>944</w:t>
      </w:r>
      <w:r>
        <w:rPr>
          <w:rFonts w:hint="eastAsia"/>
          <w:noProof/>
        </w:rPr>
        <w:t>名教师，分布于</w:t>
      </w:r>
      <w:r>
        <w:rPr>
          <w:rFonts w:hint="eastAsia"/>
          <w:noProof/>
        </w:rPr>
        <w:t>104</w:t>
      </w:r>
      <w:r>
        <w:rPr>
          <w:rFonts w:hint="eastAsia"/>
          <w:noProof/>
        </w:rPr>
        <w:t>个微型中心。</w:t>
      </w:r>
      <w:r>
        <w:rPr>
          <w:rFonts w:hint="eastAsia"/>
          <w:noProof/>
        </w:rPr>
        <w:t>1997</w:t>
      </w:r>
      <w:r>
        <w:rPr>
          <w:rFonts w:hint="eastAsia"/>
          <w:noProof/>
        </w:rPr>
        <w:t>年，</w:t>
      </w:r>
      <w:r>
        <w:rPr>
          <w:noProof/>
        </w:rPr>
        <w:t xml:space="preserve"> </w:t>
      </w:r>
      <w:r>
        <w:rPr>
          <w:rFonts w:hint="eastAsia"/>
          <w:noProof/>
        </w:rPr>
        <w:t>它完成了自己的普及计划，将所有这一类型的</w:t>
      </w:r>
      <w:r>
        <w:rPr>
          <w:rFonts w:hint="eastAsia"/>
          <w:noProof/>
        </w:rPr>
        <w:t>3,330</w:t>
      </w:r>
      <w:r>
        <w:rPr>
          <w:rFonts w:hint="eastAsia"/>
          <w:noProof/>
        </w:rPr>
        <w:t>所学校纳入方案，在学儿童有</w:t>
      </w:r>
      <w:r>
        <w:rPr>
          <w:noProof/>
        </w:rPr>
        <w:t>96,346</w:t>
      </w:r>
      <w:r>
        <w:rPr>
          <w:rFonts w:hint="eastAsia"/>
          <w:noProof/>
        </w:rPr>
        <w:t>名，由分布在</w:t>
      </w:r>
      <w:r>
        <w:rPr>
          <w:rFonts w:hint="eastAsia"/>
          <w:noProof/>
        </w:rPr>
        <w:t>518</w:t>
      </w:r>
      <w:r>
        <w:rPr>
          <w:rFonts w:hint="eastAsia"/>
          <w:noProof/>
        </w:rPr>
        <w:t>个微型中心的</w:t>
      </w:r>
      <w:r>
        <w:rPr>
          <w:noProof/>
        </w:rPr>
        <w:t>5,132</w:t>
      </w:r>
      <w:r>
        <w:rPr>
          <w:rFonts w:hint="eastAsia"/>
          <w:noProof/>
        </w:rPr>
        <w:t>名教师照料，占所有小学在学儿</w:t>
      </w:r>
      <w:r>
        <w:rPr>
          <w:rFonts w:hint="eastAsia"/>
          <w:noProof/>
        </w:rPr>
        <w:t>童人数的</w:t>
      </w:r>
      <w:r>
        <w:rPr>
          <w:noProof/>
        </w:rPr>
        <w:t>41.4%</w:t>
      </w:r>
      <w:r>
        <w:rPr>
          <w:rFonts w:hint="eastAsia"/>
          <w:noProof/>
        </w:rPr>
        <w:t>和这个年级在学儿童人数的</w:t>
      </w:r>
      <w:r>
        <w:rPr>
          <w:noProof/>
        </w:rPr>
        <w:t>4.6%</w:t>
      </w:r>
      <w:r>
        <w:rPr>
          <w:rFonts w:hint="eastAsia"/>
          <w:noProof/>
        </w:rPr>
        <w:t>。时至今日，这个方案不断普及。尽管大多数学校只在过去三到五年才参加，方案的成效却令人鼓舞。按教育质评系统衡量单位计算，</w:t>
      </w:r>
      <w:r>
        <w:rPr>
          <w:rFonts w:hint="eastAsia"/>
          <w:noProof/>
        </w:rPr>
        <w:t>1992</w:t>
      </w:r>
      <w:r>
        <w:rPr>
          <w:rFonts w:hint="eastAsia"/>
          <w:noProof/>
        </w:rPr>
        <w:t>年至</w:t>
      </w:r>
      <w:r>
        <w:rPr>
          <w:rFonts w:hint="eastAsia"/>
          <w:noProof/>
        </w:rPr>
        <w:t>1996</w:t>
      </w:r>
      <w:r>
        <w:rPr>
          <w:rFonts w:hint="eastAsia"/>
          <w:noProof/>
        </w:rPr>
        <w:t>年间，已经参加乡村方案的学校的数学从</w:t>
      </w:r>
      <w:r>
        <w:rPr>
          <w:noProof/>
        </w:rPr>
        <w:t xml:space="preserve">34.3% </w:t>
      </w:r>
      <w:r>
        <w:rPr>
          <w:rFonts w:hint="eastAsia"/>
          <w:noProof/>
        </w:rPr>
        <w:t>进步到</w:t>
      </w:r>
      <w:r>
        <w:rPr>
          <w:noProof/>
        </w:rPr>
        <w:t xml:space="preserve">60.8% </w:t>
      </w:r>
      <w:r>
        <w:rPr>
          <w:rFonts w:hint="eastAsia"/>
          <w:noProof/>
        </w:rPr>
        <w:t>；西班牙文从</w:t>
      </w:r>
      <w:r>
        <w:rPr>
          <w:noProof/>
        </w:rPr>
        <w:t xml:space="preserve">34.1% </w:t>
      </w:r>
      <w:r>
        <w:rPr>
          <w:rFonts w:hint="eastAsia"/>
          <w:noProof/>
        </w:rPr>
        <w:t>进步到</w:t>
      </w:r>
      <w:r>
        <w:rPr>
          <w:noProof/>
        </w:rPr>
        <w:t>59.4%</w:t>
      </w:r>
      <w:r>
        <w:rPr>
          <w:rFonts w:hint="eastAsia"/>
          <w:noProof/>
        </w:rPr>
        <w:t>。</w:t>
      </w:r>
    </w:p>
    <w:p w:rsidR="00000000" w:rsidRDefault="009C1C61">
      <w:pPr>
        <w:rPr>
          <w:noProof/>
        </w:rPr>
      </w:pPr>
      <w:r>
        <w:rPr>
          <w:rFonts w:hint="eastAsia"/>
          <w:noProof/>
        </w:rPr>
        <w:tab/>
      </w:r>
      <w:r>
        <w:rPr>
          <w:noProof/>
        </w:rPr>
        <w:t>758.</w:t>
      </w:r>
      <w:r>
        <w:rPr>
          <w:rFonts w:hint="eastAsia"/>
          <w:noProof/>
        </w:rPr>
        <w:t xml:space="preserve">  </w:t>
      </w:r>
      <w:r>
        <w:rPr>
          <w:rFonts w:hint="eastAsia"/>
          <w:noProof/>
        </w:rPr>
        <w:t>全国学校和奖学金援助委员会</w:t>
      </w:r>
      <w:r>
        <w:rPr>
          <w:noProof/>
        </w:rPr>
        <w:t xml:space="preserve"> (Junaeb) </w:t>
      </w:r>
      <w:r>
        <w:rPr>
          <w:rFonts w:hint="eastAsia"/>
          <w:noProof/>
        </w:rPr>
        <w:t>已经使援助方案扩大、多样化，并重新确定其重点。它的主要工作重点是学校供餐方案。</w:t>
      </w:r>
      <w:r>
        <w:rPr>
          <w:rFonts w:hint="eastAsia"/>
          <w:noProof/>
        </w:rPr>
        <w:t>1998</w:t>
      </w:r>
      <w:r>
        <w:rPr>
          <w:rFonts w:hint="eastAsia"/>
          <w:noProof/>
        </w:rPr>
        <w:t>年，这个方案涵盖了</w:t>
      </w:r>
      <w:r>
        <w:rPr>
          <w:noProof/>
        </w:rPr>
        <w:t>42%</w:t>
      </w:r>
      <w:r>
        <w:rPr>
          <w:rFonts w:hint="eastAsia"/>
          <w:noProof/>
        </w:rPr>
        <w:t>的小学生和获得补助的中学生。由于受到财政部的</w:t>
      </w:r>
      <w:r>
        <w:rPr>
          <w:rFonts w:hint="eastAsia"/>
          <w:noProof/>
        </w:rPr>
        <w:t>资金限制，</w:t>
      </w:r>
      <w:r>
        <w:rPr>
          <w:rFonts w:hint="eastAsia"/>
          <w:noProof/>
        </w:rPr>
        <w:t>1999</w:t>
      </w:r>
      <w:r>
        <w:rPr>
          <w:rFonts w:hint="eastAsia"/>
          <w:noProof/>
        </w:rPr>
        <w:t>年的复盖率为在学学生的</w:t>
      </w:r>
      <w:r>
        <w:rPr>
          <w:noProof/>
        </w:rPr>
        <w:t>45%</w:t>
      </w:r>
      <w:r>
        <w:rPr>
          <w:rFonts w:hint="eastAsia"/>
          <w:noProof/>
        </w:rPr>
        <w:t>。在全日制学校里，供餐方案涵盖了</w:t>
      </w:r>
      <w:r>
        <w:rPr>
          <w:noProof/>
        </w:rPr>
        <w:t xml:space="preserve">96% </w:t>
      </w:r>
      <w:r>
        <w:rPr>
          <w:rFonts w:hint="eastAsia"/>
          <w:noProof/>
        </w:rPr>
        <w:t>的小学生和</w:t>
      </w:r>
      <w:r>
        <w:rPr>
          <w:noProof/>
        </w:rPr>
        <w:t>80%</w:t>
      </w:r>
      <w:r>
        <w:rPr>
          <w:rFonts w:hint="eastAsia"/>
          <w:noProof/>
        </w:rPr>
        <w:t>的中学生，所以，方案的效果可以鉴定为：令人满意。根据</w:t>
      </w:r>
      <w:r>
        <w:rPr>
          <w:rFonts w:hint="eastAsia"/>
          <w:noProof/>
        </w:rPr>
        <w:t>2000</w:t>
      </w:r>
      <w:r>
        <w:rPr>
          <w:rFonts w:hint="eastAsia"/>
          <w:noProof/>
        </w:rPr>
        <w:t>年社经特征调查资料，供餐方案是重点最突出的社会方案之一，因为它的施行对象是家庭收入五等分层中属于第一层和第二层的大约</w:t>
      </w:r>
      <w:r>
        <w:rPr>
          <w:noProof/>
        </w:rPr>
        <w:t>80%</w:t>
      </w:r>
      <w:r>
        <w:rPr>
          <w:rFonts w:hint="eastAsia"/>
          <w:noProof/>
        </w:rPr>
        <w:t>的学生。</w:t>
      </w:r>
    </w:p>
    <w:p w:rsidR="00000000" w:rsidRDefault="009C1C61">
      <w:pPr>
        <w:rPr>
          <w:noProof/>
        </w:rPr>
      </w:pPr>
      <w:r>
        <w:rPr>
          <w:rFonts w:hint="eastAsia"/>
          <w:noProof/>
        </w:rPr>
        <w:tab/>
      </w:r>
      <w:r>
        <w:rPr>
          <w:noProof/>
        </w:rPr>
        <w:t>759.</w:t>
      </w:r>
      <w:r>
        <w:rPr>
          <w:rFonts w:hint="eastAsia"/>
          <w:noProof/>
        </w:rPr>
        <w:t xml:space="preserve">  1996</w:t>
      </w:r>
      <w:r>
        <w:rPr>
          <w:rFonts w:hint="eastAsia"/>
          <w:noProof/>
        </w:rPr>
        <w:t>年，寄宿学校或学生之家服务处向</w:t>
      </w:r>
      <w:r>
        <w:rPr>
          <w:noProof/>
        </w:rPr>
        <w:t>58,069</w:t>
      </w:r>
      <w:r>
        <w:rPr>
          <w:rFonts w:hint="eastAsia"/>
          <w:noProof/>
        </w:rPr>
        <w:t>名学生提供了住所，另外还为</w:t>
      </w:r>
      <w:r>
        <w:rPr>
          <w:rFonts w:hint="eastAsia"/>
          <w:noProof/>
        </w:rPr>
        <w:t>2,108</w:t>
      </w:r>
      <w:r>
        <w:rPr>
          <w:rFonts w:hint="eastAsia"/>
          <w:noProof/>
        </w:rPr>
        <w:t>名在社会经济上属极度弱势类的学生安排家庭寄宿。除了这种服务以外，还有另外一些方案，例如各种形式的奖学金，包括为在小学、</w:t>
      </w:r>
      <w:r>
        <w:rPr>
          <w:rFonts w:hint="eastAsia"/>
          <w:noProof/>
        </w:rPr>
        <w:t>中学或大学就读的土著学生设置的一些奖学金。</w:t>
      </w:r>
    </w:p>
    <w:p w:rsidR="00000000" w:rsidRDefault="009C1C61">
      <w:pPr>
        <w:rPr>
          <w:noProof/>
        </w:rPr>
      </w:pPr>
      <w:r>
        <w:rPr>
          <w:rFonts w:hint="eastAsia"/>
          <w:noProof/>
        </w:rPr>
        <w:tab/>
      </w:r>
      <w:r>
        <w:rPr>
          <w:noProof/>
        </w:rPr>
        <w:t>760.</w:t>
      </w:r>
      <w:r>
        <w:rPr>
          <w:rFonts w:hint="eastAsia"/>
          <w:noProof/>
        </w:rPr>
        <w:t xml:space="preserve">  1992</w:t>
      </w:r>
      <w:r>
        <w:rPr>
          <w:rFonts w:hint="eastAsia"/>
          <w:noProof/>
        </w:rPr>
        <w:t>年，为最直接影响学习的病理学诊断和处理设置了一个学校保健方案。</w:t>
      </w:r>
      <w:r>
        <w:rPr>
          <w:rFonts w:hint="eastAsia"/>
          <w:noProof/>
        </w:rPr>
        <w:t>1996</w:t>
      </w:r>
      <w:r>
        <w:rPr>
          <w:rFonts w:hint="eastAsia"/>
          <w:noProof/>
        </w:rPr>
        <w:t>年，这个方案涵括了小学一至五年级就读的</w:t>
      </w:r>
      <w:r>
        <w:rPr>
          <w:noProof/>
        </w:rPr>
        <w:t>986,000</w:t>
      </w:r>
      <w:r>
        <w:rPr>
          <w:rFonts w:hint="eastAsia"/>
          <w:noProof/>
        </w:rPr>
        <w:t>名学生，在随后几年内持续扩大，以期维持对进入六、七和八年级就读学生的复盖率。</w:t>
      </w:r>
    </w:p>
    <w:p w:rsidR="00000000" w:rsidRDefault="009C1C61">
      <w:pPr>
        <w:rPr>
          <w:noProof/>
        </w:rPr>
      </w:pPr>
      <w:r>
        <w:rPr>
          <w:rFonts w:hint="eastAsia"/>
          <w:noProof/>
        </w:rPr>
        <w:tab/>
      </w:r>
      <w:r>
        <w:rPr>
          <w:noProof/>
        </w:rPr>
        <w:t>761.</w:t>
      </w:r>
      <w:r>
        <w:rPr>
          <w:rFonts w:hint="eastAsia"/>
          <w:noProof/>
        </w:rPr>
        <w:t xml:space="preserve">  1990</w:t>
      </w:r>
      <w:r>
        <w:rPr>
          <w:rFonts w:hint="eastAsia"/>
          <w:noProof/>
        </w:rPr>
        <w:t>年，学前教育涵括了</w:t>
      </w:r>
      <w:r>
        <w:rPr>
          <w:noProof/>
        </w:rPr>
        <w:t>20.9%</w:t>
      </w:r>
      <w:r>
        <w:rPr>
          <w:rFonts w:hint="eastAsia"/>
          <w:noProof/>
        </w:rPr>
        <w:t>六岁以下的在学儿童。到</w:t>
      </w:r>
      <w:r>
        <w:rPr>
          <w:rFonts w:hint="eastAsia"/>
          <w:noProof/>
        </w:rPr>
        <w:t>1994</w:t>
      </w:r>
      <w:r>
        <w:rPr>
          <w:rFonts w:hint="eastAsia"/>
          <w:noProof/>
        </w:rPr>
        <w:t>年，这个复盖率增加到</w:t>
      </w:r>
      <w:r>
        <w:rPr>
          <w:noProof/>
        </w:rPr>
        <w:t>26.9%</w:t>
      </w:r>
      <w:r>
        <w:rPr>
          <w:rFonts w:hint="eastAsia"/>
          <w:noProof/>
        </w:rPr>
        <w:t>，并在</w:t>
      </w:r>
      <w:r>
        <w:rPr>
          <w:noProof/>
        </w:rPr>
        <w:t>1998</w:t>
      </w:r>
      <w:r>
        <w:rPr>
          <w:rFonts w:hint="eastAsia"/>
          <w:noProof/>
        </w:rPr>
        <w:t>年增加到</w:t>
      </w:r>
      <w:r>
        <w:rPr>
          <w:noProof/>
        </w:rPr>
        <w:t>30.9%</w:t>
      </w:r>
      <w:r>
        <w:rPr>
          <w:rFonts w:hint="eastAsia"/>
          <w:noProof/>
        </w:rPr>
        <w:t>。在三岁到五岁的年龄组，这些复盖率分别为</w:t>
      </w:r>
      <w:r>
        <w:rPr>
          <w:noProof/>
        </w:rPr>
        <w:t>29.9%</w:t>
      </w:r>
      <w:r>
        <w:rPr>
          <w:rFonts w:hint="eastAsia"/>
          <w:noProof/>
        </w:rPr>
        <w:t>、</w:t>
      </w:r>
      <w:r>
        <w:rPr>
          <w:noProof/>
        </w:rPr>
        <w:t xml:space="preserve">37% </w:t>
      </w:r>
      <w:r>
        <w:rPr>
          <w:rFonts w:hint="eastAsia"/>
          <w:noProof/>
        </w:rPr>
        <w:t>和</w:t>
      </w:r>
      <w:r>
        <w:rPr>
          <w:noProof/>
        </w:rPr>
        <w:t>42.2%</w:t>
      </w:r>
      <w:r>
        <w:rPr>
          <w:rFonts w:hint="eastAsia"/>
          <w:noProof/>
        </w:rPr>
        <w:t>。</w:t>
      </w:r>
      <w:r>
        <w:rPr>
          <w:rStyle w:val="FootnoteReference"/>
        </w:rPr>
        <w:footnoteReference w:id="313"/>
      </w:r>
      <w:r>
        <w:rPr>
          <w:noProof/>
        </w:rPr>
        <w:t xml:space="preserve"> </w:t>
      </w:r>
      <w:r>
        <w:rPr>
          <w:rFonts w:hint="eastAsia"/>
          <w:noProof/>
        </w:rPr>
        <w:t>在五岁到六岁年龄组，</w:t>
      </w:r>
      <w:r>
        <w:rPr>
          <w:rFonts w:hint="eastAsia"/>
          <w:noProof/>
        </w:rPr>
        <w:t>199</w:t>
      </w:r>
      <w:r>
        <w:rPr>
          <w:rFonts w:hint="eastAsia"/>
          <w:noProof/>
        </w:rPr>
        <w:t>8</w:t>
      </w:r>
      <w:r>
        <w:rPr>
          <w:rFonts w:hint="eastAsia"/>
          <w:noProof/>
        </w:rPr>
        <w:t>年的复盖率为</w:t>
      </w:r>
      <w:r>
        <w:rPr>
          <w:noProof/>
        </w:rPr>
        <w:t xml:space="preserve">82.9% </w:t>
      </w:r>
      <w:r>
        <w:rPr>
          <w:rFonts w:hint="eastAsia"/>
          <w:noProof/>
        </w:rPr>
        <w:t>。在</w:t>
      </w:r>
      <w:r>
        <w:rPr>
          <w:rFonts w:hint="eastAsia"/>
          <w:noProof/>
        </w:rPr>
        <w:t>1990</w:t>
      </w:r>
      <w:r>
        <w:rPr>
          <w:rFonts w:hint="eastAsia"/>
          <w:noProof/>
        </w:rPr>
        <w:t>至</w:t>
      </w:r>
      <w:r>
        <w:rPr>
          <w:rFonts w:hint="eastAsia"/>
          <w:noProof/>
        </w:rPr>
        <w:t>1998</w:t>
      </w:r>
      <w:r>
        <w:rPr>
          <w:rFonts w:hint="eastAsia"/>
          <w:noProof/>
        </w:rPr>
        <w:t>年间，乡村小学的复盖率翻了一翻，不过，同城市地区比较起来，仍有差距。公共当局优先帮助收入较低的家庭，增进了这些家庭的儿童接受学前教育的机会。根据社经特征调查资料，在</w:t>
      </w:r>
      <w:r>
        <w:rPr>
          <w:rFonts w:hint="eastAsia"/>
          <w:noProof/>
        </w:rPr>
        <w:t>1990</w:t>
      </w:r>
      <w:r>
        <w:rPr>
          <w:rFonts w:hint="eastAsia"/>
          <w:noProof/>
        </w:rPr>
        <w:t>至</w:t>
      </w:r>
      <w:r>
        <w:rPr>
          <w:rFonts w:hint="eastAsia"/>
          <w:noProof/>
        </w:rPr>
        <w:t>1998</w:t>
      </w:r>
      <w:r>
        <w:rPr>
          <w:rFonts w:hint="eastAsia"/>
          <w:noProof/>
        </w:rPr>
        <w:t>年间，第一层和第二层的复盖率分别从</w:t>
      </w:r>
      <w:r>
        <w:rPr>
          <w:noProof/>
        </w:rPr>
        <w:t xml:space="preserve">16.9% </w:t>
      </w:r>
      <w:r>
        <w:rPr>
          <w:rFonts w:hint="eastAsia"/>
          <w:noProof/>
        </w:rPr>
        <w:t>和</w:t>
      </w:r>
      <w:r>
        <w:rPr>
          <w:noProof/>
        </w:rPr>
        <w:t xml:space="preserve"> 17.5%</w:t>
      </w:r>
      <w:r>
        <w:rPr>
          <w:rFonts w:hint="eastAsia"/>
          <w:noProof/>
        </w:rPr>
        <w:t>增加为</w:t>
      </w:r>
      <w:r>
        <w:rPr>
          <w:noProof/>
        </w:rPr>
        <w:t xml:space="preserve">23.6% </w:t>
      </w:r>
      <w:r>
        <w:rPr>
          <w:rFonts w:hint="eastAsia"/>
          <w:noProof/>
        </w:rPr>
        <w:t>和</w:t>
      </w:r>
      <w:r>
        <w:rPr>
          <w:noProof/>
        </w:rPr>
        <w:t>29.1%</w:t>
      </w:r>
      <w:r>
        <w:rPr>
          <w:noProof/>
        </w:rPr>
        <w:t>。</w:t>
      </w:r>
      <w:r>
        <w:rPr>
          <w:rFonts w:hint="eastAsia"/>
          <w:noProof/>
        </w:rPr>
        <w:t>虽然这些增加率颇大，也反映出当局在帮助低收入阶层方面作了具有针对性的努力，他们还是被认为做得不够，这类家庭迫切需要实现高复盖率。</w:t>
      </w:r>
    </w:p>
    <w:p w:rsidR="00000000" w:rsidRDefault="009C1C61">
      <w:pPr>
        <w:rPr>
          <w:noProof/>
        </w:rPr>
      </w:pPr>
      <w:r>
        <w:rPr>
          <w:rFonts w:hint="eastAsia"/>
          <w:noProof/>
        </w:rPr>
        <w:tab/>
      </w:r>
      <w:r>
        <w:rPr>
          <w:noProof/>
        </w:rPr>
        <w:t>762.</w:t>
      </w:r>
      <w:r>
        <w:rPr>
          <w:rFonts w:hint="eastAsia"/>
          <w:noProof/>
        </w:rPr>
        <w:t xml:space="preserve">  </w:t>
      </w:r>
      <w:r>
        <w:rPr>
          <w:rFonts w:hint="eastAsia"/>
          <w:noProof/>
        </w:rPr>
        <w:t>学前网络不仅在扩大复盖范围和使其战略多样化，以</w:t>
      </w:r>
      <w:r>
        <w:rPr>
          <w:rFonts w:hint="eastAsia"/>
          <w:noProof/>
        </w:rPr>
        <w:t>提高成效，而且还持续努力提高质量，为此采用了许多传统和非传统的支助和鼓励方案。</w:t>
      </w:r>
    </w:p>
    <w:p w:rsidR="00000000" w:rsidRDefault="009C1C61">
      <w:pPr>
        <w:rPr>
          <w:noProof/>
        </w:rPr>
      </w:pPr>
      <w:r>
        <w:rPr>
          <w:rFonts w:hint="eastAsia"/>
          <w:noProof/>
        </w:rPr>
        <w:tab/>
      </w:r>
      <w:r>
        <w:rPr>
          <w:noProof/>
        </w:rPr>
        <w:t>763.</w:t>
      </w:r>
      <w:r>
        <w:rPr>
          <w:rFonts w:hint="eastAsia"/>
          <w:noProof/>
        </w:rPr>
        <w:t xml:space="preserve">  </w:t>
      </w:r>
      <w:r>
        <w:rPr>
          <w:rFonts w:hint="eastAsia"/>
          <w:noProof/>
        </w:rPr>
        <w:t>具有特殊需要的儿童的要求历来以两种方式得到满足：一、改善特殊学校；二、协助正规教育接纳这类儿童。为了使正规系统接纳具有特殊需要的儿童，从</w:t>
      </w:r>
      <w:r>
        <w:rPr>
          <w:noProof/>
        </w:rPr>
        <w:t>2001</w:t>
      </w:r>
      <w:r>
        <w:rPr>
          <w:rFonts w:hint="eastAsia"/>
          <w:noProof/>
        </w:rPr>
        <w:t>年起可以从学前过渡班第二级起支付特殊教育津贴，直到就读中学一年级为止。今年，这种改善已经扩大适用于就读中学二年级的学生，其用意是最终把这种专项津贴扩大到整个中学教育系统。</w:t>
      </w:r>
    </w:p>
    <w:p w:rsidR="00000000" w:rsidRDefault="009C1C61">
      <w:pPr>
        <w:rPr>
          <w:noProof/>
        </w:rPr>
      </w:pPr>
      <w:r>
        <w:rPr>
          <w:rFonts w:hint="eastAsia"/>
          <w:noProof/>
        </w:rPr>
        <w:tab/>
      </w:r>
      <w:r>
        <w:rPr>
          <w:noProof/>
        </w:rPr>
        <w:t>764.</w:t>
      </w:r>
      <w:r>
        <w:rPr>
          <w:rFonts w:hint="eastAsia"/>
          <w:noProof/>
        </w:rPr>
        <w:t xml:space="preserve">  </w:t>
      </w:r>
      <w:r>
        <w:rPr>
          <w:rFonts w:hint="eastAsia"/>
          <w:noProof/>
        </w:rPr>
        <w:t>在《土著法》出台的背景之下，</w:t>
      </w:r>
      <w:r>
        <w:rPr>
          <w:rStyle w:val="EndnoteReference"/>
        </w:rPr>
        <w:footnoteReference w:id="314"/>
      </w:r>
      <w:r>
        <w:rPr>
          <w:noProof/>
        </w:rPr>
        <w:t xml:space="preserve"> </w:t>
      </w:r>
      <w:r>
        <w:rPr>
          <w:rFonts w:hint="eastAsia"/>
          <w:noProof/>
        </w:rPr>
        <w:t>全国土著发展公司</w:t>
      </w:r>
      <w:r>
        <w:t xml:space="preserve"> (</w:t>
      </w:r>
      <w:r>
        <w:rPr>
          <w:rFonts w:hint="eastAsia"/>
        </w:rPr>
        <w:t>土发公司</w:t>
      </w:r>
      <w:r>
        <w:rPr>
          <w:noProof/>
        </w:rPr>
        <w:t>)</w:t>
      </w:r>
      <w:r>
        <w:rPr>
          <w:rFonts w:hint="eastAsia"/>
          <w:noProof/>
        </w:rPr>
        <w:t>和教育部于</w:t>
      </w:r>
      <w:r>
        <w:rPr>
          <w:rFonts w:hint="eastAsia"/>
          <w:noProof/>
        </w:rPr>
        <w:t>1996</w:t>
      </w:r>
      <w:r>
        <w:rPr>
          <w:rFonts w:hint="eastAsia"/>
          <w:noProof/>
        </w:rPr>
        <w:t>年签署了</w:t>
      </w:r>
      <w:r>
        <w:rPr>
          <w:rFonts w:hint="eastAsia"/>
          <w:noProof/>
        </w:rPr>
        <w:t>一份合作协定，以便在土著儿童比例高的中小学搞试点项目。教育部正在通过其双语文化间教育方案支持新的参与式试点项目，为在这种学校就读的男女学生出台并试验一种经过改造适应其需要的的新培训课程，在包括首都区在内的七个大区试用。此外，正在采取行动为培训教师而资助大学和这方面的研究项目，获取、出版和发行学习材料。</w:t>
      </w:r>
    </w:p>
    <w:p w:rsidR="00000000" w:rsidRDefault="009C1C61">
      <w:pPr>
        <w:rPr>
          <w:noProof/>
        </w:rPr>
      </w:pPr>
      <w:r>
        <w:rPr>
          <w:rFonts w:hint="eastAsia"/>
          <w:noProof/>
        </w:rPr>
        <w:tab/>
      </w:r>
      <w:r>
        <w:rPr>
          <w:noProof/>
        </w:rPr>
        <w:t>765.</w:t>
      </w:r>
      <w:r>
        <w:rPr>
          <w:rFonts w:hint="eastAsia"/>
          <w:noProof/>
        </w:rPr>
        <w:t xml:space="preserve">  1994</w:t>
      </w:r>
      <w:r>
        <w:rPr>
          <w:rFonts w:hint="eastAsia"/>
          <w:noProof/>
        </w:rPr>
        <w:t>至</w:t>
      </w:r>
      <w:r>
        <w:rPr>
          <w:rFonts w:hint="eastAsia"/>
          <w:noProof/>
        </w:rPr>
        <w:t>1999</w:t>
      </w:r>
      <w:r>
        <w:rPr>
          <w:rFonts w:hint="eastAsia"/>
          <w:noProof/>
        </w:rPr>
        <w:t>年间，对每名学生的补贴平均从</w:t>
      </w:r>
      <w:r>
        <w:rPr>
          <w:noProof/>
        </w:rPr>
        <w:t>13,503 </w:t>
      </w:r>
      <w:r>
        <w:rPr>
          <w:rFonts w:hint="eastAsia"/>
          <w:noProof/>
        </w:rPr>
        <w:t>比索</w:t>
      </w:r>
      <w:r>
        <w:rPr>
          <w:noProof/>
        </w:rPr>
        <w:t>(26.5</w:t>
      </w:r>
      <w:r>
        <w:rPr>
          <w:rFonts w:hint="eastAsia"/>
          <w:noProof/>
        </w:rPr>
        <w:t>美元</w:t>
      </w:r>
      <w:r>
        <w:rPr>
          <w:noProof/>
        </w:rPr>
        <w:t>)</w:t>
      </w:r>
      <w:r>
        <w:rPr>
          <w:rFonts w:hint="eastAsia"/>
          <w:noProof/>
        </w:rPr>
        <w:t>增加到</w:t>
      </w:r>
      <w:r>
        <w:rPr>
          <w:noProof/>
        </w:rPr>
        <w:t xml:space="preserve"> 20,996 </w:t>
      </w:r>
      <w:r>
        <w:rPr>
          <w:rFonts w:hint="eastAsia"/>
          <w:noProof/>
        </w:rPr>
        <w:t>比索</w:t>
      </w:r>
      <w:r>
        <w:rPr>
          <w:rFonts w:hint="eastAsia"/>
          <w:noProof/>
          <w:vertAlign w:val="superscript"/>
        </w:rPr>
        <w:t xml:space="preserve"> </w:t>
      </w:r>
      <w:r>
        <w:rPr>
          <w:rStyle w:val="FootnoteReference"/>
          <w:noProof/>
        </w:rPr>
        <w:footnoteReference w:id="315"/>
      </w:r>
      <w:r>
        <w:rPr>
          <w:noProof/>
        </w:rPr>
        <w:t xml:space="preserve"> (41.3</w:t>
      </w:r>
      <w:r>
        <w:rPr>
          <w:rFonts w:hint="eastAsia"/>
          <w:noProof/>
        </w:rPr>
        <w:t>美元</w:t>
      </w:r>
      <w:r>
        <w:rPr>
          <w:noProof/>
        </w:rPr>
        <w:t>)</w:t>
      </w:r>
      <w:r>
        <w:rPr>
          <w:rFonts w:hint="eastAsia"/>
          <w:noProof/>
        </w:rPr>
        <w:t>，在六年内增加</w:t>
      </w:r>
      <w:r>
        <w:rPr>
          <w:noProof/>
        </w:rPr>
        <w:t>55.8%</w:t>
      </w:r>
      <w:r>
        <w:rPr>
          <w:rFonts w:hint="eastAsia"/>
          <w:noProof/>
        </w:rPr>
        <w:t>，而在</w:t>
      </w:r>
      <w:r>
        <w:rPr>
          <w:rFonts w:hint="eastAsia"/>
          <w:noProof/>
        </w:rPr>
        <w:t>1990</w:t>
      </w:r>
      <w:r>
        <w:rPr>
          <w:rFonts w:hint="eastAsia"/>
          <w:noProof/>
        </w:rPr>
        <w:t>至</w:t>
      </w:r>
      <w:r>
        <w:rPr>
          <w:rFonts w:hint="eastAsia"/>
          <w:noProof/>
        </w:rPr>
        <w:t>2000</w:t>
      </w:r>
      <w:r>
        <w:rPr>
          <w:rFonts w:hint="eastAsia"/>
          <w:noProof/>
        </w:rPr>
        <w:t>年间增加</w:t>
      </w:r>
      <w:r>
        <w:rPr>
          <w:noProof/>
        </w:rPr>
        <w:t>130.7</w:t>
      </w:r>
      <w:r>
        <w:rPr>
          <w:noProof/>
        </w:rPr>
        <w:t>%</w:t>
      </w:r>
      <w:r>
        <w:rPr>
          <w:rFonts w:hint="eastAsia"/>
          <w:noProof/>
        </w:rPr>
        <w:t>。</w:t>
      </w:r>
    </w:p>
    <w:p w:rsidR="00000000" w:rsidRDefault="009C1C61">
      <w:r>
        <w:rPr>
          <w:rFonts w:hint="eastAsia"/>
          <w:noProof/>
        </w:rPr>
        <w:tab/>
      </w:r>
      <w:r>
        <w:rPr>
          <w:noProof/>
        </w:rPr>
        <w:t>766.</w:t>
      </w:r>
      <w:r>
        <w:rPr>
          <w:rFonts w:hint="eastAsia"/>
          <w:noProof/>
        </w:rPr>
        <w:t xml:space="preserve">  </w:t>
      </w:r>
      <w:r>
        <w:rPr>
          <w:rFonts w:hint="eastAsia"/>
          <w:noProof/>
        </w:rPr>
        <w:t>除了在总额方面有了上述的增加以外，也对教育补贴制度实行了改革。从</w:t>
      </w:r>
      <w:r>
        <w:rPr>
          <w:rFonts w:hint="eastAsia"/>
          <w:noProof/>
        </w:rPr>
        <w:t>1990</w:t>
      </w:r>
      <w:r>
        <w:rPr>
          <w:rFonts w:hint="eastAsia"/>
          <w:noProof/>
        </w:rPr>
        <w:t>年起，在这种改革中大力克服了初期的一刀切倾向，把较多的资源拨给经费最短缺的领域，即：乡村教育、特殊教育、成人教育和技术</w:t>
      </w:r>
      <w:r>
        <w:rPr>
          <w:rFonts w:hint="eastAsia"/>
          <w:noProof/>
        </w:rPr>
        <w:t>/</w:t>
      </w:r>
      <w:r>
        <w:rPr>
          <w:rFonts w:hint="eastAsia"/>
          <w:noProof/>
        </w:rPr>
        <w:t>职业培训。拨给乡村教育和成人教育的补助款有所增加。</w:t>
      </w:r>
      <w:r>
        <w:rPr>
          <w:rStyle w:val="FootnoteReference"/>
          <w:noProof/>
        </w:rPr>
        <w:footnoteReference w:id="316"/>
      </w:r>
      <w:r>
        <w:rPr>
          <w:noProof/>
        </w:rPr>
        <w:t xml:space="preserve"> </w:t>
      </w:r>
      <w:r>
        <w:rPr>
          <w:rFonts w:hint="eastAsia"/>
          <w:noProof/>
        </w:rPr>
        <w:t>为乡村学校作了特殊的努力</w:t>
      </w:r>
      <w:r>
        <w:rPr>
          <w:noProof/>
        </w:rPr>
        <w:t>(</w:t>
      </w:r>
      <w:r>
        <w:rPr>
          <w:rFonts w:hint="eastAsia"/>
          <w:noProof/>
        </w:rPr>
        <w:t>“乡村办学底线</w:t>
      </w:r>
      <w:r>
        <w:rPr>
          <w:rFonts w:hint="eastAsia"/>
        </w:rPr>
        <w:t>”</w:t>
      </w:r>
      <w:r>
        <w:t xml:space="preserve"> </w:t>
      </w:r>
      <w:r>
        <w:rPr>
          <w:rFonts w:hint="eastAsia"/>
        </w:rPr>
        <w:t>方案</w:t>
      </w:r>
      <w:r>
        <w:t>)</w:t>
      </w:r>
      <w:r>
        <w:rPr>
          <w:rFonts w:hint="eastAsia"/>
        </w:rPr>
        <w:t>，对小型乡村学校给予特别补偿性补贴，拨款的标准不同于一般教育系统的拨款标准：学生越少，补贴越多。</w:t>
      </w:r>
    </w:p>
    <w:p w:rsidR="00000000" w:rsidRDefault="009C1C61">
      <w:r>
        <w:rPr>
          <w:rFonts w:hint="eastAsia"/>
        </w:rPr>
        <w:tab/>
      </w:r>
      <w:r>
        <w:t>767.</w:t>
      </w:r>
      <w:r>
        <w:rPr>
          <w:rFonts w:hint="eastAsia"/>
        </w:rPr>
        <w:t xml:space="preserve">  </w:t>
      </w:r>
      <w:r>
        <w:rPr>
          <w:rFonts w:hint="eastAsia"/>
        </w:rPr>
        <w:t>在特殊教育方面，</w:t>
      </w:r>
      <w:r>
        <w:t>1990</w:t>
      </w:r>
      <w:r>
        <w:rPr>
          <w:rFonts w:hint="eastAsia"/>
        </w:rPr>
        <w:t>年对每一个学生的补贴数额为</w:t>
      </w:r>
      <w:r>
        <w:t>30,342</w:t>
      </w:r>
      <w:r>
        <w:rPr>
          <w:rFonts w:hint="eastAsia"/>
        </w:rPr>
        <w:t>比索</w:t>
      </w:r>
      <w:r>
        <w:t>(40</w:t>
      </w:r>
      <w:r>
        <w:rPr>
          <w:rFonts w:hint="eastAsia"/>
        </w:rPr>
        <w:t>美元</w:t>
      </w:r>
      <w:r>
        <w:t>)</w:t>
      </w:r>
      <w:r>
        <w:rPr>
          <w:rFonts w:hint="eastAsia"/>
        </w:rPr>
        <w:t>，目前</w:t>
      </w:r>
      <w:r>
        <w:rPr>
          <w:rFonts w:hint="eastAsia"/>
        </w:rPr>
        <w:t>每个月拨给在特殊学校就读或被正规学校招收的学生的补贴数额已经增加到</w:t>
      </w:r>
      <w:r>
        <w:t>54,297</w:t>
      </w:r>
      <w:r>
        <w:rPr>
          <w:rFonts w:hint="eastAsia"/>
        </w:rPr>
        <w:t>比索</w:t>
      </w:r>
      <w:r>
        <w:rPr>
          <w:rFonts w:hint="eastAsia"/>
          <w:vertAlign w:val="superscript"/>
        </w:rPr>
        <w:t xml:space="preserve"> </w:t>
      </w:r>
      <w:r>
        <w:rPr>
          <w:rStyle w:val="FootnoteReference"/>
        </w:rPr>
        <w:footnoteReference w:id="317"/>
      </w:r>
      <w:r>
        <w:t xml:space="preserve"> (106.7</w:t>
      </w:r>
      <w:r>
        <w:rPr>
          <w:rFonts w:hint="eastAsia"/>
        </w:rPr>
        <w:t>美元</w:t>
      </w:r>
      <w:r>
        <w:t>)</w:t>
      </w:r>
      <w:r>
        <w:rPr>
          <w:rFonts w:hint="eastAsia"/>
        </w:rPr>
        <w:t>。对于特殊教育学校或在全日教学制学校注册的学生，补贴数额为</w:t>
      </w:r>
      <w:r>
        <w:t>67,262</w:t>
      </w:r>
      <w:r>
        <w:rPr>
          <w:rFonts w:hint="eastAsia"/>
        </w:rPr>
        <w:t>比索</w:t>
      </w:r>
      <w:r>
        <w:t>(132.2</w:t>
      </w:r>
      <w:r>
        <w:rPr>
          <w:rFonts w:hint="eastAsia"/>
        </w:rPr>
        <w:t>美元</w:t>
      </w:r>
      <w:r>
        <w:t>)</w:t>
      </w:r>
      <w:r>
        <w:rPr>
          <w:rFonts w:hint="eastAsia"/>
        </w:rPr>
        <w:t>，相当于分别增加</w:t>
      </w:r>
      <w:r>
        <w:t xml:space="preserve">167% </w:t>
      </w:r>
      <w:r>
        <w:rPr>
          <w:rFonts w:hint="eastAsia"/>
        </w:rPr>
        <w:t>和</w:t>
      </w:r>
      <w:r>
        <w:t>231%</w:t>
      </w:r>
      <w:r>
        <w:rPr>
          <w:rFonts w:hint="eastAsia"/>
        </w:rPr>
        <w:t>。</w:t>
      </w:r>
    </w:p>
    <w:p w:rsidR="00000000" w:rsidRDefault="009C1C61">
      <w:r>
        <w:rPr>
          <w:rFonts w:hint="eastAsia"/>
        </w:rPr>
        <w:tab/>
      </w:r>
      <w:r>
        <w:t>768.</w:t>
      </w:r>
      <w:r>
        <w:rPr>
          <w:rFonts w:hint="eastAsia"/>
        </w:rPr>
        <w:t xml:space="preserve">  </w:t>
      </w:r>
      <w:r>
        <w:rPr>
          <w:rFonts w:hint="eastAsia"/>
        </w:rPr>
        <w:t>招收患有多种残疾学生的学校，凡是学生人数不多于八名的，其拨款数额比通常在这种情形下拨给的数额翻一翻。</w:t>
      </w:r>
    </w:p>
    <w:p w:rsidR="00000000" w:rsidRDefault="009C1C61">
      <w:r>
        <w:rPr>
          <w:rFonts w:hint="eastAsia"/>
        </w:rPr>
        <w:tab/>
      </w:r>
      <w:r>
        <w:t>769.</w:t>
      </w:r>
      <w:r>
        <w:rPr>
          <w:rFonts w:hint="eastAsia"/>
        </w:rPr>
        <w:t xml:space="preserve">  </w:t>
      </w:r>
      <w:r>
        <w:rPr>
          <w:rFonts w:hint="eastAsia"/>
        </w:rPr>
        <w:t>最后，教育部在关于取缔歧视和反对排斥和分裂做法的另一个平等政策方面作了相当大的努力。令人遗憾的是，在日常的学校管理活动中，以及在与主办人</w:t>
      </w:r>
      <w:r>
        <w:rPr>
          <w:rFonts w:hint="eastAsia"/>
        </w:rPr>
        <w:t>(</w:t>
      </w:r>
      <w:r>
        <w:rPr>
          <w:rFonts w:hint="eastAsia"/>
        </w:rPr>
        <w:t>领取国</w:t>
      </w:r>
      <w:r>
        <w:rPr>
          <w:rFonts w:hint="eastAsia"/>
        </w:rPr>
        <w:t>家补贴的学校拥有人</w:t>
      </w:r>
      <w:r>
        <w:rPr>
          <w:rFonts w:hint="eastAsia"/>
        </w:rPr>
        <w:t>)</w:t>
      </w:r>
      <w:r>
        <w:rPr>
          <w:rFonts w:hint="eastAsia"/>
        </w:rPr>
        <w:t>、行政管理人员、教师、家庭和学生本人的关系中，这种情况越来越多。教育部的各大区和地方主管当局即使常常缺乏必要的法律权力，却还是对这种情况频频进行干预。按照政府的倡议，在全日制学校法中增列了一个条款，以防止学生基于社会经济上的原因</w:t>
      </w:r>
      <w:r>
        <w:rPr>
          <w:rFonts w:hint="eastAsia"/>
          <w:spacing w:val="-40"/>
        </w:rPr>
        <w:t>——</w:t>
      </w:r>
      <w:r>
        <w:rPr>
          <w:rFonts w:hint="eastAsia"/>
        </w:rPr>
        <w:t>例如没有支付每月费用</w:t>
      </w:r>
      <w:r>
        <w:rPr>
          <w:rFonts w:hint="eastAsia"/>
          <w:spacing w:val="-40"/>
        </w:rPr>
        <w:t>——</w:t>
      </w:r>
      <w:r>
        <w:rPr>
          <w:rFonts w:hint="eastAsia"/>
        </w:rPr>
        <w:t>而被开除。增列了新条款以后，付费机制部分获得改善，例如凡是与方案合作的学校，都可以获得免费奖学金。</w:t>
      </w:r>
    </w:p>
    <w:p w:rsidR="00000000" w:rsidRDefault="009C1C61">
      <w:r>
        <w:rPr>
          <w:rFonts w:hint="eastAsia"/>
        </w:rPr>
        <w:tab/>
      </w:r>
      <w:r>
        <w:t>770.</w:t>
      </w:r>
      <w:r>
        <w:rPr>
          <w:rFonts w:hint="eastAsia"/>
        </w:rPr>
        <w:t xml:space="preserve">  </w:t>
      </w:r>
      <w:r>
        <w:rPr>
          <w:rFonts w:hint="eastAsia"/>
        </w:rPr>
        <w:t>不能说：社会不平等和教育方面的另一些差距问题已经在</w:t>
      </w:r>
      <w:r>
        <w:rPr>
          <w:rFonts w:hint="eastAsia"/>
        </w:rPr>
        <w:t>1990</w:t>
      </w:r>
      <w:r>
        <w:rPr>
          <w:rFonts w:hint="eastAsia"/>
        </w:rPr>
        <w:t>至</w:t>
      </w:r>
      <w:r>
        <w:rPr>
          <w:rFonts w:hint="eastAsia"/>
        </w:rPr>
        <w:t>1998</w:t>
      </w:r>
      <w:r>
        <w:rPr>
          <w:rFonts w:hint="eastAsia"/>
        </w:rPr>
        <w:t>年间得到解决，因为这些问题有着历史和社会性的根源，无法</w:t>
      </w:r>
      <w:r>
        <w:rPr>
          <w:rFonts w:hint="eastAsia"/>
        </w:rPr>
        <w:t>在几年内铲除。但是，已经在正确的方向上取得了重大进展。受教育的机会</w:t>
      </w:r>
      <w:r>
        <w:rPr>
          <w:rFonts w:hint="eastAsia"/>
          <w:spacing w:val="-40"/>
        </w:rPr>
        <w:t>——</w:t>
      </w:r>
      <w:r>
        <w:rPr>
          <w:rFonts w:hint="eastAsia"/>
        </w:rPr>
        <w:t>所有智利人的权利</w:t>
      </w:r>
      <w:r>
        <w:rPr>
          <w:rFonts w:hint="eastAsia"/>
          <w:spacing w:val="-40"/>
        </w:rPr>
        <w:t>——</w:t>
      </w:r>
      <w:r>
        <w:rPr>
          <w:rFonts w:hint="eastAsia"/>
        </w:rPr>
        <w:t>已经扩大，学生人数和各级正规教育机会增加便体现了这一点。</w:t>
      </w:r>
    </w:p>
    <w:p w:rsidR="00000000" w:rsidRDefault="009C1C61">
      <w:pPr>
        <w:spacing w:after="320"/>
        <w:rPr>
          <w:rFonts w:hint="eastAsia"/>
        </w:rPr>
      </w:pPr>
      <w:r>
        <w:rPr>
          <w:rFonts w:hint="eastAsia"/>
        </w:rPr>
        <w:tab/>
      </w:r>
      <w:r>
        <w:t>771.</w:t>
      </w:r>
      <w:r>
        <w:rPr>
          <w:rFonts w:hint="eastAsia"/>
        </w:rPr>
        <w:t xml:space="preserve">  </w:t>
      </w:r>
      <w:r>
        <w:rPr>
          <w:rFonts w:hint="eastAsia"/>
        </w:rPr>
        <w:t>另一方面，促进平等的政策，从使人人有机会接受优质教育的意义上说，已经产生明确切实的成果。从注重社会的积极倾斜方案获得援助的学校比同级其他教育机构更加迅速地获得改善。</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语言便利</w:t>
      </w:r>
    </w:p>
    <w:p w:rsidR="00000000" w:rsidRDefault="009C1C61">
      <w:pPr>
        <w:rPr>
          <w:rFonts w:ascii="SimSun" w:hAnsi="SimSun" w:hint="eastAsia"/>
          <w:b/>
          <w:bCs/>
        </w:rPr>
      </w:pPr>
      <w:r>
        <w:rPr>
          <w:rFonts w:ascii="SimSun" w:hAnsi="SimSun" w:hint="eastAsia"/>
        </w:rPr>
        <w:tab/>
      </w:r>
      <w:r>
        <w:rPr>
          <w:rFonts w:ascii="SimSun" w:hAnsi="SimSun"/>
        </w:rPr>
        <w:t>772</w:t>
      </w:r>
      <w:r>
        <w:rPr>
          <w:noProof/>
        </w:rPr>
        <w:t>.</w:t>
      </w:r>
      <w:r>
        <w:rPr>
          <w:rFonts w:hint="eastAsia"/>
          <w:noProof/>
        </w:rPr>
        <w:t xml:space="preserve">  </w:t>
      </w:r>
      <w:r>
        <w:rPr>
          <w:rFonts w:ascii="SimSun" w:hAnsi="SimSun" w:hint="eastAsia"/>
        </w:rPr>
        <w:t>西班牙文是智利国的正式语文</w:t>
      </w:r>
      <w:r>
        <w:rPr>
          <w:rFonts w:ascii="SimSun" w:hAnsi="SimSun" w:hint="eastAsia"/>
          <w:lang w:val="en-GB"/>
        </w:rPr>
        <w:t>，是大多数智利人所使用的语文。但是，</w:t>
      </w:r>
    </w:p>
    <w:p w:rsidR="00000000" w:rsidRDefault="009C1C61">
      <w:pPr>
        <w:rPr>
          <w:noProof/>
        </w:rPr>
      </w:pPr>
      <w:r>
        <w:rPr>
          <w:rFonts w:hint="eastAsia"/>
          <w:lang w:val="en-GB"/>
        </w:rPr>
        <w:t>国内也有一些属于原本文化的少数民族，其中人数最多的是</w:t>
      </w:r>
      <w:r>
        <w:rPr>
          <w:noProof/>
          <w:u w:val="single"/>
        </w:rPr>
        <w:t>Mapuche</w:t>
      </w:r>
      <w:r>
        <w:rPr>
          <w:rFonts w:hint="eastAsia"/>
          <w:noProof/>
        </w:rPr>
        <w:t>族、</w:t>
      </w:r>
      <w:r>
        <w:rPr>
          <w:noProof/>
          <w:u w:val="single"/>
        </w:rPr>
        <w:t xml:space="preserve">Aymara </w:t>
      </w:r>
      <w:r>
        <w:rPr>
          <w:rFonts w:hint="eastAsia"/>
          <w:noProof/>
        </w:rPr>
        <w:t>族和</w:t>
      </w:r>
      <w:r>
        <w:rPr>
          <w:noProof/>
          <w:u w:val="single"/>
        </w:rPr>
        <w:t>Pasc</w:t>
      </w:r>
      <w:r>
        <w:rPr>
          <w:noProof/>
          <w:u w:val="single"/>
        </w:rPr>
        <w:t>uense</w:t>
      </w:r>
      <w:r>
        <w:rPr>
          <w:rFonts w:eastAsia="KaiTi_GB2312"/>
          <w:b/>
          <w:iCs/>
          <w:noProof/>
        </w:rPr>
        <w:t xml:space="preserve"> </w:t>
      </w:r>
      <w:r>
        <w:rPr>
          <w:iCs/>
          <w:noProof/>
        </w:rPr>
        <w:t>(Rapa Nui)</w:t>
      </w:r>
      <w:r>
        <w:rPr>
          <w:rFonts w:hint="eastAsia"/>
          <w:noProof/>
        </w:rPr>
        <w:t xml:space="preserve"> </w:t>
      </w:r>
      <w:r>
        <w:rPr>
          <w:rFonts w:hint="eastAsia"/>
          <w:noProof/>
        </w:rPr>
        <w:t>族</w:t>
      </w:r>
      <w:r>
        <w:rPr>
          <w:noProof/>
        </w:rPr>
        <w:t>。</w:t>
      </w:r>
      <w:r>
        <w:rPr>
          <w:rFonts w:hint="eastAsia"/>
          <w:noProof/>
        </w:rPr>
        <w:t>这些居民中，只有一部分人以原本语言作为自己的母语。土著居民大部分使用西班牙文作为他们的第一语文或用于在学校学习的语文。</w:t>
      </w:r>
    </w:p>
    <w:p w:rsidR="00000000" w:rsidRDefault="009C1C61">
      <w:pPr>
        <w:rPr>
          <w:noProof/>
        </w:rPr>
      </w:pPr>
      <w:r>
        <w:rPr>
          <w:rFonts w:hint="eastAsia"/>
          <w:noProof/>
        </w:rPr>
        <w:tab/>
      </w:r>
      <w:r>
        <w:rPr>
          <w:noProof/>
        </w:rPr>
        <w:t>773.</w:t>
      </w:r>
      <w:r>
        <w:rPr>
          <w:rFonts w:hint="eastAsia"/>
          <w:noProof/>
        </w:rPr>
        <w:t xml:space="preserve">  </w:t>
      </w:r>
      <w:r>
        <w:rPr>
          <w:rFonts w:hint="eastAsia"/>
          <w:noProof/>
        </w:rPr>
        <w:t>官方的政策是要帮助保存原本语言，因此凡是土著学生占重大比例的学校都提供双文化和双语教育。可是这个政策遇到一些困难，因为土著群体分散居住，缺乏文化，在某些情况下，原本语言也没有形成文字。</w:t>
      </w:r>
    </w:p>
    <w:p w:rsidR="00000000" w:rsidRDefault="009C1C61">
      <w:pPr>
        <w:spacing w:after="320"/>
        <w:rPr>
          <w:rFonts w:hint="eastAsia"/>
          <w:noProof/>
        </w:rPr>
      </w:pPr>
      <w:r>
        <w:rPr>
          <w:rFonts w:hint="eastAsia"/>
          <w:noProof/>
        </w:rPr>
        <w:tab/>
      </w:r>
      <w:r>
        <w:rPr>
          <w:noProof/>
        </w:rPr>
        <w:t>774.</w:t>
      </w:r>
      <w:r>
        <w:rPr>
          <w:rFonts w:hint="eastAsia"/>
          <w:noProof/>
        </w:rPr>
        <w:t xml:space="preserve">  </w:t>
      </w:r>
      <w:r>
        <w:rPr>
          <w:rFonts w:hint="eastAsia"/>
          <w:noProof/>
        </w:rPr>
        <w:t>于</w:t>
      </w:r>
      <w:r>
        <w:rPr>
          <w:rFonts w:hint="eastAsia"/>
          <w:noProof/>
        </w:rPr>
        <w:t>1994</w:t>
      </w:r>
      <w:r>
        <w:rPr>
          <w:rFonts w:hint="eastAsia"/>
          <w:noProof/>
        </w:rPr>
        <w:t>年开始实行了双语跨文化教育方案。以往在</w:t>
      </w:r>
      <w:r>
        <w:rPr>
          <w:rFonts w:hint="eastAsia"/>
          <w:noProof/>
        </w:rPr>
        <w:t>1991</w:t>
      </w:r>
      <w:r>
        <w:rPr>
          <w:rFonts w:hint="eastAsia"/>
          <w:noProof/>
        </w:rPr>
        <w:t>和</w:t>
      </w:r>
      <w:r>
        <w:rPr>
          <w:rFonts w:hint="eastAsia"/>
          <w:noProof/>
        </w:rPr>
        <w:t>1992</w:t>
      </w:r>
      <w:r>
        <w:rPr>
          <w:rFonts w:hint="eastAsia"/>
          <w:noProof/>
        </w:rPr>
        <w:t>年，土著人民委员会曾经在说</w:t>
      </w:r>
      <w:r>
        <w:rPr>
          <w:rFonts w:eastAsia="KaiTi_GB2312"/>
          <w:b/>
          <w:iCs/>
          <w:noProof/>
        </w:rPr>
        <w:t>Aymara</w:t>
      </w:r>
      <w:r>
        <w:rPr>
          <w:noProof/>
        </w:rPr>
        <w:t xml:space="preserve"> </w:t>
      </w:r>
      <w:r>
        <w:rPr>
          <w:rFonts w:hint="eastAsia"/>
          <w:noProof/>
        </w:rPr>
        <w:t>语的北部和说</w:t>
      </w:r>
      <w:r>
        <w:rPr>
          <w:rFonts w:eastAsia="KaiTi_GB2312"/>
          <w:b/>
          <w:iCs/>
          <w:noProof/>
        </w:rPr>
        <w:t>Mapuche</w:t>
      </w:r>
      <w:r>
        <w:rPr>
          <w:noProof/>
        </w:rPr>
        <w:t xml:space="preserve"> </w:t>
      </w:r>
      <w:r>
        <w:rPr>
          <w:rFonts w:hint="eastAsia"/>
          <w:noProof/>
        </w:rPr>
        <w:t>语的南</w:t>
      </w:r>
      <w:r>
        <w:rPr>
          <w:rFonts w:hint="eastAsia"/>
          <w:noProof/>
        </w:rPr>
        <w:t>部鼓励培训双语教师。这个双语跨文化教育方案从土著学生占大部分的乡村小学开始推行，甚至在一些城市地区试行了一些试验性的方案。</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教员的情况</w:t>
      </w:r>
    </w:p>
    <w:p w:rsidR="00000000" w:rsidRDefault="009C1C61">
      <w:pPr>
        <w:pStyle w:val="Heading4"/>
        <w:rPr>
          <w:rFonts w:ascii="Time New Roman" w:eastAsia="SimHei" w:hAnsi="Time New Roman" w:hint="eastAsia"/>
          <w:u w:val="none"/>
        </w:rPr>
      </w:pPr>
      <w:r>
        <w:rPr>
          <w:rFonts w:ascii="Time New Roman" w:eastAsia="SimHei" w:hAnsi="Time New Roman" w:hint="eastAsia"/>
          <w:u w:val="none"/>
        </w:rPr>
        <w:t>薪金的变化趋势</w:t>
      </w:r>
    </w:p>
    <w:p w:rsidR="00000000" w:rsidRDefault="009C1C61">
      <w:r>
        <w:rPr>
          <w:rFonts w:hint="eastAsia"/>
        </w:rPr>
        <w:tab/>
      </w:r>
      <w:r>
        <w:t>775.</w:t>
      </w:r>
      <w:r>
        <w:rPr>
          <w:rFonts w:hint="eastAsia"/>
        </w:rPr>
        <w:t xml:space="preserve">  </w:t>
      </w:r>
      <w:r>
        <w:rPr>
          <w:rFonts w:hint="eastAsia"/>
        </w:rPr>
        <w:t>为了改善教师工作条件和薪金待遇而执行的政策是以《教育专业条例》为依据的</w:t>
      </w:r>
      <w:r>
        <w:rPr>
          <w:rFonts w:hint="eastAsia"/>
          <w:lang w:val="en-GB"/>
        </w:rPr>
        <w:t>，</w:t>
      </w:r>
      <w:r>
        <w:rPr>
          <w:rStyle w:val="FootnoteReference"/>
        </w:rPr>
        <w:footnoteReference w:id="318"/>
      </w:r>
      <w:r>
        <w:t xml:space="preserve"> </w:t>
      </w:r>
      <w:r>
        <w:rPr>
          <w:rFonts w:hint="eastAsia"/>
        </w:rPr>
        <w:t>该《条例》为全国所有教师规定了最低限度基本薪资。处境不利的许多专业人员的实际薪资因此有所增加。也因此有可能重建教学专业，在培训、再培训、参与以及专业独立性的发展和责任方面，为所有教育工作人员规定了共同标准。该《条例》对公立学校和私立学校的专业人员采用不同的标准。</w:t>
      </w:r>
    </w:p>
    <w:p w:rsidR="00000000" w:rsidRDefault="009C1C61">
      <w:r>
        <w:rPr>
          <w:rFonts w:hint="eastAsia"/>
        </w:rPr>
        <w:tab/>
      </w:r>
      <w:r>
        <w:t>77</w:t>
      </w:r>
      <w:r>
        <w:t>6.</w:t>
      </w:r>
      <w:r>
        <w:rPr>
          <w:rFonts w:hint="eastAsia"/>
        </w:rPr>
        <w:t xml:space="preserve">  </w:t>
      </w:r>
      <w:r>
        <w:t>1999</w:t>
      </w:r>
      <w:r>
        <w:rPr>
          <w:rFonts w:hint="eastAsia"/>
        </w:rPr>
        <w:t>年，每周授课</w:t>
      </w:r>
      <w:r>
        <w:rPr>
          <w:rFonts w:hint="eastAsia"/>
        </w:rPr>
        <w:t>44</w:t>
      </w:r>
      <w:r>
        <w:rPr>
          <w:rFonts w:hint="eastAsia"/>
        </w:rPr>
        <w:t>小时的中小学校教师的最低限度薪资为</w:t>
      </w:r>
      <w:r>
        <w:t>338,000 </w:t>
      </w:r>
      <w:r>
        <w:rPr>
          <w:rFonts w:hint="eastAsia"/>
        </w:rPr>
        <w:t>比索</w:t>
      </w:r>
      <w:r>
        <w:t>(614</w:t>
      </w:r>
      <w:r>
        <w:rPr>
          <w:rFonts w:hint="eastAsia"/>
        </w:rPr>
        <w:t>美元</w:t>
      </w:r>
      <w:r>
        <w:t>)</w:t>
      </w:r>
      <w:r>
        <w:rPr>
          <w:rFonts w:hint="eastAsia"/>
        </w:rPr>
        <w:t>，每周授课</w:t>
      </w:r>
      <w:r>
        <w:t>30</w:t>
      </w:r>
      <w:r>
        <w:rPr>
          <w:rFonts w:hint="eastAsia"/>
        </w:rPr>
        <w:t>小时的则为</w:t>
      </w:r>
      <w:r>
        <w:t>230,802</w:t>
      </w:r>
      <w:r>
        <w:rPr>
          <w:rFonts w:hint="eastAsia"/>
        </w:rPr>
        <w:t>比索</w:t>
      </w:r>
      <w:r>
        <w:t>(420</w:t>
      </w:r>
      <w:r>
        <w:rPr>
          <w:rFonts w:hint="eastAsia"/>
        </w:rPr>
        <w:t>美元</w:t>
      </w:r>
      <w:r>
        <w:t>)</w:t>
      </w:r>
      <w:r>
        <w:rPr>
          <w:rFonts w:hint="eastAsia"/>
        </w:rPr>
        <w:t>。</w:t>
      </w:r>
    </w:p>
    <w:p w:rsidR="00000000" w:rsidRDefault="009C1C61">
      <w:r>
        <w:rPr>
          <w:rFonts w:hint="eastAsia"/>
        </w:rPr>
        <w:tab/>
      </w:r>
      <w:r>
        <w:t>777.</w:t>
      </w:r>
      <w:r>
        <w:rPr>
          <w:rFonts w:hint="eastAsia"/>
        </w:rPr>
        <w:t xml:space="preserve">  1991</w:t>
      </w:r>
      <w:r>
        <w:rPr>
          <w:rFonts w:hint="eastAsia"/>
        </w:rPr>
        <w:t>至</w:t>
      </w:r>
      <w:r>
        <w:rPr>
          <w:rFonts w:hint="eastAsia"/>
        </w:rPr>
        <w:t>1998</w:t>
      </w:r>
      <w:r>
        <w:rPr>
          <w:rFonts w:hint="eastAsia"/>
        </w:rPr>
        <w:t>年，公立学校的薪资实际增加</w:t>
      </w:r>
      <w:r>
        <w:t>313.8%</w:t>
      </w:r>
      <w:r>
        <w:rPr>
          <w:rFonts w:hint="eastAsia"/>
        </w:rPr>
        <w:t>。根据生活费用的增加，也就是说，在没有得到任何其他拨款的情形下，全国最低限度基本工资增加了</w:t>
      </w:r>
      <w:r>
        <w:t>94.3%</w:t>
      </w:r>
      <w:r>
        <w:rPr>
          <w:rFonts w:hint="eastAsia"/>
        </w:rPr>
        <w:t>。薪资的大幅增加是大力改革、改进和革新工作的一部分，大大地鼓励了教学专业人员。</w:t>
      </w:r>
    </w:p>
    <w:p w:rsidR="00000000" w:rsidRDefault="009C1C61">
      <w:pPr>
        <w:spacing w:after="320"/>
      </w:pPr>
      <w:r>
        <w:rPr>
          <w:rFonts w:hint="eastAsia"/>
        </w:rPr>
        <w:tab/>
      </w:r>
      <w:r>
        <w:t>778.</w:t>
      </w:r>
      <w:r>
        <w:rPr>
          <w:rFonts w:hint="eastAsia"/>
        </w:rPr>
        <w:t xml:space="preserve">  </w:t>
      </w:r>
      <w:r>
        <w:rPr>
          <w:rFonts w:hint="eastAsia"/>
        </w:rPr>
        <w:t>根据拉加经委会</w:t>
      </w:r>
      <w:r>
        <w:rPr>
          <w:rFonts w:hint="eastAsia"/>
        </w:rPr>
        <w:t>(</w:t>
      </w:r>
      <w:r>
        <w:rPr>
          <w:rFonts w:hint="eastAsia"/>
        </w:rPr>
        <w:t>拉丁美洲及加勒比经济委员会</w:t>
      </w:r>
      <w:r>
        <w:rPr>
          <w:rFonts w:hint="eastAsia"/>
        </w:rPr>
        <w:t>)1995</w:t>
      </w:r>
      <w:r>
        <w:rPr>
          <w:rFonts w:hint="eastAsia"/>
        </w:rPr>
        <w:t>年的统计数字，教师的每小时实际平均工</w:t>
      </w:r>
      <w:r>
        <w:rPr>
          <w:rFonts w:hint="eastAsia"/>
        </w:rPr>
        <w:t>资是</w:t>
      </w:r>
      <w:r>
        <w:t>6.7</w:t>
      </w:r>
      <w:r>
        <w:rPr>
          <w:rFonts w:hint="eastAsia"/>
        </w:rPr>
        <w:t>美元，政府部门的专业人员和技师的相应平均工资则为</w:t>
      </w:r>
      <w:r>
        <w:t>10.1</w:t>
      </w:r>
      <w:r>
        <w:rPr>
          <w:rFonts w:hint="eastAsia"/>
        </w:rPr>
        <w:t>美元。两类教育的平均年数分别为</w:t>
      </w:r>
      <w:r>
        <w:t>15.8</w:t>
      </w:r>
      <w:r>
        <w:rPr>
          <w:rFonts w:hint="eastAsia"/>
        </w:rPr>
        <w:t>和</w:t>
      </w:r>
      <w:r>
        <w:t>15.6</w:t>
      </w:r>
      <w:r>
        <w:rPr>
          <w:rFonts w:hint="eastAsia"/>
        </w:rPr>
        <w:t>年。教师每周平均授课</w:t>
      </w:r>
      <w:r>
        <w:rPr>
          <w:rFonts w:hint="eastAsia"/>
        </w:rPr>
        <w:t>38</w:t>
      </w:r>
      <w:r>
        <w:rPr>
          <w:rFonts w:hint="eastAsia"/>
        </w:rPr>
        <w:t>小时，政府部门的专业人员和技师则每周平均工作</w:t>
      </w:r>
      <w:r>
        <w:rPr>
          <w:rFonts w:hint="eastAsia"/>
        </w:rPr>
        <w:t>44</w:t>
      </w:r>
      <w:r>
        <w:rPr>
          <w:rFonts w:hint="eastAsia"/>
        </w:rPr>
        <w:t>小时。</w:t>
      </w:r>
    </w:p>
    <w:p w:rsidR="00000000" w:rsidRDefault="009C1C61">
      <w:pPr>
        <w:pStyle w:val="Heading4"/>
        <w:rPr>
          <w:rFonts w:ascii="Time New Roman" w:eastAsia="SimHei" w:hAnsi="Time New Roman"/>
          <w:u w:val="none"/>
        </w:rPr>
      </w:pPr>
      <w:r>
        <w:rPr>
          <w:rFonts w:ascii="Time New Roman" w:eastAsia="SimHei" w:hAnsi="Time New Roman" w:hint="eastAsia"/>
          <w:u w:val="none"/>
        </w:rPr>
        <w:t>在职教师人数</w:t>
      </w:r>
    </w:p>
    <w:p w:rsidR="00000000" w:rsidRDefault="009C1C61">
      <w:r>
        <w:rPr>
          <w:rFonts w:hint="eastAsia"/>
        </w:rPr>
        <w:tab/>
      </w:r>
      <w:r>
        <w:t>779.</w:t>
      </w:r>
      <w:r>
        <w:rPr>
          <w:rFonts w:hint="eastAsia"/>
        </w:rPr>
        <w:t xml:space="preserve">  1998</w:t>
      </w:r>
      <w:r>
        <w:rPr>
          <w:rFonts w:hint="eastAsia"/>
        </w:rPr>
        <w:t>年</w:t>
      </w:r>
      <w:r>
        <w:rPr>
          <w:rFonts w:hint="eastAsia"/>
          <w:lang w:val="en-GB"/>
        </w:rPr>
        <w:t>，在</w:t>
      </w:r>
      <w:r>
        <w:rPr>
          <w:rFonts w:hint="eastAsia"/>
        </w:rPr>
        <w:t>接受国家补贴的学校就职的教师有</w:t>
      </w:r>
      <w:r>
        <w:t>134,885</w:t>
      </w:r>
      <w:r>
        <w:rPr>
          <w:rFonts w:hint="eastAsia"/>
        </w:rPr>
        <w:t>人。公立学校占</w:t>
      </w:r>
      <w:r>
        <w:t>58.4%</w:t>
      </w:r>
      <w:r>
        <w:rPr>
          <w:rFonts w:hint="eastAsia"/>
        </w:rPr>
        <w:t>，私立学校占</w:t>
      </w:r>
      <w:r>
        <w:t>26.7%</w:t>
      </w:r>
      <w:r>
        <w:rPr>
          <w:rFonts w:hint="eastAsia"/>
        </w:rPr>
        <w:t>。另外，有</w:t>
      </w:r>
      <w:r>
        <w:t>13%</w:t>
      </w:r>
      <w:r>
        <w:rPr>
          <w:rFonts w:hint="eastAsia"/>
        </w:rPr>
        <w:t>在私人家庭主持的学校工作，余下的</w:t>
      </w:r>
      <w:r>
        <w:t xml:space="preserve">1.9% </w:t>
      </w:r>
      <w:r>
        <w:rPr>
          <w:rFonts w:hint="eastAsia"/>
        </w:rPr>
        <w:t>在属于受权经营的企业公司所属学校工作。</w:t>
      </w:r>
    </w:p>
    <w:p w:rsidR="00000000" w:rsidRDefault="009C1C61">
      <w:r>
        <w:rPr>
          <w:rFonts w:hint="eastAsia"/>
        </w:rPr>
        <w:tab/>
      </w:r>
      <w:r>
        <w:t>780.</w:t>
      </w:r>
      <w:r>
        <w:rPr>
          <w:rFonts w:hint="eastAsia"/>
        </w:rPr>
        <w:t xml:space="preserve">  </w:t>
      </w:r>
      <w:r>
        <w:rPr>
          <w:rFonts w:hint="eastAsia"/>
        </w:rPr>
        <w:t>按类型分，教学专业分为授课教师、校长、教学法技术员和教师兼校长，后者是受聘</w:t>
      </w:r>
      <w:r>
        <w:rPr>
          <w:rFonts w:hint="eastAsia"/>
        </w:rPr>
        <w:t>在乡村地区的学校任教的。</w:t>
      </w:r>
    </w:p>
    <w:p w:rsidR="00000000" w:rsidRDefault="009C1C61">
      <w:pPr>
        <w:spacing w:after="320"/>
        <w:rPr>
          <w:rFonts w:hint="eastAsia"/>
        </w:rPr>
      </w:pPr>
      <w:r>
        <w:rPr>
          <w:rFonts w:hint="eastAsia"/>
        </w:rPr>
        <w:tab/>
      </w:r>
      <w:r>
        <w:t>781.</w:t>
      </w:r>
      <w:r>
        <w:rPr>
          <w:rFonts w:hint="eastAsia"/>
        </w:rPr>
        <w:t xml:space="preserve">  </w:t>
      </w:r>
      <w:r>
        <w:rPr>
          <w:rFonts w:hint="eastAsia"/>
        </w:rPr>
        <w:t>在学历和专业资格方面，</w:t>
      </w:r>
      <w:r>
        <w:t>124,207</w:t>
      </w:r>
      <w:r>
        <w:rPr>
          <w:rFonts w:hint="eastAsia"/>
        </w:rPr>
        <w:t>名教师持有教学文凭</w:t>
      </w:r>
      <w:r>
        <w:t xml:space="preserve"> (92%)</w:t>
      </w:r>
      <w:r>
        <w:rPr>
          <w:rFonts w:hint="eastAsia"/>
        </w:rPr>
        <w:t>；</w:t>
      </w:r>
      <w:r>
        <w:t>3,155</w:t>
      </w:r>
      <w:r>
        <w:rPr>
          <w:rFonts w:hint="eastAsia"/>
        </w:rPr>
        <w:t>名持有其他学科的文凭</w:t>
      </w:r>
      <w:r>
        <w:t xml:space="preserve"> (2.4%)</w:t>
      </w:r>
      <w:r>
        <w:rPr>
          <w:rFonts w:hint="eastAsia"/>
        </w:rPr>
        <w:t>，另外的</w:t>
      </w:r>
      <w:r>
        <w:t>7,523</w:t>
      </w:r>
      <w:r>
        <w:rPr>
          <w:rFonts w:hint="eastAsia"/>
        </w:rPr>
        <w:t>名没有任何文凭</w:t>
      </w:r>
      <w:r>
        <w:t xml:space="preserve"> (5.6%)</w:t>
      </w:r>
      <w:r>
        <w:rPr>
          <w:rFonts w:hint="eastAsia"/>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工作时数</w:t>
      </w:r>
    </w:p>
    <w:p w:rsidR="00000000" w:rsidRDefault="009C1C61">
      <w:r>
        <w:rPr>
          <w:rFonts w:hint="eastAsia"/>
        </w:rPr>
        <w:tab/>
      </w:r>
      <w:r>
        <w:t>782.</w:t>
      </w:r>
      <w:r>
        <w:rPr>
          <w:rFonts w:hint="eastAsia"/>
        </w:rPr>
        <w:t xml:space="preserve">  </w:t>
      </w:r>
      <w:r>
        <w:rPr>
          <w:rFonts w:hint="eastAsia"/>
        </w:rPr>
        <w:t>工作时数往往很不一样。教师按每周工作时数的分布情况如下：</w:t>
      </w:r>
    </w:p>
    <w:p w:rsidR="00000000" w:rsidRDefault="009C1C61">
      <w:pPr>
        <w:rPr>
          <w:rFonts w:hint="eastAsia"/>
        </w:rPr>
      </w:pPr>
      <w:r>
        <w:rPr>
          <w:rFonts w:hint="eastAsia"/>
        </w:rPr>
        <w:tab/>
      </w:r>
      <w:r>
        <w:t>783.</w:t>
      </w:r>
      <w:r>
        <w:rPr>
          <w:rFonts w:hint="eastAsia"/>
        </w:rPr>
        <w:t xml:space="preserve">  1998</w:t>
      </w:r>
      <w:r>
        <w:rPr>
          <w:rFonts w:hint="eastAsia"/>
        </w:rPr>
        <w:t>年，有</w:t>
      </w:r>
      <w:r>
        <w:t xml:space="preserve">35.5% </w:t>
      </w:r>
      <w:r>
        <w:rPr>
          <w:rFonts w:hint="eastAsia"/>
        </w:rPr>
        <w:t>的教师按照合同，每周工作</w:t>
      </w:r>
      <w:r>
        <w:t>30 </w:t>
      </w:r>
      <w:r>
        <w:rPr>
          <w:rFonts w:hint="eastAsia"/>
        </w:rPr>
        <w:t>小时；</w:t>
      </w:r>
      <w:r>
        <w:t xml:space="preserve"> 12.8% </w:t>
      </w:r>
      <w:r>
        <w:rPr>
          <w:rFonts w:hint="eastAsia"/>
        </w:rPr>
        <w:t>按照合同工作少于</w:t>
      </w:r>
      <w:r>
        <w:t>30</w:t>
      </w:r>
      <w:r>
        <w:rPr>
          <w:rFonts w:hint="eastAsia"/>
        </w:rPr>
        <w:t>小时；</w:t>
      </w:r>
      <w:r>
        <w:t xml:space="preserve"> 21.1%</w:t>
      </w:r>
      <w:r>
        <w:rPr>
          <w:rFonts w:hint="eastAsia"/>
        </w:rPr>
        <w:t>的人</w:t>
      </w:r>
      <w:r>
        <w:t xml:space="preserve"> </w:t>
      </w:r>
      <w:r>
        <w:rPr>
          <w:rFonts w:hint="eastAsia"/>
        </w:rPr>
        <w:t>工作</w:t>
      </w:r>
      <w:r>
        <w:t>31</w:t>
      </w:r>
      <w:r>
        <w:rPr>
          <w:rFonts w:hint="eastAsia"/>
        </w:rPr>
        <w:t>至</w:t>
      </w:r>
      <w:r>
        <w:t>44 </w:t>
      </w:r>
      <w:r>
        <w:rPr>
          <w:rFonts w:hint="eastAsia"/>
        </w:rPr>
        <w:t>小时；有</w:t>
      </w:r>
      <w:r>
        <w:t>9.8%</w:t>
      </w:r>
      <w:r>
        <w:rPr>
          <w:rFonts w:hint="eastAsia"/>
        </w:rPr>
        <w:t>每周工作时数超过</w:t>
      </w:r>
      <w:r>
        <w:t>44</w:t>
      </w:r>
      <w:r>
        <w:rPr>
          <w:rFonts w:hint="eastAsia"/>
        </w:rPr>
        <w:t>小时，这是在一校任职最大限度可以担任的课时</w:t>
      </w:r>
      <w:r>
        <w:rPr>
          <w:rFonts w:hint="eastAsia"/>
        </w:rPr>
        <w:t>。在接受国家补贴的学校工作的</w:t>
      </w:r>
      <w:r>
        <w:t>134,885</w:t>
      </w:r>
      <w:r>
        <w:rPr>
          <w:rFonts w:hint="eastAsia"/>
        </w:rPr>
        <w:t>名专业人员中，有</w:t>
      </w:r>
      <w:r>
        <w:t>86.7%</w:t>
      </w:r>
      <w:r>
        <w:rPr>
          <w:rFonts w:hint="eastAsia"/>
        </w:rPr>
        <w:t>在一个机构工作，</w:t>
      </w:r>
      <w:r>
        <w:t xml:space="preserve"> </w:t>
      </w:r>
      <w:r>
        <w:rPr>
          <w:rFonts w:hint="eastAsia"/>
        </w:rPr>
        <w:t>有</w:t>
      </w:r>
      <w:r>
        <w:t>11.8%</w:t>
      </w:r>
      <w:r>
        <w:rPr>
          <w:rFonts w:hint="eastAsia"/>
        </w:rPr>
        <w:t>在两个机构工作，</w:t>
      </w:r>
      <w:r>
        <w:t>1.5%</w:t>
      </w:r>
      <w:r>
        <w:rPr>
          <w:rFonts w:hint="eastAsia"/>
        </w:rPr>
        <w:t>的人在三个机构工作。对于教学以外从事第二或第三个职业的情况，没有任何统计数字。</w:t>
      </w:r>
    </w:p>
    <w:p w:rsidR="00000000" w:rsidRDefault="009C1C61">
      <w:pPr>
        <w:spacing w:after="320"/>
      </w:pPr>
      <w:r>
        <w:rPr>
          <w:rFonts w:hint="eastAsia"/>
        </w:rPr>
        <w:tab/>
      </w:r>
      <w:r>
        <w:t>784.</w:t>
      </w:r>
      <w:r>
        <w:rPr>
          <w:rFonts w:hint="eastAsia"/>
        </w:rPr>
        <w:t xml:space="preserve">  1997</w:t>
      </w:r>
      <w:r>
        <w:rPr>
          <w:rFonts w:hint="eastAsia"/>
        </w:rPr>
        <w:t>年开始实行的政策之后，学时延长了，教师每周工作时数接近</w:t>
      </w:r>
      <w:r>
        <w:rPr>
          <w:rFonts w:hint="eastAsia"/>
        </w:rPr>
        <w:t>44</w:t>
      </w:r>
      <w:r>
        <w:rPr>
          <w:rFonts w:hint="eastAsia"/>
        </w:rPr>
        <w:t>小时。根据教学法规，小学三年级至八年级的教师每周至少授课</w:t>
      </w:r>
      <w:r>
        <w:t>38</w:t>
      </w:r>
      <w:r>
        <w:rPr>
          <w:rFonts w:hint="eastAsia"/>
        </w:rPr>
        <w:t>小时，中学教师每周授课时数为</w:t>
      </w:r>
      <w:r>
        <w:t>42</w:t>
      </w:r>
      <w:r>
        <w:rPr>
          <w:rFonts w:hint="eastAsia"/>
        </w:rPr>
        <w:t>小时。</w:t>
      </w:r>
    </w:p>
    <w:p w:rsidR="00000000" w:rsidRDefault="009C1C61">
      <w:pPr>
        <w:pStyle w:val="Heading4"/>
        <w:rPr>
          <w:rFonts w:ascii="Time New Roman" w:eastAsia="SimHei" w:hAnsi="Time New Roman"/>
          <w:u w:val="none"/>
        </w:rPr>
      </w:pPr>
      <w:r>
        <w:rPr>
          <w:rFonts w:ascii="Time New Roman" w:eastAsia="SimHei" w:hAnsi="Time New Roman" w:hint="eastAsia"/>
          <w:u w:val="none"/>
        </w:rPr>
        <w:t>编制人员和合同人员</w:t>
      </w:r>
    </w:p>
    <w:p w:rsidR="00000000" w:rsidRDefault="009C1C61">
      <w:pPr>
        <w:spacing w:after="320"/>
        <w:rPr>
          <w:spacing w:val="8"/>
        </w:rPr>
      </w:pPr>
      <w:r>
        <w:rPr>
          <w:rFonts w:hint="eastAsia"/>
          <w:spacing w:val="8"/>
        </w:rPr>
        <w:tab/>
      </w:r>
      <w:r>
        <w:rPr>
          <w:spacing w:val="8"/>
        </w:rPr>
        <w:t>785.</w:t>
      </w:r>
      <w:r>
        <w:rPr>
          <w:rFonts w:hint="eastAsia"/>
          <w:spacing w:val="8"/>
        </w:rPr>
        <w:t xml:space="preserve">  </w:t>
      </w:r>
      <w:r>
        <w:rPr>
          <w:rFonts w:hint="eastAsia"/>
          <w:spacing w:val="8"/>
        </w:rPr>
        <w:t>视其工作安排而定</w:t>
      </w:r>
      <w:r>
        <w:rPr>
          <w:rFonts w:hint="eastAsia"/>
          <w:spacing w:val="8"/>
          <w:lang w:val="en-GB"/>
        </w:rPr>
        <w:t>，</w:t>
      </w:r>
      <w:r>
        <w:rPr>
          <w:rFonts w:hint="eastAsia"/>
          <w:spacing w:val="8"/>
        </w:rPr>
        <w:t>教师不是固定在编人员</w:t>
      </w:r>
      <w:r>
        <w:rPr>
          <w:rFonts w:hint="eastAsia"/>
          <w:spacing w:val="8"/>
          <w:lang w:val="en-GB"/>
        </w:rPr>
        <w:t>，</w:t>
      </w:r>
      <w:r>
        <w:rPr>
          <w:rFonts w:hint="eastAsia"/>
          <w:spacing w:val="8"/>
        </w:rPr>
        <w:t>就是合同人员。公立学校</w:t>
      </w:r>
      <w:r>
        <w:rPr>
          <w:spacing w:val="8"/>
        </w:rPr>
        <w:t>83%</w:t>
      </w:r>
      <w:r>
        <w:rPr>
          <w:rFonts w:hint="eastAsia"/>
          <w:spacing w:val="8"/>
        </w:rPr>
        <w:t>的教师是固定在编人员，</w:t>
      </w:r>
      <w:r>
        <w:rPr>
          <w:spacing w:val="8"/>
        </w:rPr>
        <w:t>17%</w:t>
      </w:r>
      <w:r>
        <w:rPr>
          <w:rFonts w:hint="eastAsia"/>
          <w:spacing w:val="8"/>
        </w:rPr>
        <w:t>是合同教师或代课教师。根据《教育专业人员条例》，这个部门的合同教师或代课教师所占的百分比不得超过每一城市聘用总数的</w:t>
      </w:r>
      <w:r>
        <w:rPr>
          <w:spacing w:val="8"/>
        </w:rPr>
        <w:t>20%</w:t>
      </w:r>
      <w:r>
        <w:rPr>
          <w:rFonts w:hint="eastAsia"/>
          <w:spacing w:val="8"/>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资</w:t>
      </w:r>
      <w:r>
        <w:rPr>
          <w:rFonts w:ascii="Time New Roman" w:eastAsia="SimHei" w:hAnsi="Time New Roman" w:hint="eastAsia"/>
          <w:u w:val="none"/>
        </w:rPr>
        <w:t xml:space="preserve">  </w:t>
      </w:r>
      <w:r>
        <w:rPr>
          <w:rFonts w:ascii="Time New Roman" w:eastAsia="SimHei" w:hAnsi="Time New Roman" w:hint="eastAsia"/>
          <w:u w:val="none"/>
        </w:rPr>
        <w:t>格</w:t>
      </w:r>
    </w:p>
    <w:p w:rsidR="00000000" w:rsidRDefault="009C1C61">
      <w:pPr>
        <w:spacing w:after="320"/>
        <w:rPr>
          <w:rFonts w:hint="eastAsia"/>
        </w:rPr>
      </w:pPr>
      <w:r>
        <w:rPr>
          <w:rFonts w:hint="eastAsia"/>
        </w:rPr>
        <w:tab/>
      </w:r>
      <w:r>
        <w:t>786.</w:t>
      </w:r>
      <w:r>
        <w:rPr>
          <w:rFonts w:hint="eastAsia"/>
        </w:rPr>
        <w:t xml:space="preserve">  92%</w:t>
      </w:r>
      <w:r>
        <w:rPr>
          <w:rFonts w:hint="eastAsia"/>
        </w:rPr>
        <w:t>的教师具备教学必需的学历。另外</w:t>
      </w:r>
      <w:r>
        <w:t>2.4%</w:t>
      </w:r>
      <w:r>
        <w:rPr>
          <w:rFonts w:hint="eastAsia"/>
        </w:rPr>
        <w:t>的教师持有教育以外学科的文凭，这些教师多半在中学教授技术</w:t>
      </w:r>
      <w:r>
        <w:rPr>
          <w:rFonts w:hint="eastAsia"/>
        </w:rPr>
        <w:t>/</w:t>
      </w:r>
      <w:r>
        <w:rPr>
          <w:rFonts w:hint="eastAsia"/>
        </w:rPr>
        <w:t>职业性课目。只有</w:t>
      </w:r>
      <w:r>
        <w:t>5.6%</w:t>
      </w:r>
      <w:r>
        <w:rPr>
          <w:rFonts w:hint="eastAsia"/>
        </w:rPr>
        <w:t>的教员没有任何文凭，不过最少必须持有中学文凭</w:t>
      </w:r>
      <w:r>
        <w:t>(</w:t>
      </w:r>
      <w:r>
        <w:rPr>
          <w:rFonts w:hint="eastAsia"/>
        </w:rPr>
        <w:t>至少上完</w:t>
      </w:r>
      <w:r>
        <w:t>12</w:t>
      </w:r>
      <w:r>
        <w:rPr>
          <w:rFonts w:hint="eastAsia"/>
        </w:rPr>
        <w:t>年级</w:t>
      </w:r>
      <w:r>
        <w:t>)</w:t>
      </w:r>
      <w:r>
        <w:rPr>
          <w:rFonts w:hint="eastAsia"/>
        </w:rPr>
        <w:t>。</w:t>
      </w:r>
    </w:p>
    <w:p w:rsidR="00000000" w:rsidRDefault="009C1C61">
      <w:pPr>
        <w:spacing w:after="240"/>
        <w:rPr>
          <w:szCs w:val="24"/>
        </w:rPr>
      </w:pPr>
      <w:r>
        <w:rPr>
          <w:rFonts w:hint="eastAsia"/>
          <w:b/>
          <w:bCs/>
          <w:szCs w:val="24"/>
        </w:rPr>
        <w:t>女教师的百分比</w:t>
      </w:r>
    </w:p>
    <w:p w:rsidR="00000000" w:rsidRDefault="009C1C61">
      <w:pPr>
        <w:spacing w:after="320"/>
      </w:pPr>
      <w:r>
        <w:rPr>
          <w:rFonts w:hint="eastAsia"/>
        </w:rPr>
        <w:tab/>
      </w:r>
      <w:r>
        <w:t>787.</w:t>
      </w:r>
      <w:r>
        <w:rPr>
          <w:rFonts w:hint="eastAsia"/>
        </w:rPr>
        <w:t xml:space="preserve">  </w:t>
      </w:r>
      <w:r>
        <w:t>1998</w:t>
      </w:r>
      <w:r>
        <w:rPr>
          <w:rFonts w:hint="eastAsia"/>
        </w:rPr>
        <w:t>年教师总数为</w:t>
      </w:r>
      <w:r>
        <w:t>134,885</w:t>
      </w:r>
      <w:r>
        <w:rPr>
          <w:rFonts w:hint="eastAsia"/>
        </w:rPr>
        <w:t>名，其中</w:t>
      </w:r>
      <w:r>
        <w:t xml:space="preserve">69.5% </w:t>
      </w:r>
      <w:r>
        <w:rPr>
          <w:rFonts w:hint="eastAsia"/>
        </w:rPr>
        <w:t>为女教师。按照教育程度分列的话，这个比例在小学教育中往往较高</w:t>
      </w:r>
      <w:r>
        <w:t xml:space="preserve"> (73.5%)</w:t>
      </w:r>
      <w:r>
        <w:rPr>
          <w:rFonts w:hint="eastAsia"/>
        </w:rPr>
        <w:t>，中学教育</w:t>
      </w:r>
      <w:r>
        <w:rPr>
          <w:rFonts w:hint="eastAsia"/>
        </w:rPr>
        <w:t>中则较低</w:t>
      </w:r>
      <w:r>
        <w:t xml:space="preserve"> (57.2%)</w:t>
      </w:r>
      <w:r>
        <w:rPr>
          <w:rFonts w:hint="eastAsia"/>
        </w:rPr>
        <w:t>。这种分布情况在国内各大区和地理区域之间比较一致。但是</w:t>
      </w:r>
      <w:r>
        <w:rPr>
          <w:rFonts w:hint="eastAsia"/>
          <w:lang w:val="en-GB"/>
        </w:rPr>
        <w:t>，从她们所担任的职位看来，是有不平等和歧视的情况。妇女担任课堂教学的占</w:t>
      </w:r>
      <w:r>
        <w:t>72.5%</w:t>
      </w:r>
      <w:r>
        <w:rPr>
          <w:rFonts w:hint="eastAsia"/>
        </w:rPr>
        <w:t>，在教授法职位中她们占</w:t>
      </w:r>
      <w:r>
        <w:t>65.9%</w:t>
      </w:r>
      <w:r>
        <w:rPr>
          <w:rFonts w:hint="eastAsia"/>
        </w:rPr>
        <w:t>，然而妇女担任校长的只占</w:t>
      </w:r>
      <w:r>
        <w:t>45.6%</w:t>
      </w:r>
      <w:r>
        <w:rPr>
          <w:rFonts w:hint="eastAsia"/>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在职培训</w:t>
      </w:r>
    </w:p>
    <w:p w:rsidR="00000000" w:rsidRDefault="009C1C61">
      <w:pPr>
        <w:spacing w:after="320"/>
      </w:pPr>
      <w:r>
        <w:rPr>
          <w:rFonts w:hint="eastAsia"/>
        </w:rPr>
        <w:tab/>
      </w:r>
      <w:r>
        <w:t>788.</w:t>
      </w:r>
      <w:r>
        <w:rPr>
          <w:rFonts w:hint="eastAsia"/>
        </w:rPr>
        <w:t xml:space="preserve">  </w:t>
      </w:r>
      <w:r>
        <w:rPr>
          <w:rFonts w:hint="eastAsia"/>
        </w:rPr>
        <w:t>根据《教育专业人员条例》</w:t>
      </w:r>
      <w:r>
        <w:rPr>
          <w:rFonts w:hint="eastAsia"/>
          <w:lang w:val="en-GB"/>
        </w:rPr>
        <w:t>，所有教师都有资格参加在职培训，不过，这种活动必须在工作时间以外或在假期内进行。持有研究奖学金、在国外进修或攻读学位的人属于例外。自</w:t>
      </w:r>
      <w:r>
        <w:rPr>
          <w:rFonts w:hint="eastAsia"/>
          <w:lang w:val="en-GB"/>
        </w:rPr>
        <w:t>1996</w:t>
      </w:r>
      <w:r>
        <w:rPr>
          <w:rFonts w:hint="eastAsia"/>
          <w:lang w:val="en-GB"/>
        </w:rPr>
        <w:t>年以来，每年大约有</w:t>
      </w:r>
      <w:r>
        <w:t>900</w:t>
      </w:r>
      <w:r>
        <w:rPr>
          <w:rFonts w:hint="eastAsia"/>
        </w:rPr>
        <w:t>名教师获得国家研究金，资助他们的研究和旅宿费用，离职期间仍由雇主支付薪资</w:t>
      </w:r>
      <w:r>
        <w:rPr>
          <w:rFonts w:hint="eastAsia"/>
        </w:rPr>
        <w:t>。</w:t>
      </w:r>
    </w:p>
    <w:p w:rsidR="00000000" w:rsidRDefault="009C1C61">
      <w:pPr>
        <w:pStyle w:val="Heading4"/>
        <w:rPr>
          <w:rFonts w:ascii="Time New Roman" w:eastAsia="SimHei" w:hAnsi="Time New Roman"/>
          <w:u w:val="none"/>
        </w:rPr>
      </w:pPr>
      <w:r>
        <w:rPr>
          <w:rFonts w:ascii="Time New Roman" w:eastAsia="SimHei" w:hAnsi="Time New Roman" w:hint="eastAsia"/>
          <w:u w:val="none"/>
        </w:rPr>
        <w:t>教师的年龄范围</w:t>
      </w:r>
    </w:p>
    <w:p w:rsidR="00000000" w:rsidRDefault="009C1C61">
      <w:pPr>
        <w:spacing w:after="320"/>
      </w:pPr>
      <w:r>
        <w:rPr>
          <w:rFonts w:hint="eastAsia"/>
        </w:rPr>
        <w:tab/>
      </w:r>
      <w:r>
        <w:t>789.</w:t>
      </w:r>
      <w:r>
        <w:rPr>
          <w:rFonts w:hint="eastAsia"/>
        </w:rPr>
        <w:t xml:space="preserve">  </w:t>
      </w:r>
      <w:r>
        <w:rPr>
          <w:rFonts w:hint="eastAsia"/>
        </w:rPr>
        <w:t>在所有教师中，大约有</w:t>
      </w:r>
      <w:r>
        <w:t>75%</w:t>
      </w:r>
      <w:r>
        <w:rPr>
          <w:rFonts w:hint="eastAsia"/>
        </w:rPr>
        <w:t>年龄在</w:t>
      </w:r>
      <w:r>
        <w:t>36</w:t>
      </w:r>
      <w:r>
        <w:rPr>
          <w:rFonts w:hint="eastAsia"/>
        </w:rPr>
        <w:t>岁以上。只有</w:t>
      </w:r>
      <w:r>
        <w:t>11.8%</w:t>
      </w:r>
      <w:r>
        <w:rPr>
          <w:rFonts w:hint="eastAsia"/>
        </w:rPr>
        <w:t>的人年龄在</w:t>
      </w:r>
      <w:r>
        <w:rPr>
          <w:rFonts w:hint="eastAsia"/>
        </w:rPr>
        <w:t>30</w:t>
      </w:r>
      <w:r>
        <w:rPr>
          <w:rFonts w:hint="eastAsia"/>
        </w:rPr>
        <w:t>岁或</w:t>
      </w:r>
      <w:r>
        <w:rPr>
          <w:rFonts w:hint="eastAsia"/>
        </w:rPr>
        <w:t>30</w:t>
      </w:r>
      <w:r>
        <w:rPr>
          <w:rFonts w:hint="eastAsia"/>
        </w:rPr>
        <w:t>岁以下。另一头，有</w:t>
      </w:r>
      <w:r>
        <w:t>23.4%</w:t>
      </w:r>
      <w:r>
        <w:rPr>
          <w:rFonts w:hint="eastAsia"/>
        </w:rPr>
        <w:t>的教师年龄在</w:t>
      </w:r>
      <w:r>
        <w:rPr>
          <w:rFonts w:hint="eastAsia"/>
        </w:rPr>
        <w:t>50</w:t>
      </w:r>
      <w:r>
        <w:rPr>
          <w:rFonts w:hint="eastAsia"/>
        </w:rPr>
        <w:t>岁以上。</w:t>
      </w:r>
    </w:p>
    <w:p w:rsidR="00000000" w:rsidRDefault="009C1C61">
      <w:pPr>
        <w:pStyle w:val="Heading4"/>
        <w:rPr>
          <w:rFonts w:ascii="Time New Roman" w:eastAsia="SimHei" w:hAnsi="Time New Roman"/>
          <w:u w:val="none"/>
        </w:rPr>
      </w:pPr>
      <w:r>
        <w:rPr>
          <w:rFonts w:ascii="Time New Roman" w:eastAsia="SimHei" w:hAnsi="Time New Roman" w:hint="eastAsia"/>
          <w:u w:val="none"/>
        </w:rPr>
        <w:t>籍贯和种族</w:t>
      </w:r>
    </w:p>
    <w:p w:rsidR="00000000" w:rsidRDefault="009C1C61">
      <w:r>
        <w:rPr>
          <w:rFonts w:hint="eastAsia"/>
        </w:rPr>
        <w:tab/>
      </w:r>
      <w:r>
        <w:t>790.</w:t>
      </w:r>
      <w:r>
        <w:rPr>
          <w:rFonts w:hint="eastAsia"/>
        </w:rPr>
        <w:t xml:space="preserve">  </w:t>
      </w:r>
      <w:r>
        <w:rPr>
          <w:rFonts w:hint="eastAsia"/>
        </w:rPr>
        <w:t>智利</w:t>
      </w:r>
      <w:r>
        <w:rPr>
          <w:rFonts w:hint="eastAsia"/>
          <w:lang w:val="en-GB"/>
        </w:rPr>
        <w:t>的</w:t>
      </w:r>
      <w:r>
        <w:rPr>
          <w:rFonts w:hint="eastAsia"/>
        </w:rPr>
        <w:t>土著居民是少数民族</w:t>
      </w:r>
      <w:r>
        <w:rPr>
          <w:rFonts w:hint="eastAsia"/>
          <w:lang w:val="en-GB"/>
        </w:rPr>
        <w:t>，关于有多少土著出身的教师，还没有任何统计数字。不过，有一小部分教师同时精通他们原本的语言和西班牙文，另外还有一部分教师能够听懂土著语言，但是不能说。在土著社区工作的教师属于少数，据估计在乡村地区工作的</w:t>
      </w:r>
      <w:r>
        <w:t>19,960</w:t>
      </w:r>
      <w:r>
        <w:rPr>
          <w:rFonts w:hint="eastAsia"/>
        </w:rPr>
        <w:t>名乡村教师</w:t>
      </w:r>
      <w:r>
        <w:t>(14.6%)</w:t>
      </w:r>
      <w:r>
        <w:rPr>
          <w:rFonts w:hint="eastAsia"/>
        </w:rPr>
        <w:t>中，大约有</w:t>
      </w:r>
      <w:r>
        <w:t>500</w:t>
      </w:r>
      <w:r>
        <w:rPr>
          <w:rFonts w:hint="eastAsia"/>
        </w:rPr>
        <w:t>人</w:t>
      </w:r>
      <w:r>
        <w:t>(</w:t>
      </w:r>
      <w:r>
        <w:rPr>
          <w:rFonts w:hint="eastAsia"/>
        </w:rPr>
        <w:t>占</w:t>
      </w:r>
      <w:r>
        <w:t>2.5%)</w:t>
      </w:r>
      <w:r>
        <w:rPr>
          <w:rFonts w:hint="eastAsia"/>
        </w:rPr>
        <w:t>能说</w:t>
      </w:r>
      <w:r>
        <w:rPr>
          <w:iCs/>
          <w:u w:val="single"/>
        </w:rPr>
        <w:t>Mapuche</w:t>
      </w:r>
      <w:r>
        <w:rPr>
          <w:rFonts w:hint="eastAsia"/>
          <w:iCs/>
        </w:rPr>
        <w:t>语、</w:t>
      </w:r>
      <w:r>
        <w:rPr>
          <w:iCs/>
          <w:u w:val="single"/>
        </w:rPr>
        <w:t>A</w:t>
      </w:r>
      <w:r>
        <w:rPr>
          <w:iCs/>
          <w:u w:val="single"/>
        </w:rPr>
        <w:t>ymara</w:t>
      </w:r>
      <w:r>
        <w:rPr>
          <w:rFonts w:hint="eastAsia"/>
          <w:iCs/>
        </w:rPr>
        <w:t>语或</w:t>
      </w:r>
      <w:r>
        <w:rPr>
          <w:iCs/>
          <w:noProof/>
          <w:u w:val="single"/>
        </w:rPr>
        <w:t>Rapa</w:t>
      </w:r>
      <w:r>
        <w:rPr>
          <w:rFonts w:hint="eastAsia"/>
          <w:iCs/>
          <w:noProof/>
          <w:u w:val="single"/>
        </w:rPr>
        <w:t xml:space="preserve"> </w:t>
      </w:r>
      <w:r>
        <w:rPr>
          <w:iCs/>
          <w:noProof/>
          <w:u w:val="single"/>
        </w:rPr>
        <w:t>Nui</w:t>
      </w:r>
      <w:r>
        <w:rPr>
          <w:rFonts w:hint="eastAsia"/>
          <w:iCs/>
          <w:noProof/>
        </w:rPr>
        <w:t>语。</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服务年数</w:t>
      </w:r>
    </w:p>
    <w:p w:rsidR="00000000" w:rsidRDefault="009C1C61">
      <w:pPr>
        <w:spacing w:after="320"/>
        <w:rPr>
          <w:snapToGrid/>
        </w:rPr>
      </w:pPr>
      <w:r>
        <w:rPr>
          <w:rFonts w:hint="eastAsia"/>
          <w:snapToGrid/>
        </w:rPr>
        <w:tab/>
      </w:r>
      <w:r>
        <w:rPr>
          <w:snapToGrid/>
        </w:rPr>
        <w:t>791.</w:t>
      </w:r>
      <w:r>
        <w:rPr>
          <w:rFonts w:hint="eastAsia"/>
          <w:snapToGrid/>
        </w:rPr>
        <w:t xml:space="preserve">  </w:t>
      </w:r>
      <w:r>
        <w:rPr>
          <w:rFonts w:hint="eastAsia"/>
          <w:snapToGrid/>
        </w:rPr>
        <w:t>有三分之一的教师</w:t>
      </w:r>
      <w:r>
        <w:rPr>
          <w:snapToGrid/>
        </w:rPr>
        <w:t>(33.4%)</w:t>
      </w:r>
      <w:r>
        <w:rPr>
          <w:rFonts w:hint="eastAsia"/>
          <w:snapToGrid/>
        </w:rPr>
        <w:t>服务年数不到十年</w:t>
      </w:r>
      <w:r>
        <w:rPr>
          <w:rFonts w:hint="eastAsia"/>
          <w:snapToGrid/>
          <w:lang w:val="en-GB"/>
        </w:rPr>
        <w:t>，而</w:t>
      </w:r>
      <w:r>
        <w:rPr>
          <w:snapToGrid/>
        </w:rPr>
        <w:t>11.9%</w:t>
      </w:r>
      <w:r>
        <w:rPr>
          <w:rFonts w:hint="eastAsia"/>
          <w:snapToGrid/>
        </w:rPr>
        <w:t>的教师已服务</w:t>
      </w:r>
      <w:r>
        <w:rPr>
          <w:rFonts w:hint="eastAsia"/>
          <w:snapToGrid/>
        </w:rPr>
        <w:t>30</w:t>
      </w:r>
      <w:r>
        <w:rPr>
          <w:rFonts w:hint="eastAsia"/>
          <w:snapToGrid/>
        </w:rPr>
        <w:t>年以上。</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薪资、津贴、奖金和其他福利</w:t>
      </w:r>
    </w:p>
    <w:p w:rsidR="00000000" w:rsidRDefault="009C1C61">
      <w:pPr>
        <w:spacing w:after="320"/>
        <w:rPr>
          <w:snapToGrid/>
        </w:rPr>
      </w:pPr>
      <w:r>
        <w:rPr>
          <w:rFonts w:hint="eastAsia"/>
          <w:snapToGrid/>
        </w:rPr>
        <w:tab/>
      </w:r>
      <w:r>
        <w:rPr>
          <w:snapToGrid/>
        </w:rPr>
        <w:t>792.</w:t>
      </w:r>
      <w:r>
        <w:rPr>
          <w:rFonts w:hint="eastAsia"/>
          <w:snapToGrid/>
        </w:rPr>
        <w:t xml:space="preserve">  </w:t>
      </w:r>
      <w:r>
        <w:rPr>
          <w:rFonts w:hint="eastAsia"/>
          <w:snapToGrid/>
        </w:rPr>
        <w:t>公立学校教师每月法定报酬包括：全国最低基本薪资</w:t>
      </w:r>
      <w:r>
        <w:rPr>
          <w:rFonts w:hint="eastAsia"/>
          <w:snapToGrid/>
          <w:lang w:val="en-GB"/>
        </w:rPr>
        <w:t>，</w:t>
      </w:r>
      <w:r>
        <w:rPr>
          <w:rFonts w:hint="eastAsia"/>
          <w:snapToGrid/>
        </w:rPr>
        <w:t>加上任择性的工龄津贴、完成改进津贴、管理或技术责任津贴以及艰苦岗位津贴。私立学校的教师也可以领取后一种津贴和全国最低基本薪资。经过集体谈判，待遇在其他一些方面也得到改善，例如：基本业务提高单位、补充业务提高单位、按比例发放的奖金和补充性时间表。</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教师的配备和使用情况</w:t>
      </w:r>
    </w:p>
    <w:p w:rsidR="00000000" w:rsidRDefault="009C1C61">
      <w:pPr>
        <w:rPr>
          <w:snapToGrid/>
        </w:rPr>
      </w:pPr>
      <w:r>
        <w:rPr>
          <w:rFonts w:hint="eastAsia"/>
          <w:snapToGrid/>
        </w:rPr>
        <w:tab/>
      </w:r>
      <w:r>
        <w:rPr>
          <w:snapToGrid/>
        </w:rPr>
        <w:t>793</w:t>
      </w:r>
      <w:r>
        <w:rPr>
          <w:snapToGrid/>
        </w:rPr>
        <w:t>.</w:t>
      </w:r>
      <w:r>
        <w:rPr>
          <w:rFonts w:hint="eastAsia"/>
          <w:snapToGrid/>
        </w:rPr>
        <w:t xml:space="preserve">  </w:t>
      </w:r>
      <w:r>
        <w:rPr>
          <w:rFonts w:hint="eastAsia"/>
          <w:snapToGrid/>
        </w:rPr>
        <w:t>对于教师</w:t>
      </w:r>
      <w:r>
        <w:rPr>
          <w:rFonts w:hint="eastAsia"/>
          <w:snapToGrid/>
        </w:rPr>
        <w:t>/</w:t>
      </w:r>
      <w:r>
        <w:rPr>
          <w:rFonts w:hint="eastAsia"/>
          <w:snapToGrid/>
        </w:rPr>
        <w:t>学生比、学生</w:t>
      </w:r>
      <w:r>
        <w:rPr>
          <w:rFonts w:hint="eastAsia"/>
          <w:snapToGrid/>
        </w:rPr>
        <w:t>/</w:t>
      </w:r>
      <w:r>
        <w:rPr>
          <w:rFonts w:hint="eastAsia"/>
          <w:snapToGrid/>
        </w:rPr>
        <w:t>课程比或教师</w:t>
      </w:r>
      <w:r>
        <w:rPr>
          <w:rFonts w:hint="eastAsia"/>
          <w:snapToGrid/>
        </w:rPr>
        <w:t>/</w:t>
      </w:r>
      <w:r>
        <w:rPr>
          <w:rFonts w:hint="eastAsia"/>
          <w:snapToGrid/>
        </w:rPr>
        <w:t>班级比，目前没有任何正式的限制标准。唯一的强制性标准是每一年级或每一科目的学生人数上限，即：每班至多</w:t>
      </w:r>
      <w:r>
        <w:rPr>
          <w:rFonts w:hint="eastAsia"/>
          <w:snapToGrid/>
        </w:rPr>
        <w:t>45</w:t>
      </w:r>
      <w:r>
        <w:rPr>
          <w:rFonts w:hint="eastAsia"/>
          <w:snapToGrid/>
        </w:rPr>
        <w:t>名学生。但是，这方面的指数相当正规，城乡之间的差距并不是很大。引自</w:t>
      </w:r>
      <w:r>
        <w:rPr>
          <w:rFonts w:hint="eastAsia"/>
          <w:snapToGrid/>
        </w:rPr>
        <w:t>1998</w:t>
      </w:r>
      <w:r>
        <w:rPr>
          <w:rFonts w:hint="eastAsia"/>
          <w:snapToGrid/>
        </w:rPr>
        <w:t>年数据的下列比例可以说明这一点：</w:t>
      </w:r>
    </w:p>
    <w:p w:rsidR="00000000" w:rsidRDefault="009C1C61">
      <w:pPr>
        <w:numPr>
          <w:ilvl w:val="0"/>
          <w:numId w:val="319"/>
        </w:numPr>
        <w:rPr>
          <w:snapToGrid/>
        </w:rPr>
      </w:pPr>
      <w:r>
        <w:rPr>
          <w:rFonts w:hint="eastAsia"/>
          <w:snapToGrid/>
        </w:rPr>
        <w:t>学生</w:t>
      </w:r>
      <w:r>
        <w:rPr>
          <w:rFonts w:hint="eastAsia"/>
          <w:snapToGrid/>
        </w:rPr>
        <w:t>/</w:t>
      </w:r>
      <w:r>
        <w:rPr>
          <w:rFonts w:hint="eastAsia"/>
          <w:snapToGrid/>
        </w:rPr>
        <w:t>教师平均比：小学</w:t>
      </w:r>
      <w:r>
        <w:rPr>
          <w:rFonts w:hint="eastAsia"/>
          <w:snapToGrid/>
        </w:rPr>
        <w:t>30</w:t>
      </w:r>
      <w:r>
        <w:rPr>
          <w:rFonts w:hint="eastAsia"/>
          <w:snapToGrid/>
        </w:rPr>
        <w:t>；中学</w:t>
      </w:r>
      <w:r>
        <w:rPr>
          <w:rFonts w:hint="eastAsia"/>
          <w:snapToGrid/>
        </w:rPr>
        <w:t>18</w:t>
      </w:r>
      <w:r>
        <w:rPr>
          <w:rFonts w:hint="eastAsia"/>
          <w:snapToGrid/>
        </w:rPr>
        <w:t>；</w:t>
      </w:r>
    </w:p>
    <w:p w:rsidR="00000000" w:rsidRDefault="009C1C61">
      <w:pPr>
        <w:numPr>
          <w:ilvl w:val="0"/>
          <w:numId w:val="319"/>
        </w:numPr>
        <w:rPr>
          <w:snapToGrid/>
        </w:rPr>
      </w:pPr>
      <w:r>
        <w:rPr>
          <w:rFonts w:hint="eastAsia"/>
          <w:snapToGrid/>
        </w:rPr>
        <w:t>学生</w:t>
      </w:r>
      <w:r>
        <w:rPr>
          <w:rFonts w:hint="eastAsia"/>
          <w:snapToGrid/>
        </w:rPr>
        <w:t>/</w:t>
      </w:r>
      <w:r>
        <w:rPr>
          <w:rFonts w:hint="eastAsia"/>
          <w:snapToGrid/>
        </w:rPr>
        <w:t>班级平均比：小学</w:t>
      </w:r>
      <w:r>
        <w:rPr>
          <w:snapToGrid/>
        </w:rPr>
        <w:t>35</w:t>
      </w:r>
      <w:r>
        <w:rPr>
          <w:rFonts w:hint="eastAsia"/>
          <w:snapToGrid/>
        </w:rPr>
        <w:t>；中学</w:t>
      </w:r>
      <w:r>
        <w:rPr>
          <w:rFonts w:hint="eastAsia"/>
          <w:snapToGrid/>
        </w:rPr>
        <w:t>34</w:t>
      </w:r>
      <w:r>
        <w:rPr>
          <w:rFonts w:hint="eastAsia"/>
          <w:snapToGrid/>
        </w:rPr>
        <w:t>；</w:t>
      </w:r>
    </w:p>
    <w:p w:rsidR="00000000" w:rsidRDefault="009C1C61">
      <w:pPr>
        <w:numPr>
          <w:ilvl w:val="0"/>
          <w:numId w:val="319"/>
        </w:numPr>
        <w:rPr>
          <w:snapToGrid/>
        </w:rPr>
      </w:pPr>
      <w:r>
        <w:rPr>
          <w:rFonts w:hint="eastAsia"/>
          <w:snapToGrid/>
        </w:rPr>
        <w:t>教师</w:t>
      </w:r>
      <w:r>
        <w:rPr>
          <w:rFonts w:hint="eastAsia"/>
          <w:snapToGrid/>
        </w:rPr>
        <w:t>/</w:t>
      </w:r>
      <w:r>
        <w:rPr>
          <w:rFonts w:hint="eastAsia"/>
          <w:snapToGrid/>
        </w:rPr>
        <w:t>班级平均比：小学</w:t>
      </w:r>
      <w:r>
        <w:rPr>
          <w:snapToGrid/>
        </w:rPr>
        <w:t>1.2</w:t>
      </w:r>
      <w:r>
        <w:rPr>
          <w:rFonts w:hint="eastAsia"/>
          <w:snapToGrid/>
        </w:rPr>
        <w:t>；中学</w:t>
      </w:r>
      <w:r>
        <w:rPr>
          <w:snapToGrid/>
        </w:rPr>
        <w:t>1.9</w:t>
      </w:r>
      <w:r>
        <w:rPr>
          <w:rFonts w:hint="eastAsia"/>
          <w:snapToGrid/>
        </w:rPr>
        <w:t>。</w:t>
      </w:r>
    </w:p>
    <w:p w:rsidR="00000000" w:rsidRDefault="009C1C61">
      <w:pPr>
        <w:spacing w:after="320"/>
        <w:rPr>
          <w:snapToGrid/>
        </w:rPr>
      </w:pPr>
      <w:r>
        <w:rPr>
          <w:rFonts w:hint="eastAsia"/>
          <w:snapToGrid/>
        </w:rPr>
        <w:tab/>
      </w:r>
      <w:r>
        <w:rPr>
          <w:snapToGrid/>
        </w:rPr>
        <w:t>794.</w:t>
      </w:r>
      <w:r>
        <w:rPr>
          <w:rFonts w:hint="eastAsia"/>
          <w:snapToGrid/>
        </w:rPr>
        <w:t xml:space="preserve">  </w:t>
      </w:r>
      <w:r>
        <w:rPr>
          <w:rFonts w:hint="eastAsia"/>
          <w:snapToGrid/>
        </w:rPr>
        <w:t>提高教师专业水平是</w:t>
      </w:r>
      <w:r>
        <w:rPr>
          <w:rFonts w:hint="eastAsia"/>
          <w:snapToGrid/>
        </w:rPr>
        <w:t>1996</w:t>
      </w:r>
      <w:r>
        <w:rPr>
          <w:rFonts w:hint="eastAsia"/>
          <w:snapToGrid/>
        </w:rPr>
        <w:t>年开始实行的教育改革的四个组成部分之一。如果已经在小学和中学中进行的课程改革要取得成功，那么</w:t>
      </w:r>
      <w:r>
        <w:rPr>
          <w:rFonts w:hint="eastAsia"/>
          <w:snapToGrid/>
        </w:rPr>
        <w:t>，就需要高水平的专业人员将新式教育方法付诸实践。目前已经出台若干措施改进教师的培训设施，最近又为教师提供进一步进修的机会。</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提高教师专业水平的政策和行动</w:t>
      </w:r>
    </w:p>
    <w:p w:rsidR="00000000" w:rsidRDefault="009C1C61">
      <w:pPr>
        <w:spacing w:after="320"/>
        <w:rPr>
          <w:rFonts w:hint="eastAsia"/>
          <w:snapToGrid/>
          <w:lang w:val="en-GB"/>
        </w:rPr>
      </w:pPr>
      <w:r>
        <w:rPr>
          <w:rFonts w:hint="eastAsia"/>
          <w:snapToGrid/>
        </w:rPr>
        <w:tab/>
      </w:r>
      <w:r>
        <w:rPr>
          <w:snapToGrid/>
        </w:rPr>
        <w:t>795.</w:t>
      </w:r>
      <w:r>
        <w:rPr>
          <w:rFonts w:hint="eastAsia"/>
          <w:snapToGrid/>
        </w:rPr>
        <w:t xml:space="preserve">  </w:t>
      </w:r>
      <w:r>
        <w:rPr>
          <w:rFonts w:hint="eastAsia"/>
          <w:snapToGrid/>
        </w:rPr>
        <w:t>在教育改革的框架内</w:t>
      </w:r>
      <w:r>
        <w:rPr>
          <w:rFonts w:hint="eastAsia"/>
          <w:snapToGrid/>
          <w:lang w:val="en-GB"/>
        </w:rPr>
        <w:t>，正在采取一些</w:t>
      </w:r>
      <w:r>
        <w:rPr>
          <w:rFonts w:hint="eastAsia"/>
          <w:snapToGrid/>
        </w:rPr>
        <w:t>政策和行动提高教师专业水平</w:t>
      </w:r>
      <w:r>
        <w:rPr>
          <w:rFonts w:hint="eastAsia"/>
          <w:snapToGrid/>
          <w:lang w:val="en-GB"/>
        </w:rPr>
        <w:t>，这是顺利执行</w:t>
      </w:r>
      <w:r>
        <w:rPr>
          <w:rFonts w:hint="eastAsia"/>
          <w:snapToGrid/>
          <w:lang w:val="en-GB"/>
        </w:rPr>
        <w:t>1990</w:t>
      </w:r>
      <w:r>
        <w:rPr>
          <w:rFonts w:hint="eastAsia"/>
          <w:snapToGrid/>
          <w:lang w:val="en-GB"/>
        </w:rPr>
        <w:t>年以来课程和教学方法改革的一个不可或缺的因素。这些措施在下列各段作一简要说明，涉及教师的业绩和工作条件、业务提高和初始的教师培训。</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教师的业绩和工作条件：参与、奖励和报酬</w:t>
      </w:r>
    </w:p>
    <w:p w:rsidR="00000000" w:rsidRDefault="009C1C61">
      <w:pPr>
        <w:rPr>
          <w:snapToGrid/>
          <w:spacing w:val="4"/>
        </w:rPr>
      </w:pPr>
      <w:r>
        <w:rPr>
          <w:rFonts w:hint="eastAsia"/>
          <w:snapToGrid/>
          <w:spacing w:val="4"/>
        </w:rPr>
        <w:tab/>
      </w:r>
      <w:r>
        <w:rPr>
          <w:snapToGrid/>
          <w:spacing w:val="4"/>
        </w:rPr>
        <w:t>796.</w:t>
      </w:r>
      <w:r>
        <w:rPr>
          <w:rFonts w:hint="eastAsia"/>
          <w:snapToGrid/>
          <w:spacing w:val="4"/>
        </w:rPr>
        <w:t xml:space="preserve">  </w:t>
      </w:r>
      <w:r>
        <w:rPr>
          <w:rFonts w:hint="eastAsia"/>
          <w:snapToGrid/>
          <w:spacing w:val="4"/>
        </w:rPr>
        <w:t>从</w:t>
      </w:r>
      <w:r>
        <w:rPr>
          <w:rFonts w:hint="eastAsia"/>
          <w:snapToGrid/>
          <w:spacing w:val="4"/>
        </w:rPr>
        <w:t>1990</w:t>
      </w:r>
      <w:r>
        <w:rPr>
          <w:rFonts w:hint="eastAsia"/>
          <w:snapToGrid/>
          <w:spacing w:val="4"/>
        </w:rPr>
        <w:t>年代初开始</w:t>
      </w:r>
      <w:r>
        <w:rPr>
          <w:rFonts w:hint="eastAsia"/>
          <w:snapToGrid/>
          <w:spacing w:val="4"/>
          <w:lang w:val="en-GB"/>
        </w:rPr>
        <w:t>，</w:t>
      </w:r>
      <w:r>
        <w:rPr>
          <w:rFonts w:hint="eastAsia"/>
          <w:snapToGrid/>
          <w:spacing w:val="4"/>
        </w:rPr>
        <w:t>教学条例有了重大的改变。</w:t>
      </w:r>
      <w:r>
        <w:rPr>
          <w:rFonts w:hint="eastAsia"/>
          <w:snapToGrid/>
          <w:spacing w:val="4"/>
        </w:rPr>
        <w:t>1980</w:t>
      </w:r>
      <w:r>
        <w:rPr>
          <w:rFonts w:hint="eastAsia"/>
          <w:snapToGrid/>
          <w:spacing w:val="4"/>
        </w:rPr>
        <w:t>年代，教师得不到保护和认</w:t>
      </w:r>
      <w:r>
        <w:rPr>
          <w:rFonts w:hint="eastAsia"/>
          <w:snapToGrid/>
          <w:spacing w:val="4"/>
        </w:rPr>
        <w:t>同，为此于</w:t>
      </w:r>
      <w:r>
        <w:rPr>
          <w:rFonts w:hint="eastAsia"/>
          <w:snapToGrid/>
          <w:spacing w:val="4"/>
        </w:rPr>
        <w:t>1991</w:t>
      </w:r>
      <w:r>
        <w:rPr>
          <w:rFonts w:hint="eastAsia"/>
          <w:snapToGrid/>
          <w:spacing w:val="4"/>
        </w:rPr>
        <w:t>年通过了《教育专业人员条例》</w:t>
      </w:r>
      <w:r>
        <w:rPr>
          <w:rFonts w:hint="eastAsia"/>
          <w:snapToGrid/>
          <w:spacing w:val="-40"/>
        </w:rPr>
        <w:t>——</w:t>
      </w:r>
      <w:r>
        <w:rPr>
          <w:rFonts w:hint="eastAsia"/>
          <w:snapToGrid/>
          <w:spacing w:val="4"/>
        </w:rPr>
        <w:t>即所谓的《教师条例》。</w:t>
      </w:r>
      <w:r>
        <w:rPr>
          <w:rStyle w:val="FootnoteReference"/>
          <w:snapToGrid/>
          <w:spacing w:val="4"/>
        </w:rPr>
        <w:footnoteReference w:id="319"/>
      </w:r>
    </w:p>
    <w:p w:rsidR="00000000" w:rsidRDefault="009C1C61">
      <w:pPr>
        <w:rPr>
          <w:snapToGrid/>
        </w:rPr>
      </w:pPr>
      <w:r>
        <w:rPr>
          <w:rFonts w:hint="eastAsia"/>
          <w:snapToGrid/>
        </w:rPr>
        <w:tab/>
      </w:r>
      <w:r>
        <w:rPr>
          <w:snapToGrid/>
        </w:rPr>
        <w:t>797.</w:t>
      </w:r>
      <w:r>
        <w:rPr>
          <w:rFonts w:hint="eastAsia"/>
          <w:snapToGrid/>
        </w:rPr>
        <w:t xml:space="preserve">  </w:t>
      </w:r>
      <w:r>
        <w:rPr>
          <w:rFonts w:hint="eastAsia"/>
          <w:snapToGrid/>
        </w:rPr>
        <w:t>通过《教师条例》，政府意在改进教学工作的专业标准，认为这是提高教育质量的主要条件之一。其目标是为了促进社会公平事业，争取为教师</w:t>
      </w:r>
      <w:r>
        <w:rPr>
          <w:rFonts w:hint="eastAsia"/>
          <w:snapToGrid/>
          <w:spacing w:val="-40"/>
        </w:rPr>
        <w:t>——</w:t>
      </w:r>
      <w:r>
        <w:rPr>
          <w:rFonts w:hint="eastAsia"/>
          <w:snapToGrid/>
        </w:rPr>
        <w:t>尤其是在最贫困地区和最困难的条件下工作的教师</w:t>
      </w:r>
      <w:r>
        <w:rPr>
          <w:rFonts w:hint="eastAsia"/>
          <w:snapToGrid/>
          <w:spacing w:val="-40"/>
        </w:rPr>
        <w:t>——</w:t>
      </w:r>
      <w:r>
        <w:rPr>
          <w:rFonts w:hint="eastAsia"/>
          <w:snapToGrid/>
        </w:rPr>
        <w:t>创造较为公平的条件。另一个目的是由国家做出承诺，在接受补贴的部门拨款改善教师的薪金待遇，而不论其直接雇主的财政能力如何。</w:t>
      </w:r>
    </w:p>
    <w:p w:rsidR="00000000" w:rsidRDefault="009C1C61">
      <w:pPr>
        <w:rPr>
          <w:snapToGrid/>
          <w:spacing w:val="8"/>
        </w:rPr>
      </w:pPr>
      <w:r>
        <w:rPr>
          <w:rFonts w:hint="eastAsia"/>
          <w:snapToGrid/>
          <w:spacing w:val="8"/>
        </w:rPr>
        <w:tab/>
      </w:r>
      <w:r>
        <w:rPr>
          <w:snapToGrid/>
          <w:spacing w:val="8"/>
        </w:rPr>
        <w:t>798</w:t>
      </w:r>
      <w:r>
        <w:rPr>
          <w:rFonts w:hint="eastAsia"/>
          <w:snapToGrid/>
          <w:spacing w:val="8"/>
        </w:rPr>
        <w:t xml:space="preserve">.  </w:t>
      </w:r>
      <w:r>
        <w:rPr>
          <w:rFonts w:hint="eastAsia"/>
          <w:snapToGrid/>
          <w:spacing w:val="8"/>
        </w:rPr>
        <w:t>直到</w:t>
      </w:r>
      <w:r>
        <w:rPr>
          <w:rFonts w:hint="eastAsia"/>
          <w:snapToGrid/>
          <w:spacing w:val="8"/>
        </w:rPr>
        <w:t>1991</w:t>
      </w:r>
      <w:r>
        <w:rPr>
          <w:rFonts w:hint="eastAsia"/>
          <w:snapToGrid/>
          <w:spacing w:val="8"/>
        </w:rPr>
        <w:t>年以前，关于教学专业的一般劳工立法还没有考虑到教学工作特殊性，《条例》确认这种特殊性。公立学校和</w:t>
      </w:r>
      <w:r>
        <w:rPr>
          <w:rFonts w:hint="eastAsia"/>
          <w:snapToGrid/>
          <w:spacing w:val="8"/>
        </w:rPr>
        <w:t>私立学校此前一向都没有一个共用的条例，现在对各级学校和各种教育形式的教师实行一套统一的规则。同时，每一种教学形式分别由不同管理人员指导的教育系统单独管理。通过《教师条例》，市立学校教师的职业得到保障，不会被解雇。《条例》准许工作调动和对换，而且改进了关于工作时数的规章，规定签约只在一个学校上课的教师每周工作时数上限为</w:t>
      </w:r>
      <w:r>
        <w:rPr>
          <w:rFonts w:hint="eastAsia"/>
          <w:snapToGrid/>
          <w:spacing w:val="8"/>
        </w:rPr>
        <w:t>44</w:t>
      </w:r>
      <w:r>
        <w:rPr>
          <w:rFonts w:hint="eastAsia"/>
          <w:snapToGrid/>
          <w:spacing w:val="8"/>
        </w:rPr>
        <w:t>小时，还规定了这些工作时数的内部分配办法。据决定，任课教师用于实际教学工作的时间不可超过工作时间的</w:t>
      </w:r>
      <w:r>
        <w:rPr>
          <w:snapToGrid/>
          <w:spacing w:val="8"/>
        </w:rPr>
        <w:t>75%</w:t>
      </w:r>
      <w:r>
        <w:rPr>
          <w:rFonts w:hint="eastAsia"/>
          <w:snapToGrid/>
          <w:spacing w:val="8"/>
        </w:rPr>
        <w:t>。放暑假原先只是一种公认的惯例而已，《教师条例》使暑假合法化，并且使教龄超过</w:t>
      </w:r>
      <w:r>
        <w:rPr>
          <w:rFonts w:hint="eastAsia"/>
          <w:snapToGrid/>
          <w:spacing w:val="8"/>
        </w:rPr>
        <w:t>30</w:t>
      </w:r>
      <w:r>
        <w:rPr>
          <w:rFonts w:hint="eastAsia"/>
          <w:snapToGrid/>
          <w:spacing w:val="8"/>
        </w:rPr>
        <w:t>年的课</w:t>
      </w:r>
      <w:r>
        <w:rPr>
          <w:rFonts w:hint="eastAsia"/>
          <w:snapToGrid/>
          <w:spacing w:val="8"/>
        </w:rPr>
        <w:t>堂教师有权减少其授课时数而不致损失薪资。</w:t>
      </w:r>
    </w:p>
    <w:p w:rsidR="00000000" w:rsidRDefault="009C1C61">
      <w:pPr>
        <w:rPr>
          <w:snapToGrid/>
        </w:rPr>
      </w:pPr>
      <w:r>
        <w:rPr>
          <w:rFonts w:hint="eastAsia"/>
          <w:snapToGrid/>
        </w:rPr>
        <w:tab/>
      </w:r>
      <w:r>
        <w:rPr>
          <w:snapToGrid/>
        </w:rPr>
        <w:t>799.</w:t>
      </w:r>
      <w:r>
        <w:rPr>
          <w:rFonts w:hint="eastAsia"/>
          <w:snapToGrid/>
        </w:rPr>
        <w:t xml:space="preserve">  </w:t>
      </w:r>
      <w:r>
        <w:rPr>
          <w:snapToGrid/>
        </w:rPr>
        <w:t>1994</w:t>
      </w:r>
      <w:r>
        <w:rPr>
          <w:rFonts w:hint="eastAsia"/>
          <w:snapToGrid/>
        </w:rPr>
        <w:t>至</w:t>
      </w:r>
      <w:r>
        <w:rPr>
          <w:snapToGrid/>
        </w:rPr>
        <w:t>1998</w:t>
      </w:r>
      <w:r>
        <w:rPr>
          <w:rFonts w:hint="eastAsia"/>
          <w:snapToGrid/>
        </w:rPr>
        <w:t>年间，在公立学校每周授课</w:t>
      </w:r>
      <w:r>
        <w:rPr>
          <w:rFonts w:hint="eastAsia"/>
          <w:snapToGrid/>
        </w:rPr>
        <w:t>30</w:t>
      </w:r>
      <w:r>
        <w:rPr>
          <w:rFonts w:hint="eastAsia"/>
          <w:snapToGrid/>
        </w:rPr>
        <w:t>小时的教师的每月收入平均从</w:t>
      </w:r>
      <w:r>
        <w:rPr>
          <w:snapToGrid/>
        </w:rPr>
        <w:t>374,106 </w:t>
      </w:r>
      <w:r>
        <w:rPr>
          <w:rFonts w:hint="eastAsia"/>
          <w:snapToGrid/>
        </w:rPr>
        <w:t>比索</w:t>
      </w:r>
      <w:r>
        <w:rPr>
          <w:snapToGrid/>
        </w:rPr>
        <w:t>(890.3</w:t>
      </w:r>
      <w:r>
        <w:rPr>
          <w:rFonts w:hint="eastAsia"/>
          <w:snapToGrid/>
        </w:rPr>
        <w:t>美元</w:t>
      </w:r>
      <w:r>
        <w:rPr>
          <w:snapToGrid/>
        </w:rPr>
        <w:t xml:space="preserve">) </w:t>
      </w:r>
      <w:r>
        <w:rPr>
          <w:rFonts w:hint="eastAsia"/>
          <w:snapToGrid/>
        </w:rPr>
        <w:t>增加到</w:t>
      </w:r>
      <w:r>
        <w:rPr>
          <w:snapToGrid/>
        </w:rPr>
        <w:t>505,394 </w:t>
      </w:r>
      <w:r>
        <w:rPr>
          <w:rFonts w:hint="eastAsia"/>
          <w:snapToGrid/>
        </w:rPr>
        <w:t>比索</w:t>
      </w:r>
      <w:r>
        <w:rPr>
          <w:snapToGrid/>
        </w:rPr>
        <w:t>(1,098</w:t>
      </w:r>
      <w:r>
        <w:rPr>
          <w:rFonts w:hint="eastAsia"/>
          <w:snapToGrid/>
        </w:rPr>
        <w:t>美元</w:t>
      </w:r>
      <w:r>
        <w:rPr>
          <w:snapToGrid/>
        </w:rPr>
        <w:t>)</w:t>
      </w:r>
      <w:r>
        <w:rPr>
          <w:rFonts w:hint="eastAsia"/>
          <w:snapToGrid/>
        </w:rPr>
        <w:t>，这是有</w:t>
      </w:r>
      <w:r>
        <w:rPr>
          <w:rFonts w:hint="eastAsia"/>
          <w:snapToGrid/>
        </w:rPr>
        <w:t>20</w:t>
      </w:r>
      <w:r>
        <w:rPr>
          <w:rFonts w:hint="eastAsia"/>
          <w:snapToGrid/>
        </w:rPr>
        <w:t>年教龄的任课教师的平均薪资。</w:t>
      </w:r>
      <w:r>
        <w:rPr>
          <w:rFonts w:hint="eastAsia"/>
          <w:snapToGrid/>
        </w:rPr>
        <w:t>1990</w:t>
      </w:r>
      <w:r>
        <w:rPr>
          <w:rFonts w:hint="eastAsia"/>
          <w:snapToGrid/>
        </w:rPr>
        <w:t>至</w:t>
      </w:r>
      <w:r>
        <w:rPr>
          <w:rFonts w:hint="eastAsia"/>
          <w:snapToGrid/>
        </w:rPr>
        <w:t>1999</w:t>
      </w:r>
      <w:r>
        <w:rPr>
          <w:rFonts w:hint="eastAsia"/>
          <w:snapToGrid/>
        </w:rPr>
        <w:t>年间，凡是每周工作</w:t>
      </w:r>
      <w:r>
        <w:rPr>
          <w:snapToGrid/>
        </w:rPr>
        <w:t>44</w:t>
      </w:r>
      <w:r>
        <w:rPr>
          <w:rFonts w:hint="eastAsia"/>
          <w:snapToGrid/>
        </w:rPr>
        <w:t>小时的，其平均薪资从</w:t>
      </w:r>
      <w:r>
        <w:rPr>
          <w:snapToGrid/>
        </w:rPr>
        <w:t>243,000 </w:t>
      </w:r>
      <w:r>
        <w:rPr>
          <w:rFonts w:hint="eastAsia"/>
          <w:snapToGrid/>
        </w:rPr>
        <w:t>比索</w:t>
      </w:r>
      <w:r>
        <w:rPr>
          <w:snapToGrid/>
        </w:rPr>
        <w:t>(797</w:t>
      </w:r>
      <w:r>
        <w:rPr>
          <w:rFonts w:hint="eastAsia"/>
          <w:snapToGrid/>
        </w:rPr>
        <w:t>美元</w:t>
      </w:r>
      <w:r>
        <w:rPr>
          <w:snapToGrid/>
        </w:rPr>
        <w:t>)</w:t>
      </w:r>
      <w:r>
        <w:rPr>
          <w:rFonts w:hint="eastAsia"/>
          <w:snapToGrid/>
        </w:rPr>
        <w:t>增加为</w:t>
      </w:r>
      <w:r>
        <w:rPr>
          <w:snapToGrid/>
        </w:rPr>
        <w:t>541,000</w:t>
      </w:r>
      <w:r>
        <w:rPr>
          <w:rFonts w:hint="eastAsia"/>
          <w:snapToGrid/>
        </w:rPr>
        <w:t>比索</w:t>
      </w:r>
      <w:r>
        <w:rPr>
          <w:snapToGrid/>
        </w:rPr>
        <w:t>(1,063.3</w:t>
      </w:r>
      <w:r>
        <w:rPr>
          <w:rFonts w:hint="eastAsia"/>
          <w:snapToGrid/>
        </w:rPr>
        <w:t>美元</w:t>
      </w:r>
      <w:r>
        <w:rPr>
          <w:snapToGrid/>
        </w:rPr>
        <w:t>)</w:t>
      </w:r>
      <w:r>
        <w:rPr>
          <w:snapToGrid/>
        </w:rPr>
        <w:t>，</w:t>
      </w:r>
      <w:r>
        <w:rPr>
          <w:rFonts w:hint="eastAsia"/>
          <w:snapToGrid/>
        </w:rPr>
        <w:t>其最低薪资则从</w:t>
      </w:r>
      <w:r>
        <w:rPr>
          <w:snapToGrid/>
        </w:rPr>
        <w:t>130,000</w:t>
      </w:r>
      <w:r>
        <w:rPr>
          <w:rFonts w:hint="eastAsia"/>
          <w:snapToGrid/>
        </w:rPr>
        <w:t>比索</w:t>
      </w:r>
      <w:r>
        <w:rPr>
          <w:snapToGrid/>
        </w:rPr>
        <w:t>(426.4</w:t>
      </w:r>
      <w:r>
        <w:rPr>
          <w:rFonts w:hint="eastAsia"/>
          <w:snapToGrid/>
        </w:rPr>
        <w:t>美元</w:t>
      </w:r>
      <w:r>
        <w:rPr>
          <w:snapToGrid/>
        </w:rPr>
        <w:t>)</w:t>
      </w:r>
      <w:r>
        <w:rPr>
          <w:rFonts w:hint="eastAsia"/>
          <w:snapToGrid/>
        </w:rPr>
        <w:t>增加为</w:t>
      </w:r>
      <w:r>
        <w:rPr>
          <w:snapToGrid/>
        </w:rPr>
        <w:t>341,000 </w:t>
      </w:r>
      <w:r>
        <w:rPr>
          <w:rFonts w:hint="eastAsia"/>
          <w:snapToGrid/>
        </w:rPr>
        <w:t>比索</w:t>
      </w:r>
      <w:r>
        <w:rPr>
          <w:snapToGrid/>
        </w:rPr>
        <w:t>(670.2</w:t>
      </w:r>
      <w:r>
        <w:rPr>
          <w:rFonts w:hint="eastAsia"/>
          <w:snapToGrid/>
        </w:rPr>
        <w:t>美元</w:t>
      </w:r>
      <w:r>
        <w:rPr>
          <w:snapToGrid/>
        </w:rPr>
        <w:t>)</w:t>
      </w:r>
      <w:r>
        <w:rPr>
          <w:rFonts w:hint="eastAsia"/>
          <w:snapToGrid/>
        </w:rPr>
        <w:t>。</w:t>
      </w:r>
    </w:p>
    <w:p w:rsidR="00000000" w:rsidRDefault="009C1C61">
      <w:pPr>
        <w:rPr>
          <w:snapToGrid/>
        </w:rPr>
      </w:pPr>
      <w:r>
        <w:rPr>
          <w:rFonts w:hint="eastAsia"/>
          <w:snapToGrid/>
        </w:rPr>
        <w:tab/>
      </w:r>
      <w:r>
        <w:rPr>
          <w:snapToGrid/>
        </w:rPr>
        <w:t>800.</w:t>
      </w:r>
      <w:r>
        <w:rPr>
          <w:rFonts w:hint="eastAsia"/>
          <w:snapToGrid/>
        </w:rPr>
        <w:t xml:space="preserve">  </w:t>
      </w:r>
      <w:r>
        <w:rPr>
          <w:rFonts w:hint="eastAsia"/>
          <w:snapToGrid/>
        </w:rPr>
        <w:t>除上述</w:t>
      </w:r>
      <w:r>
        <w:rPr>
          <w:rFonts w:hint="eastAsia"/>
          <w:snapToGrid/>
        </w:rPr>
        <w:t>普遍加薪的情况以外，还为教师的集体和个人表现颁发各种奖金。这种奖励之一是在受补贴的教育机构对每一大区中被确认为“表现杰出的”教师队伍发放为期两年的奖金，按照法律规定的教育机构业绩鉴定特设办法办理。</w:t>
      </w:r>
      <w:r>
        <w:rPr>
          <w:rStyle w:val="FootnoteReference"/>
          <w:snapToGrid/>
        </w:rPr>
        <w:footnoteReference w:id="320"/>
      </w:r>
      <w:r>
        <w:rPr>
          <w:snapToGrid/>
        </w:rPr>
        <w:t xml:space="preserve"> </w:t>
      </w:r>
      <w:r>
        <w:rPr>
          <w:rFonts w:hint="eastAsia"/>
          <w:snapToGrid/>
        </w:rPr>
        <w:t>向</w:t>
      </w:r>
      <w:r>
        <w:rPr>
          <w:rFonts w:hint="eastAsia"/>
          <w:snapToGrid/>
        </w:rPr>
        <w:t>1,815</w:t>
      </w:r>
      <w:r>
        <w:rPr>
          <w:rFonts w:hint="eastAsia"/>
          <w:snapToGrid/>
        </w:rPr>
        <w:t>所学校的</w:t>
      </w:r>
      <w:r>
        <w:rPr>
          <w:snapToGrid/>
        </w:rPr>
        <w:t>30,300</w:t>
      </w:r>
      <w:r>
        <w:rPr>
          <w:rFonts w:hint="eastAsia"/>
          <w:snapToGrid/>
        </w:rPr>
        <w:t>名教师发放了这种奖金，平均每年领取的数额为</w:t>
      </w:r>
      <w:r>
        <w:rPr>
          <w:snapToGrid/>
        </w:rPr>
        <w:t>278,000</w:t>
      </w:r>
      <w:r>
        <w:rPr>
          <w:rFonts w:hint="eastAsia"/>
          <w:snapToGrid/>
        </w:rPr>
        <w:t>比索</w:t>
      </w:r>
      <w:r>
        <w:rPr>
          <w:snapToGrid/>
        </w:rPr>
        <w:t>(515.3</w:t>
      </w:r>
      <w:r>
        <w:rPr>
          <w:rFonts w:hint="eastAsia"/>
          <w:snapToGrid/>
        </w:rPr>
        <w:t>美元</w:t>
      </w:r>
      <w:r>
        <w:rPr>
          <w:snapToGrid/>
        </w:rPr>
        <w:t>)</w:t>
      </w:r>
      <w:r>
        <w:rPr>
          <w:rFonts w:hint="eastAsia"/>
          <w:snapToGrid/>
        </w:rPr>
        <w:t>。</w:t>
      </w:r>
      <w:r>
        <w:rPr>
          <w:rStyle w:val="FootnoteReference"/>
          <w:snapToGrid/>
        </w:rPr>
        <w:footnoteReference w:id="321"/>
      </w:r>
    </w:p>
    <w:p w:rsidR="00000000" w:rsidRDefault="009C1C61">
      <w:pPr>
        <w:rPr>
          <w:rFonts w:hint="eastAsia"/>
          <w:snapToGrid/>
        </w:rPr>
      </w:pPr>
      <w:r>
        <w:rPr>
          <w:rFonts w:hint="eastAsia"/>
          <w:snapToGrid/>
        </w:rPr>
        <w:tab/>
      </w:r>
      <w:r>
        <w:rPr>
          <w:snapToGrid/>
        </w:rPr>
        <w:t>801.</w:t>
      </w:r>
      <w:r>
        <w:rPr>
          <w:rFonts w:hint="eastAsia"/>
          <w:snapToGrid/>
        </w:rPr>
        <w:t xml:space="preserve">  </w:t>
      </w:r>
      <w:r>
        <w:rPr>
          <w:rFonts w:hint="eastAsia"/>
          <w:snapToGrid/>
        </w:rPr>
        <w:t>改善教师的专业业绩的另一种鼓励方式是按照共和国总统的倡议，向各大区和各种教育形式中最值得奖赏的各级教师颁发优秀奖，由合格的评判小组评选。从</w:t>
      </w:r>
      <w:r>
        <w:rPr>
          <w:snapToGrid/>
        </w:rPr>
        <w:t>1997</w:t>
      </w:r>
      <w:r>
        <w:rPr>
          <w:rFonts w:hint="eastAsia"/>
          <w:snapToGrid/>
        </w:rPr>
        <w:t>年开始，每年颁发</w:t>
      </w:r>
      <w:r>
        <w:rPr>
          <w:snapToGrid/>
        </w:rPr>
        <w:t>50</w:t>
      </w:r>
      <w:r>
        <w:rPr>
          <w:rFonts w:hint="eastAsia"/>
          <w:snapToGrid/>
        </w:rPr>
        <w:t>个这类奖项，每一</w:t>
      </w:r>
      <w:r>
        <w:rPr>
          <w:rFonts w:hint="eastAsia"/>
          <w:snapToGrid/>
        </w:rPr>
        <w:t>奖项价值约为</w:t>
      </w:r>
      <w:r>
        <w:rPr>
          <w:snapToGrid/>
        </w:rPr>
        <w:t>10,000</w:t>
      </w:r>
      <w:r>
        <w:rPr>
          <w:rFonts w:hint="eastAsia"/>
          <w:snapToGrid/>
        </w:rPr>
        <w:t>美元。</w:t>
      </w:r>
    </w:p>
    <w:p w:rsidR="00000000" w:rsidRDefault="009C1C61">
      <w:pPr>
        <w:pStyle w:val="Heading4"/>
        <w:spacing w:before="180" w:after="120"/>
        <w:rPr>
          <w:rFonts w:ascii="Time New Roman" w:eastAsia="SimHei" w:hAnsi="Time New Roman" w:hint="eastAsia"/>
          <w:u w:val="none"/>
        </w:rPr>
      </w:pPr>
      <w:r>
        <w:rPr>
          <w:rFonts w:ascii="Time New Roman" w:eastAsia="SimHei" w:hAnsi="Time New Roman" w:hint="eastAsia"/>
          <w:u w:val="none"/>
        </w:rPr>
        <w:t>业务进修</w:t>
      </w:r>
    </w:p>
    <w:p w:rsidR="00000000" w:rsidRDefault="009C1C61">
      <w:pPr>
        <w:rPr>
          <w:rFonts w:hint="eastAsia"/>
          <w:snapToGrid/>
        </w:rPr>
      </w:pPr>
      <w:r>
        <w:rPr>
          <w:rFonts w:hint="eastAsia"/>
          <w:snapToGrid/>
        </w:rPr>
        <w:tab/>
      </w:r>
      <w:r>
        <w:rPr>
          <w:snapToGrid/>
        </w:rPr>
        <w:t>802.</w:t>
      </w:r>
      <w:r>
        <w:rPr>
          <w:rFonts w:hint="eastAsia"/>
          <w:snapToGrid/>
        </w:rPr>
        <w:t xml:space="preserve">  </w:t>
      </w:r>
      <w:r>
        <w:rPr>
          <w:rFonts w:hint="eastAsia"/>
          <w:snapToGrid/>
        </w:rPr>
        <w:t>批准《教育专业人员条例》的法律明文确认了教师有业务进修的权利，据此，在这方面取得了重大进展。</w:t>
      </w:r>
      <w:r>
        <w:rPr>
          <w:rStyle w:val="FootnoteReference"/>
          <w:snapToGrid/>
        </w:rPr>
        <w:footnoteReference w:id="322"/>
      </w:r>
      <w:r>
        <w:rPr>
          <w:snapToGrid/>
        </w:rPr>
        <w:t xml:space="preserve"> </w:t>
      </w:r>
      <w:r>
        <w:rPr>
          <w:rFonts w:hint="eastAsia"/>
          <w:snapToGrid/>
        </w:rPr>
        <w:t>1997</w:t>
      </w:r>
      <w:r>
        <w:rPr>
          <w:rFonts w:hint="eastAsia"/>
          <w:snapToGrid/>
        </w:rPr>
        <w:t>年夏季以来，教育部会同各大学和另一些受到认可的学术团体，以小学一至五年级的教师为对象，免费开办了关于新学习方案的入门进修课程，并在</w:t>
      </w:r>
      <w:r>
        <w:rPr>
          <w:snapToGrid/>
        </w:rPr>
        <w:t>1998</w:t>
      </w:r>
      <w:r>
        <w:rPr>
          <w:rFonts w:hint="eastAsia"/>
          <w:snapToGrid/>
        </w:rPr>
        <w:t>年暑期向中学一年级教师免费教授同样课程。此外，还向采用教育部方案的教育机构的校长们提供进一步的培训机会。</w:t>
      </w:r>
      <w:r>
        <w:rPr>
          <w:snapToGrid/>
        </w:rPr>
        <w:t>1999</w:t>
      </w:r>
      <w:r>
        <w:rPr>
          <w:rFonts w:hint="eastAsia"/>
          <w:snapToGrid/>
        </w:rPr>
        <w:t>年有</w:t>
      </w:r>
      <w:r>
        <w:rPr>
          <w:snapToGrid/>
        </w:rPr>
        <w:t>40,000</w:t>
      </w:r>
      <w:r>
        <w:rPr>
          <w:rFonts w:hint="eastAsia"/>
          <w:snapToGrid/>
        </w:rPr>
        <w:t>名教师和校长从进修培训中获益。</w:t>
      </w:r>
    </w:p>
    <w:p w:rsidR="00000000" w:rsidRDefault="009C1C61">
      <w:pPr>
        <w:rPr>
          <w:rFonts w:hint="eastAsia"/>
          <w:snapToGrid/>
        </w:rPr>
      </w:pPr>
      <w:r>
        <w:rPr>
          <w:rFonts w:hint="eastAsia"/>
          <w:snapToGrid/>
        </w:rPr>
        <w:tab/>
      </w:r>
      <w:r>
        <w:rPr>
          <w:snapToGrid/>
        </w:rPr>
        <w:t>803.</w:t>
      </w:r>
      <w:r>
        <w:rPr>
          <w:rFonts w:hint="eastAsia"/>
          <w:snapToGrid/>
        </w:rPr>
        <w:t xml:space="preserve">  </w:t>
      </w:r>
      <w:r>
        <w:rPr>
          <w:snapToGrid/>
        </w:rPr>
        <w:t>1986</w:t>
      </w:r>
      <w:r>
        <w:rPr>
          <w:rFonts w:hint="eastAsia"/>
          <w:snapToGrid/>
        </w:rPr>
        <w:t>年，在对教师深造方案方面开始了一</w:t>
      </w:r>
      <w:r>
        <w:rPr>
          <w:rFonts w:hint="eastAsia"/>
          <w:snapToGrid/>
        </w:rPr>
        <w:t>个新阶段，设立了一个国外奖学金方案，分为进修或攻读文凭两种方式，优先照顾在全国受补贴教育系统工作的任课教师</w:t>
      </w:r>
      <w:r>
        <w:rPr>
          <w:snapToGrid/>
        </w:rPr>
        <w:t>。</w:t>
      </w:r>
      <w:r>
        <w:rPr>
          <w:rFonts w:hint="eastAsia"/>
          <w:snapToGrid/>
        </w:rPr>
        <w:t>攻读文凭课程分为在智利上课和在国外学习两段。</w:t>
      </w:r>
      <w:r>
        <w:rPr>
          <w:snapToGrid/>
        </w:rPr>
        <w:t>1996</w:t>
      </w:r>
      <w:r>
        <w:rPr>
          <w:rFonts w:hint="eastAsia"/>
          <w:snapToGrid/>
        </w:rPr>
        <w:t>至</w:t>
      </w:r>
      <w:r>
        <w:rPr>
          <w:snapToGrid/>
        </w:rPr>
        <w:t>1998</w:t>
      </w:r>
      <w:r>
        <w:rPr>
          <w:rFonts w:hint="eastAsia"/>
          <w:snapToGrid/>
        </w:rPr>
        <w:t>年间，从全国</w:t>
      </w:r>
      <w:r>
        <w:rPr>
          <w:rFonts w:hint="eastAsia"/>
          <w:snapToGrid/>
        </w:rPr>
        <w:t>13</w:t>
      </w:r>
      <w:r>
        <w:rPr>
          <w:rFonts w:hint="eastAsia"/>
          <w:snapToGrid/>
        </w:rPr>
        <w:t>个大区的</w:t>
      </w:r>
      <w:r>
        <w:rPr>
          <w:rFonts w:hint="eastAsia"/>
          <w:snapToGrid/>
        </w:rPr>
        <w:t>309</w:t>
      </w:r>
      <w:r>
        <w:rPr>
          <w:rFonts w:hint="eastAsia"/>
          <w:snapToGrid/>
        </w:rPr>
        <w:t>个城市选拔出来的</w:t>
      </w:r>
      <w:r>
        <w:rPr>
          <w:snapToGrid/>
        </w:rPr>
        <w:t>2,286</w:t>
      </w:r>
      <w:r>
        <w:rPr>
          <w:rFonts w:hint="eastAsia"/>
          <w:snapToGrid/>
        </w:rPr>
        <w:t>名教师领取了供进修和文凭课程的奖学金。</w:t>
      </w:r>
      <w:r>
        <w:rPr>
          <w:snapToGrid/>
        </w:rPr>
        <w:t>1999</w:t>
      </w:r>
      <w:r>
        <w:rPr>
          <w:rFonts w:hint="eastAsia"/>
          <w:snapToGrid/>
        </w:rPr>
        <w:t>年，大约又有</w:t>
      </w:r>
      <w:r>
        <w:rPr>
          <w:snapToGrid/>
        </w:rPr>
        <w:t>900</w:t>
      </w:r>
      <w:r>
        <w:rPr>
          <w:rFonts w:hint="eastAsia"/>
          <w:snapToGrid/>
        </w:rPr>
        <w:t>名教师领取这种奖学金，使领取奖学金的总人数达到</w:t>
      </w:r>
      <w:r>
        <w:rPr>
          <w:snapToGrid/>
        </w:rPr>
        <w:t>3,200</w:t>
      </w:r>
      <w:r>
        <w:rPr>
          <w:rFonts w:hint="eastAsia"/>
          <w:snapToGrid/>
        </w:rPr>
        <w:t>名。</w:t>
      </w:r>
    </w:p>
    <w:p w:rsidR="00000000" w:rsidRDefault="009C1C61">
      <w:pPr>
        <w:rPr>
          <w:snapToGrid/>
        </w:rPr>
      </w:pPr>
      <w:r>
        <w:rPr>
          <w:snapToGrid/>
        </w:rPr>
        <w:tab/>
        <w:t>804.</w:t>
      </w:r>
      <w:r>
        <w:rPr>
          <w:rFonts w:hint="eastAsia"/>
          <w:snapToGrid/>
        </w:rPr>
        <w:t xml:space="preserve">  </w:t>
      </w:r>
      <w:r>
        <w:rPr>
          <w:rFonts w:hint="eastAsia"/>
          <w:snapToGrid/>
        </w:rPr>
        <w:t>此外，还为非合同任用专业人员提供了在教育机构从事专业进修的机会。现将这些新机会载列如下：</w:t>
      </w:r>
    </w:p>
    <w:p w:rsidR="00000000" w:rsidRDefault="009C1C61">
      <w:pPr>
        <w:numPr>
          <w:ilvl w:val="0"/>
          <w:numId w:val="321"/>
        </w:numPr>
        <w:rPr>
          <w:snapToGrid/>
        </w:rPr>
      </w:pPr>
      <w:r>
        <w:rPr>
          <w:rFonts w:hint="eastAsia"/>
          <w:snapToGrid/>
        </w:rPr>
        <w:t>微型中心</w:t>
      </w:r>
      <w:r>
        <w:rPr>
          <w:rFonts w:hint="eastAsia"/>
          <w:snapToGrid/>
          <w:spacing w:val="-40"/>
        </w:rPr>
        <w:t>——</w:t>
      </w:r>
      <w:r>
        <w:rPr>
          <w:rFonts w:hint="eastAsia"/>
          <w:snapToGrid/>
        </w:rPr>
        <w:t>有来自乡村基本方案的</w:t>
      </w:r>
      <w:r>
        <w:rPr>
          <w:rFonts w:hint="eastAsia"/>
          <w:snapToGrid/>
        </w:rPr>
        <w:t>5000</w:t>
      </w:r>
      <w:r>
        <w:rPr>
          <w:rFonts w:hint="eastAsia"/>
          <w:snapToGrid/>
        </w:rPr>
        <w:t>多名教师参加，以</w:t>
      </w:r>
      <w:r>
        <w:rPr>
          <w:rFonts w:hint="eastAsia"/>
          <w:snapToGrid/>
        </w:rPr>
        <w:t>乡村教师为进一步培训对象，这些乡村教师所任教的学校只有一位、两位或三位教师。这些微型中心既可以缓解乡村地区教师的隔绝感，又可以帮助他们改善业绩，使用一种集体和反思的办法，为他们的学校拟订和执行一些富有创新性的项目。</w:t>
      </w:r>
    </w:p>
    <w:p w:rsidR="00000000" w:rsidRDefault="009C1C61">
      <w:pPr>
        <w:numPr>
          <w:ilvl w:val="0"/>
          <w:numId w:val="321"/>
        </w:numPr>
        <w:rPr>
          <w:snapToGrid/>
        </w:rPr>
      </w:pPr>
      <w:r>
        <w:rPr>
          <w:rFonts w:hint="eastAsia"/>
          <w:snapToGrid/>
        </w:rPr>
        <w:t>为</w:t>
      </w:r>
      <w:r>
        <w:rPr>
          <w:rFonts w:hint="eastAsia"/>
          <w:snapToGrid/>
        </w:rPr>
        <w:t>900</w:t>
      </w:r>
      <w:r>
        <w:rPr>
          <w:rFonts w:hint="eastAsia"/>
          <w:snapToGrid/>
        </w:rPr>
        <w:t>学校方案</w:t>
      </w:r>
      <w:r>
        <w:rPr>
          <w:rFonts w:hint="eastAsia"/>
          <w:snapToGrid/>
        </w:rPr>
        <w:t>(</w:t>
      </w:r>
      <w:r>
        <w:rPr>
          <w:snapToGrid/>
        </w:rPr>
        <w:t>P</w:t>
      </w:r>
      <w:r>
        <w:rPr>
          <w:snapToGrid/>
        </w:rPr>
        <w:noBreakHyphen/>
        <w:t>900</w:t>
      </w:r>
      <w:r>
        <w:rPr>
          <w:rFonts w:hint="eastAsia"/>
          <w:snapToGrid/>
        </w:rPr>
        <w:t>)</w:t>
      </w:r>
      <w:r>
        <w:rPr>
          <w:rFonts w:hint="eastAsia"/>
          <w:snapToGrid/>
        </w:rPr>
        <w:t>教师开办阅读、写作和数学讲习班，凡是参加</w:t>
      </w:r>
      <w:r>
        <w:rPr>
          <w:snapToGrid/>
        </w:rPr>
        <w:t>P-900</w:t>
      </w:r>
      <w:r>
        <w:rPr>
          <w:rFonts w:hint="eastAsia"/>
          <w:snapToGrid/>
        </w:rPr>
        <w:t>学校项目的小学教师都可以参加。</w:t>
      </w:r>
    </w:p>
    <w:p w:rsidR="00000000" w:rsidRDefault="009C1C61">
      <w:pPr>
        <w:numPr>
          <w:ilvl w:val="0"/>
          <w:numId w:val="321"/>
        </w:numPr>
        <w:rPr>
          <w:snapToGrid/>
        </w:rPr>
      </w:pPr>
      <w:r>
        <w:rPr>
          <w:rFonts w:hint="eastAsia"/>
          <w:snapToGrid/>
        </w:rPr>
        <w:t>教师参加链接网培训，训练他们使用计算机设备和程序以及在教授法和行政管理方面如何应用计算机设施。这种训练由属于链接网的大学提供。它也使教师有机会获取专业信息和为教师之间的联络沟通提供了网</w:t>
      </w:r>
      <w:r>
        <w:rPr>
          <w:rFonts w:hint="eastAsia"/>
          <w:snapToGrid/>
        </w:rPr>
        <w:t>络空间。</w:t>
      </w:r>
    </w:p>
    <w:p w:rsidR="00000000" w:rsidRDefault="009C1C61">
      <w:pPr>
        <w:numPr>
          <w:ilvl w:val="0"/>
          <w:numId w:val="321"/>
        </w:numPr>
        <w:rPr>
          <w:snapToGrid/>
        </w:rPr>
      </w:pPr>
      <w:r>
        <w:rPr>
          <w:rFonts w:hint="eastAsia"/>
          <w:snapToGrid/>
        </w:rPr>
        <w:t>教育质量提高方案</w:t>
      </w:r>
      <w:r>
        <w:rPr>
          <w:rFonts w:hint="eastAsia"/>
          <w:snapToGrid/>
        </w:rPr>
        <w:t>(</w:t>
      </w:r>
      <w:r>
        <w:rPr>
          <w:snapToGrid/>
        </w:rPr>
        <w:t>MECE</w:t>
      </w:r>
      <w:r>
        <w:rPr>
          <w:rFonts w:hint="eastAsia"/>
          <w:snapToGrid/>
        </w:rPr>
        <w:t>)</w:t>
      </w:r>
      <w:r>
        <w:rPr>
          <w:rStyle w:val="FootnoteReference"/>
          <w:b w:val="0"/>
          <w:snapToGrid/>
        </w:rPr>
        <w:footnoteReference w:id="323"/>
      </w:r>
      <w:r>
        <w:rPr>
          <w:rStyle w:val="FootnoteReference"/>
          <w:snapToGrid/>
        </w:rPr>
        <w:t xml:space="preserve"> </w:t>
      </w:r>
      <w:r>
        <w:rPr>
          <w:rFonts w:hint="eastAsia"/>
          <w:snapToGrid/>
        </w:rPr>
        <w:t>媒体计划，为了支持所有中学的专业工作团体，主要是在教学时间内就教学方法进行两个小时的讨论，有一次进行了两个星期。以手册和技术指南的形式为这种活动的开展提供便利。此外，还提供了若干学科或个别课目的单元，并就参与式活动和方法提出建议。</w:t>
      </w:r>
      <w:r>
        <w:rPr>
          <w:snapToGrid/>
        </w:rPr>
        <w:t>1998</w:t>
      </w:r>
      <w:r>
        <w:rPr>
          <w:rFonts w:hint="eastAsia"/>
          <w:snapToGrid/>
        </w:rPr>
        <w:t>年，参加这个计划的教师超过</w:t>
      </w:r>
      <w:r>
        <w:rPr>
          <w:snapToGrid/>
        </w:rPr>
        <w:t>25,000</w:t>
      </w:r>
      <w:r>
        <w:rPr>
          <w:rFonts w:hint="eastAsia"/>
          <w:snapToGrid/>
        </w:rPr>
        <w:t>名，这些教师在接受政府补贴的</w:t>
      </w:r>
      <w:r>
        <w:rPr>
          <w:rFonts w:hint="eastAsia"/>
          <w:snapToGrid/>
        </w:rPr>
        <w:t>1,028</w:t>
      </w:r>
      <w:r>
        <w:rPr>
          <w:rFonts w:hint="eastAsia"/>
          <w:snapToGrid/>
        </w:rPr>
        <w:t>个大学组成了</w:t>
      </w:r>
      <w:r>
        <w:rPr>
          <w:snapToGrid/>
        </w:rPr>
        <w:t>2,700</w:t>
      </w:r>
      <w:r>
        <w:rPr>
          <w:rFonts w:hint="eastAsia"/>
          <w:snapToGrid/>
        </w:rPr>
        <w:t>个专业工作组。</w:t>
      </w:r>
    </w:p>
    <w:p w:rsidR="00000000" w:rsidRDefault="009C1C61">
      <w:pPr>
        <w:numPr>
          <w:ilvl w:val="0"/>
          <w:numId w:val="321"/>
        </w:numPr>
        <w:rPr>
          <w:snapToGrid/>
        </w:rPr>
      </w:pPr>
      <w:r>
        <w:rPr>
          <w:rFonts w:hint="eastAsia"/>
          <w:snapToGrid/>
        </w:rPr>
        <w:t>此外，还为专业进修提供了一个新机会，对部级监督采取崭新的办法，其目的是对教师和学校提供技术支助，而不是只把监督作为核查</w:t>
      </w:r>
      <w:r>
        <w:rPr>
          <w:rFonts w:hint="eastAsia"/>
          <w:snapToGrid/>
        </w:rPr>
        <w:t>履行准则情况的一种手段。</w:t>
      </w:r>
    </w:p>
    <w:p w:rsidR="00000000" w:rsidRDefault="009C1C61">
      <w:pPr>
        <w:spacing w:after="320"/>
        <w:rPr>
          <w:snapToGrid/>
        </w:rPr>
      </w:pPr>
      <w:r>
        <w:rPr>
          <w:snapToGrid/>
        </w:rPr>
        <w:tab/>
        <w:t xml:space="preserve">805.  </w:t>
      </w:r>
      <w:r>
        <w:rPr>
          <w:rFonts w:hint="eastAsia"/>
          <w:snapToGrid/>
        </w:rPr>
        <w:t>除了提高教师的专业水平以外</w:t>
      </w:r>
      <w:r>
        <w:rPr>
          <w:rFonts w:hint="eastAsia"/>
          <w:snapToGrid/>
          <w:lang w:val="en-GB"/>
        </w:rPr>
        <w:t>，这些新的</w:t>
      </w:r>
      <w:r>
        <w:rPr>
          <w:rFonts w:hint="eastAsia"/>
          <w:snapToGrid/>
        </w:rPr>
        <w:t>进修</w:t>
      </w:r>
      <w:r>
        <w:rPr>
          <w:rFonts w:hint="eastAsia"/>
          <w:snapToGrid/>
          <w:lang w:val="en-GB"/>
        </w:rPr>
        <w:t>机会有助于拟订新的教学方法，能够比较好地适应秉乘改革精神制定的课程。</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初始教师培训</w:t>
      </w:r>
    </w:p>
    <w:p w:rsidR="00000000" w:rsidRDefault="009C1C61">
      <w:pPr>
        <w:rPr>
          <w:snapToGrid/>
        </w:rPr>
      </w:pPr>
      <w:r>
        <w:rPr>
          <w:snapToGrid/>
          <w:lang w:val="en-GB"/>
        </w:rPr>
        <w:tab/>
      </w:r>
      <w:r>
        <w:rPr>
          <w:rFonts w:hint="eastAsia"/>
          <w:snapToGrid/>
          <w:lang w:val="en-GB"/>
        </w:rPr>
        <w:t xml:space="preserve">806.  </w:t>
      </w:r>
      <w:r>
        <w:rPr>
          <w:snapToGrid/>
        </w:rPr>
        <w:t>1996</w:t>
      </w:r>
      <w:r>
        <w:rPr>
          <w:rFonts w:hint="eastAsia"/>
          <w:snapToGrid/>
        </w:rPr>
        <w:t>年</w:t>
      </w:r>
      <w:r>
        <w:rPr>
          <w:rFonts w:hint="eastAsia"/>
          <w:snapToGrid/>
          <w:lang w:val="en-GB"/>
        </w:rPr>
        <w:t>，</w:t>
      </w:r>
      <w:r>
        <w:rPr>
          <w:rFonts w:hint="eastAsia"/>
          <w:snapToGrid/>
        </w:rPr>
        <w:t>智利政府为全面改进教师培训宣布了一个五年计划。为此邀请负责从事教师培训的机构提交至少包括下列几个方面的创新性项目：其学术工作人员的进修问题；按合同任用顾问或访问教师的办法；改善图书馆和教育用计算的方法；对优秀学生发放奖学金；制订教育从业人员和其他学术从业人员之间的合作协定，以便帮助未来的教师更新他们对于打算执教的科目的知</w:t>
      </w:r>
      <w:r>
        <w:rPr>
          <w:rFonts w:hint="eastAsia"/>
          <w:snapToGrid/>
        </w:rPr>
        <w:t>识；在本区域内的教育机构和学校之间建立工作协定，以便对后者提供技术支助，同时提高他们对于学校状况的认识；并且改善学生在主修教育学分时所从事的、有人辅导的实习工作。</w:t>
      </w:r>
    </w:p>
    <w:p w:rsidR="00000000" w:rsidRDefault="009C1C61">
      <w:pPr>
        <w:rPr>
          <w:snapToGrid/>
        </w:rPr>
      </w:pPr>
      <w:r>
        <w:rPr>
          <w:snapToGrid/>
        </w:rPr>
        <w:tab/>
        <w:t xml:space="preserve">807.  </w:t>
      </w:r>
      <w:r>
        <w:rPr>
          <w:rFonts w:hint="eastAsia"/>
          <w:snapToGrid/>
        </w:rPr>
        <w:t>从提交了项目的</w:t>
      </w:r>
      <w:r>
        <w:rPr>
          <w:snapToGrid/>
        </w:rPr>
        <w:t>32</w:t>
      </w:r>
      <w:r>
        <w:rPr>
          <w:rFonts w:hint="eastAsia"/>
          <w:snapToGrid/>
        </w:rPr>
        <w:t>所大学和研究所中甄选出</w:t>
      </w:r>
      <w:r>
        <w:rPr>
          <w:snapToGrid/>
        </w:rPr>
        <w:t>17</w:t>
      </w:r>
      <w:r>
        <w:rPr>
          <w:rFonts w:hint="eastAsia"/>
          <w:snapToGrid/>
        </w:rPr>
        <w:t>个，合计占修习课程注册学生总数</w:t>
      </w:r>
      <w:r>
        <w:rPr>
          <w:snapToGrid/>
        </w:rPr>
        <w:t>80%</w:t>
      </w:r>
      <w:r>
        <w:rPr>
          <w:rFonts w:hint="eastAsia"/>
          <w:snapToGrid/>
        </w:rPr>
        <w:t>以上。为了执行这些项目，教育部拨出</w:t>
      </w:r>
      <w:r>
        <w:rPr>
          <w:rFonts w:hint="eastAsia"/>
          <w:snapToGrid/>
        </w:rPr>
        <w:t>2,500</w:t>
      </w:r>
      <w:r>
        <w:rPr>
          <w:rFonts w:hint="eastAsia"/>
          <w:snapToGrid/>
        </w:rPr>
        <w:t>万美元预算款项，用于为期四年的投资。除这笔总额以外，还要动用各大学已经承诺为同一项目和同一时期支付的内部资源。合计起来，教育部和各大学将在</w:t>
      </w:r>
      <w:r>
        <w:rPr>
          <w:rFonts w:hint="eastAsia"/>
          <w:snapToGrid/>
        </w:rPr>
        <w:t>1998</w:t>
      </w:r>
      <w:r>
        <w:rPr>
          <w:rFonts w:hint="eastAsia"/>
          <w:snapToGrid/>
        </w:rPr>
        <w:t>至</w:t>
      </w:r>
      <w:r>
        <w:rPr>
          <w:rFonts w:hint="eastAsia"/>
          <w:snapToGrid/>
        </w:rPr>
        <w:t>2001</w:t>
      </w:r>
      <w:r>
        <w:rPr>
          <w:rFonts w:hint="eastAsia"/>
          <w:snapToGrid/>
        </w:rPr>
        <w:t>年间投资</w:t>
      </w:r>
      <w:r>
        <w:rPr>
          <w:snapToGrid/>
        </w:rPr>
        <w:t>20,455,507</w:t>
      </w:r>
      <w:r>
        <w:rPr>
          <w:rFonts w:hint="eastAsia"/>
          <w:snapToGrid/>
        </w:rPr>
        <w:t>比索</w:t>
      </w:r>
      <w:r>
        <w:rPr>
          <w:snapToGrid/>
        </w:rPr>
        <w:t>(37,916,378</w:t>
      </w:r>
      <w:r>
        <w:rPr>
          <w:rFonts w:hint="eastAsia"/>
          <w:snapToGrid/>
        </w:rPr>
        <w:t>美元</w:t>
      </w:r>
      <w:r>
        <w:rPr>
          <w:snapToGrid/>
        </w:rPr>
        <w:t>)</w:t>
      </w:r>
      <w:r>
        <w:rPr>
          <w:rFonts w:hint="eastAsia"/>
          <w:snapToGrid/>
        </w:rPr>
        <w:t>。</w:t>
      </w:r>
    </w:p>
    <w:p w:rsidR="00000000" w:rsidRDefault="009C1C61">
      <w:pPr>
        <w:rPr>
          <w:snapToGrid/>
          <w:spacing w:val="6"/>
        </w:rPr>
      </w:pPr>
      <w:r>
        <w:rPr>
          <w:snapToGrid/>
          <w:spacing w:val="6"/>
        </w:rPr>
        <w:tab/>
        <w:t>808.  1998</w:t>
      </w:r>
      <w:r>
        <w:rPr>
          <w:rFonts w:hint="eastAsia"/>
          <w:snapToGrid/>
          <w:spacing w:val="6"/>
        </w:rPr>
        <w:t>年，为师资培训学生开办了一个奖学金方案，以此吸引在大学入学考试中得到高分的学生、或在中学教育中取得高分的学生、或有过教学经验的学生。</w:t>
      </w:r>
      <w:r>
        <w:rPr>
          <w:snapToGrid/>
          <w:spacing w:val="6"/>
        </w:rPr>
        <w:t>1998</w:t>
      </w:r>
      <w:r>
        <w:rPr>
          <w:rFonts w:hint="eastAsia"/>
          <w:snapToGrid/>
          <w:spacing w:val="6"/>
        </w:rPr>
        <w:t>年，在</w:t>
      </w:r>
      <w:r>
        <w:rPr>
          <w:snapToGrid/>
          <w:spacing w:val="6"/>
        </w:rPr>
        <w:t>633</w:t>
      </w:r>
      <w:r>
        <w:rPr>
          <w:rFonts w:hint="eastAsia"/>
          <w:snapToGrid/>
          <w:spacing w:val="6"/>
        </w:rPr>
        <w:t>名申请者中录取了</w:t>
      </w:r>
      <w:r>
        <w:rPr>
          <w:snapToGrid/>
          <w:spacing w:val="6"/>
        </w:rPr>
        <w:t>179</w:t>
      </w:r>
      <w:r>
        <w:rPr>
          <w:rFonts w:hint="eastAsia"/>
          <w:snapToGrid/>
          <w:spacing w:val="6"/>
        </w:rPr>
        <w:t>名，最后只有</w:t>
      </w:r>
      <w:r>
        <w:rPr>
          <w:snapToGrid/>
          <w:spacing w:val="6"/>
        </w:rPr>
        <w:t>122</w:t>
      </w:r>
      <w:r>
        <w:rPr>
          <w:rFonts w:hint="eastAsia"/>
          <w:snapToGrid/>
          <w:spacing w:val="6"/>
        </w:rPr>
        <w:t>名加入了这一行业。</w:t>
      </w:r>
      <w:r>
        <w:rPr>
          <w:snapToGrid/>
          <w:spacing w:val="6"/>
        </w:rPr>
        <w:t>1999</w:t>
      </w:r>
      <w:r>
        <w:rPr>
          <w:rFonts w:hint="eastAsia"/>
          <w:snapToGrid/>
          <w:spacing w:val="6"/>
        </w:rPr>
        <w:t>学术年度</w:t>
      </w:r>
      <w:r>
        <w:rPr>
          <w:snapToGrid/>
          <w:spacing w:val="6"/>
        </w:rPr>
        <w:t>，</w:t>
      </w:r>
      <w:r>
        <w:rPr>
          <w:rFonts w:hint="eastAsia"/>
          <w:snapToGrid/>
          <w:spacing w:val="6"/>
        </w:rPr>
        <w:t>有</w:t>
      </w:r>
      <w:r>
        <w:rPr>
          <w:snapToGrid/>
          <w:spacing w:val="6"/>
        </w:rPr>
        <w:t>1,944</w:t>
      </w:r>
      <w:r>
        <w:rPr>
          <w:rFonts w:hint="eastAsia"/>
          <w:snapToGrid/>
          <w:spacing w:val="6"/>
        </w:rPr>
        <w:t>年青人申请，从中录取了</w:t>
      </w:r>
      <w:r>
        <w:rPr>
          <w:snapToGrid/>
          <w:spacing w:val="6"/>
        </w:rPr>
        <w:t>265</w:t>
      </w:r>
      <w:r>
        <w:rPr>
          <w:rFonts w:hint="eastAsia"/>
          <w:snapToGrid/>
          <w:spacing w:val="6"/>
        </w:rPr>
        <w:t>名；结果有</w:t>
      </w:r>
      <w:r>
        <w:rPr>
          <w:snapToGrid/>
          <w:spacing w:val="6"/>
        </w:rPr>
        <w:t>232</w:t>
      </w:r>
      <w:r>
        <w:rPr>
          <w:rFonts w:hint="eastAsia"/>
          <w:snapToGrid/>
          <w:spacing w:val="6"/>
        </w:rPr>
        <w:t>名到师资班注册入学。</w:t>
      </w:r>
    </w:p>
    <w:p w:rsidR="00000000" w:rsidRDefault="009C1C61">
      <w:pPr>
        <w:pStyle w:val="Heading4"/>
        <w:spacing w:before="240" w:after="120"/>
        <w:rPr>
          <w:rFonts w:ascii="Time New Roman" w:eastAsia="SimHei" w:hAnsi="Time New Roman" w:hint="eastAsia"/>
          <w:u w:val="none"/>
        </w:rPr>
      </w:pPr>
      <w:r>
        <w:rPr>
          <w:rFonts w:ascii="Time New Roman" w:eastAsia="SimHei" w:hAnsi="Time New Roman" w:hint="eastAsia"/>
          <w:u w:val="none"/>
        </w:rPr>
        <w:t>私立机构</w:t>
      </w:r>
      <w:r>
        <w:rPr>
          <w:rFonts w:ascii="Time New Roman" w:eastAsia="SimHei" w:hAnsi="Time New Roman"/>
          <w:u w:val="none"/>
        </w:rPr>
        <w:t>：</w:t>
      </w:r>
      <w:r>
        <w:rPr>
          <w:rFonts w:ascii="Time New Roman" w:eastAsia="SimHei" w:hAnsi="Time New Roman" w:hint="eastAsia"/>
          <w:u w:val="none"/>
        </w:rPr>
        <w:t>获得正式承认的必要条件</w:t>
      </w:r>
    </w:p>
    <w:p w:rsidR="00000000" w:rsidRDefault="009C1C61">
      <w:pPr>
        <w:rPr>
          <w:snapToGrid/>
        </w:rPr>
      </w:pPr>
      <w:r>
        <w:rPr>
          <w:rFonts w:hint="eastAsia"/>
          <w:snapToGrid/>
        </w:rPr>
        <w:tab/>
      </w:r>
      <w:r>
        <w:rPr>
          <w:snapToGrid/>
        </w:rPr>
        <w:t xml:space="preserve">809.  </w:t>
      </w:r>
      <w:r>
        <w:rPr>
          <w:rFonts w:hint="eastAsia"/>
          <w:snapToGrid/>
        </w:rPr>
        <w:t>从事中小学教育的机构有</w:t>
      </w:r>
      <w:r>
        <w:rPr>
          <w:snapToGrid/>
        </w:rPr>
        <w:t>40.4%</w:t>
      </w:r>
      <w:r>
        <w:rPr>
          <w:rFonts w:hint="eastAsia"/>
          <w:snapToGrid/>
        </w:rPr>
        <w:t>是私立学校。占学生总数的</w:t>
      </w:r>
      <w:r>
        <w:rPr>
          <w:snapToGrid/>
        </w:rPr>
        <w:t>34.4%</w:t>
      </w:r>
      <w:r>
        <w:rPr>
          <w:rFonts w:hint="eastAsia"/>
          <w:snapToGrid/>
        </w:rPr>
        <w:t>，另外</w:t>
      </w:r>
      <w:r>
        <w:rPr>
          <w:snapToGrid/>
        </w:rPr>
        <w:t>59.6%</w:t>
      </w:r>
      <w:r>
        <w:rPr>
          <w:rFonts w:hint="eastAsia"/>
          <w:snapToGrid/>
        </w:rPr>
        <w:t>为公立学校学生。</w:t>
      </w:r>
    </w:p>
    <w:p w:rsidR="00000000" w:rsidRDefault="009C1C61">
      <w:pPr>
        <w:spacing w:after="320"/>
        <w:rPr>
          <w:snapToGrid/>
        </w:rPr>
      </w:pPr>
      <w:r>
        <w:rPr>
          <w:snapToGrid/>
        </w:rPr>
        <w:tab/>
        <w:t xml:space="preserve">810.  </w:t>
      </w:r>
      <w:r>
        <w:rPr>
          <w:rFonts w:hint="eastAsia"/>
          <w:snapToGrid/>
        </w:rPr>
        <w:t>自从《</w:t>
      </w:r>
      <w:r>
        <w:rPr>
          <w:snapToGrid/>
        </w:rPr>
        <w:t>183</w:t>
      </w:r>
      <w:r>
        <w:rPr>
          <w:snapToGrid/>
        </w:rPr>
        <w:t>3</w:t>
      </w:r>
      <w:r>
        <w:rPr>
          <w:rFonts w:hint="eastAsia"/>
          <w:snapToGrid/>
        </w:rPr>
        <w:t>年宪法》通过以来，教育自由的法律原则已经在智利伸张，</w:t>
      </w:r>
      <w:r>
        <w:rPr>
          <w:rFonts w:hint="eastAsia"/>
          <w:snapToGrid/>
        </w:rPr>
        <w:t>1980</w:t>
      </w:r>
      <w:r>
        <w:rPr>
          <w:rFonts w:hint="eastAsia"/>
          <w:snapToGrid/>
        </w:rPr>
        <w:t>年通过的《宪法》进一步确认了这一点。凡是居住在智利的国民都有权利开办和维持教育机构。但是，申请认可的私立学校在获得正式承认以前，必须符合法律规定的一些必要条件。根据认证的规则，国家对承担责任的发起人所支助的私立学校给予承认，该校所遵循的计划和方案必须符合中小学教育的基本目标和最低限度的义务教育内容，雇用合格的工作人员，其基础设施和设备必须符合规定。</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国际援助</w:t>
      </w:r>
    </w:p>
    <w:p w:rsidR="00000000" w:rsidRDefault="009C1C61">
      <w:pPr>
        <w:rPr>
          <w:snapToGrid/>
        </w:rPr>
      </w:pPr>
      <w:r>
        <w:rPr>
          <w:snapToGrid/>
        </w:rPr>
        <w:tab/>
        <w:t xml:space="preserve">811.  </w:t>
      </w:r>
      <w:r>
        <w:rPr>
          <w:rFonts w:hint="eastAsia"/>
          <w:snapToGrid/>
        </w:rPr>
        <w:t>随着智利的经济增长</w:t>
      </w:r>
      <w:r>
        <w:rPr>
          <w:rFonts w:hint="eastAsia"/>
          <w:snapToGrid/>
          <w:lang w:val="en-GB"/>
        </w:rPr>
        <w:t>，在加强社会政策方面取得成就，逐渐在金融、政治和技术方面</w:t>
      </w:r>
      <w:r>
        <w:rPr>
          <w:rFonts w:hint="eastAsia"/>
          <w:snapToGrid/>
          <w:lang w:val="en-GB"/>
        </w:rPr>
        <w:t>建设起以本国资源处理本国问题的能力。因此，相对而言，国际援助的重要性已有减少的趋势。</w:t>
      </w:r>
    </w:p>
    <w:p w:rsidR="00000000" w:rsidRDefault="009C1C61">
      <w:pPr>
        <w:rPr>
          <w:snapToGrid/>
        </w:rPr>
      </w:pPr>
      <w:r>
        <w:rPr>
          <w:snapToGrid/>
        </w:rPr>
        <w:tab/>
        <w:t xml:space="preserve">812.  </w:t>
      </w:r>
      <w:r>
        <w:rPr>
          <w:rFonts w:hint="eastAsia"/>
          <w:snapToGrid/>
        </w:rPr>
        <w:t>就教育情况来说，智利具备了成为联合国教育、科学与文化组织</w:t>
      </w:r>
      <w:r>
        <w:rPr>
          <w:rFonts w:hint="eastAsia"/>
          <w:snapToGrid/>
        </w:rPr>
        <w:t>(</w:t>
      </w:r>
      <w:r>
        <w:rPr>
          <w:rFonts w:hint="eastAsia"/>
          <w:snapToGrid/>
        </w:rPr>
        <w:t>教科文组织</w:t>
      </w:r>
      <w:r>
        <w:rPr>
          <w:rFonts w:hint="eastAsia"/>
          <w:snapToGrid/>
        </w:rPr>
        <w:t>)</w:t>
      </w:r>
      <w:r>
        <w:rPr>
          <w:rFonts w:hint="eastAsia"/>
          <w:snapToGrid/>
        </w:rPr>
        <w:t>、联合国儿童基金会</w:t>
      </w:r>
      <w:r>
        <w:rPr>
          <w:rFonts w:hint="eastAsia"/>
          <w:snapToGrid/>
        </w:rPr>
        <w:t>(</w:t>
      </w:r>
      <w:r>
        <w:rPr>
          <w:rFonts w:hint="eastAsia"/>
          <w:snapToGrid/>
        </w:rPr>
        <w:t>儿童基金会</w:t>
      </w:r>
      <w:r>
        <w:rPr>
          <w:rFonts w:hint="eastAsia"/>
          <w:snapToGrid/>
        </w:rPr>
        <w:t>)</w:t>
      </w:r>
      <w:r>
        <w:rPr>
          <w:rFonts w:hint="eastAsia"/>
          <w:snapToGrid/>
        </w:rPr>
        <w:t>和拉丁美洲和加勒比经济委员会</w:t>
      </w:r>
      <w:r>
        <w:rPr>
          <w:rFonts w:hint="eastAsia"/>
          <w:snapToGrid/>
        </w:rPr>
        <w:t>(</w:t>
      </w:r>
      <w:r>
        <w:rPr>
          <w:rFonts w:hint="eastAsia"/>
          <w:snapToGrid/>
        </w:rPr>
        <w:t>拉加经委会</w:t>
      </w:r>
      <w:r>
        <w:rPr>
          <w:rFonts w:hint="eastAsia"/>
          <w:snapToGrid/>
        </w:rPr>
        <w:t>)</w:t>
      </w:r>
      <w:r>
        <w:rPr>
          <w:rFonts w:hint="eastAsia"/>
          <w:snapToGrid/>
        </w:rPr>
        <w:t>等若干主要区域或分区域办事处总部东道国的优势。这种实际距离上的接近，便于取得上述各组织所累积的专业知识和信息能力，它们在不同程度上使用各自的资源帮助解决智利社会政策的分析、拟订和执行问题。</w:t>
      </w:r>
    </w:p>
    <w:p w:rsidR="00000000" w:rsidRDefault="009C1C61">
      <w:pPr>
        <w:rPr>
          <w:snapToGrid/>
        </w:rPr>
      </w:pPr>
      <w:r>
        <w:rPr>
          <w:snapToGrid/>
        </w:rPr>
        <w:tab/>
        <w:t xml:space="preserve">813.  </w:t>
      </w:r>
      <w:r>
        <w:rPr>
          <w:rFonts w:hint="eastAsia"/>
          <w:snapToGrid/>
        </w:rPr>
        <w:t>更具体地说，</w:t>
      </w:r>
      <w:r>
        <w:rPr>
          <w:rFonts w:hint="eastAsia"/>
          <w:snapToGrid/>
        </w:rPr>
        <w:t>1990</w:t>
      </w:r>
      <w:r>
        <w:rPr>
          <w:rFonts w:hint="eastAsia"/>
          <w:snapToGrid/>
        </w:rPr>
        <w:t>年代十年间在学校改善方案方面最具有象征意义的</w:t>
      </w:r>
      <w:r>
        <w:rPr>
          <w:rFonts w:hint="eastAsia"/>
          <w:snapToGrid/>
        </w:rPr>
        <w:t>是</w:t>
      </w:r>
      <w:r>
        <w:rPr>
          <w:snapToGrid/>
        </w:rPr>
        <w:t>900</w:t>
      </w:r>
      <w:r>
        <w:rPr>
          <w:rFonts w:hint="eastAsia"/>
          <w:snapToGrid/>
        </w:rPr>
        <w:t>学校方案</w:t>
      </w:r>
      <w:r>
        <w:rPr>
          <w:snapToGrid/>
        </w:rPr>
        <w:t>(P-900)</w:t>
      </w:r>
      <w:r>
        <w:rPr>
          <w:rFonts w:hint="eastAsia"/>
          <w:snapToGrid/>
        </w:rPr>
        <w:t>，它是在丹麦和瑞典政府资助下开办的。目前，这个方案已经完全以本国经费资助。</w:t>
      </w:r>
    </w:p>
    <w:p w:rsidR="00000000" w:rsidRDefault="009C1C61">
      <w:pPr>
        <w:spacing w:after="320"/>
        <w:rPr>
          <w:snapToGrid/>
        </w:rPr>
      </w:pPr>
      <w:r>
        <w:rPr>
          <w:snapToGrid/>
        </w:rPr>
        <w:tab/>
        <w:t>814.  1992</w:t>
      </w:r>
      <w:r>
        <w:rPr>
          <w:rFonts w:hint="eastAsia"/>
          <w:snapToGrid/>
        </w:rPr>
        <w:t>年，教育部与世界银行开始建立了密切和持续的关系。</w:t>
      </w:r>
      <w:r>
        <w:rPr>
          <w:rFonts w:hint="eastAsia"/>
          <w:snapToGrid/>
        </w:rPr>
        <w:t>1992</w:t>
      </w:r>
      <w:r>
        <w:rPr>
          <w:rFonts w:hint="eastAsia"/>
          <w:snapToGrid/>
        </w:rPr>
        <w:t>至</w:t>
      </w:r>
      <w:r>
        <w:rPr>
          <w:rFonts w:hint="eastAsia"/>
          <w:snapToGrid/>
        </w:rPr>
        <w:t>1997</w:t>
      </w:r>
      <w:r>
        <w:rPr>
          <w:rFonts w:hint="eastAsia"/>
          <w:snapToGrid/>
        </w:rPr>
        <w:t>年间，使用了世界银行拨给的一项贷款，为“提高基础教育和学前教育质量和公平性方案”</w:t>
      </w:r>
      <w:r>
        <w:rPr>
          <w:rFonts w:hint="eastAsia"/>
          <w:snapToGrid/>
        </w:rPr>
        <w:t>(</w:t>
      </w:r>
      <w:r>
        <w:rPr>
          <w:rFonts w:hint="eastAsia"/>
          <w:snapToGrid/>
        </w:rPr>
        <w:t>称为“质量提高方案基础教育方案”</w:t>
      </w:r>
      <w:r>
        <w:rPr>
          <w:rFonts w:hint="eastAsia"/>
          <w:snapToGrid/>
        </w:rPr>
        <w:t>)</w:t>
      </w:r>
      <w:r>
        <w:rPr>
          <w:rFonts w:hint="eastAsia"/>
          <w:snapToGrid/>
        </w:rPr>
        <w:t>的大部分项目供资。</w:t>
      </w:r>
      <w:r>
        <w:rPr>
          <w:snapToGrid/>
        </w:rPr>
        <w:t>1995</w:t>
      </w:r>
      <w:r>
        <w:rPr>
          <w:rFonts w:hint="eastAsia"/>
          <w:snapToGrid/>
        </w:rPr>
        <w:t>年，为改善中学教育发起一项类似方案，这个方案</w:t>
      </w:r>
      <w:r>
        <w:rPr>
          <w:snapToGrid/>
        </w:rPr>
        <w:t>(</w:t>
      </w:r>
      <w:r>
        <w:rPr>
          <w:rFonts w:hint="eastAsia"/>
          <w:snapToGrid/>
        </w:rPr>
        <w:t>质量提高方案中学教育方案</w:t>
      </w:r>
      <w:r>
        <w:rPr>
          <w:snapToGrid/>
        </w:rPr>
        <w:t>)</w:t>
      </w:r>
      <w:r>
        <w:rPr>
          <w:rFonts w:hint="eastAsia"/>
          <w:snapToGrid/>
        </w:rPr>
        <w:t>要到</w:t>
      </w:r>
      <w:r>
        <w:rPr>
          <w:rFonts w:hint="eastAsia"/>
          <w:snapToGrid/>
        </w:rPr>
        <w:t>2000</w:t>
      </w:r>
      <w:r>
        <w:rPr>
          <w:rFonts w:hint="eastAsia"/>
          <w:snapToGrid/>
        </w:rPr>
        <w:t>年底才结束。在这个方案中，大部分经费来自智利本国的预算款项，智利本国主要获益于与银行的技术性</w:t>
      </w:r>
      <w:r>
        <w:rPr>
          <w:rFonts w:hint="eastAsia"/>
          <w:snapToGrid/>
        </w:rPr>
        <w:t>联系。</w:t>
      </w:r>
      <w:r>
        <w:rPr>
          <w:rFonts w:hint="eastAsia"/>
          <w:snapToGrid/>
        </w:rPr>
        <w:t>1998</w:t>
      </w:r>
      <w:r>
        <w:rPr>
          <w:rFonts w:hint="eastAsia"/>
          <w:snapToGrid/>
        </w:rPr>
        <w:t>年开始执行与该银行的第三项协定，着眼于改善大学教育</w:t>
      </w:r>
      <w:r>
        <w:rPr>
          <w:rFonts w:hint="eastAsia"/>
          <w:snapToGrid/>
        </w:rPr>
        <w:t>(</w:t>
      </w:r>
      <w:r>
        <w:rPr>
          <w:rFonts w:hint="eastAsia"/>
          <w:snapToGrid/>
        </w:rPr>
        <w:t>称为质量提高方案</w:t>
      </w:r>
      <w:r>
        <w:rPr>
          <w:rFonts w:hint="eastAsia"/>
          <w:snapToGrid/>
          <w:spacing w:val="-40"/>
        </w:rPr>
        <w:t>——</w:t>
      </w:r>
      <w:r>
        <w:rPr>
          <w:rFonts w:hint="eastAsia"/>
          <w:snapToGrid/>
        </w:rPr>
        <w:t>高等教育方案</w:t>
      </w:r>
      <w:r>
        <w:rPr>
          <w:rFonts w:hint="eastAsia"/>
          <w:snapToGrid/>
        </w:rPr>
        <w:t>)</w:t>
      </w:r>
      <w:r>
        <w:rPr>
          <w:rFonts w:hint="eastAsia"/>
          <w:snapToGrid/>
        </w:rPr>
        <w:t>。</w:t>
      </w:r>
      <w:r>
        <w:rPr>
          <w:snapToGrid/>
        </w:rPr>
        <w:t>2001</w:t>
      </w:r>
      <w:r>
        <w:rPr>
          <w:rFonts w:hint="eastAsia"/>
          <w:snapToGrid/>
        </w:rPr>
        <w:t>年，智利政府开始就可能执行第四项质量提高方案进行讨论，把重点放在对失学人士的进修教育和技术培训。</w:t>
      </w:r>
      <w:r>
        <w:rPr>
          <w:snapToGrid/>
        </w:rPr>
        <w:t xml:space="preserve"> </w:t>
      </w:r>
    </w:p>
    <w:p w:rsidR="00000000" w:rsidRDefault="009C1C61">
      <w:pPr>
        <w:pStyle w:val="Heading3"/>
        <w:rPr>
          <w:rFonts w:hint="eastAsia"/>
        </w:rPr>
      </w:pPr>
      <w:r>
        <w:rPr>
          <w:rFonts w:hint="eastAsia"/>
        </w:rPr>
        <w:t>第</w:t>
      </w:r>
      <w:r>
        <w:rPr>
          <w:rFonts w:hint="eastAsia"/>
          <w:b/>
          <w:bCs/>
        </w:rPr>
        <w:t>十四</w:t>
      </w:r>
      <w:r>
        <w:rPr>
          <w:rFonts w:hint="eastAsia"/>
        </w:rPr>
        <w:t>条</w:t>
      </w:r>
    </w:p>
    <w:p w:rsidR="00000000" w:rsidRDefault="009C1C61">
      <w:pPr>
        <w:pStyle w:val="Heading3"/>
      </w:pPr>
      <w:r>
        <w:rPr>
          <w:rFonts w:hint="eastAsia"/>
        </w:rPr>
        <w:t>免费接受小学义务教育的机会</w:t>
      </w:r>
    </w:p>
    <w:p w:rsidR="00000000" w:rsidRDefault="009C1C61">
      <w:pPr>
        <w:spacing w:after="320"/>
        <w:rPr>
          <w:b/>
          <w:bCs/>
          <w:snapToGrid/>
        </w:rPr>
      </w:pPr>
      <w:r>
        <w:rPr>
          <w:b/>
          <w:bCs/>
          <w:snapToGrid/>
        </w:rPr>
        <w:tab/>
      </w:r>
      <w:r>
        <w:rPr>
          <w:snapToGrid/>
          <w:lang w:val="en-GB"/>
        </w:rPr>
        <w:t xml:space="preserve">815.  </w:t>
      </w:r>
      <w:r>
        <w:rPr>
          <w:rFonts w:hint="eastAsia"/>
          <w:snapToGrid/>
          <w:lang w:val="en-GB"/>
        </w:rPr>
        <w:t>依照</w:t>
      </w:r>
      <w:r>
        <w:rPr>
          <w:rFonts w:hint="eastAsia"/>
          <w:snapToGrid/>
          <w:lang w:val="en-GB"/>
        </w:rPr>
        <w:t>1920</w:t>
      </w:r>
      <w:r>
        <w:rPr>
          <w:rFonts w:hint="eastAsia"/>
          <w:snapToGrid/>
          <w:lang w:val="en-GB"/>
        </w:rPr>
        <w:t>年《小学义务教育法》</w:t>
      </w:r>
      <w:r>
        <w:rPr>
          <w:rFonts w:hint="eastAsia"/>
          <w:snapToGrid/>
        </w:rPr>
        <w:t>，小学教育是义务性和免费的。</w:t>
      </w:r>
    </w:p>
    <w:p w:rsidR="00000000" w:rsidRDefault="009C1C61">
      <w:pPr>
        <w:pStyle w:val="Heading3"/>
        <w:rPr>
          <w:b/>
          <w:bCs/>
        </w:rPr>
      </w:pPr>
      <w:r>
        <w:rPr>
          <w:rFonts w:hint="eastAsia"/>
        </w:rPr>
        <w:t>第</w:t>
      </w:r>
      <w:r>
        <w:rPr>
          <w:rFonts w:hint="eastAsia"/>
          <w:b/>
          <w:bCs/>
        </w:rPr>
        <w:t>十五</w:t>
      </w:r>
      <w:r>
        <w:rPr>
          <w:rFonts w:hint="eastAsia"/>
        </w:rPr>
        <w:t>条</w:t>
      </w:r>
    </w:p>
    <w:p w:rsidR="00000000" w:rsidRDefault="009C1C61">
      <w:pPr>
        <w:pStyle w:val="Heading3"/>
        <w:rPr>
          <w:b/>
          <w:bCs/>
        </w:rPr>
      </w:pPr>
      <w:r>
        <w:rPr>
          <w:rFonts w:hint="eastAsia"/>
        </w:rPr>
        <w:t>文化权</w:t>
      </w:r>
    </w:p>
    <w:p w:rsidR="00000000" w:rsidRDefault="009C1C61">
      <w:pPr>
        <w:pStyle w:val="Heading4"/>
        <w:spacing w:before="300"/>
        <w:rPr>
          <w:rFonts w:ascii="Time New Roman" w:eastAsia="SimHei" w:hAnsi="Time New Roman"/>
          <w:u w:val="none"/>
        </w:rPr>
      </w:pPr>
      <w:r>
        <w:rPr>
          <w:rFonts w:ascii="Time New Roman" w:eastAsia="SimHei" w:hAnsi="Time New Roman" w:hint="eastAsia"/>
          <w:u w:val="none"/>
        </w:rPr>
        <w:t>保障参加文化生活和表现自己文化的权利的立法措施</w:t>
      </w:r>
    </w:p>
    <w:p w:rsidR="00000000" w:rsidRDefault="009C1C61">
      <w:pPr>
        <w:rPr>
          <w:rFonts w:hint="eastAsia"/>
          <w:snapToGrid/>
          <w:lang w:val="en-GB"/>
        </w:rPr>
      </w:pPr>
      <w:r>
        <w:rPr>
          <w:b/>
          <w:bCs/>
          <w:snapToGrid/>
        </w:rPr>
        <w:tab/>
      </w:r>
      <w:r>
        <w:rPr>
          <w:snapToGrid/>
          <w:lang w:val="en-GB"/>
        </w:rPr>
        <w:t xml:space="preserve">816.  </w:t>
      </w:r>
      <w:r>
        <w:rPr>
          <w:rFonts w:hint="eastAsia"/>
          <w:snapToGrid/>
          <w:lang w:val="en-GB"/>
        </w:rPr>
        <w:t>《宪法》第</w:t>
      </w:r>
      <w:r>
        <w:rPr>
          <w:rFonts w:hint="eastAsia"/>
          <w:snapToGrid/>
          <w:lang w:val="en-GB"/>
        </w:rPr>
        <w:t>19</w:t>
      </w:r>
      <w:r>
        <w:rPr>
          <w:rFonts w:hint="eastAsia"/>
          <w:snapToGrid/>
          <w:lang w:val="en-GB"/>
        </w:rPr>
        <w:t>条第</w:t>
      </w:r>
      <w:r>
        <w:rPr>
          <w:rFonts w:hint="eastAsia"/>
          <w:snapToGrid/>
          <w:lang w:val="en-GB"/>
        </w:rPr>
        <w:t>10</w:t>
      </w:r>
      <w:r>
        <w:rPr>
          <w:rFonts w:hint="eastAsia"/>
          <w:snapToGrid/>
          <w:lang w:val="en-GB"/>
        </w:rPr>
        <w:t>款规定：“在所有各级促进文化发展并且鼓励科学与技术研究、创作活动和国家文化遗产的保护和</w:t>
      </w:r>
      <w:r>
        <w:rPr>
          <w:rFonts w:hint="eastAsia"/>
          <w:snapToGrid/>
          <w:lang w:val="en-GB"/>
        </w:rPr>
        <w:t>发扬，</w:t>
      </w:r>
      <w:r>
        <w:rPr>
          <w:snapToGrid/>
        </w:rPr>
        <w:t>[</w:t>
      </w:r>
      <w:r>
        <w:rPr>
          <w:rFonts w:hint="eastAsia"/>
          <w:snapToGrid/>
          <w:lang w:val="en-GB"/>
        </w:rPr>
        <w:t>……</w:t>
      </w:r>
      <w:r>
        <w:rPr>
          <w:rFonts w:hint="eastAsia"/>
          <w:snapToGrid/>
          <w:lang w:val="en-GB"/>
        </w:rPr>
        <w:t>]</w:t>
      </w:r>
      <w:r>
        <w:rPr>
          <w:rFonts w:hint="eastAsia"/>
          <w:snapToGrid/>
          <w:lang w:val="en-GB"/>
        </w:rPr>
        <w:t>是国家的责任”。</w:t>
      </w:r>
    </w:p>
    <w:p w:rsidR="00000000" w:rsidRDefault="009C1C61">
      <w:pPr>
        <w:rPr>
          <w:rFonts w:hint="eastAsia"/>
          <w:snapToGrid/>
          <w:lang w:val="en-GB"/>
        </w:rPr>
      </w:pPr>
      <w:r>
        <w:rPr>
          <w:rFonts w:hint="eastAsia"/>
          <w:snapToGrid/>
          <w:lang w:val="en-GB"/>
        </w:rPr>
        <w:tab/>
        <w:t xml:space="preserve">817.  </w:t>
      </w:r>
      <w:r>
        <w:rPr>
          <w:rFonts w:hint="eastAsia"/>
          <w:snapToGrid/>
          <w:lang w:val="en-GB"/>
        </w:rPr>
        <w:t>在本报告所述期间，制订了《图书和提倡阅读法》</w:t>
      </w:r>
      <w:r>
        <w:rPr>
          <w:rStyle w:val="FootnoteReference"/>
          <w:snapToGrid/>
          <w:lang w:val="en-GB"/>
        </w:rPr>
        <w:footnoteReference w:id="324"/>
      </w:r>
      <w:r>
        <w:rPr>
          <w:rFonts w:hint="eastAsia"/>
          <w:snapToGrid/>
          <w:lang w:val="en-GB"/>
        </w:rPr>
        <w:t>，并且为小型社区和特定群体设置了诸如支助区域文化倡议基金等一些竞争性基金。根据《文化捐款法》采取税率奖励措施，鼓励文化捐款。但是，除了“书籍基金”以外，现有资金和预算多半注入各种不一定互相协调并且不在特定法律规定范围内的不同机构，或者属于一般性政策的规定范围之内，根据这种政策，指定用于文化的经费不是固定不变的。</w:t>
      </w:r>
      <w:r>
        <w:rPr>
          <w:rStyle w:val="FootnoteReference"/>
          <w:snapToGrid/>
          <w:lang w:val="en-GB"/>
        </w:rPr>
        <w:footnoteReference w:id="325"/>
      </w:r>
      <w:r>
        <w:rPr>
          <w:rFonts w:hint="eastAsia"/>
          <w:snapToGrid/>
          <w:lang w:val="en-GB"/>
        </w:rPr>
        <w:t xml:space="preserve"> </w:t>
      </w:r>
      <w:r>
        <w:rPr>
          <w:rFonts w:hint="eastAsia"/>
          <w:snapToGrid/>
          <w:lang w:val="en-GB"/>
        </w:rPr>
        <w:t>公共筹资和促进文化发展的资金包括私营企业的支助在内。</w:t>
      </w:r>
    </w:p>
    <w:p w:rsidR="00000000" w:rsidRDefault="009C1C61">
      <w:pPr>
        <w:rPr>
          <w:rFonts w:hint="eastAsia"/>
          <w:snapToGrid/>
          <w:lang w:val="en-GB"/>
        </w:rPr>
      </w:pPr>
      <w:r>
        <w:rPr>
          <w:rFonts w:hint="eastAsia"/>
          <w:snapToGrid/>
          <w:lang w:val="en-GB"/>
        </w:rPr>
        <w:tab/>
        <w:t xml:space="preserve">818.  </w:t>
      </w:r>
      <w:r>
        <w:rPr>
          <w:rFonts w:hint="eastAsia"/>
          <w:snapToGrid/>
          <w:lang w:val="en-GB"/>
        </w:rPr>
        <w:t>根据总统咨询委员会的估计，在</w:t>
      </w:r>
      <w:r>
        <w:rPr>
          <w:rFonts w:hint="eastAsia"/>
          <w:snapToGrid/>
          <w:lang w:val="en-GB"/>
        </w:rPr>
        <w:t>1991</w:t>
      </w:r>
      <w:r>
        <w:rPr>
          <w:rFonts w:hint="eastAsia"/>
          <w:snapToGrid/>
          <w:lang w:val="en-GB"/>
        </w:rPr>
        <w:t>年，智利大约在文化方面投资了</w:t>
      </w:r>
      <w:r>
        <w:rPr>
          <w:rFonts w:hint="eastAsia"/>
          <w:snapToGrid/>
          <w:lang w:val="en-GB"/>
        </w:rPr>
        <w:t>1,300</w:t>
      </w:r>
      <w:r>
        <w:rPr>
          <w:rFonts w:hint="eastAsia"/>
          <w:snapToGrid/>
          <w:lang w:val="en-GB"/>
        </w:rPr>
        <w:t>万美元。</w:t>
      </w:r>
      <w:r>
        <w:rPr>
          <w:rStyle w:val="FootnoteReference"/>
          <w:snapToGrid/>
          <w:lang w:val="en-GB"/>
        </w:rPr>
        <w:footnoteReference w:id="326"/>
      </w:r>
      <w:r>
        <w:rPr>
          <w:snapToGrid/>
          <w:lang w:val="en-GB"/>
        </w:rPr>
        <w:t xml:space="preserve"> </w:t>
      </w:r>
      <w:r>
        <w:rPr>
          <w:rFonts w:hint="eastAsia"/>
          <w:snapToGrid/>
          <w:lang w:val="en-GB"/>
        </w:rPr>
        <w:t>1999</w:t>
      </w:r>
      <w:r>
        <w:rPr>
          <w:rFonts w:hint="eastAsia"/>
          <w:snapToGrid/>
          <w:lang w:val="en-GB"/>
        </w:rPr>
        <w:t>年，据估计，这个数值刚刚超过</w:t>
      </w:r>
      <w:r>
        <w:rPr>
          <w:rFonts w:hint="eastAsia"/>
          <w:snapToGrid/>
          <w:lang w:val="en-GB"/>
        </w:rPr>
        <w:t>4,000</w:t>
      </w:r>
      <w:r>
        <w:rPr>
          <w:rFonts w:hint="eastAsia"/>
          <w:snapToGrid/>
          <w:lang w:val="en-GB"/>
        </w:rPr>
        <w:t>万美元。</w:t>
      </w:r>
      <w:r>
        <w:rPr>
          <w:rStyle w:val="FootnoteReference"/>
          <w:snapToGrid/>
          <w:lang w:val="en-GB"/>
        </w:rPr>
        <w:footnoteReference w:id="327"/>
      </w:r>
      <w:r>
        <w:rPr>
          <w:snapToGrid/>
          <w:lang w:val="en-GB"/>
        </w:rPr>
        <w:t xml:space="preserve"> </w:t>
      </w:r>
      <w:r>
        <w:rPr>
          <w:rFonts w:hint="eastAsia"/>
          <w:snapToGrid/>
          <w:lang w:val="en-GB"/>
        </w:rPr>
        <w:t>政府在这方面的预算稳定地增加，这是由于</w:t>
      </w:r>
      <w:r>
        <w:rPr>
          <w:rFonts w:hint="eastAsia"/>
          <w:snapToGrid/>
          <w:lang w:val="en-GB"/>
        </w:rPr>
        <w:t>1991</w:t>
      </w:r>
      <w:r>
        <w:rPr>
          <w:rFonts w:hint="eastAsia"/>
          <w:snapToGrid/>
          <w:lang w:val="en-GB"/>
        </w:rPr>
        <w:t>年尚未设置目前用于文化活动的竞争性资金，还因为用于促进文化水平的一些公共机构的预算大大增加。</w:t>
      </w:r>
    </w:p>
    <w:p w:rsidR="00000000" w:rsidRDefault="009C1C61">
      <w:pPr>
        <w:rPr>
          <w:rFonts w:hint="eastAsia"/>
          <w:snapToGrid/>
          <w:lang w:val="en-GB"/>
        </w:rPr>
      </w:pPr>
      <w:r>
        <w:rPr>
          <w:rFonts w:hint="eastAsia"/>
          <w:snapToGrid/>
          <w:lang w:val="en-GB"/>
        </w:rPr>
        <w:tab/>
        <w:t xml:space="preserve">819.  </w:t>
      </w:r>
      <w:r>
        <w:rPr>
          <w:rFonts w:hint="eastAsia"/>
          <w:snapToGrid/>
          <w:lang w:val="en-GB"/>
        </w:rPr>
        <w:t>尽管有了上述情况，国家的拨款似乎不够充足，考虑到文化艺术界的经验和需求，拨款的数额也是微小的。即使文化艺术发展基金</w:t>
      </w:r>
      <w:r>
        <w:rPr>
          <w:rFonts w:hint="eastAsia"/>
          <w:snapToGrid/>
          <w:lang w:val="en-GB"/>
        </w:rPr>
        <w:t>(</w:t>
      </w:r>
      <w:r>
        <w:rPr>
          <w:rFonts w:hint="eastAsia"/>
          <w:snapToGrid/>
          <w:lang w:val="en-GB"/>
        </w:rPr>
        <w:t>文发基金</w:t>
      </w:r>
      <w:r>
        <w:rPr>
          <w:rFonts w:hint="eastAsia"/>
          <w:snapToGrid/>
          <w:lang w:val="en-GB"/>
        </w:rPr>
        <w:t>)</w:t>
      </w:r>
      <w:r>
        <w:rPr>
          <w:rFonts w:hint="eastAsia"/>
          <w:snapToGrid/>
          <w:lang w:val="en-GB"/>
        </w:rPr>
        <w:t>这个在全国首屈一指的基金预算八年来翻了一翻，但它所提供的经费通常只够支付比提交项目的</w:t>
      </w:r>
      <w:r>
        <w:rPr>
          <w:rFonts w:hint="eastAsia"/>
          <w:snapToGrid/>
          <w:lang w:val="en-GB"/>
        </w:rPr>
        <w:t>10%</w:t>
      </w:r>
      <w:r>
        <w:rPr>
          <w:rFonts w:hint="eastAsia"/>
          <w:snapToGrid/>
          <w:lang w:val="en-GB"/>
        </w:rPr>
        <w:t>多一点的费用。尽管</w:t>
      </w:r>
      <w:r>
        <w:rPr>
          <w:rFonts w:hint="eastAsia"/>
          <w:snapToGrid/>
          <w:lang w:val="en-GB"/>
        </w:rPr>
        <w:t>1990</w:t>
      </w:r>
      <w:r>
        <w:rPr>
          <w:rFonts w:hint="eastAsia"/>
          <w:snapToGrid/>
          <w:lang w:val="en-GB"/>
        </w:rPr>
        <w:t>年代启用</w:t>
      </w:r>
      <w:r>
        <w:rPr>
          <w:rFonts w:hint="eastAsia"/>
          <w:snapToGrid/>
          <w:lang w:val="en-GB"/>
        </w:rPr>
        <w:t>了某些有效的手段来促进文化，但是由于过去实行的政策未能把注意力优先放在国家发展的这个领域，还是积压了很多工作。</w:t>
      </w:r>
    </w:p>
    <w:p w:rsidR="00000000" w:rsidRDefault="009C1C61">
      <w:pPr>
        <w:rPr>
          <w:rFonts w:hint="eastAsia"/>
          <w:snapToGrid/>
          <w:lang w:val="en-GB"/>
        </w:rPr>
      </w:pPr>
      <w:r>
        <w:rPr>
          <w:rFonts w:hint="eastAsia"/>
          <w:snapToGrid/>
          <w:lang w:val="en-GB"/>
        </w:rPr>
        <w:tab/>
        <w:t xml:space="preserve">820.  </w:t>
      </w:r>
      <w:r>
        <w:rPr>
          <w:rFonts w:hint="eastAsia"/>
          <w:snapToGrid/>
          <w:lang w:val="en-GB"/>
        </w:rPr>
        <w:t>智利有各种各样的法律、财政和行政管理手段和机制可以用于发展、促进和传播文化和传统方面的商品和服务。应对这些问题的主要机构是：</w:t>
      </w:r>
    </w:p>
    <w:p w:rsidR="00000000" w:rsidRDefault="009C1C61">
      <w:pPr>
        <w:numPr>
          <w:ilvl w:val="0"/>
          <w:numId w:val="323"/>
        </w:numPr>
        <w:rPr>
          <w:rFonts w:hint="eastAsia"/>
          <w:snapToGrid/>
        </w:rPr>
      </w:pPr>
      <w:r>
        <w:rPr>
          <w:rFonts w:hint="eastAsia"/>
          <w:snapToGrid/>
        </w:rPr>
        <w:t>教育部</w:t>
      </w:r>
      <w:r>
        <w:rPr>
          <w:rFonts w:hint="eastAsia"/>
          <w:snapToGrid/>
          <w:lang w:val="en-GB"/>
        </w:rPr>
        <w:t>：</w:t>
      </w:r>
      <w:r>
        <w:rPr>
          <w:rFonts w:hint="eastAsia"/>
          <w:snapToGrid/>
        </w:rPr>
        <w:t>文化司、国家博物馆委员会、影片分级委员会和图书馆、档案和博物馆局。此外，教育部每年必须向为大众开设的圣地亚哥市立大剧院和巴尔马切达</w:t>
      </w:r>
      <w:r>
        <w:rPr>
          <w:rFonts w:hint="eastAsia"/>
          <w:snapToGrid/>
        </w:rPr>
        <w:t>1215</w:t>
      </w:r>
      <w:r>
        <w:rPr>
          <w:rFonts w:hint="eastAsia"/>
          <w:snapToGrid/>
        </w:rPr>
        <w:t>文化中心拨款；</w:t>
      </w:r>
    </w:p>
    <w:p w:rsidR="00000000" w:rsidRDefault="009C1C61">
      <w:pPr>
        <w:numPr>
          <w:ilvl w:val="0"/>
          <w:numId w:val="323"/>
        </w:numPr>
        <w:rPr>
          <w:rFonts w:hint="eastAsia"/>
          <w:snapToGrid/>
        </w:rPr>
      </w:pPr>
      <w:r>
        <w:rPr>
          <w:rFonts w:hint="eastAsia"/>
          <w:snapToGrid/>
        </w:rPr>
        <w:t>外交部：文化事务局和出口促进局</w:t>
      </w:r>
      <w:r>
        <w:rPr>
          <w:snapToGrid/>
        </w:rPr>
        <w:t>(ProChile)</w:t>
      </w:r>
      <w:r>
        <w:rPr>
          <w:rFonts w:hint="eastAsia"/>
          <w:snapToGrid/>
        </w:rPr>
        <w:t>；</w:t>
      </w:r>
    </w:p>
    <w:p w:rsidR="00000000" w:rsidRDefault="009C1C61">
      <w:pPr>
        <w:numPr>
          <w:ilvl w:val="0"/>
          <w:numId w:val="323"/>
        </w:numPr>
        <w:rPr>
          <w:rFonts w:hint="eastAsia"/>
          <w:snapToGrid/>
        </w:rPr>
      </w:pPr>
      <w:r>
        <w:rPr>
          <w:rFonts w:hint="eastAsia"/>
          <w:snapToGrid/>
        </w:rPr>
        <w:t>政府部长</w:t>
      </w:r>
      <w:r>
        <w:rPr>
          <w:rFonts w:hint="eastAsia"/>
          <w:snapToGrid/>
          <w:spacing w:val="-40"/>
        </w:rPr>
        <w:t>——</w:t>
      </w:r>
      <w:r>
        <w:rPr>
          <w:rFonts w:hint="eastAsia"/>
          <w:snapToGrid/>
        </w:rPr>
        <w:t>秘书长办公厅：文化司、研究司</w:t>
      </w:r>
      <w:r>
        <w:rPr>
          <w:rFonts w:hint="eastAsia"/>
          <w:snapToGrid/>
          <w:spacing w:val="-40"/>
        </w:rPr>
        <w:t>——</w:t>
      </w:r>
      <w:r>
        <w:rPr>
          <w:rFonts w:hint="eastAsia"/>
          <w:snapToGrid/>
        </w:rPr>
        <w:t>关于媒体和文化产业的分析和全国电视委员会；</w:t>
      </w:r>
    </w:p>
    <w:p w:rsidR="00000000" w:rsidRDefault="009C1C61">
      <w:pPr>
        <w:numPr>
          <w:ilvl w:val="0"/>
          <w:numId w:val="323"/>
        </w:numPr>
        <w:rPr>
          <w:rFonts w:hint="eastAsia"/>
          <w:snapToGrid/>
        </w:rPr>
      </w:pPr>
      <w:r>
        <w:rPr>
          <w:rFonts w:hint="eastAsia"/>
          <w:snapToGrid/>
        </w:rPr>
        <w:t>生产发展公司正在主办一个电影故事片促销方案，支助电影项目的开发和智利故事影片的发行和营销；</w:t>
      </w:r>
    </w:p>
    <w:p w:rsidR="00000000" w:rsidRDefault="009C1C61">
      <w:pPr>
        <w:numPr>
          <w:ilvl w:val="0"/>
          <w:numId w:val="323"/>
        </w:numPr>
        <w:rPr>
          <w:rFonts w:hint="eastAsia"/>
          <w:snapToGrid/>
        </w:rPr>
      </w:pPr>
      <w:r>
        <w:rPr>
          <w:rFonts w:hint="eastAsia"/>
          <w:snapToGrid/>
        </w:rPr>
        <w:t>规划与合作部</w:t>
      </w:r>
      <w:r>
        <w:rPr>
          <w:snapToGrid/>
        </w:rPr>
        <w:t>(Mideplan)</w:t>
      </w:r>
      <w:r>
        <w:rPr>
          <w:rFonts w:hint="eastAsia"/>
          <w:snapToGrid/>
        </w:rPr>
        <w:t>下设的土著发展基金和全国土著发展公司</w:t>
      </w:r>
      <w:r>
        <w:rPr>
          <w:snapToGrid/>
        </w:rPr>
        <w:t>(</w:t>
      </w:r>
      <w:r>
        <w:rPr>
          <w:rFonts w:hint="eastAsia"/>
          <w:snapToGrid/>
        </w:rPr>
        <w:t>土发公司</w:t>
      </w:r>
      <w:r>
        <w:rPr>
          <w:snapToGrid/>
        </w:rPr>
        <w:t>)</w:t>
      </w:r>
      <w:r>
        <w:rPr>
          <w:rFonts w:hint="eastAsia"/>
          <w:snapToGrid/>
        </w:rPr>
        <w:t>资助的项目除其他外包括支助涉及土著人民文化和通讯的活动。同样属于规划与合作部的全国残疾人基金</w:t>
      </w:r>
      <w:r>
        <w:rPr>
          <w:snapToGrid/>
        </w:rPr>
        <w:t>(</w:t>
      </w:r>
      <w:r>
        <w:rPr>
          <w:rFonts w:hint="eastAsia"/>
          <w:snapToGrid/>
        </w:rPr>
        <w:t>残疾基金</w:t>
      </w:r>
      <w:r>
        <w:rPr>
          <w:snapToGrid/>
        </w:rPr>
        <w:t>)</w:t>
      </w:r>
      <w:r>
        <w:rPr>
          <w:rFonts w:hint="eastAsia"/>
          <w:snapToGrid/>
        </w:rPr>
        <w:t>资助了支持有特殊需要人士的方案和项目，其中包括挖掘这些人艺术和智慧潜力的项目；</w:t>
      </w:r>
    </w:p>
    <w:p w:rsidR="00000000" w:rsidRDefault="009C1C61">
      <w:pPr>
        <w:numPr>
          <w:ilvl w:val="0"/>
          <w:numId w:val="323"/>
        </w:numPr>
        <w:rPr>
          <w:rFonts w:hint="eastAsia"/>
          <w:snapToGrid/>
        </w:rPr>
      </w:pPr>
      <w:r>
        <w:rPr>
          <w:rFonts w:hint="eastAsia"/>
          <w:snapToGrid/>
        </w:rPr>
        <w:t>公共工程部正在举办一个公众比赛，为用艺术作品装饰公共基础设施项目筹资；</w:t>
      </w:r>
    </w:p>
    <w:p w:rsidR="00000000" w:rsidRDefault="009C1C61">
      <w:pPr>
        <w:numPr>
          <w:ilvl w:val="0"/>
          <w:numId w:val="323"/>
        </w:numPr>
        <w:rPr>
          <w:rFonts w:hint="eastAsia"/>
          <w:snapToGrid/>
        </w:rPr>
      </w:pPr>
      <w:r>
        <w:rPr>
          <w:rFonts w:hint="eastAsia"/>
          <w:snapToGrid/>
        </w:rPr>
        <w:t>住房和城市规划部都市开发司执行了旨在建立</w:t>
      </w:r>
      <w:r>
        <w:rPr>
          <w:rFonts w:hint="eastAsia"/>
          <w:snapToGrid/>
        </w:rPr>
        <w:t>文化中心和多用途场所等社区设施的都市改进方案；</w:t>
      </w:r>
    </w:p>
    <w:p w:rsidR="00000000" w:rsidRDefault="009C1C61">
      <w:pPr>
        <w:numPr>
          <w:ilvl w:val="0"/>
          <w:numId w:val="323"/>
        </w:numPr>
        <w:rPr>
          <w:rFonts w:hint="eastAsia"/>
          <w:snapToGrid/>
        </w:rPr>
      </w:pPr>
      <w:r>
        <w:rPr>
          <w:rFonts w:hint="eastAsia"/>
          <w:snapToGrid/>
        </w:rPr>
        <w:t>全国电视委员会是一个独立的公共团体，它经管一个基金，负责支助文化性电视节目或在全国或区域范围内引起注意的节目。</w:t>
      </w:r>
    </w:p>
    <w:p w:rsidR="00000000" w:rsidRDefault="009C1C61">
      <w:pPr>
        <w:rPr>
          <w:rFonts w:hint="eastAsia"/>
          <w:snapToGrid/>
        </w:rPr>
      </w:pPr>
      <w:r>
        <w:rPr>
          <w:rFonts w:hint="eastAsia"/>
          <w:snapToGrid/>
        </w:rPr>
        <w:tab/>
        <w:t xml:space="preserve">821.  </w:t>
      </w:r>
      <w:r>
        <w:rPr>
          <w:rFonts w:hint="eastAsia"/>
          <w:snapToGrid/>
        </w:rPr>
        <w:t>下列团体和基金属于教育部的管辖范围：</w:t>
      </w:r>
    </w:p>
    <w:p w:rsidR="00000000" w:rsidRDefault="009C1C61">
      <w:pPr>
        <w:numPr>
          <w:ilvl w:val="0"/>
          <w:numId w:val="343"/>
        </w:numPr>
        <w:tabs>
          <w:tab w:val="clear" w:pos="0"/>
        </w:tabs>
        <w:rPr>
          <w:rFonts w:hint="eastAsia"/>
          <w:snapToGrid/>
        </w:rPr>
      </w:pPr>
      <w:r>
        <w:rPr>
          <w:rFonts w:hint="eastAsia"/>
          <w:snapToGrid/>
        </w:rPr>
        <w:t>全国图书和阅读委员会：</w:t>
      </w:r>
    </w:p>
    <w:p w:rsidR="00000000" w:rsidRDefault="009C1C61">
      <w:pPr>
        <w:numPr>
          <w:ilvl w:val="1"/>
          <w:numId w:val="325"/>
        </w:numPr>
        <w:ind w:left="2051"/>
        <w:rPr>
          <w:rFonts w:hint="eastAsia"/>
          <w:snapToGrid/>
        </w:rPr>
      </w:pPr>
      <w:r>
        <w:rPr>
          <w:rFonts w:hint="eastAsia"/>
          <w:snapToGrid/>
        </w:rPr>
        <w:t>为促进图书和阅读的项目举行一年一度的竞赛，在诸如发展图书馆、提倡阅读、文化活动和培训、支持出版和发展智利书籍出口业等方面分配资源；</w:t>
      </w:r>
    </w:p>
    <w:p w:rsidR="00000000" w:rsidRDefault="009C1C61">
      <w:pPr>
        <w:numPr>
          <w:ilvl w:val="1"/>
          <w:numId w:val="325"/>
        </w:numPr>
        <w:ind w:left="2051"/>
        <w:rPr>
          <w:rFonts w:hint="eastAsia"/>
          <w:snapToGrid/>
        </w:rPr>
      </w:pPr>
      <w:r>
        <w:rPr>
          <w:rFonts w:hint="eastAsia"/>
          <w:snapToGrid/>
        </w:rPr>
        <w:t>举行比赛，选出智利作家未出版和已出版的最佳文学作品；</w:t>
      </w:r>
    </w:p>
    <w:p w:rsidR="00000000" w:rsidRDefault="009C1C61">
      <w:pPr>
        <w:numPr>
          <w:ilvl w:val="1"/>
          <w:numId w:val="325"/>
        </w:numPr>
        <w:ind w:left="2051"/>
        <w:rPr>
          <w:rFonts w:hint="eastAsia"/>
          <w:snapToGrid/>
        </w:rPr>
      </w:pPr>
      <w:r>
        <w:rPr>
          <w:rFonts w:hint="eastAsia"/>
          <w:snapToGrid/>
        </w:rPr>
        <w:t>为提出促进图书和阅读发展倡议的教师和图书馆员设立的奖学金；</w:t>
      </w:r>
    </w:p>
    <w:p w:rsidR="00000000" w:rsidRDefault="009C1C61">
      <w:pPr>
        <w:numPr>
          <w:ilvl w:val="1"/>
          <w:numId w:val="325"/>
        </w:numPr>
        <w:ind w:left="2051"/>
        <w:rPr>
          <w:rFonts w:hint="eastAsia"/>
          <w:snapToGrid/>
        </w:rPr>
      </w:pPr>
      <w:r>
        <w:rPr>
          <w:rFonts w:hint="eastAsia"/>
          <w:snapToGrid/>
        </w:rPr>
        <w:t>举行全国儿童文学比赛，以举荐未</w:t>
      </w:r>
      <w:r>
        <w:rPr>
          <w:rFonts w:hint="eastAsia"/>
          <w:snapToGrid/>
        </w:rPr>
        <w:t>出版的作品；</w:t>
      </w:r>
    </w:p>
    <w:p w:rsidR="00000000" w:rsidRDefault="009C1C61">
      <w:pPr>
        <w:pStyle w:val="ac"/>
        <w:rPr>
          <w:rFonts w:hint="eastAsia"/>
          <w:snapToGrid/>
        </w:rPr>
      </w:pPr>
      <w:r>
        <w:rPr>
          <w:snapToGrid/>
        </w:rPr>
        <w:t>(b)</w:t>
      </w:r>
      <w:r>
        <w:rPr>
          <w:snapToGrid/>
        </w:rPr>
        <w:tab/>
      </w:r>
      <w:r>
        <w:rPr>
          <w:rFonts w:hint="eastAsia"/>
          <w:snapToGrid/>
        </w:rPr>
        <w:t>文化艺术发展基金</w:t>
      </w:r>
      <w:r>
        <w:rPr>
          <w:rFonts w:hint="eastAsia"/>
          <w:snapToGrid/>
        </w:rPr>
        <w:t>(</w:t>
      </w:r>
      <w:r>
        <w:rPr>
          <w:snapToGrid/>
        </w:rPr>
        <w:t>Fondart</w:t>
      </w:r>
      <w:r>
        <w:rPr>
          <w:rFonts w:hint="eastAsia"/>
          <w:snapToGrid/>
        </w:rPr>
        <w:t>)</w:t>
      </w:r>
      <w:r>
        <w:rPr>
          <w:rFonts w:hint="eastAsia"/>
          <w:snapToGrid/>
        </w:rPr>
        <w:t>：</w:t>
      </w:r>
    </w:p>
    <w:p w:rsidR="00000000" w:rsidRDefault="009C1C61">
      <w:pPr>
        <w:numPr>
          <w:ilvl w:val="0"/>
          <w:numId w:val="329"/>
        </w:numPr>
        <w:ind w:left="2051"/>
        <w:rPr>
          <w:rFonts w:hint="eastAsia"/>
          <w:snapToGrid/>
        </w:rPr>
      </w:pPr>
      <w:r>
        <w:rPr>
          <w:rFonts w:hint="eastAsia"/>
          <w:snapToGrid/>
        </w:rPr>
        <w:t>为资助造型艺术、视听作品、戏剧、舞蹈、音乐和综合艺术类的艺术项目而举行全国性比赛；</w:t>
      </w:r>
    </w:p>
    <w:p w:rsidR="00000000" w:rsidRDefault="009C1C61">
      <w:pPr>
        <w:numPr>
          <w:ilvl w:val="0"/>
          <w:numId w:val="329"/>
        </w:numPr>
        <w:ind w:left="2051"/>
        <w:rPr>
          <w:rFonts w:hint="eastAsia"/>
          <w:snapToGrid/>
        </w:rPr>
      </w:pPr>
      <w:r>
        <w:rPr>
          <w:rFonts w:hint="eastAsia"/>
          <w:snapToGrid/>
        </w:rPr>
        <w:t>为资助各大区自理的文化项目举行区域性比赛，以促进文化基础设施、地方性艺术和文化倡议、传统文化以及艺术和文化活动；</w:t>
      </w:r>
    </w:p>
    <w:p w:rsidR="00000000" w:rsidRDefault="009C1C61">
      <w:pPr>
        <w:pStyle w:val="ac"/>
        <w:rPr>
          <w:rFonts w:hint="eastAsia"/>
          <w:snapToGrid/>
        </w:rPr>
      </w:pPr>
      <w:r>
        <w:rPr>
          <w:snapToGrid/>
        </w:rPr>
        <w:t>(c)</w:t>
      </w:r>
      <w:r>
        <w:rPr>
          <w:snapToGrid/>
        </w:rPr>
        <w:tab/>
      </w:r>
      <w:r>
        <w:rPr>
          <w:rFonts w:hint="eastAsia"/>
          <w:snapToGrid/>
        </w:rPr>
        <w:t>教育部的竞争性基金：用于支助中小学艺术教育专业机构的发展；</w:t>
      </w:r>
    </w:p>
    <w:p w:rsidR="00000000" w:rsidRDefault="009C1C61">
      <w:pPr>
        <w:pStyle w:val="ac"/>
        <w:rPr>
          <w:rFonts w:hint="eastAsia"/>
          <w:snapToGrid/>
        </w:rPr>
      </w:pPr>
      <w:r>
        <w:rPr>
          <w:snapToGrid/>
        </w:rPr>
        <w:t>(d)</w:t>
      </w:r>
      <w:r>
        <w:rPr>
          <w:snapToGrid/>
        </w:rPr>
        <w:tab/>
      </w:r>
      <w:r>
        <w:rPr>
          <w:rFonts w:hint="eastAsia"/>
          <w:snapToGrid/>
        </w:rPr>
        <w:t>除了竞争性基金以外，教育部通过文化司的业务活动支助旨在为全国公众提供的各种服务、方案和机会。其中包括一个戏剧节目、一个舞蹈项目、全国民俗舞蹈团和全国青年管弦乐团</w:t>
      </w:r>
      <w:r>
        <w:rPr>
          <w:rFonts w:hint="eastAsia"/>
          <w:snapToGrid/>
        </w:rPr>
        <w:t>(</w:t>
      </w:r>
      <w:r>
        <w:rPr>
          <w:rFonts w:hint="eastAsia"/>
          <w:snapToGrid/>
        </w:rPr>
        <w:t>支持全国青年交响</w:t>
      </w:r>
      <w:r>
        <w:rPr>
          <w:rFonts w:hint="eastAsia"/>
          <w:snapToGrid/>
        </w:rPr>
        <w:t>乐管弦乐团和智利室内乐管弦乐团在全国不同地区的活动</w:t>
      </w:r>
      <w:r>
        <w:rPr>
          <w:rFonts w:hint="eastAsia"/>
          <w:snapToGrid/>
        </w:rPr>
        <w:t>)</w:t>
      </w:r>
      <w:r>
        <w:rPr>
          <w:rFonts w:hint="eastAsia"/>
          <w:snapToGrid/>
        </w:rPr>
        <w:t>以及最近编辑“智利文化地图”的工作。</w:t>
      </w:r>
    </w:p>
    <w:p w:rsidR="00000000" w:rsidRDefault="009C1C61">
      <w:pPr>
        <w:pStyle w:val="ac"/>
        <w:rPr>
          <w:rFonts w:hint="eastAsia"/>
          <w:snapToGrid/>
        </w:rPr>
      </w:pPr>
      <w:r>
        <w:rPr>
          <w:snapToGrid/>
        </w:rPr>
        <w:t>(e)</w:t>
      </w:r>
      <w:r>
        <w:rPr>
          <w:snapToGrid/>
        </w:rPr>
        <w:tab/>
      </w:r>
      <w:r>
        <w:rPr>
          <w:rFonts w:hint="eastAsia"/>
          <w:snapToGrid/>
        </w:rPr>
        <w:t>教育部下属的智利巡回演出剧院为巡回文化项目举行全国性的比赛。</w:t>
      </w:r>
    </w:p>
    <w:p w:rsidR="00000000" w:rsidRDefault="009C1C61">
      <w:pPr>
        <w:rPr>
          <w:rFonts w:hint="eastAsia"/>
          <w:snapToGrid/>
        </w:rPr>
      </w:pPr>
      <w:r>
        <w:rPr>
          <w:rFonts w:hint="eastAsia"/>
          <w:snapToGrid/>
        </w:rPr>
        <w:tab/>
        <w:t xml:space="preserve">822.  </w:t>
      </w:r>
      <w:r>
        <w:rPr>
          <w:rFonts w:hint="eastAsia"/>
          <w:snapToGrid/>
        </w:rPr>
        <w:t>其他部委的预算也包括指定用于文化项目的部分</w:t>
      </w:r>
      <w:r>
        <w:rPr>
          <w:rFonts w:hint="eastAsia"/>
          <w:snapToGrid/>
          <w:spacing w:val="-40"/>
        </w:rPr>
        <w:t>——</w:t>
      </w:r>
      <w:r>
        <w:rPr>
          <w:rFonts w:hint="eastAsia"/>
          <w:snapToGrid/>
        </w:rPr>
        <w:t>两者都是为了资助创作活动以及社会和文化活动、基础设施的开发、遗产保护或各种组织、微型企业和其他初创机构的建立与巩固。官方文化统计数字中并不总是考虑到这种拨款，因为它不是一项长期安排，是由认为不具有“文化”性质的部委拨付的，或在“杂项”下拨付的。例如，在</w:t>
      </w:r>
      <w:r>
        <w:rPr>
          <w:rFonts w:hint="eastAsia"/>
          <w:snapToGrid/>
        </w:rPr>
        <w:t>1990</w:t>
      </w:r>
      <w:r>
        <w:rPr>
          <w:rFonts w:hint="eastAsia"/>
          <w:snapToGrid/>
        </w:rPr>
        <w:t>年代，公共工程部为了整修属于全国</w:t>
      </w:r>
      <w:r>
        <w:rPr>
          <w:rFonts w:hint="eastAsia"/>
          <w:snapToGrid/>
        </w:rPr>
        <w:t>建筑遗产的公共建筑大约投资了</w:t>
      </w:r>
      <w:r>
        <w:rPr>
          <w:rFonts w:hint="eastAsia"/>
          <w:snapToGrid/>
        </w:rPr>
        <w:t>30</w:t>
      </w:r>
      <w:r>
        <w:rPr>
          <w:rFonts w:hint="eastAsia"/>
          <w:snapToGrid/>
        </w:rPr>
        <w:t>亿比索</w:t>
      </w:r>
      <w:r>
        <w:rPr>
          <w:rFonts w:hint="eastAsia"/>
          <w:snapToGrid/>
        </w:rPr>
        <w:t>(5,560,807</w:t>
      </w:r>
      <w:r>
        <w:rPr>
          <w:rFonts w:hint="eastAsia"/>
          <w:snapToGrid/>
        </w:rPr>
        <w:t>美元</w:t>
      </w:r>
      <w:r>
        <w:rPr>
          <w:rFonts w:hint="eastAsia"/>
          <w:snapToGrid/>
        </w:rPr>
        <w:t>)</w:t>
      </w:r>
      <w:r>
        <w:rPr>
          <w:rStyle w:val="FootnoteReference"/>
          <w:snapToGrid/>
        </w:rPr>
        <w:footnoteReference w:id="328"/>
      </w:r>
      <w:r>
        <w:rPr>
          <w:rFonts w:hint="eastAsia"/>
          <w:snapToGrid/>
        </w:rPr>
        <w:t>。同样，内务部全国区域发展基金</w:t>
      </w:r>
      <w:r>
        <w:rPr>
          <w:snapToGrid/>
        </w:rPr>
        <w:t>(FNDR)</w:t>
      </w:r>
      <w:r>
        <w:rPr>
          <w:rFonts w:hint="eastAsia"/>
          <w:snapToGrid/>
        </w:rPr>
        <w:t>资助了与教育和文化研究、宣传或基本设施有关的项目。截至</w:t>
      </w:r>
      <w:r>
        <w:rPr>
          <w:rFonts w:hint="eastAsia"/>
          <w:snapToGrid/>
        </w:rPr>
        <w:t>1999</w:t>
      </w:r>
      <w:r>
        <w:rPr>
          <w:rFonts w:hint="eastAsia"/>
          <w:snapToGrid/>
        </w:rPr>
        <w:t>年</w:t>
      </w:r>
      <w:r>
        <w:rPr>
          <w:rFonts w:hint="eastAsia"/>
          <w:snapToGrid/>
        </w:rPr>
        <w:t>9</w:t>
      </w:r>
      <w:r>
        <w:rPr>
          <w:rFonts w:hint="eastAsia"/>
          <w:snapToGrid/>
        </w:rPr>
        <w:t>月，已经为这些目的核拨了大约</w:t>
      </w:r>
      <w:r>
        <w:rPr>
          <w:rFonts w:hint="eastAsia"/>
          <w:snapToGrid/>
        </w:rPr>
        <w:t>50</w:t>
      </w:r>
      <w:r>
        <w:rPr>
          <w:rFonts w:hint="eastAsia"/>
          <w:snapToGrid/>
        </w:rPr>
        <w:t>亿比索</w:t>
      </w:r>
      <w:r>
        <w:rPr>
          <w:rFonts w:hint="eastAsia"/>
          <w:snapToGrid/>
        </w:rPr>
        <w:t>(9,827,439</w:t>
      </w:r>
      <w:r>
        <w:rPr>
          <w:rFonts w:hint="eastAsia"/>
          <w:snapToGrid/>
        </w:rPr>
        <w:t>美元</w:t>
      </w:r>
      <w:r>
        <w:rPr>
          <w:rFonts w:hint="eastAsia"/>
          <w:snapToGrid/>
        </w:rPr>
        <w:t>)</w:t>
      </w:r>
      <w:r>
        <w:rPr>
          <w:snapToGrid/>
        </w:rPr>
        <w:t xml:space="preserve"> </w:t>
      </w:r>
      <w:r>
        <w:rPr>
          <w:rStyle w:val="FootnoteReference"/>
          <w:snapToGrid/>
        </w:rPr>
        <w:footnoteReference w:id="329"/>
      </w:r>
      <w:r>
        <w:rPr>
          <w:snapToGrid/>
        </w:rPr>
        <w:t xml:space="preserve"> </w:t>
      </w:r>
      <w:r>
        <w:rPr>
          <w:rFonts w:hint="eastAsia"/>
          <w:snapToGrid/>
        </w:rPr>
        <w:t>的开支。规划部也通过土著发展基金和社会声援和投资基金为社会和文化项目编列经费，经济部则通过生产发展公司在其预算中为电影业和文化部门的中小型企业</w:t>
      </w:r>
      <w:r>
        <w:rPr>
          <w:rFonts w:hint="eastAsia"/>
          <w:snapToGrid/>
        </w:rPr>
        <w:t>(</w:t>
      </w:r>
      <w:r>
        <w:rPr>
          <w:rFonts w:hint="eastAsia"/>
          <w:snapToGrid/>
        </w:rPr>
        <w:t>手工艺品、影片、出版业等</w:t>
      </w:r>
      <w:r>
        <w:rPr>
          <w:rFonts w:hint="eastAsia"/>
          <w:snapToGrid/>
        </w:rPr>
        <w:t>)</w:t>
      </w:r>
      <w:r>
        <w:rPr>
          <w:rFonts w:hint="eastAsia"/>
          <w:snapToGrid/>
        </w:rPr>
        <w:t>划拨经费。</w:t>
      </w:r>
    </w:p>
    <w:p w:rsidR="00000000" w:rsidRDefault="009C1C61">
      <w:pPr>
        <w:spacing w:after="320"/>
        <w:rPr>
          <w:snapToGrid/>
        </w:rPr>
      </w:pPr>
      <w:r>
        <w:rPr>
          <w:rFonts w:hint="eastAsia"/>
          <w:snapToGrid/>
        </w:rPr>
        <w:tab/>
        <w:t xml:space="preserve">823.  </w:t>
      </w:r>
      <w:r>
        <w:rPr>
          <w:rFonts w:hint="eastAsia"/>
          <w:snapToGrid/>
        </w:rPr>
        <w:t>简而言之，关于智利文化的公共开支只能提供大概数字。</w:t>
      </w:r>
    </w:p>
    <w:p w:rsidR="00000000" w:rsidRDefault="009C1C61">
      <w:pPr>
        <w:pStyle w:val="Heading3"/>
      </w:pPr>
      <w:r>
        <w:rPr>
          <w:rFonts w:hint="eastAsia"/>
        </w:rPr>
        <w:t>表</w:t>
      </w:r>
      <w:r>
        <w:rPr>
          <w:rFonts w:hint="eastAsia"/>
        </w:rPr>
        <w:t xml:space="preserve">  </w:t>
      </w:r>
      <w:r>
        <w:rPr>
          <w:rFonts w:hint="eastAsia"/>
          <w:b/>
          <w:bCs/>
        </w:rPr>
        <w:t>44</w:t>
      </w:r>
      <w:r>
        <w:rPr>
          <w:b/>
          <w:bCs/>
        </w:rPr>
        <w:br/>
      </w:r>
      <w:r>
        <w:rPr>
          <w:rFonts w:hint="eastAsia"/>
          <w:b/>
        </w:rPr>
        <w:t>1994</w:t>
      </w:r>
      <w:r>
        <w:rPr>
          <w:rFonts w:hint="eastAsia"/>
        </w:rPr>
        <w:t>至</w:t>
      </w:r>
      <w:r>
        <w:rPr>
          <w:rFonts w:hint="eastAsia"/>
          <w:b/>
        </w:rPr>
        <w:t>1998</w:t>
      </w:r>
      <w:r>
        <w:rPr>
          <w:rFonts w:hint="eastAsia"/>
        </w:rPr>
        <w:t>年竞争性基金的变化趋势</w:t>
      </w:r>
      <w:r>
        <w:br/>
      </w:r>
      <w:r>
        <w:rPr>
          <w:rFonts w:hint="eastAsia"/>
        </w:rPr>
        <w:t>(</w:t>
      </w:r>
      <w:r>
        <w:rPr>
          <w:rFonts w:hint="eastAsia"/>
        </w:rPr>
        <w:t>按</w:t>
      </w:r>
      <w:r>
        <w:rPr>
          <w:rFonts w:hint="eastAsia"/>
          <w:b/>
        </w:rPr>
        <w:t>1998</w:t>
      </w:r>
      <w:r>
        <w:rPr>
          <w:rFonts w:hint="eastAsia"/>
        </w:rPr>
        <w:t>年比索和美元的币值计算</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568"/>
        <w:gridCol w:w="1568"/>
        <w:gridCol w:w="1568"/>
        <w:gridCol w:w="1569"/>
        <w:gridCol w:w="1569"/>
      </w:tblGrid>
      <w:tr w:rsidR="00000000">
        <w:tblPrEx>
          <w:tblCellMar>
            <w:top w:w="0" w:type="dxa"/>
            <w:bottom w:w="0" w:type="dxa"/>
          </w:tblCellMar>
        </w:tblPrEx>
        <w:tc>
          <w:tcPr>
            <w:tcW w:w="1568" w:type="dxa"/>
          </w:tcPr>
          <w:p w:rsidR="00000000" w:rsidRDefault="009C1C61">
            <w:pPr>
              <w:pStyle w:val="a2"/>
              <w:jc w:val="center"/>
              <w:rPr>
                <w:rFonts w:hint="eastAsia"/>
                <w:snapToGrid/>
              </w:rPr>
            </w:pPr>
            <w:r>
              <w:rPr>
                <w:rFonts w:hint="eastAsia"/>
                <w:snapToGrid/>
              </w:rPr>
              <w:t>年</w:t>
            </w:r>
            <w:r>
              <w:rPr>
                <w:snapToGrid/>
              </w:rPr>
              <w:t xml:space="preserve">  </w:t>
            </w:r>
            <w:r>
              <w:rPr>
                <w:rFonts w:hint="eastAsia"/>
                <w:snapToGrid/>
              </w:rPr>
              <w:t>度</w:t>
            </w:r>
          </w:p>
        </w:tc>
        <w:tc>
          <w:tcPr>
            <w:tcW w:w="1568" w:type="dxa"/>
          </w:tcPr>
          <w:p w:rsidR="00000000" w:rsidRDefault="009C1C61">
            <w:pPr>
              <w:pStyle w:val="a2"/>
              <w:jc w:val="center"/>
              <w:rPr>
                <w:snapToGrid/>
              </w:rPr>
            </w:pPr>
            <w:r>
              <w:rPr>
                <w:rFonts w:hint="eastAsia"/>
                <w:snapToGrid/>
              </w:rPr>
              <w:t>文发基金</w:t>
            </w:r>
            <w:r>
              <w:rPr>
                <w:snapToGrid/>
              </w:rPr>
              <w:t>*</w:t>
            </w:r>
          </w:p>
        </w:tc>
        <w:tc>
          <w:tcPr>
            <w:tcW w:w="1568" w:type="dxa"/>
          </w:tcPr>
          <w:p w:rsidR="00000000" w:rsidRDefault="009C1C61">
            <w:pPr>
              <w:pStyle w:val="a2"/>
              <w:jc w:val="center"/>
              <w:rPr>
                <w:snapToGrid/>
              </w:rPr>
            </w:pPr>
            <w:r>
              <w:rPr>
                <w:rFonts w:hint="eastAsia"/>
                <w:snapToGrid/>
              </w:rPr>
              <w:t>全国图书和</w:t>
            </w:r>
          </w:p>
          <w:p w:rsidR="00000000" w:rsidRDefault="009C1C61">
            <w:pPr>
              <w:pStyle w:val="a2"/>
              <w:jc w:val="center"/>
              <w:rPr>
                <w:snapToGrid/>
              </w:rPr>
            </w:pPr>
            <w:r>
              <w:rPr>
                <w:rFonts w:hint="eastAsia"/>
                <w:snapToGrid/>
              </w:rPr>
              <w:t>阅读基金</w:t>
            </w:r>
            <w:r>
              <w:rPr>
                <w:snapToGrid/>
              </w:rPr>
              <w:t>*</w:t>
            </w:r>
          </w:p>
        </w:tc>
        <w:tc>
          <w:tcPr>
            <w:tcW w:w="1568" w:type="dxa"/>
          </w:tcPr>
          <w:p w:rsidR="00000000" w:rsidRDefault="009C1C61">
            <w:pPr>
              <w:pStyle w:val="a2"/>
              <w:jc w:val="center"/>
              <w:rPr>
                <w:snapToGrid/>
              </w:rPr>
            </w:pPr>
            <w:r>
              <w:rPr>
                <w:rFonts w:hint="eastAsia"/>
                <w:snapToGrid/>
              </w:rPr>
              <w:t>艺术学校发展</w:t>
            </w:r>
          </w:p>
          <w:p w:rsidR="00000000" w:rsidRDefault="009C1C61">
            <w:pPr>
              <w:pStyle w:val="a2"/>
              <w:jc w:val="center"/>
              <w:rPr>
                <w:snapToGrid/>
              </w:rPr>
            </w:pPr>
            <w:r>
              <w:rPr>
                <w:rFonts w:hint="eastAsia"/>
                <w:snapToGrid/>
              </w:rPr>
              <w:t>基</w:t>
            </w:r>
            <w:r>
              <w:rPr>
                <w:snapToGrid/>
              </w:rPr>
              <w:t xml:space="preserve">  </w:t>
            </w:r>
            <w:r>
              <w:rPr>
                <w:rFonts w:hint="eastAsia"/>
                <w:snapToGrid/>
              </w:rPr>
              <w:t>金</w:t>
            </w:r>
            <w:r>
              <w:rPr>
                <w:snapToGrid/>
              </w:rPr>
              <w:t>*</w:t>
            </w:r>
          </w:p>
        </w:tc>
        <w:tc>
          <w:tcPr>
            <w:tcW w:w="1569" w:type="dxa"/>
          </w:tcPr>
          <w:p w:rsidR="00000000" w:rsidRDefault="009C1C61">
            <w:pPr>
              <w:pStyle w:val="a2"/>
              <w:jc w:val="center"/>
              <w:rPr>
                <w:rFonts w:hint="eastAsia"/>
                <w:snapToGrid/>
              </w:rPr>
            </w:pPr>
            <w:r>
              <w:rPr>
                <w:rFonts w:hint="eastAsia"/>
                <w:snapToGrid/>
              </w:rPr>
              <w:t>区域文助基金</w:t>
            </w:r>
            <w:r>
              <w:rPr>
                <w:snapToGrid/>
              </w:rPr>
              <w:t>*</w:t>
            </w:r>
          </w:p>
        </w:tc>
        <w:tc>
          <w:tcPr>
            <w:tcW w:w="1569" w:type="dxa"/>
          </w:tcPr>
          <w:p w:rsidR="00000000" w:rsidRDefault="009C1C61">
            <w:pPr>
              <w:pStyle w:val="a2"/>
              <w:jc w:val="center"/>
              <w:rPr>
                <w:rFonts w:hint="eastAsia"/>
                <w:snapToGrid/>
              </w:rPr>
            </w:pPr>
            <w:r>
              <w:rPr>
                <w:rFonts w:hint="eastAsia"/>
                <w:snapToGrid/>
              </w:rPr>
              <w:t>总</w:t>
            </w:r>
            <w:r>
              <w:rPr>
                <w:snapToGrid/>
              </w:rPr>
              <w:t xml:space="preserve">  </w:t>
            </w:r>
            <w:r>
              <w:rPr>
                <w:rFonts w:hint="eastAsia"/>
                <w:snapToGrid/>
              </w:rPr>
              <w:t>额</w:t>
            </w:r>
          </w:p>
        </w:tc>
      </w:tr>
      <w:tr w:rsidR="00000000">
        <w:tblPrEx>
          <w:tblCellMar>
            <w:top w:w="0" w:type="dxa"/>
            <w:bottom w:w="0" w:type="dxa"/>
          </w:tblCellMar>
        </w:tblPrEx>
        <w:tc>
          <w:tcPr>
            <w:tcW w:w="1568" w:type="dxa"/>
          </w:tcPr>
          <w:p w:rsidR="00000000" w:rsidRDefault="009C1C61">
            <w:pPr>
              <w:pStyle w:val="Recref"/>
              <w:spacing w:before="40"/>
              <w:rPr>
                <w:rFonts w:hint="eastAsia"/>
                <w:i w:val="0"/>
                <w:iCs/>
                <w:sz w:val="18"/>
              </w:rPr>
            </w:pPr>
            <w:r>
              <w:rPr>
                <w:rFonts w:hint="eastAsia"/>
                <w:i w:val="0"/>
                <w:iCs/>
                <w:sz w:val="18"/>
              </w:rPr>
              <w:t>1994</w:t>
            </w:r>
          </w:p>
        </w:tc>
        <w:tc>
          <w:tcPr>
            <w:tcW w:w="1568" w:type="dxa"/>
          </w:tcPr>
          <w:p w:rsidR="00000000" w:rsidRDefault="009C1C61">
            <w:pPr>
              <w:spacing w:before="40"/>
              <w:ind w:right="208"/>
              <w:jc w:val="right"/>
              <w:rPr>
                <w:sz w:val="20"/>
              </w:rPr>
            </w:pPr>
            <w:r>
              <w:rPr>
                <w:sz w:val="20"/>
              </w:rPr>
              <w:t>1,424,358</w:t>
            </w:r>
          </w:p>
          <w:p w:rsidR="00000000" w:rsidRDefault="009C1C61">
            <w:pPr>
              <w:spacing w:before="40"/>
              <w:ind w:right="208"/>
              <w:jc w:val="right"/>
              <w:rPr>
                <w:sz w:val="20"/>
              </w:rPr>
            </w:pPr>
            <w:r>
              <w:rPr>
                <w:sz w:val="20"/>
              </w:rPr>
              <w:t>(3,094)</w:t>
            </w:r>
          </w:p>
        </w:tc>
        <w:tc>
          <w:tcPr>
            <w:tcW w:w="1568" w:type="dxa"/>
          </w:tcPr>
          <w:p w:rsidR="00000000" w:rsidRDefault="009C1C61">
            <w:pPr>
              <w:spacing w:before="40"/>
              <w:ind w:right="208"/>
              <w:jc w:val="right"/>
              <w:rPr>
                <w:sz w:val="20"/>
              </w:rPr>
            </w:pPr>
            <w:r>
              <w:rPr>
                <w:sz w:val="20"/>
              </w:rPr>
              <w:t>1,004,223</w:t>
            </w:r>
          </w:p>
          <w:p w:rsidR="00000000" w:rsidRDefault="009C1C61">
            <w:pPr>
              <w:spacing w:before="40"/>
              <w:ind w:right="208"/>
              <w:jc w:val="right"/>
              <w:rPr>
                <w:sz w:val="20"/>
              </w:rPr>
            </w:pPr>
            <w:r>
              <w:rPr>
                <w:sz w:val="20"/>
              </w:rPr>
              <w:t>(2,182)</w:t>
            </w:r>
          </w:p>
        </w:tc>
        <w:tc>
          <w:tcPr>
            <w:tcW w:w="1568" w:type="dxa"/>
          </w:tcPr>
          <w:p w:rsidR="00000000" w:rsidRDefault="009C1C61">
            <w:pPr>
              <w:spacing w:before="40"/>
              <w:ind w:right="208"/>
              <w:jc w:val="right"/>
              <w:rPr>
                <w:sz w:val="20"/>
              </w:rPr>
            </w:pPr>
            <w:r>
              <w:rPr>
                <w:sz w:val="20"/>
              </w:rPr>
              <w:t>-</w:t>
            </w:r>
          </w:p>
        </w:tc>
        <w:tc>
          <w:tcPr>
            <w:tcW w:w="1569" w:type="dxa"/>
          </w:tcPr>
          <w:p w:rsidR="00000000" w:rsidRDefault="009C1C61">
            <w:pPr>
              <w:spacing w:before="40"/>
              <w:ind w:right="208"/>
              <w:jc w:val="right"/>
              <w:rPr>
                <w:sz w:val="20"/>
              </w:rPr>
            </w:pPr>
            <w:r>
              <w:rPr>
                <w:sz w:val="20"/>
              </w:rPr>
              <w:t>76,849</w:t>
            </w:r>
          </w:p>
          <w:p w:rsidR="00000000" w:rsidRDefault="009C1C61">
            <w:pPr>
              <w:spacing w:before="40"/>
              <w:ind w:right="208"/>
              <w:jc w:val="right"/>
              <w:rPr>
                <w:sz w:val="20"/>
              </w:rPr>
            </w:pPr>
            <w:r>
              <w:rPr>
                <w:sz w:val="20"/>
              </w:rPr>
              <w:t>(167)</w:t>
            </w:r>
          </w:p>
        </w:tc>
        <w:tc>
          <w:tcPr>
            <w:tcW w:w="1569" w:type="dxa"/>
          </w:tcPr>
          <w:p w:rsidR="00000000" w:rsidRDefault="009C1C61">
            <w:pPr>
              <w:spacing w:before="40"/>
              <w:ind w:right="208"/>
              <w:jc w:val="right"/>
              <w:rPr>
                <w:sz w:val="20"/>
              </w:rPr>
            </w:pPr>
            <w:r>
              <w:rPr>
                <w:sz w:val="20"/>
              </w:rPr>
              <w:t>2,505,430</w:t>
            </w:r>
          </w:p>
          <w:p w:rsidR="00000000" w:rsidRDefault="009C1C61">
            <w:pPr>
              <w:spacing w:before="40"/>
              <w:ind w:right="208"/>
              <w:jc w:val="right"/>
              <w:rPr>
                <w:sz w:val="20"/>
              </w:rPr>
            </w:pPr>
            <w:r>
              <w:rPr>
                <w:sz w:val="20"/>
              </w:rPr>
              <w:t>(5,443)</w:t>
            </w:r>
          </w:p>
        </w:tc>
      </w:tr>
      <w:tr w:rsidR="00000000">
        <w:tblPrEx>
          <w:tblCellMar>
            <w:top w:w="0" w:type="dxa"/>
            <w:bottom w:w="0" w:type="dxa"/>
          </w:tblCellMar>
        </w:tblPrEx>
        <w:tc>
          <w:tcPr>
            <w:tcW w:w="1568" w:type="dxa"/>
          </w:tcPr>
          <w:p w:rsidR="00000000" w:rsidRDefault="009C1C61">
            <w:pPr>
              <w:pStyle w:val="Recref"/>
              <w:spacing w:before="40"/>
              <w:rPr>
                <w:rFonts w:hint="eastAsia"/>
                <w:i w:val="0"/>
                <w:iCs/>
                <w:sz w:val="18"/>
              </w:rPr>
            </w:pPr>
            <w:r>
              <w:rPr>
                <w:rFonts w:hint="eastAsia"/>
                <w:i w:val="0"/>
                <w:iCs/>
                <w:sz w:val="18"/>
              </w:rPr>
              <w:t>1995</w:t>
            </w:r>
          </w:p>
        </w:tc>
        <w:tc>
          <w:tcPr>
            <w:tcW w:w="1568" w:type="dxa"/>
          </w:tcPr>
          <w:p w:rsidR="00000000" w:rsidRDefault="009C1C61">
            <w:pPr>
              <w:spacing w:before="40"/>
              <w:ind w:right="208"/>
              <w:jc w:val="right"/>
              <w:rPr>
                <w:sz w:val="20"/>
              </w:rPr>
            </w:pPr>
            <w:r>
              <w:rPr>
                <w:sz w:val="20"/>
              </w:rPr>
              <w:t>1,612,527</w:t>
            </w:r>
          </w:p>
          <w:p w:rsidR="00000000" w:rsidRDefault="009C1C61">
            <w:pPr>
              <w:spacing w:before="40"/>
              <w:ind w:right="208"/>
              <w:jc w:val="right"/>
              <w:rPr>
                <w:sz w:val="20"/>
              </w:rPr>
            </w:pPr>
            <w:r>
              <w:rPr>
                <w:sz w:val="20"/>
              </w:rPr>
              <w:t>(3,503)</w:t>
            </w:r>
          </w:p>
        </w:tc>
        <w:tc>
          <w:tcPr>
            <w:tcW w:w="1568" w:type="dxa"/>
          </w:tcPr>
          <w:p w:rsidR="00000000" w:rsidRDefault="009C1C61">
            <w:pPr>
              <w:spacing w:before="40"/>
              <w:ind w:right="208"/>
              <w:jc w:val="right"/>
              <w:rPr>
                <w:sz w:val="20"/>
              </w:rPr>
            </w:pPr>
            <w:r>
              <w:rPr>
                <w:sz w:val="20"/>
              </w:rPr>
              <w:t>1,001,604</w:t>
            </w:r>
          </w:p>
          <w:p w:rsidR="00000000" w:rsidRDefault="009C1C61">
            <w:pPr>
              <w:spacing w:before="40"/>
              <w:ind w:right="208"/>
              <w:jc w:val="right"/>
              <w:rPr>
                <w:sz w:val="20"/>
              </w:rPr>
            </w:pPr>
            <w:r>
              <w:rPr>
                <w:sz w:val="20"/>
              </w:rPr>
              <w:t>(2,176)</w:t>
            </w:r>
          </w:p>
        </w:tc>
        <w:tc>
          <w:tcPr>
            <w:tcW w:w="1568" w:type="dxa"/>
          </w:tcPr>
          <w:p w:rsidR="00000000" w:rsidRDefault="009C1C61">
            <w:pPr>
              <w:spacing w:before="40"/>
              <w:ind w:right="208"/>
              <w:jc w:val="right"/>
              <w:rPr>
                <w:sz w:val="20"/>
              </w:rPr>
            </w:pPr>
            <w:r>
              <w:rPr>
                <w:sz w:val="20"/>
              </w:rPr>
              <w:t>-</w:t>
            </w:r>
          </w:p>
        </w:tc>
        <w:tc>
          <w:tcPr>
            <w:tcW w:w="1569" w:type="dxa"/>
          </w:tcPr>
          <w:p w:rsidR="00000000" w:rsidRDefault="009C1C61">
            <w:pPr>
              <w:spacing w:before="40"/>
              <w:ind w:right="208"/>
              <w:jc w:val="right"/>
              <w:rPr>
                <w:sz w:val="20"/>
              </w:rPr>
            </w:pPr>
            <w:r>
              <w:rPr>
                <w:sz w:val="20"/>
              </w:rPr>
              <w:t>106,590</w:t>
            </w:r>
          </w:p>
          <w:p w:rsidR="00000000" w:rsidRDefault="009C1C61">
            <w:pPr>
              <w:spacing w:before="40"/>
              <w:ind w:right="208"/>
              <w:jc w:val="right"/>
              <w:rPr>
                <w:sz w:val="20"/>
              </w:rPr>
            </w:pPr>
            <w:r>
              <w:rPr>
                <w:sz w:val="20"/>
              </w:rPr>
              <w:t>(232)</w:t>
            </w:r>
          </w:p>
        </w:tc>
        <w:tc>
          <w:tcPr>
            <w:tcW w:w="1569" w:type="dxa"/>
          </w:tcPr>
          <w:p w:rsidR="00000000" w:rsidRDefault="009C1C61">
            <w:pPr>
              <w:spacing w:before="40"/>
              <w:ind w:right="208"/>
              <w:jc w:val="right"/>
              <w:rPr>
                <w:sz w:val="20"/>
              </w:rPr>
            </w:pPr>
            <w:r>
              <w:rPr>
                <w:sz w:val="20"/>
              </w:rPr>
              <w:t>2,720,721</w:t>
            </w:r>
          </w:p>
          <w:p w:rsidR="00000000" w:rsidRDefault="009C1C61">
            <w:pPr>
              <w:spacing w:before="40"/>
              <w:ind w:right="208"/>
              <w:jc w:val="right"/>
              <w:rPr>
                <w:sz w:val="20"/>
              </w:rPr>
            </w:pPr>
            <w:r>
              <w:rPr>
                <w:sz w:val="20"/>
              </w:rPr>
              <w:t>(5,911)</w:t>
            </w:r>
          </w:p>
        </w:tc>
      </w:tr>
      <w:tr w:rsidR="00000000">
        <w:tblPrEx>
          <w:tblCellMar>
            <w:top w:w="0" w:type="dxa"/>
            <w:bottom w:w="0" w:type="dxa"/>
          </w:tblCellMar>
        </w:tblPrEx>
        <w:tc>
          <w:tcPr>
            <w:tcW w:w="1568" w:type="dxa"/>
          </w:tcPr>
          <w:p w:rsidR="00000000" w:rsidRDefault="009C1C61">
            <w:pPr>
              <w:pStyle w:val="Parttitle"/>
              <w:spacing w:before="40"/>
              <w:rPr>
                <w:rFonts w:hint="eastAsia"/>
                <w:b w:val="0"/>
                <w:iCs/>
                <w:sz w:val="18"/>
              </w:rPr>
            </w:pPr>
            <w:r>
              <w:rPr>
                <w:rFonts w:hint="eastAsia"/>
                <w:b w:val="0"/>
                <w:iCs/>
                <w:sz w:val="18"/>
              </w:rPr>
              <w:t>1996</w:t>
            </w:r>
          </w:p>
        </w:tc>
        <w:tc>
          <w:tcPr>
            <w:tcW w:w="1568" w:type="dxa"/>
          </w:tcPr>
          <w:p w:rsidR="00000000" w:rsidRDefault="009C1C61">
            <w:pPr>
              <w:spacing w:before="40"/>
              <w:ind w:right="208"/>
              <w:jc w:val="right"/>
              <w:rPr>
                <w:sz w:val="20"/>
              </w:rPr>
            </w:pPr>
            <w:r>
              <w:rPr>
                <w:sz w:val="20"/>
              </w:rPr>
              <w:t>1,933,920</w:t>
            </w:r>
          </w:p>
          <w:p w:rsidR="00000000" w:rsidRDefault="009C1C61">
            <w:pPr>
              <w:spacing w:before="40"/>
              <w:ind w:right="208"/>
              <w:jc w:val="right"/>
              <w:rPr>
                <w:sz w:val="20"/>
              </w:rPr>
            </w:pPr>
            <w:r>
              <w:rPr>
                <w:sz w:val="20"/>
              </w:rPr>
              <w:t>(4,2</w:t>
            </w:r>
            <w:r>
              <w:rPr>
                <w:sz w:val="20"/>
              </w:rPr>
              <w:t>02)</w:t>
            </w:r>
          </w:p>
        </w:tc>
        <w:tc>
          <w:tcPr>
            <w:tcW w:w="1568" w:type="dxa"/>
          </w:tcPr>
          <w:p w:rsidR="00000000" w:rsidRDefault="009C1C61">
            <w:pPr>
              <w:spacing w:before="40"/>
              <w:ind w:right="208"/>
              <w:jc w:val="right"/>
              <w:rPr>
                <w:sz w:val="20"/>
              </w:rPr>
            </w:pPr>
            <w:r>
              <w:rPr>
                <w:sz w:val="20"/>
              </w:rPr>
              <w:t>1,038,149</w:t>
            </w:r>
          </w:p>
          <w:p w:rsidR="00000000" w:rsidRDefault="009C1C61">
            <w:pPr>
              <w:spacing w:before="40"/>
              <w:ind w:right="208"/>
              <w:jc w:val="right"/>
              <w:rPr>
                <w:sz w:val="20"/>
              </w:rPr>
            </w:pPr>
            <w:r>
              <w:rPr>
                <w:sz w:val="20"/>
              </w:rPr>
              <w:t>(2,255)</w:t>
            </w:r>
          </w:p>
        </w:tc>
        <w:tc>
          <w:tcPr>
            <w:tcW w:w="1568" w:type="dxa"/>
          </w:tcPr>
          <w:p w:rsidR="00000000" w:rsidRDefault="009C1C61">
            <w:pPr>
              <w:spacing w:before="40"/>
              <w:ind w:right="208"/>
              <w:jc w:val="right"/>
              <w:rPr>
                <w:sz w:val="20"/>
              </w:rPr>
            </w:pPr>
            <w:r>
              <w:rPr>
                <w:sz w:val="20"/>
              </w:rPr>
              <w:t>326,979</w:t>
            </w:r>
          </w:p>
          <w:p w:rsidR="00000000" w:rsidRDefault="009C1C61">
            <w:pPr>
              <w:spacing w:before="40"/>
              <w:ind w:right="208"/>
              <w:jc w:val="right"/>
              <w:rPr>
                <w:sz w:val="20"/>
              </w:rPr>
            </w:pPr>
            <w:r>
              <w:rPr>
                <w:sz w:val="20"/>
              </w:rPr>
              <w:t>(710)</w:t>
            </w:r>
          </w:p>
        </w:tc>
        <w:tc>
          <w:tcPr>
            <w:tcW w:w="1569" w:type="dxa"/>
          </w:tcPr>
          <w:p w:rsidR="00000000" w:rsidRDefault="009C1C61">
            <w:pPr>
              <w:spacing w:before="40"/>
              <w:ind w:right="208"/>
              <w:jc w:val="right"/>
              <w:rPr>
                <w:sz w:val="20"/>
              </w:rPr>
            </w:pPr>
            <w:r>
              <w:rPr>
                <w:sz w:val="20"/>
              </w:rPr>
              <w:t>77,700</w:t>
            </w:r>
          </w:p>
          <w:p w:rsidR="00000000" w:rsidRDefault="009C1C61">
            <w:pPr>
              <w:spacing w:before="40"/>
              <w:ind w:right="208"/>
              <w:jc w:val="right"/>
              <w:rPr>
                <w:sz w:val="20"/>
              </w:rPr>
            </w:pPr>
            <w:r>
              <w:rPr>
                <w:sz w:val="20"/>
              </w:rPr>
              <w:t>(169)</w:t>
            </w:r>
          </w:p>
        </w:tc>
        <w:tc>
          <w:tcPr>
            <w:tcW w:w="1569" w:type="dxa"/>
          </w:tcPr>
          <w:p w:rsidR="00000000" w:rsidRDefault="009C1C61">
            <w:pPr>
              <w:spacing w:before="40"/>
              <w:ind w:right="208"/>
              <w:jc w:val="right"/>
              <w:rPr>
                <w:sz w:val="20"/>
              </w:rPr>
            </w:pPr>
            <w:r>
              <w:rPr>
                <w:sz w:val="20"/>
              </w:rPr>
              <w:t>3,049,769</w:t>
            </w:r>
          </w:p>
          <w:p w:rsidR="00000000" w:rsidRDefault="009C1C61">
            <w:pPr>
              <w:spacing w:before="40"/>
              <w:ind w:right="208"/>
              <w:jc w:val="right"/>
              <w:rPr>
                <w:sz w:val="20"/>
              </w:rPr>
            </w:pPr>
            <w:r>
              <w:rPr>
                <w:sz w:val="20"/>
              </w:rPr>
              <w:t>(6,626)</w:t>
            </w:r>
          </w:p>
        </w:tc>
      </w:tr>
      <w:tr w:rsidR="00000000">
        <w:tblPrEx>
          <w:tblCellMar>
            <w:top w:w="0" w:type="dxa"/>
            <w:bottom w:w="0" w:type="dxa"/>
          </w:tblCellMar>
        </w:tblPrEx>
        <w:tc>
          <w:tcPr>
            <w:tcW w:w="1568" w:type="dxa"/>
          </w:tcPr>
          <w:p w:rsidR="00000000" w:rsidRDefault="009C1C61">
            <w:pPr>
              <w:pStyle w:val="Figurelegend"/>
              <w:spacing w:before="40"/>
              <w:jc w:val="center"/>
              <w:rPr>
                <w:rFonts w:hint="eastAsia"/>
                <w:iCs/>
              </w:rPr>
            </w:pPr>
            <w:r>
              <w:rPr>
                <w:rFonts w:hint="eastAsia"/>
                <w:iCs/>
              </w:rPr>
              <w:t>1997</w:t>
            </w:r>
          </w:p>
        </w:tc>
        <w:tc>
          <w:tcPr>
            <w:tcW w:w="1568" w:type="dxa"/>
          </w:tcPr>
          <w:p w:rsidR="00000000" w:rsidRDefault="009C1C61">
            <w:pPr>
              <w:spacing w:before="40"/>
              <w:ind w:right="208"/>
              <w:jc w:val="right"/>
              <w:rPr>
                <w:sz w:val="20"/>
              </w:rPr>
            </w:pPr>
            <w:r>
              <w:rPr>
                <w:sz w:val="20"/>
              </w:rPr>
              <w:t>2,100,000</w:t>
            </w:r>
          </w:p>
          <w:p w:rsidR="00000000" w:rsidRDefault="009C1C61">
            <w:pPr>
              <w:spacing w:before="40"/>
              <w:ind w:right="208"/>
              <w:jc w:val="right"/>
              <w:rPr>
                <w:sz w:val="20"/>
              </w:rPr>
            </w:pPr>
            <w:r>
              <w:rPr>
                <w:sz w:val="20"/>
              </w:rPr>
              <w:t>(4,562)</w:t>
            </w:r>
          </w:p>
        </w:tc>
        <w:tc>
          <w:tcPr>
            <w:tcW w:w="1568" w:type="dxa"/>
          </w:tcPr>
          <w:p w:rsidR="00000000" w:rsidRDefault="009C1C61">
            <w:pPr>
              <w:spacing w:before="40"/>
              <w:ind w:right="208"/>
              <w:jc w:val="right"/>
              <w:rPr>
                <w:sz w:val="20"/>
              </w:rPr>
            </w:pPr>
            <w:r>
              <w:rPr>
                <w:sz w:val="20"/>
              </w:rPr>
              <w:t>1,041,166</w:t>
            </w:r>
          </w:p>
          <w:p w:rsidR="00000000" w:rsidRDefault="009C1C61">
            <w:pPr>
              <w:spacing w:before="40"/>
              <w:ind w:right="208"/>
              <w:jc w:val="right"/>
              <w:rPr>
                <w:sz w:val="20"/>
              </w:rPr>
            </w:pPr>
            <w:r>
              <w:rPr>
                <w:sz w:val="20"/>
              </w:rPr>
              <w:t>(2,262)</w:t>
            </w:r>
          </w:p>
        </w:tc>
        <w:tc>
          <w:tcPr>
            <w:tcW w:w="1568" w:type="dxa"/>
          </w:tcPr>
          <w:p w:rsidR="00000000" w:rsidRDefault="009C1C61">
            <w:pPr>
              <w:spacing w:before="40"/>
              <w:ind w:right="208"/>
              <w:jc w:val="right"/>
              <w:rPr>
                <w:sz w:val="20"/>
              </w:rPr>
            </w:pPr>
            <w:r>
              <w:rPr>
                <w:sz w:val="20"/>
              </w:rPr>
              <w:t>324,106</w:t>
            </w:r>
          </w:p>
          <w:p w:rsidR="00000000" w:rsidRDefault="009C1C61">
            <w:pPr>
              <w:spacing w:before="40"/>
              <w:ind w:right="208"/>
              <w:jc w:val="right"/>
              <w:rPr>
                <w:sz w:val="20"/>
              </w:rPr>
            </w:pPr>
            <w:r>
              <w:rPr>
                <w:sz w:val="20"/>
              </w:rPr>
              <w:t>(704)</w:t>
            </w:r>
          </w:p>
        </w:tc>
        <w:tc>
          <w:tcPr>
            <w:tcW w:w="1569" w:type="dxa"/>
          </w:tcPr>
          <w:p w:rsidR="00000000" w:rsidRDefault="009C1C61">
            <w:pPr>
              <w:spacing w:before="40"/>
              <w:ind w:right="208"/>
              <w:jc w:val="right"/>
              <w:rPr>
                <w:sz w:val="20"/>
              </w:rPr>
            </w:pPr>
            <w:r>
              <w:rPr>
                <w:sz w:val="20"/>
              </w:rPr>
              <w:t>73,290</w:t>
            </w:r>
          </w:p>
          <w:p w:rsidR="00000000" w:rsidRDefault="009C1C61">
            <w:pPr>
              <w:spacing w:before="40"/>
              <w:ind w:right="208"/>
              <w:jc w:val="right"/>
              <w:rPr>
                <w:sz w:val="20"/>
              </w:rPr>
            </w:pPr>
            <w:r>
              <w:rPr>
                <w:sz w:val="20"/>
              </w:rPr>
              <w:t>(159)</w:t>
            </w:r>
          </w:p>
        </w:tc>
        <w:tc>
          <w:tcPr>
            <w:tcW w:w="1569" w:type="dxa"/>
          </w:tcPr>
          <w:p w:rsidR="00000000" w:rsidRDefault="009C1C61">
            <w:pPr>
              <w:spacing w:before="40"/>
              <w:ind w:right="208"/>
              <w:jc w:val="right"/>
              <w:rPr>
                <w:sz w:val="20"/>
              </w:rPr>
            </w:pPr>
            <w:r>
              <w:rPr>
                <w:sz w:val="20"/>
              </w:rPr>
              <w:t>3,538,562</w:t>
            </w:r>
          </w:p>
          <w:p w:rsidR="00000000" w:rsidRDefault="009C1C61">
            <w:pPr>
              <w:spacing w:before="40"/>
              <w:ind w:right="208"/>
              <w:jc w:val="right"/>
              <w:rPr>
                <w:sz w:val="20"/>
              </w:rPr>
            </w:pPr>
            <w:r>
              <w:rPr>
                <w:sz w:val="20"/>
              </w:rPr>
              <w:t>(7,688)</w:t>
            </w:r>
          </w:p>
        </w:tc>
      </w:tr>
      <w:tr w:rsidR="00000000">
        <w:tblPrEx>
          <w:tblCellMar>
            <w:top w:w="0" w:type="dxa"/>
            <w:bottom w:w="0" w:type="dxa"/>
          </w:tblCellMar>
        </w:tblPrEx>
        <w:tc>
          <w:tcPr>
            <w:tcW w:w="1568" w:type="dxa"/>
          </w:tcPr>
          <w:p w:rsidR="00000000" w:rsidRDefault="009C1C61">
            <w:pPr>
              <w:pStyle w:val="Figurelegend"/>
              <w:spacing w:before="40"/>
              <w:jc w:val="center"/>
              <w:rPr>
                <w:rFonts w:hint="eastAsia"/>
                <w:iCs/>
              </w:rPr>
            </w:pPr>
            <w:r>
              <w:rPr>
                <w:rFonts w:hint="eastAsia"/>
                <w:iCs/>
              </w:rPr>
              <w:t>1998</w:t>
            </w:r>
          </w:p>
        </w:tc>
        <w:tc>
          <w:tcPr>
            <w:tcW w:w="1568" w:type="dxa"/>
          </w:tcPr>
          <w:p w:rsidR="00000000" w:rsidRDefault="009C1C61">
            <w:pPr>
              <w:spacing w:before="40"/>
              <w:ind w:right="208"/>
              <w:jc w:val="right"/>
              <w:rPr>
                <w:sz w:val="20"/>
              </w:rPr>
            </w:pPr>
            <w:r>
              <w:rPr>
                <w:sz w:val="20"/>
              </w:rPr>
              <w:t>2,747,662</w:t>
            </w:r>
          </w:p>
          <w:p w:rsidR="00000000" w:rsidRDefault="009C1C61">
            <w:pPr>
              <w:spacing w:before="40"/>
              <w:ind w:right="208"/>
              <w:jc w:val="right"/>
              <w:rPr>
                <w:sz w:val="20"/>
              </w:rPr>
            </w:pPr>
            <w:r>
              <w:rPr>
                <w:sz w:val="20"/>
              </w:rPr>
              <w:t>(5,969)</w:t>
            </w:r>
          </w:p>
        </w:tc>
        <w:tc>
          <w:tcPr>
            <w:tcW w:w="1568" w:type="dxa"/>
          </w:tcPr>
          <w:p w:rsidR="00000000" w:rsidRDefault="009C1C61">
            <w:pPr>
              <w:spacing w:before="40"/>
              <w:ind w:right="208"/>
              <w:jc w:val="right"/>
              <w:rPr>
                <w:sz w:val="20"/>
              </w:rPr>
            </w:pPr>
            <w:r>
              <w:rPr>
                <w:sz w:val="20"/>
              </w:rPr>
              <w:t>1,046,512</w:t>
            </w:r>
          </w:p>
          <w:p w:rsidR="00000000" w:rsidRDefault="009C1C61">
            <w:pPr>
              <w:spacing w:before="40"/>
              <w:ind w:right="208"/>
              <w:jc w:val="right"/>
              <w:rPr>
                <w:sz w:val="20"/>
              </w:rPr>
            </w:pPr>
            <w:r>
              <w:rPr>
                <w:sz w:val="20"/>
              </w:rPr>
              <w:t>(2,274)</w:t>
            </w:r>
          </w:p>
        </w:tc>
        <w:tc>
          <w:tcPr>
            <w:tcW w:w="1568" w:type="dxa"/>
          </w:tcPr>
          <w:p w:rsidR="00000000" w:rsidRDefault="009C1C61">
            <w:pPr>
              <w:spacing w:before="40"/>
              <w:ind w:right="208"/>
              <w:jc w:val="right"/>
              <w:rPr>
                <w:sz w:val="20"/>
              </w:rPr>
            </w:pPr>
            <w:r>
              <w:rPr>
                <w:sz w:val="20"/>
              </w:rPr>
              <w:t>319,329</w:t>
            </w:r>
          </w:p>
          <w:p w:rsidR="00000000" w:rsidRDefault="009C1C61">
            <w:pPr>
              <w:spacing w:before="40"/>
              <w:ind w:right="208"/>
              <w:jc w:val="right"/>
              <w:rPr>
                <w:sz w:val="20"/>
              </w:rPr>
            </w:pPr>
            <w:r>
              <w:rPr>
                <w:sz w:val="20"/>
              </w:rPr>
              <w:t>(694)</w:t>
            </w:r>
          </w:p>
        </w:tc>
        <w:tc>
          <w:tcPr>
            <w:tcW w:w="1569" w:type="dxa"/>
          </w:tcPr>
          <w:p w:rsidR="00000000" w:rsidRDefault="009C1C61">
            <w:pPr>
              <w:spacing w:before="40"/>
              <w:ind w:right="208"/>
              <w:jc w:val="right"/>
              <w:rPr>
                <w:sz w:val="20"/>
              </w:rPr>
            </w:pPr>
            <w:r>
              <w:rPr>
                <w:sz w:val="20"/>
              </w:rPr>
              <w:t>-</w:t>
            </w:r>
          </w:p>
        </w:tc>
        <w:tc>
          <w:tcPr>
            <w:tcW w:w="1569" w:type="dxa"/>
          </w:tcPr>
          <w:p w:rsidR="00000000" w:rsidRDefault="009C1C61">
            <w:pPr>
              <w:spacing w:before="40"/>
              <w:ind w:right="208"/>
              <w:jc w:val="right"/>
              <w:rPr>
                <w:sz w:val="20"/>
              </w:rPr>
            </w:pPr>
            <w:r>
              <w:rPr>
                <w:sz w:val="20"/>
              </w:rPr>
              <w:t>4,113,503</w:t>
            </w:r>
          </w:p>
          <w:p w:rsidR="00000000" w:rsidRDefault="009C1C61">
            <w:pPr>
              <w:spacing w:before="40"/>
              <w:ind w:right="208"/>
              <w:jc w:val="right"/>
              <w:rPr>
                <w:sz w:val="20"/>
              </w:rPr>
            </w:pPr>
            <w:r>
              <w:rPr>
                <w:sz w:val="20"/>
              </w:rPr>
              <w:t>(8,937)</w:t>
            </w:r>
          </w:p>
        </w:tc>
      </w:tr>
      <w:tr w:rsidR="00000000">
        <w:tblPrEx>
          <w:tblCellMar>
            <w:top w:w="0" w:type="dxa"/>
            <w:bottom w:w="0" w:type="dxa"/>
          </w:tblCellMar>
        </w:tblPrEx>
        <w:tc>
          <w:tcPr>
            <w:tcW w:w="1568" w:type="dxa"/>
          </w:tcPr>
          <w:p w:rsidR="00000000" w:rsidRDefault="009C1C61">
            <w:pPr>
              <w:pStyle w:val="a2"/>
              <w:spacing w:before="40"/>
              <w:jc w:val="center"/>
              <w:rPr>
                <w:rFonts w:hint="eastAsia"/>
                <w:iCs/>
                <w:snapToGrid/>
              </w:rPr>
            </w:pPr>
            <w:r>
              <w:rPr>
                <w:rFonts w:hint="eastAsia"/>
                <w:iCs/>
                <w:snapToGrid/>
              </w:rPr>
              <w:t>1999</w:t>
            </w:r>
          </w:p>
        </w:tc>
        <w:tc>
          <w:tcPr>
            <w:tcW w:w="1568" w:type="dxa"/>
          </w:tcPr>
          <w:p w:rsidR="00000000" w:rsidRDefault="009C1C61">
            <w:pPr>
              <w:spacing w:before="40"/>
              <w:ind w:right="208"/>
              <w:jc w:val="right"/>
              <w:rPr>
                <w:sz w:val="20"/>
              </w:rPr>
            </w:pPr>
            <w:r>
              <w:rPr>
                <w:sz w:val="20"/>
              </w:rPr>
              <w:t>2,904,145</w:t>
            </w:r>
          </w:p>
          <w:p w:rsidR="00000000" w:rsidRDefault="009C1C61">
            <w:pPr>
              <w:spacing w:before="40"/>
              <w:ind w:right="208"/>
              <w:jc w:val="right"/>
              <w:rPr>
                <w:sz w:val="20"/>
              </w:rPr>
            </w:pPr>
            <w:r>
              <w:rPr>
                <w:sz w:val="20"/>
              </w:rPr>
              <w:t>(6,309)</w:t>
            </w:r>
          </w:p>
        </w:tc>
        <w:tc>
          <w:tcPr>
            <w:tcW w:w="1568" w:type="dxa"/>
          </w:tcPr>
          <w:p w:rsidR="00000000" w:rsidRDefault="009C1C61">
            <w:pPr>
              <w:spacing w:before="40"/>
              <w:ind w:right="208"/>
              <w:jc w:val="right"/>
              <w:rPr>
                <w:sz w:val="20"/>
              </w:rPr>
            </w:pPr>
            <w:r>
              <w:rPr>
                <w:sz w:val="20"/>
              </w:rPr>
              <w:t>1,</w:t>
            </w:r>
            <w:r>
              <w:rPr>
                <w:sz w:val="20"/>
              </w:rPr>
              <w:t>067,270</w:t>
            </w:r>
          </w:p>
          <w:p w:rsidR="00000000" w:rsidRDefault="009C1C61">
            <w:pPr>
              <w:spacing w:before="40"/>
              <w:ind w:right="208"/>
              <w:jc w:val="right"/>
              <w:rPr>
                <w:sz w:val="20"/>
              </w:rPr>
            </w:pPr>
            <w:r>
              <w:rPr>
                <w:sz w:val="20"/>
              </w:rPr>
              <w:t>(2,319)</w:t>
            </w:r>
          </w:p>
        </w:tc>
        <w:tc>
          <w:tcPr>
            <w:tcW w:w="1568" w:type="dxa"/>
          </w:tcPr>
          <w:p w:rsidR="00000000" w:rsidRDefault="009C1C61">
            <w:pPr>
              <w:spacing w:before="40"/>
              <w:ind w:right="208"/>
              <w:jc w:val="right"/>
              <w:rPr>
                <w:sz w:val="20"/>
              </w:rPr>
            </w:pPr>
            <w:r>
              <w:rPr>
                <w:sz w:val="20"/>
              </w:rPr>
              <w:t>325,663</w:t>
            </w:r>
          </w:p>
          <w:p w:rsidR="00000000" w:rsidRDefault="009C1C61">
            <w:pPr>
              <w:spacing w:before="40"/>
              <w:ind w:right="208"/>
              <w:jc w:val="right"/>
              <w:rPr>
                <w:sz w:val="20"/>
              </w:rPr>
            </w:pPr>
            <w:r>
              <w:rPr>
                <w:sz w:val="20"/>
              </w:rPr>
              <w:t>(708)</w:t>
            </w:r>
          </w:p>
        </w:tc>
        <w:tc>
          <w:tcPr>
            <w:tcW w:w="1569" w:type="dxa"/>
          </w:tcPr>
          <w:p w:rsidR="00000000" w:rsidRDefault="009C1C61">
            <w:pPr>
              <w:spacing w:before="40"/>
              <w:ind w:right="208"/>
              <w:jc w:val="right"/>
              <w:rPr>
                <w:sz w:val="20"/>
              </w:rPr>
            </w:pPr>
            <w:r>
              <w:rPr>
                <w:sz w:val="20"/>
              </w:rPr>
              <w:t>-</w:t>
            </w:r>
          </w:p>
        </w:tc>
        <w:tc>
          <w:tcPr>
            <w:tcW w:w="1569" w:type="dxa"/>
          </w:tcPr>
          <w:p w:rsidR="00000000" w:rsidRDefault="009C1C61">
            <w:pPr>
              <w:spacing w:before="40"/>
              <w:ind w:right="208"/>
              <w:jc w:val="right"/>
              <w:rPr>
                <w:sz w:val="20"/>
              </w:rPr>
            </w:pPr>
            <w:r>
              <w:rPr>
                <w:sz w:val="20"/>
              </w:rPr>
              <w:t>4,297,078</w:t>
            </w:r>
          </w:p>
          <w:p w:rsidR="00000000" w:rsidRDefault="009C1C61">
            <w:pPr>
              <w:spacing w:before="40"/>
              <w:ind w:right="208"/>
              <w:jc w:val="right"/>
              <w:rPr>
                <w:sz w:val="20"/>
              </w:rPr>
            </w:pPr>
            <w:r>
              <w:rPr>
                <w:sz w:val="20"/>
              </w:rPr>
              <w:t>(9,336)</w:t>
            </w:r>
          </w:p>
        </w:tc>
      </w:tr>
      <w:tr w:rsidR="00000000">
        <w:tblPrEx>
          <w:tblCellMar>
            <w:top w:w="0" w:type="dxa"/>
            <w:bottom w:w="0" w:type="dxa"/>
          </w:tblCellMar>
        </w:tblPrEx>
        <w:tc>
          <w:tcPr>
            <w:tcW w:w="1568" w:type="dxa"/>
          </w:tcPr>
          <w:p w:rsidR="00000000" w:rsidRDefault="009C1C61">
            <w:pPr>
              <w:pStyle w:val="a2"/>
              <w:spacing w:before="40"/>
              <w:jc w:val="center"/>
              <w:rPr>
                <w:rFonts w:hint="eastAsia"/>
                <w:snapToGrid/>
              </w:rPr>
            </w:pPr>
            <w:r>
              <w:rPr>
                <w:rFonts w:hint="eastAsia"/>
                <w:snapToGrid/>
              </w:rPr>
              <w:t>合</w:t>
            </w:r>
            <w:r>
              <w:rPr>
                <w:snapToGrid/>
              </w:rPr>
              <w:t xml:space="preserve">  </w:t>
            </w:r>
            <w:r>
              <w:rPr>
                <w:rFonts w:hint="eastAsia"/>
                <w:snapToGrid/>
              </w:rPr>
              <w:t>计</w:t>
            </w:r>
          </w:p>
        </w:tc>
        <w:tc>
          <w:tcPr>
            <w:tcW w:w="1568" w:type="dxa"/>
          </w:tcPr>
          <w:p w:rsidR="00000000" w:rsidRDefault="009C1C61">
            <w:pPr>
              <w:spacing w:before="40"/>
              <w:ind w:right="208"/>
              <w:jc w:val="right"/>
              <w:rPr>
                <w:sz w:val="20"/>
              </w:rPr>
            </w:pPr>
            <w:r>
              <w:rPr>
                <w:sz w:val="20"/>
              </w:rPr>
              <w:t>127,222,612</w:t>
            </w:r>
          </w:p>
          <w:p w:rsidR="00000000" w:rsidRDefault="009C1C61">
            <w:pPr>
              <w:spacing w:before="40"/>
              <w:ind w:right="208"/>
              <w:jc w:val="right"/>
              <w:rPr>
                <w:sz w:val="20"/>
              </w:rPr>
            </w:pPr>
            <w:r>
              <w:rPr>
                <w:sz w:val="20"/>
              </w:rPr>
              <w:t>(276,397)</w:t>
            </w:r>
          </w:p>
        </w:tc>
        <w:tc>
          <w:tcPr>
            <w:tcW w:w="1568" w:type="dxa"/>
          </w:tcPr>
          <w:p w:rsidR="00000000" w:rsidRDefault="009C1C61">
            <w:pPr>
              <w:spacing w:before="40"/>
              <w:ind w:right="208"/>
              <w:jc w:val="right"/>
              <w:rPr>
                <w:sz w:val="20"/>
              </w:rPr>
            </w:pPr>
            <w:r>
              <w:rPr>
                <w:sz w:val="20"/>
              </w:rPr>
              <w:t>6,198,924</w:t>
            </w:r>
          </w:p>
          <w:p w:rsidR="00000000" w:rsidRDefault="009C1C61">
            <w:pPr>
              <w:spacing w:before="40"/>
              <w:ind w:right="208"/>
              <w:jc w:val="right"/>
              <w:rPr>
                <w:sz w:val="20"/>
              </w:rPr>
            </w:pPr>
            <w:r>
              <w:rPr>
                <w:sz w:val="20"/>
              </w:rPr>
              <w:t>(13,467)</w:t>
            </w:r>
          </w:p>
        </w:tc>
        <w:tc>
          <w:tcPr>
            <w:tcW w:w="1568" w:type="dxa"/>
          </w:tcPr>
          <w:p w:rsidR="00000000" w:rsidRDefault="009C1C61">
            <w:pPr>
              <w:spacing w:before="40"/>
              <w:ind w:right="208"/>
              <w:jc w:val="right"/>
              <w:rPr>
                <w:sz w:val="20"/>
              </w:rPr>
            </w:pPr>
            <w:r>
              <w:rPr>
                <w:sz w:val="20"/>
              </w:rPr>
              <w:t>1,296,077</w:t>
            </w:r>
          </w:p>
          <w:p w:rsidR="00000000" w:rsidRDefault="009C1C61">
            <w:pPr>
              <w:spacing w:before="40"/>
              <w:ind w:right="208"/>
              <w:jc w:val="right"/>
              <w:rPr>
                <w:sz w:val="20"/>
              </w:rPr>
            </w:pPr>
            <w:r>
              <w:rPr>
                <w:sz w:val="20"/>
              </w:rPr>
              <w:t>(2,816)</w:t>
            </w:r>
          </w:p>
        </w:tc>
        <w:tc>
          <w:tcPr>
            <w:tcW w:w="1569" w:type="dxa"/>
          </w:tcPr>
          <w:p w:rsidR="00000000" w:rsidRDefault="009C1C61">
            <w:pPr>
              <w:spacing w:before="40"/>
              <w:ind w:right="208"/>
              <w:jc w:val="right"/>
              <w:rPr>
                <w:sz w:val="20"/>
              </w:rPr>
            </w:pPr>
            <w:r>
              <w:rPr>
                <w:sz w:val="20"/>
              </w:rPr>
              <w:t>334,429</w:t>
            </w:r>
          </w:p>
          <w:p w:rsidR="00000000" w:rsidRDefault="009C1C61">
            <w:pPr>
              <w:spacing w:before="40"/>
              <w:ind w:right="208"/>
              <w:jc w:val="right"/>
              <w:rPr>
                <w:sz w:val="20"/>
              </w:rPr>
            </w:pPr>
            <w:r>
              <w:rPr>
                <w:sz w:val="20"/>
              </w:rPr>
              <w:t>(727)</w:t>
            </w:r>
          </w:p>
        </w:tc>
        <w:tc>
          <w:tcPr>
            <w:tcW w:w="1569" w:type="dxa"/>
          </w:tcPr>
          <w:p w:rsidR="00000000" w:rsidRDefault="009C1C61">
            <w:pPr>
              <w:spacing w:before="40"/>
              <w:ind w:right="208"/>
              <w:jc w:val="right"/>
              <w:rPr>
                <w:sz w:val="20"/>
              </w:rPr>
            </w:pPr>
            <w:r>
              <w:rPr>
                <w:sz w:val="20"/>
              </w:rPr>
              <w:t>-</w:t>
            </w:r>
          </w:p>
        </w:tc>
      </w:tr>
    </w:tbl>
    <w:p w:rsidR="00000000" w:rsidRDefault="009C1C61">
      <w:pPr>
        <w:rPr>
          <w:rFonts w:eastAsia="KaiTi_GB2312"/>
          <w:snapToGrid/>
          <w:spacing w:val="0"/>
        </w:rPr>
      </w:pPr>
    </w:p>
    <w:p w:rsidR="00000000" w:rsidRDefault="009C1C61">
      <w:pPr>
        <w:spacing w:line="240" w:lineRule="auto"/>
        <w:ind w:left="1020" w:hanging="1020"/>
        <w:rPr>
          <w:rFonts w:eastAsia="KaiTi_GB2312" w:hint="eastAsia"/>
          <w:snapToGrid/>
          <w:spacing w:val="0"/>
          <w:sz w:val="20"/>
        </w:rPr>
      </w:pPr>
      <w:r>
        <w:rPr>
          <w:rFonts w:eastAsia="KaiTi_GB2312" w:hint="eastAsia"/>
          <w:snapToGrid/>
          <w:spacing w:val="0"/>
          <w:sz w:val="20"/>
          <w:u w:val="single"/>
        </w:rPr>
        <w:t>资料来源</w:t>
      </w:r>
      <w:r>
        <w:rPr>
          <w:rFonts w:eastAsia="KaiTi_GB2312" w:hint="eastAsia"/>
          <w:snapToGrid/>
          <w:spacing w:val="0"/>
          <w:sz w:val="20"/>
        </w:rPr>
        <w:t>：</w:t>
      </w:r>
      <w:r>
        <w:rPr>
          <w:rFonts w:eastAsia="KaiTi_GB2312"/>
          <w:snapToGrid/>
          <w:spacing w:val="0"/>
          <w:sz w:val="20"/>
        </w:rPr>
        <w:t>Patricia Moscoso Pinto, Cifras</w:t>
      </w:r>
      <w:r>
        <w:rPr>
          <w:rFonts w:eastAsia="KaiTi_GB2312"/>
          <w:snapToGrid/>
          <w:spacing w:val="0"/>
          <w:sz w:val="20"/>
        </w:rPr>
        <w:t>：</w:t>
      </w:r>
      <w:r>
        <w:rPr>
          <w:rFonts w:eastAsia="KaiTi_GB2312"/>
          <w:snapToGrid/>
          <w:spacing w:val="0"/>
          <w:sz w:val="20"/>
        </w:rPr>
        <w:t xml:space="preserve"> superficie resbaladizas in Revista Cultura 1990-2000</w:t>
      </w:r>
      <w:r>
        <w:rPr>
          <w:rFonts w:eastAsia="KaiTi_GB2312" w:hint="eastAsia"/>
          <w:snapToGrid/>
          <w:spacing w:val="0"/>
          <w:sz w:val="20"/>
        </w:rPr>
        <w:t>年第</w:t>
      </w:r>
      <w:r>
        <w:rPr>
          <w:rFonts w:eastAsia="KaiTi_GB2312"/>
          <w:snapToGrid/>
          <w:spacing w:val="0"/>
          <w:sz w:val="20"/>
        </w:rPr>
        <w:t>25</w:t>
      </w:r>
      <w:r>
        <w:rPr>
          <w:rFonts w:eastAsia="KaiTi_GB2312" w:hint="eastAsia"/>
          <w:snapToGrid/>
          <w:spacing w:val="0"/>
          <w:sz w:val="20"/>
        </w:rPr>
        <w:t>号：文化发展十年。政府部长</w:t>
      </w:r>
      <w:r>
        <w:rPr>
          <w:rFonts w:eastAsia="KaiTi_GB2312"/>
          <w:snapToGrid/>
          <w:spacing w:val="0"/>
          <w:sz w:val="20"/>
        </w:rPr>
        <w:t>-</w:t>
      </w:r>
      <w:r>
        <w:rPr>
          <w:rFonts w:eastAsia="KaiTi_GB2312" w:hint="eastAsia"/>
          <w:snapToGrid/>
          <w:spacing w:val="0"/>
          <w:sz w:val="20"/>
        </w:rPr>
        <w:t>秘书长办公厅。</w:t>
      </w:r>
    </w:p>
    <w:p w:rsidR="00000000" w:rsidRDefault="009C1C61">
      <w:pPr>
        <w:spacing w:line="240" w:lineRule="auto"/>
        <w:rPr>
          <w:rFonts w:eastAsia="KaiTi_GB2312" w:hint="eastAsia"/>
          <w:snapToGrid/>
          <w:spacing w:val="0"/>
          <w:sz w:val="20"/>
        </w:rPr>
      </w:pPr>
      <w:r>
        <w:rPr>
          <w:rFonts w:eastAsia="KaiTi_GB2312" w:hint="eastAsia"/>
          <w:snapToGrid/>
          <w:spacing w:val="0"/>
          <w:sz w:val="20"/>
        </w:rPr>
        <w:tab/>
      </w:r>
      <w:r>
        <w:rPr>
          <w:rFonts w:eastAsia="KaiTi_GB2312"/>
          <w:snapToGrid/>
          <w:spacing w:val="0"/>
          <w:sz w:val="20"/>
        </w:rPr>
        <w:t>*</w:t>
      </w:r>
      <w:r>
        <w:rPr>
          <w:rFonts w:eastAsia="KaiTi_GB2312" w:hint="eastAsia"/>
          <w:snapToGrid/>
          <w:spacing w:val="0"/>
          <w:sz w:val="20"/>
        </w:rPr>
        <w:tab/>
      </w:r>
      <w:r>
        <w:rPr>
          <w:rFonts w:eastAsia="KaiTi_GB2312" w:hint="eastAsia"/>
          <w:snapToGrid/>
          <w:spacing w:val="0"/>
          <w:sz w:val="20"/>
        </w:rPr>
        <w:t>包括工作人员费用。</w:t>
      </w:r>
    </w:p>
    <w:p w:rsidR="00000000" w:rsidRDefault="009C1C61">
      <w:pPr>
        <w:spacing w:after="320" w:line="240" w:lineRule="auto"/>
        <w:rPr>
          <w:rFonts w:eastAsia="KaiTi_GB2312" w:hint="eastAsia"/>
          <w:snapToGrid/>
          <w:spacing w:val="0"/>
          <w:sz w:val="20"/>
        </w:rPr>
      </w:pPr>
      <w:r>
        <w:rPr>
          <w:rFonts w:eastAsia="KaiTi_GB2312" w:hint="eastAsia"/>
          <w:snapToGrid/>
          <w:spacing w:val="0"/>
          <w:sz w:val="20"/>
        </w:rPr>
        <w:tab/>
      </w:r>
      <w:r>
        <w:rPr>
          <w:rFonts w:eastAsia="KaiTi_GB2312"/>
          <w:snapToGrid/>
          <w:spacing w:val="0"/>
          <w:sz w:val="20"/>
        </w:rPr>
        <w:t>**</w:t>
      </w:r>
      <w:r>
        <w:rPr>
          <w:rFonts w:eastAsia="KaiTi_GB2312" w:hint="eastAsia"/>
          <w:snapToGrid/>
          <w:spacing w:val="0"/>
          <w:sz w:val="20"/>
        </w:rPr>
        <w:tab/>
      </w:r>
      <w:r>
        <w:rPr>
          <w:rFonts w:eastAsia="KaiTi_GB2312" w:hint="eastAsia"/>
          <w:snapToGrid/>
          <w:spacing w:val="0"/>
          <w:sz w:val="20"/>
        </w:rPr>
        <w:t>不包括工作人员和行政管理费用。</w:t>
      </w:r>
    </w:p>
    <w:p w:rsidR="00000000" w:rsidRDefault="009C1C61">
      <w:pPr>
        <w:spacing w:after="120"/>
        <w:rPr>
          <w:rFonts w:hint="eastAsia"/>
          <w:snapToGrid/>
        </w:rPr>
      </w:pPr>
      <w:r>
        <w:rPr>
          <w:rFonts w:hint="eastAsia"/>
          <w:snapToGrid/>
        </w:rPr>
        <w:t>文发基金：艺术和文化发展基金；</w:t>
      </w:r>
      <w:r>
        <w:rPr>
          <w:snapToGrid/>
        </w:rPr>
        <w:t>FNLL</w:t>
      </w:r>
      <w:r>
        <w:rPr>
          <w:rFonts w:hint="eastAsia"/>
          <w:snapToGrid/>
        </w:rPr>
        <w:t>：全国图书和阅</w:t>
      </w:r>
      <w:r>
        <w:rPr>
          <w:rFonts w:hint="eastAsia"/>
          <w:snapToGrid/>
        </w:rPr>
        <w:t>读基金；</w:t>
      </w:r>
      <w:r>
        <w:rPr>
          <w:snapToGrid/>
        </w:rPr>
        <w:t>FDEA</w:t>
      </w:r>
      <w:r>
        <w:rPr>
          <w:rFonts w:hint="eastAsia"/>
          <w:snapToGrid/>
        </w:rPr>
        <w:t>：艺术学校发展基金；文助基金：区域文化倡议支助基金。</w:t>
      </w:r>
    </w:p>
    <w:p w:rsidR="00000000" w:rsidRDefault="009C1C61">
      <w:pPr>
        <w:spacing w:after="320"/>
        <w:rPr>
          <w:rFonts w:hint="eastAsia"/>
          <w:snapToGrid/>
        </w:rPr>
      </w:pPr>
      <w:r>
        <w:rPr>
          <w:rFonts w:hint="eastAsia"/>
          <w:snapToGrid/>
        </w:rPr>
        <w:tab/>
        <w:t xml:space="preserve">824.  </w:t>
      </w:r>
      <w:r>
        <w:rPr>
          <w:rFonts w:hint="eastAsia"/>
          <w:snapToGrid/>
        </w:rPr>
        <w:t>对竞争性基金变化所作的分析显示：文发基金是唯一大量增长的基金。这种情况也反映在对若干艺术部门或学科拨款的增加。造型艺术方面受补贴的项目在</w:t>
      </w:r>
      <w:r>
        <w:rPr>
          <w:rFonts w:hint="eastAsia"/>
          <w:snapToGrid/>
        </w:rPr>
        <w:t>1992</w:t>
      </w:r>
      <w:r>
        <w:rPr>
          <w:rFonts w:hint="eastAsia"/>
          <w:snapToGrid/>
        </w:rPr>
        <w:t>年为</w:t>
      </w:r>
      <w:r>
        <w:rPr>
          <w:rFonts w:hint="eastAsia"/>
          <w:snapToGrid/>
        </w:rPr>
        <w:t>44</w:t>
      </w:r>
      <w:r>
        <w:rPr>
          <w:rFonts w:hint="eastAsia"/>
          <w:snapToGrid/>
        </w:rPr>
        <w:t>个，到</w:t>
      </w:r>
      <w:r>
        <w:rPr>
          <w:rFonts w:hint="eastAsia"/>
          <w:snapToGrid/>
        </w:rPr>
        <w:t>1998</w:t>
      </w:r>
      <w:r>
        <w:rPr>
          <w:rFonts w:hint="eastAsia"/>
          <w:snapToGrid/>
        </w:rPr>
        <w:t>年增加为</w:t>
      </w:r>
      <w:r>
        <w:rPr>
          <w:rFonts w:hint="eastAsia"/>
          <w:snapToGrid/>
        </w:rPr>
        <w:t>84</w:t>
      </w:r>
      <w:r>
        <w:rPr>
          <w:rFonts w:hint="eastAsia"/>
          <w:snapToGrid/>
        </w:rPr>
        <w:t>个；在同一段期间，视听项目从</w:t>
      </w:r>
      <w:r>
        <w:rPr>
          <w:rFonts w:hint="eastAsia"/>
          <w:snapToGrid/>
        </w:rPr>
        <w:t>21</w:t>
      </w:r>
      <w:r>
        <w:rPr>
          <w:rFonts w:hint="eastAsia"/>
          <w:snapToGrid/>
        </w:rPr>
        <w:t>个增加为</w:t>
      </w:r>
      <w:r>
        <w:rPr>
          <w:rFonts w:hint="eastAsia"/>
          <w:snapToGrid/>
        </w:rPr>
        <w:t>57</w:t>
      </w:r>
      <w:r>
        <w:rPr>
          <w:rFonts w:hint="eastAsia"/>
          <w:snapToGrid/>
        </w:rPr>
        <w:t>个；文学项目从</w:t>
      </w:r>
      <w:r>
        <w:rPr>
          <w:rFonts w:hint="eastAsia"/>
          <w:snapToGrid/>
        </w:rPr>
        <w:t>35</w:t>
      </w:r>
      <w:r>
        <w:rPr>
          <w:rFonts w:hint="eastAsia"/>
          <w:snapToGrid/>
        </w:rPr>
        <w:t>个增加为</w:t>
      </w:r>
      <w:r>
        <w:rPr>
          <w:rFonts w:hint="eastAsia"/>
          <w:snapToGrid/>
        </w:rPr>
        <w:t>49</w:t>
      </w:r>
      <w:r>
        <w:rPr>
          <w:rFonts w:hint="eastAsia"/>
          <w:snapToGrid/>
        </w:rPr>
        <w:t>个</w:t>
      </w:r>
      <w:r>
        <w:rPr>
          <w:rFonts w:hint="eastAsia"/>
          <w:snapToGrid/>
        </w:rPr>
        <w:t>(</w:t>
      </w:r>
      <w:r>
        <w:rPr>
          <w:rFonts w:hint="eastAsia"/>
          <w:snapToGrid/>
        </w:rPr>
        <w:t>这些项目也从书籍基金得到补助</w:t>
      </w:r>
      <w:r>
        <w:rPr>
          <w:rFonts w:hint="eastAsia"/>
          <w:snapToGrid/>
        </w:rPr>
        <w:t>)</w:t>
      </w:r>
      <w:r>
        <w:rPr>
          <w:rFonts w:hint="eastAsia"/>
          <w:snapToGrid/>
        </w:rPr>
        <w:t>；表演艺术项目</w:t>
      </w:r>
      <w:r>
        <w:rPr>
          <w:rFonts w:hint="eastAsia"/>
          <w:snapToGrid/>
        </w:rPr>
        <w:t>(</w:t>
      </w:r>
      <w:r>
        <w:rPr>
          <w:rFonts w:hint="eastAsia"/>
          <w:snapToGrid/>
        </w:rPr>
        <w:t>舞蹈和戏剧</w:t>
      </w:r>
      <w:r>
        <w:rPr>
          <w:rFonts w:hint="eastAsia"/>
          <w:snapToGrid/>
        </w:rPr>
        <w:t>)</w:t>
      </w:r>
      <w:r>
        <w:rPr>
          <w:rFonts w:hint="eastAsia"/>
          <w:snapToGrid/>
        </w:rPr>
        <w:t>从</w:t>
      </w:r>
      <w:r>
        <w:rPr>
          <w:rFonts w:hint="eastAsia"/>
          <w:snapToGrid/>
        </w:rPr>
        <w:t>24</w:t>
      </w:r>
      <w:r>
        <w:rPr>
          <w:rFonts w:hint="eastAsia"/>
          <w:snapToGrid/>
        </w:rPr>
        <w:t>个增加为</w:t>
      </w:r>
      <w:r>
        <w:rPr>
          <w:rFonts w:hint="eastAsia"/>
          <w:snapToGrid/>
        </w:rPr>
        <w:t>59</w:t>
      </w:r>
      <w:r>
        <w:rPr>
          <w:rFonts w:hint="eastAsia"/>
          <w:snapToGrid/>
        </w:rPr>
        <w:t>个。</w:t>
      </w:r>
    </w:p>
    <w:p w:rsidR="00000000" w:rsidRDefault="009C1C61">
      <w:pPr>
        <w:pStyle w:val="Heading3"/>
      </w:pPr>
      <w:r>
        <w:rPr>
          <w:rFonts w:hint="eastAsia"/>
        </w:rPr>
        <w:t>表</w:t>
      </w:r>
      <w:r>
        <w:rPr>
          <w:rFonts w:hint="eastAsia"/>
        </w:rPr>
        <w:t xml:space="preserve">  </w:t>
      </w:r>
      <w:r>
        <w:rPr>
          <w:rFonts w:hint="eastAsia"/>
          <w:b/>
          <w:bCs/>
        </w:rPr>
        <w:t>45</w:t>
      </w:r>
      <w:r>
        <w:rPr>
          <w:b/>
          <w:bCs/>
        </w:rPr>
        <w:br/>
      </w:r>
      <w:r>
        <w:rPr>
          <w:rFonts w:hint="eastAsia"/>
        </w:rPr>
        <w:t>按主题分列的文艺发展基金选定项目</w:t>
      </w: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3"/>
        <w:gridCol w:w="941"/>
        <w:gridCol w:w="941"/>
        <w:gridCol w:w="941"/>
        <w:gridCol w:w="941"/>
        <w:gridCol w:w="941"/>
        <w:gridCol w:w="941"/>
        <w:gridCol w:w="941"/>
        <w:gridCol w:w="868"/>
      </w:tblGrid>
      <w:tr w:rsidR="00000000">
        <w:tblPrEx>
          <w:tblCellMar>
            <w:top w:w="0" w:type="dxa"/>
            <w:bottom w:w="0" w:type="dxa"/>
          </w:tblCellMar>
        </w:tblPrEx>
        <w:trPr>
          <w:cantSplit/>
        </w:trPr>
        <w:tc>
          <w:tcPr>
            <w:tcW w:w="2023" w:type="dxa"/>
          </w:tcPr>
          <w:p w:rsidR="00000000" w:rsidRDefault="009C1C61">
            <w:pPr>
              <w:pStyle w:val="a2"/>
              <w:spacing w:before="60" w:after="60" w:line="240" w:lineRule="auto"/>
              <w:jc w:val="center"/>
              <w:rPr>
                <w:rFonts w:hint="eastAsia"/>
                <w:snapToGrid/>
              </w:rPr>
            </w:pPr>
            <w:r>
              <w:rPr>
                <w:rFonts w:hint="eastAsia"/>
                <w:snapToGrid/>
              </w:rPr>
              <w:t>主</w:t>
            </w:r>
            <w:r>
              <w:rPr>
                <w:rFonts w:hint="eastAsia"/>
                <w:snapToGrid/>
              </w:rPr>
              <w:t xml:space="preserve">    </w:t>
            </w:r>
            <w:r>
              <w:rPr>
                <w:rFonts w:hint="eastAsia"/>
                <w:snapToGrid/>
              </w:rPr>
              <w:t>题</w:t>
            </w:r>
          </w:p>
        </w:tc>
        <w:tc>
          <w:tcPr>
            <w:tcW w:w="941" w:type="dxa"/>
          </w:tcPr>
          <w:p w:rsidR="00000000" w:rsidRDefault="009C1C61">
            <w:pPr>
              <w:pStyle w:val="a2"/>
              <w:spacing w:before="60" w:after="60" w:line="240" w:lineRule="auto"/>
              <w:jc w:val="center"/>
              <w:rPr>
                <w:rFonts w:hint="eastAsia"/>
                <w:snapToGrid/>
              </w:rPr>
            </w:pPr>
            <w:r>
              <w:rPr>
                <w:rFonts w:hint="eastAsia"/>
                <w:snapToGrid/>
              </w:rPr>
              <w:t>1992</w:t>
            </w:r>
          </w:p>
        </w:tc>
        <w:tc>
          <w:tcPr>
            <w:tcW w:w="941" w:type="dxa"/>
          </w:tcPr>
          <w:p w:rsidR="00000000" w:rsidRDefault="009C1C61">
            <w:pPr>
              <w:pStyle w:val="a2"/>
              <w:spacing w:before="60" w:after="60" w:line="240" w:lineRule="auto"/>
              <w:jc w:val="center"/>
              <w:rPr>
                <w:rFonts w:hint="eastAsia"/>
                <w:snapToGrid/>
              </w:rPr>
            </w:pPr>
            <w:r>
              <w:rPr>
                <w:rFonts w:hint="eastAsia"/>
                <w:snapToGrid/>
              </w:rPr>
              <w:t>1993</w:t>
            </w:r>
          </w:p>
        </w:tc>
        <w:tc>
          <w:tcPr>
            <w:tcW w:w="941" w:type="dxa"/>
          </w:tcPr>
          <w:p w:rsidR="00000000" w:rsidRDefault="009C1C61">
            <w:pPr>
              <w:pStyle w:val="a2"/>
              <w:spacing w:before="60" w:after="60" w:line="240" w:lineRule="auto"/>
              <w:jc w:val="center"/>
              <w:rPr>
                <w:rFonts w:hint="eastAsia"/>
                <w:snapToGrid/>
              </w:rPr>
            </w:pPr>
            <w:r>
              <w:rPr>
                <w:rFonts w:hint="eastAsia"/>
                <w:snapToGrid/>
              </w:rPr>
              <w:t>1994</w:t>
            </w:r>
          </w:p>
        </w:tc>
        <w:tc>
          <w:tcPr>
            <w:tcW w:w="941" w:type="dxa"/>
          </w:tcPr>
          <w:p w:rsidR="00000000" w:rsidRDefault="009C1C61">
            <w:pPr>
              <w:pStyle w:val="a2"/>
              <w:spacing w:before="60" w:after="60" w:line="240" w:lineRule="auto"/>
              <w:jc w:val="center"/>
              <w:rPr>
                <w:rFonts w:hint="eastAsia"/>
                <w:snapToGrid/>
              </w:rPr>
            </w:pPr>
            <w:r>
              <w:rPr>
                <w:rFonts w:hint="eastAsia"/>
                <w:snapToGrid/>
              </w:rPr>
              <w:t>1995</w:t>
            </w:r>
          </w:p>
        </w:tc>
        <w:tc>
          <w:tcPr>
            <w:tcW w:w="941" w:type="dxa"/>
          </w:tcPr>
          <w:p w:rsidR="00000000" w:rsidRDefault="009C1C61">
            <w:pPr>
              <w:pStyle w:val="a2"/>
              <w:spacing w:before="60" w:after="60" w:line="240" w:lineRule="auto"/>
              <w:jc w:val="center"/>
              <w:rPr>
                <w:rFonts w:hint="eastAsia"/>
                <w:snapToGrid/>
              </w:rPr>
            </w:pPr>
            <w:r>
              <w:rPr>
                <w:rFonts w:hint="eastAsia"/>
                <w:snapToGrid/>
              </w:rPr>
              <w:t>1996</w:t>
            </w:r>
          </w:p>
        </w:tc>
        <w:tc>
          <w:tcPr>
            <w:tcW w:w="941" w:type="dxa"/>
          </w:tcPr>
          <w:p w:rsidR="00000000" w:rsidRDefault="009C1C61">
            <w:pPr>
              <w:pStyle w:val="a2"/>
              <w:spacing w:before="60" w:after="60" w:line="240" w:lineRule="auto"/>
              <w:jc w:val="center"/>
              <w:rPr>
                <w:rFonts w:hint="eastAsia"/>
                <w:snapToGrid/>
              </w:rPr>
            </w:pPr>
            <w:r>
              <w:rPr>
                <w:rFonts w:hint="eastAsia"/>
                <w:snapToGrid/>
              </w:rPr>
              <w:t>1997</w:t>
            </w:r>
          </w:p>
        </w:tc>
        <w:tc>
          <w:tcPr>
            <w:tcW w:w="941" w:type="dxa"/>
          </w:tcPr>
          <w:p w:rsidR="00000000" w:rsidRDefault="009C1C61">
            <w:pPr>
              <w:pStyle w:val="a2"/>
              <w:spacing w:before="60" w:after="60" w:line="240" w:lineRule="auto"/>
              <w:jc w:val="center"/>
              <w:rPr>
                <w:rFonts w:hint="eastAsia"/>
                <w:snapToGrid/>
              </w:rPr>
            </w:pPr>
            <w:r>
              <w:rPr>
                <w:rFonts w:hint="eastAsia"/>
                <w:snapToGrid/>
              </w:rPr>
              <w:t>1998</w:t>
            </w:r>
          </w:p>
        </w:tc>
        <w:tc>
          <w:tcPr>
            <w:tcW w:w="868" w:type="dxa"/>
          </w:tcPr>
          <w:p w:rsidR="00000000" w:rsidRDefault="009C1C61">
            <w:pPr>
              <w:pStyle w:val="a2"/>
              <w:spacing w:before="60" w:after="60" w:line="240" w:lineRule="auto"/>
              <w:jc w:val="center"/>
              <w:rPr>
                <w:rFonts w:hint="eastAsia"/>
                <w:snapToGrid/>
              </w:rPr>
            </w:pPr>
            <w:r>
              <w:rPr>
                <w:rFonts w:hint="eastAsia"/>
                <w:snapToGrid/>
              </w:rPr>
              <w:t>合</w:t>
            </w:r>
            <w:r>
              <w:rPr>
                <w:rFonts w:hint="eastAsia"/>
                <w:snapToGrid/>
              </w:rPr>
              <w:t xml:space="preserve"> </w:t>
            </w:r>
            <w:r>
              <w:rPr>
                <w:rFonts w:hint="eastAsia"/>
                <w:snapToGrid/>
              </w:rPr>
              <w:t>计</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造型艺术</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54</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58</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98</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20</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42</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84</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405</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视觉艺术</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21</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56</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69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44</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46</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57</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336</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表演艺术</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24</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38</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70</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191</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音乐</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44</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80</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67</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54</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360</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文学</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35</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51</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93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38</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40</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306</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地方文化</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29</w:t>
            </w:r>
          </w:p>
        </w:tc>
      </w:tr>
      <w:tr w:rsidR="00000000">
        <w:tblPrEx>
          <w:tblCellMar>
            <w:top w:w="0" w:type="dxa"/>
            <w:bottom w:w="0" w:type="dxa"/>
          </w:tblCellMar>
        </w:tblPrEx>
        <w:trPr>
          <w:cantSplit/>
        </w:trPr>
        <w:tc>
          <w:tcPr>
            <w:tcW w:w="2023" w:type="dxa"/>
          </w:tcPr>
          <w:p w:rsidR="00000000" w:rsidRDefault="009C1C61">
            <w:pPr>
              <w:pStyle w:val="Figurelegend"/>
              <w:spacing w:before="40"/>
              <w:rPr>
                <w:rFonts w:hint="eastAsia"/>
                <w:lang w:eastAsia="zh-CN"/>
              </w:rPr>
            </w:pPr>
            <w:r>
              <w:rPr>
                <w:rFonts w:hint="eastAsia"/>
                <w:lang w:eastAsia="zh-CN"/>
              </w:rPr>
              <w:t>传统文化</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40</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36</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71</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223</w:t>
            </w:r>
          </w:p>
        </w:tc>
      </w:tr>
      <w:tr w:rsidR="00000000">
        <w:tblPrEx>
          <w:tblCellMar>
            <w:top w:w="0" w:type="dxa"/>
            <w:bottom w:w="0" w:type="dxa"/>
          </w:tblCellMar>
        </w:tblPrEx>
        <w:trPr>
          <w:cantSplit/>
          <w:trHeight w:val="261"/>
        </w:trPr>
        <w:tc>
          <w:tcPr>
            <w:tcW w:w="2023" w:type="dxa"/>
          </w:tcPr>
          <w:p w:rsidR="00000000" w:rsidRDefault="009C1C61">
            <w:pPr>
              <w:pStyle w:val="Figurelegend"/>
              <w:spacing w:before="40"/>
              <w:rPr>
                <w:rFonts w:hint="eastAsia"/>
                <w:lang w:eastAsia="zh-CN"/>
              </w:rPr>
            </w:pPr>
            <w:r>
              <w:rPr>
                <w:rFonts w:hint="eastAsia"/>
                <w:lang w:eastAsia="zh-CN"/>
              </w:rPr>
              <w:t>丰富文化和艺术遗产</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42</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27</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26</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147</w:t>
            </w:r>
          </w:p>
        </w:tc>
      </w:tr>
      <w:tr w:rsidR="00000000">
        <w:tblPrEx>
          <w:tblCellMar>
            <w:top w:w="0" w:type="dxa"/>
            <w:bottom w:w="0" w:type="dxa"/>
          </w:tblCellMar>
        </w:tblPrEx>
        <w:trPr>
          <w:cantSplit/>
          <w:trHeight w:val="261"/>
        </w:trPr>
        <w:tc>
          <w:tcPr>
            <w:tcW w:w="2023" w:type="dxa"/>
          </w:tcPr>
          <w:p w:rsidR="00000000" w:rsidRDefault="009C1C61">
            <w:pPr>
              <w:pStyle w:val="Figurelegend"/>
              <w:spacing w:before="40"/>
              <w:rPr>
                <w:rFonts w:hint="eastAsia"/>
                <w:lang w:eastAsia="zh-CN"/>
              </w:rPr>
            </w:pPr>
            <w:r>
              <w:rPr>
                <w:rFonts w:hint="eastAsia"/>
                <w:lang w:eastAsia="zh-CN"/>
              </w:rPr>
              <w:t>文化基础设施</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w:t>
            </w:r>
            <w:r>
              <w:rPr>
                <w:rFonts w:ascii="Times New Roman" w:hAnsi="Times New Roman"/>
                <w:snapToGrid/>
                <w:sz w:val="22"/>
                <w:szCs w:val="22"/>
              </w:rPr>
              <w:t>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15</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27</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36</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97</w:t>
            </w:r>
          </w:p>
        </w:tc>
      </w:tr>
      <w:tr w:rsidR="00000000">
        <w:tblPrEx>
          <w:tblCellMar>
            <w:top w:w="0" w:type="dxa"/>
            <w:bottom w:w="0" w:type="dxa"/>
          </w:tblCellMar>
        </w:tblPrEx>
        <w:trPr>
          <w:cantSplit/>
          <w:trHeight w:val="261"/>
        </w:trPr>
        <w:tc>
          <w:tcPr>
            <w:tcW w:w="2023" w:type="dxa"/>
          </w:tcPr>
          <w:p w:rsidR="00000000" w:rsidRDefault="009C1C61">
            <w:pPr>
              <w:pStyle w:val="Figurelegend"/>
              <w:spacing w:before="40"/>
              <w:rPr>
                <w:rFonts w:hint="eastAsia"/>
                <w:lang w:eastAsia="zh-CN"/>
              </w:rPr>
            </w:pPr>
            <w:r>
              <w:rPr>
                <w:rFonts w:hint="eastAsia"/>
                <w:lang w:eastAsia="zh-CN"/>
              </w:rPr>
              <w:t>文化或艺术活动</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47</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40</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111</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198</w:t>
            </w:r>
          </w:p>
        </w:tc>
      </w:tr>
      <w:tr w:rsidR="00000000">
        <w:tblPrEx>
          <w:tblCellMar>
            <w:top w:w="0" w:type="dxa"/>
            <w:bottom w:w="0" w:type="dxa"/>
          </w:tblCellMar>
        </w:tblPrEx>
        <w:trPr>
          <w:cantSplit/>
          <w:trHeight w:val="261"/>
        </w:trPr>
        <w:tc>
          <w:tcPr>
            <w:tcW w:w="2023" w:type="dxa"/>
          </w:tcPr>
          <w:p w:rsidR="00000000" w:rsidRDefault="009C1C61">
            <w:pPr>
              <w:pStyle w:val="Figurelegend"/>
              <w:spacing w:before="40"/>
              <w:rPr>
                <w:rFonts w:hint="eastAsia"/>
                <w:lang w:eastAsia="zh-CN"/>
              </w:rPr>
            </w:pPr>
            <w:r>
              <w:rPr>
                <w:rFonts w:hint="eastAsia"/>
                <w:lang w:eastAsia="zh-CN"/>
              </w:rPr>
              <w:t>艺术倡议和地方文化</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62</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36</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53</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149</w:t>
            </w:r>
          </w:p>
        </w:tc>
        <w:tc>
          <w:tcPr>
            <w:tcW w:w="868"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300</w:t>
            </w:r>
          </w:p>
        </w:tc>
      </w:tr>
      <w:tr w:rsidR="00000000">
        <w:tblPrEx>
          <w:tblCellMar>
            <w:top w:w="0" w:type="dxa"/>
            <w:bottom w:w="0" w:type="dxa"/>
          </w:tblCellMar>
        </w:tblPrEx>
        <w:trPr>
          <w:cantSplit/>
          <w:trHeight w:val="261"/>
        </w:trPr>
        <w:tc>
          <w:tcPr>
            <w:tcW w:w="2023" w:type="dxa"/>
          </w:tcPr>
          <w:p w:rsidR="00000000" w:rsidRDefault="009C1C61">
            <w:pPr>
              <w:pStyle w:val="Figurelegend"/>
              <w:spacing w:before="40"/>
              <w:rPr>
                <w:rFonts w:hint="eastAsia"/>
                <w:lang w:eastAsia="zh-CN"/>
              </w:rPr>
            </w:pPr>
            <w:r>
              <w:rPr>
                <w:rFonts w:hint="eastAsia"/>
                <w:lang w:eastAsia="zh-CN"/>
              </w:rPr>
              <w:t>地方和传统文化</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57</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r>
              <w:rPr>
                <w:rFonts w:ascii="Times New Roman" w:hAnsi="Times New Roman"/>
                <w:snapToGrid/>
                <w:sz w:val="22"/>
                <w:szCs w:val="22"/>
              </w:rPr>
              <w:t>59</w:t>
            </w: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941" w:type="dxa"/>
          </w:tcPr>
          <w:p w:rsidR="00000000" w:rsidRDefault="009C1C61">
            <w:pPr>
              <w:pStyle w:val="Header"/>
              <w:spacing w:before="40" w:line="240" w:lineRule="auto"/>
              <w:ind w:right="170"/>
              <w:jc w:val="right"/>
              <w:rPr>
                <w:rFonts w:ascii="Times New Roman" w:hAnsi="Times New Roman"/>
                <w:snapToGrid/>
                <w:sz w:val="22"/>
                <w:szCs w:val="22"/>
              </w:rPr>
            </w:pPr>
          </w:p>
        </w:tc>
        <w:tc>
          <w:tcPr>
            <w:tcW w:w="868" w:type="dxa"/>
          </w:tcPr>
          <w:p w:rsidR="00000000" w:rsidRDefault="009C1C61">
            <w:pPr>
              <w:pStyle w:val="a6"/>
              <w:spacing w:before="40" w:line="240" w:lineRule="auto"/>
              <w:ind w:right="170"/>
              <w:jc w:val="right"/>
              <w:rPr>
                <w:rFonts w:eastAsia="SimSun"/>
                <w:sz w:val="22"/>
                <w:szCs w:val="22"/>
              </w:rPr>
            </w:pPr>
            <w:r>
              <w:rPr>
                <w:rFonts w:eastAsia="SimSun"/>
                <w:sz w:val="22"/>
                <w:szCs w:val="22"/>
              </w:rPr>
              <w:t>116</w:t>
            </w:r>
          </w:p>
        </w:tc>
      </w:tr>
      <w:tr w:rsidR="00000000">
        <w:tblPrEx>
          <w:tblCellMar>
            <w:top w:w="0" w:type="dxa"/>
            <w:bottom w:w="0" w:type="dxa"/>
          </w:tblCellMar>
        </w:tblPrEx>
        <w:trPr>
          <w:cantSplit/>
          <w:trHeight w:val="261"/>
        </w:trPr>
        <w:tc>
          <w:tcPr>
            <w:tcW w:w="2023" w:type="dxa"/>
          </w:tcPr>
          <w:p w:rsidR="00000000" w:rsidRDefault="009C1C61">
            <w:pPr>
              <w:pStyle w:val="a2"/>
              <w:spacing w:before="40" w:line="240" w:lineRule="auto"/>
              <w:rPr>
                <w:rFonts w:hint="eastAsia"/>
                <w:snapToGrid/>
              </w:rPr>
            </w:pPr>
            <w:r>
              <w:rPr>
                <w:rFonts w:hint="eastAsia"/>
                <w:snapToGrid/>
              </w:rPr>
              <w:t>戏剧</w:t>
            </w: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43</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41</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44</w:t>
            </w:r>
          </w:p>
        </w:tc>
        <w:tc>
          <w:tcPr>
            <w:tcW w:w="868" w:type="dxa"/>
          </w:tcPr>
          <w:p w:rsidR="00000000" w:rsidRDefault="009C1C61">
            <w:pPr>
              <w:pStyle w:val="a6"/>
              <w:spacing w:before="40" w:line="240" w:lineRule="auto"/>
              <w:ind w:right="170"/>
              <w:jc w:val="right"/>
              <w:rPr>
                <w:rFonts w:eastAsia="SimSun"/>
                <w:sz w:val="22"/>
                <w:szCs w:val="22"/>
              </w:rPr>
            </w:pPr>
            <w:r>
              <w:rPr>
                <w:rFonts w:eastAsia="SimSun"/>
                <w:sz w:val="22"/>
                <w:szCs w:val="22"/>
              </w:rPr>
              <w:t>128</w:t>
            </w:r>
          </w:p>
        </w:tc>
      </w:tr>
      <w:tr w:rsidR="00000000">
        <w:tblPrEx>
          <w:tblCellMar>
            <w:top w:w="0" w:type="dxa"/>
            <w:bottom w:w="0" w:type="dxa"/>
          </w:tblCellMar>
        </w:tblPrEx>
        <w:trPr>
          <w:cantSplit/>
          <w:trHeight w:val="261"/>
        </w:trPr>
        <w:tc>
          <w:tcPr>
            <w:tcW w:w="2023" w:type="dxa"/>
          </w:tcPr>
          <w:p w:rsidR="00000000" w:rsidRDefault="009C1C61">
            <w:pPr>
              <w:pStyle w:val="a2"/>
              <w:spacing w:before="40" w:line="240" w:lineRule="auto"/>
              <w:rPr>
                <w:rFonts w:hint="eastAsia"/>
                <w:snapToGrid/>
              </w:rPr>
            </w:pPr>
            <w:r>
              <w:rPr>
                <w:rFonts w:hint="eastAsia"/>
                <w:snapToGrid/>
              </w:rPr>
              <w:t>舞蹈</w:t>
            </w: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11</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20</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10</w:t>
            </w:r>
          </w:p>
        </w:tc>
        <w:tc>
          <w:tcPr>
            <w:tcW w:w="868" w:type="dxa"/>
          </w:tcPr>
          <w:p w:rsidR="00000000" w:rsidRDefault="009C1C61">
            <w:pPr>
              <w:pStyle w:val="a6"/>
              <w:spacing w:before="40" w:line="240" w:lineRule="auto"/>
              <w:ind w:right="170"/>
              <w:jc w:val="right"/>
              <w:rPr>
                <w:rFonts w:eastAsia="SimSun"/>
                <w:sz w:val="22"/>
                <w:szCs w:val="22"/>
              </w:rPr>
            </w:pPr>
            <w:r>
              <w:rPr>
                <w:rFonts w:eastAsia="SimSun"/>
                <w:sz w:val="22"/>
                <w:szCs w:val="22"/>
              </w:rPr>
              <w:t>128</w:t>
            </w:r>
          </w:p>
        </w:tc>
      </w:tr>
      <w:tr w:rsidR="00000000">
        <w:tblPrEx>
          <w:tblCellMar>
            <w:top w:w="0" w:type="dxa"/>
            <w:bottom w:w="0" w:type="dxa"/>
          </w:tblCellMar>
        </w:tblPrEx>
        <w:trPr>
          <w:cantSplit/>
          <w:trHeight w:val="261"/>
        </w:trPr>
        <w:tc>
          <w:tcPr>
            <w:tcW w:w="2023" w:type="dxa"/>
          </w:tcPr>
          <w:p w:rsidR="00000000" w:rsidRDefault="009C1C61">
            <w:pPr>
              <w:pStyle w:val="a2"/>
              <w:spacing w:before="40" w:line="240" w:lineRule="auto"/>
              <w:rPr>
                <w:rFonts w:hint="eastAsia"/>
                <w:snapToGrid/>
              </w:rPr>
            </w:pPr>
            <w:r>
              <w:rPr>
                <w:rFonts w:hint="eastAsia"/>
                <w:snapToGrid/>
              </w:rPr>
              <w:t>合</w:t>
            </w:r>
            <w:r>
              <w:rPr>
                <w:snapToGrid/>
              </w:rPr>
              <w:t xml:space="preserve">  </w:t>
            </w:r>
            <w:r>
              <w:rPr>
                <w:rFonts w:hint="eastAsia"/>
                <w:snapToGrid/>
              </w:rPr>
              <w:t>计</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263</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416</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538</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331</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333</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380</w:t>
            </w:r>
          </w:p>
        </w:tc>
        <w:tc>
          <w:tcPr>
            <w:tcW w:w="941" w:type="dxa"/>
          </w:tcPr>
          <w:p w:rsidR="00000000" w:rsidRDefault="009C1C61">
            <w:pPr>
              <w:pStyle w:val="a6"/>
              <w:spacing w:before="40" w:line="240" w:lineRule="auto"/>
              <w:ind w:right="170"/>
              <w:jc w:val="right"/>
              <w:rPr>
                <w:rFonts w:eastAsia="SimSun"/>
                <w:sz w:val="22"/>
                <w:szCs w:val="22"/>
              </w:rPr>
            </w:pPr>
            <w:r>
              <w:rPr>
                <w:rFonts w:eastAsia="SimSun"/>
                <w:sz w:val="22"/>
                <w:szCs w:val="22"/>
              </w:rPr>
              <w:t>616</w:t>
            </w:r>
          </w:p>
        </w:tc>
        <w:tc>
          <w:tcPr>
            <w:tcW w:w="868" w:type="dxa"/>
          </w:tcPr>
          <w:p w:rsidR="00000000" w:rsidRDefault="009C1C61">
            <w:pPr>
              <w:pStyle w:val="a6"/>
              <w:spacing w:before="40" w:line="240" w:lineRule="auto"/>
              <w:ind w:right="170"/>
              <w:jc w:val="right"/>
              <w:rPr>
                <w:rFonts w:eastAsia="SimSun"/>
                <w:sz w:val="22"/>
                <w:szCs w:val="22"/>
              </w:rPr>
            </w:pPr>
            <w:r>
              <w:rPr>
                <w:rFonts w:eastAsia="SimSun"/>
                <w:sz w:val="22"/>
                <w:szCs w:val="22"/>
              </w:rPr>
              <w:t>2,877</w:t>
            </w:r>
          </w:p>
        </w:tc>
      </w:tr>
    </w:tbl>
    <w:p w:rsidR="00000000" w:rsidRDefault="009C1C61">
      <w:pPr>
        <w:rPr>
          <w:rFonts w:eastAsia="KaiTi_GB2312" w:hint="eastAsia"/>
          <w:snapToGrid/>
          <w:spacing w:val="0"/>
        </w:rPr>
      </w:pPr>
    </w:p>
    <w:p w:rsidR="00000000" w:rsidRDefault="009C1C61">
      <w:pPr>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：文艺发展基金执行秘书处。</w:t>
      </w:r>
    </w:p>
    <w:p w:rsidR="00000000" w:rsidRDefault="009C1C61">
      <w:pPr>
        <w:rPr>
          <w:rFonts w:hint="eastAsia"/>
          <w:snapToGrid/>
        </w:rPr>
      </w:pPr>
    </w:p>
    <w:p w:rsidR="00000000" w:rsidRDefault="009C1C61">
      <w:pPr>
        <w:pStyle w:val="Heading4"/>
        <w:rPr>
          <w:rFonts w:eastAsia="SimHei" w:hint="eastAsia"/>
          <w:u w:val="none"/>
        </w:rPr>
      </w:pPr>
      <w:r>
        <w:rPr>
          <w:rFonts w:eastAsia="SimHei" w:hint="eastAsia"/>
          <w:u w:val="none"/>
        </w:rPr>
        <w:t>私人捐款和共同供资</w:t>
      </w:r>
    </w:p>
    <w:p w:rsidR="00000000" w:rsidRDefault="009C1C61">
      <w:pPr>
        <w:spacing w:after="320"/>
        <w:rPr>
          <w:rFonts w:hint="eastAsia"/>
          <w:snapToGrid/>
        </w:rPr>
      </w:pPr>
      <w:r>
        <w:rPr>
          <w:rFonts w:hint="eastAsia"/>
          <w:b/>
          <w:bCs/>
          <w:snapToGrid/>
        </w:rPr>
        <w:tab/>
      </w:r>
      <w:r>
        <w:rPr>
          <w:rFonts w:hint="eastAsia"/>
          <w:snapToGrid/>
        </w:rPr>
        <w:t>825.  1990</w:t>
      </w:r>
      <w:r>
        <w:rPr>
          <w:rFonts w:hint="eastAsia"/>
          <w:snapToGrid/>
        </w:rPr>
        <w:t>年代，私营企业帮助资助文化项目，通过基金会和其他团体调拨资源或直接拨款给</w:t>
      </w:r>
      <w:r>
        <w:rPr>
          <w:rFonts w:hint="eastAsia"/>
          <w:snapToGrid/>
        </w:rPr>
        <w:t>与文化有关的机构项目。法律</w:t>
      </w:r>
      <w:r>
        <w:rPr>
          <w:rFonts w:hint="eastAsia"/>
          <w:snapToGrid/>
        </w:rPr>
        <w:t xml:space="preserve"> </w:t>
      </w:r>
      <w:r>
        <w:rPr>
          <w:rStyle w:val="FootnoteReference"/>
          <w:snapToGrid/>
        </w:rPr>
        <w:footnoteReference w:id="330"/>
      </w:r>
      <w:r>
        <w:rPr>
          <w:rFonts w:hint="eastAsia"/>
          <w:snapToGrid/>
        </w:rPr>
        <w:t xml:space="preserve"> </w:t>
      </w:r>
      <w:r>
        <w:rPr>
          <w:rFonts w:hint="eastAsia"/>
          <w:snapToGrid/>
        </w:rPr>
        <w:t>容许捐款人从第</w:t>
      </w:r>
      <w:r>
        <w:rPr>
          <w:rFonts w:hint="eastAsia"/>
          <w:snapToGrid/>
        </w:rPr>
        <w:t>1</w:t>
      </w:r>
      <w:r>
        <w:rPr>
          <w:rFonts w:hint="eastAsia"/>
          <w:snapToGrid/>
        </w:rPr>
        <w:t>类税</w:t>
      </w:r>
      <w:r>
        <w:rPr>
          <w:rFonts w:hint="eastAsia"/>
          <w:snapToGrid/>
        </w:rPr>
        <w:t>(</w:t>
      </w:r>
      <w:r>
        <w:rPr>
          <w:rFonts w:hint="eastAsia"/>
          <w:snapToGrid/>
        </w:rPr>
        <w:t>由公司支付</w:t>
      </w:r>
      <w:r>
        <w:rPr>
          <w:rFonts w:hint="eastAsia"/>
          <w:snapToGrid/>
        </w:rPr>
        <w:t>)</w:t>
      </w:r>
      <w:r>
        <w:rPr>
          <w:rFonts w:hint="eastAsia"/>
          <w:snapToGrid/>
        </w:rPr>
        <w:t>或第</w:t>
      </w:r>
      <w:r>
        <w:rPr>
          <w:rFonts w:hint="eastAsia"/>
          <w:snapToGrid/>
        </w:rPr>
        <w:t>2</w:t>
      </w:r>
      <w:r>
        <w:rPr>
          <w:rFonts w:hint="eastAsia"/>
          <w:snapToGrid/>
        </w:rPr>
        <w:t>类税</w:t>
      </w:r>
      <w:r>
        <w:rPr>
          <w:rFonts w:hint="eastAsia"/>
          <w:snapToGrid/>
        </w:rPr>
        <w:t>(</w:t>
      </w:r>
      <w:r>
        <w:rPr>
          <w:rFonts w:hint="eastAsia"/>
          <w:snapToGrid/>
        </w:rPr>
        <w:t>由私人支付</w:t>
      </w:r>
      <w:r>
        <w:rPr>
          <w:rFonts w:hint="eastAsia"/>
          <w:snapToGrid/>
        </w:rPr>
        <w:t>)</w:t>
      </w:r>
      <w:r>
        <w:rPr>
          <w:rFonts w:hint="eastAsia"/>
          <w:snapToGrid/>
        </w:rPr>
        <w:t>的总额中获得相当于捐款数额一半的税额“减免”。这项减免的最高限度是</w:t>
      </w:r>
      <w:r>
        <w:rPr>
          <w:rFonts w:hint="eastAsia"/>
          <w:snapToGrid/>
        </w:rPr>
        <w:t>2%</w:t>
      </w:r>
      <w:r>
        <w:rPr>
          <w:rFonts w:hint="eastAsia"/>
          <w:snapToGrid/>
        </w:rPr>
        <w:t>或</w:t>
      </w:r>
      <w:r>
        <w:rPr>
          <w:rFonts w:hint="eastAsia"/>
          <w:snapToGrid/>
        </w:rPr>
        <w:t>14,000</w:t>
      </w:r>
      <w:r>
        <w:rPr>
          <w:rFonts w:hint="eastAsia"/>
          <w:snapToGrid/>
        </w:rPr>
        <w:t>课税单位。没有任何会计数字可据以计算到底私营企业捐了多少款，国家又在这个为文化项目分担供资责任的制度中拨了多少款。</w:t>
      </w:r>
    </w:p>
    <w:p w:rsidR="00000000" w:rsidRDefault="009C1C61">
      <w:pPr>
        <w:pStyle w:val="Heading3"/>
        <w:rPr>
          <w:rFonts w:hint="eastAsia"/>
        </w:rPr>
      </w:pPr>
      <w:r>
        <w:rPr>
          <w:rFonts w:hint="eastAsia"/>
        </w:rPr>
        <w:t>表</w:t>
      </w:r>
      <w:r>
        <w:rPr>
          <w:rFonts w:hint="eastAsia"/>
        </w:rPr>
        <w:t xml:space="preserve">  </w:t>
      </w:r>
      <w:r>
        <w:rPr>
          <w:rFonts w:hint="eastAsia"/>
          <w:b/>
          <w:bCs/>
        </w:rPr>
        <w:t>46</w:t>
      </w:r>
      <w:r>
        <w:rPr>
          <w:b/>
          <w:bCs/>
        </w:rPr>
        <w:br/>
      </w:r>
      <w:r>
        <w:rPr>
          <w:rFonts w:hint="eastAsia"/>
        </w:rPr>
        <w:t>文化捐款法</w:t>
      </w:r>
      <w:r>
        <w:t>*</w:t>
      </w:r>
      <w:r>
        <w:br/>
      </w:r>
      <w:r>
        <w:rPr>
          <w:rFonts w:hint="eastAsia"/>
        </w:rPr>
        <w:t>(</w:t>
      </w:r>
      <w:r>
        <w:rPr>
          <w:rFonts w:hint="eastAsia"/>
        </w:rPr>
        <w:t>按比索和美元的现值计算</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c>
          <w:tcPr>
            <w:tcW w:w="3136" w:type="dxa"/>
          </w:tcPr>
          <w:p w:rsidR="00000000" w:rsidRDefault="009C1C61">
            <w:pPr>
              <w:spacing w:before="100" w:line="240" w:lineRule="auto"/>
              <w:jc w:val="center"/>
              <w:rPr>
                <w:rFonts w:hint="eastAsia"/>
                <w:snapToGrid/>
                <w:sz w:val="20"/>
              </w:rPr>
            </w:pPr>
            <w:r>
              <w:rPr>
                <w:rFonts w:hint="eastAsia"/>
                <w:snapToGrid/>
                <w:sz w:val="20"/>
              </w:rPr>
              <w:t>年</w:t>
            </w:r>
            <w:r>
              <w:rPr>
                <w:rFonts w:hint="eastAsia"/>
                <w:snapToGrid/>
                <w:sz w:val="20"/>
              </w:rPr>
              <w:t xml:space="preserve">  </w:t>
            </w:r>
            <w:r>
              <w:rPr>
                <w:rFonts w:hint="eastAsia"/>
                <w:snapToGrid/>
                <w:sz w:val="20"/>
              </w:rPr>
              <w:t>度</w:t>
            </w:r>
          </w:p>
        </w:tc>
        <w:tc>
          <w:tcPr>
            <w:tcW w:w="3137" w:type="dxa"/>
          </w:tcPr>
          <w:p w:rsidR="00000000" w:rsidRDefault="009C1C61">
            <w:pPr>
              <w:spacing w:before="100" w:line="240" w:lineRule="auto"/>
              <w:jc w:val="center"/>
              <w:rPr>
                <w:rFonts w:hint="eastAsia"/>
                <w:snapToGrid/>
                <w:sz w:val="20"/>
              </w:rPr>
            </w:pPr>
            <w:r>
              <w:rPr>
                <w:rFonts w:hint="eastAsia"/>
                <w:snapToGrid/>
                <w:sz w:val="20"/>
              </w:rPr>
              <w:t>申请数额</w:t>
            </w:r>
          </w:p>
        </w:tc>
        <w:tc>
          <w:tcPr>
            <w:tcW w:w="3137" w:type="dxa"/>
          </w:tcPr>
          <w:p w:rsidR="00000000" w:rsidRDefault="009C1C61">
            <w:pPr>
              <w:spacing w:before="100" w:line="240" w:lineRule="auto"/>
              <w:jc w:val="center"/>
              <w:rPr>
                <w:rFonts w:hint="eastAsia"/>
                <w:snapToGrid/>
                <w:sz w:val="20"/>
              </w:rPr>
            </w:pPr>
            <w:r>
              <w:rPr>
                <w:rFonts w:hint="eastAsia"/>
                <w:snapToGrid/>
                <w:sz w:val="20"/>
              </w:rPr>
              <w:t>实际数额</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1991</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1,293,041,763 (3,702,657)</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390,494,851 (1,118,192)</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1992</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1,953,9</w:t>
            </w:r>
            <w:r>
              <w:rPr>
                <w:rFonts w:ascii="Times New Roman" w:hAnsi="Times New Roman"/>
                <w:sz w:val="22"/>
              </w:rPr>
              <w:t>51,899 (5,389,023)</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776,698,526 (2,142,144)</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1993</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2,185,304,142 (5,406,893)</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652,442,292 (1,614,277)</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1994</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1,664,751,416 (3,961,996)</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472,551,673 (1,124,641)</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1995</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2,287,457,052 (5,765,197)</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971,740,738 (2,449,129)</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1996</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6,204,507,069 (15,049,621)</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2,748,289,73</w:t>
            </w:r>
            <w:r>
              <w:rPr>
                <w:rFonts w:ascii="Times New Roman" w:hAnsi="Times New Roman"/>
                <w:sz w:val="22"/>
              </w:rPr>
              <w:t>8 (6,666,238)</w:t>
            </w:r>
          </w:p>
        </w:tc>
      </w:tr>
      <w:tr w:rsidR="00000000">
        <w:tblPrEx>
          <w:tblCellMar>
            <w:top w:w="0" w:type="dxa"/>
            <w:bottom w:w="0" w:type="dxa"/>
          </w:tblCellMar>
        </w:tblPrEx>
        <w:tc>
          <w:tcPr>
            <w:tcW w:w="3136" w:type="dxa"/>
          </w:tcPr>
          <w:p w:rsidR="00000000" w:rsidRDefault="009C1C61">
            <w:pPr>
              <w:spacing w:before="60" w:line="240" w:lineRule="auto"/>
              <w:jc w:val="center"/>
              <w:rPr>
                <w:rFonts w:hint="eastAsia"/>
                <w:snapToGrid/>
              </w:rPr>
            </w:pPr>
            <w:r>
              <w:rPr>
                <w:rFonts w:hint="eastAsia"/>
                <w:snapToGrid/>
              </w:rPr>
              <w:t>1997</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5,576,428,410 (13,299,059)</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1,699,752,797 (4,053,690)</w:t>
            </w:r>
          </w:p>
        </w:tc>
      </w:tr>
      <w:tr w:rsidR="00000000">
        <w:tblPrEx>
          <w:tblCellMar>
            <w:top w:w="0" w:type="dxa"/>
            <w:bottom w:w="0" w:type="dxa"/>
          </w:tblCellMar>
        </w:tblPrEx>
        <w:tc>
          <w:tcPr>
            <w:tcW w:w="3136" w:type="dxa"/>
          </w:tcPr>
          <w:p w:rsidR="00000000" w:rsidRDefault="009C1C61">
            <w:pPr>
              <w:spacing w:before="60" w:line="240" w:lineRule="auto"/>
              <w:jc w:val="center"/>
              <w:rPr>
                <w:snapToGrid/>
              </w:rPr>
            </w:pPr>
            <w:r>
              <w:rPr>
                <w:rFonts w:hint="eastAsia"/>
                <w:snapToGrid/>
              </w:rPr>
              <w:t>1998</w:t>
            </w:r>
            <w:r>
              <w:rPr>
                <w:snapToGrid/>
              </w:rPr>
              <w:t>*</w:t>
            </w:r>
          </w:p>
        </w:tc>
        <w:tc>
          <w:tcPr>
            <w:tcW w:w="3137" w:type="dxa"/>
          </w:tcPr>
          <w:p w:rsidR="00000000" w:rsidRDefault="009C1C61">
            <w:pPr>
              <w:pStyle w:val="Header"/>
              <w:spacing w:before="60" w:after="20" w:line="240" w:lineRule="auto"/>
              <w:jc w:val="right"/>
              <w:rPr>
                <w:rFonts w:ascii="Times New Roman" w:hAnsi="Times New Roman"/>
                <w:sz w:val="22"/>
              </w:rPr>
            </w:pPr>
            <w:r>
              <w:rPr>
                <w:rFonts w:ascii="Times New Roman" w:hAnsi="Times New Roman"/>
                <w:sz w:val="22"/>
              </w:rPr>
              <w:t>6,507,866,018 (14,138,621)</w:t>
            </w:r>
          </w:p>
        </w:tc>
        <w:tc>
          <w:tcPr>
            <w:tcW w:w="3137" w:type="dxa"/>
          </w:tcPr>
          <w:p w:rsidR="00000000" w:rsidRDefault="009C1C61">
            <w:pPr>
              <w:pStyle w:val="a6"/>
              <w:spacing w:before="60" w:after="20" w:line="240" w:lineRule="auto"/>
              <w:jc w:val="right"/>
              <w:rPr>
                <w:sz w:val="22"/>
              </w:rPr>
            </w:pPr>
            <w:r>
              <w:rPr>
                <w:sz w:val="22"/>
              </w:rPr>
              <w:t>2,055,035,367 (4,464,654)</w:t>
            </w:r>
          </w:p>
        </w:tc>
      </w:tr>
      <w:tr w:rsidR="00000000">
        <w:tblPrEx>
          <w:tblCellMar>
            <w:top w:w="0" w:type="dxa"/>
            <w:bottom w:w="0" w:type="dxa"/>
          </w:tblCellMar>
        </w:tblPrEx>
        <w:tc>
          <w:tcPr>
            <w:tcW w:w="3136" w:type="dxa"/>
          </w:tcPr>
          <w:p w:rsidR="00000000" w:rsidRDefault="009C1C61">
            <w:pPr>
              <w:spacing w:before="60" w:line="240" w:lineRule="auto"/>
              <w:jc w:val="center"/>
              <w:rPr>
                <w:snapToGrid/>
              </w:rPr>
            </w:pPr>
            <w:r>
              <w:rPr>
                <w:rFonts w:hint="eastAsia"/>
                <w:snapToGrid/>
              </w:rPr>
              <w:t>1999</w:t>
            </w:r>
            <w:r>
              <w:rPr>
                <w:snapToGrid/>
              </w:rPr>
              <w:t>*</w:t>
            </w:r>
          </w:p>
        </w:tc>
        <w:tc>
          <w:tcPr>
            <w:tcW w:w="3137" w:type="dxa"/>
          </w:tcPr>
          <w:p w:rsidR="00000000" w:rsidRDefault="009C1C61">
            <w:pPr>
              <w:pStyle w:val="a6"/>
              <w:spacing w:before="60" w:after="20" w:line="240" w:lineRule="auto"/>
              <w:jc w:val="right"/>
              <w:rPr>
                <w:sz w:val="22"/>
              </w:rPr>
            </w:pPr>
            <w:r>
              <w:rPr>
                <w:sz w:val="22"/>
              </w:rPr>
              <w:t>3,551,055,505 (6,979,550)</w:t>
            </w:r>
          </w:p>
        </w:tc>
        <w:tc>
          <w:tcPr>
            <w:tcW w:w="3137" w:type="dxa"/>
          </w:tcPr>
          <w:p w:rsidR="00000000" w:rsidRDefault="009C1C61">
            <w:pPr>
              <w:pStyle w:val="a6"/>
              <w:spacing w:before="60" w:after="20" w:line="240" w:lineRule="auto"/>
              <w:jc w:val="right"/>
              <w:rPr>
                <w:sz w:val="22"/>
              </w:rPr>
            </w:pPr>
            <w:r>
              <w:rPr>
                <w:sz w:val="22"/>
              </w:rPr>
              <w:t>-</w:t>
            </w:r>
          </w:p>
        </w:tc>
      </w:tr>
    </w:tbl>
    <w:p w:rsidR="00000000" w:rsidRDefault="009C1C61">
      <w:pPr>
        <w:rPr>
          <w:rFonts w:hint="eastAsia"/>
          <w:snapToGrid/>
        </w:rPr>
      </w:pPr>
    </w:p>
    <w:p w:rsidR="00000000" w:rsidRDefault="009C1C61">
      <w:pPr>
        <w:spacing w:line="240" w:lineRule="auto"/>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：文化捐款评估委员会执行秘书处。</w:t>
      </w:r>
    </w:p>
    <w:p w:rsidR="00000000" w:rsidRDefault="009C1C61">
      <w:pPr>
        <w:tabs>
          <w:tab w:val="left" w:pos="1170"/>
        </w:tabs>
        <w:spacing w:line="240" w:lineRule="auto"/>
        <w:ind w:left="780"/>
        <w:rPr>
          <w:rFonts w:hint="eastAsia"/>
          <w:snapToGrid/>
          <w:sz w:val="22"/>
        </w:rPr>
      </w:pPr>
      <w:r>
        <w:rPr>
          <w:rFonts w:eastAsia="KaiTi_GB2312"/>
          <w:snapToGrid/>
          <w:spacing w:val="0"/>
          <w:sz w:val="22"/>
        </w:rPr>
        <w:t>*</w:t>
      </w:r>
      <w:r>
        <w:rPr>
          <w:rFonts w:eastAsia="KaiTi_GB2312" w:hint="eastAsia"/>
          <w:snapToGrid/>
          <w:spacing w:val="0"/>
          <w:sz w:val="22"/>
        </w:rPr>
        <w:tab/>
      </w:r>
      <w:r>
        <w:rPr>
          <w:rFonts w:eastAsia="KaiTi_GB2312" w:hint="eastAsia"/>
          <w:snapToGrid/>
          <w:spacing w:val="0"/>
          <w:sz w:val="22"/>
        </w:rPr>
        <w:t>这些是暂定数据。</w:t>
      </w:r>
    </w:p>
    <w:p w:rsidR="00000000" w:rsidRDefault="009C1C61">
      <w:pPr>
        <w:pStyle w:val="Heading4"/>
        <w:spacing w:before="300"/>
        <w:rPr>
          <w:rFonts w:eastAsia="SimHei" w:hint="eastAsia"/>
          <w:u w:val="none"/>
        </w:rPr>
      </w:pPr>
      <w:r>
        <w:rPr>
          <w:rFonts w:eastAsia="SimHei" w:hint="eastAsia"/>
          <w:u w:val="none"/>
        </w:rPr>
        <w:t>促使人民参与文化活动的机构体制</w:t>
      </w:r>
    </w:p>
    <w:p w:rsidR="00000000" w:rsidRDefault="009C1C61">
      <w:pPr>
        <w:rPr>
          <w:rFonts w:hint="eastAsia"/>
          <w:snapToGrid/>
        </w:rPr>
      </w:pPr>
      <w:r>
        <w:rPr>
          <w:rFonts w:hint="eastAsia"/>
          <w:b/>
          <w:bCs/>
          <w:snapToGrid/>
        </w:rPr>
        <w:tab/>
      </w:r>
      <w:r>
        <w:rPr>
          <w:rFonts w:hint="eastAsia"/>
          <w:snapToGrid/>
        </w:rPr>
        <w:t xml:space="preserve">826.  </w:t>
      </w:r>
      <w:r>
        <w:rPr>
          <w:rFonts w:hint="eastAsia"/>
          <w:snapToGrid/>
        </w:rPr>
        <w:t>对智利的文化基础设施没有进行过清理或研究，但现有资料显示：</w:t>
      </w:r>
      <w:r>
        <w:rPr>
          <w:rFonts w:hint="eastAsia"/>
          <w:snapToGrid/>
        </w:rPr>
        <w:t>1990</w:t>
      </w:r>
      <w:r>
        <w:rPr>
          <w:rFonts w:hint="eastAsia"/>
          <w:snapToGrid/>
        </w:rPr>
        <w:t>到</w:t>
      </w:r>
      <w:r>
        <w:rPr>
          <w:rFonts w:hint="eastAsia"/>
          <w:snapToGrid/>
        </w:rPr>
        <w:t>2000</w:t>
      </w:r>
      <w:r>
        <w:rPr>
          <w:rFonts w:hint="eastAsia"/>
          <w:snapToGrid/>
        </w:rPr>
        <w:t>年间，无论在与艺术学科有关的空间和面积以及文化产业方面，都有了大量增加。圣地亚哥具有历史意义的场所有：马波丘车站文化中心、巴尔马切达</w:t>
      </w:r>
      <w:r>
        <w:rPr>
          <w:rFonts w:hint="eastAsia"/>
          <w:snapToGrid/>
        </w:rPr>
        <w:t>1215</w:t>
      </w:r>
      <w:r>
        <w:rPr>
          <w:rFonts w:hint="eastAsia"/>
          <w:snapToGrid/>
        </w:rPr>
        <w:t>文化中心、萨尔瓦多·阿延德团结博物馆、米拉多尔互动博物馆和阿特奎因博物馆。在各地区，奇洛埃现代艺术博物馆、瓦尔帕莱索的前维拉尔德电影院改建为市立剧院，还有特穆科新市立剧院的兴建都值得注意</w:t>
      </w:r>
      <w:r>
        <w:rPr>
          <w:rFonts w:hint="eastAsia"/>
          <w:snapToGrid/>
        </w:rPr>
        <w:t>。</w:t>
      </w:r>
    </w:p>
    <w:p w:rsidR="00000000" w:rsidRDefault="009C1C61">
      <w:pPr>
        <w:spacing w:after="320"/>
        <w:rPr>
          <w:rFonts w:hint="eastAsia"/>
          <w:snapToGrid/>
        </w:rPr>
      </w:pPr>
      <w:r>
        <w:rPr>
          <w:rFonts w:hint="eastAsia"/>
          <w:snapToGrid/>
        </w:rPr>
        <w:tab/>
        <w:t xml:space="preserve">827.  </w:t>
      </w:r>
      <w:r>
        <w:rPr>
          <w:rFonts w:hint="eastAsia"/>
          <w:snapToGrid/>
        </w:rPr>
        <w:t>在出版界，自从</w:t>
      </w:r>
      <w:r>
        <w:rPr>
          <w:rFonts w:hint="eastAsia"/>
          <w:snapToGrid/>
        </w:rPr>
        <w:t>1992</w:t>
      </w:r>
      <w:r>
        <w:rPr>
          <w:rFonts w:hint="eastAsia"/>
          <w:snapToGrid/>
        </w:rPr>
        <w:t>年智利正式承认国际标准书号</w:t>
      </w:r>
      <w:r>
        <w:rPr>
          <w:snapToGrid/>
        </w:rPr>
        <w:t>(ISBN)</w:t>
      </w:r>
      <w:r>
        <w:rPr>
          <w:rFonts w:hint="eastAsia"/>
          <w:snapToGrid/>
        </w:rPr>
        <w:t>以来，每年平均有</w:t>
      </w:r>
      <w:r>
        <w:rPr>
          <w:rFonts w:hint="eastAsia"/>
          <w:snapToGrid/>
        </w:rPr>
        <w:t>80</w:t>
      </w:r>
      <w:r>
        <w:rPr>
          <w:rFonts w:hint="eastAsia"/>
          <w:snapToGrid/>
        </w:rPr>
        <w:t>家新的出版商注册，</w:t>
      </w:r>
      <w:r>
        <w:rPr>
          <w:rFonts w:hint="eastAsia"/>
          <w:snapToGrid/>
        </w:rPr>
        <w:t>1996</w:t>
      </w:r>
      <w:r>
        <w:rPr>
          <w:rFonts w:hint="eastAsia"/>
          <w:snapToGrid/>
        </w:rPr>
        <w:t>年达到高峰，一共有</w:t>
      </w:r>
      <w:r>
        <w:rPr>
          <w:rFonts w:hint="eastAsia"/>
          <w:snapToGrid/>
        </w:rPr>
        <w:t>116</w:t>
      </w:r>
      <w:r>
        <w:rPr>
          <w:rFonts w:hint="eastAsia"/>
          <w:snapToGrid/>
        </w:rPr>
        <w:t>家。</w:t>
      </w:r>
    </w:p>
    <w:p w:rsidR="00000000" w:rsidRDefault="009C1C61">
      <w:pPr>
        <w:pStyle w:val="Heading4"/>
        <w:rPr>
          <w:rFonts w:eastAsia="SimHei" w:hint="eastAsia"/>
          <w:u w:val="none"/>
        </w:rPr>
      </w:pPr>
      <w:r>
        <w:rPr>
          <w:rFonts w:eastAsia="SimHei" w:hint="eastAsia"/>
          <w:u w:val="none"/>
        </w:rPr>
        <w:t>电影院、图书馆和多用途场所</w:t>
      </w:r>
    </w:p>
    <w:p w:rsidR="00000000" w:rsidRDefault="009C1C61">
      <w:pPr>
        <w:rPr>
          <w:rFonts w:hint="eastAsia"/>
          <w:snapToGrid/>
        </w:rPr>
      </w:pPr>
      <w:r>
        <w:rPr>
          <w:rFonts w:hint="eastAsia"/>
          <w:b/>
          <w:bCs/>
          <w:snapToGrid/>
        </w:rPr>
        <w:tab/>
      </w:r>
      <w:r>
        <w:rPr>
          <w:rFonts w:hint="eastAsia"/>
          <w:snapToGrid/>
        </w:rPr>
        <w:t xml:space="preserve">828.  </w:t>
      </w:r>
      <w:r>
        <w:rPr>
          <w:rFonts w:hint="eastAsia"/>
          <w:snapToGrid/>
        </w:rPr>
        <w:t>截至</w:t>
      </w:r>
      <w:r>
        <w:rPr>
          <w:rFonts w:hint="eastAsia"/>
          <w:snapToGrid/>
        </w:rPr>
        <w:t>1998</w:t>
      </w:r>
      <w:r>
        <w:rPr>
          <w:rFonts w:hint="eastAsia"/>
          <w:snapToGrid/>
        </w:rPr>
        <w:t>年</w:t>
      </w:r>
      <w:r>
        <w:rPr>
          <w:rFonts w:hint="eastAsia"/>
          <w:snapToGrid/>
        </w:rPr>
        <w:t>10</w:t>
      </w:r>
      <w:r>
        <w:rPr>
          <w:rFonts w:hint="eastAsia"/>
          <w:snapToGrid/>
        </w:rPr>
        <w:t>月，国家统计研究所</w:t>
      </w:r>
      <w:r>
        <w:rPr>
          <w:rFonts w:hint="eastAsia"/>
          <w:snapToGrid/>
        </w:rPr>
        <w:t>(</w:t>
      </w:r>
      <w:r>
        <w:rPr>
          <w:rFonts w:hint="eastAsia"/>
          <w:snapToGrid/>
        </w:rPr>
        <w:t>统计所</w:t>
      </w:r>
      <w:r>
        <w:rPr>
          <w:rFonts w:hint="eastAsia"/>
          <w:snapToGrid/>
        </w:rPr>
        <w:t>)</w:t>
      </w:r>
      <w:r>
        <w:rPr>
          <w:rFonts w:hint="eastAsia"/>
          <w:snapToGrid/>
        </w:rPr>
        <w:t>印发的《文化和媒体年鉴》载列的数字显示，全国有</w:t>
      </w:r>
      <w:r>
        <w:rPr>
          <w:rFonts w:hint="eastAsia"/>
          <w:snapToGrid/>
        </w:rPr>
        <w:t>208</w:t>
      </w:r>
      <w:r>
        <w:rPr>
          <w:rFonts w:hint="eastAsia"/>
          <w:snapToGrid/>
        </w:rPr>
        <w:t>家电影院。其后，又有</w:t>
      </w:r>
      <w:r>
        <w:rPr>
          <w:rFonts w:hint="eastAsia"/>
          <w:snapToGrid/>
        </w:rPr>
        <w:t>48</w:t>
      </w:r>
      <w:r>
        <w:rPr>
          <w:rFonts w:hint="eastAsia"/>
          <w:snapToGrid/>
        </w:rPr>
        <w:t>家在圣地亚哥、拉塞雷纳和伊基克开业。大量增加的原因是圣地亚哥和各省份的多厅影院落成了。较老旧的场所又再分割为六个或八个微型电影院，另外又创建了新的影院。在伊基克、拉塞雷纳、比尼亚德尔马、兰卡瓜和</w:t>
      </w:r>
      <w:r>
        <w:rPr>
          <w:rFonts w:hint="eastAsia"/>
          <w:snapToGrid/>
        </w:rPr>
        <w:t>康塞普西翁都出现了同样的现象。</w:t>
      </w:r>
    </w:p>
    <w:p w:rsidR="00000000" w:rsidRDefault="009C1C61">
      <w:pPr>
        <w:rPr>
          <w:rFonts w:hint="eastAsia"/>
          <w:snapToGrid/>
        </w:rPr>
      </w:pPr>
      <w:r>
        <w:rPr>
          <w:rFonts w:hint="eastAsia"/>
          <w:snapToGrid/>
        </w:rPr>
        <w:tab/>
        <w:t xml:space="preserve">829.  </w:t>
      </w:r>
      <w:r>
        <w:rPr>
          <w:rFonts w:hint="eastAsia"/>
          <w:snapToGrid/>
        </w:rPr>
        <w:t>多样化和向各种类型的观众拓展也是对图书馆的挑战。统计局在</w:t>
      </w:r>
      <w:r>
        <w:rPr>
          <w:rFonts w:hint="eastAsia"/>
          <w:snapToGrid/>
        </w:rPr>
        <w:t>1998</w:t>
      </w:r>
      <w:r>
        <w:rPr>
          <w:rFonts w:hint="eastAsia"/>
          <w:snapToGrid/>
        </w:rPr>
        <w:t>年的计算数字显示：全国有</w:t>
      </w:r>
      <w:r>
        <w:rPr>
          <w:rFonts w:hint="eastAsia"/>
          <w:snapToGrid/>
        </w:rPr>
        <w:t>2,049</w:t>
      </w:r>
      <w:r>
        <w:rPr>
          <w:rFonts w:hint="eastAsia"/>
          <w:snapToGrid/>
        </w:rPr>
        <w:t>家图书馆，其中约有</w:t>
      </w:r>
      <w:r>
        <w:rPr>
          <w:rFonts w:hint="eastAsia"/>
          <w:snapToGrid/>
        </w:rPr>
        <w:t>300</w:t>
      </w:r>
      <w:r>
        <w:rPr>
          <w:rFonts w:hint="eastAsia"/>
          <w:snapToGrid/>
        </w:rPr>
        <w:t>家与图书馆、档案馆和博物馆部</w:t>
      </w:r>
      <w:r>
        <w:rPr>
          <w:snapToGrid/>
        </w:rPr>
        <w:t>(</w:t>
      </w:r>
      <w:r>
        <w:rPr>
          <w:rFonts w:hint="eastAsia"/>
          <w:snapToGrid/>
        </w:rPr>
        <w:t>图档博三馆部</w:t>
      </w:r>
      <w:r>
        <w:rPr>
          <w:snapToGrid/>
        </w:rPr>
        <w:t>)</w:t>
      </w:r>
      <w:r>
        <w:rPr>
          <w:rFonts w:hint="eastAsia"/>
          <w:snapToGrid/>
        </w:rPr>
        <w:t>签订了协议。但是，这个数字并没有反映该部和其他机构为了开创接触图书和阅览的新型机会而作的另一些努力，例如位于圣地亚哥地铁站的图书馆、车载或船载巡回图书馆等</w:t>
      </w:r>
      <w:r>
        <w:rPr>
          <w:rFonts w:hint="eastAsia"/>
          <w:snapToGrid/>
        </w:rPr>
        <w:t>(</w:t>
      </w:r>
      <w:r>
        <w:rPr>
          <w:rFonts w:hint="eastAsia"/>
          <w:snapToGrid/>
        </w:rPr>
        <w:t>为没有永久性图书设施的地区提供流动图书馆</w:t>
      </w:r>
      <w:r>
        <w:rPr>
          <w:rFonts w:hint="eastAsia"/>
          <w:snapToGrid/>
        </w:rPr>
        <w:t>)</w:t>
      </w:r>
      <w:r>
        <w:rPr>
          <w:rFonts w:hint="eastAsia"/>
          <w:snapToGrid/>
        </w:rPr>
        <w:t>。</w:t>
      </w:r>
    </w:p>
    <w:p w:rsidR="00000000" w:rsidRDefault="009C1C61">
      <w:pPr>
        <w:rPr>
          <w:rFonts w:hint="eastAsia"/>
          <w:snapToGrid/>
          <w:lang w:val="en-GB"/>
        </w:rPr>
      </w:pPr>
      <w:r>
        <w:rPr>
          <w:rFonts w:hint="eastAsia"/>
          <w:snapToGrid/>
        </w:rPr>
        <w:tab/>
        <w:t xml:space="preserve">830.  </w:t>
      </w:r>
      <w:r>
        <w:rPr>
          <w:rFonts w:hint="eastAsia"/>
          <w:snapToGrid/>
        </w:rPr>
        <w:t>统计局的数据显示</w:t>
      </w:r>
      <w:r>
        <w:rPr>
          <w:rFonts w:hint="eastAsia"/>
          <w:snapToGrid/>
          <w:lang w:val="en-GB"/>
        </w:rPr>
        <w:t>，圣地亚哥的文化设施最多。</w:t>
      </w:r>
      <w:r>
        <w:rPr>
          <w:rFonts w:hint="eastAsia"/>
          <w:snapToGrid/>
          <w:lang w:val="en-GB"/>
        </w:rPr>
        <w:t>1998</w:t>
      </w:r>
      <w:r>
        <w:rPr>
          <w:rFonts w:hint="eastAsia"/>
          <w:snapToGrid/>
          <w:lang w:val="en-GB"/>
        </w:rPr>
        <w:t>年</w:t>
      </w:r>
      <w:r>
        <w:rPr>
          <w:rFonts w:hint="eastAsia"/>
          <w:snapToGrid/>
          <w:lang w:val="en-GB"/>
        </w:rPr>
        <w:t>10</w:t>
      </w:r>
      <w:r>
        <w:rPr>
          <w:rFonts w:hint="eastAsia"/>
          <w:snapToGrid/>
          <w:lang w:val="en-GB"/>
        </w:rPr>
        <w:t>月，首都拥有</w:t>
      </w:r>
      <w:r>
        <w:rPr>
          <w:rFonts w:hint="eastAsia"/>
          <w:snapToGrid/>
          <w:lang w:val="en-GB"/>
        </w:rPr>
        <w:t>25</w:t>
      </w:r>
      <w:r>
        <w:rPr>
          <w:rFonts w:hint="eastAsia"/>
          <w:snapToGrid/>
          <w:lang w:val="en-GB"/>
        </w:rPr>
        <w:t>座剧院、</w:t>
      </w:r>
      <w:r>
        <w:rPr>
          <w:rFonts w:hint="eastAsia"/>
          <w:snapToGrid/>
          <w:lang w:val="en-GB"/>
        </w:rPr>
        <w:t>60</w:t>
      </w:r>
      <w:r>
        <w:rPr>
          <w:rFonts w:hint="eastAsia"/>
          <w:snapToGrid/>
          <w:lang w:val="en-GB"/>
        </w:rPr>
        <w:t>0</w:t>
      </w:r>
      <w:r>
        <w:rPr>
          <w:rFonts w:hint="eastAsia"/>
          <w:snapToGrid/>
          <w:lang w:val="en-GB"/>
        </w:rPr>
        <w:t>多个图书馆和</w:t>
      </w:r>
      <w:r>
        <w:rPr>
          <w:rFonts w:hint="eastAsia"/>
          <w:snapToGrid/>
          <w:lang w:val="en-GB"/>
        </w:rPr>
        <w:t>123</w:t>
      </w:r>
      <w:r>
        <w:rPr>
          <w:rFonts w:hint="eastAsia"/>
          <w:snapToGrid/>
          <w:lang w:val="en-GB"/>
        </w:rPr>
        <w:t>个电影院。后来又有</w:t>
      </w:r>
      <w:r>
        <w:rPr>
          <w:rFonts w:hint="eastAsia"/>
          <w:snapToGrid/>
          <w:lang w:val="en-GB"/>
        </w:rPr>
        <w:t>40</w:t>
      </w:r>
      <w:r>
        <w:rPr>
          <w:rFonts w:hint="eastAsia"/>
          <w:snapToGrid/>
          <w:lang w:val="en-GB"/>
        </w:rPr>
        <w:t>个多功能的电影院开放。</w:t>
      </w:r>
    </w:p>
    <w:p w:rsidR="00000000" w:rsidRDefault="009C1C61">
      <w:pPr>
        <w:rPr>
          <w:rFonts w:hint="eastAsia"/>
          <w:snapToGrid/>
          <w:lang w:val="en-GB"/>
        </w:rPr>
      </w:pPr>
      <w:r>
        <w:rPr>
          <w:rFonts w:hint="eastAsia"/>
          <w:snapToGrid/>
          <w:lang w:val="en-GB"/>
        </w:rPr>
        <w:tab/>
        <w:t xml:space="preserve">831.  </w:t>
      </w:r>
      <w:r>
        <w:rPr>
          <w:rFonts w:hint="eastAsia"/>
          <w:snapToGrid/>
          <w:lang w:val="en-GB"/>
        </w:rPr>
        <w:t>文发基金系统地捐款兴建、修理和整修文化和社会</w:t>
      </w:r>
      <w:r>
        <w:rPr>
          <w:rFonts w:hint="eastAsia"/>
          <w:snapToGrid/>
          <w:lang w:val="en-GB"/>
        </w:rPr>
        <w:t>-</w:t>
      </w:r>
      <w:r>
        <w:rPr>
          <w:rFonts w:hint="eastAsia"/>
          <w:snapToGrid/>
          <w:lang w:val="en-GB"/>
        </w:rPr>
        <w:t>文化活动场所，并且修复属于传统遗产的建筑。</w:t>
      </w:r>
      <w:r>
        <w:rPr>
          <w:rFonts w:hint="eastAsia"/>
          <w:snapToGrid/>
        </w:rPr>
        <w:t>区域文化倡议支助基金</w:t>
      </w:r>
      <w:r>
        <w:rPr>
          <w:snapToGrid/>
        </w:rPr>
        <w:t>(</w:t>
      </w:r>
      <w:r>
        <w:rPr>
          <w:rFonts w:hint="eastAsia"/>
          <w:snapToGrid/>
        </w:rPr>
        <w:t>文助基金</w:t>
      </w:r>
      <w:r>
        <w:rPr>
          <w:snapToGrid/>
        </w:rPr>
        <w:t>)</w:t>
      </w:r>
      <w:r>
        <w:rPr>
          <w:rFonts w:hint="eastAsia"/>
          <w:snapToGrid/>
          <w:lang w:val="en-GB"/>
        </w:rPr>
        <w:t>也在这方面捐助了七年。在文发基金设置以后的前四年，对基础设施和设备的需求被列为“丰富艺术和文化遗产”项目。</w:t>
      </w:r>
      <w:r>
        <w:rPr>
          <w:rFonts w:hint="eastAsia"/>
          <w:snapToGrid/>
          <w:lang w:val="en-GB"/>
        </w:rPr>
        <w:t>1996</w:t>
      </w:r>
      <w:r>
        <w:rPr>
          <w:rFonts w:hint="eastAsia"/>
          <w:snapToGrid/>
          <w:lang w:val="en-GB"/>
        </w:rPr>
        <w:t>年，创建了一个称为“改善和提供基础设施”的特定项目，在这一年内拨款</w:t>
      </w:r>
      <w:r>
        <w:rPr>
          <w:rFonts w:hint="eastAsia"/>
          <w:snapToGrid/>
          <w:lang w:val="en-GB"/>
        </w:rPr>
        <w:t>276,900,000</w:t>
      </w:r>
      <w:r>
        <w:rPr>
          <w:rFonts w:hint="eastAsia"/>
          <w:snapToGrid/>
          <w:lang w:val="en-GB"/>
        </w:rPr>
        <w:t>比索</w:t>
      </w:r>
      <w:r>
        <w:rPr>
          <w:rFonts w:hint="eastAsia"/>
          <w:snapToGrid/>
          <w:lang w:val="en-GB"/>
        </w:rPr>
        <w:t>(1,453,889</w:t>
      </w:r>
      <w:r>
        <w:rPr>
          <w:rFonts w:hint="eastAsia"/>
          <w:snapToGrid/>
          <w:lang w:val="en-GB"/>
        </w:rPr>
        <w:t>美元</w:t>
      </w:r>
      <w:r>
        <w:rPr>
          <w:rFonts w:hint="eastAsia"/>
          <w:snapToGrid/>
          <w:lang w:val="en-GB"/>
        </w:rPr>
        <w:t>)</w:t>
      </w:r>
      <w:r>
        <w:rPr>
          <w:rFonts w:hint="eastAsia"/>
          <w:snapToGrid/>
          <w:lang w:val="en-GB"/>
        </w:rPr>
        <w:t>。这个数字在下一年增加为</w:t>
      </w:r>
      <w:r>
        <w:rPr>
          <w:rFonts w:hint="eastAsia"/>
          <w:snapToGrid/>
          <w:lang w:val="en-GB"/>
        </w:rPr>
        <w:t>609,630,000</w:t>
      </w:r>
      <w:r>
        <w:rPr>
          <w:rFonts w:hint="eastAsia"/>
          <w:snapToGrid/>
          <w:lang w:val="en-GB"/>
        </w:rPr>
        <w:t>比索</w:t>
      </w:r>
      <w:r>
        <w:rPr>
          <w:rFonts w:hint="eastAsia"/>
          <w:snapToGrid/>
          <w:lang w:val="en-GB"/>
        </w:rPr>
        <w:t>(1,453,889</w:t>
      </w:r>
      <w:r>
        <w:rPr>
          <w:rFonts w:hint="eastAsia"/>
          <w:snapToGrid/>
          <w:lang w:val="en-GB"/>
        </w:rPr>
        <w:t>美元</w:t>
      </w:r>
      <w:r>
        <w:rPr>
          <w:rFonts w:hint="eastAsia"/>
          <w:snapToGrid/>
          <w:lang w:val="en-GB"/>
        </w:rPr>
        <w:t>)</w:t>
      </w:r>
      <w:r>
        <w:rPr>
          <w:rFonts w:hint="eastAsia"/>
          <w:snapToGrid/>
          <w:lang w:val="en-GB"/>
        </w:rPr>
        <w:t>。</w:t>
      </w:r>
    </w:p>
    <w:p w:rsidR="00000000" w:rsidRDefault="009C1C61">
      <w:pPr>
        <w:rPr>
          <w:rFonts w:hint="eastAsia"/>
          <w:snapToGrid/>
          <w:lang w:val="en-GB"/>
        </w:rPr>
      </w:pPr>
      <w:r>
        <w:rPr>
          <w:rFonts w:hint="eastAsia"/>
          <w:snapToGrid/>
          <w:lang w:val="en-GB"/>
        </w:rPr>
        <w:tab/>
        <w:t xml:space="preserve">832.  </w:t>
      </w:r>
      <w:r>
        <w:rPr>
          <w:rFonts w:hint="eastAsia"/>
          <w:snapToGrid/>
          <w:lang w:val="en-GB"/>
        </w:rPr>
        <w:t>文艺发展基金对某一项目的选定基本上取决于可行性，但同某一计划对环境、社会和文化的影响有关的其他标准也起到一定的作用。无论在人口密度高的地区，例如省府，还是地理位置隔绝、资源和人烟稀少、因而实行优惠性待遇的地区，都鼓励提出倡议。</w:t>
      </w:r>
    </w:p>
    <w:p w:rsidR="00000000" w:rsidRDefault="009C1C61">
      <w:pPr>
        <w:rPr>
          <w:rFonts w:hint="eastAsia"/>
          <w:snapToGrid/>
          <w:lang w:val="en-GB"/>
        </w:rPr>
      </w:pPr>
      <w:r>
        <w:rPr>
          <w:rFonts w:hint="eastAsia"/>
          <w:snapToGrid/>
          <w:lang w:val="en-GB"/>
        </w:rPr>
        <w:tab/>
        <w:t xml:space="preserve">833.  </w:t>
      </w:r>
      <w:r>
        <w:rPr>
          <w:rFonts w:hint="eastAsia"/>
          <w:snapToGrid/>
          <w:lang w:val="en-GB"/>
        </w:rPr>
        <w:t>所需资源涉及非常不同的基础设施领域。历来对兴建或整修市立剧院的需要量很大，但是由于费用高昂，教育部文化司建议为此特别拨款。这些剧院历来是富裕的象征，为文化精英演出音乐或歌剧；但是，随着岁月的推移，已经成了群众的娱乐场所。文化中心和多用途场所的创建是另一个需</w:t>
      </w:r>
      <w:r>
        <w:rPr>
          <w:rFonts w:hint="eastAsia"/>
          <w:snapToGrid/>
          <w:lang w:val="en-GB"/>
        </w:rPr>
        <w:t>要大量经费的项目。这些场所是比较符合向大众演出室内音乐会和放映录像无分轩轾的文化概念。</w:t>
      </w:r>
    </w:p>
    <w:p w:rsidR="00000000" w:rsidRDefault="009C1C61">
      <w:pPr>
        <w:rPr>
          <w:rFonts w:hint="eastAsia"/>
          <w:snapToGrid/>
          <w:lang w:val="en-GB"/>
        </w:rPr>
      </w:pPr>
      <w:r>
        <w:rPr>
          <w:rFonts w:hint="eastAsia"/>
          <w:snapToGrid/>
          <w:lang w:val="en-GB"/>
        </w:rPr>
        <w:tab/>
        <w:t xml:space="preserve">834.  </w:t>
      </w:r>
      <w:r>
        <w:rPr>
          <w:rFonts w:hint="eastAsia"/>
          <w:snapToGrid/>
          <w:lang w:val="en-GB"/>
        </w:rPr>
        <w:t>公共工程部建筑司的工作更加明确。该司的活动只是针对公共部门，</w:t>
      </w:r>
      <w:r>
        <w:rPr>
          <w:rFonts w:hint="eastAsia"/>
          <w:snapToGrid/>
          <w:lang w:val="en-GB"/>
        </w:rPr>
        <w:t>1991</w:t>
      </w:r>
      <w:r>
        <w:rPr>
          <w:rFonts w:hint="eastAsia"/>
          <w:snapToGrid/>
          <w:lang w:val="en-GB"/>
        </w:rPr>
        <w:t>年以来，它制订了一个修复传统建筑的计划，到目前为止，投资了</w:t>
      </w:r>
      <w:r>
        <w:rPr>
          <w:rFonts w:hint="eastAsia"/>
          <w:snapToGrid/>
          <w:lang w:val="en-GB"/>
        </w:rPr>
        <w:t>30</w:t>
      </w:r>
      <w:r>
        <w:rPr>
          <w:rFonts w:hint="eastAsia"/>
          <w:snapToGrid/>
          <w:lang w:val="en-GB"/>
        </w:rPr>
        <w:t>亿比索</w:t>
      </w:r>
      <w:r>
        <w:rPr>
          <w:rFonts w:hint="eastAsia"/>
          <w:snapToGrid/>
          <w:lang w:val="en-GB"/>
        </w:rPr>
        <w:t>(5,560,807</w:t>
      </w:r>
      <w:r>
        <w:rPr>
          <w:rFonts w:hint="eastAsia"/>
          <w:snapToGrid/>
          <w:lang w:val="en-GB"/>
        </w:rPr>
        <w:t>美元</w:t>
      </w:r>
      <w:r>
        <w:rPr>
          <w:rFonts w:hint="eastAsia"/>
          <w:snapToGrid/>
          <w:lang w:val="en-GB"/>
        </w:rPr>
        <w:t>)</w:t>
      </w:r>
      <w:r>
        <w:rPr>
          <w:rFonts w:hint="eastAsia"/>
          <w:snapToGrid/>
          <w:lang w:val="en-GB"/>
        </w:rPr>
        <w:t>。这项计划一共支出了</w:t>
      </w:r>
      <w:r>
        <w:rPr>
          <w:rFonts w:hint="eastAsia"/>
          <w:snapToGrid/>
          <w:lang w:val="en-GB"/>
        </w:rPr>
        <w:t>100</w:t>
      </w:r>
      <w:r>
        <w:rPr>
          <w:rFonts w:hint="eastAsia"/>
          <w:snapToGrid/>
          <w:lang w:val="en-GB"/>
        </w:rPr>
        <w:t>亿比索</w:t>
      </w:r>
      <w:r>
        <w:rPr>
          <w:rFonts w:hint="eastAsia"/>
          <w:snapToGrid/>
          <w:lang w:val="en-GB"/>
        </w:rPr>
        <w:t>(18,536,024</w:t>
      </w:r>
      <w:r>
        <w:rPr>
          <w:rFonts w:hint="eastAsia"/>
          <w:snapToGrid/>
          <w:lang w:val="en-GB"/>
        </w:rPr>
        <w:t>美元</w:t>
      </w:r>
      <w:r>
        <w:rPr>
          <w:rFonts w:hint="eastAsia"/>
          <w:snapToGrid/>
          <w:lang w:val="en-GB"/>
        </w:rPr>
        <w:t>)</w:t>
      </w:r>
      <w:r>
        <w:rPr>
          <w:rFonts w:hint="eastAsia"/>
          <w:snapToGrid/>
          <w:lang w:val="en-GB"/>
        </w:rPr>
        <w:t>，其余的</w:t>
      </w:r>
      <w:r>
        <w:rPr>
          <w:rFonts w:hint="eastAsia"/>
          <w:snapToGrid/>
          <w:lang w:val="en-GB"/>
        </w:rPr>
        <w:t>70%</w:t>
      </w:r>
      <w:r>
        <w:rPr>
          <w:rFonts w:hint="eastAsia"/>
          <w:snapToGrid/>
          <w:lang w:val="en-GB"/>
        </w:rPr>
        <w:t>由该建筑的实际用户捐献。该部在公共场所安装了艺术作品，做出宝贵的贡献。</w:t>
      </w:r>
      <w:r>
        <w:rPr>
          <w:rStyle w:val="FootnoteReference"/>
          <w:snapToGrid/>
          <w:lang w:val="en-GB"/>
        </w:rPr>
        <w:footnoteReference w:id="331"/>
      </w:r>
    </w:p>
    <w:p w:rsidR="00000000" w:rsidRDefault="009C1C61">
      <w:pPr>
        <w:spacing w:after="320"/>
        <w:rPr>
          <w:rFonts w:hint="eastAsia"/>
          <w:snapToGrid/>
        </w:rPr>
      </w:pPr>
      <w:r>
        <w:rPr>
          <w:rFonts w:hint="eastAsia"/>
          <w:snapToGrid/>
          <w:lang w:val="en-GB"/>
        </w:rPr>
        <w:tab/>
        <w:t xml:space="preserve">835.  </w:t>
      </w:r>
      <w:r>
        <w:rPr>
          <w:rFonts w:hint="eastAsia"/>
          <w:snapToGrid/>
        </w:rPr>
        <w:t>向内务部主管区域和行政发展司的副司长汇报工作的</w:t>
      </w:r>
      <w:r>
        <w:rPr>
          <w:rFonts w:hint="eastAsia"/>
          <w:snapToGrid/>
          <w:lang w:val="en-GB"/>
        </w:rPr>
        <w:t>全国大区发展基金</w:t>
      </w:r>
      <w:r>
        <w:rPr>
          <w:snapToGrid/>
        </w:rPr>
        <w:t>(FNDR)</w:t>
      </w:r>
      <w:r>
        <w:rPr>
          <w:rFonts w:hint="eastAsia"/>
          <w:snapToGrid/>
        </w:rPr>
        <w:t>一直协作参与</w:t>
      </w:r>
      <w:r>
        <w:rPr>
          <w:rFonts w:hint="eastAsia"/>
          <w:snapToGrid/>
        </w:rPr>
        <w:t>图书馆和多用途场所的设备安装以及属于传统遗产的地区的修复工作。</w:t>
      </w:r>
      <w:r>
        <w:rPr>
          <w:rFonts w:hint="eastAsia"/>
          <w:snapToGrid/>
        </w:rPr>
        <w:t>1996</w:t>
      </w:r>
      <w:r>
        <w:rPr>
          <w:rFonts w:hint="eastAsia"/>
          <w:snapToGrid/>
        </w:rPr>
        <w:t>年以来，各区域政府经常为此划拨</w:t>
      </w:r>
      <w:r>
        <w:rPr>
          <w:rFonts w:hint="eastAsia"/>
          <w:snapToGrid/>
        </w:rPr>
        <w:t>0.5</w:t>
      </w:r>
      <w:r>
        <w:rPr>
          <w:rFonts w:hint="eastAsia"/>
          <w:snapToGrid/>
        </w:rPr>
        <w:t>至</w:t>
      </w:r>
      <w:r>
        <w:rPr>
          <w:rFonts w:hint="eastAsia"/>
          <w:snapToGrid/>
        </w:rPr>
        <w:t>3</w:t>
      </w:r>
      <w:r>
        <w:rPr>
          <w:rFonts w:hint="eastAsia"/>
          <w:snapToGrid/>
        </w:rPr>
        <w:t>亿比索</w:t>
      </w:r>
      <w:r>
        <w:rPr>
          <w:rFonts w:hint="eastAsia"/>
          <w:snapToGrid/>
        </w:rPr>
        <w:t>(</w:t>
      </w:r>
      <w:r>
        <w:rPr>
          <w:rFonts w:hint="eastAsia"/>
          <w:snapToGrid/>
        </w:rPr>
        <w:t>分别为</w:t>
      </w:r>
      <w:r>
        <w:rPr>
          <w:rFonts w:hint="eastAsia"/>
          <w:snapToGrid/>
        </w:rPr>
        <w:t>92,680</w:t>
      </w:r>
      <w:r>
        <w:rPr>
          <w:rFonts w:hint="eastAsia"/>
          <w:snapToGrid/>
        </w:rPr>
        <w:t>美元和</w:t>
      </w:r>
      <w:r>
        <w:rPr>
          <w:rFonts w:hint="eastAsia"/>
          <w:snapToGrid/>
        </w:rPr>
        <w:t>556,080</w:t>
      </w:r>
      <w:r>
        <w:rPr>
          <w:rFonts w:hint="eastAsia"/>
          <w:snapToGrid/>
        </w:rPr>
        <w:t>美元</w:t>
      </w:r>
      <w:r>
        <w:rPr>
          <w:rFonts w:hint="eastAsia"/>
          <w:snapToGrid/>
        </w:rPr>
        <w:t>)</w:t>
      </w:r>
      <w:r>
        <w:rPr>
          <w:rStyle w:val="FootnoteReference"/>
          <w:snapToGrid/>
        </w:rPr>
        <w:footnoteReference w:id="332"/>
      </w:r>
      <w:r>
        <w:rPr>
          <w:rFonts w:hint="eastAsia"/>
          <w:snapToGrid/>
        </w:rPr>
        <w:t>，这些数字正在稳定地增加。</w:t>
      </w:r>
      <w:r>
        <w:rPr>
          <w:rFonts w:hint="eastAsia"/>
          <w:snapToGrid/>
        </w:rPr>
        <w:t>1999</w:t>
      </w:r>
      <w:r>
        <w:rPr>
          <w:rFonts w:hint="eastAsia"/>
          <w:snapToGrid/>
        </w:rPr>
        <w:t>年，通过这一渠道为兴建</w:t>
      </w:r>
      <w:r>
        <w:rPr>
          <w:rFonts w:hint="eastAsia"/>
          <w:snapToGrid/>
        </w:rPr>
        <w:t>(</w:t>
      </w:r>
      <w:r>
        <w:rPr>
          <w:rFonts w:hint="eastAsia"/>
          <w:snapToGrid/>
        </w:rPr>
        <w:t>阿塔卡马区</w:t>
      </w:r>
      <w:r>
        <w:rPr>
          <w:rFonts w:hint="eastAsia"/>
          <w:snapToGrid/>
        </w:rPr>
        <w:t>)</w:t>
      </w:r>
      <w:r>
        <w:rPr>
          <w:rFonts w:hint="eastAsia"/>
          <w:snapToGrid/>
        </w:rPr>
        <w:t>皮卡博物馆和图书馆、安装</w:t>
      </w:r>
      <w:r>
        <w:rPr>
          <w:rFonts w:hint="eastAsia"/>
          <w:snapToGrid/>
        </w:rPr>
        <w:t>(</w:t>
      </w:r>
      <w:r>
        <w:rPr>
          <w:rFonts w:hint="eastAsia"/>
          <w:snapToGrid/>
        </w:rPr>
        <w:t>埃尔·马乌莱区</w:t>
      </w:r>
      <w:r>
        <w:rPr>
          <w:rFonts w:hint="eastAsia"/>
          <w:snapToGrid/>
        </w:rPr>
        <w:t>)</w:t>
      </w:r>
      <w:r>
        <w:rPr>
          <w:rFonts w:hint="eastAsia"/>
          <w:snapToGrid/>
        </w:rPr>
        <w:t>文化推广司新建工程的设备、和兴建</w:t>
      </w:r>
      <w:r>
        <w:rPr>
          <w:rFonts w:hint="eastAsia"/>
          <w:snapToGrid/>
        </w:rPr>
        <w:t>(</w:t>
      </w:r>
      <w:r>
        <w:rPr>
          <w:rFonts w:hint="eastAsia"/>
          <w:snapToGrid/>
        </w:rPr>
        <w:t>比奥比奥区</w:t>
      </w:r>
      <w:r>
        <w:rPr>
          <w:rFonts w:hint="eastAsia"/>
          <w:snapToGrid/>
        </w:rPr>
        <w:t>)</w:t>
      </w:r>
      <w:r>
        <w:rPr>
          <w:rFonts w:hint="eastAsia"/>
          <w:snapToGrid/>
        </w:rPr>
        <w:t>锡凯罗斯文化中心拨付了款项。</w:t>
      </w:r>
    </w:p>
    <w:p w:rsidR="00000000" w:rsidRDefault="009C1C61">
      <w:pPr>
        <w:pStyle w:val="Heading4"/>
        <w:rPr>
          <w:rFonts w:eastAsia="SimHei" w:hint="eastAsia"/>
          <w:u w:val="none"/>
        </w:rPr>
      </w:pPr>
      <w:r>
        <w:rPr>
          <w:rFonts w:eastAsia="SimHei" w:hint="eastAsia"/>
          <w:u w:val="none"/>
        </w:rPr>
        <w:t>发扬和保护文化特征和遗产</w:t>
      </w:r>
    </w:p>
    <w:p w:rsidR="00000000" w:rsidRDefault="009C1C61">
      <w:pPr>
        <w:rPr>
          <w:rFonts w:hint="eastAsia"/>
          <w:snapToGrid/>
        </w:rPr>
      </w:pPr>
      <w:r>
        <w:rPr>
          <w:rFonts w:hint="eastAsia"/>
          <w:b/>
          <w:bCs/>
          <w:snapToGrid/>
        </w:rPr>
        <w:tab/>
      </w:r>
      <w:r>
        <w:rPr>
          <w:rFonts w:hint="eastAsia"/>
          <w:snapToGrid/>
        </w:rPr>
        <w:t xml:space="preserve">836.  </w:t>
      </w:r>
      <w:r>
        <w:rPr>
          <w:rFonts w:hint="eastAsia"/>
          <w:snapToGrid/>
        </w:rPr>
        <w:t>根据《全国纪念碑法》，</w:t>
      </w:r>
      <w:r>
        <w:rPr>
          <w:rStyle w:val="FootnoteReference"/>
          <w:snapToGrid/>
        </w:rPr>
        <w:footnoteReference w:id="333"/>
      </w:r>
      <w:r>
        <w:rPr>
          <w:rFonts w:hint="eastAsia"/>
          <w:snapToGrid/>
        </w:rPr>
        <w:t xml:space="preserve"> </w:t>
      </w:r>
      <w:r>
        <w:rPr>
          <w:rFonts w:hint="eastAsia"/>
          <w:snapToGrid/>
        </w:rPr>
        <w:t>全国纪念碑理事会着手保护和扩建全国有形纪念碑遗产的通路。还有一些私营组织支助普查和保护自然遗产</w:t>
      </w:r>
      <w:r>
        <w:rPr>
          <w:rFonts w:hint="eastAsia"/>
          <w:snapToGrid/>
        </w:rPr>
        <w:t>的工作。</w:t>
      </w:r>
    </w:p>
    <w:p w:rsidR="00000000" w:rsidRDefault="009C1C61">
      <w:pPr>
        <w:rPr>
          <w:snapToGrid/>
        </w:rPr>
      </w:pPr>
      <w:r>
        <w:rPr>
          <w:rFonts w:hint="eastAsia"/>
          <w:snapToGrid/>
        </w:rPr>
        <w:tab/>
      </w:r>
      <w:r>
        <w:rPr>
          <w:snapToGrid/>
        </w:rPr>
        <w:t xml:space="preserve">837.   </w:t>
      </w:r>
      <w:r>
        <w:rPr>
          <w:rFonts w:hint="eastAsia"/>
          <w:snapToGrid/>
        </w:rPr>
        <w:t>国家通过图书馆、档案馆和博物馆部</w:t>
      </w:r>
      <w:r>
        <w:rPr>
          <w:rFonts w:hint="eastAsia"/>
          <w:snapToGrid/>
        </w:rPr>
        <w:t xml:space="preserve"> </w:t>
      </w:r>
      <w:r>
        <w:rPr>
          <w:snapToGrid/>
        </w:rPr>
        <w:t>(DIBAM)</w:t>
      </w:r>
      <w:r>
        <w:rPr>
          <w:rFonts w:hint="eastAsia"/>
          <w:snapToGrid/>
        </w:rPr>
        <w:t xml:space="preserve"> </w:t>
      </w:r>
      <w:r>
        <w:rPr>
          <w:rFonts w:hint="eastAsia"/>
          <w:snapToGrid/>
        </w:rPr>
        <w:t>负责保护和促进智利文化遗产的特征来源。该部部长是全国文物理事会执行副主席。该部包含若干遗产收藏机构，包括如下国立机构：国家图书馆、国家历史和政府档案馆和三个国家博物馆</w:t>
      </w:r>
      <w:r>
        <w:rPr>
          <w:snapToGrid/>
        </w:rPr>
        <w:t>(</w:t>
      </w:r>
      <w:r>
        <w:rPr>
          <w:rFonts w:hint="eastAsia"/>
          <w:snapToGrid/>
        </w:rPr>
        <w:t>美术、历史和自然历史博物馆</w:t>
      </w:r>
      <w:r>
        <w:rPr>
          <w:snapToGrid/>
        </w:rPr>
        <w:t>)</w:t>
      </w:r>
      <w:r>
        <w:rPr>
          <w:rFonts w:hint="eastAsia"/>
          <w:snapToGrid/>
        </w:rPr>
        <w:t>。它也在智利全境聚合了</w:t>
      </w:r>
      <w:r>
        <w:rPr>
          <w:rFonts w:hint="eastAsia"/>
          <w:snapToGrid/>
        </w:rPr>
        <w:t>21</w:t>
      </w:r>
      <w:r>
        <w:rPr>
          <w:rFonts w:hint="eastAsia"/>
          <w:snapToGrid/>
        </w:rPr>
        <w:t>个博物馆、知识产权登记司、国家保护和修复中心、阿劳卡尼亚区域档案馆、国家传记资料网络和迭哥·巴罗斯·阿拉那研究中心。图档博三馆部也通过签订协议促进全智利</w:t>
      </w:r>
      <w:r>
        <w:rPr>
          <w:rFonts w:hint="eastAsia"/>
          <w:snapToGrid/>
        </w:rPr>
        <w:t>306</w:t>
      </w:r>
      <w:r>
        <w:rPr>
          <w:rFonts w:hint="eastAsia"/>
          <w:snapToGrid/>
        </w:rPr>
        <w:t>所公立图书馆的业务活动。</w:t>
      </w:r>
    </w:p>
    <w:p w:rsidR="00000000" w:rsidRDefault="009C1C61">
      <w:pPr>
        <w:rPr>
          <w:snapToGrid/>
        </w:rPr>
      </w:pPr>
      <w:r>
        <w:rPr>
          <w:snapToGrid/>
        </w:rPr>
        <w:tab/>
        <w:t xml:space="preserve">838.  </w:t>
      </w:r>
      <w:r>
        <w:rPr>
          <w:rFonts w:hint="eastAsia"/>
          <w:snapToGrid/>
        </w:rPr>
        <w:t>政府最近成功地提</w:t>
      </w:r>
      <w:r>
        <w:rPr>
          <w:rFonts w:hint="eastAsia"/>
          <w:snapToGrid/>
        </w:rPr>
        <w:t>议宣布复活节岛及其纪念碑为人类文化遗产的一部分。目前，政府正在为瓦尔帕莱索市、奇洛埃岛教堂和智利北部沙漠中被抛弃的硝酸盐作品申请同样的地位。</w:t>
      </w:r>
    </w:p>
    <w:p w:rsidR="00000000" w:rsidRDefault="009C1C61">
      <w:pPr>
        <w:spacing w:after="320"/>
        <w:rPr>
          <w:rFonts w:hint="eastAsia"/>
          <w:snapToGrid/>
        </w:rPr>
      </w:pPr>
      <w:r>
        <w:rPr>
          <w:snapToGrid/>
        </w:rPr>
        <w:tab/>
      </w:r>
      <w:r>
        <w:rPr>
          <w:rFonts w:hint="eastAsia"/>
          <w:snapToGrid/>
        </w:rPr>
        <w:t xml:space="preserve">839.  </w:t>
      </w:r>
      <w:r>
        <w:rPr>
          <w:rFonts w:hint="eastAsia"/>
          <w:snapToGrid/>
        </w:rPr>
        <w:t>拉戈斯总统领导的政府首先提议在每年五月最后一个星期日庆祝</w:t>
      </w:r>
      <w:r>
        <w:rPr>
          <w:rFonts w:hint="eastAsia"/>
          <w:snapToGrid/>
          <w:lang w:val="en-GB"/>
        </w:rPr>
        <w:t>文化遗产日。庆祝活动激发了人民的兴趣和集体的觉悟。这一天，数十个机构和私人拥有的历史建筑都向公众开放，由称为金融大厦</w:t>
      </w:r>
      <w:r>
        <w:rPr>
          <w:rFonts w:hint="eastAsia"/>
          <w:snapToGrid/>
          <w:lang w:val="en-GB"/>
        </w:rPr>
        <w:t>(</w:t>
      </w:r>
      <w:r>
        <w:rPr>
          <w:snapToGrid/>
        </w:rPr>
        <w:t>La Moneda</w:t>
      </w:r>
      <w:r>
        <w:rPr>
          <w:rFonts w:hint="eastAsia"/>
          <w:snapToGrid/>
        </w:rPr>
        <w:t>)</w:t>
      </w:r>
      <w:r>
        <w:rPr>
          <w:rFonts w:hint="eastAsia"/>
          <w:snapToGrid/>
        </w:rPr>
        <w:t>的总统府带头，每天向公众开放。</w:t>
      </w:r>
    </w:p>
    <w:p w:rsidR="00000000" w:rsidRDefault="009C1C61">
      <w:pPr>
        <w:pStyle w:val="Heading4"/>
        <w:rPr>
          <w:rFonts w:eastAsia="SimHei"/>
          <w:u w:val="none"/>
        </w:rPr>
      </w:pPr>
      <w:r>
        <w:rPr>
          <w:rFonts w:eastAsia="SimHei" w:hint="eastAsia"/>
          <w:u w:val="none"/>
        </w:rPr>
        <w:t>言论和新闻自由</w:t>
      </w:r>
    </w:p>
    <w:p w:rsidR="00000000" w:rsidRDefault="009C1C61">
      <w:pPr>
        <w:rPr>
          <w:snapToGrid/>
        </w:rPr>
      </w:pPr>
      <w:r>
        <w:rPr>
          <w:b/>
          <w:snapToGrid/>
        </w:rPr>
        <w:tab/>
      </w:r>
      <w:r>
        <w:rPr>
          <w:snapToGrid/>
        </w:rPr>
        <w:t xml:space="preserve">840.  </w:t>
      </w:r>
      <w:r>
        <w:rPr>
          <w:rFonts w:hint="eastAsia"/>
          <w:snapToGrid/>
        </w:rPr>
        <w:t>需要对取得成就的两个方面进行分析：媒体中产生的透明气氛和新闻业的改进。民主政府的新闻政策详细说明恢复</w:t>
      </w:r>
      <w:r>
        <w:rPr>
          <w:rFonts w:hint="eastAsia"/>
          <w:snapToGrid/>
        </w:rPr>
        <w:t>新闻媒体的作用，这种作用在军事政权的压力和控制下层经被削弱。这种政策的主要目标是使媒体能够恢复可信性，摘掉政府官方机关的帽子。</w:t>
      </w:r>
    </w:p>
    <w:p w:rsidR="00000000" w:rsidRDefault="009C1C61">
      <w:pPr>
        <w:rPr>
          <w:snapToGrid/>
        </w:rPr>
      </w:pPr>
      <w:r>
        <w:rPr>
          <w:snapToGrid/>
        </w:rPr>
        <w:tab/>
        <w:t xml:space="preserve">841.  </w:t>
      </w:r>
      <w:r>
        <w:rPr>
          <w:rFonts w:hint="eastAsia"/>
          <w:snapToGrid/>
        </w:rPr>
        <w:t>这是从政府机关转化为大众媒体的开始，已经给予国家电视公司</w:t>
      </w:r>
      <w:r>
        <w:rPr>
          <w:snapToGrid/>
        </w:rPr>
        <w:t>(TVN)</w:t>
      </w:r>
      <w:r>
        <w:rPr>
          <w:rFonts w:hint="eastAsia"/>
          <w:snapToGrid/>
        </w:rPr>
        <w:t>管理自主权，并且出售了国营奥尔布通讯社和国家广播电台。《宪法》</w:t>
      </w:r>
      <w:r>
        <w:rPr>
          <w:rStyle w:val="FootnoteReference"/>
          <w:snapToGrid/>
        </w:rPr>
        <w:footnoteReference w:id="334"/>
      </w:r>
      <w:r>
        <w:rPr>
          <w:snapToGrid/>
        </w:rPr>
        <w:t xml:space="preserve"> </w:t>
      </w:r>
      <w:r>
        <w:rPr>
          <w:rFonts w:hint="eastAsia"/>
          <w:snapToGrid/>
        </w:rPr>
        <w:t>经过修改以后，取消了对影片的审查制度，把它改为体现艺术创造自由权的评级制度。</w:t>
      </w:r>
    </w:p>
    <w:p w:rsidR="00000000" w:rsidRDefault="009C1C61">
      <w:pPr>
        <w:rPr>
          <w:snapToGrid/>
        </w:rPr>
      </w:pPr>
      <w:r>
        <w:rPr>
          <w:snapToGrid/>
        </w:rPr>
        <w:tab/>
        <w:t xml:space="preserve">842.  </w:t>
      </w:r>
      <w:r>
        <w:rPr>
          <w:rFonts w:hint="eastAsia"/>
          <w:snapToGrid/>
        </w:rPr>
        <w:t>政府也增强了新闻体系的透明度，使公共行政当局对其活动更加负有责任。例如弗赖总统于</w:t>
      </w:r>
      <w:r>
        <w:rPr>
          <w:rFonts w:hint="eastAsia"/>
          <w:snapToGrid/>
        </w:rPr>
        <w:t>1995</w:t>
      </w:r>
      <w:r>
        <w:rPr>
          <w:rFonts w:hint="eastAsia"/>
          <w:snapToGrid/>
        </w:rPr>
        <w:t>年提出的查阅行政管理资料法案在智利立法中首次以普遍的知情权</w:t>
      </w:r>
      <w:r>
        <w:rPr>
          <w:rFonts w:hint="eastAsia"/>
          <w:snapToGrid/>
        </w:rPr>
        <w:t>为依据，并且详细说明了政府官员在何种情况下可以拒绝提供资料以及对这种拒绝提出异议的法律补救办法。</w:t>
      </w:r>
      <w:r>
        <w:rPr>
          <w:rStyle w:val="FootnoteReference"/>
          <w:snapToGrid/>
        </w:rPr>
        <w:footnoteReference w:id="335"/>
      </w:r>
    </w:p>
    <w:p w:rsidR="00000000" w:rsidRDefault="009C1C61">
      <w:pPr>
        <w:rPr>
          <w:snapToGrid/>
        </w:rPr>
      </w:pPr>
      <w:r>
        <w:rPr>
          <w:snapToGrid/>
        </w:rPr>
        <w:tab/>
        <w:t xml:space="preserve">843.  </w:t>
      </w:r>
      <w:r>
        <w:rPr>
          <w:rFonts w:hint="eastAsia"/>
          <w:snapToGrid/>
        </w:rPr>
        <w:t>关于自由从事新闻业的问题，军事法庭许多待审的控告新闻记者的案件中，多半涉及对军队的冒犯行为和侮辱，已经转交给民事法庭。但是，仍在执行对媒体和新闻工作者极具压制作用的司法规定和程序。自从</w:t>
      </w:r>
      <w:r>
        <w:rPr>
          <w:rFonts w:hint="eastAsia"/>
          <w:snapToGrid/>
        </w:rPr>
        <w:t>1990</w:t>
      </w:r>
      <w:r>
        <w:rPr>
          <w:rFonts w:hint="eastAsia"/>
          <w:snapToGrid/>
        </w:rPr>
        <w:t>年</w:t>
      </w:r>
      <w:r>
        <w:rPr>
          <w:rFonts w:hint="eastAsia"/>
          <w:snapToGrid/>
        </w:rPr>
        <w:t>3</w:t>
      </w:r>
      <w:r>
        <w:rPr>
          <w:rFonts w:hint="eastAsia"/>
          <w:snapToGrid/>
        </w:rPr>
        <w:t>月以来，涉及言论自由的案件多半是诽谤政府官员，影响到</w:t>
      </w:r>
      <w:r>
        <w:rPr>
          <w:snapToGrid/>
        </w:rPr>
        <w:t>16</w:t>
      </w:r>
      <w:r>
        <w:rPr>
          <w:rFonts w:hint="eastAsia"/>
          <w:snapToGrid/>
        </w:rPr>
        <w:t>名新闻记者和</w:t>
      </w:r>
      <w:r>
        <w:rPr>
          <w:snapToGrid/>
        </w:rPr>
        <w:t>8</w:t>
      </w:r>
      <w:r>
        <w:rPr>
          <w:rFonts w:hint="eastAsia"/>
          <w:snapToGrid/>
        </w:rPr>
        <w:t>名政治人物。最近，“智利司法黑书”案促使美洲人权委员会谴责违背言论及思想自由的条款的存在，因为言论及思想自由应该受到智利已经签署的国</w:t>
      </w:r>
      <w:r>
        <w:rPr>
          <w:rFonts w:hint="eastAsia"/>
          <w:snapToGrid/>
        </w:rPr>
        <w:t>际公约的保障。</w:t>
      </w:r>
    </w:p>
    <w:p w:rsidR="00000000" w:rsidRDefault="009C1C61">
      <w:pPr>
        <w:rPr>
          <w:snapToGrid/>
        </w:rPr>
      </w:pPr>
      <w:r>
        <w:rPr>
          <w:snapToGrid/>
        </w:rPr>
        <w:tab/>
        <w:t xml:space="preserve">844.  </w:t>
      </w:r>
      <w:r>
        <w:rPr>
          <w:rFonts w:hint="eastAsia"/>
          <w:snapToGrid/>
        </w:rPr>
        <w:t>这种情况突出了修改国家安全法案</w:t>
      </w:r>
      <w:r>
        <w:rPr>
          <w:rFonts w:hint="eastAsia"/>
          <w:snapToGrid/>
        </w:rPr>
        <w:t xml:space="preserve"> </w:t>
      </w:r>
      <w:r>
        <w:rPr>
          <w:rStyle w:val="FootnoteReference"/>
          <w:snapToGrid/>
        </w:rPr>
        <w:footnoteReference w:id="336"/>
      </w:r>
      <w:r>
        <w:rPr>
          <w:rFonts w:hint="eastAsia"/>
          <w:snapToGrid/>
        </w:rPr>
        <w:t xml:space="preserve"> </w:t>
      </w:r>
      <w:r>
        <w:rPr>
          <w:rFonts w:hint="eastAsia"/>
          <w:snapToGrid/>
        </w:rPr>
        <w:t>的迫切性，废除其中关于法院对于有诋毁、侮辱或诽谤当局行为的出版物或广播电台可以暂时加以取缔的特殊权力的规定。发起修改该法的团体在这一点上有不同意见，一派主张取消对当局尊严的特别保障，反对派则希望为某些官员保留现行规定。</w:t>
      </w:r>
    </w:p>
    <w:p w:rsidR="00000000" w:rsidRDefault="009C1C61">
      <w:pPr>
        <w:spacing w:after="320"/>
        <w:rPr>
          <w:rFonts w:hint="eastAsia"/>
          <w:snapToGrid/>
        </w:rPr>
      </w:pPr>
      <w:r>
        <w:rPr>
          <w:snapToGrid/>
        </w:rPr>
        <w:tab/>
        <w:t xml:space="preserve">845.  </w:t>
      </w:r>
      <w:r>
        <w:rPr>
          <w:rFonts w:hint="eastAsia"/>
          <w:snapToGrid/>
        </w:rPr>
        <w:t>妨碍新闻记者正当从业的另一个司法程序是禁止刊载法院在扰乱治安案件中发布的资料。虽然对于需要废除这一条款有了协商一致意见，并且已经载于新闻法案中，却还没有正式批准。这项法案意图保护新闻记者，并且为保障新闻和舆论自由</w:t>
      </w:r>
      <w:r>
        <w:rPr>
          <w:rFonts w:hint="eastAsia"/>
          <w:snapToGrid/>
        </w:rPr>
        <w:t>制订规章，激起了冗长的讨论，这是因为公共机构和工会的权益发生冲突，各种利益攸关方之间缺乏协商一致意见。经过六年的谈判以后，行政当局意识到这一法令框架的重要性，已经重新强调要努力加速讨论进程。</w:t>
      </w:r>
    </w:p>
    <w:p w:rsidR="00000000" w:rsidRDefault="009C1C61">
      <w:pPr>
        <w:pStyle w:val="Heading4"/>
        <w:rPr>
          <w:rFonts w:eastAsia="SimHei"/>
          <w:u w:val="none"/>
        </w:rPr>
      </w:pPr>
      <w:r>
        <w:rPr>
          <w:rFonts w:eastAsia="SimHei" w:hint="eastAsia"/>
          <w:u w:val="none"/>
        </w:rPr>
        <w:t>文化和艺术职业培训</w:t>
      </w:r>
    </w:p>
    <w:p w:rsidR="00000000" w:rsidRDefault="009C1C61">
      <w:pPr>
        <w:spacing w:after="320"/>
        <w:rPr>
          <w:rFonts w:hint="eastAsia"/>
          <w:b/>
          <w:bCs/>
          <w:snapToGrid/>
        </w:rPr>
      </w:pPr>
      <w:r>
        <w:rPr>
          <w:b/>
          <w:snapToGrid/>
        </w:rPr>
        <w:tab/>
      </w:r>
      <w:r>
        <w:rPr>
          <w:snapToGrid/>
        </w:rPr>
        <w:t xml:space="preserve">846.  </w:t>
      </w:r>
      <w:r>
        <w:rPr>
          <w:rFonts w:hint="eastAsia"/>
          <w:snapToGrid/>
        </w:rPr>
        <w:t>除了获益于教育自由但没有得到“正式承认”的文化和艺术培训设施和活动以外，正式的教育制度包含一系列的艺术职业培训设施。在基本和中等级别上，目前有一些艺术学校，主要是在音乐和视觉艺术领域，把一般性培训同多样化的艺术培训结合起来。许多高等教育机构</w:t>
      </w:r>
      <w:r>
        <w:rPr>
          <w:snapToGrid/>
        </w:rPr>
        <w:t>(</w:t>
      </w:r>
      <w:r>
        <w:rPr>
          <w:rFonts w:hint="eastAsia"/>
          <w:snapToGrid/>
        </w:rPr>
        <w:t>大学和职业学院</w:t>
      </w:r>
      <w:r>
        <w:rPr>
          <w:snapToGrid/>
        </w:rPr>
        <w:t xml:space="preserve">) </w:t>
      </w:r>
      <w:r>
        <w:rPr>
          <w:rFonts w:hint="eastAsia"/>
          <w:snapToGrid/>
        </w:rPr>
        <w:t>提供了这类职业课程。若干重</w:t>
      </w:r>
      <w:r>
        <w:rPr>
          <w:rFonts w:hint="eastAsia"/>
          <w:snapToGrid/>
        </w:rPr>
        <w:t>点大学设有专门的学院、科系或学校，不仅开授课程，还从事研究、创造、特别壁饰研究以及艺术和人文学科方面的普及工作。</w:t>
      </w:r>
    </w:p>
    <w:p w:rsidR="00000000" w:rsidRDefault="009C1C61">
      <w:pPr>
        <w:pStyle w:val="Heading4"/>
        <w:rPr>
          <w:rFonts w:eastAsia="SimHei"/>
          <w:u w:val="none"/>
        </w:rPr>
      </w:pPr>
      <w:r>
        <w:rPr>
          <w:rFonts w:eastAsia="SimHei" w:hint="eastAsia"/>
          <w:u w:val="none"/>
        </w:rPr>
        <w:t>土著人民文化的保护、发展和发扬措施</w:t>
      </w:r>
    </w:p>
    <w:p w:rsidR="00000000" w:rsidRDefault="009C1C61">
      <w:pPr>
        <w:spacing w:after="320"/>
        <w:rPr>
          <w:snapToGrid/>
        </w:rPr>
      </w:pPr>
      <w:r>
        <w:rPr>
          <w:b/>
          <w:bCs/>
          <w:snapToGrid/>
        </w:rPr>
        <w:tab/>
      </w:r>
      <w:r>
        <w:rPr>
          <w:snapToGrid/>
        </w:rPr>
        <w:t xml:space="preserve">847.  </w:t>
      </w:r>
      <w:r>
        <w:rPr>
          <w:rFonts w:hint="eastAsia"/>
          <w:snapToGrid/>
        </w:rPr>
        <w:t>在</w:t>
      </w:r>
      <w:r>
        <w:rPr>
          <w:rFonts w:hint="eastAsia"/>
          <w:snapToGrid/>
        </w:rPr>
        <w:t>1990-1991</w:t>
      </w:r>
      <w:r>
        <w:rPr>
          <w:rFonts w:hint="eastAsia"/>
          <w:snapToGrid/>
        </w:rPr>
        <w:t>年以来为了处理智利土著人民事务而创设的机构系统范围内，已经拟订一些计划，为所谓双语跨文化教育奠定基础，这是广泛解决智利各族发展中的文化问题的部分工作。除此以外，</w:t>
      </w:r>
      <w:r>
        <w:rPr>
          <w:rFonts w:hint="eastAsia"/>
          <w:snapToGrid/>
        </w:rPr>
        <w:t>1992</w:t>
      </w:r>
      <w:r>
        <w:rPr>
          <w:rFonts w:hint="eastAsia"/>
          <w:snapToGrid/>
        </w:rPr>
        <w:t>年初以来，根据与特穆科天主教大学的一份协议实行的马普切族教师基本教育培训方案是一项重要的举措。</w:t>
      </w:r>
    </w:p>
    <w:p w:rsidR="00000000" w:rsidRDefault="009C1C61">
      <w:pPr>
        <w:pStyle w:val="Heading4"/>
        <w:rPr>
          <w:rFonts w:eastAsia="SimHei"/>
          <w:u w:val="none"/>
        </w:rPr>
      </w:pPr>
      <w:r>
        <w:rPr>
          <w:rFonts w:eastAsia="SimHei" w:hint="eastAsia"/>
          <w:u w:val="none"/>
        </w:rPr>
        <w:t>为实现享受科学进步及其应用成果的权利而采取的措施</w:t>
      </w:r>
    </w:p>
    <w:p w:rsidR="00000000" w:rsidRDefault="009C1C61">
      <w:pPr>
        <w:rPr>
          <w:snapToGrid/>
        </w:rPr>
      </w:pPr>
      <w:r>
        <w:rPr>
          <w:b/>
          <w:bCs/>
          <w:snapToGrid/>
        </w:rPr>
        <w:tab/>
      </w:r>
      <w:r>
        <w:rPr>
          <w:snapToGrid/>
        </w:rPr>
        <w:t xml:space="preserve">848.  </w:t>
      </w:r>
      <w:r>
        <w:rPr>
          <w:rFonts w:hint="eastAsia"/>
          <w:snapToGrid/>
        </w:rPr>
        <w:t>《宪法》赋予国家促进科学和技术研究的责任。智利大学的三项主要功能之一是科学研究；除了各大学自己的资源以外，它们还得到国家的支助，现予说明如下。它们承担在智利进行的大部分科学和技术研究。国家科学和技术研究委员会</w:t>
      </w:r>
      <w:r>
        <w:rPr>
          <w:snapToGrid/>
        </w:rPr>
        <w:t>(</w:t>
      </w:r>
      <w:r>
        <w:rPr>
          <w:rFonts w:hint="eastAsia"/>
          <w:snapToGrid/>
        </w:rPr>
        <w:t>科技研委会</w:t>
      </w:r>
      <w:r>
        <w:rPr>
          <w:snapToGrid/>
        </w:rPr>
        <w:t>)</w:t>
      </w:r>
      <w:r>
        <w:rPr>
          <w:rFonts w:hint="eastAsia"/>
          <w:snapToGrid/>
        </w:rPr>
        <w:t>是一个独立的公共机构，与教育部有联系，它负责经管科技基金，采取由科学界自己的评审人员鉴定结果的年度竞赛方式，资助由个人或各大学及其他方面的研究小组提出申请的研究项目。</w:t>
      </w:r>
    </w:p>
    <w:p w:rsidR="00000000" w:rsidRDefault="009C1C61">
      <w:pPr>
        <w:rPr>
          <w:snapToGrid/>
        </w:rPr>
      </w:pPr>
      <w:r>
        <w:rPr>
          <w:snapToGrid/>
        </w:rPr>
        <w:tab/>
        <w:t xml:space="preserve">849.  </w:t>
      </w:r>
      <w:r>
        <w:rPr>
          <w:rFonts w:hint="eastAsia"/>
          <w:snapToGrid/>
        </w:rPr>
        <w:t>十年来，由国家提出的其他倡议着眼于鼓励科学和技术发展，都得到了资助，其中包括以国家科学和技术研究委员会为基地</w:t>
      </w:r>
      <w:r>
        <w:rPr>
          <w:rFonts w:hint="eastAsia"/>
          <w:snapToGrid/>
        </w:rPr>
        <w:t>的促进科学技术发展基金</w:t>
      </w:r>
      <w:r>
        <w:rPr>
          <w:snapToGrid/>
        </w:rPr>
        <w:t>(</w:t>
      </w:r>
      <w:r>
        <w:rPr>
          <w:rFonts w:hint="eastAsia"/>
          <w:snapToGrid/>
        </w:rPr>
        <w:t>科促基金</w:t>
      </w:r>
      <w:r>
        <w:rPr>
          <w:snapToGrid/>
        </w:rPr>
        <w:t>)</w:t>
      </w:r>
      <w:r>
        <w:rPr>
          <w:rFonts w:hint="eastAsia"/>
          <w:snapToGrid/>
        </w:rPr>
        <w:t>，该基金于</w:t>
      </w:r>
      <w:r>
        <w:rPr>
          <w:rFonts w:hint="eastAsia"/>
          <w:snapToGrid/>
        </w:rPr>
        <w:t>1991</w:t>
      </w:r>
      <w:r>
        <w:rPr>
          <w:rFonts w:hint="eastAsia"/>
          <w:snapToGrid/>
        </w:rPr>
        <w:t>年设置，旨在帮助提高智利经济中各主要部门的竞争力，从而加强全国的科学和技术能力。作为其任务的一部分，科促基金致力于加强各大学和研究所以及商业界的联系。其目标是：</w:t>
      </w:r>
    </w:p>
    <w:p w:rsidR="00000000" w:rsidRDefault="009C1C61">
      <w:pPr>
        <w:numPr>
          <w:ilvl w:val="0"/>
          <w:numId w:val="331"/>
        </w:numPr>
        <w:rPr>
          <w:snapToGrid/>
        </w:rPr>
      </w:pPr>
      <w:r>
        <w:rPr>
          <w:rFonts w:hint="eastAsia"/>
          <w:snapToGrid/>
        </w:rPr>
        <w:t>提高研究的数量和质量，并且提供对生产活动造成重大影响的科学和技术服务；</w:t>
      </w:r>
    </w:p>
    <w:p w:rsidR="00000000" w:rsidRDefault="009C1C61">
      <w:pPr>
        <w:numPr>
          <w:ilvl w:val="0"/>
          <w:numId w:val="331"/>
        </w:numPr>
        <w:rPr>
          <w:snapToGrid/>
        </w:rPr>
      </w:pPr>
      <w:r>
        <w:rPr>
          <w:rFonts w:hint="eastAsia"/>
          <w:snapToGrid/>
        </w:rPr>
        <w:t>通过研发单位和智利商业界合办项目的互动、合作和执行，推进将专门技术转让给生产部门的工作；</w:t>
      </w:r>
    </w:p>
    <w:p w:rsidR="00000000" w:rsidRDefault="009C1C61">
      <w:pPr>
        <w:numPr>
          <w:ilvl w:val="0"/>
          <w:numId w:val="331"/>
        </w:numPr>
        <w:rPr>
          <w:snapToGrid/>
        </w:rPr>
      </w:pPr>
      <w:r>
        <w:rPr>
          <w:rFonts w:hint="eastAsia"/>
          <w:snapToGrid/>
        </w:rPr>
        <w:t>在关系重大社会效益和国家利益的优先领域的研究和发展方面，提高智利的专业化程度；</w:t>
      </w:r>
    </w:p>
    <w:p w:rsidR="00000000" w:rsidRDefault="009C1C61">
      <w:pPr>
        <w:rPr>
          <w:rFonts w:hint="eastAsia"/>
          <w:snapToGrid/>
          <w:spacing w:val="8"/>
          <w:lang w:val="en-GB"/>
        </w:rPr>
      </w:pPr>
      <w:r>
        <w:rPr>
          <w:snapToGrid/>
          <w:spacing w:val="8"/>
        </w:rPr>
        <w:tab/>
        <w:t xml:space="preserve">850.  </w:t>
      </w:r>
      <w:r>
        <w:rPr>
          <w:rFonts w:hint="eastAsia"/>
          <w:snapToGrid/>
          <w:spacing w:val="8"/>
        </w:rPr>
        <w:t>优先领域高级研究基金</w:t>
      </w:r>
      <w:r>
        <w:rPr>
          <w:snapToGrid/>
          <w:spacing w:val="8"/>
        </w:rPr>
        <w:t>(</w:t>
      </w:r>
      <w:r>
        <w:rPr>
          <w:rFonts w:hint="eastAsia"/>
          <w:snapToGrid/>
          <w:spacing w:val="8"/>
        </w:rPr>
        <w:t>高研基金</w:t>
      </w:r>
      <w:r>
        <w:rPr>
          <w:snapToGrid/>
          <w:spacing w:val="8"/>
        </w:rPr>
        <w:t>)</w:t>
      </w:r>
      <w:r>
        <w:rPr>
          <w:rFonts w:hint="eastAsia"/>
          <w:snapToGrid/>
          <w:spacing w:val="8"/>
        </w:rPr>
        <w:t>的宗旨是鼓</w:t>
      </w:r>
      <w:r>
        <w:rPr>
          <w:rFonts w:hint="eastAsia"/>
          <w:snapToGrid/>
          <w:spacing w:val="8"/>
        </w:rPr>
        <w:t>励在全国科学工作已经取得高度成就并且拥有生产能力的研究人员、致使政府决定赋予优先地位的主题领域各研究组进行协作。高研基金方案把重点放在一个或一批科学问题上。如果研究涉及多学科</w:t>
      </w:r>
      <w:r>
        <w:rPr>
          <w:rFonts w:hint="eastAsia"/>
          <w:snapToGrid/>
          <w:spacing w:val="8"/>
        </w:rPr>
        <w:t>(</w:t>
      </w:r>
      <w:r>
        <w:rPr>
          <w:rFonts w:hint="eastAsia"/>
          <w:snapToGrid/>
          <w:spacing w:val="8"/>
        </w:rPr>
        <w:t>视情况而定</w:t>
      </w:r>
      <w:r>
        <w:rPr>
          <w:rFonts w:hint="eastAsia"/>
          <w:snapToGrid/>
          <w:spacing w:val="8"/>
        </w:rPr>
        <w:t>)</w:t>
      </w:r>
      <w:r>
        <w:rPr>
          <w:rFonts w:hint="eastAsia"/>
          <w:snapToGrid/>
          <w:spacing w:val="8"/>
        </w:rPr>
        <w:t>，就更有可能出成果，并享受长期资助。研究包括一个教育组成部分，这也是这类方案的基本特征。</w:t>
      </w:r>
      <w:r>
        <w:rPr>
          <w:rFonts w:hint="eastAsia"/>
          <w:snapToGrid/>
          <w:spacing w:val="8"/>
        </w:rPr>
        <w:t>1996</w:t>
      </w:r>
      <w:r>
        <w:rPr>
          <w:rFonts w:hint="eastAsia"/>
          <w:snapToGrid/>
          <w:spacing w:val="8"/>
        </w:rPr>
        <w:t>年</w:t>
      </w:r>
      <w:r>
        <w:rPr>
          <w:rFonts w:hint="eastAsia"/>
          <w:snapToGrid/>
          <w:spacing w:val="8"/>
          <w:lang w:val="en-GB"/>
        </w:rPr>
        <w:t>，</w:t>
      </w:r>
      <w:r>
        <w:rPr>
          <w:rFonts w:hint="eastAsia"/>
          <w:snapToGrid/>
          <w:spacing w:val="8"/>
        </w:rPr>
        <w:t>高研基金范围内拟定了</w:t>
      </w:r>
      <w:r>
        <w:rPr>
          <w:rFonts w:hint="eastAsia"/>
          <w:snapToGrid/>
          <w:spacing w:val="8"/>
          <w:lang w:val="en-GB"/>
        </w:rPr>
        <w:t>一个海洋学及海洋生物学计划和一个应用数学计划。</w:t>
      </w:r>
      <w:r>
        <w:rPr>
          <w:rFonts w:hint="eastAsia"/>
          <w:snapToGrid/>
          <w:spacing w:val="8"/>
          <w:lang w:val="en-GB"/>
        </w:rPr>
        <w:t>1999</w:t>
      </w:r>
      <w:r>
        <w:rPr>
          <w:rFonts w:hint="eastAsia"/>
          <w:snapToGrid/>
          <w:spacing w:val="8"/>
          <w:lang w:val="en-GB"/>
        </w:rPr>
        <w:t>年，资助了一些生物医学和材料科学的计划。</w:t>
      </w:r>
    </w:p>
    <w:p w:rsidR="00000000" w:rsidRDefault="009C1C61">
      <w:pPr>
        <w:rPr>
          <w:snapToGrid/>
        </w:rPr>
      </w:pPr>
      <w:r>
        <w:rPr>
          <w:rFonts w:hint="eastAsia"/>
          <w:snapToGrid/>
          <w:lang w:val="en-GB"/>
        </w:rPr>
        <w:tab/>
      </w:r>
      <w:r>
        <w:rPr>
          <w:snapToGrid/>
        </w:rPr>
        <w:t xml:space="preserve">851.  </w:t>
      </w:r>
      <w:r>
        <w:rPr>
          <w:rFonts w:hint="eastAsia"/>
          <w:snapToGrid/>
        </w:rPr>
        <w:t>根据生产发展公司</w:t>
      </w:r>
      <w:r>
        <w:rPr>
          <w:snapToGrid/>
        </w:rPr>
        <w:t>(CORFO)</w:t>
      </w:r>
      <w:r>
        <w:rPr>
          <w:rFonts w:hint="eastAsia"/>
          <w:snapToGrid/>
        </w:rPr>
        <w:t>1992</w:t>
      </w:r>
      <w:r>
        <w:rPr>
          <w:snapToGrid/>
          <w:lang w:val="en-GB"/>
        </w:rPr>
        <w:t>-</w:t>
      </w:r>
      <w:r>
        <w:rPr>
          <w:rFonts w:hint="eastAsia"/>
          <w:snapToGrid/>
        </w:rPr>
        <w:t>1995</w:t>
      </w:r>
      <w:r>
        <w:rPr>
          <w:rFonts w:hint="eastAsia"/>
          <w:snapToGrid/>
        </w:rPr>
        <w:t>年科学和技术方案</w:t>
      </w:r>
      <w:r>
        <w:rPr>
          <w:rFonts w:hint="eastAsia"/>
          <w:snapToGrid/>
          <w:lang w:val="en-GB"/>
        </w:rPr>
        <w:t>，</w:t>
      </w:r>
      <w:r>
        <w:rPr>
          <w:rFonts w:hint="eastAsia"/>
          <w:snapToGrid/>
        </w:rPr>
        <w:t>于</w:t>
      </w:r>
      <w:r>
        <w:rPr>
          <w:rFonts w:hint="eastAsia"/>
          <w:snapToGrid/>
        </w:rPr>
        <w:t>1992</w:t>
      </w:r>
      <w:r>
        <w:rPr>
          <w:rFonts w:hint="eastAsia"/>
          <w:snapToGrid/>
        </w:rPr>
        <w:t>年设置了国家技术和</w:t>
      </w:r>
      <w:r>
        <w:rPr>
          <w:rFonts w:hint="eastAsia"/>
          <w:snapToGrid/>
        </w:rPr>
        <w:t>生产发展基金</w:t>
      </w:r>
      <w:r>
        <w:rPr>
          <w:snapToGrid/>
        </w:rPr>
        <w:t>(FONTEC)</w:t>
      </w:r>
      <w:r>
        <w:rPr>
          <w:rFonts w:hint="eastAsia"/>
          <w:snapToGrid/>
        </w:rPr>
        <w:t>。其宗旨是使私营企业能够更加迅速地投资于革新，全国生产部门中的所有私营企业，凡是在经济和技术发展上达到一定水平，从而能够分担技术革新的风险并分享其利益的，都是它的资助对象。目前，该基金的任务是：</w:t>
      </w:r>
    </w:p>
    <w:p w:rsidR="00000000" w:rsidRDefault="009C1C61">
      <w:pPr>
        <w:numPr>
          <w:ilvl w:val="0"/>
          <w:numId w:val="333"/>
        </w:numPr>
        <w:rPr>
          <w:snapToGrid/>
        </w:rPr>
      </w:pPr>
      <w:r>
        <w:rPr>
          <w:rFonts w:hint="eastAsia"/>
          <w:snapToGrid/>
        </w:rPr>
        <w:t>促进和资助私营企业所进行的有关技术基础设施的革新、转让和购买项目的落实；并且</w:t>
      </w:r>
    </w:p>
    <w:p w:rsidR="00000000" w:rsidRDefault="009C1C61">
      <w:pPr>
        <w:numPr>
          <w:ilvl w:val="0"/>
          <w:numId w:val="333"/>
        </w:numPr>
        <w:rPr>
          <w:snapToGrid/>
        </w:rPr>
      </w:pPr>
      <w:r>
        <w:rPr>
          <w:rFonts w:hint="eastAsia"/>
          <w:snapToGrid/>
        </w:rPr>
        <w:t>支持扩大革新进程产生的项目的生产和营销。</w:t>
      </w:r>
    </w:p>
    <w:p w:rsidR="00000000" w:rsidRDefault="009C1C61">
      <w:pPr>
        <w:rPr>
          <w:snapToGrid/>
        </w:rPr>
      </w:pPr>
      <w:r>
        <w:rPr>
          <w:snapToGrid/>
        </w:rPr>
        <w:tab/>
        <w:t xml:space="preserve">852.  </w:t>
      </w:r>
      <w:r>
        <w:rPr>
          <w:rFonts w:hint="eastAsia"/>
          <w:snapToGrid/>
        </w:rPr>
        <w:t>发展和革新基金</w:t>
      </w:r>
      <w:r>
        <w:rPr>
          <w:snapToGrid/>
        </w:rPr>
        <w:t>(FDI)</w:t>
      </w:r>
      <w:r>
        <w:rPr>
          <w:rFonts w:hint="eastAsia"/>
          <w:snapToGrid/>
        </w:rPr>
        <w:t>是</w:t>
      </w:r>
      <w:r>
        <w:rPr>
          <w:rFonts w:hint="eastAsia"/>
          <w:snapToGrid/>
        </w:rPr>
        <w:t>1995</w:t>
      </w:r>
      <w:r>
        <w:rPr>
          <w:rFonts w:hint="eastAsia"/>
          <w:snapToGrid/>
        </w:rPr>
        <w:t>年作为生产发展公司</w:t>
      </w:r>
      <w:r>
        <w:rPr>
          <w:rFonts w:hint="eastAsia"/>
          <w:snapToGrid/>
        </w:rPr>
        <w:t>(</w:t>
      </w:r>
      <w:r>
        <w:rPr>
          <w:snapToGrid/>
        </w:rPr>
        <w:t>CORFO</w:t>
      </w:r>
      <w:r>
        <w:rPr>
          <w:rFonts w:hint="eastAsia"/>
          <w:snapToGrid/>
        </w:rPr>
        <w:t>)</w:t>
      </w:r>
      <w:r>
        <w:rPr>
          <w:rFonts w:hint="eastAsia"/>
          <w:snapToGrid/>
        </w:rPr>
        <w:t>的一个委员会设立的，当时的名称是“公共服务和利益研究方案和项目基金”。该基金设立时只资助</w:t>
      </w:r>
      <w:r>
        <w:rPr>
          <w:rFonts w:hint="eastAsia"/>
          <w:snapToGrid/>
        </w:rPr>
        <w:t>生产发展公司各机构的项目。</w:t>
      </w:r>
      <w:r>
        <w:rPr>
          <w:snapToGrid/>
        </w:rPr>
        <w:t>1996</w:t>
      </w:r>
      <w:r>
        <w:rPr>
          <w:rFonts w:hint="eastAsia"/>
          <w:snapToGrid/>
        </w:rPr>
        <w:t>年</w:t>
      </w:r>
      <w:r>
        <w:rPr>
          <w:rFonts w:hint="eastAsia"/>
          <w:snapToGrid/>
          <w:lang w:val="en-GB"/>
        </w:rPr>
        <w:t>，它</w:t>
      </w:r>
      <w:r>
        <w:rPr>
          <w:rFonts w:hint="eastAsia"/>
          <w:snapToGrid/>
        </w:rPr>
        <w:t>不再只资助生产发展公司各机构，并且举办了第一次全国项目竞赛；它向智利各技术机构和中心开放，纳入一些主题投票程序，并且列入“技术革新方案”。</w:t>
      </w:r>
      <w:r>
        <w:rPr>
          <w:snapToGrid/>
        </w:rPr>
        <w:t>1997</w:t>
      </w:r>
      <w:r>
        <w:rPr>
          <w:rFonts w:hint="eastAsia"/>
          <w:snapToGrid/>
        </w:rPr>
        <w:t>年</w:t>
      </w:r>
      <w:r>
        <w:rPr>
          <w:rFonts w:hint="eastAsia"/>
          <w:snapToGrid/>
          <w:lang w:val="en-GB"/>
        </w:rPr>
        <w:t>，</w:t>
      </w:r>
      <w:r>
        <w:rPr>
          <w:rFonts w:hint="eastAsia"/>
          <w:snapToGrid/>
        </w:rPr>
        <w:t>重新界定了基金的任务和行动范围，把名称改为发展和革新基金</w:t>
      </w:r>
      <w:r>
        <w:rPr>
          <w:rFonts w:hint="eastAsia"/>
          <w:snapToGrid/>
        </w:rPr>
        <w:t>(</w:t>
      </w:r>
      <w:r>
        <w:rPr>
          <w:snapToGrid/>
        </w:rPr>
        <w:t>FDI</w:t>
      </w:r>
      <w:r>
        <w:rPr>
          <w:rFonts w:hint="eastAsia"/>
          <w:snapToGrid/>
        </w:rPr>
        <w:t>)</w:t>
      </w:r>
      <w:r>
        <w:rPr>
          <w:rFonts w:hint="eastAsia"/>
          <w:snapToGrid/>
        </w:rPr>
        <w:t>。“发展和革新基金”目前的任务是与公立和私立的技术中心协作，对智利的经济和社会发展方面具有战略性影响的领域里的创新和技术变革的产生和管理工作具有扎实促进作用的倡议加以推动。与此同时，该基金试图在生产发展公司系统的任务中起到战略工具的作用，促进生产并且致力于</w:t>
      </w:r>
      <w:r>
        <w:rPr>
          <w:rFonts w:hint="eastAsia"/>
          <w:snapToGrid/>
        </w:rPr>
        <w:t>改善全国技术发展的主要利益攸关方之间的关系。</w:t>
      </w:r>
    </w:p>
    <w:p w:rsidR="00000000" w:rsidRDefault="009C1C61">
      <w:pPr>
        <w:rPr>
          <w:snapToGrid/>
          <w:spacing w:val="-20"/>
        </w:rPr>
      </w:pPr>
      <w:r>
        <w:rPr>
          <w:snapToGrid/>
        </w:rPr>
        <w:tab/>
        <w:t xml:space="preserve">853.  </w:t>
      </w:r>
      <w:r>
        <w:rPr>
          <w:rFonts w:hint="eastAsia"/>
          <w:snapToGrid/>
        </w:rPr>
        <w:t>渔业研究基金</w:t>
      </w:r>
      <w:r>
        <w:rPr>
          <w:rFonts w:hint="eastAsia"/>
          <w:snapToGrid/>
        </w:rPr>
        <w:t xml:space="preserve"> </w:t>
      </w:r>
      <w:r>
        <w:rPr>
          <w:rStyle w:val="FootnoteReference"/>
          <w:snapToGrid/>
        </w:rPr>
        <w:footnoteReference w:id="337"/>
      </w:r>
      <w:r>
        <w:rPr>
          <w:snapToGrid/>
        </w:rPr>
        <w:t xml:space="preserve"> </w:t>
      </w:r>
      <w:r>
        <w:rPr>
          <w:rFonts w:hint="eastAsia"/>
          <w:snapToGrid/>
        </w:rPr>
        <w:t>是渔业研究理事会所管理的一个机构。设立这个机构的目的是为了资助某些渔业和农业研究项目，用这些项目的研究成果补充渔业管理和水产养殖业方面采取措施时所需的信息。后者的主要目标是保护水生生物资源，同时考虑到生物学因素、渔业考虑因素和经济及社会方面。该基金的来源是根据年度“预算法”编列的经费、渔业经营人和渔民对渔业和水产业许可证预付款以及为此目的划拨的其他款项。</w:t>
      </w:r>
    </w:p>
    <w:p w:rsidR="00000000" w:rsidRDefault="009C1C61">
      <w:pPr>
        <w:rPr>
          <w:snapToGrid/>
        </w:rPr>
      </w:pPr>
      <w:r>
        <w:rPr>
          <w:snapToGrid/>
        </w:rPr>
        <w:tab/>
        <w:t xml:space="preserve">854.  </w:t>
      </w:r>
      <w:r>
        <w:rPr>
          <w:rFonts w:hint="eastAsia"/>
          <w:snapToGrid/>
        </w:rPr>
        <w:t>采矿研究基金于</w:t>
      </w:r>
      <w:r>
        <w:rPr>
          <w:rFonts w:hint="eastAsia"/>
          <w:snapToGrid/>
        </w:rPr>
        <w:t>1996</w:t>
      </w:r>
      <w:r>
        <w:rPr>
          <w:rFonts w:hint="eastAsia"/>
          <w:snapToGrid/>
        </w:rPr>
        <w:t>年设立，属于采矿和冶金研究中心</w:t>
      </w:r>
      <w:r>
        <w:rPr>
          <w:snapToGrid/>
        </w:rPr>
        <w:t>(CIMM</w:t>
      </w:r>
      <w:r>
        <w:rPr>
          <w:snapToGrid/>
        </w:rPr>
        <w:t>)</w:t>
      </w:r>
      <w:r>
        <w:rPr>
          <w:rFonts w:hint="eastAsia"/>
          <w:snapToGrid/>
        </w:rPr>
        <w:t>，于</w:t>
      </w:r>
      <w:r>
        <w:rPr>
          <w:rFonts w:hint="eastAsia"/>
          <w:snapToGrid/>
        </w:rPr>
        <w:t>1997</w:t>
      </w:r>
      <w:r>
        <w:rPr>
          <w:rFonts w:hint="eastAsia"/>
          <w:snapToGrid/>
        </w:rPr>
        <w:t>年纳入技术革新方案。该基金的经费来源于通过国际铜协会</w:t>
      </w:r>
      <w:r>
        <w:rPr>
          <w:snapToGrid/>
        </w:rPr>
        <w:t>(ICA)</w:t>
      </w:r>
      <w:r>
        <w:rPr>
          <w:rFonts w:hint="eastAsia"/>
          <w:snapToGrid/>
        </w:rPr>
        <w:t>由采矿部门中诸如铜公司</w:t>
      </w:r>
      <w:r>
        <w:rPr>
          <w:snapToGrid/>
        </w:rPr>
        <w:t>(CODELCO)</w:t>
      </w:r>
      <w:r>
        <w:rPr>
          <w:rFonts w:hint="eastAsia"/>
          <w:snapToGrid/>
        </w:rPr>
        <w:t>和埃斯康迪达、扎尔迪巴尔和塞罗·科罗拉多采矿公司各企业提供的资本捐款。基金的主要宗旨是对铜及其副产品进行科学研究。</w:t>
      </w:r>
    </w:p>
    <w:p w:rsidR="00000000" w:rsidRDefault="009C1C61">
      <w:pPr>
        <w:rPr>
          <w:snapToGrid/>
        </w:rPr>
      </w:pPr>
      <w:r>
        <w:rPr>
          <w:snapToGrid/>
        </w:rPr>
        <w:tab/>
        <w:t xml:space="preserve">855.  </w:t>
      </w:r>
      <w:r>
        <w:rPr>
          <w:rFonts w:hint="eastAsia"/>
          <w:snapToGrid/>
        </w:rPr>
        <w:t>《千年科学倡议》</w:t>
      </w:r>
      <w:r>
        <w:rPr>
          <w:rFonts w:hint="eastAsia"/>
          <w:snapToGrid/>
        </w:rPr>
        <w:t xml:space="preserve"> </w:t>
      </w:r>
      <w:r>
        <w:rPr>
          <w:rStyle w:val="FootnoteReference"/>
          <w:snapToGrid/>
        </w:rPr>
        <w:footnoteReference w:id="338"/>
      </w:r>
      <w:r>
        <w:rPr>
          <w:rFonts w:hint="eastAsia"/>
          <w:snapToGrid/>
        </w:rPr>
        <w:t xml:space="preserve"> </w:t>
      </w:r>
      <w:r>
        <w:rPr>
          <w:rFonts w:hint="eastAsia"/>
          <w:snapToGrid/>
        </w:rPr>
        <w:t>的目标是致力于使人的大部分能力用于科学和技术研究，以此作为长期可持续经济和社会发展的一个关键因素。该倡议着眼于培训以青年人为主的工作队，使他们在研究方面具有国际学术和科学上的优越水平，首先从在智利发掘的少数高水平专家着手。努力提供一个令人满意的</w:t>
      </w:r>
      <w:r>
        <w:rPr>
          <w:rFonts w:hint="eastAsia"/>
          <w:snapToGrid/>
        </w:rPr>
        <w:t>环境</w:t>
      </w:r>
      <w:r>
        <w:rPr>
          <w:snapToGrid/>
        </w:rPr>
        <w:t>(</w:t>
      </w:r>
      <w:r>
        <w:rPr>
          <w:rFonts w:hint="eastAsia"/>
          <w:snapToGrid/>
        </w:rPr>
        <w:t>设备、报酬、必不可少的专家群等</w:t>
      </w:r>
      <w:r>
        <w:rPr>
          <w:snapToGrid/>
        </w:rPr>
        <w:t>)</w:t>
      </w:r>
      <w:r>
        <w:rPr>
          <w:rFonts w:hint="eastAsia"/>
          <w:snapToGrid/>
        </w:rPr>
        <w:t>，使最好的科学家能够作为卓越的国际网络的一部分，在独立、透明、灵活和有效的系统中发挥潜力。希望以这种方式减少“人才外流”的现象，并使在其他国家从事研究的智利和外国专家有兴趣回到智利，为智利的科学和技术研究做出贡献。这个“倡议”与现有机构</w:t>
      </w:r>
      <w:r>
        <w:rPr>
          <w:rFonts w:hint="eastAsia"/>
          <w:snapToGrid/>
        </w:rPr>
        <w:t>(</w:t>
      </w:r>
      <w:r>
        <w:rPr>
          <w:rFonts w:hint="eastAsia"/>
          <w:snapToGrid/>
        </w:rPr>
        <w:t>例如教育部、各大学和国家各研究机构</w:t>
      </w:r>
      <w:r>
        <w:rPr>
          <w:rFonts w:hint="eastAsia"/>
          <w:snapToGrid/>
        </w:rPr>
        <w:t>)</w:t>
      </w:r>
      <w:r>
        <w:rPr>
          <w:rFonts w:hint="eastAsia"/>
          <w:snapToGrid/>
        </w:rPr>
        <w:t>各重要系统之间有着密切的联系和协调，将发挥更大的影响力，并且产生协同作用，有助于加强这些机构和智利的研究与发展系统。这个方案的目标是对全国科学和技术活动进行创新性改革。</w:t>
      </w:r>
    </w:p>
    <w:p w:rsidR="00000000" w:rsidRDefault="009C1C61">
      <w:pPr>
        <w:rPr>
          <w:rFonts w:hint="eastAsia"/>
          <w:snapToGrid/>
        </w:rPr>
      </w:pPr>
      <w:r>
        <w:rPr>
          <w:snapToGrid/>
        </w:rPr>
        <w:tab/>
        <w:t xml:space="preserve">856.  </w:t>
      </w:r>
      <w:r>
        <w:rPr>
          <w:rFonts w:hint="eastAsia"/>
          <w:snapToGrid/>
        </w:rPr>
        <w:t>科技研委会</w:t>
      </w:r>
      <w:r>
        <w:rPr>
          <w:rFonts w:hint="eastAsia"/>
          <w:snapToGrid/>
          <w:lang w:val="en-GB"/>
        </w:rPr>
        <w:t>也拟订</w:t>
      </w:r>
      <w:r>
        <w:rPr>
          <w:rFonts w:hint="eastAsia"/>
          <w:snapToGrid/>
          <w:lang w:val="en-GB"/>
        </w:rPr>
        <w:t>了一个博士后研究计划</w:t>
      </w:r>
      <w:r>
        <w:rPr>
          <w:rFonts w:hint="eastAsia"/>
          <w:snapToGrid/>
        </w:rPr>
        <w:t>，吸引年轻研究人员参加国家研究系统。这项计划的目标是要激发最近获得博士学位的研究人员的科学生产力和独立性，使他们能够专心致力于研究工作。作为这项事业的一部分，科技研委会也增加了为研究生提供的研究生奖学金，并且组织了新的教育机会</w:t>
      </w:r>
      <w:r>
        <w:rPr>
          <w:snapToGrid/>
        </w:rPr>
        <w:t>(</w:t>
      </w:r>
      <w:r>
        <w:rPr>
          <w:rFonts w:hint="eastAsia"/>
          <w:snapToGrid/>
        </w:rPr>
        <w:t>包括国际合作、共同辅导奖学金和完成论文奖学金</w:t>
      </w:r>
      <w:r>
        <w:rPr>
          <w:snapToGrid/>
        </w:rPr>
        <w:t>)</w:t>
      </w:r>
      <w:r>
        <w:rPr>
          <w:rFonts w:hint="eastAsia"/>
          <w:snapToGrid/>
        </w:rPr>
        <w:t>。</w:t>
      </w:r>
    </w:p>
    <w:p w:rsidR="00000000" w:rsidRDefault="009C1C61">
      <w:pPr>
        <w:spacing w:after="320"/>
        <w:rPr>
          <w:snapToGrid/>
        </w:rPr>
      </w:pPr>
      <w:r>
        <w:rPr>
          <w:rFonts w:hint="eastAsia"/>
          <w:snapToGrid/>
        </w:rPr>
        <w:tab/>
      </w:r>
      <w:r>
        <w:rPr>
          <w:snapToGrid/>
        </w:rPr>
        <w:t xml:space="preserve">857.  </w:t>
      </w:r>
      <w:r>
        <w:rPr>
          <w:rFonts w:hint="eastAsia"/>
          <w:snapToGrid/>
        </w:rPr>
        <w:t>为了支持这项努力，为研究和发展划拨的公共资金大为增加，</w:t>
      </w:r>
      <w:r>
        <w:rPr>
          <w:rFonts w:hint="eastAsia"/>
          <w:snapToGrid/>
        </w:rPr>
        <w:t>1990</w:t>
      </w:r>
      <w:r>
        <w:rPr>
          <w:rFonts w:hint="eastAsia"/>
          <w:snapToGrid/>
        </w:rPr>
        <w:t>年为</w:t>
      </w:r>
      <w:r>
        <w:rPr>
          <w:snapToGrid/>
        </w:rPr>
        <w:t>1.594</w:t>
      </w:r>
      <w:r>
        <w:rPr>
          <w:rFonts w:hint="eastAsia"/>
          <w:snapToGrid/>
        </w:rPr>
        <w:t>亿美元，</w:t>
      </w:r>
      <w:r>
        <w:rPr>
          <w:rFonts w:hint="eastAsia"/>
          <w:snapToGrid/>
        </w:rPr>
        <w:t>1999</w:t>
      </w:r>
      <w:r>
        <w:rPr>
          <w:rFonts w:hint="eastAsia"/>
          <w:snapToGrid/>
        </w:rPr>
        <w:t>年已经增加到</w:t>
      </w:r>
      <w:r>
        <w:rPr>
          <w:snapToGrid/>
        </w:rPr>
        <w:t>5</w:t>
      </w:r>
      <w:r>
        <w:rPr>
          <w:rFonts w:hint="eastAsia"/>
          <w:snapToGrid/>
        </w:rPr>
        <w:t>亿美元。</w:t>
      </w:r>
    </w:p>
    <w:p w:rsidR="00000000" w:rsidRDefault="009C1C61">
      <w:pPr>
        <w:pStyle w:val="Heading4"/>
        <w:rPr>
          <w:rFonts w:eastAsia="SimHei"/>
          <w:u w:val="none"/>
        </w:rPr>
      </w:pPr>
      <w:r>
        <w:rPr>
          <w:rFonts w:eastAsia="SimHei" w:hint="eastAsia"/>
          <w:u w:val="none"/>
        </w:rPr>
        <w:t>保护人类自然遗产和促进清洁和健康的环境</w:t>
      </w:r>
    </w:p>
    <w:p w:rsidR="00000000" w:rsidRDefault="009C1C61">
      <w:pPr>
        <w:rPr>
          <w:rFonts w:hint="eastAsia"/>
          <w:i/>
          <w:iCs/>
          <w:snapToGrid/>
        </w:rPr>
      </w:pPr>
      <w:r>
        <w:rPr>
          <w:b/>
          <w:bCs/>
          <w:snapToGrid/>
        </w:rPr>
        <w:tab/>
      </w:r>
      <w:r>
        <w:rPr>
          <w:snapToGrid/>
        </w:rPr>
        <w:t xml:space="preserve">858.  </w:t>
      </w:r>
      <w:r>
        <w:rPr>
          <w:rFonts w:hint="eastAsia"/>
          <w:snapToGrid/>
        </w:rPr>
        <w:t>《宪法》保障所有智利人“在不受</w:t>
      </w:r>
      <w:r>
        <w:rPr>
          <w:rFonts w:hint="eastAsia"/>
          <w:snapToGrid/>
        </w:rPr>
        <w:t>污染的环境中居住的权利。确保这项权利不受危害并提倡保护自然是国家的责任”。</w:t>
      </w:r>
      <w:r>
        <w:rPr>
          <w:rStyle w:val="FootnoteReference"/>
          <w:snapToGrid/>
        </w:rPr>
        <w:footnoteReference w:id="339"/>
      </w:r>
    </w:p>
    <w:p w:rsidR="00000000" w:rsidRDefault="009C1C61">
      <w:pPr>
        <w:rPr>
          <w:rFonts w:hint="eastAsia"/>
          <w:snapToGrid/>
          <w:spacing w:val="8"/>
        </w:rPr>
      </w:pPr>
      <w:r>
        <w:rPr>
          <w:snapToGrid/>
          <w:spacing w:val="8"/>
        </w:rPr>
        <w:tab/>
      </w:r>
      <w:r>
        <w:rPr>
          <w:snapToGrid/>
          <w:spacing w:val="8"/>
          <w:lang w:val="fr-CH"/>
        </w:rPr>
        <w:t xml:space="preserve">859.  </w:t>
      </w:r>
      <w:r>
        <w:rPr>
          <w:rFonts w:hint="eastAsia"/>
          <w:snapToGrid/>
          <w:spacing w:val="8"/>
        </w:rPr>
        <w:t>《环境</w:t>
      </w:r>
      <w:r>
        <w:rPr>
          <w:snapToGrid/>
          <w:spacing w:val="8"/>
          <w:lang w:val="fr-CH"/>
        </w:rPr>
        <w:t>(</w:t>
      </w:r>
      <w:r>
        <w:rPr>
          <w:rFonts w:hint="eastAsia"/>
          <w:snapToGrid/>
          <w:spacing w:val="8"/>
        </w:rPr>
        <w:t>框架</w:t>
      </w:r>
      <w:r>
        <w:rPr>
          <w:snapToGrid/>
          <w:spacing w:val="8"/>
          <w:lang w:val="fr-CH"/>
        </w:rPr>
        <w:t>)</w:t>
      </w:r>
      <w:r>
        <w:rPr>
          <w:rFonts w:hint="eastAsia"/>
          <w:snapToGrid/>
          <w:spacing w:val="8"/>
          <w:lang w:val="fr-CH"/>
        </w:rPr>
        <w:t>法》</w:t>
      </w:r>
      <w:r>
        <w:rPr>
          <w:rStyle w:val="FootnoteReference"/>
          <w:snapToGrid/>
          <w:spacing w:val="8"/>
        </w:rPr>
        <w:footnoteReference w:id="340"/>
      </w:r>
      <w:r>
        <w:rPr>
          <w:snapToGrid/>
          <w:spacing w:val="8"/>
          <w:lang w:val="fr-CH"/>
        </w:rPr>
        <w:t xml:space="preserve"> </w:t>
      </w:r>
      <w:r>
        <w:rPr>
          <w:rFonts w:hint="eastAsia"/>
          <w:snapToGrid/>
          <w:spacing w:val="8"/>
          <w:lang w:val="fr-CH"/>
        </w:rPr>
        <w:t>形成体制基础设施的一部分，其宗旨是采取措施，</w:t>
      </w:r>
      <w:r>
        <w:rPr>
          <w:rFonts w:hint="eastAsia"/>
          <w:snapToGrid/>
          <w:spacing w:val="8"/>
        </w:rPr>
        <w:t>保</w:t>
      </w:r>
      <w:r>
        <w:rPr>
          <w:rFonts w:hint="eastAsia"/>
          <w:snapToGrid/>
          <w:spacing w:val="8"/>
          <w:lang w:val="fr-CH"/>
        </w:rPr>
        <w:t>护人类的自然遗产，造成一种清洁健康的环境。该法规定了保护智利环境的法律框架，以明确承认</w:t>
      </w:r>
      <w:r>
        <w:rPr>
          <w:rFonts w:hint="eastAsia"/>
          <w:snapToGrid/>
          <w:spacing w:val="8"/>
        </w:rPr>
        <w:t>“在不受污染的环境中居住、保护环境、维护自然并且保护环境遗产的权利。”该法对这些方面的每一方面都作出了界定和规定，不过，还可以其他条款加以补充。在这个体制结构中，设立了国家环境委员会</w:t>
      </w:r>
      <w:r>
        <w:rPr>
          <w:snapToGrid/>
          <w:spacing w:val="8"/>
        </w:rPr>
        <w:t>(</w:t>
      </w:r>
      <w:r>
        <w:rPr>
          <w:rFonts w:hint="eastAsia"/>
          <w:snapToGrid/>
          <w:spacing w:val="8"/>
        </w:rPr>
        <w:t>环委会</w:t>
      </w:r>
      <w:r>
        <w:rPr>
          <w:snapToGrid/>
          <w:spacing w:val="8"/>
        </w:rPr>
        <w:t>)</w:t>
      </w:r>
      <w:r>
        <w:rPr>
          <w:rFonts w:hint="eastAsia"/>
          <w:snapToGrid/>
          <w:spacing w:val="8"/>
        </w:rPr>
        <w:t>，负责管理和监督智利的环境政策，这是一个在机能上分散的公共服务机构，具有法</w:t>
      </w:r>
      <w:r>
        <w:rPr>
          <w:rFonts w:hint="eastAsia"/>
          <w:snapToGrid/>
          <w:spacing w:val="8"/>
        </w:rPr>
        <w:t>人资格，拥有自己的资产，通过总统府部长</w:t>
      </w:r>
      <w:r>
        <w:rPr>
          <w:rFonts w:hint="eastAsia"/>
          <w:snapToGrid/>
          <w:spacing w:val="-40"/>
        </w:rPr>
        <w:t>——</w:t>
      </w:r>
      <w:r>
        <w:rPr>
          <w:rFonts w:hint="eastAsia"/>
          <w:snapToGrid/>
          <w:spacing w:val="8"/>
        </w:rPr>
        <w:t>秘书长办公厅向总统汇报任务执行情况。为了增强业绩，环委会将权力下放给负责执行每一区域环境政策的各区域环境委员会。</w:t>
      </w:r>
    </w:p>
    <w:p w:rsidR="00000000" w:rsidRDefault="009C1C61">
      <w:pPr>
        <w:rPr>
          <w:snapToGrid/>
        </w:rPr>
      </w:pPr>
      <w:r>
        <w:rPr>
          <w:snapToGrid/>
        </w:rPr>
        <w:tab/>
        <w:t xml:space="preserve">860.  </w:t>
      </w:r>
      <w:r>
        <w:rPr>
          <w:rFonts w:hint="eastAsia"/>
          <w:snapToGrid/>
        </w:rPr>
        <w:t>《环境</w:t>
      </w:r>
      <w:r>
        <w:rPr>
          <w:snapToGrid/>
        </w:rPr>
        <w:t>(</w:t>
      </w:r>
      <w:r>
        <w:rPr>
          <w:rFonts w:hint="eastAsia"/>
          <w:snapToGrid/>
        </w:rPr>
        <w:t>框架</w:t>
      </w:r>
      <w:r>
        <w:rPr>
          <w:snapToGrid/>
        </w:rPr>
        <w:t>)</w:t>
      </w:r>
      <w:r>
        <w:rPr>
          <w:rFonts w:hint="eastAsia"/>
          <w:snapToGrid/>
        </w:rPr>
        <w:t>法》规定有一套环境管理手段。其中最重要的是教育和研究，由旨在资助与环境有关项目的科学研究和技术及社会发展基金支助。其次，还建立了环境影响评估制度，作为一个预防性的管理手段，其施行对象是法律规定的可能影响环境的所有公立或私营项目或活动。它能够预测项目的后果并且采取缓解、修复或补偿措施予以制止和减少到最低限度。视项目的特点和影响而</w:t>
      </w:r>
      <w:r>
        <w:rPr>
          <w:rFonts w:hint="eastAsia"/>
          <w:snapToGrid/>
        </w:rPr>
        <w:t>定，需要提交一份环境影响说明或环境影响研究报告。虽然这个制度最初只是采取自愿执行的方式，到了</w:t>
      </w:r>
      <w:r>
        <w:rPr>
          <w:snapToGrid/>
        </w:rPr>
        <w:t>1997</w:t>
      </w:r>
      <w:r>
        <w:rPr>
          <w:rFonts w:hint="eastAsia"/>
          <w:snapToGrid/>
        </w:rPr>
        <w:t>年，随着《环境影响评估条例》</w:t>
      </w:r>
      <w:r>
        <w:rPr>
          <w:rStyle w:val="FootnoteReference"/>
          <w:snapToGrid/>
        </w:rPr>
        <w:footnoteReference w:id="341"/>
      </w:r>
      <w:r>
        <w:rPr>
          <w:rFonts w:hint="eastAsia"/>
          <w:snapToGrid/>
        </w:rPr>
        <w:t xml:space="preserve"> </w:t>
      </w:r>
      <w:r>
        <w:rPr>
          <w:rFonts w:hint="eastAsia"/>
          <w:snapToGrid/>
        </w:rPr>
        <w:t>的发布，便改为强制执行。该《条例》规定的环境影响评估程序包括让公众知情并以有组织的方式参与的机制，根据被评估的项目对每一种特定情况作了规定。还就《采取减轻、修复和补偿措施的计划》、《环境监测计划》以及对每一项目或活动的监督办法作了规定。</w:t>
      </w:r>
    </w:p>
    <w:p w:rsidR="00000000" w:rsidRDefault="009C1C61">
      <w:pPr>
        <w:rPr>
          <w:snapToGrid/>
          <w:spacing w:val="6"/>
        </w:rPr>
      </w:pPr>
      <w:r>
        <w:rPr>
          <w:snapToGrid/>
          <w:spacing w:val="6"/>
        </w:rPr>
        <w:tab/>
        <w:t xml:space="preserve">861.  </w:t>
      </w:r>
      <w:r>
        <w:rPr>
          <w:rFonts w:hint="eastAsia"/>
          <w:snapToGrid/>
          <w:spacing w:val="6"/>
        </w:rPr>
        <w:t>在全国实施的保持环境质量、保存自然资源和保护文化遗产的法定标准，构成第三种环境管理手段。这些标准的目的是按一些界限确定是否进入紧</w:t>
      </w:r>
      <w:r>
        <w:rPr>
          <w:rFonts w:hint="eastAsia"/>
          <w:snapToGrid/>
          <w:spacing w:val="6"/>
        </w:rPr>
        <w:t>急情况。发布上述标准所应遵循的程序是由法律规定的。</w:t>
      </w:r>
      <w:r>
        <w:rPr>
          <w:rStyle w:val="FootnoteReference"/>
          <w:snapToGrid/>
          <w:spacing w:val="6"/>
        </w:rPr>
        <w:footnoteReference w:id="342"/>
      </w:r>
      <w:r>
        <w:rPr>
          <w:snapToGrid/>
          <w:spacing w:val="6"/>
        </w:rPr>
        <w:t xml:space="preserve"> </w:t>
      </w:r>
      <w:r>
        <w:rPr>
          <w:rFonts w:hint="eastAsia"/>
          <w:snapToGrid/>
          <w:spacing w:val="6"/>
        </w:rPr>
        <w:t>在根据法定程序发布的环境质量标准中，最重要的是吸入</w:t>
      </w:r>
      <w:r>
        <w:rPr>
          <w:snapToGrid/>
          <w:spacing w:val="6"/>
        </w:rPr>
        <w:t>PM 10</w:t>
      </w:r>
      <w:r>
        <w:rPr>
          <w:rFonts w:hint="eastAsia"/>
          <w:snapToGrid/>
          <w:spacing w:val="6"/>
        </w:rPr>
        <w:t>粒子的首要质量标准，尤其是相当于紧急情况的数值。</w:t>
      </w:r>
      <w:r>
        <w:rPr>
          <w:rStyle w:val="FootnoteReference"/>
          <w:snapToGrid/>
          <w:spacing w:val="6"/>
        </w:rPr>
        <w:footnoteReference w:id="343"/>
      </w:r>
    </w:p>
    <w:p w:rsidR="00000000" w:rsidRDefault="009C1C61">
      <w:pPr>
        <w:rPr>
          <w:snapToGrid/>
        </w:rPr>
      </w:pPr>
      <w:r>
        <w:rPr>
          <w:snapToGrid/>
        </w:rPr>
        <w:tab/>
        <w:t xml:space="preserve">862.  </w:t>
      </w:r>
      <w:r>
        <w:rPr>
          <w:rFonts w:hint="eastAsia"/>
          <w:snapToGrid/>
        </w:rPr>
        <w:t>第四，应该制定排放标准，作为环境管理的手段，在最高政令中予以详细说明，以便确定其适用的地理范围。这些排放标准标明排放源流出物中测得污染物质最大许可量。发布这些标准的程序载于有关条例中。</w:t>
      </w:r>
      <w:r>
        <w:rPr>
          <w:rStyle w:val="FootnoteReference"/>
          <w:snapToGrid/>
        </w:rPr>
        <w:footnoteReference w:id="344"/>
      </w:r>
    </w:p>
    <w:p w:rsidR="00000000" w:rsidRDefault="009C1C61">
      <w:pPr>
        <w:rPr>
          <w:snapToGrid/>
        </w:rPr>
      </w:pPr>
      <w:r>
        <w:rPr>
          <w:snapToGrid/>
        </w:rPr>
        <w:tab/>
        <w:t xml:space="preserve">863.  </w:t>
      </w:r>
      <w:r>
        <w:rPr>
          <w:rFonts w:hint="eastAsia"/>
          <w:snapToGrid/>
        </w:rPr>
        <w:t>目前的排放标准包括下列各项：</w:t>
      </w:r>
      <w:r>
        <w:rPr>
          <w:snapToGrid/>
        </w:rPr>
        <w:t xml:space="preserve"> </w:t>
      </w:r>
    </w:p>
    <w:p w:rsidR="00000000" w:rsidRDefault="009C1C61">
      <w:pPr>
        <w:numPr>
          <w:ilvl w:val="0"/>
          <w:numId w:val="335"/>
        </w:numPr>
        <w:rPr>
          <w:snapToGrid/>
        </w:rPr>
      </w:pPr>
      <w:r>
        <w:rPr>
          <w:rFonts w:hint="eastAsia"/>
          <w:snapToGrid/>
        </w:rPr>
        <w:t>总统府部长</w:t>
      </w:r>
      <w:r>
        <w:rPr>
          <w:rFonts w:hint="eastAsia"/>
          <w:snapToGrid/>
          <w:spacing w:val="-40"/>
        </w:rPr>
        <w:t>——</w:t>
      </w:r>
      <w:r>
        <w:rPr>
          <w:rFonts w:hint="eastAsia"/>
          <w:snapToGrid/>
        </w:rPr>
        <w:t>秘书长办公厅</w:t>
      </w:r>
      <w:r>
        <w:rPr>
          <w:rFonts w:hint="eastAsia"/>
          <w:snapToGrid/>
        </w:rPr>
        <w:t>1997</w:t>
      </w:r>
      <w:r>
        <w:rPr>
          <w:rFonts w:hint="eastAsia"/>
          <w:snapToGrid/>
        </w:rPr>
        <w:t>年第</w:t>
      </w:r>
      <w:r>
        <w:rPr>
          <w:rFonts w:hint="eastAsia"/>
          <w:snapToGrid/>
        </w:rPr>
        <w:t>146</w:t>
      </w:r>
      <w:r>
        <w:rPr>
          <w:rFonts w:hint="eastAsia"/>
          <w:snapToGrid/>
        </w:rPr>
        <w:t>号最高政令，载有以卫生部</w:t>
      </w:r>
      <w:r>
        <w:rPr>
          <w:rFonts w:hint="eastAsia"/>
          <w:snapToGrid/>
        </w:rPr>
        <w:t>1984</w:t>
      </w:r>
      <w:r>
        <w:rPr>
          <w:rFonts w:hint="eastAsia"/>
          <w:snapToGrid/>
        </w:rPr>
        <w:t>年第</w:t>
      </w:r>
      <w:r>
        <w:rPr>
          <w:rFonts w:hint="eastAsia"/>
          <w:snapToGrid/>
        </w:rPr>
        <w:t>286</w:t>
      </w:r>
      <w:r>
        <w:rPr>
          <w:rFonts w:hint="eastAsia"/>
          <w:snapToGrid/>
        </w:rPr>
        <w:t>号政令中所载</w:t>
      </w:r>
      <w:r>
        <w:rPr>
          <w:rFonts w:hint="eastAsia"/>
          <w:snapToGrid/>
        </w:rPr>
        <w:t>排放标准修订案为依据的固定来源噪音发生标准；</w:t>
      </w:r>
    </w:p>
    <w:p w:rsidR="00000000" w:rsidRDefault="009C1C61">
      <w:pPr>
        <w:numPr>
          <w:ilvl w:val="0"/>
          <w:numId w:val="335"/>
        </w:numPr>
        <w:rPr>
          <w:snapToGrid/>
        </w:rPr>
      </w:pPr>
      <w:r>
        <w:rPr>
          <w:rFonts w:hint="eastAsia"/>
          <w:snapToGrid/>
        </w:rPr>
        <w:t>经济、发展和重建部</w:t>
      </w:r>
      <w:r>
        <w:rPr>
          <w:rFonts w:hint="eastAsia"/>
          <w:snapToGrid/>
        </w:rPr>
        <w:t>1998</w:t>
      </w:r>
      <w:r>
        <w:rPr>
          <w:rFonts w:hint="eastAsia"/>
          <w:snapToGrid/>
        </w:rPr>
        <w:t>年</w:t>
      </w:r>
      <w:r>
        <w:rPr>
          <w:rFonts w:hint="eastAsia"/>
          <w:snapToGrid/>
        </w:rPr>
        <w:t>12</w:t>
      </w:r>
      <w:r>
        <w:rPr>
          <w:rFonts w:hint="eastAsia"/>
          <w:snapToGrid/>
        </w:rPr>
        <w:t>月</w:t>
      </w:r>
      <w:r>
        <w:rPr>
          <w:rFonts w:hint="eastAsia"/>
          <w:snapToGrid/>
        </w:rPr>
        <w:t>7</w:t>
      </w:r>
      <w:r>
        <w:rPr>
          <w:rFonts w:hint="eastAsia"/>
          <w:snapToGrid/>
        </w:rPr>
        <w:t>日第</w:t>
      </w:r>
      <w:r>
        <w:rPr>
          <w:rFonts w:hint="eastAsia"/>
          <w:snapToGrid/>
        </w:rPr>
        <w:t>686</w:t>
      </w:r>
      <w:r>
        <w:rPr>
          <w:rFonts w:hint="eastAsia"/>
          <w:snapToGrid/>
        </w:rPr>
        <w:t>号最高政令，为</w:t>
      </w:r>
      <w:r>
        <w:rPr>
          <w:rFonts w:hint="eastAsia"/>
          <w:snapToGrid/>
        </w:rPr>
        <w:t>1999</w:t>
      </w:r>
      <w:r>
        <w:rPr>
          <w:rFonts w:hint="eastAsia"/>
          <w:snapToGrid/>
        </w:rPr>
        <w:t>年</w:t>
      </w:r>
      <w:r>
        <w:rPr>
          <w:rFonts w:hint="eastAsia"/>
          <w:snapToGrid/>
        </w:rPr>
        <w:t>8</w:t>
      </w:r>
      <w:r>
        <w:rPr>
          <w:rFonts w:hint="eastAsia"/>
          <w:snapToGrid/>
        </w:rPr>
        <w:t>月</w:t>
      </w:r>
      <w:r>
        <w:rPr>
          <w:rFonts w:hint="eastAsia"/>
          <w:snapToGrid/>
        </w:rPr>
        <w:t>2</w:t>
      </w:r>
      <w:r>
        <w:rPr>
          <w:rFonts w:hint="eastAsia"/>
          <w:snapToGrid/>
        </w:rPr>
        <w:t>日《政府公报》颁布的灯光污染条例规定了发光标准；</w:t>
      </w:r>
    </w:p>
    <w:p w:rsidR="00000000" w:rsidRDefault="009C1C61">
      <w:pPr>
        <w:numPr>
          <w:ilvl w:val="0"/>
          <w:numId w:val="335"/>
        </w:numPr>
        <w:rPr>
          <w:snapToGrid/>
        </w:rPr>
      </w:pP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20</w:t>
      </w:r>
      <w:r>
        <w:rPr>
          <w:rFonts w:hint="eastAsia"/>
          <w:snapToGrid/>
        </w:rPr>
        <w:t>日第</w:t>
      </w:r>
      <w:r>
        <w:rPr>
          <w:rFonts w:hint="eastAsia"/>
          <w:snapToGrid/>
        </w:rPr>
        <w:t>609</w:t>
      </w:r>
      <w:r>
        <w:rPr>
          <w:rFonts w:hint="eastAsia"/>
          <w:snapToGrid/>
        </w:rPr>
        <w:t>号最高政令，为与向下水道系统排放工业流出物有关的污染物质条例规定了排放标准；</w:t>
      </w:r>
    </w:p>
    <w:p w:rsidR="00000000" w:rsidRDefault="009C1C61">
      <w:pPr>
        <w:numPr>
          <w:ilvl w:val="0"/>
          <w:numId w:val="335"/>
        </w:numPr>
        <w:rPr>
          <w:snapToGrid/>
        </w:rPr>
      </w:pPr>
      <w:r>
        <w:rPr>
          <w:rFonts w:hint="eastAsia"/>
          <w:snapToGrid/>
        </w:rPr>
        <w:t>由卫生部和农业部以及总统府部长─秘书长办公厅签署的关于空气污染的第</w:t>
      </w:r>
      <w:r>
        <w:rPr>
          <w:rFonts w:hint="eastAsia"/>
          <w:snapToGrid/>
        </w:rPr>
        <w:t>165</w:t>
      </w:r>
      <w:r>
        <w:rPr>
          <w:rFonts w:hint="eastAsia"/>
          <w:snapToGrid/>
        </w:rPr>
        <w:t>号最高政令，为向大气排放砷条例规定了排放标准；</w:t>
      </w:r>
    </w:p>
    <w:p w:rsidR="00000000" w:rsidRDefault="009C1C61">
      <w:pPr>
        <w:numPr>
          <w:ilvl w:val="0"/>
          <w:numId w:val="335"/>
        </w:numPr>
        <w:rPr>
          <w:snapToGrid/>
        </w:rPr>
      </w:pPr>
      <w:r>
        <w:rPr>
          <w:rFonts w:hint="eastAsia"/>
          <w:snapToGrid/>
        </w:rPr>
        <w:t>关于空气污染的第</w:t>
      </w:r>
      <w:r>
        <w:rPr>
          <w:rFonts w:hint="eastAsia"/>
          <w:snapToGrid/>
        </w:rPr>
        <w:t>167</w:t>
      </w:r>
      <w:r>
        <w:rPr>
          <w:rFonts w:hint="eastAsia"/>
          <w:snapToGrid/>
        </w:rPr>
        <w:t>号最高政令，为</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日关于制造硫酸盐纸浆的臭味条例规定了排放标准；</w:t>
      </w:r>
    </w:p>
    <w:p w:rsidR="00000000" w:rsidRDefault="009C1C61">
      <w:pPr>
        <w:rPr>
          <w:rFonts w:hint="eastAsia"/>
          <w:snapToGrid/>
        </w:rPr>
      </w:pPr>
      <w:r>
        <w:rPr>
          <w:snapToGrid/>
        </w:rPr>
        <w:tab/>
      </w:r>
      <w:r>
        <w:rPr>
          <w:rFonts w:hint="eastAsia"/>
          <w:snapToGrid/>
        </w:rPr>
        <w:t xml:space="preserve">864.  </w:t>
      </w:r>
      <w:r>
        <w:rPr>
          <w:rFonts w:hint="eastAsia"/>
          <w:snapToGrid/>
        </w:rPr>
        <w:t>第五，《环境</w:t>
      </w:r>
      <w:r>
        <w:rPr>
          <w:snapToGrid/>
        </w:rPr>
        <w:t>(</w:t>
      </w:r>
      <w:r>
        <w:rPr>
          <w:rFonts w:hint="eastAsia"/>
          <w:snapToGrid/>
        </w:rPr>
        <w:t>框架</w:t>
      </w:r>
      <w:r>
        <w:rPr>
          <w:snapToGrid/>
        </w:rPr>
        <w:t>)</w:t>
      </w:r>
      <w:r>
        <w:rPr>
          <w:rFonts w:hint="eastAsia"/>
          <w:snapToGrid/>
        </w:rPr>
        <w:t>法》涉及污染的处理、预防和清除等方面。拟订预防及清除污染计划的程序及其有关各阶段必须遵循的各项规章已经生效。</w:t>
      </w:r>
      <w:r>
        <w:rPr>
          <w:rStyle w:val="FootnoteReference"/>
          <w:snapToGrid/>
        </w:rPr>
        <w:footnoteReference w:id="345"/>
      </w:r>
      <w:r>
        <w:rPr>
          <w:rFonts w:hint="eastAsia"/>
          <w:snapToGrid/>
        </w:rPr>
        <w:t xml:space="preserve"> </w:t>
      </w:r>
      <w:r>
        <w:rPr>
          <w:rFonts w:hint="eastAsia"/>
          <w:snapToGrid/>
        </w:rPr>
        <w:t>清除污染计划是在重污染地区恢复质量标准所规定的水平的工具，而预防计划则着眼于潜在污染地区预防一个或多个环境质量标准的超越限度。</w:t>
      </w:r>
    </w:p>
    <w:p w:rsidR="00000000" w:rsidRDefault="009C1C61">
      <w:pPr>
        <w:spacing w:after="320"/>
        <w:rPr>
          <w:rFonts w:hint="eastAsia"/>
          <w:snapToGrid/>
        </w:rPr>
      </w:pPr>
      <w:r>
        <w:rPr>
          <w:rFonts w:hint="eastAsia"/>
          <w:snapToGrid/>
        </w:rPr>
        <w:tab/>
        <w:t xml:space="preserve">865.  </w:t>
      </w:r>
      <w:r>
        <w:rPr>
          <w:rFonts w:hint="eastAsia"/>
          <w:snapToGrid/>
        </w:rPr>
        <w:t>智利先后签署了</w:t>
      </w:r>
      <w:r>
        <w:rPr>
          <w:rFonts w:hint="eastAsia"/>
          <w:snapToGrid/>
        </w:rPr>
        <w:t>1985</w:t>
      </w:r>
      <w:r>
        <w:rPr>
          <w:rFonts w:hint="eastAsia"/>
          <w:snapToGrid/>
        </w:rPr>
        <w:t>年《维也纳保护臭氧层公约》和</w:t>
      </w:r>
      <w:r>
        <w:rPr>
          <w:snapToGrid/>
        </w:rPr>
        <w:t>1987</w:t>
      </w:r>
      <w:r>
        <w:rPr>
          <w:rFonts w:hint="eastAsia"/>
          <w:snapToGrid/>
        </w:rPr>
        <w:t>年《关于消耗臭氧层的物质的蒙特利尔议定书》，也批准了该《议定书》历年在伦敦</w:t>
      </w:r>
      <w:r>
        <w:rPr>
          <w:rFonts w:hint="eastAsia"/>
          <w:snapToGrid/>
        </w:rPr>
        <w:t>(1990</w:t>
      </w:r>
      <w:r>
        <w:rPr>
          <w:rFonts w:hint="eastAsia"/>
          <w:snapToGrid/>
        </w:rPr>
        <w:t>年</w:t>
      </w:r>
      <w:r>
        <w:rPr>
          <w:rFonts w:hint="eastAsia"/>
          <w:snapToGrid/>
        </w:rPr>
        <w:t>)</w:t>
      </w:r>
      <w:r>
        <w:rPr>
          <w:rFonts w:hint="eastAsia"/>
          <w:snapToGrid/>
        </w:rPr>
        <w:t>、哥本哈根</w:t>
      </w:r>
      <w:r>
        <w:rPr>
          <w:rFonts w:hint="eastAsia"/>
          <w:snapToGrid/>
        </w:rPr>
        <w:t>(1992</w:t>
      </w:r>
      <w:r>
        <w:rPr>
          <w:rFonts w:hint="eastAsia"/>
          <w:snapToGrid/>
        </w:rPr>
        <w:t>年</w:t>
      </w:r>
      <w:r>
        <w:rPr>
          <w:rFonts w:hint="eastAsia"/>
          <w:snapToGrid/>
        </w:rPr>
        <w:t>)</w:t>
      </w:r>
      <w:r>
        <w:rPr>
          <w:rFonts w:hint="eastAsia"/>
          <w:snapToGrid/>
        </w:rPr>
        <w:t>、蒙特利尔</w:t>
      </w:r>
      <w:r>
        <w:rPr>
          <w:rFonts w:hint="eastAsia"/>
          <w:snapToGrid/>
        </w:rPr>
        <w:t>(1997</w:t>
      </w:r>
      <w:r>
        <w:rPr>
          <w:rFonts w:hint="eastAsia"/>
          <w:snapToGrid/>
        </w:rPr>
        <w:t>年</w:t>
      </w:r>
      <w:r>
        <w:rPr>
          <w:rFonts w:hint="eastAsia"/>
          <w:snapToGrid/>
        </w:rPr>
        <w:t>)</w:t>
      </w:r>
      <w:r>
        <w:rPr>
          <w:rFonts w:hint="eastAsia"/>
          <w:snapToGrid/>
        </w:rPr>
        <w:t>和北京</w:t>
      </w:r>
      <w:r>
        <w:rPr>
          <w:rFonts w:hint="eastAsia"/>
          <w:snapToGrid/>
        </w:rPr>
        <w:t>(1999</w:t>
      </w:r>
      <w:r>
        <w:rPr>
          <w:rFonts w:hint="eastAsia"/>
          <w:snapToGrid/>
        </w:rPr>
        <w:t>年</w:t>
      </w:r>
      <w:r>
        <w:rPr>
          <w:rFonts w:hint="eastAsia"/>
          <w:snapToGrid/>
        </w:rPr>
        <w:t>)</w:t>
      </w:r>
      <w:r>
        <w:rPr>
          <w:rFonts w:hint="eastAsia"/>
          <w:snapToGrid/>
        </w:rPr>
        <w:t>通过的各项修正案。</w:t>
      </w:r>
      <w:r>
        <w:rPr>
          <w:snapToGrid/>
        </w:rPr>
        <w:t>199</w:t>
      </w:r>
      <w:r>
        <w:rPr>
          <w:snapToGrid/>
        </w:rPr>
        <w:t>3</w:t>
      </w:r>
      <w:r>
        <w:rPr>
          <w:rFonts w:hint="eastAsia"/>
          <w:snapToGrid/>
        </w:rPr>
        <w:t>年，智利向执行蒙特利尔议定书多边基金提交了一份关于保护臭氧层的国别计划，获得世界银行的批准和资助。这项计划自从</w:t>
      </w:r>
      <w:r>
        <w:rPr>
          <w:rFonts w:hint="eastAsia"/>
          <w:snapToGrid/>
        </w:rPr>
        <w:t>1994</w:t>
      </w:r>
      <w:r>
        <w:rPr>
          <w:rFonts w:hint="eastAsia"/>
          <w:snapToGrid/>
        </w:rPr>
        <w:t>年以来由全国环境委员会</w:t>
      </w:r>
      <w:r>
        <w:rPr>
          <w:rFonts w:hint="eastAsia"/>
          <w:snapToGrid/>
        </w:rPr>
        <w:t>(</w:t>
      </w:r>
      <w:r>
        <w:rPr>
          <w:rFonts w:hint="eastAsia"/>
          <w:snapToGrid/>
        </w:rPr>
        <w:t>环委会</w:t>
      </w:r>
      <w:r>
        <w:rPr>
          <w:rFonts w:hint="eastAsia"/>
          <w:snapToGrid/>
        </w:rPr>
        <w:t>)</w:t>
      </w:r>
      <w:r>
        <w:rPr>
          <w:rFonts w:hint="eastAsia"/>
          <w:snapToGrid/>
        </w:rPr>
        <w:t>执行。</w:t>
      </w:r>
    </w:p>
    <w:p w:rsidR="00000000" w:rsidRDefault="009C1C61">
      <w:pPr>
        <w:pStyle w:val="Heading4"/>
        <w:rPr>
          <w:rFonts w:eastAsia="SimHei"/>
          <w:u w:val="none"/>
        </w:rPr>
      </w:pPr>
      <w:r>
        <w:rPr>
          <w:rFonts w:eastAsia="SimHei" w:hint="eastAsia"/>
          <w:u w:val="none"/>
        </w:rPr>
        <w:t>气候变化</w:t>
      </w:r>
    </w:p>
    <w:p w:rsidR="00000000" w:rsidRDefault="009C1C61">
      <w:pPr>
        <w:rPr>
          <w:snapToGrid/>
        </w:rPr>
      </w:pPr>
      <w:r>
        <w:rPr>
          <w:b/>
          <w:bCs/>
          <w:snapToGrid/>
        </w:rPr>
        <w:tab/>
      </w:r>
      <w:r>
        <w:rPr>
          <w:snapToGrid/>
        </w:rPr>
        <w:t xml:space="preserve">866.  </w:t>
      </w:r>
      <w:r>
        <w:rPr>
          <w:rFonts w:hint="eastAsia"/>
          <w:snapToGrid/>
        </w:rPr>
        <w:t>智利政府在地球问题首脑会议期间签署了《联合国气候变化框架公约》，这项《公约》已于</w:t>
      </w:r>
      <w:r>
        <w:rPr>
          <w:rFonts w:hint="eastAsia"/>
          <w:snapToGrid/>
        </w:rPr>
        <w:t>1994</w:t>
      </w:r>
      <w:r>
        <w:rPr>
          <w:rFonts w:hint="eastAsia"/>
          <w:snapToGrid/>
        </w:rPr>
        <w:t>年</w:t>
      </w:r>
      <w:r>
        <w:rPr>
          <w:rFonts w:hint="eastAsia"/>
          <w:snapToGrid/>
        </w:rPr>
        <w:t>12</w:t>
      </w:r>
      <w:r>
        <w:rPr>
          <w:rFonts w:hint="eastAsia"/>
          <w:snapToGrid/>
        </w:rPr>
        <w:t>日</w:t>
      </w:r>
      <w:r>
        <w:rPr>
          <w:rFonts w:hint="eastAsia"/>
          <w:snapToGrid/>
        </w:rPr>
        <w:t>24</w:t>
      </w:r>
      <w:r>
        <w:rPr>
          <w:rFonts w:hint="eastAsia"/>
          <w:snapToGrid/>
        </w:rPr>
        <w:t>日获得国民议会的批准，并于次年</w:t>
      </w:r>
      <w:r>
        <w:rPr>
          <w:rFonts w:hint="eastAsia"/>
          <w:snapToGrid/>
        </w:rPr>
        <w:t>4</w:t>
      </w:r>
      <w:r>
        <w:rPr>
          <w:rFonts w:hint="eastAsia"/>
          <w:snapToGrid/>
        </w:rPr>
        <w:t>月</w:t>
      </w:r>
      <w:r>
        <w:rPr>
          <w:rFonts w:hint="eastAsia"/>
          <w:snapToGrid/>
        </w:rPr>
        <w:t>13</w:t>
      </w:r>
      <w:r>
        <w:rPr>
          <w:rFonts w:hint="eastAsia"/>
          <w:snapToGrid/>
        </w:rPr>
        <w:t>日《政府公报》中颁布为共和国法律。</w:t>
      </w:r>
    </w:p>
    <w:p w:rsidR="00000000" w:rsidRDefault="009C1C61">
      <w:pPr>
        <w:rPr>
          <w:snapToGrid/>
        </w:rPr>
      </w:pPr>
      <w:r>
        <w:rPr>
          <w:snapToGrid/>
        </w:rPr>
        <w:tab/>
        <w:t xml:space="preserve">867.  </w:t>
      </w:r>
      <w:r>
        <w:rPr>
          <w:rFonts w:hint="eastAsia"/>
          <w:snapToGrid/>
        </w:rPr>
        <w:t>1996</w:t>
      </w:r>
      <w:r>
        <w:rPr>
          <w:rFonts w:hint="eastAsia"/>
          <w:snapToGrid/>
        </w:rPr>
        <w:t>年</w:t>
      </w:r>
      <w:r>
        <w:rPr>
          <w:rFonts w:hint="eastAsia"/>
          <w:snapToGrid/>
        </w:rPr>
        <w:t>5</w:t>
      </w:r>
      <w:r>
        <w:rPr>
          <w:rFonts w:hint="eastAsia"/>
          <w:snapToGrid/>
        </w:rPr>
        <w:t>日</w:t>
      </w:r>
      <w:r>
        <w:rPr>
          <w:rFonts w:hint="eastAsia"/>
          <w:snapToGrid/>
        </w:rPr>
        <w:t>29</w:t>
      </w:r>
      <w:r>
        <w:rPr>
          <w:rFonts w:hint="eastAsia"/>
          <w:snapToGrid/>
        </w:rPr>
        <w:t>日成立了全球变化问题全国咨询委员会，并于</w:t>
      </w:r>
      <w:r>
        <w:rPr>
          <w:rFonts w:hint="eastAsia"/>
          <w:snapToGrid/>
        </w:rPr>
        <w:t>1998</w:t>
      </w:r>
      <w:r>
        <w:rPr>
          <w:rFonts w:hint="eastAsia"/>
          <w:snapToGrid/>
        </w:rPr>
        <w:t>年</w:t>
      </w:r>
      <w:r>
        <w:rPr>
          <w:rFonts w:hint="eastAsia"/>
          <w:snapToGrid/>
        </w:rPr>
        <w:t>4</w:t>
      </w:r>
      <w:r>
        <w:rPr>
          <w:rFonts w:hint="eastAsia"/>
          <w:snapToGrid/>
        </w:rPr>
        <w:t>日使其组织结构正规化。该委员会的职责是就履行《气候变化公约》所规定的各</w:t>
      </w:r>
      <w:r>
        <w:rPr>
          <w:rFonts w:hint="eastAsia"/>
          <w:snapToGrid/>
        </w:rPr>
        <w:t>项承诺问题向全国环境委员会提供咨询，并就智利应该针对《公约缔约方会议》通过的决定采取什么立场向外交部提出咨询意见。该委员会由政府各机构、私营部门、非政府组织和学术界组成。委员会的工作重点是讨论《公约》附属机构和缔约方会议提出的问题。</w:t>
      </w:r>
    </w:p>
    <w:p w:rsidR="00000000" w:rsidRDefault="009C1C61">
      <w:pPr>
        <w:rPr>
          <w:rFonts w:hint="eastAsia"/>
          <w:snapToGrid/>
          <w:u w:val="single"/>
        </w:rPr>
      </w:pPr>
      <w:r>
        <w:rPr>
          <w:snapToGrid/>
        </w:rPr>
        <w:tab/>
        <w:t xml:space="preserve">868.  </w:t>
      </w:r>
      <w:r>
        <w:rPr>
          <w:rFonts w:hint="eastAsia"/>
          <w:snapToGrid/>
        </w:rPr>
        <w:t>通过环委会的理事会核准此一领域的工作战略，政府承诺采取行动，处理气候变化问题，包括使智利更加迅速和积极地参与找到解决这一全球问题的办法、批准《京都议定书》、使用《清洁发展机制》和分析有利条件和可能作出的自愿承诺、为气候变化问题拟订全国行动计划并且设置有关科学和技术</w:t>
      </w:r>
      <w:r>
        <w:rPr>
          <w:rFonts w:hint="eastAsia"/>
          <w:snapToGrid/>
        </w:rPr>
        <w:t>研究的基金。</w:t>
      </w:r>
    </w:p>
    <w:p w:rsidR="00000000" w:rsidRDefault="009C1C61">
      <w:pPr>
        <w:pStyle w:val="Heading4"/>
        <w:spacing w:before="240" w:after="120"/>
        <w:rPr>
          <w:rFonts w:eastAsia="SimHei"/>
          <w:u w:val="none"/>
        </w:rPr>
      </w:pPr>
      <w:r>
        <w:rPr>
          <w:rFonts w:eastAsia="SimHei" w:hint="eastAsia"/>
          <w:u w:val="none"/>
        </w:rPr>
        <w:t>环境标准</w:t>
      </w:r>
    </w:p>
    <w:p w:rsidR="00000000" w:rsidRDefault="009C1C61">
      <w:pPr>
        <w:rPr>
          <w:rFonts w:hint="eastAsia"/>
          <w:snapToGrid/>
          <w:u w:val="single"/>
        </w:rPr>
      </w:pPr>
      <w:r>
        <w:rPr>
          <w:b/>
          <w:bCs/>
          <w:snapToGrid/>
        </w:rPr>
        <w:tab/>
      </w:r>
      <w:r>
        <w:rPr>
          <w:snapToGrid/>
        </w:rPr>
        <w:t xml:space="preserve">869.  </w:t>
      </w:r>
      <w:r>
        <w:rPr>
          <w:rFonts w:hint="eastAsia"/>
          <w:snapToGrid/>
        </w:rPr>
        <w:t>除了上面提到的环境规定以外，还优先制定了共计</w:t>
      </w:r>
      <w:r>
        <w:rPr>
          <w:rFonts w:hint="eastAsia"/>
          <w:snapToGrid/>
        </w:rPr>
        <w:t>28</w:t>
      </w:r>
      <w:r>
        <w:rPr>
          <w:rFonts w:hint="eastAsia"/>
          <w:snapToGrid/>
        </w:rPr>
        <w:t>项质量和排放标准，为空气、噪音、水和固体废物污染提供了一个管理框架。各项标准分别处于正式颁布进程的不同阶段，可望在今后三年内正式生效。</w:t>
      </w:r>
    </w:p>
    <w:p w:rsidR="00000000" w:rsidRDefault="009C1C61">
      <w:pPr>
        <w:pStyle w:val="Heading4"/>
        <w:spacing w:before="240" w:after="120"/>
        <w:rPr>
          <w:rFonts w:eastAsia="SimHei"/>
          <w:u w:val="none"/>
        </w:rPr>
      </w:pPr>
      <w:r>
        <w:rPr>
          <w:rFonts w:eastAsia="SimHei" w:hint="eastAsia"/>
          <w:u w:val="none"/>
        </w:rPr>
        <w:t>其他活动</w:t>
      </w:r>
    </w:p>
    <w:p w:rsidR="00000000" w:rsidRDefault="009C1C61">
      <w:pPr>
        <w:rPr>
          <w:snapToGrid/>
        </w:rPr>
      </w:pPr>
      <w:r>
        <w:rPr>
          <w:b/>
          <w:bCs/>
          <w:snapToGrid/>
        </w:rPr>
        <w:tab/>
      </w:r>
      <w:r>
        <w:rPr>
          <w:snapToGrid/>
        </w:rPr>
        <w:t xml:space="preserve">870.  </w:t>
      </w:r>
      <w:r>
        <w:rPr>
          <w:rFonts w:hint="eastAsia"/>
          <w:snapToGrid/>
        </w:rPr>
        <w:t>卫生部成立了环境卫生司，通过智利全境</w:t>
      </w:r>
      <w:r>
        <w:rPr>
          <w:rFonts w:hint="eastAsia"/>
          <w:snapToGrid/>
        </w:rPr>
        <w:t>23</w:t>
      </w:r>
      <w:r>
        <w:rPr>
          <w:rFonts w:hint="eastAsia"/>
          <w:snapToGrid/>
        </w:rPr>
        <w:t>个卫生服务处的环境规划科负责管理和协调与人体保健和环境有关的事项。此外，都市环境卫生处还与全国环境委员会</w:t>
      </w:r>
      <w:r>
        <w:rPr>
          <w:rFonts w:hint="eastAsia"/>
          <w:snapToGrid/>
        </w:rPr>
        <w:t>(</w:t>
      </w:r>
      <w:r>
        <w:rPr>
          <w:rFonts w:hint="eastAsia"/>
          <w:snapToGrid/>
        </w:rPr>
        <w:t>环委会</w:t>
      </w:r>
      <w:r>
        <w:rPr>
          <w:rFonts w:hint="eastAsia"/>
          <w:snapToGrid/>
        </w:rPr>
        <w:t>)</w:t>
      </w:r>
      <w:r>
        <w:rPr>
          <w:rFonts w:hint="eastAsia"/>
          <w:snapToGrid/>
        </w:rPr>
        <w:t>和其他国营及私营机构协调，提供资料，说明环境科学知识及其与人体健康的关系方面的进展情况。</w:t>
      </w:r>
    </w:p>
    <w:p w:rsidR="00000000" w:rsidRDefault="009C1C61">
      <w:pPr>
        <w:rPr>
          <w:snapToGrid/>
        </w:rPr>
      </w:pPr>
      <w:r>
        <w:rPr>
          <w:snapToGrid/>
        </w:rPr>
        <w:tab/>
        <w:t>871.  1992</w:t>
      </w:r>
      <w:r>
        <w:rPr>
          <w:rFonts w:hint="eastAsia"/>
          <w:snapToGrid/>
        </w:rPr>
        <w:t>年，国有资产部设立了环境技术股，作为其活动的一部分，在这方面执行了部门内和部门间的研究和项目。国有资产部通过其国有资产司和国有财产调查司</w:t>
      </w:r>
      <w:r>
        <w:rPr>
          <w:rFonts w:hint="eastAsia"/>
          <w:snapToGrid/>
          <w:spacing w:val="-40"/>
        </w:rPr>
        <w:t>——</w:t>
      </w:r>
      <w:r>
        <w:rPr>
          <w:rFonts w:hint="eastAsia"/>
          <w:snapToGrid/>
        </w:rPr>
        <w:t>包括领土调查局和房地产章程司</w:t>
      </w:r>
      <w:r>
        <w:rPr>
          <w:rFonts w:hint="eastAsia"/>
          <w:snapToGrid/>
        </w:rPr>
        <w:t>(</w:t>
      </w:r>
      <w:r>
        <w:rPr>
          <w:rFonts w:hint="eastAsia"/>
          <w:snapToGrid/>
        </w:rPr>
        <w:t>通过其土著组</w:t>
      </w:r>
      <w:r>
        <w:rPr>
          <w:rFonts w:hint="eastAsia"/>
          <w:snapToGrid/>
        </w:rPr>
        <w:t>)</w:t>
      </w:r>
      <w:r>
        <w:rPr>
          <w:rFonts w:hint="eastAsia"/>
          <w:snapToGrid/>
          <w:spacing w:val="-50"/>
        </w:rPr>
        <w:t xml:space="preserve"> </w:t>
      </w:r>
      <w:r>
        <w:rPr>
          <w:rFonts w:hint="eastAsia"/>
          <w:snapToGrid/>
          <w:spacing w:val="-40"/>
        </w:rPr>
        <w:t>——</w:t>
      </w:r>
      <w:r>
        <w:rPr>
          <w:rFonts w:hint="eastAsia"/>
          <w:snapToGrid/>
        </w:rPr>
        <w:t>几年来开展了关于保护人类自然遗产和提倡适当保护环境的研究和方案。</w:t>
      </w:r>
    </w:p>
    <w:p w:rsidR="00000000" w:rsidRDefault="009C1C61">
      <w:pPr>
        <w:rPr>
          <w:snapToGrid/>
        </w:rPr>
      </w:pPr>
      <w:r>
        <w:rPr>
          <w:snapToGrid/>
        </w:rPr>
        <w:tab/>
        <w:t xml:space="preserve">872.  </w:t>
      </w:r>
      <w:r>
        <w:rPr>
          <w:rFonts w:hint="eastAsia"/>
          <w:snapToGrid/>
        </w:rPr>
        <w:t>与第一项方案相关的第二项方案正在同时执行；把重点放在被视为公共空间的国有土地的管理上。这项方案确认每一个地点的自然环境遗产，对它与环境谐调的发展赋予价值、划定公用的土地、在都市土地短缺的情形下强调建立公共地区。该部的目标是改善居民的生活质量，</w:t>
      </w:r>
      <w:r>
        <w:rPr>
          <w:rFonts w:hint="eastAsia"/>
          <w:snapToGrid/>
        </w:rPr>
        <w:t>允许注意和保护环境的和谐发展，并且确保当代和未来世代能够自由取得以及使用和享受共有资产。</w:t>
      </w:r>
    </w:p>
    <w:p w:rsidR="00000000" w:rsidRDefault="009C1C61">
      <w:pPr>
        <w:pStyle w:val="Heading4"/>
        <w:spacing w:before="240" w:after="120"/>
        <w:rPr>
          <w:rFonts w:eastAsia="SimHei"/>
          <w:u w:val="none"/>
        </w:rPr>
      </w:pPr>
      <w:r>
        <w:rPr>
          <w:rFonts w:eastAsia="SimHei" w:hint="eastAsia"/>
          <w:u w:val="none"/>
        </w:rPr>
        <w:t>促进科学进步信息传播的措施</w:t>
      </w:r>
    </w:p>
    <w:p w:rsidR="00000000" w:rsidRDefault="009C1C61">
      <w:pPr>
        <w:rPr>
          <w:snapToGrid/>
        </w:rPr>
      </w:pPr>
      <w:r>
        <w:rPr>
          <w:b/>
          <w:snapToGrid/>
        </w:rPr>
        <w:tab/>
      </w:r>
      <w:r>
        <w:rPr>
          <w:snapToGrid/>
        </w:rPr>
        <w:t xml:space="preserve">873.  </w:t>
      </w:r>
      <w:r>
        <w:rPr>
          <w:rFonts w:hint="eastAsia"/>
          <w:snapToGrid/>
        </w:rPr>
        <w:t>教育部执行了以下一系列措施：</w:t>
      </w:r>
    </w:p>
    <w:p w:rsidR="00000000" w:rsidRDefault="009C1C61">
      <w:pPr>
        <w:numPr>
          <w:ilvl w:val="0"/>
          <w:numId w:val="337"/>
        </w:numPr>
        <w:rPr>
          <w:snapToGrid/>
        </w:rPr>
      </w:pPr>
      <w:r>
        <w:rPr>
          <w:rFonts w:hint="eastAsia"/>
          <w:snapToGrid/>
        </w:rPr>
        <w:t>制订方案</w:t>
      </w:r>
      <w:r>
        <w:rPr>
          <w:rFonts w:hint="eastAsia"/>
          <w:snapToGrid/>
          <w:spacing w:val="-40"/>
        </w:rPr>
        <w:t>——</w:t>
      </w:r>
      <w:r>
        <w:rPr>
          <w:rFonts w:hint="eastAsia"/>
          <w:snapToGrid/>
        </w:rPr>
        <w:t>例如探索者方案和它的所有次级方案，旨在通过鼓励年轻人对科学问题的兴趣普及科学；</w:t>
      </w:r>
    </w:p>
    <w:p w:rsidR="00000000" w:rsidRDefault="009C1C61">
      <w:pPr>
        <w:numPr>
          <w:ilvl w:val="0"/>
          <w:numId w:val="337"/>
        </w:numPr>
        <w:rPr>
          <w:snapToGrid/>
        </w:rPr>
      </w:pPr>
      <w:r>
        <w:rPr>
          <w:rFonts w:hint="eastAsia"/>
          <w:snapToGrid/>
        </w:rPr>
        <w:t>建立全国大学网，向智利公立大学提供使用宽带通讯系统的高速互联网连接和发展计划；</w:t>
      </w:r>
    </w:p>
    <w:p w:rsidR="00000000" w:rsidRDefault="009C1C61">
      <w:pPr>
        <w:numPr>
          <w:ilvl w:val="0"/>
          <w:numId w:val="337"/>
        </w:numPr>
        <w:rPr>
          <w:snapToGrid/>
        </w:rPr>
      </w:pPr>
      <w:r>
        <w:rPr>
          <w:rFonts w:hint="eastAsia"/>
          <w:snapToGrid/>
        </w:rPr>
        <w:t>大量增加互联网服务供应商和介绍国家科学和技术方案情况的网址；</w:t>
      </w:r>
    </w:p>
    <w:p w:rsidR="00000000" w:rsidRDefault="009C1C61">
      <w:pPr>
        <w:numPr>
          <w:ilvl w:val="0"/>
          <w:numId w:val="337"/>
        </w:numPr>
        <w:rPr>
          <w:snapToGrid/>
        </w:rPr>
      </w:pPr>
      <w:r>
        <w:rPr>
          <w:rFonts w:hint="eastAsia"/>
          <w:snapToGrid/>
        </w:rPr>
        <w:t>由科技研委会和所有大学通过互联网实施联机科学和技术信息方案。通过互联网阅览由国家资助的研究项目的一切资料；</w:t>
      </w:r>
    </w:p>
    <w:p w:rsidR="00000000" w:rsidRDefault="009C1C61">
      <w:pPr>
        <w:numPr>
          <w:ilvl w:val="0"/>
          <w:numId w:val="337"/>
        </w:numPr>
        <w:rPr>
          <w:snapToGrid/>
        </w:rPr>
      </w:pPr>
      <w:r>
        <w:rPr>
          <w:rFonts w:hint="eastAsia"/>
          <w:snapToGrid/>
        </w:rPr>
        <w:t>通过互联</w:t>
      </w:r>
      <w:r>
        <w:rPr>
          <w:rFonts w:hint="eastAsia"/>
          <w:snapToGrid/>
        </w:rPr>
        <w:t>网阅览所有国家机构编写的主要科学专题资料；</w:t>
      </w:r>
    </w:p>
    <w:p w:rsidR="00000000" w:rsidRDefault="009C1C61">
      <w:pPr>
        <w:numPr>
          <w:ilvl w:val="0"/>
          <w:numId w:val="337"/>
        </w:numPr>
        <w:rPr>
          <w:snapToGrid/>
        </w:rPr>
      </w:pPr>
      <w:r>
        <w:rPr>
          <w:rFonts w:hint="eastAsia"/>
          <w:snapToGrid/>
        </w:rPr>
        <w:t>执行全国科学评论电子刊物的出版计划；</w:t>
      </w:r>
    </w:p>
    <w:p w:rsidR="00000000" w:rsidRDefault="009C1C61">
      <w:pPr>
        <w:numPr>
          <w:ilvl w:val="0"/>
          <w:numId w:val="337"/>
        </w:numPr>
        <w:rPr>
          <w:snapToGrid/>
        </w:rPr>
      </w:pPr>
      <w:r>
        <w:rPr>
          <w:rFonts w:hint="eastAsia"/>
          <w:snapToGrid/>
        </w:rPr>
        <w:t>通过互联网阅览所有国家法规；</w:t>
      </w:r>
    </w:p>
    <w:p w:rsidR="00000000" w:rsidRDefault="009C1C61">
      <w:pPr>
        <w:numPr>
          <w:ilvl w:val="0"/>
          <w:numId w:val="337"/>
        </w:numPr>
        <w:rPr>
          <w:snapToGrid/>
        </w:rPr>
      </w:pPr>
      <w:r>
        <w:rPr>
          <w:rFonts w:hint="eastAsia"/>
          <w:snapToGrid/>
        </w:rPr>
        <w:t>执行远程学习计划。这些计划包括教育部的各项捆扎方案，它把智利所有的中学教育中心和半数的基础学校链接成一个网络，接通各大学和其他机构的数据库，最近又接通互联网。</w:t>
      </w:r>
    </w:p>
    <w:p w:rsidR="00000000" w:rsidRDefault="009C1C61">
      <w:pPr>
        <w:spacing w:after="320"/>
        <w:rPr>
          <w:snapToGrid/>
        </w:rPr>
      </w:pPr>
      <w:r>
        <w:rPr>
          <w:snapToGrid/>
        </w:rPr>
        <w:tab/>
        <w:t xml:space="preserve">874.  </w:t>
      </w:r>
      <w:r>
        <w:rPr>
          <w:rFonts w:hint="eastAsia"/>
          <w:snapToGrid/>
        </w:rPr>
        <w:t>正式教育系统也在这方面做出贡献。在一至四年级，基础教育包括数学和“了解自然和社会环境”；在五至九年级，这个科目分为两个部分：“了解自然环境”和“了解社会环境”。此外还开设“技术教育”，进行到中学一至二年级。科学教育本身在这个阶</w:t>
      </w:r>
      <w:r>
        <w:rPr>
          <w:rFonts w:hint="eastAsia"/>
          <w:snapToGrid/>
        </w:rPr>
        <w:t>段比重各有不同：数学、自然科学、历史和社会科学、生物、物理、化学等，教育机构可自由选择。技术教育在中等技术和职业教育的第三年和第四年分成多门，排出</w:t>
      </w:r>
      <w:r>
        <w:rPr>
          <w:snapToGrid/>
        </w:rPr>
        <w:t>44</w:t>
      </w:r>
      <w:r>
        <w:rPr>
          <w:rFonts w:hint="eastAsia"/>
          <w:snapToGrid/>
        </w:rPr>
        <w:t>个专业科目，涉及</w:t>
      </w:r>
      <w:r>
        <w:rPr>
          <w:rFonts w:hint="eastAsia"/>
          <w:snapToGrid/>
        </w:rPr>
        <w:t>13</w:t>
      </w:r>
      <w:r>
        <w:rPr>
          <w:rFonts w:hint="eastAsia"/>
          <w:snapToGrid/>
        </w:rPr>
        <w:t>个主要职业部门。</w:t>
      </w:r>
    </w:p>
    <w:p w:rsidR="00000000" w:rsidRDefault="009C1C61">
      <w:pPr>
        <w:pStyle w:val="Heading4"/>
        <w:rPr>
          <w:rFonts w:eastAsia="SimHei"/>
          <w:u w:val="none"/>
        </w:rPr>
      </w:pPr>
      <w:r>
        <w:rPr>
          <w:rFonts w:eastAsia="SimHei" w:hint="eastAsia"/>
          <w:u w:val="none"/>
        </w:rPr>
        <w:t>科学和技术进步被用于阻碍享受所有人权的防止措施</w:t>
      </w:r>
    </w:p>
    <w:p w:rsidR="00000000" w:rsidRDefault="009C1C61">
      <w:pPr>
        <w:spacing w:after="320"/>
        <w:rPr>
          <w:snapToGrid/>
        </w:rPr>
      </w:pPr>
      <w:r>
        <w:rPr>
          <w:b/>
          <w:bCs/>
          <w:snapToGrid/>
        </w:rPr>
        <w:tab/>
      </w:r>
      <w:r>
        <w:rPr>
          <w:snapToGrid/>
        </w:rPr>
        <w:t xml:space="preserve">875.  </w:t>
      </w:r>
      <w:r>
        <w:rPr>
          <w:rFonts w:hint="eastAsia"/>
          <w:snapToGrid/>
        </w:rPr>
        <w:t>目前没有任何明确的法律规章禁止将科学和技术进步用于违背人权之目的或把这种行为确定为犯罪行为</w:t>
      </w:r>
      <w:r>
        <w:rPr>
          <w:rFonts w:hint="eastAsia"/>
          <w:snapToGrid/>
          <w:spacing w:val="-40"/>
        </w:rPr>
        <w:t>——</w:t>
      </w:r>
      <w:r>
        <w:rPr>
          <w:rFonts w:hint="eastAsia"/>
          <w:snapToGrid/>
        </w:rPr>
        <w:t>只是在《宪法》总则中确认智利所有公民的权利。</w:t>
      </w:r>
    </w:p>
    <w:p w:rsidR="00000000" w:rsidRDefault="009C1C61">
      <w:pPr>
        <w:pStyle w:val="Heading4"/>
        <w:rPr>
          <w:rFonts w:eastAsia="SimHei"/>
          <w:u w:val="none"/>
        </w:rPr>
      </w:pPr>
      <w:r>
        <w:rPr>
          <w:rFonts w:eastAsia="SimHei" w:hint="eastAsia"/>
          <w:u w:val="none"/>
        </w:rPr>
        <w:t>保护作者的精神和物质利益</w:t>
      </w:r>
    </w:p>
    <w:p w:rsidR="00000000" w:rsidRDefault="009C1C61">
      <w:pPr>
        <w:rPr>
          <w:snapToGrid/>
        </w:rPr>
      </w:pPr>
      <w:r>
        <w:rPr>
          <w:b/>
          <w:bCs/>
          <w:snapToGrid/>
        </w:rPr>
        <w:tab/>
      </w:r>
      <w:r>
        <w:rPr>
          <w:snapToGrid/>
        </w:rPr>
        <w:t xml:space="preserve">876.  </w:t>
      </w:r>
      <w:r>
        <w:rPr>
          <w:rFonts w:hint="eastAsia"/>
          <w:snapToGrid/>
        </w:rPr>
        <w:t>《宪法》</w:t>
      </w:r>
      <w:r>
        <w:rPr>
          <w:rStyle w:val="FootnoteReference"/>
          <w:snapToGrid/>
        </w:rPr>
        <w:footnoteReference w:id="346"/>
      </w:r>
      <w:r>
        <w:rPr>
          <w:snapToGrid/>
        </w:rPr>
        <w:t xml:space="preserve"> </w:t>
      </w:r>
      <w:r>
        <w:rPr>
          <w:rFonts w:hint="eastAsia"/>
          <w:snapToGrid/>
        </w:rPr>
        <w:t>确认“作者在法律规定的不应短于其有生之年的期限内</w:t>
      </w:r>
      <w:r>
        <w:rPr>
          <w:snapToGrid/>
        </w:rPr>
        <w:t>(</w:t>
      </w:r>
      <w:r>
        <w:rPr>
          <w:rFonts w:hint="eastAsia"/>
          <w:snapToGrid/>
        </w:rPr>
        <w:t>……</w:t>
      </w:r>
      <w:r>
        <w:rPr>
          <w:snapToGrid/>
        </w:rPr>
        <w:t>)</w:t>
      </w:r>
      <w:r>
        <w:rPr>
          <w:rFonts w:hint="eastAsia"/>
          <w:snapToGrid/>
        </w:rPr>
        <w:t>对其任何形式的</w:t>
      </w:r>
      <w:r>
        <w:rPr>
          <w:rFonts w:hint="eastAsia"/>
          <w:snapToGrid/>
        </w:rPr>
        <w:t>文学和艺术创作拥有的权利。作者的权利包括作品的所有权和其他</w:t>
      </w:r>
      <w:r>
        <w:rPr>
          <w:rFonts w:hint="eastAsia"/>
          <w:snapToGrid/>
          <w:spacing w:val="8"/>
        </w:rPr>
        <w:t>权利，例如：原创作者身份、发表权和维持作品完整的权利；符合法律的上述一切权利”。此外，《宪法》对知识和艺术创作适用关于保护一般财产权的若干条款。</w:t>
      </w:r>
      <w:r>
        <w:rPr>
          <w:rStyle w:val="FootnoteReference"/>
          <w:snapToGrid/>
        </w:rPr>
        <w:footnoteReference w:id="347"/>
      </w:r>
      <w:r>
        <w:rPr>
          <w:snapToGrid/>
        </w:rPr>
        <w:t xml:space="preserve"> </w:t>
      </w:r>
      <w:r>
        <w:rPr>
          <w:rFonts w:hint="eastAsia"/>
          <w:snapToGrid/>
        </w:rPr>
        <w:t>这一宪法原则通过《知识财产法》</w:t>
      </w:r>
      <w:r>
        <w:rPr>
          <w:rStyle w:val="FootnoteReference"/>
          <w:snapToGrid/>
        </w:rPr>
        <w:footnoteReference w:id="348"/>
      </w:r>
      <w:r>
        <w:rPr>
          <w:rFonts w:hint="eastAsia"/>
          <w:snapToGrid/>
        </w:rPr>
        <w:t xml:space="preserve"> </w:t>
      </w:r>
      <w:r>
        <w:rPr>
          <w:rFonts w:hint="eastAsia"/>
          <w:snapToGrid/>
        </w:rPr>
        <w:t>付诸实行，它</w:t>
      </w:r>
      <w:r>
        <w:rPr>
          <w:snapToGrid/>
        </w:rPr>
        <w:t xml:space="preserve"> </w:t>
      </w:r>
      <w:r>
        <w:rPr>
          <w:rFonts w:hint="eastAsia"/>
          <w:snapToGrid/>
        </w:rPr>
        <w:t>“保护作者在文学、艺术和科学领域不论其表现形式为何通过其创造行为对其智力产品取得的权利和相关权利”。已经为执行《知识产权法》而设立了知识产权办事处</w:t>
      </w:r>
      <w:r>
        <w:rPr>
          <w:snapToGrid/>
        </w:rPr>
        <w:t>。</w:t>
      </w:r>
      <w:r>
        <w:rPr>
          <w:rFonts w:hint="eastAsia"/>
          <w:snapToGrid/>
        </w:rPr>
        <w:t>全国书籍和阅读事务理事会智利作者权利协会和智利表演者协会以同样的名义开展业务活动。由著作权引起的任何冲突由法院</w:t>
      </w:r>
      <w:r>
        <w:rPr>
          <w:rFonts w:hint="eastAsia"/>
          <w:snapToGrid/>
        </w:rPr>
        <w:t>解决。</w:t>
      </w:r>
      <w:r>
        <w:rPr>
          <w:snapToGrid/>
        </w:rPr>
        <w:t xml:space="preserve"> </w:t>
      </w:r>
    </w:p>
    <w:p w:rsidR="00000000" w:rsidRDefault="009C1C61">
      <w:pPr>
        <w:spacing w:after="320"/>
        <w:rPr>
          <w:rFonts w:hint="eastAsia"/>
          <w:snapToGrid/>
        </w:rPr>
      </w:pPr>
      <w:r>
        <w:rPr>
          <w:snapToGrid/>
        </w:rPr>
        <w:tab/>
        <w:t>877.  1990</w:t>
      </w:r>
      <w:r>
        <w:rPr>
          <w:rFonts w:hint="eastAsia"/>
          <w:snapToGrid/>
        </w:rPr>
        <w:t>年代成立了一些作家协会和表演家协会。这些着重知识产权的协会的主要活动是集体管理这些权利，以此作为一种新型办法，保护知识产权不受新技术、市场全球化和拟订区域一体化条约和协定的挑战。这些挑战不仅需要共同规则，也需要在不同的文化产业部门之间实行更好的内部协调，以期在国际上统一使地方性作品实现可持续发展的竞争性战略。提供集体管理的组织是根据自我管理原则开展业务活动的一些非营利机构。</w:t>
      </w:r>
    </w:p>
    <w:p w:rsidR="00000000" w:rsidRDefault="009C1C61">
      <w:pPr>
        <w:pStyle w:val="Heading4"/>
        <w:rPr>
          <w:rFonts w:eastAsia="SimHei"/>
          <w:u w:val="none"/>
        </w:rPr>
      </w:pPr>
      <w:r>
        <w:rPr>
          <w:rFonts w:eastAsia="SimHei" w:hint="eastAsia"/>
          <w:u w:val="none"/>
        </w:rPr>
        <w:t>智利作者权利协会</w:t>
      </w:r>
    </w:p>
    <w:p w:rsidR="00000000" w:rsidRDefault="009C1C61">
      <w:pPr>
        <w:spacing w:after="320"/>
        <w:rPr>
          <w:rFonts w:hint="eastAsia"/>
          <w:snapToGrid/>
        </w:rPr>
      </w:pPr>
      <w:r>
        <w:rPr>
          <w:b/>
          <w:bCs/>
          <w:snapToGrid/>
        </w:rPr>
        <w:tab/>
      </w:r>
      <w:r>
        <w:rPr>
          <w:snapToGrid/>
        </w:rPr>
        <w:t xml:space="preserve">878. </w:t>
      </w:r>
      <w:r>
        <w:rPr>
          <w:rFonts w:hint="eastAsia"/>
          <w:snapToGrid/>
        </w:rPr>
        <w:t xml:space="preserve"> </w:t>
      </w:r>
      <w:r>
        <w:rPr>
          <w:rFonts w:hint="eastAsia"/>
          <w:snapToGrid/>
        </w:rPr>
        <w:t>拥有</w:t>
      </w:r>
      <w:r>
        <w:rPr>
          <w:snapToGrid/>
        </w:rPr>
        <w:t>2,500</w:t>
      </w:r>
      <w:r>
        <w:rPr>
          <w:rFonts w:hint="eastAsia"/>
          <w:snapToGrid/>
        </w:rPr>
        <w:t>多名会员的智利作者权利协会负责音乐部门保护权利事宜。除了</w:t>
      </w:r>
      <w:r>
        <w:rPr>
          <w:rFonts w:hint="eastAsia"/>
          <w:snapToGrid/>
        </w:rPr>
        <w:t>授权和收取发行费以外，该协会目前在文化界发挥着积极的作用。为了培育本国作者而兴建的该协会礼堂是通俗音乐的唯一舞台，排定年度节目，不过，它具有试验的性质，座位有限。有</w:t>
      </w:r>
      <w:r>
        <w:rPr>
          <w:snapToGrid/>
        </w:rPr>
        <w:t>90</w:t>
      </w:r>
      <w:r>
        <w:rPr>
          <w:rFonts w:hint="eastAsia"/>
          <w:snapToGrid/>
        </w:rPr>
        <w:t>多名年轻人在该协会的教育中心学习，他们有机会凭借自己的才能申请全额奖学金，由音乐家自己对申请进行评审。音乐和技术中心是另外一个革新项目，在新技术方面提供培训，并且为协会的网址提供资料，每一个音乐家都有权开辟自己的网页。医疗和紧急情况保健和协助基金是该协会活动的另一个方面。</w:t>
      </w:r>
    </w:p>
    <w:p w:rsidR="00000000" w:rsidRDefault="009C1C61">
      <w:pPr>
        <w:pStyle w:val="Heading4"/>
        <w:rPr>
          <w:rFonts w:eastAsia="SimHei" w:hint="eastAsia"/>
          <w:u w:val="none"/>
        </w:rPr>
      </w:pPr>
      <w:r>
        <w:rPr>
          <w:rFonts w:eastAsia="SimHei" w:hint="eastAsia"/>
          <w:u w:val="none"/>
        </w:rPr>
        <w:t>不以营利为目的的集体管理协会</w:t>
      </w:r>
      <w:r>
        <w:rPr>
          <w:rFonts w:eastAsia="SimHei" w:hint="eastAsia"/>
          <w:u w:val="none"/>
        </w:rPr>
        <w:t>(</w:t>
      </w:r>
      <w:r>
        <w:rPr>
          <w:rFonts w:eastAsia="SimHei"/>
          <w:u w:val="none"/>
        </w:rPr>
        <w:t>Creaimagen</w:t>
      </w:r>
      <w:r>
        <w:rPr>
          <w:rFonts w:eastAsia="SimHei" w:hint="eastAsia"/>
          <w:u w:val="none"/>
        </w:rPr>
        <w:t>)</w:t>
      </w:r>
    </w:p>
    <w:p w:rsidR="00000000" w:rsidRDefault="009C1C61">
      <w:pPr>
        <w:spacing w:after="320"/>
        <w:rPr>
          <w:rFonts w:hint="eastAsia"/>
          <w:snapToGrid/>
        </w:rPr>
      </w:pPr>
      <w:r>
        <w:rPr>
          <w:rFonts w:hint="eastAsia"/>
          <w:b/>
          <w:bCs/>
          <w:iCs/>
          <w:snapToGrid/>
        </w:rPr>
        <w:tab/>
      </w:r>
      <w:r>
        <w:rPr>
          <w:snapToGrid/>
        </w:rPr>
        <w:t xml:space="preserve">879. </w:t>
      </w:r>
      <w:r>
        <w:rPr>
          <w:rFonts w:hint="eastAsia"/>
          <w:snapToGrid/>
        </w:rPr>
        <w:t xml:space="preserve"> </w:t>
      </w:r>
      <w:r>
        <w:rPr>
          <w:rFonts w:hint="eastAsia"/>
          <w:snapToGrid/>
        </w:rPr>
        <w:t>静</w:t>
      </w:r>
      <w:r>
        <w:rPr>
          <w:rFonts w:hint="eastAsia"/>
          <w:snapToGrid/>
        </w:rPr>
        <w:t>态影像艺术家</w:t>
      </w:r>
      <w:r>
        <w:rPr>
          <w:rFonts w:hint="eastAsia"/>
          <w:snapToGrid/>
          <w:spacing w:val="-40"/>
        </w:rPr>
        <w:t>——</w:t>
      </w:r>
      <w:r>
        <w:rPr>
          <w:rFonts w:hint="eastAsia"/>
          <w:snapToGrid/>
        </w:rPr>
        <w:t>与制作动态影像或视听作品的艺术家不同</w:t>
      </w:r>
      <w:r>
        <w:rPr>
          <w:rFonts w:hint="eastAsia"/>
          <w:snapToGrid/>
          <w:spacing w:val="-40"/>
        </w:rPr>
        <w:t>——</w:t>
      </w:r>
      <w:r>
        <w:rPr>
          <w:rFonts w:hint="eastAsia"/>
          <w:snapToGrid/>
        </w:rPr>
        <w:t>在类似的西班牙协会和法国协会的主持下成立了这个组织。由造型艺术家、雕塑家、摄影师、插图作家和平面造型艺术家组成，其目的是防止造型艺术、摄影或绘画作品方面的滥用行为</w:t>
      </w:r>
      <w:r>
        <w:rPr>
          <w:rFonts w:hint="eastAsia"/>
          <w:snapToGrid/>
          <w:spacing w:val="-40"/>
        </w:rPr>
        <w:t>——</w:t>
      </w:r>
      <w:r>
        <w:rPr>
          <w:rFonts w:hint="eastAsia"/>
          <w:snapToGrid/>
        </w:rPr>
        <w:t>在未经作者授权或支付任何费用的情形下广泛地用于出版物、广告材料和各色各样的文章中。由于联网和数字操作，这种现象正在增加。该协会目前正在谈判为外国作品取得广泛代理权的国际协定，并且开始建立监督和特许制度。智利艺术家缺乏机会的主要原因是人们可以在不受任何控制的情形下免费使用外国作品。</w:t>
      </w:r>
    </w:p>
    <w:p w:rsidR="00000000" w:rsidRDefault="009C1C61">
      <w:pPr>
        <w:pStyle w:val="Heading4"/>
        <w:rPr>
          <w:rFonts w:eastAsia="SimHei"/>
          <w:u w:val="none"/>
        </w:rPr>
      </w:pPr>
      <w:r>
        <w:rPr>
          <w:rFonts w:eastAsia="SimHei" w:hint="eastAsia"/>
          <w:u w:val="none"/>
        </w:rPr>
        <w:t>全国戏剧</w:t>
      </w:r>
      <w:r>
        <w:rPr>
          <w:rFonts w:eastAsia="SimHei" w:hint="eastAsia"/>
          <w:u w:val="none"/>
        </w:rPr>
        <w:t>、电影和视听艺术作家协会</w:t>
      </w:r>
      <w:r>
        <w:rPr>
          <w:rFonts w:eastAsia="SimHei"/>
          <w:u w:val="none"/>
        </w:rPr>
        <w:t xml:space="preserve"> (NWT)</w:t>
      </w:r>
    </w:p>
    <w:p w:rsidR="00000000" w:rsidRDefault="009C1C61">
      <w:pPr>
        <w:spacing w:after="320"/>
        <w:rPr>
          <w:snapToGrid/>
        </w:rPr>
      </w:pPr>
      <w:r>
        <w:rPr>
          <w:b/>
          <w:bCs/>
          <w:snapToGrid/>
        </w:rPr>
        <w:tab/>
      </w:r>
      <w:r>
        <w:rPr>
          <w:snapToGrid/>
        </w:rPr>
        <w:t xml:space="preserve">880.  </w:t>
      </w:r>
      <w:r>
        <w:rPr>
          <w:rFonts w:hint="eastAsia"/>
          <w:snapToGrid/>
        </w:rPr>
        <w:t>这个团体针对写作和改编戏剧、舞蹈、哑剧和木偶戏以及牵线木偶表演的人、创作或改编喜剧、歌剧、民俗歌剧和芭蕾舞剧等音乐剧的作者以及一般电影和视听作品作者。该协会致力于编辑一份关于所有戏剧、电影和视听作家的会员名录；编排和纪录全国作品库；管理产权及收取和分配使用这些作品的费用；监督作品库被媒体和出版商使用和滥用的情况；以及发给特许。它意图在国际上推动本国收藏的剧本和视听作品，建立与外国协会的联系。智利目前没有代表剧作家的机构或协会，视听作品的制作人也没有与外国处</w:t>
      </w:r>
      <w:r>
        <w:rPr>
          <w:rFonts w:hint="eastAsia"/>
          <w:snapToGrid/>
        </w:rPr>
        <w:t>理这些权利的协会取得联系。目前已有对这类作品的作者给予报酬的规定，但是，由于智利还没有一个全国性的组织，因而未能从中获取任何权益。</w:t>
      </w:r>
    </w:p>
    <w:p w:rsidR="00000000" w:rsidRDefault="009C1C61">
      <w:pPr>
        <w:pStyle w:val="Heading4"/>
        <w:rPr>
          <w:rFonts w:eastAsia="SimHei" w:hint="eastAsia"/>
          <w:u w:val="none"/>
        </w:rPr>
      </w:pPr>
      <w:r>
        <w:rPr>
          <w:rFonts w:eastAsia="SimHei" w:hint="eastAsia"/>
          <w:u w:val="none"/>
        </w:rPr>
        <w:t>智利肥皂剧演员协会</w:t>
      </w:r>
      <w:r>
        <w:rPr>
          <w:rFonts w:eastAsia="SimHei" w:hint="eastAsia"/>
          <w:u w:val="none"/>
        </w:rPr>
        <w:t>(</w:t>
      </w:r>
      <w:r>
        <w:rPr>
          <w:rFonts w:eastAsia="SimHei"/>
          <w:u w:val="none"/>
        </w:rPr>
        <w:t>Chileactores</w:t>
      </w:r>
      <w:r>
        <w:rPr>
          <w:rFonts w:eastAsia="SimHei" w:hint="eastAsia"/>
          <w:u w:val="none"/>
        </w:rPr>
        <w:t>)</w:t>
      </w:r>
    </w:p>
    <w:p w:rsidR="00000000" w:rsidRDefault="009C1C61">
      <w:pPr>
        <w:spacing w:after="320"/>
        <w:rPr>
          <w:snapToGrid/>
        </w:rPr>
      </w:pPr>
      <w:r>
        <w:rPr>
          <w:rFonts w:hint="eastAsia"/>
          <w:b/>
          <w:bCs/>
          <w:iCs/>
          <w:snapToGrid/>
        </w:rPr>
        <w:tab/>
      </w:r>
      <w:r>
        <w:rPr>
          <w:snapToGrid/>
        </w:rPr>
        <w:t xml:space="preserve">881.  </w:t>
      </w:r>
      <w:r>
        <w:rPr>
          <w:rFonts w:hint="eastAsia"/>
          <w:snapToGrid/>
        </w:rPr>
        <w:t>1999</w:t>
      </w:r>
      <w:r>
        <w:rPr>
          <w:rFonts w:hint="eastAsia"/>
          <w:snapToGrid/>
        </w:rPr>
        <w:t>年成立的这个智利肥皂剧演员协会促成了对肥皂剧和视听表演重播权的确认。确认是当电视连续剧在国外出售时签订一份协定以保护演员的权利，由于演员个人已经在与电视频道的合同中放弃了自己的权利，许多人担心其权利无法得到保障。集体管理协会实现了这项目标，目前正在研究对未经授权活动的其他控制方式。智利演员协会也试图对没有任何</w:t>
      </w:r>
      <w:r>
        <w:rPr>
          <w:rFonts w:hint="eastAsia"/>
          <w:snapToGrid/>
        </w:rPr>
        <w:t>积蓄、需要协助的演员制订一份支援计划。凡是为智利电视工作的所有演员几乎都是智利肥皂剧演员协会</w:t>
      </w:r>
      <w:r>
        <w:rPr>
          <w:rFonts w:hint="eastAsia"/>
          <w:snapToGrid/>
        </w:rPr>
        <w:t>(</w:t>
      </w:r>
      <w:r>
        <w:rPr>
          <w:i/>
          <w:snapToGrid/>
        </w:rPr>
        <w:t>Chileactores</w:t>
      </w:r>
      <w:r>
        <w:rPr>
          <w:rFonts w:hint="eastAsia"/>
          <w:i/>
          <w:snapToGrid/>
        </w:rPr>
        <w:t>)</w:t>
      </w:r>
      <w:r>
        <w:rPr>
          <w:rFonts w:hint="eastAsia"/>
          <w:snapToGrid/>
        </w:rPr>
        <w:t>的会员。</w:t>
      </w:r>
    </w:p>
    <w:p w:rsidR="00000000" w:rsidRDefault="009C1C61">
      <w:pPr>
        <w:pStyle w:val="Heading4"/>
        <w:rPr>
          <w:rFonts w:eastAsia="SimHei"/>
          <w:u w:val="none"/>
        </w:rPr>
      </w:pPr>
      <w:r>
        <w:rPr>
          <w:rFonts w:eastAsia="SimHei" w:hint="eastAsia"/>
          <w:u w:val="none"/>
        </w:rPr>
        <w:t>智利演员协会</w:t>
      </w:r>
    </w:p>
    <w:p w:rsidR="00000000" w:rsidRDefault="009C1C61">
      <w:pPr>
        <w:spacing w:after="320"/>
        <w:rPr>
          <w:snapToGrid/>
        </w:rPr>
      </w:pPr>
      <w:r>
        <w:rPr>
          <w:b/>
          <w:bCs/>
          <w:snapToGrid/>
        </w:rPr>
        <w:tab/>
      </w:r>
      <w:r>
        <w:rPr>
          <w:snapToGrid/>
        </w:rPr>
        <w:t xml:space="preserve">882.  </w:t>
      </w:r>
      <w:r>
        <w:rPr>
          <w:rFonts w:hint="eastAsia"/>
          <w:snapToGrid/>
        </w:rPr>
        <w:t>智利演员协会是促进与拉丁美洲有强烈国际联系的音乐表演者福利的一个特殊项目。它作为智利作家权利协会的一部分展开业务活动，授权该协会担任其著作权管理工作的代表。它的工作重点主要是设法传播智利音乐家作品，开辟一个与协会和商业界完全没有联系的艺术家市场。它也对音乐家实行商业管理培训，并且以定期通讯和给予合同的方式提供关于艺术家市场的资料。</w:t>
      </w:r>
    </w:p>
    <w:p w:rsidR="00000000" w:rsidRDefault="009C1C61">
      <w:pPr>
        <w:pStyle w:val="Heading4"/>
        <w:rPr>
          <w:rFonts w:eastAsia="SimHei"/>
          <w:u w:val="none"/>
        </w:rPr>
      </w:pPr>
      <w:r>
        <w:rPr>
          <w:rFonts w:eastAsia="SimHei" w:hint="eastAsia"/>
          <w:u w:val="none"/>
        </w:rPr>
        <w:t>保护、发展和传播科学</w:t>
      </w:r>
      <w:r>
        <w:rPr>
          <w:rFonts w:eastAsia="SimHei" w:hint="eastAsia"/>
          <w:u w:val="none"/>
        </w:rPr>
        <w:t>和文化的措施</w:t>
      </w:r>
    </w:p>
    <w:p w:rsidR="00000000" w:rsidRDefault="009C1C61">
      <w:pPr>
        <w:rPr>
          <w:snapToGrid/>
        </w:rPr>
      </w:pPr>
      <w:r>
        <w:rPr>
          <w:b/>
          <w:snapToGrid/>
        </w:rPr>
        <w:tab/>
      </w:r>
      <w:r>
        <w:rPr>
          <w:snapToGrid/>
        </w:rPr>
        <w:t xml:space="preserve">883.  </w:t>
      </w:r>
      <w:r>
        <w:rPr>
          <w:rFonts w:hint="eastAsia"/>
          <w:snapToGrid/>
        </w:rPr>
        <w:t>在</w:t>
      </w:r>
      <w:r>
        <w:rPr>
          <w:snapToGrid/>
        </w:rPr>
        <w:t>1990</w:t>
      </w:r>
      <w:r>
        <w:rPr>
          <w:rFonts w:hint="eastAsia"/>
          <w:snapToGrid/>
        </w:rPr>
        <w:t>至</w:t>
      </w:r>
      <w:r>
        <w:rPr>
          <w:snapToGrid/>
        </w:rPr>
        <w:t>2000</w:t>
      </w:r>
      <w:r>
        <w:rPr>
          <w:rFonts w:hint="eastAsia"/>
          <w:snapToGrid/>
        </w:rPr>
        <w:t>年间，智利政府为保护、发展和传播科学和文化拟订了一项把政府的努力同私营企业的合作结合起来的重要政策。通过的主要措施包括下列法律规定：</w:t>
      </w:r>
    </w:p>
    <w:p w:rsidR="00000000" w:rsidRDefault="009C1C61">
      <w:pPr>
        <w:numPr>
          <w:ilvl w:val="0"/>
          <w:numId w:val="339"/>
        </w:numPr>
        <w:rPr>
          <w:snapToGrid/>
        </w:rPr>
      </w:pPr>
      <w:r>
        <w:rPr>
          <w:rFonts w:hint="eastAsia"/>
          <w:snapToGrid/>
        </w:rPr>
        <w:t>建立全国图书和阅读促进基金的</w:t>
      </w:r>
      <w:r>
        <w:rPr>
          <w:rFonts w:hint="eastAsia"/>
          <w:snapToGrid/>
        </w:rPr>
        <w:t>1993</w:t>
      </w:r>
      <w:r>
        <w:rPr>
          <w:rFonts w:hint="eastAsia"/>
          <w:snapToGrid/>
        </w:rPr>
        <w:t>年</w:t>
      </w:r>
      <w:r>
        <w:rPr>
          <w:rFonts w:hint="eastAsia"/>
          <w:snapToGrid/>
        </w:rPr>
        <w:t>7</w:t>
      </w:r>
      <w:r>
        <w:rPr>
          <w:rFonts w:hint="eastAsia"/>
          <w:snapToGrid/>
        </w:rPr>
        <w:t>月</w:t>
      </w:r>
      <w:r>
        <w:rPr>
          <w:rFonts w:hint="eastAsia"/>
          <w:snapToGrid/>
        </w:rPr>
        <w:t>10</w:t>
      </w:r>
      <w:r>
        <w:rPr>
          <w:rFonts w:hint="eastAsia"/>
          <w:snapToGrid/>
        </w:rPr>
        <w:t>日第</w:t>
      </w:r>
      <w:r>
        <w:rPr>
          <w:snapToGrid/>
        </w:rPr>
        <w:t>19,227</w:t>
      </w:r>
      <w:r>
        <w:rPr>
          <w:rFonts w:hint="eastAsia"/>
          <w:snapToGrid/>
        </w:rPr>
        <w:t>号法令；</w:t>
      </w:r>
    </w:p>
    <w:p w:rsidR="00000000" w:rsidRDefault="009C1C61">
      <w:pPr>
        <w:numPr>
          <w:ilvl w:val="0"/>
          <w:numId w:val="339"/>
        </w:numPr>
        <w:rPr>
          <w:snapToGrid/>
        </w:rPr>
      </w:pPr>
      <w:r>
        <w:rPr>
          <w:rFonts w:hint="eastAsia"/>
          <w:snapToGrid/>
        </w:rPr>
        <w:t>设立艺术发展基金</w:t>
      </w:r>
      <w:r>
        <w:rPr>
          <w:snapToGrid/>
        </w:rPr>
        <w:t>(</w:t>
      </w:r>
      <w:r>
        <w:rPr>
          <w:rFonts w:hint="eastAsia"/>
          <w:snapToGrid/>
          <w:lang w:val="en-GB"/>
        </w:rPr>
        <w:t>文发基金</w:t>
      </w:r>
      <w:r>
        <w:rPr>
          <w:snapToGrid/>
        </w:rPr>
        <w:t>)</w:t>
      </w:r>
      <w:r>
        <w:rPr>
          <w:rFonts w:hint="eastAsia"/>
          <w:snapToGrid/>
        </w:rPr>
        <w:t>的</w:t>
      </w:r>
      <w:r>
        <w:rPr>
          <w:rFonts w:hint="eastAsia"/>
          <w:snapToGrid/>
        </w:rPr>
        <w:t>1993</w:t>
      </w:r>
      <w:r>
        <w:rPr>
          <w:rFonts w:hint="eastAsia"/>
          <w:snapToGrid/>
        </w:rPr>
        <w:t>年预算法；这项基金和上项基金由教育部文化司以放权方式管理；</w:t>
      </w:r>
    </w:p>
    <w:p w:rsidR="00000000" w:rsidRDefault="009C1C61">
      <w:pPr>
        <w:numPr>
          <w:ilvl w:val="0"/>
          <w:numId w:val="339"/>
        </w:numPr>
        <w:rPr>
          <w:snapToGrid/>
        </w:rPr>
      </w:pPr>
      <w:r>
        <w:rPr>
          <w:rFonts w:hint="eastAsia"/>
          <w:snapToGrid/>
        </w:rPr>
        <w:t>为私人对文化活动的捐款给予税率奖励的</w:t>
      </w:r>
      <w:r>
        <w:rPr>
          <w:rFonts w:hint="eastAsia"/>
          <w:snapToGrid/>
        </w:rPr>
        <w:t>1992</w:t>
      </w:r>
      <w:r>
        <w:rPr>
          <w:rFonts w:hint="eastAsia"/>
          <w:snapToGrid/>
        </w:rPr>
        <w:t>年文化捐款法；</w:t>
      </w:r>
    </w:p>
    <w:p w:rsidR="00000000" w:rsidRDefault="009C1C61">
      <w:pPr>
        <w:numPr>
          <w:ilvl w:val="0"/>
          <w:numId w:val="339"/>
        </w:numPr>
        <w:rPr>
          <w:snapToGrid/>
        </w:rPr>
      </w:pPr>
      <w:r>
        <w:rPr>
          <w:rFonts w:hint="eastAsia"/>
          <w:snapToGrid/>
        </w:rPr>
        <w:t>为私人个人对教育项目的捐款给予税率奖励的</w:t>
      </w:r>
      <w:r>
        <w:rPr>
          <w:rFonts w:hint="eastAsia"/>
          <w:snapToGrid/>
        </w:rPr>
        <w:t>1993</w:t>
      </w:r>
      <w:r>
        <w:rPr>
          <w:rFonts w:hint="eastAsia"/>
          <w:snapToGrid/>
        </w:rPr>
        <w:t>年</w:t>
      </w:r>
      <w:r>
        <w:rPr>
          <w:rFonts w:hint="eastAsia"/>
          <w:snapToGrid/>
        </w:rPr>
        <w:t>8</w:t>
      </w:r>
      <w:r>
        <w:rPr>
          <w:rFonts w:hint="eastAsia"/>
          <w:snapToGrid/>
        </w:rPr>
        <w:t>月</w:t>
      </w:r>
      <w:r>
        <w:rPr>
          <w:rFonts w:hint="eastAsia"/>
          <w:snapToGrid/>
        </w:rPr>
        <w:t>15</w:t>
      </w:r>
      <w:r>
        <w:rPr>
          <w:rFonts w:hint="eastAsia"/>
          <w:snapToGrid/>
        </w:rPr>
        <w:t>日第</w:t>
      </w:r>
      <w:r>
        <w:rPr>
          <w:snapToGrid/>
        </w:rPr>
        <w:t>19,247</w:t>
      </w:r>
      <w:r>
        <w:rPr>
          <w:rFonts w:hint="eastAsia"/>
          <w:snapToGrid/>
        </w:rPr>
        <w:t>号法令；</w:t>
      </w:r>
    </w:p>
    <w:p w:rsidR="00000000" w:rsidRDefault="009C1C61">
      <w:pPr>
        <w:numPr>
          <w:ilvl w:val="0"/>
          <w:numId w:val="339"/>
        </w:numPr>
        <w:rPr>
          <w:snapToGrid/>
        </w:rPr>
      </w:pPr>
      <w:r>
        <w:rPr>
          <w:rFonts w:hint="eastAsia"/>
          <w:snapToGrid/>
        </w:rPr>
        <w:t>根据关于保护、促</w:t>
      </w:r>
      <w:r>
        <w:rPr>
          <w:rFonts w:hint="eastAsia"/>
          <w:snapToGrid/>
        </w:rPr>
        <w:t>进和发展土著文化的若干条款成立全国土著发展公司的</w:t>
      </w:r>
      <w:r>
        <w:rPr>
          <w:rFonts w:hint="eastAsia"/>
          <w:snapToGrid/>
        </w:rPr>
        <w:t>1993</w:t>
      </w:r>
      <w:r>
        <w:rPr>
          <w:rFonts w:hint="eastAsia"/>
          <w:snapToGrid/>
        </w:rPr>
        <w:t>年</w:t>
      </w:r>
      <w:r>
        <w:rPr>
          <w:rFonts w:hint="eastAsia"/>
          <w:snapToGrid/>
        </w:rPr>
        <w:t>10</w:t>
      </w:r>
      <w:r>
        <w:rPr>
          <w:rFonts w:hint="eastAsia"/>
          <w:snapToGrid/>
        </w:rPr>
        <w:t>月</w:t>
      </w:r>
      <w:r>
        <w:rPr>
          <w:rFonts w:hint="eastAsia"/>
          <w:snapToGrid/>
        </w:rPr>
        <w:t>5</w:t>
      </w:r>
      <w:r>
        <w:rPr>
          <w:rFonts w:hint="eastAsia"/>
          <w:snapToGrid/>
        </w:rPr>
        <w:t>日第</w:t>
      </w:r>
      <w:r>
        <w:rPr>
          <w:snapToGrid/>
        </w:rPr>
        <w:t>19,253</w:t>
      </w:r>
      <w:r>
        <w:rPr>
          <w:rFonts w:hint="eastAsia"/>
          <w:snapToGrid/>
        </w:rPr>
        <w:t>号法令；</w:t>
      </w:r>
    </w:p>
    <w:p w:rsidR="00000000" w:rsidRDefault="009C1C61">
      <w:pPr>
        <w:rPr>
          <w:snapToGrid/>
        </w:rPr>
      </w:pPr>
      <w:r>
        <w:rPr>
          <w:snapToGrid/>
        </w:rPr>
        <w:tab/>
        <w:t xml:space="preserve">884.  </w:t>
      </w:r>
      <w:r>
        <w:rPr>
          <w:rFonts w:hint="eastAsia"/>
          <w:snapToGrid/>
        </w:rPr>
        <w:t>正在进行的教育改革已经确保新的课程大纲包括语言和交流、艺术教育、历史和社会科学、外国语、计算机科学和宗教等部分</w:t>
      </w:r>
      <w:r>
        <w:rPr>
          <w:rFonts w:hint="eastAsia"/>
          <w:snapToGrid/>
        </w:rPr>
        <w:t xml:space="preserve"> </w:t>
      </w:r>
      <w:r>
        <w:rPr>
          <w:snapToGrid/>
        </w:rPr>
        <w:t>(</w:t>
      </w:r>
      <w:r>
        <w:rPr>
          <w:rFonts w:hint="eastAsia"/>
          <w:snapToGrid/>
        </w:rPr>
        <w:t>所有学校都必须开设这些课程，但学生可以选修</w:t>
      </w:r>
      <w:r>
        <w:rPr>
          <w:snapToGrid/>
        </w:rPr>
        <w:t>)</w:t>
      </w:r>
      <w:r>
        <w:rPr>
          <w:rFonts w:hint="eastAsia"/>
          <w:snapToGrid/>
        </w:rPr>
        <w:t>，此外，学校还可以在各年级课程表自习课部分增加一些学科和活动。</w:t>
      </w:r>
    </w:p>
    <w:p w:rsidR="00000000" w:rsidRDefault="009C1C61">
      <w:pPr>
        <w:rPr>
          <w:snapToGrid/>
        </w:rPr>
      </w:pPr>
      <w:r>
        <w:rPr>
          <w:snapToGrid/>
        </w:rPr>
        <w:tab/>
        <w:t xml:space="preserve">885.  </w:t>
      </w:r>
      <w:r>
        <w:rPr>
          <w:rFonts w:hint="eastAsia"/>
          <w:snapToGrid/>
        </w:rPr>
        <w:t>已经在上述改革中采取的下列倡议对于发展、保护和传播科学与文化特别重要：</w:t>
      </w:r>
    </w:p>
    <w:p w:rsidR="00000000" w:rsidRDefault="009C1C61">
      <w:pPr>
        <w:numPr>
          <w:ilvl w:val="0"/>
          <w:numId w:val="342"/>
        </w:numPr>
        <w:rPr>
          <w:snapToGrid/>
        </w:rPr>
      </w:pPr>
      <w:r>
        <w:rPr>
          <w:rFonts w:hint="eastAsia"/>
          <w:snapToGrid/>
        </w:rPr>
        <w:t>在由国家资助的所有基础教育的教室中设立并维持一个有</w:t>
      </w:r>
      <w:r>
        <w:rPr>
          <w:rFonts w:hint="eastAsia"/>
          <w:snapToGrid/>
        </w:rPr>
        <w:t>35</w:t>
      </w:r>
      <w:r>
        <w:rPr>
          <w:rFonts w:hint="eastAsia"/>
          <w:snapToGrid/>
        </w:rPr>
        <w:t>至</w:t>
      </w:r>
      <w:r>
        <w:rPr>
          <w:rFonts w:hint="eastAsia"/>
          <w:snapToGrid/>
        </w:rPr>
        <w:t>50</w:t>
      </w:r>
      <w:r>
        <w:rPr>
          <w:rFonts w:hint="eastAsia"/>
          <w:snapToGrid/>
        </w:rPr>
        <w:t>种图书的教室图书馆，以培养阅读兴趣；</w:t>
      </w:r>
    </w:p>
    <w:p w:rsidR="00000000" w:rsidRDefault="009C1C61">
      <w:pPr>
        <w:numPr>
          <w:ilvl w:val="0"/>
          <w:numId w:val="342"/>
        </w:numPr>
        <w:rPr>
          <w:snapToGrid/>
        </w:rPr>
      </w:pPr>
      <w:r>
        <w:rPr>
          <w:rFonts w:hint="eastAsia"/>
          <w:snapToGrid/>
        </w:rPr>
        <w:t>课本政策：智利首次在由国家资助的整个基础教育系统，目前也在中等教育系统提供免费课本；免费分发的教科书从</w:t>
      </w:r>
      <w:r>
        <w:rPr>
          <w:rFonts w:hint="eastAsia"/>
          <w:snapToGrid/>
        </w:rPr>
        <w:t>1990</w:t>
      </w:r>
      <w:r>
        <w:rPr>
          <w:rFonts w:hint="eastAsia"/>
          <w:snapToGrid/>
        </w:rPr>
        <w:t>年的</w:t>
      </w:r>
      <w:r>
        <w:rPr>
          <w:snapToGrid/>
        </w:rPr>
        <w:t>1,900,000</w:t>
      </w:r>
      <w:r>
        <w:rPr>
          <w:rFonts w:hint="eastAsia"/>
          <w:snapToGrid/>
        </w:rPr>
        <w:t>册增加到</w:t>
      </w:r>
      <w:r>
        <w:rPr>
          <w:rFonts w:hint="eastAsia"/>
          <w:snapToGrid/>
        </w:rPr>
        <w:t>1999</w:t>
      </w:r>
      <w:r>
        <w:rPr>
          <w:rFonts w:hint="eastAsia"/>
          <w:snapToGrid/>
        </w:rPr>
        <w:t>年的</w:t>
      </w:r>
      <w:r>
        <w:rPr>
          <w:snapToGrid/>
        </w:rPr>
        <w:t>7,000,000</w:t>
      </w:r>
      <w:r>
        <w:rPr>
          <w:rFonts w:hint="eastAsia"/>
          <w:snapToGrid/>
        </w:rPr>
        <w:t>册；</w:t>
      </w:r>
    </w:p>
    <w:p w:rsidR="00000000" w:rsidRDefault="009C1C61">
      <w:pPr>
        <w:numPr>
          <w:ilvl w:val="0"/>
          <w:numId w:val="342"/>
        </w:numPr>
        <w:rPr>
          <w:snapToGrid/>
        </w:rPr>
      </w:pPr>
      <w:r>
        <w:rPr>
          <w:rFonts w:hint="eastAsia"/>
          <w:snapToGrid/>
        </w:rPr>
        <w:t>在智利全境的所有中学建立由国家资助的学习辅助工具中心，提供书籍、杂志、期刊、手册、百科全书和字典、录像带、盒式磁带、光盘和其他媒介，以及专门的设备和基础设施；</w:t>
      </w:r>
    </w:p>
    <w:p w:rsidR="00000000" w:rsidRDefault="009C1C61">
      <w:pPr>
        <w:numPr>
          <w:ilvl w:val="0"/>
          <w:numId w:val="342"/>
        </w:numPr>
        <w:spacing w:after="320"/>
        <w:rPr>
          <w:snapToGrid/>
        </w:rPr>
      </w:pPr>
      <w:r>
        <w:rPr>
          <w:rFonts w:hint="eastAsia"/>
          <w:snapToGrid/>
        </w:rPr>
        <w:t>学校计算机网络捆扎方案在所有中学和半数的小学设立了计算机实验室，让学员上网，制作和提供适当的软件，并且培训教师使用教育技术。捆扎网络是用于为新世代服务的强有力而且影响深远的文化</w:t>
      </w:r>
      <w:r>
        <w:rPr>
          <w:rFonts w:hint="eastAsia"/>
          <w:snapToGrid/>
        </w:rPr>
        <w:t>和科学通讯手段。</w:t>
      </w:r>
    </w:p>
    <w:p w:rsidR="00000000" w:rsidRDefault="009C1C61">
      <w:pPr>
        <w:pStyle w:val="Heading4"/>
        <w:rPr>
          <w:rFonts w:eastAsia="SimHei" w:hint="eastAsia"/>
          <w:u w:val="none"/>
        </w:rPr>
      </w:pPr>
      <w:r>
        <w:rPr>
          <w:rFonts w:eastAsia="SimHei" w:hint="eastAsia"/>
          <w:u w:val="none"/>
        </w:rPr>
        <w:t>促进对科学研究和创作活动的自由享受，包括创造这些活动的一切必要条件和设施</w:t>
      </w:r>
    </w:p>
    <w:p w:rsidR="00000000" w:rsidRDefault="009C1C61">
      <w:pPr>
        <w:rPr>
          <w:snapToGrid/>
        </w:rPr>
      </w:pPr>
      <w:r>
        <w:rPr>
          <w:b/>
          <w:bCs/>
          <w:snapToGrid/>
        </w:rPr>
        <w:tab/>
      </w:r>
      <w:r>
        <w:rPr>
          <w:snapToGrid/>
        </w:rPr>
        <w:t xml:space="preserve">886.  </w:t>
      </w:r>
      <w:r>
        <w:rPr>
          <w:rFonts w:hint="eastAsia"/>
          <w:snapToGrid/>
        </w:rPr>
        <w:t>《教育组织法》明确承认，科学研究自由是高等教育机构行政和学术独立的固有要素。国家为了创立必要的条件和设施而实行旨在扩充和改善基础、中等和高等教育的教育政策、在课程大纲中列入与科学、人文学科和艺术有关的目标和题材，同时实行上面阐述过的科学和文化政策。</w:t>
      </w:r>
    </w:p>
    <w:p w:rsidR="00000000" w:rsidRDefault="009C1C61">
      <w:pPr>
        <w:spacing w:after="320"/>
        <w:rPr>
          <w:rFonts w:hint="eastAsia"/>
          <w:snapToGrid/>
        </w:rPr>
      </w:pPr>
      <w:r>
        <w:rPr>
          <w:snapToGrid/>
        </w:rPr>
        <w:tab/>
        <w:t xml:space="preserve">887.  </w:t>
      </w:r>
      <w:r>
        <w:rPr>
          <w:rFonts w:hint="eastAsia"/>
          <w:snapToGrid/>
        </w:rPr>
        <w:t>除了上述事项以外，法律实体和私人个人也在产生科学知识和艺术作品的过程中进行合作或给予鼓励。私人捐款部分通过国家倡议和机制予以激励，例如由国家对</w:t>
      </w:r>
      <w:r>
        <w:rPr>
          <w:rFonts w:hint="eastAsia"/>
          <w:snapToGrid/>
        </w:rPr>
        <w:t>用于文化或教育目的的捐款给予税率奖励，部分也由工商业、大学和国家合力推动科学和技术研究加以促进。</w:t>
      </w:r>
    </w:p>
    <w:p w:rsidR="00000000" w:rsidRDefault="009C1C61">
      <w:pPr>
        <w:pStyle w:val="Heading4"/>
        <w:rPr>
          <w:rFonts w:eastAsia="SimHei"/>
          <w:u w:val="none"/>
        </w:rPr>
      </w:pPr>
      <w:r>
        <w:rPr>
          <w:rFonts w:eastAsia="SimHei" w:hint="eastAsia"/>
          <w:u w:val="none"/>
        </w:rPr>
        <w:t>采取措施确保科学家、作家、创作工作者、艺术家和其他创作人及其机构自由交流科学、技术和文化信息、见解和经验</w:t>
      </w:r>
    </w:p>
    <w:p w:rsidR="00000000" w:rsidRDefault="009C1C61">
      <w:pPr>
        <w:spacing w:after="320"/>
        <w:rPr>
          <w:snapToGrid/>
        </w:rPr>
      </w:pPr>
      <w:r>
        <w:rPr>
          <w:b/>
          <w:bCs/>
          <w:snapToGrid/>
        </w:rPr>
        <w:tab/>
      </w:r>
      <w:r>
        <w:rPr>
          <w:snapToGrid/>
        </w:rPr>
        <w:t xml:space="preserve">888.  </w:t>
      </w:r>
      <w:r>
        <w:rPr>
          <w:rFonts w:hint="eastAsia"/>
          <w:snapToGrid/>
        </w:rPr>
        <w:t>在实行法治的民主制度中，根据法律规定，科学家和创作艺术家之间的交流自由不受禁止。在智利，见解自由和新闻自由包括创办、出版和经营报纸、杂志和期刊的自由，一律受到尊重，不会受到事先审查。同样也有集会和结社自由。文化方面的上述利益攸关者所能够使用的交流领域和机制在不受法律或政治限制的情况下发挥作用。</w:t>
      </w:r>
    </w:p>
    <w:p w:rsidR="00000000" w:rsidRDefault="009C1C61">
      <w:pPr>
        <w:pStyle w:val="Heading4"/>
        <w:rPr>
          <w:rFonts w:eastAsia="SimHei" w:hint="eastAsia"/>
          <w:u w:val="none"/>
        </w:rPr>
      </w:pPr>
      <w:r>
        <w:rPr>
          <w:rFonts w:eastAsia="SimHei" w:hint="eastAsia"/>
          <w:u w:val="none"/>
        </w:rPr>
        <w:t>采取措施支持文化协会、科学研究机构、专业协会、工人协会和从事科学研究和创作活动的其他组织和机构</w:t>
      </w:r>
    </w:p>
    <w:p w:rsidR="00000000" w:rsidRDefault="009C1C61">
      <w:pPr>
        <w:rPr>
          <w:snapToGrid/>
        </w:rPr>
      </w:pPr>
      <w:r>
        <w:rPr>
          <w:snapToGrid/>
        </w:rPr>
        <w:tab/>
        <w:t xml:space="preserve">889.  </w:t>
      </w:r>
      <w:r>
        <w:rPr>
          <w:rFonts w:hint="eastAsia"/>
          <w:snapToGrid/>
        </w:rPr>
        <w:t>在支助上述机构方面，除了由国家给予智利研究院补助金以外，尚无任何主要政策，智利研究院包括研究自然科学、社会科学和人文科学的若干有选择性的研究所，由限定名额的科学工作者和知识分子组成。科技研委会也为科学团体举办的学术会议提供小额经费，但不资助这些机构的业务活动费用。</w:t>
      </w:r>
    </w:p>
    <w:p w:rsidR="00000000" w:rsidRDefault="009C1C61">
      <w:pPr>
        <w:rPr>
          <w:snapToGrid/>
        </w:rPr>
      </w:pPr>
      <w:r>
        <w:rPr>
          <w:snapToGrid/>
        </w:rPr>
        <w:tab/>
        <w:t xml:space="preserve">890.  </w:t>
      </w:r>
      <w:r>
        <w:rPr>
          <w:rFonts w:hint="eastAsia"/>
          <w:snapToGrid/>
        </w:rPr>
        <w:t>在文学、音乐、视觉艺术、表演艺术或其他方面，国家没有对创作艺术家协会提供任何永久性支助。</w:t>
      </w:r>
    </w:p>
    <w:p w:rsidR="00000000" w:rsidRDefault="009C1C61">
      <w:pPr>
        <w:pStyle w:val="Heading2"/>
        <w:rPr>
          <w:rFonts w:hint="eastAsia"/>
        </w:rPr>
      </w:pPr>
      <w:r>
        <w:rPr>
          <w:b/>
          <w:bCs/>
        </w:rPr>
        <w:br w:type="page"/>
      </w:r>
      <w:r>
        <w:rPr>
          <w:rFonts w:hint="eastAsia"/>
        </w:rPr>
        <w:t>附</w:t>
      </w:r>
      <w:r>
        <w:rPr>
          <w:rFonts w:hint="eastAsia"/>
        </w:rPr>
        <w:t xml:space="preserve"> </w:t>
      </w:r>
      <w:r>
        <w:rPr>
          <w:rFonts w:hint="eastAsia"/>
        </w:rPr>
        <w:t>件</w:t>
      </w:r>
      <w:r>
        <w:rPr>
          <w:rFonts w:hint="eastAsia"/>
        </w:rPr>
        <w:t xml:space="preserve"> </w:t>
      </w:r>
      <w:r>
        <w:rPr>
          <w:rFonts w:hint="eastAsia"/>
        </w:rPr>
        <w:t>一</w:t>
      </w:r>
    </w:p>
    <w:p w:rsidR="00000000" w:rsidRDefault="009C1C61">
      <w:pPr>
        <w:pStyle w:val="Heading3"/>
        <w:rPr>
          <w:rFonts w:hint="eastAsia"/>
        </w:rPr>
      </w:pPr>
      <w:r>
        <w:rPr>
          <w:rFonts w:hint="eastAsia"/>
        </w:rPr>
        <w:t>报告使用的缩略语</w:t>
      </w:r>
    </w:p>
    <w:tbl>
      <w:tblPr>
        <w:tblW w:w="0" w:type="auto"/>
        <w:tblCellMar>
          <w:left w:w="28" w:type="dxa"/>
          <w:right w:w="28" w:type="dxa"/>
        </w:tblCellMar>
        <w:tblLook w:val="0000" w:firstRow="0" w:lastRow="0" w:firstColumn="0" w:lastColumn="0" w:noHBand="0" w:noVBand="0"/>
      </w:tblPr>
      <w:tblGrid>
        <w:gridCol w:w="1960"/>
        <w:gridCol w:w="2168"/>
        <w:gridCol w:w="5282"/>
      </w:tblGrid>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养管公司</w:t>
            </w:r>
          </w:p>
        </w:tc>
        <w:tc>
          <w:tcPr>
            <w:tcW w:w="2168" w:type="dxa"/>
          </w:tcPr>
          <w:p w:rsidR="00000000" w:rsidRDefault="009C1C61">
            <w:pPr>
              <w:spacing w:before="120" w:line="240" w:lineRule="auto"/>
              <w:rPr>
                <w:rFonts w:hint="eastAsia"/>
                <w:snapToGrid/>
              </w:rPr>
            </w:pPr>
            <w:r>
              <w:rPr>
                <w:snapToGrid/>
              </w:rPr>
              <w:t>AFP</w:t>
            </w:r>
            <w:r>
              <w:rPr>
                <w:snapToGrid/>
              </w:rPr>
              <w:tab/>
            </w:r>
          </w:p>
        </w:tc>
        <w:tc>
          <w:tcPr>
            <w:tcW w:w="5282" w:type="dxa"/>
          </w:tcPr>
          <w:p w:rsidR="00000000" w:rsidRDefault="009C1C61">
            <w:pPr>
              <w:spacing w:before="120" w:line="240" w:lineRule="auto"/>
              <w:rPr>
                <w:rFonts w:hint="eastAsia"/>
                <w:snapToGrid/>
              </w:rPr>
            </w:pPr>
            <w:r>
              <w:rPr>
                <w:rFonts w:hint="eastAsia"/>
                <w:snapToGrid/>
              </w:rPr>
              <w:t>养恤基金管理公司</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艾滋病</w:t>
            </w:r>
          </w:p>
        </w:tc>
        <w:tc>
          <w:tcPr>
            <w:tcW w:w="2168" w:type="dxa"/>
          </w:tcPr>
          <w:p w:rsidR="00000000" w:rsidRDefault="009C1C61">
            <w:pPr>
              <w:spacing w:before="120" w:line="240" w:lineRule="auto"/>
              <w:rPr>
                <w:snapToGrid/>
              </w:rPr>
            </w:pPr>
            <w:r>
              <w:rPr>
                <w:snapToGrid/>
              </w:rPr>
              <w:t>AIDS</w:t>
            </w:r>
          </w:p>
        </w:tc>
        <w:tc>
          <w:tcPr>
            <w:tcW w:w="5282" w:type="dxa"/>
          </w:tcPr>
          <w:p w:rsidR="00000000" w:rsidRDefault="009C1C61">
            <w:pPr>
              <w:spacing w:before="120" w:line="240" w:lineRule="auto"/>
              <w:rPr>
                <w:rFonts w:hint="eastAsia"/>
                <w:snapToGrid/>
              </w:rPr>
            </w:pPr>
            <w:r>
              <w:rPr>
                <w:rFonts w:hint="eastAsia"/>
                <w:snapToGrid/>
              </w:rPr>
              <w:t>后天免疫缺损综合症</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心残者亲友协</w:t>
            </w:r>
          </w:p>
        </w:tc>
        <w:tc>
          <w:tcPr>
            <w:tcW w:w="2168" w:type="dxa"/>
          </w:tcPr>
          <w:p w:rsidR="00000000" w:rsidRDefault="009C1C61">
            <w:pPr>
              <w:spacing w:before="120" w:line="240" w:lineRule="auto"/>
              <w:rPr>
                <w:snapToGrid/>
              </w:rPr>
            </w:pPr>
            <w:r>
              <w:rPr>
                <w:snapToGrid/>
              </w:rPr>
              <w:t>ANAFADIS</w:t>
            </w:r>
          </w:p>
        </w:tc>
        <w:tc>
          <w:tcPr>
            <w:tcW w:w="5282" w:type="dxa"/>
          </w:tcPr>
          <w:p w:rsidR="00000000" w:rsidRDefault="009C1C61">
            <w:pPr>
              <w:spacing w:before="120" w:line="240" w:lineRule="auto"/>
              <w:rPr>
                <w:rFonts w:hint="eastAsia"/>
                <w:snapToGrid/>
              </w:rPr>
            </w:pPr>
            <w:r>
              <w:rPr>
                <w:rFonts w:hint="eastAsia"/>
                <w:snapToGrid/>
              </w:rPr>
              <w:t>全国心理残疾者亲友协会</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亚太经合组织</w:t>
            </w:r>
          </w:p>
        </w:tc>
        <w:tc>
          <w:tcPr>
            <w:tcW w:w="2168" w:type="dxa"/>
          </w:tcPr>
          <w:p w:rsidR="00000000" w:rsidRDefault="009C1C61">
            <w:pPr>
              <w:spacing w:before="120" w:line="240" w:lineRule="auto"/>
              <w:rPr>
                <w:snapToGrid/>
              </w:rPr>
            </w:pPr>
            <w:r>
              <w:rPr>
                <w:snapToGrid/>
              </w:rPr>
              <w:t>APEC</w:t>
            </w:r>
          </w:p>
        </w:tc>
        <w:tc>
          <w:tcPr>
            <w:tcW w:w="5282" w:type="dxa"/>
          </w:tcPr>
          <w:p w:rsidR="00000000" w:rsidRDefault="009C1C61">
            <w:pPr>
              <w:spacing w:before="120" w:line="240" w:lineRule="auto"/>
              <w:rPr>
                <w:rFonts w:hint="eastAsia"/>
                <w:snapToGrid/>
              </w:rPr>
            </w:pPr>
            <w:r>
              <w:rPr>
                <w:rFonts w:hint="eastAsia"/>
                <w:snapToGrid/>
              </w:rPr>
              <w:t>亚洲及太平洋经济合作组织</w:t>
            </w:r>
          </w:p>
        </w:tc>
      </w:tr>
      <w:tr w:rsidR="00000000">
        <w:tblPrEx>
          <w:tblCellMar>
            <w:top w:w="0" w:type="dxa"/>
            <w:bottom w:w="0" w:type="dxa"/>
          </w:tblCellMar>
        </w:tblPrEx>
        <w:tc>
          <w:tcPr>
            <w:tcW w:w="1960" w:type="dxa"/>
          </w:tcPr>
          <w:p w:rsidR="00000000" w:rsidRDefault="009C1C61">
            <w:pPr>
              <w:spacing w:before="120" w:line="240" w:lineRule="auto"/>
              <w:rPr>
                <w:iCs/>
                <w:snapToGrid/>
              </w:rPr>
            </w:pPr>
            <w:r>
              <w:rPr>
                <w:rFonts w:hint="eastAsia"/>
                <w:snapToGrid/>
              </w:rPr>
              <w:t>机会普及</w:t>
            </w:r>
          </w:p>
        </w:tc>
        <w:tc>
          <w:tcPr>
            <w:tcW w:w="2168" w:type="dxa"/>
          </w:tcPr>
          <w:p w:rsidR="00000000" w:rsidRDefault="009C1C61">
            <w:pPr>
              <w:spacing w:before="120" w:line="240" w:lineRule="auto"/>
              <w:rPr>
                <w:iCs/>
                <w:snapToGrid/>
              </w:rPr>
            </w:pPr>
            <w:r>
              <w:rPr>
                <w:iCs/>
                <w:snapToGrid/>
              </w:rPr>
              <w:t>AUGE</w:t>
            </w:r>
          </w:p>
        </w:tc>
        <w:tc>
          <w:tcPr>
            <w:tcW w:w="5282" w:type="dxa"/>
          </w:tcPr>
          <w:p w:rsidR="00000000" w:rsidRDefault="009C1C61">
            <w:pPr>
              <w:spacing w:before="120" w:line="240" w:lineRule="auto"/>
              <w:rPr>
                <w:rFonts w:hint="eastAsia"/>
                <w:snapToGrid/>
              </w:rPr>
            </w:pPr>
            <w:r>
              <w:rPr>
                <w:rFonts w:hint="eastAsia"/>
                <w:snapToGrid/>
              </w:rPr>
              <w:t>有明确保障的机会普及</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寿损年份</w:t>
            </w:r>
          </w:p>
        </w:tc>
        <w:tc>
          <w:tcPr>
            <w:tcW w:w="2168" w:type="dxa"/>
          </w:tcPr>
          <w:p w:rsidR="00000000" w:rsidRDefault="009C1C61">
            <w:pPr>
              <w:spacing w:before="120" w:line="240" w:lineRule="auto"/>
              <w:rPr>
                <w:snapToGrid/>
              </w:rPr>
            </w:pPr>
            <w:r>
              <w:rPr>
                <w:snapToGrid/>
              </w:rPr>
              <w:t>AVPP</w:t>
            </w:r>
          </w:p>
        </w:tc>
        <w:tc>
          <w:tcPr>
            <w:tcW w:w="5282" w:type="dxa"/>
          </w:tcPr>
          <w:p w:rsidR="00000000" w:rsidRDefault="009C1C61">
            <w:pPr>
              <w:spacing w:before="120" w:line="240" w:lineRule="auto"/>
              <w:rPr>
                <w:rFonts w:hint="eastAsia"/>
                <w:snapToGrid/>
              </w:rPr>
            </w:pPr>
            <w:r>
              <w:rPr>
                <w:rFonts w:hint="eastAsia"/>
                <w:snapToGrid/>
              </w:rPr>
              <w:t>潜在寿命损失年份</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社经特征调查</w:t>
            </w:r>
          </w:p>
        </w:tc>
        <w:tc>
          <w:tcPr>
            <w:tcW w:w="2168" w:type="dxa"/>
          </w:tcPr>
          <w:p w:rsidR="00000000" w:rsidRDefault="009C1C61">
            <w:pPr>
              <w:spacing w:before="120" w:line="240" w:lineRule="auto"/>
              <w:rPr>
                <w:rFonts w:hint="eastAsia"/>
                <w:snapToGrid/>
              </w:rPr>
            </w:pPr>
            <w:r>
              <w:rPr>
                <w:snapToGrid/>
              </w:rPr>
              <w:t>CASEN</w:t>
            </w:r>
          </w:p>
        </w:tc>
        <w:tc>
          <w:tcPr>
            <w:tcW w:w="5282" w:type="dxa"/>
          </w:tcPr>
          <w:p w:rsidR="00000000" w:rsidRDefault="009C1C61">
            <w:pPr>
              <w:spacing w:before="120" w:line="240" w:lineRule="auto"/>
              <w:rPr>
                <w:rFonts w:hint="eastAsia"/>
                <w:snapToGrid/>
              </w:rPr>
            </w:pPr>
            <w:r>
              <w:rPr>
                <w:rFonts w:hint="eastAsia"/>
                <w:snapToGrid/>
              </w:rPr>
              <w:t>对全国的社会经济特征的调查。这项调查定期举行，研究家庭和人口的社会经济情况，评估国家社会方案的针对性和再分配效力，协助拟订和评价社会政策。调查在国家、地区和城乡各级进行，涉及全国的所有家庭。此种调查从</w:t>
            </w:r>
            <w:r>
              <w:rPr>
                <w:rFonts w:hint="eastAsia"/>
                <w:snapToGrid/>
              </w:rPr>
              <w:t>1985</w:t>
            </w:r>
            <w:r>
              <w:rPr>
                <w:rFonts w:hint="eastAsia"/>
                <w:snapToGrid/>
              </w:rPr>
              <w:t>年</w:t>
            </w:r>
            <w:r>
              <w:rPr>
                <w:rFonts w:hint="eastAsia"/>
                <w:snapToGrid/>
              </w:rPr>
              <w:t>起每两年进行一次，但</w:t>
            </w:r>
            <w:r>
              <w:rPr>
                <w:rFonts w:hint="eastAsia"/>
                <w:snapToGrid/>
              </w:rPr>
              <w:t>1989</w:t>
            </w:r>
            <w:r>
              <w:rPr>
                <w:rFonts w:hint="eastAsia"/>
                <w:snapToGrid/>
              </w:rPr>
              <w:t>年除外，该年的调查在</w:t>
            </w:r>
            <w:r>
              <w:rPr>
                <w:rFonts w:hint="eastAsia"/>
                <w:snapToGrid/>
              </w:rPr>
              <w:t>1990</w:t>
            </w:r>
            <w:r>
              <w:rPr>
                <w:rFonts w:hint="eastAsia"/>
                <w:snapToGrid/>
              </w:rPr>
              <w:t>年进行。</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中供机构</w:t>
            </w:r>
          </w:p>
        </w:tc>
        <w:tc>
          <w:tcPr>
            <w:tcW w:w="2168" w:type="dxa"/>
          </w:tcPr>
          <w:p w:rsidR="00000000" w:rsidRDefault="009C1C61">
            <w:pPr>
              <w:spacing w:before="120" w:line="240" w:lineRule="auto"/>
              <w:rPr>
                <w:snapToGrid/>
              </w:rPr>
            </w:pPr>
            <w:r>
              <w:rPr>
                <w:snapToGrid/>
              </w:rPr>
              <w:t>CENABAST</w:t>
            </w:r>
          </w:p>
        </w:tc>
        <w:tc>
          <w:tcPr>
            <w:tcW w:w="5282" w:type="dxa"/>
          </w:tcPr>
          <w:p w:rsidR="00000000" w:rsidRDefault="009C1C61">
            <w:pPr>
              <w:spacing w:before="120" w:line="240" w:lineRule="auto"/>
              <w:rPr>
                <w:rFonts w:hint="eastAsia"/>
                <w:snapToGrid/>
              </w:rPr>
            </w:pPr>
            <w:r>
              <w:rPr>
                <w:rFonts w:hint="eastAsia"/>
                <w:snapToGrid/>
              </w:rPr>
              <w:t>中央供应机构</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土发公司</w:t>
            </w:r>
          </w:p>
        </w:tc>
        <w:tc>
          <w:tcPr>
            <w:tcW w:w="2168" w:type="dxa"/>
          </w:tcPr>
          <w:p w:rsidR="00000000" w:rsidRDefault="009C1C61">
            <w:pPr>
              <w:spacing w:before="120" w:line="240" w:lineRule="auto"/>
              <w:rPr>
                <w:snapToGrid/>
              </w:rPr>
            </w:pPr>
            <w:r>
              <w:rPr>
                <w:snapToGrid/>
              </w:rPr>
              <w:t>CONADI</w:t>
            </w:r>
          </w:p>
        </w:tc>
        <w:tc>
          <w:tcPr>
            <w:tcW w:w="5282" w:type="dxa"/>
          </w:tcPr>
          <w:p w:rsidR="00000000" w:rsidRDefault="009C1C61">
            <w:pPr>
              <w:spacing w:before="120" w:line="240" w:lineRule="auto"/>
              <w:rPr>
                <w:rFonts w:hint="eastAsia"/>
                <w:snapToGrid/>
              </w:rPr>
            </w:pPr>
            <w:r>
              <w:rPr>
                <w:rFonts w:hint="eastAsia"/>
                <w:snapToGrid/>
              </w:rPr>
              <w:t>全国土著发展公司</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环委会</w:t>
            </w:r>
          </w:p>
        </w:tc>
        <w:tc>
          <w:tcPr>
            <w:tcW w:w="2168" w:type="dxa"/>
          </w:tcPr>
          <w:p w:rsidR="00000000" w:rsidRDefault="009C1C61">
            <w:pPr>
              <w:spacing w:before="120" w:line="240" w:lineRule="auto"/>
              <w:rPr>
                <w:snapToGrid/>
              </w:rPr>
            </w:pPr>
            <w:r>
              <w:rPr>
                <w:snapToGrid/>
              </w:rPr>
              <w:t>CONAMA</w:t>
            </w:r>
          </w:p>
        </w:tc>
        <w:tc>
          <w:tcPr>
            <w:tcW w:w="5282" w:type="dxa"/>
          </w:tcPr>
          <w:p w:rsidR="00000000" w:rsidRDefault="009C1C61">
            <w:pPr>
              <w:spacing w:before="120" w:line="240" w:lineRule="auto"/>
              <w:rPr>
                <w:rFonts w:hint="eastAsia"/>
                <w:snapToGrid/>
              </w:rPr>
            </w:pPr>
            <w:r>
              <w:rPr>
                <w:rFonts w:hint="eastAsia"/>
                <w:snapToGrid/>
              </w:rPr>
              <w:t>全国环境委员会</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保老局</w:t>
            </w:r>
          </w:p>
        </w:tc>
        <w:tc>
          <w:tcPr>
            <w:tcW w:w="2168" w:type="dxa"/>
          </w:tcPr>
          <w:p w:rsidR="00000000" w:rsidRDefault="009C1C61">
            <w:pPr>
              <w:spacing w:before="120" w:line="240" w:lineRule="auto"/>
              <w:rPr>
                <w:rFonts w:hint="eastAsia"/>
                <w:snapToGrid/>
              </w:rPr>
            </w:pPr>
            <w:r>
              <w:rPr>
                <w:snapToGrid/>
              </w:rPr>
              <w:t>CONAPRAN</w:t>
            </w:r>
          </w:p>
        </w:tc>
        <w:tc>
          <w:tcPr>
            <w:tcW w:w="5282" w:type="dxa"/>
          </w:tcPr>
          <w:p w:rsidR="00000000" w:rsidRDefault="009C1C61">
            <w:pPr>
              <w:spacing w:before="120" w:line="240" w:lineRule="auto"/>
              <w:rPr>
                <w:rFonts w:hint="eastAsia"/>
                <w:snapToGrid/>
              </w:rPr>
            </w:pPr>
            <w:r>
              <w:rPr>
                <w:rFonts w:hint="eastAsia"/>
                <w:snapToGrid/>
              </w:rPr>
              <w:t>全国保护老年人局</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科技研委会</w:t>
            </w:r>
          </w:p>
        </w:tc>
        <w:tc>
          <w:tcPr>
            <w:tcW w:w="2168" w:type="dxa"/>
          </w:tcPr>
          <w:p w:rsidR="00000000" w:rsidRDefault="009C1C61">
            <w:pPr>
              <w:spacing w:before="120" w:line="240" w:lineRule="auto"/>
              <w:rPr>
                <w:rFonts w:hint="eastAsia"/>
                <w:snapToGrid/>
              </w:rPr>
            </w:pPr>
            <w:r>
              <w:rPr>
                <w:snapToGrid/>
              </w:rPr>
              <w:t>CONICYT</w:t>
            </w:r>
          </w:p>
        </w:tc>
        <w:tc>
          <w:tcPr>
            <w:tcW w:w="5282" w:type="dxa"/>
          </w:tcPr>
          <w:p w:rsidR="00000000" w:rsidRDefault="009C1C61">
            <w:pPr>
              <w:spacing w:before="120" w:line="240" w:lineRule="auto"/>
              <w:rPr>
                <w:rFonts w:hint="eastAsia"/>
                <w:snapToGrid/>
              </w:rPr>
            </w:pPr>
            <w:r>
              <w:rPr>
                <w:rFonts w:hint="eastAsia"/>
                <w:snapToGrid/>
              </w:rPr>
              <w:t>国家科学和技术研究委员会</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消费者物价指数</w:t>
            </w:r>
          </w:p>
        </w:tc>
        <w:tc>
          <w:tcPr>
            <w:tcW w:w="2168" w:type="dxa"/>
          </w:tcPr>
          <w:p w:rsidR="00000000" w:rsidRDefault="009C1C61">
            <w:pPr>
              <w:spacing w:before="120" w:line="240" w:lineRule="auto"/>
              <w:rPr>
                <w:snapToGrid/>
              </w:rPr>
            </w:pPr>
            <w:r>
              <w:rPr>
                <w:snapToGrid/>
              </w:rPr>
              <w:t>CPI</w:t>
            </w:r>
          </w:p>
        </w:tc>
        <w:tc>
          <w:tcPr>
            <w:tcW w:w="5282" w:type="dxa"/>
          </w:tcPr>
          <w:p w:rsidR="00000000" w:rsidRDefault="009C1C61">
            <w:pPr>
              <w:spacing w:before="120" w:line="240" w:lineRule="auto"/>
              <w:rPr>
                <w:rFonts w:hint="eastAsia"/>
                <w:snapToGrid/>
                <w:spacing w:val="6"/>
              </w:rPr>
            </w:pPr>
            <w:r>
              <w:rPr>
                <w:rFonts w:hint="eastAsia"/>
                <w:snapToGrid/>
                <w:spacing w:val="6"/>
              </w:rPr>
              <w:t>消费者物价指数</w:t>
            </w:r>
            <w:r>
              <w:rPr>
                <w:rFonts w:hint="eastAsia"/>
                <w:snapToGrid/>
                <w:spacing w:val="-50"/>
                <w:lang w:val="fr-CH"/>
              </w:rPr>
              <w:t>―</w:t>
            </w:r>
            <w:r>
              <w:rPr>
                <w:rFonts w:hint="eastAsia"/>
                <w:snapToGrid/>
                <w:spacing w:val="6"/>
                <w:lang w:val="fr-CH"/>
              </w:rPr>
              <w:t>―</w:t>
            </w:r>
            <w:r>
              <w:rPr>
                <w:rFonts w:hint="eastAsia"/>
                <w:snapToGrid/>
                <w:spacing w:val="6"/>
              </w:rPr>
              <w:t>计算某月至下个月的生活费变动</w:t>
            </w:r>
            <w:r>
              <w:rPr>
                <w:rFonts w:hint="eastAsia"/>
                <w:snapToGrid/>
                <w:spacing w:val="6"/>
              </w:rPr>
              <w:t>(</w:t>
            </w:r>
            <w:r>
              <w:rPr>
                <w:rFonts w:hint="eastAsia"/>
                <w:snapToGrid/>
                <w:spacing w:val="6"/>
              </w:rPr>
              <w:t>某个月至下个月的通货膨胀或通货紧缩</w:t>
            </w:r>
            <w:r>
              <w:rPr>
                <w:rFonts w:hint="eastAsia"/>
                <w:snapToGrid/>
                <w:spacing w:val="6"/>
              </w:rPr>
              <w:t>)</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图档博三馆部</w:t>
            </w:r>
          </w:p>
        </w:tc>
        <w:tc>
          <w:tcPr>
            <w:tcW w:w="2168" w:type="dxa"/>
          </w:tcPr>
          <w:p w:rsidR="00000000" w:rsidRDefault="009C1C61">
            <w:pPr>
              <w:spacing w:before="120" w:line="240" w:lineRule="auto"/>
              <w:rPr>
                <w:snapToGrid/>
              </w:rPr>
            </w:pPr>
            <w:r>
              <w:rPr>
                <w:snapToGrid/>
              </w:rPr>
              <w:t>DIBAM</w:t>
            </w:r>
          </w:p>
        </w:tc>
        <w:tc>
          <w:tcPr>
            <w:tcW w:w="5282" w:type="dxa"/>
          </w:tcPr>
          <w:p w:rsidR="00000000" w:rsidRDefault="009C1C61">
            <w:pPr>
              <w:spacing w:before="120" w:line="240" w:lineRule="auto"/>
              <w:rPr>
                <w:rFonts w:hint="eastAsia"/>
                <w:snapToGrid/>
              </w:rPr>
            </w:pPr>
            <w:r>
              <w:rPr>
                <w:rFonts w:hint="eastAsia"/>
                <w:snapToGrid/>
              </w:rPr>
              <w:t>图书馆、档案馆和博物馆部</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拉加经委会</w:t>
            </w:r>
          </w:p>
        </w:tc>
        <w:tc>
          <w:tcPr>
            <w:tcW w:w="2168" w:type="dxa"/>
          </w:tcPr>
          <w:p w:rsidR="00000000" w:rsidRDefault="009C1C61">
            <w:pPr>
              <w:spacing w:before="120" w:line="240" w:lineRule="auto"/>
              <w:rPr>
                <w:rFonts w:hint="eastAsia"/>
                <w:snapToGrid/>
              </w:rPr>
            </w:pPr>
            <w:r>
              <w:rPr>
                <w:snapToGrid/>
              </w:rPr>
              <w:t>ECLAC</w:t>
            </w:r>
          </w:p>
        </w:tc>
        <w:tc>
          <w:tcPr>
            <w:tcW w:w="5282" w:type="dxa"/>
          </w:tcPr>
          <w:p w:rsidR="00000000" w:rsidRDefault="009C1C61">
            <w:pPr>
              <w:spacing w:before="120" w:line="240" w:lineRule="auto"/>
              <w:rPr>
                <w:rFonts w:hint="eastAsia"/>
                <w:snapToGrid/>
              </w:rPr>
            </w:pPr>
            <w:r>
              <w:rPr>
                <w:rFonts w:hint="eastAsia"/>
                <w:snapToGrid/>
              </w:rPr>
              <w:t>拉丁美洲和加勒比地区经济</w:t>
            </w:r>
            <w:r>
              <w:rPr>
                <w:rFonts w:hint="eastAsia"/>
                <w:snapToGrid/>
              </w:rPr>
              <w:t>委员会</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文助基金</w:t>
            </w:r>
          </w:p>
        </w:tc>
        <w:tc>
          <w:tcPr>
            <w:tcW w:w="2168" w:type="dxa"/>
          </w:tcPr>
          <w:p w:rsidR="00000000" w:rsidRDefault="009C1C61">
            <w:pPr>
              <w:spacing w:before="120" w:line="240" w:lineRule="auto"/>
              <w:rPr>
                <w:rFonts w:hint="eastAsia"/>
                <w:snapToGrid/>
              </w:rPr>
            </w:pPr>
            <w:r>
              <w:rPr>
                <w:snapToGrid/>
              </w:rPr>
              <w:t>FAIR</w:t>
            </w:r>
          </w:p>
        </w:tc>
        <w:tc>
          <w:tcPr>
            <w:tcW w:w="5282" w:type="dxa"/>
          </w:tcPr>
          <w:p w:rsidR="00000000" w:rsidRDefault="009C1C61">
            <w:pPr>
              <w:spacing w:before="120" w:line="240" w:lineRule="auto"/>
              <w:rPr>
                <w:rFonts w:hint="eastAsia"/>
                <w:snapToGrid/>
              </w:rPr>
            </w:pPr>
            <w:r>
              <w:rPr>
                <w:rFonts w:hint="eastAsia"/>
                <w:snapToGrid/>
              </w:rPr>
              <w:t>区域文化倡议支助基金</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残疾基金</w:t>
            </w:r>
          </w:p>
        </w:tc>
        <w:tc>
          <w:tcPr>
            <w:tcW w:w="2168" w:type="dxa"/>
          </w:tcPr>
          <w:p w:rsidR="00000000" w:rsidRDefault="009C1C61">
            <w:pPr>
              <w:spacing w:before="120" w:line="240" w:lineRule="auto"/>
              <w:rPr>
                <w:snapToGrid/>
              </w:rPr>
            </w:pPr>
            <w:r>
              <w:rPr>
                <w:snapToGrid/>
              </w:rPr>
              <w:t>FONADIS</w:t>
            </w:r>
          </w:p>
        </w:tc>
        <w:tc>
          <w:tcPr>
            <w:tcW w:w="5282" w:type="dxa"/>
          </w:tcPr>
          <w:p w:rsidR="00000000" w:rsidRDefault="009C1C61">
            <w:pPr>
              <w:spacing w:before="120" w:line="240" w:lineRule="auto"/>
              <w:rPr>
                <w:rFonts w:hint="eastAsia"/>
                <w:snapToGrid/>
              </w:rPr>
            </w:pPr>
            <w:r>
              <w:rPr>
                <w:rFonts w:hint="eastAsia"/>
                <w:snapToGrid/>
              </w:rPr>
              <w:t>全国残疾人基金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国卫基金</w:t>
            </w:r>
          </w:p>
        </w:tc>
        <w:tc>
          <w:tcPr>
            <w:tcW w:w="2168" w:type="dxa"/>
          </w:tcPr>
          <w:p w:rsidR="00000000" w:rsidRDefault="009C1C61">
            <w:pPr>
              <w:spacing w:before="120" w:line="240" w:lineRule="auto"/>
              <w:rPr>
                <w:rFonts w:hint="eastAsia"/>
                <w:snapToGrid/>
              </w:rPr>
            </w:pPr>
            <w:r>
              <w:rPr>
                <w:snapToGrid/>
              </w:rPr>
              <w:t>FONASA</w:t>
            </w:r>
          </w:p>
        </w:tc>
        <w:tc>
          <w:tcPr>
            <w:tcW w:w="5282" w:type="dxa"/>
          </w:tcPr>
          <w:p w:rsidR="00000000" w:rsidRDefault="009C1C61">
            <w:pPr>
              <w:spacing w:before="120" w:line="240" w:lineRule="auto"/>
              <w:rPr>
                <w:rFonts w:hint="eastAsia"/>
                <w:snapToGrid/>
              </w:rPr>
            </w:pPr>
            <w:r>
              <w:rPr>
                <w:rFonts w:hint="eastAsia"/>
                <w:snapToGrid/>
              </w:rPr>
              <w:t>国家卫生基金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高研基金</w:t>
            </w:r>
          </w:p>
        </w:tc>
        <w:tc>
          <w:tcPr>
            <w:tcW w:w="2168" w:type="dxa"/>
          </w:tcPr>
          <w:p w:rsidR="00000000" w:rsidRDefault="009C1C61">
            <w:pPr>
              <w:spacing w:before="120" w:line="240" w:lineRule="auto"/>
              <w:rPr>
                <w:rFonts w:hint="eastAsia"/>
                <w:snapToGrid/>
              </w:rPr>
            </w:pPr>
            <w:r>
              <w:rPr>
                <w:snapToGrid/>
              </w:rPr>
              <w:t>FONDAP</w:t>
            </w:r>
          </w:p>
        </w:tc>
        <w:tc>
          <w:tcPr>
            <w:tcW w:w="5282" w:type="dxa"/>
          </w:tcPr>
          <w:p w:rsidR="00000000" w:rsidRDefault="009C1C61">
            <w:pPr>
              <w:spacing w:before="120" w:line="240" w:lineRule="auto"/>
              <w:rPr>
                <w:rFonts w:hint="eastAsia"/>
                <w:snapToGrid/>
              </w:rPr>
            </w:pPr>
            <w:r>
              <w:rPr>
                <w:rFonts w:hint="eastAsia"/>
                <w:snapToGrid/>
              </w:rPr>
              <w:t>优先领域高级研究基金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文发基金</w:t>
            </w:r>
          </w:p>
        </w:tc>
        <w:tc>
          <w:tcPr>
            <w:tcW w:w="2168" w:type="dxa"/>
          </w:tcPr>
          <w:p w:rsidR="00000000" w:rsidRDefault="009C1C61">
            <w:pPr>
              <w:spacing w:before="120" w:line="240" w:lineRule="auto"/>
              <w:rPr>
                <w:snapToGrid/>
              </w:rPr>
            </w:pPr>
            <w:r>
              <w:rPr>
                <w:snapToGrid/>
              </w:rPr>
              <w:t>FONDART</w:t>
            </w:r>
          </w:p>
        </w:tc>
        <w:tc>
          <w:tcPr>
            <w:tcW w:w="5282" w:type="dxa"/>
          </w:tcPr>
          <w:p w:rsidR="00000000" w:rsidRDefault="009C1C61">
            <w:pPr>
              <w:spacing w:before="120" w:line="240" w:lineRule="auto"/>
              <w:rPr>
                <w:rFonts w:hint="eastAsia"/>
                <w:snapToGrid/>
              </w:rPr>
            </w:pPr>
            <w:r>
              <w:rPr>
                <w:rFonts w:hint="eastAsia"/>
                <w:snapToGrid/>
              </w:rPr>
              <w:t>文化艺术发展基金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科技基金</w:t>
            </w:r>
          </w:p>
        </w:tc>
        <w:tc>
          <w:tcPr>
            <w:tcW w:w="2168" w:type="dxa"/>
          </w:tcPr>
          <w:p w:rsidR="00000000" w:rsidRDefault="009C1C61">
            <w:pPr>
              <w:spacing w:before="120" w:line="240" w:lineRule="auto"/>
              <w:rPr>
                <w:snapToGrid/>
              </w:rPr>
            </w:pPr>
            <w:r>
              <w:rPr>
                <w:snapToGrid/>
              </w:rPr>
              <w:t>FONDECYT</w:t>
            </w:r>
          </w:p>
        </w:tc>
        <w:tc>
          <w:tcPr>
            <w:tcW w:w="5282" w:type="dxa"/>
          </w:tcPr>
          <w:p w:rsidR="00000000" w:rsidRDefault="009C1C61">
            <w:pPr>
              <w:spacing w:before="120" w:line="240" w:lineRule="auto"/>
              <w:rPr>
                <w:rFonts w:hint="eastAsia"/>
                <w:snapToGrid/>
              </w:rPr>
            </w:pPr>
            <w:r>
              <w:rPr>
                <w:rFonts w:hint="eastAsia"/>
                <w:snapToGrid/>
              </w:rPr>
              <w:t>全国科学技术基金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科促基金</w:t>
            </w:r>
          </w:p>
        </w:tc>
        <w:tc>
          <w:tcPr>
            <w:tcW w:w="2168" w:type="dxa"/>
          </w:tcPr>
          <w:p w:rsidR="00000000" w:rsidRDefault="009C1C61">
            <w:pPr>
              <w:spacing w:before="120" w:line="240" w:lineRule="auto"/>
              <w:rPr>
                <w:snapToGrid/>
              </w:rPr>
            </w:pPr>
            <w:r>
              <w:rPr>
                <w:snapToGrid/>
              </w:rPr>
              <w:t>FONDEF</w:t>
            </w:r>
            <w:r>
              <w:rPr>
                <w:snapToGrid/>
              </w:rPr>
              <w:tab/>
            </w:r>
          </w:p>
        </w:tc>
        <w:tc>
          <w:tcPr>
            <w:tcW w:w="5282" w:type="dxa"/>
          </w:tcPr>
          <w:p w:rsidR="00000000" w:rsidRDefault="009C1C61">
            <w:pPr>
              <w:spacing w:before="120" w:line="240" w:lineRule="auto"/>
              <w:rPr>
                <w:rFonts w:hint="eastAsia"/>
                <w:snapToGrid/>
              </w:rPr>
            </w:pPr>
            <w:r>
              <w:rPr>
                <w:rFonts w:hint="eastAsia"/>
                <w:snapToGrid/>
              </w:rPr>
              <w:t>促进科学技术发展基金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社援投资基金</w:t>
            </w:r>
          </w:p>
        </w:tc>
        <w:tc>
          <w:tcPr>
            <w:tcW w:w="2168" w:type="dxa"/>
          </w:tcPr>
          <w:p w:rsidR="00000000" w:rsidRDefault="009C1C61">
            <w:pPr>
              <w:spacing w:before="120" w:line="240" w:lineRule="auto"/>
              <w:rPr>
                <w:snapToGrid/>
              </w:rPr>
            </w:pPr>
            <w:r>
              <w:rPr>
                <w:snapToGrid/>
              </w:rPr>
              <w:t>FOSIS</w:t>
            </w:r>
          </w:p>
        </w:tc>
        <w:tc>
          <w:tcPr>
            <w:tcW w:w="5282" w:type="dxa"/>
          </w:tcPr>
          <w:p w:rsidR="00000000" w:rsidRDefault="009C1C61">
            <w:pPr>
              <w:spacing w:before="120" w:line="240" w:lineRule="auto"/>
              <w:rPr>
                <w:rFonts w:hint="eastAsia"/>
                <w:snapToGrid/>
              </w:rPr>
            </w:pPr>
            <w:r>
              <w:rPr>
                <w:rFonts w:hint="eastAsia"/>
                <w:snapToGrid/>
              </w:rPr>
              <w:t>社会声援和投资基金</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艾滋病毒</w:t>
            </w:r>
          </w:p>
        </w:tc>
        <w:tc>
          <w:tcPr>
            <w:tcW w:w="2168" w:type="dxa"/>
          </w:tcPr>
          <w:p w:rsidR="00000000" w:rsidRDefault="009C1C61">
            <w:pPr>
              <w:spacing w:before="120" w:line="240" w:lineRule="auto"/>
              <w:rPr>
                <w:rFonts w:hint="eastAsia"/>
                <w:snapToGrid/>
              </w:rPr>
            </w:pPr>
            <w:r>
              <w:rPr>
                <w:snapToGrid/>
              </w:rPr>
              <w:t>HIV</w:t>
            </w:r>
          </w:p>
        </w:tc>
        <w:tc>
          <w:tcPr>
            <w:tcW w:w="5282" w:type="dxa"/>
          </w:tcPr>
          <w:p w:rsidR="00000000" w:rsidRDefault="009C1C61">
            <w:pPr>
              <w:spacing w:before="120" w:line="240" w:lineRule="auto"/>
              <w:rPr>
                <w:rFonts w:hint="eastAsia"/>
                <w:snapToGrid/>
              </w:rPr>
            </w:pPr>
            <w:r>
              <w:rPr>
                <w:rFonts w:hint="eastAsia"/>
                <w:snapToGrid/>
              </w:rPr>
              <w:t>人体免疫缺损病毒</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劳工组织</w:t>
            </w:r>
          </w:p>
        </w:tc>
        <w:tc>
          <w:tcPr>
            <w:tcW w:w="2168" w:type="dxa"/>
          </w:tcPr>
          <w:p w:rsidR="00000000" w:rsidRDefault="009C1C61">
            <w:pPr>
              <w:spacing w:before="120" w:line="240" w:lineRule="auto"/>
              <w:rPr>
                <w:rFonts w:hint="eastAsia"/>
                <w:snapToGrid/>
              </w:rPr>
            </w:pPr>
            <w:r>
              <w:rPr>
                <w:snapToGrid/>
              </w:rPr>
              <w:t>ILO</w:t>
            </w:r>
          </w:p>
        </w:tc>
        <w:tc>
          <w:tcPr>
            <w:tcW w:w="5282" w:type="dxa"/>
          </w:tcPr>
          <w:p w:rsidR="00000000" w:rsidRDefault="009C1C61">
            <w:pPr>
              <w:spacing w:before="120" w:line="240" w:lineRule="auto"/>
              <w:rPr>
                <w:rFonts w:hint="eastAsia"/>
                <w:snapToGrid/>
              </w:rPr>
            </w:pPr>
            <w:r>
              <w:rPr>
                <w:rFonts w:hint="eastAsia"/>
                <w:snapToGrid/>
              </w:rPr>
              <w:t>国际劳工组织</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农发研究所</w:t>
            </w:r>
          </w:p>
        </w:tc>
        <w:tc>
          <w:tcPr>
            <w:tcW w:w="2168" w:type="dxa"/>
          </w:tcPr>
          <w:p w:rsidR="00000000" w:rsidRDefault="009C1C61">
            <w:pPr>
              <w:spacing w:before="120" w:line="240" w:lineRule="auto"/>
              <w:rPr>
                <w:snapToGrid/>
              </w:rPr>
            </w:pPr>
            <w:r>
              <w:rPr>
                <w:snapToGrid/>
              </w:rPr>
              <w:t>INDAP</w:t>
            </w:r>
          </w:p>
        </w:tc>
        <w:tc>
          <w:tcPr>
            <w:tcW w:w="5282" w:type="dxa"/>
          </w:tcPr>
          <w:p w:rsidR="00000000" w:rsidRDefault="009C1C61">
            <w:pPr>
              <w:spacing w:before="120" w:line="240" w:lineRule="auto"/>
              <w:rPr>
                <w:rFonts w:hint="eastAsia"/>
                <w:snapToGrid/>
              </w:rPr>
            </w:pPr>
            <w:r>
              <w:rPr>
                <w:rFonts w:hint="eastAsia"/>
                <w:snapToGrid/>
              </w:rPr>
              <w:t>全国农业发展研究所</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统计局</w:t>
            </w:r>
          </w:p>
        </w:tc>
        <w:tc>
          <w:tcPr>
            <w:tcW w:w="2168" w:type="dxa"/>
          </w:tcPr>
          <w:p w:rsidR="00000000" w:rsidRDefault="009C1C61">
            <w:pPr>
              <w:spacing w:before="120" w:line="240" w:lineRule="auto"/>
              <w:rPr>
                <w:snapToGrid/>
              </w:rPr>
            </w:pPr>
            <w:r>
              <w:rPr>
                <w:snapToGrid/>
              </w:rPr>
              <w:t>INE</w:t>
            </w:r>
          </w:p>
        </w:tc>
        <w:tc>
          <w:tcPr>
            <w:tcW w:w="5282" w:type="dxa"/>
          </w:tcPr>
          <w:p w:rsidR="00000000" w:rsidRDefault="009C1C61">
            <w:pPr>
              <w:spacing w:before="120" w:line="240" w:lineRule="auto"/>
              <w:rPr>
                <w:rFonts w:hint="eastAsia"/>
                <w:snapToGrid/>
              </w:rPr>
            </w:pPr>
            <w:r>
              <w:rPr>
                <w:rFonts w:hint="eastAsia"/>
                <w:snapToGrid/>
              </w:rPr>
              <w:t>国家统计局</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青年服务署</w:t>
            </w:r>
          </w:p>
        </w:tc>
        <w:tc>
          <w:tcPr>
            <w:tcW w:w="2168" w:type="dxa"/>
          </w:tcPr>
          <w:p w:rsidR="00000000" w:rsidRDefault="009C1C61">
            <w:pPr>
              <w:spacing w:before="120" w:line="240" w:lineRule="auto"/>
              <w:rPr>
                <w:snapToGrid/>
              </w:rPr>
            </w:pPr>
            <w:r>
              <w:rPr>
                <w:snapToGrid/>
              </w:rPr>
              <w:t>INJ</w:t>
            </w:r>
          </w:p>
        </w:tc>
        <w:tc>
          <w:tcPr>
            <w:tcW w:w="5282" w:type="dxa"/>
          </w:tcPr>
          <w:p w:rsidR="00000000" w:rsidRDefault="009C1C61">
            <w:pPr>
              <w:spacing w:before="120" w:line="240" w:lineRule="auto"/>
              <w:rPr>
                <w:rFonts w:hint="eastAsia"/>
                <w:snapToGrid/>
              </w:rPr>
            </w:pPr>
            <w:r>
              <w:rPr>
                <w:rFonts w:hint="eastAsia"/>
                <w:snapToGrid/>
              </w:rPr>
              <w:t>全国青年服务署</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社保标协</w:t>
            </w:r>
          </w:p>
        </w:tc>
        <w:tc>
          <w:tcPr>
            <w:tcW w:w="2168" w:type="dxa"/>
          </w:tcPr>
          <w:p w:rsidR="00000000" w:rsidRDefault="009C1C61">
            <w:pPr>
              <w:spacing w:before="120" w:line="240" w:lineRule="auto"/>
              <w:rPr>
                <w:snapToGrid/>
              </w:rPr>
            </w:pPr>
            <w:r>
              <w:rPr>
                <w:snapToGrid/>
              </w:rPr>
              <w:t>INP</w:t>
            </w:r>
          </w:p>
        </w:tc>
        <w:tc>
          <w:tcPr>
            <w:tcW w:w="5282" w:type="dxa"/>
          </w:tcPr>
          <w:p w:rsidR="00000000" w:rsidRDefault="009C1C61">
            <w:pPr>
              <w:spacing w:before="120" w:line="240" w:lineRule="auto"/>
              <w:rPr>
                <w:rFonts w:hint="eastAsia"/>
                <w:snapToGrid/>
              </w:rPr>
            </w:pPr>
            <w:r>
              <w:rPr>
                <w:rFonts w:hint="eastAsia"/>
                <w:snapToGrid/>
              </w:rPr>
              <w:t>社会保险标准化协会</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健保机构</w:t>
            </w:r>
          </w:p>
        </w:tc>
        <w:tc>
          <w:tcPr>
            <w:tcW w:w="2168" w:type="dxa"/>
          </w:tcPr>
          <w:p w:rsidR="00000000" w:rsidRDefault="009C1C61">
            <w:pPr>
              <w:spacing w:before="120" w:line="240" w:lineRule="auto"/>
              <w:rPr>
                <w:snapToGrid/>
              </w:rPr>
            </w:pPr>
            <w:r>
              <w:rPr>
                <w:snapToGrid/>
              </w:rPr>
              <w:t>Isapres</w:t>
            </w:r>
          </w:p>
        </w:tc>
        <w:tc>
          <w:tcPr>
            <w:tcW w:w="5282" w:type="dxa"/>
          </w:tcPr>
          <w:p w:rsidR="00000000" w:rsidRDefault="009C1C61">
            <w:pPr>
              <w:spacing w:before="120" w:line="240" w:lineRule="auto"/>
              <w:rPr>
                <w:rFonts w:hint="eastAsia"/>
                <w:snapToGrid/>
              </w:rPr>
            </w:pPr>
            <w:r>
              <w:rPr>
                <w:rFonts w:hint="eastAsia"/>
                <w:snapToGrid/>
              </w:rPr>
              <w:t>健康保险机构</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公卫所</w:t>
            </w:r>
          </w:p>
        </w:tc>
        <w:tc>
          <w:tcPr>
            <w:tcW w:w="2168" w:type="dxa"/>
          </w:tcPr>
          <w:p w:rsidR="00000000" w:rsidRDefault="009C1C61">
            <w:pPr>
              <w:spacing w:before="120" w:line="240" w:lineRule="auto"/>
              <w:rPr>
                <w:rFonts w:hint="eastAsia"/>
                <w:snapToGrid/>
              </w:rPr>
            </w:pPr>
            <w:r>
              <w:rPr>
                <w:snapToGrid/>
              </w:rPr>
              <w:t>ISP</w:t>
            </w:r>
          </w:p>
        </w:tc>
        <w:tc>
          <w:tcPr>
            <w:tcW w:w="5282" w:type="dxa"/>
          </w:tcPr>
          <w:p w:rsidR="00000000" w:rsidRDefault="009C1C61">
            <w:pPr>
              <w:spacing w:before="120" w:line="240" w:lineRule="auto"/>
              <w:rPr>
                <w:rFonts w:hint="eastAsia"/>
                <w:snapToGrid/>
              </w:rPr>
            </w:pPr>
            <w:r>
              <w:rPr>
                <w:rFonts w:hint="eastAsia"/>
                <w:snapToGrid/>
              </w:rPr>
              <w:t>公共卫生研究所</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国幼委</w:t>
            </w:r>
          </w:p>
        </w:tc>
        <w:tc>
          <w:tcPr>
            <w:tcW w:w="2168" w:type="dxa"/>
          </w:tcPr>
          <w:p w:rsidR="00000000" w:rsidRDefault="009C1C61">
            <w:pPr>
              <w:spacing w:before="120" w:line="240" w:lineRule="auto"/>
              <w:rPr>
                <w:snapToGrid/>
              </w:rPr>
            </w:pPr>
            <w:r>
              <w:rPr>
                <w:snapToGrid/>
              </w:rPr>
              <w:t>JUNJI</w:t>
            </w:r>
          </w:p>
        </w:tc>
        <w:tc>
          <w:tcPr>
            <w:tcW w:w="5282" w:type="dxa"/>
          </w:tcPr>
          <w:p w:rsidR="00000000" w:rsidRDefault="009C1C61">
            <w:pPr>
              <w:spacing w:before="120" w:line="240" w:lineRule="auto"/>
              <w:rPr>
                <w:rFonts w:hint="eastAsia"/>
                <w:snapToGrid/>
              </w:rPr>
            </w:pPr>
            <w:r>
              <w:rPr>
                <w:rFonts w:hint="eastAsia"/>
                <w:snapToGrid/>
              </w:rPr>
              <w:t>国家幼儿园委员会</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德财合署</w:t>
            </w:r>
          </w:p>
        </w:tc>
        <w:tc>
          <w:tcPr>
            <w:tcW w:w="2168" w:type="dxa"/>
          </w:tcPr>
          <w:p w:rsidR="00000000" w:rsidRDefault="009C1C61">
            <w:pPr>
              <w:spacing w:before="120" w:line="240" w:lineRule="auto"/>
              <w:rPr>
                <w:rFonts w:hint="eastAsia"/>
                <w:snapToGrid/>
              </w:rPr>
            </w:pPr>
            <w:r>
              <w:rPr>
                <w:snapToGrid/>
              </w:rPr>
              <w:t>KFW</w:t>
            </w:r>
          </w:p>
        </w:tc>
        <w:tc>
          <w:tcPr>
            <w:tcW w:w="5282" w:type="dxa"/>
          </w:tcPr>
          <w:p w:rsidR="00000000" w:rsidRDefault="009C1C61">
            <w:pPr>
              <w:spacing w:before="120" w:line="240" w:lineRule="auto"/>
              <w:rPr>
                <w:rFonts w:hint="eastAsia"/>
                <w:snapToGrid/>
              </w:rPr>
            </w:pPr>
            <w:r>
              <w:rPr>
                <w:rFonts w:hint="eastAsia"/>
                <w:snapToGrid/>
              </w:rPr>
              <w:t>德国财政合作署</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均困线</w:t>
            </w:r>
          </w:p>
        </w:tc>
        <w:tc>
          <w:tcPr>
            <w:tcW w:w="2168" w:type="dxa"/>
          </w:tcPr>
          <w:p w:rsidR="00000000" w:rsidRDefault="009C1C61">
            <w:pPr>
              <w:spacing w:before="120" w:line="240" w:lineRule="auto"/>
              <w:rPr>
                <w:snapToGrid/>
              </w:rPr>
            </w:pPr>
            <w:r>
              <w:rPr>
                <w:snapToGrid/>
              </w:rPr>
              <w:t>LPP</w:t>
            </w:r>
          </w:p>
        </w:tc>
        <w:tc>
          <w:tcPr>
            <w:tcW w:w="5282" w:type="dxa"/>
          </w:tcPr>
          <w:p w:rsidR="00000000" w:rsidRDefault="009C1C61">
            <w:pPr>
              <w:spacing w:before="120" w:line="240" w:lineRule="auto"/>
              <w:rPr>
                <w:rFonts w:hint="eastAsia"/>
                <w:snapToGrid/>
              </w:rPr>
            </w:pPr>
            <w:r>
              <w:rPr>
                <w:rFonts w:hint="eastAsia"/>
                <w:snapToGrid/>
              </w:rPr>
              <w:t>人均贫困线</w:t>
            </w:r>
            <w:r>
              <w:rPr>
                <w:rFonts w:hint="eastAsia"/>
                <w:snapToGrid/>
                <w:spacing w:val="-40"/>
              </w:rPr>
              <w:t>——</w:t>
            </w:r>
            <w:r>
              <w:rPr>
                <w:rFonts w:hint="eastAsia"/>
                <w:snapToGrid/>
                <w:spacing w:val="-40"/>
              </w:rPr>
              <w:t xml:space="preserve">  </w:t>
            </w:r>
            <w:r>
              <w:rPr>
                <w:rFonts w:hint="eastAsia"/>
                <w:snapToGrid/>
              </w:rPr>
              <w:t>一个人的收入水平若低于能满足其基本需要的最低标准则被视为贫困。这最低标准则称为“贫困线”</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质量提高方案</w:t>
            </w:r>
          </w:p>
        </w:tc>
        <w:tc>
          <w:tcPr>
            <w:tcW w:w="2168" w:type="dxa"/>
          </w:tcPr>
          <w:p w:rsidR="00000000" w:rsidRDefault="009C1C61">
            <w:pPr>
              <w:spacing w:before="120" w:line="240" w:lineRule="auto"/>
              <w:rPr>
                <w:snapToGrid/>
              </w:rPr>
            </w:pPr>
            <w:r>
              <w:rPr>
                <w:snapToGrid/>
              </w:rPr>
              <w:t>MECE</w:t>
            </w:r>
          </w:p>
        </w:tc>
        <w:tc>
          <w:tcPr>
            <w:tcW w:w="5282" w:type="dxa"/>
          </w:tcPr>
          <w:p w:rsidR="00000000" w:rsidRDefault="009C1C61">
            <w:pPr>
              <w:spacing w:before="120" w:line="240" w:lineRule="auto"/>
              <w:rPr>
                <w:rFonts w:hint="eastAsia"/>
                <w:snapToGrid/>
              </w:rPr>
            </w:pPr>
            <w:r>
              <w:rPr>
                <w:rFonts w:hint="eastAsia"/>
                <w:snapToGrid/>
              </w:rPr>
              <w:t>教育质量提高方案</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城规部</w:t>
            </w:r>
          </w:p>
        </w:tc>
        <w:tc>
          <w:tcPr>
            <w:tcW w:w="2168" w:type="dxa"/>
          </w:tcPr>
          <w:p w:rsidR="00000000" w:rsidRDefault="009C1C61">
            <w:pPr>
              <w:spacing w:before="120" w:line="240" w:lineRule="auto"/>
              <w:rPr>
                <w:snapToGrid/>
              </w:rPr>
            </w:pPr>
            <w:r>
              <w:rPr>
                <w:snapToGrid/>
              </w:rPr>
              <w:t>MINVU</w:t>
            </w:r>
          </w:p>
        </w:tc>
        <w:tc>
          <w:tcPr>
            <w:tcW w:w="5282" w:type="dxa"/>
          </w:tcPr>
          <w:p w:rsidR="00000000" w:rsidRDefault="009C1C61">
            <w:pPr>
              <w:spacing w:before="120" w:line="240" w:lineRule="auto"/>
              <w:rPr>
                <w:rFonts w:hint="eastAsia"/>
                <w:snapToGrid/>
              </w:rPr>
            </w:pPr>
            <w:r>
              <w:rPr>
                <w:rFonts w:hint="eastAsia"/>
                <w:snapToGrid/>
              </w:rPr>
              <w:t>住房和城市规划部</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儿保办</w:t>
            </w:r>
          </w:p>
        </w:tc>
        <w:tc>
          <w:tcPr>
            <w:tcW w:w="2168" w:type="dxa"/>
          </w:tcPr>
          <w:p w:rsidR="00000000" w:rsidRDefault="009C1C61">
            <w:pPr>
              <w:spacing w:before="120" w:line="240" w:lineRule="auto"/>
              <w:rPr>
                <w:snapToGrid/>
              </w:rPr>
            </w:pPr>
            <w:r>
              <w:rPr>
                <w:snapToGrid/>
              </w:rPr>
              <w:t>OPDs</w:t>
            </w:r>
          </w:p>
        </w:tc>
        <w:tc>
          <w:tcPr>
            <w:tcW w:w="5282" w:type="dxa"/>
          </w:tcPr>
          <w:p w:rsidR="00000000" w:rsidRDefault="009C1C61">
            <w:pPr>
              <w:spacing w:before="120" w:line="240" w:lineRule="auto"/>
              <w:rPr>
                <w:rFonts w:hint="eastAsia"/>
                <w:snapToGrid/>
              </w:rPr>
            </w:pPr>
            <w:r>
              <w:rPr>
                <w:rFonts w:hint="eastAsia"/>
                <w:snapToGrid/>
              </w:rPr>
              <w:t>保护儿童权利办事处</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递进建房项目</w:t>
            </w:r>
          </w:p>
        </w:tc>
        <w:tc>
          <w:tcPr>
            <w:tcW w:w="2168" w:type="dxa"/>
          </w:tcPr>
          <w:p w:rsidR="00000000" w:rsidRDefault="009C1C61">
            <w:pPr>
              <w:spacing w:before="120" w:line="240" w:lineRule="auto"/>
              <w:rPr>
                <w:snapToGrid/>
              </w:rPr>
            </w:pPr>
            <w:r>
              <w:rPr>
                <w:snapToGrid/>
              </w:rPr>
              <w:t>PV</w:t>
            </w:r>
            <w:r>
              <w:rPr>
                <w:snapToGrid/>
              </w:rPr>
              <w:t>P</w:t>
            </w:r>
          </w:p>
        </w:tc>
        <w:tc>
          <w:tcPr>
            <w:tcW w:w="5282" w:type="dxa"/>
          </w:tcPr>
          <w:p w:rsidR="00000000" w:rsidRDefault="009C1C61">
            <w:pPr>
              <w:spacing w:before="120" w:line="240" w:lineRule="auto"/>
              <w:rPr>
                <w:rFonts w:hint="eastAsia"/>
                <w:snapToGrid/>
              </w:rPr>
            </w:pPr>
            <w:r>
              <w:rPr>
                <w:rFonts w:hint="eastAsia"/>
                <w:snapToGrid/>
              </w:rPr>
              <w:t>递进式住房营建项目</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急诊站</w:t>
            </w:r>
          </w:p>
        </w:tc>
        <w:tc>
          <w:tcPr>
            <w:tcW w:w="2168" w:type="dxa"/>
          </w:tcPr>
          <w:p w:rsidR="00000000" w:rsidRDefault="009C1C61">
            <w:pPr>
              <w:spacing w:before="120" w:line="240" w:lineRule="auto"/>
              <w:rPr>
                <w:snapToGrid/>
              </w:rPr>
            </w:pPr>
            <w:r>
              <w:rPr>
                <w:snapToGrid/>
              </w:rPr>
              <w:t>SAMU</w:t>
            </w:r>
          </w:p>
        </w:tc>
        <w:tc>
          <w:tcPr>
            <w:tcW w:w="5282" w:type="dxa"/>
          </w:tcPr>
          <w:p w:rsidR="00000000" w:rsidRDefault="009C1C61">
            <w:pPr>
              <w:spacing w:before="120" w:line="240" w:lineRule="auto"/>
              <w:rPr>
                <w:rFonts w:hint="eastAsia"/>
                <w:snapToGrid/>
              </w:rPr>
            </w:pPr>
            <w:r>
              <w:rPr>
                <w:rFonts w:hint="eastAsia"/>
                <w:snapToGrid/>
              </w:rPr>
              <w:t>急诊医疗站</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急诊点</w:t>
            </w:r>
          </w:p>
        </w:tc>
        <w:tc>
          <w:tcPr>
            <w:tcW w:w="2168" w:type="dxa"/>
          </w:tcPr>
          <w:p w:rsidR="00000000" w:rsidRDefault="009C1C61">
            <w:pPr>
              <w:spacing w:before="120" w:line="240" w:lineRule="auto"/>
              <w:rPr>
                <w:snapToGrid/>
              </w:rPr>
            </w:pPr>
            <w:r>
              <w:rPr>
                <w:snapToGrid/>
              </w:rPr>
              <w:t>SAPU</w:t>
            </w:r>
          </w:p>
        </w:tc>
        <w:tc>
          <w:tcPr>
            <w:tcW w:w="5282" w:type="dxa"/>
          </w:tcPr>
          <w:p w:rsidR="00000000" w:rsidRDefault="009C1C61">
            <w:pPr>
              <w:spacing w:before="120" w:line="240" w:lineRule="auto"/>
              <w:rPr>
                <w:rFonts w:hint="eastAsia"/>
                <w:snapToGrid/>
              </w:rPr>
            </w:pPr>
            <w:r>
              <w:rPr>
                <w:rFonts w:hint="eastAsia"/>
                <w:snapToGrid/>
              </w:rPr>
              <w:t>初级急诊医疗点</w:t>
            </w:r>
          </w:p>
        </w:tc>
      </w:tr>
      <w:tr w:rsidR="00000000">
        <w:tblPrEx>
          <w:tblCellMar>
            <w:top w:w="0" w:type="dxa"/>
            <w:bottom w:w="0" w:type="dxa"/>
          </w:tblCellMar>
        </w:tblPrEx>
        <w:tc>
          <w:tcPr>
            <w:tcW w:w="1960" w:type="dxa"/>
          </w:tcPr>
          <w:p w:rsidR="00000000" w:rsidRDefault="009C1C61">
            <w:pPr>
              <w:spacing w:before="120" w:line="240" w:lineRule="auto"/>
              <w:rPr>
                <w:rFonts w:hint="eastAsia"/>
                <w:bCs/>
                <w:snapToGrid/>
              </w:rPr>
            </w:pPr>
            <w:r>
              <w:rPr>
                <w:rFonts w:hint="eastAsia"/>
                <w:bCs/>
                <w:snapToGrid/>
              </w:rPr>
              <w:t>投资规划系统</w:t>
            </w:r>
          </w:p>
        </w:tc>
        <w:tc>
          <w:tcPr>
            <w:tcW w:w="2168" w:type="dxa"/>
          </w:tcPr>
          <w:p w:rsidR="00000000" w:rsidRDefault="009C1C61">
            <w:pPr>
              <w:spacing w:before="120" w:line="240" w:lineRule="auto"/>
              <w:rPr>
                <w:bCs/>
                <w:snapToGrid/>
              </w:rPr>
            </w:pPr>
            <w:r>
              <w:rPr>
                <w:bCs/>
                <w:snapToGrid/>
              </w:rPr>
              <w:t>SEBI</w:t>
            </w:r>
          </w:p>
        </w:tc>
        <w:tc>
          <w:tcPr>
            <w:tcW w:w="5282" w:type="dxa"/>
          </w:tcPr>
          <w:p w:rsidR="00000000" w:rsidRDefault="009C1C61">
            <w:pPr>
              <w:spacing w:before="120" w:line="240" w:lineRule="auto"/>
              <w:rPr>
                <w:rFonts w:hint="eastAsia"/>
                <w:snapToGrid/>
              </w:rPr>
            </w:pPr>
            <w:r>
              <w:rPr>
                <w:rFonts w:hint="eastAsia"/>
                <w:snapToGrid/>
              </w:rPr>
              <w:t>基本投资一般规划系统</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未成年人服务署</w:t>
            </w:r>
          </w:p>
        </w:tc>
        <w:tc>
          <w:tcPr>
            <w:tcW w:w="2168" w:type="dxa"/>
          </w:tcPr>
          <w:p w:rsidR="00000000" w:rsidRDefault="009C1C61">
            <w:pPr>
              <w:spacing w:before="120" w:line="240" w:lineRule="auto"/>
              <w:rPr>
                <w:snapToGrid/>
              </w:rPr>
            </w:pPr>
            <w:r>
              <w:rPr>
                <w:snapToGrid/>
              </w:rPr>
              <w:t>SENAME</w:t>
            </w:r>
          </w:p>
        </w:tc>
        <w:tc>
          <w:tcPr>
            <w:tcW w:w="5282" w:type="dxa"/>
          </w:tcPr>
          <w:p w:rsidR="00000000" w:rsidRDefault="009C1C61">
            <w:pPr>
              <w:spacing w:before="120" w:line="240" w:lineRule="auto"/>
              <w:rPr>
                <w:rFonts w:hint="eastAsia"/>
                <w:snapToGrid/>
              </w:rPr>
            </w:pPr>
            <w:r>
              <w:rPr>
                <w:rFonts w:hint="eastAsia"/>
                <w:snapToGrid/>
              </w:rPr>
              <w:t>全国未成年人服务署</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培训就业基金</w:t>
            </w:r>
          </w:p>
        </w:tc>
        <w:tc>
          <w:tcPr>
            <w:tcW w:w="2168" w:type="dxa"/>
          </w:tcPr>
          <w:p w:rsidR="00000000" w:rsidRDefault="009C1C61">
            <w:pPr>
              <w:spacing w:before="120" w:line="240" w:lineRule="auto"/>
              <w:rPr>
                <w:snapToGrid/>
              </w:rPr>
            </w:pPr>
            <w:r>
              <w:rPr>
                <w:snapToGrid/>
              </w:rPr>
              <w:t>SENCE</w:t>
            </w:r>
          </w:p>
        </w:tc>
        <w:tc>
          <w:tcPr>
            <w:tcW w:w="5282" w:type="dxa"/>
          </w:tcPr>
          <w:p w:rsidR="00000000" w:rsidRDefault="009C1C61">
            <w:pPr>
              <w:spacing w:before="120" w:line="240" w:lineRule="auto"/>
              <w:rPr>
                <w:rFonts w:hint="eastAsia"/>
                <w:snapToGrid/>
              </w:rPr>
            </w:pPr>
            <w:r>
              <w:rPr>
                <w:rFonts w:hint="eastAsia"/>
                <w:snapToGrid/>
              </w:rPr>
              <w:t>全国培训和就业基金</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区域秘书处</w:t>
            </w:r>
          </w:p>
        </w:tc>
        <w:tc>
          <w:tcPr>
            <w:tcW w:w="2168" w:type="dxa"/>
          </w:tcPr>
          <w:p w:rsidR="00000000" w:rsidRDefault="009C1C61">
            <w:pPr>
              <w:spacing w:before="120" w:line="240" w:lineRule="auto"/>
              <w:rPr>
                <w:snapToGrid/>
              </w:rPr>
            </w:pPr>
            <w:r>
              <w:rPr>
                <w:snapToGrid/>
              </w:rPr>
              <w:t>SEREMI</w:t>
            </w:r>
          </w:p>
        </w:tc>
        <w:tc>
          <w:tcPr>
            <w:tcW w:w="5282" w:type="dxa"/>
          </w:tcPr>
          <w:p w:rsidR="00000000" w:rsidRDefault="009C1C61">
            <w:pPr>
              <w:spacing w:before="120" w:line="240" w:lineRule="auto"/>
              <w:rPr>
                <w:rFonts w:hint="eastAsia"/>
                <w:snapToGrid/>
              </w:rPr>
            </w:pPr>
            <w:r>
              <w:rPr>
                <w:rFonts w:hint="eastAsia"/>
                <w:snapToGrid/>
              </w:rPr>
              <w:t>部属区域秘书处</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妇女服务署</w:t>
            </w:r>
          </w:p>
        </w:tc>
        <w:tc>
          <w:tcPr>
            <w:tcW w:w="2168" w:type="dxa"/>
          </w:tcPr>
          <w:p w:rsidR="00000000" w:rsidRDefault="009C1C61">
            <w:pPr>
              <w:spacing w:before="120" w:line="240" w:lineRule="auto"/>
              <w:rPr>
                <w:snapToGrid/>
              </w:rPr>
            </w:pPr>
            <w:r>
              <w:rPr>
                <w:snapToGrid/>
              </w:rPr>
              <w:t xml:space="preserve">SERNAM </w:t>
            </w:r>
          </w:p>
        </w:tc>
        <w:tc>
          <w:tcPr>
            <w:tcW w:w="5282" w:type="dxa"/>
          </w:tcPr>
          <w:p w:rsidR="00000000" w:rsidRDefault="009C1C61">
            <w:pPr>
              <w:spacing w:before="120" w:line="240" w:lineRule="auto"/>
              <w:rPr>
                <w:rFonts w:hint="eastAsia"/>
                <w:snapToGrid/>
              </w:rPr>
            </w:pPr>
            <w:r>
              <w:rPr>
                <w:rFonts w:hint="eastAsia"/>
                <w:snapToGrid/>
              </w:rPr>
              <w:t>全国妇女服务署</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区城规处</w:t>
            </w:r>
          </w:p>
        </w:tc>
        <w:tc>
          <w:tcPr>
            <w:tcW w:w="2168" w:type="dxa"/>
          </w:tcPr>
          <w:p w:rsidR="00000000" w:rsidRDefault="009C1C61">
            <w:pPr>
              <w:spacing w:before="120" w:line="240" w:lineRule="auto"/>
              <w:rPr>
                <w:snapToGrid/>
              </w:rPr>
            </w:pPr>
            <w:r>
              <w:rPr>
                <w:snapToGrid/>
              </w:rPr>
              <w:t>SERVIU</w:t>
            </w:r>
          </w:p>
        </w:tc>
        <w:tc>
          <w:tcPr>
            <w:tcW w:w="5282" w:type="dxa"/>
          </w:tcPr>
          <w:p w:rsidR="00000000" w:rsidRDefault="009C1C61">
            <w:pPr>
              <w:spacing w:before="120" w:line="240" w:lineRule="auto"/>
              <w:rPr>
                <w:rFonts w:hint="eastAsia"/>
                <w:snapToGrid/>
              </w:rPr>
            </w:pPr>
            <w:r>
              <w:rPr>
                <w:rFonts w:hint="eastAsia"/>
                <w:snapToGrid/>
              </w:rPr>
              <w:t>区域住房和城市规划秘书处</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教育质评系统</w:t>
            </w:r>
          </w:p>
        </w:tc>
        <w:tc>
          <w:tcPr>
            <w:tcW w:w="2168" w:type="dxa"/>
          </w:tcPr>
          <w:p w:rsidR="00000000" w:rsidRDefault="009C1C61">
            <w:pPr>
              <w:spacing w:before="120" w:line="240" w:lineRule="auto"/>
              <w:rPr>
                <w:snapToGrid/>
              </w:rPr>
            </w:pPr>
            <w:r>
              <w:rPr>
                <w:snapToGrid/>
              </w:rPr>
              <w:t>SIMCE</w:t>
            </w:r>
          </w:p>
        </w:tc>
        <w:tc>
          <w:tcPr>
            <w:tcW w:w="5282" w:type="dxa"/>
          </w:tcPr>
          <w:p w:rsidR="00000000" w:rsidRDefault="009C1C61">
            <w:pPr>
              <w:spacing w:before="120" w:line="240" w:lineRule="auto"/>
              <w:rPr>
                <w:rFonts w:hint="eastAsia"/>
                <w:snapToGrid/>
              </w:rPr>
            </w:pPr>
            <w:r>
              <w:rPr>
                <w:rFonts w:hint="eastAsia"/>
                <w:snapToGrid/>
              </w:rPr>
              <w:t>教育质量评价系统</w:t>
            </w:r>
          </w:p>
        </w:tc>
      </w:tr>
      <w:tr w:rsidR="00000000">
        <w:tblPrEx>
          <w:tblCellMar>
            <w:top w:w="0" w:type="dxa"/>
            <w:bottom w:w="0" w:type="dxa"/>
          </w:tblCellMar>
        </w:tblPrEx>
        <w:tc>
          <w:tcPr>
            <w:tcW w:w="1960" w:type="dxa"/>
          </w:tcPr>
          <w:p w:rsidR="00000000" w:rsidRDefault="009C1C61">
            <w:pPr>
              <w:spacing w:before="120" w:line="240" w:lineRule="auto"/>
              <w:rPr>
                <w:snapToGrid/>
              </w:rPr>
            </w:pPr>
            <w:r>
              <w:rPr>
                <w:rFonts w:hint="eastAsia"/>
                <w:snapToGrid/>
              </w:rPr>
              <w:t>调值单位</w:t>
            </w:r>
          </w:p>
        </w:tc>
        <w:tc>
          <w:tcPr>
            <w:tcW w:w="2168" w:type="dxa"/>
          </w:tcPr>
          <w:p w:rsidR="00000000" w:rsidRDefault="009C1C61">
            <w:pPr>
              <w:spacing w:before="120" w:line="240" w:lineRule="auto"/>
              <w:rPr>
                <w:snapToGrid/>
              </w:rPr>
            </w:pPr>
            <w:r>
              <w:rPr>
                <w:snapToGrid/>
              </w:rPr>
              <w:t>UF</w:t>
            </w:r>
          </w:p>
        </w:tc>
        <w:tc>
          <w:tcPr>
            <w:tcW w:w="5282" w:type="dxa"/>
          </w:tcPr>
          <w:p w:rsidR="00000000" w:rsidRDefault="009C1C61">
            <w:pPr>
              <w:spacing w:before="120" w:line="240" w:lineRule="auto"/>
              <w:rPr>
                <w:rFonts w:hint="eastAsia"/>
                <w:snapToGrid/>
              </w:rPr>
            </w:pPr>
            <w:r>
              <w:rPr>
                <w:rFonts w:hint="eastAsia"/>
                <w:snapToGrid/>
              </w:rPr>
              <w:t>与物价指数挂钩的调值单位</w:t>
            </w:r>
            <w:r>
              <w:rPr>
                <w:rFonts w:hint="eastAsia"/>
                <w:snapToGrid/>
                <w:spacing w:val="-40"/>
              </w:rPr>
              <w:t>——</w:t>
            </w:r>
            <w:r>
              <w:rPr>
                <w:rFonts w:hint="eastAsia"/>
                <w:snapToGrid/>
              </w:rPr>
              <w:t>银行作业的支付单位，每日按消费者物价指</w:t>
            </w:r>
            <w:r>
              <w:rPr>
                <w:rFonts w:hint="eastAsia"/>
                <w:snapToGrid/>
              </w:rPr>
              <w:t>数调整</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艾滋病规划署</w:t>
            </w:r>
          </w:p>
        </w:tc>
        <w:tc>
          <w:tcPr>
            <w:tcW w:w="2168" w:type="dxa"/>
          </w:tcPr>
          <w:p w:rsidR="00000000" w:rsidRDefault="009C1C61">
            <w:pPr>
              <w:spacing w:before="120" w:line="240" w:lineRule="auto"/>
              <w:rPr>
                <w:rFonts w:hint="eastAsia"/>
                <w:snapToGrid/>
              </w:rPr>
            </w:pPr>
            <w:r>
              <w:rPr>
                <w:snapToGrid/>
              </w:rPr>
              <w:t>UNAIDS</w:t>
            </w:r>
          </w:p>
        </w:tc>
        <w:tc>
          <w:tcPr>
            <w:tcW w:w="5282" w:type="dxa"/>
          </w:tcPr>
          <w:p w:rsidR="00000000" w:rsidRDefault="009C1C61">
            <w:pPr>
              <w:spacing w:before="120" w:line="240" w:lineRule="auto"/>
              <w:rPr>
                <w:rFonts w:hint="eastAsia"/>
                <w:snapToGrid/>
              </w:rPr>
            </w:pPr>
            <w:r>
              <w:rPr>
                <w:rFonts w:hint="eastAsia"/>
                <w:snapToGrid/>
              </w:rPr>
              <w:t>联合国艾滋病规划署</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开发计划署</w:t>
            </w:r>
          </w:p>
        </w:tc>
        <w:tc>
          <w:tcPr>
            <w:tcW w:w="2168" w:type="dxa"/>
          </w:tcPr>
          <w:p w:rsidR="00000000" w:rsidRDefault="009C1C61">
            <w:pPr>
              <w:spacing w:before="120" w:line="240" w:lineRule="auto"/>
              <w:rPr>
                <w:rFonts w:hint="eastAsia"/>
                <w:snapToGrid/>
              </w:rPr>
            </w:pPr>
            <w:r>
              <w:rPr>
                <w:snapToGrid/>
              </w:rPr>
              <w:t>UNDP</w:t>
            </w:r>
          </w:p>
        </w:tc>
        <w:tc>
          <w:tcPr>
            <w:tcW w:w="5282" w:type="dxa"/>
          </w:tcPr>
          <w:p w:rsidR="00000000" w:rsidRDefault="009C1C61">
            <w:pPr>
              <w:spacing w:before="120" w:line="240" w:lineRule="auto"/>
              <w:rPr>
                <w:rFonts w:hint="eastAsia"/>
                <w:snapToGrid/>
              </w:rPr>
            </w:pPr>
            <w:r>
              <w:rPr>
                <w:rFonts w:hint="eastAsia"/>
                <w:snapToGrid/>
              </w:rPr>
              <w:t>联合国开发计划署</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教科文组织</w:t>
            </w:r>
          </w:p>
        </w:tc>
        <w:tc>
          <w:tcPr>
            <w:tcW w:w="2168" w:type="dxa"/>
          </w:tcPr>
          <w:p w:rsidR="00000000" w:rsidRDefault="009C1C61">
            <w:pPr>
              <w:spacing w:before="120" w:line="240" w:lineRule="auto"/>
              <w:rPr>
                <w:rFonts w:hint="eastAsia"/>
                <w:snapToGrid/>
              </w:rPr>
            </w:pPr>
            <w:r>
              <w:rPr>
                <w:snapToGrid/>
              </w:rPr>
              <w:t>UNESCO</w:t>
            </w:r>
          </w:p>
        </w:tc>
        <w:tc>
          <w:tcPr>
            <w:tcW w:w="5282" w:type="dxa"/>
          </w:tcPr>
          <w:p w:rsidR="00000000" w:rsidRDefault="009C1C61">
            <w:pPr>
              <w:spacing w:before="120" w:line="240" w:lineRule="auto"/>
              <w:rPr>
                <w:rFonts w:hint="eastAsia"/>
                <w:snapToGrid/>
              </w:rPr>
            </w:pPr>
            <w:r>
              <w:rPr>
                <w:rFonts w:hint="eastAsia"/>
                <w:snapToGrid/>
              </w:rPr>
              <w:t>联合国教育、科学及文化组织</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儿童基金会</w:t>
            </w:r>
          </w:p>
        </w:tc>
        <w:tc>
          <w:tcPr>
            <w:tcW w:w="2168" w:type="dxa"/>
          </w:tcPr>
          <w:p w:rsidR="00000000" w:rsidRDefault="009C1C61">
            <w:pPr>
              <w:spacing w:before="120" w:line="240" w:lineRule="auto"/>
              <w:rPr>
                <w:rFonts w:hint="eastAsia"/>
                <w:snapToGrid/>
              </w:rPr>
            </w:pPr>
            <w:r>
              <w:rPr>
                <w:snapToGrid/>
              </w:rPr>
              <w:t>UNICEF</w:t>
            </w:r>
          </w:p>
        </w:tc>
        <w:tc>
          <w:tcPr>
            <w:tcW w:w="5282" w:type="dxa"/>
          </w:tcPr>
          <w:p w:rsidR="00000000" w:rsidRDefault="009C1C61">
            <w:pPr>
              <w:spacing w:before="120" w:line="240" w:lineRule="auto"/>
              <w:rPr>
                <w:rFonts w:hint="eastAsia"/>
                <w:snapToGrid/>
              </w:rPr>
            </w:pPr>
            <w:r>
              <w:rPr>
                <w:rFonts w:hint="eastAsia"/>
                <w:snapToGrid/>
              </w:rPr>
              <w:t>联合国儿童基金会</w:t>
            </w:r>
          </w:p>
        </w:tc>
      </w:tr>
      <w:tr w:rsidR="00000000">
        <w:tblPrEx>
          <w:tblCellMar>
            <w:top w:w="0" w:type="dxa"/>
            <w:bottom w:w="0" w:type="dxa"/>
          </w:tblCellMar>
        </w:tblPrEx>
        <w:tc>
          <w:tcPr>
            <w:tcW w:w="1960" w:type="dxa"/>
          </w:tcPr>
          <w:p w:rsidR="00000000" w:rsidRDefault="009C1C61">
            <w:pPr>
              <w:spacing w:before="120" w:line="240" w:lineRule="auto"/>
              <w:rPr>
                <w:rFonts w:hint="eastAsia"/>
                <w:snapToGrid/>
              </w:rPr>
            </w:pPr>
            <w:r>
              <w:rPr>
                <w:rFonts w:hint="eastAsia"/>
                <w:snapToGrid/>
              </w:rPr>
              <w:t>卫生组织</w:t>
            </w:r>
          </w:p>
        </w:tc>
        <w:tc>
          <w:tcPr>
            <w:tcW w:w="2168" w:type="dxa"/>
          </w:tcPr>
          <w:p w:rsidR="00000000" w:rsidRDefault="009C1C61">
            <w:pPr>
              <w:spacing w:before="120" w:line="240" w:lineRule="auto"/>
              <w:rPr>
                <w:rFonts w:hint="eastAsia"/>
                <w:snapToGrid/>
              </w:rPr>
            </w:pPr>
            <w:r>
              <w:rPr>
                <w:snapToGrid/>
              </w:rPr>
              <w:t>WHO</w:t>
            </w:r>
          </w:p>
        </w:tc>
        <w:tc>
          <w:tcPr>
            <w:tcW w:w="5282" w:type="dxa"/>
          </w:tcPr>
          <w:p w:rsidR="00000000" w:rsidRDefault="009C1C61">
            <w:pPr>
              <w:spacing w:before="120" w:line="240" w:lineRule="auto"/>
              <w:rPr>
                <w:rFonts w:hint="eastAsia"/>
                <w:snapToGrid/>
              </w:rPr>
            </w:pPr>
            <w:r>
              <w:rPr>
                <w:rFonts w:hint="eastAsia"/>
                <w:snapToGrid/>
              </w:rPr>
              <w:t>世界卫生组织</w:t>
            </w:r>
          </w:p>
        </w:tc>
      </w:tr>
    </w:tbl>
    <w:p w:rsidR="00000000" w:rsidRDefault="009C1C61">
      <w:pPr>
        <w:rPr>
          <w:b/>
          <w:bCs/>
          <w:snapToGrid/>
        </w:rPr>
      </w:pPr>
    </w:p>
    <w:p w:rsidR="00000000" w:rsidRDefault="009C1C61">
      <w:pPr>
        <w:pStyle w:val="Heading2"/>
        <w:rPr>
          <w:rFonts w:hint="eastAsia"/>
          <w:b/>
          <w:bCs/>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二</w:t>
      </w:r>
    </w:p>
    <w:p w:rsidR="00000000" w:rsidRDefault="009C1C61">
      <w:pPr>
        <w:pStyle w:val="Heading3"/>
        <w:spacing w:after="0"/>
        <w:rPr>
          <w:rFonts w:hint="eastAsia"/>
          <w:kern w:val="24"/>
          <w:sz w:val="26"/>
        </w:rPr>
      </w:pPr>
      <w:r>
        <w:rPr>
          <w:rFonts w:hint="eastAsia"/>
        </w:rPr>
        <w:t>统计图表一览表</w:t>
      </w:r>
    </w:p>
    <w:p w:rsidR="00000000" w:rsidRDefault="009C1C61">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1</w:t>
      </w:r>
      <w:r>
        <w:rPr>
          <w:snapToGrid/>
        </w:rPr>
        <w:tab/>
      </w:r>
      <w:r>
        <w:rPr>
          <w:rFonts w:hint="eastAsia"/>
          <w:snapToGrid/>
        </w:rPr>
        <w:t>根据补助的原因分列的每年发放补助养恤金的数目</w:t>
      </w:r>
      <w:r>
        <w:rPr>
          <w:snapToGrid/>
        </w:rPr>
        <w:tab/>
      </w:r>
      <w:r>
        <w:rPr>
          <w:snapToGrid/>
        </w:rPr>
        <w:tab/>
        <w:t>22</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2</w:t>
      </w:r>
      <w:r>
        <w:rPr>
          <w:snapToGrid/>
        </w:rPr>
        <w:tab/>
      </w:r>
      <w:r>
        <w:rPr>
          <w:rFonts w:hint="eastAsia"/>
          <w:snapToGrid/>
        </w:rPr>
        <w:t>因精神上的缺陷支付的统一家属津贴</w:t>
      </w:r>
      <w:r>
        <w:rPr>
          <w:snapToGrid/>
        </w:rPr>
        <w:tab/>
      </w:r>
      <w:r>
        <w:rPr>
          <w:snapToGrid/>
        </w:rPr>
        <w:tab/>
        <w:t>22</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3</w:t>
      </w:r>
      <w:r>
        <w:rPr>
          <w:snapToGrid/>
        </w:rPr>
        <w:tab/>
      </w:r>
      <w:r>
        <w:rPr>
          <w:rFonts w:hint="eastAsia"/>
          <w:snapToGrid/>
        </w:rPr>
        <w:t>劳动力中</w:t>
      </w:r>
      <w:r>
        <w:rPr>
          <w:snapToGrid/>
        </w:rPr>
        <w:t>65</w:t>
      </w:r>
      <w:r>
        <w:rPr>
          <w:rFonts w:hint="eastAsia"/>
          <w:snapToGrid/>
        </w:rPr>
        <w:t>岁或</w:t>
      </w:r>
      <w:r>
        <w:rPr>
          <w:rFonts w:hint="eastAsia"/>
          <w:snapToGrid/>
        </w:rPr>
        <w:t>65</w:t>
      </w:r>
      <w:r>
        <w:rPr>
          <w:rFonts w:hint="eastAsia"/>
          <w:snapToGrid/>
        </w:rPr>
        <w:t>岁以上者的参与率</w:t>
      </w:r>
      <w:r>
        <w:rPr>
          <w:snapToGrid/>
        </w:rPr>
        <w:t xml:space="preserve"> (</w:t>
      </w:r>
      <w:r>
        <w:rPr>
          <w:rFonts w:hint="eastAsia"/>
          <w:snapToGrid/>
        </w:rPr>
        <w:t>百分比</w:t>
      </w:r>
      <w:r>
        <w:rPr>
          <w:snapToGrid/>
        </w:rPr>
        <w:t>)</w:t>
      </w:r>
      <w:r>
        <w:rPr>
          <w:snapToGrid/>
        </w:rPr>
        <w:tab/>
      </w:r>
      <w:r>
        <w:rPr>
          <w:snapToGrid/>
        </w:rPr>
        <w:tab/>
        <w:t>29</w:t>
      </w:r>
    </w:p>
    <w:p w:rsidR="00000000" w:rsidRDefault="009C1C61">
      <w:pPr>
        <w:pStyle w:val="aa"/>
        <w:tabs>
          <w:tab w:val="clear" w:pos="510"/>
        </w:tabs>
        <w:spacing w:line="288" w:lineRule="auto"/>
        <w:ind w:left="735" w:hanging="735"/>
        <w:rPr>
          <w:snapToGrid/>
        </w:rPr>
      </w:pPr>
      <w:r>
        <w:rPr>
          <w:rFonts w:hint="eastAsia"/>
          <w:snapToGrid/>
        </w:rPr>
        <w:t>表</w:t>
      </w:r>
      <w:r>
        <w:rPr>
          <w:snapToGrid/>
        </w:rPr>
        <w:t>4</w:t>
      </w:r>
      <w:r>
        <w:rPr>
          <w:snapToGrid/>
        </w:rPr>
        <w:tab/>
        <w:t>1990</w:t>
      </w:r>
      <w:r>
        <w:rPr>
          <w:rFonts w:hint="eastAsia"/>
          <w:snapToGrid/>
        </w:rPr>
        <w:t>至</w:t>
      </w:r>
      <w:r>
        <w:rPr>
          <w:snapToGrid/>
        </w:rPr>
        <w:t>2001</w:t>
      </w:r>
      <w:r>
        <w:rPr>
          <w:rFonts w:hint="eastAsia"/>
          <w:snapToGrid/>
        </w:rPr>
        <w:t>年智利的就业趋势</w:t>
      </w:r>
      <w:r>
        <w:rPr>
          <w:snapToGrid/>
        </w:rPr>
        <w:t>(</w:t>
      </w:r>
      <w:r>
        <w:rPr>
          <w:rFonts w:hint="eastAsia"/>
          <w:snapToGrid/>
        </w:rPr>
        <w:t>千人</w:t>
      </w:r>
      <w:r>
        <w:rPr>
          <w:snapToGrid/>
        </w:rPr>
        <w:t>)</w:t>
      </w:r>
      <w:r>
        <w:rPr>
          <w:snapToGrid/>
        </w:rPr>
        <w:tab/>
      </w:r>
      <w:r>
        <w:rPr>
          <w:snapToGrid/>
        </w:rPr>
        <w:tab/>
      </w:r>
      <w:r>
        <w:rPr>
          <w:snapToGrid/>
        </w:rPr>
        <w:t>38</w:t>
      </w:r>
    </w:p>
    <w:p w:rsidR="00000000" w:rsidRDefault="009C1C61">
      <w:pPr>
        <w:pStyle w:val="aa"/>
        <w:tabs>
          <w:tab w:val="clear" w:pos="510"/>
        </w:tabs>
        <w:spacing w:line="288" w:lineRule="auto"/>
        <w:ind w:left="735" w:hanging="735"/>
        <w:rPr>
          <w:snapToGrid/>
        </w:rPr>
      </w:pPr>
      <w:r>
        <w:rPr>
          <w:rFonts w:hint="eastAsia"/>
          <w:snapToGrid/>
        </w:rPr>
        <w:t>表</w:t>
      </w:r>
      <w:r>
        <w:rPr>
          <w:snapToGrid/>
        </w:rPr>
        <w:t>5</w:t>
      </w:r>
      <w:r>
        <w:rPr>
          <w:snapToGrid/>
        </w:rPr>
        <w:tab/>
        <w:t>1990</w:t>
      </w:r>
      <w:r>
        <w:rPr>
          <w:rFonts w:hint="eastAsia"/>
          <w:snapToGrid/>
        </w:rPr>
        <w:t>至</w:t>
      </w:r>
      <w:r>
        <w:rPr>
          <w:snapToGrid/>
        </w:rPr>
        <w:t>2001</w:t>
      </w:r>
      <w:r>
        <w:rPr>
          <w:rFonts w:hint="eastAsia"/>
          <w:snapToGrid/>
        </w:rPr>
        <w:t>年</w:t>
      </w:r>
      <w:r>
        <w:rPr>
          <w:snapToGrid/>
        </w:rPr>
        <w:t>**</w:t>
      </w:r>
      <w:r>
        <w:rPr>
          <w:rFonts w:hint="eastAsia"/>
          <w:snapToGrid/>
        </w:rPr>
        <w:t>按性别</w:t>
      </w:r>
      <w:r>
        <w:rPr>
          <w:snapToGrid/>
        </w:rPr>
        <w:t>*</w:t>
      </w:r>
      <w:r>
        <w:rPr>
          <w:rFonts w:hint="eastAsia"/>
          <w:snapToGrid/>
        </w:rPr>
        <w:t>分列的参与率</w:t>
      </w:r>
      <w:r>
        <w:rPr>
          <w:snapToGrid/>
        </w:rPr>
        <w:t>(</w:t>
      </w:r>
      <w:r>
        <w:rPr>
          <w:rFonts w:hint="eastAsia"/>
          <w:snapToGrid/>
        </w:rPr>
        <w:t>百分比</w:t>
      </w:r>
      <w:r>
        <w:rPr>
          <w:snapToGrid/>
        </w:rPr>
        <w:t>)</w:t>
      </w:r>
      <w:r>
        <w:rPr>
          <w:snapToGrid/>
        </w:rPr>
        <w:tab/>
      </w:r>
      <w:r>
        <w:rPr>
          <w:snapToGrid/>
        </w:rPr>
        <w:tab/>
        <w:t>39</w:t>
      </w:r>
    </w:p>
    <w:p w:rsidR="00000000" w:rsidRDefault="009C1C61">
      <w:pPr>
        <w:pStyle w:val="aa"/>
        <w:tabs>
          <w:tab w:val="clear" w:pos="510"/>
        </w:tabs>
        <w:spacing w:line="288" w:lineRule="auto"/>
        <w:ind w:left="735" w:hanging="735"/>
        <w:rPr>
          <w:snapToGrid/>
        </w:rPr>
      </w:pPr>
      <w:r>
        <w:rPr>
          <w:rFonts w:hint="eastAsia"/>
          <w:snapToGrid/>
        </w:rPr>
        <w:t>表</w:t>
      </w:r>
      <w:r>
        <w:rPr>
          <w:snapToGrid/>
        </w:rPr>
        <w:t>6</w:t>
      </w:r>
      <w:r>
        <w:rPr>
          <w:snapToGrid/>
        </w:rPr>
        <w:tab/>
        <w:t>1990</w:t>
      </w:r>
      <w:r>
        <w:rPr>
          <w:rFonts w:hint="eastAsia"/>
          <w:snapToGrid/>
        </w:rPr>
        <w:t>至</w:t>
      </w:r>
      <w:r>
        <w:rPr>
          <w:snapToGrid/>
        </w:rPr>
        <w:t>2000</w:t>
      </w:r>
      <w:r>
        <w:rPr>
          <w:rFonts w:hint="eastAsia"/>
          <w:snapToGrid/>
        </w:rPr>
        <w:t>年按性别分列的失业率</w:t>
      </w:r>
      <w:r>
        <w:rPr>
          <w:snapToGrid/>
        </w:rPr>
        <w:t>* (</w:t>
      </w:r>
      <w:r>
        <w:rPr>
          <w:rFonts w:hint="eastAsia"/>
          <w:snapToGrid/>
        </w:rPr>
        <w:t>百分比</w:t>
      </w:r>
      <w:r>
        <w:rPr>
          <w:snapToGrid/>
        </w:rPr>
        <w:t>)</w:t>
      </w:r>
      <w:r>
        <w:rPr>
          <w:snapToGrid/>
        </w:rPr>
        <w:tab/>
      </w:r>
      <w:r>
        <w:rPr>
          <w:snapToGrid/>
        </w:rPr>
        <w:tab/>
        <w:t>40</w:t>
      </w:r>
    </w:p>
    <w:p w:rsidR="00000000" w:rsidRDefault="009C1C61">
      <w:pPr>
        <w:pStyle w:val="aa"/>
        <w:tabs>
          <w:tab w:val="clear" w:pos="510"/>
        </w:tabs>
        <w:spacing w:line="288" w:lineRule="auto"/>
        <w:ind w:left="735" w:hanging="735"/>
        <w:rPr>
          <w:snapToGrid/>
        </w:rPr>
      </w:pPr>
      <w:r>
        <w:rPr>
          <w:rFonts w:hint="eastAsia"/>
          <w:snapToGrid/>
        </w:rPr>
        <w:t>表</w:t>
      </w:r>
      <w:r>
        <w:rPr>
          <w:snapToGrid/>
        </w:rPr>
        <w:t>7</w:t>
      </w:r>
      <w:r>
        <w:rPr>
          <w:snapToGrid/>
        </w:rPr>
        <w:tab/>
        <w:t>1990</w:t>
      </w:r>
      <w:r>
        <w:rPr>
          <w:rFonts w:hint="eastAsia"/>
          <w:snapToGrid/>
        </w:rPr>
        <w:t>至</w:t>
      </w:r>
      <w:r>
        <w:rPr>
          <w:snapToGrid/>
        </w:rPr>
        <w:t>2001</w:t>
      </w:r>
      <w:r>
        <w:rPr>
          <w:rFonts w:hint="eastAsia"/>
          <w:snapToGrid/>
        </w:rPr>
        <w:t>年智利男女性失业情况变化趋势</w:t>
      </w:r>
      <w:r>
        <w:rPr>
          <w:snapToGrid/>
        </w:rPr>
        <w:t>(</w:t>
      </w:r>
      <w:r>
        <w:rPr>
          <w:rFonts w:hint="eastAsia"/>
          <w:snapToGrid/>
        </w:rPr>
        <w:t>千人</w:t>
      </w:r>
      <w:r>
        <w:rPr>
          <w:snapToGrid/>
        </w:rPr>
        <w:t>)</w:t>
      </w:r>
      <w:r>
        <w:rPr>
          <w:snapToGrid/>
        </w:rPr>
        <w:tab/>
      </w:r>
      <w:r>
        <w:rPr>
          <w:snapToGrid/>
        </w:rPr>
        <w:tab/>
        <w:t>41</w:t>
      </w:r>
    </w:p>
    <w:p w:rsidR="00000000" w:rsidRDefault="009C1C61">
      <w:pPr>
        <w:pStyle w:val="aa"/>
        <w:tabs>
          <w:tab w:val="clear" w:pos="510"/>
        </w:tabs>
        <w:spacing w:line="288" w:lineRule="auto"/>
        <w:ind w:left="735" w:hanging="735"/>
        <w:rPr>
          <w:snapToGrid/>
        </w:rPr>
      </w:pPr>
      <w:r>
        <w:rPr>
          <w:rFonts w:hint="eastAsia"/>
          <w:snapToGrid/>
        </w:rPr>
        <w:t>表</w:t>
      </w:r>
      <w:r>
        <w:rPr>
          <w:snapToGrid/>
        </w:rPr>
        <w:t>8</w:t>
      </w:r>
      <w:r>
        <w:rPr>
          <w:snapToGrid/>
        </w:rPr>
        <w:tab/>
        <w:t>1989</w:t>
      </w:r>
      <w:r>
        <w:rPr>
          <w:rFonts w:hint="eastAsia"/>
          <w:snapToGrid/>
        </w:rPr>
        <w:t>至</w:t>
      </w:r>
      <w:r>
        <w:rPr>
          <w:snapToGrid/>
        </w:rPr>
        <w:t>2000</w:t>
      </w:r>
      <w:r>
        <w:rPr>
          <w:rFonts w:hint="eastAsia"/>
          <w:snapToGrid/>
        </w:rPr>
        <w:t>年在职雇员人均生产率</w:t>
      </w:r>
      <w:r>
        <w:rPr>
          <w:snapToGrid/>
        </w:rPr>
        <w:tab/>
      </w:r>
      <w:r>
        <w:rPr>
          <w:snapToGrid/>
        </w:rPr>
        <w:tab/>
        <w:t>42</w:t>
      </w:r>
    </w:p>
    <w:p w:rsidR="00000000" w:rsidRDefault="009C1C61">
      <w:pPr>
        <w:pStyle w:val="aa"/>
        <w:tabs>
          <w:tab w:val="clear" w:pos="510"/>
        </w:tabs>
        <w:spacing w:line="288" w:lineRule="auto"/>
        <w:ind w:left="735" w:hanging="735"/>
        <w:rPr>
          <w:snapToGrid/>
        </w:rPr>
      </w:pPr>
      <w:r>
        <w:rPr>
          <w:rFonts w:hint="eastAsia"/>
          <w:snapToGrid/>
        </w:rPr>
        <w:t>表</w:t>
      </w:r>
      <w:r>
        <w:rPr>
          <w:snapToGrid/>
        </w:rPr>
        <w:t>9</w:t>
      </w:r>
      <w:r>
        <w:rPr>
          <w:snapToGrid/>
        </w:rPr>
        <w:tab/>
        <w:t>1989</w:t>
      </w:r>
      <w:r>
        <w:rPr>
          <w:rFonts w:hint="eastAsia"/>
          <w:snapToGrid/>
        </w:rPr>
        <w:t>至</w:t>
      </w:r>
      <w:r>
        <w:rPr>
          <w:snapToGrid/>
        </w:rPr>
        <w:t>2000</w:t>
      </w:r>
      <w:r>
        <w:rPr>
          <w:rFonts w:hint="eastAsia"/>
          <w:snapToGrid/>
        </w:rPr>
        <w:t>年按实际价值计算的收入和最低工资指数</w:t>
      </w:r>
      <w:r>
        <w:rPr>
          <w:snapToGrid/>
        </w:rPr>
        <w:t>(</w:t>
      </w:r>
      <w:r>
        <w:rPr>
          <w:rFonts w:hint="eastAsia"/>
          <w:snapToGrid/>
        </w:rPr>
        <w:t>以</w:t>
      </w:r>
      <w:r>
        <w:rPr>
          <w:snapToGrid/>
        </w:rPr>
        <w:t>1999</w:t>
      </w:r>
      <w:r>
        <w:rPr>
          <w:rFonts w:hint="eastAsia"/>
          <w:snapToGrid/>
        </w:rPr>
        <w:t>年</w:t>
      </w:r>
      <w:r>
        <w:rPr>
          <w:snapToGrid/>
        </w:rPr>
        <w:t xml:space="preserve"> = 100</w:t>
      </w:r>
      <w:r>
        <w:rPr>
          <w:rFonts w:hint="eastAsia"/>
          <w:snapToGrid/>
        </w:rPr>
        <w:t>为基准</w:t>
      </w:r>
      <w:r>
        <w:rPr>
          <w:snapToGrid/>
        </w:rPr>
        <w:t>)</w:t>
      </w:r>
      <w:r>
        <w:rPr>
          <w:snapToGrid/>
        </w:rPr>
        <w:tab/>
      </w:r>
      <w:r>
        <w:rPr>
          <w:snapToGrid/>
        </w:rPr>
        <w:tab/>
        <w:t>50</w:t>
      </w:r>
    </w:p>
    <w:p w:rsidR="00000000" w:rsidRDefault="009C1C61">
      <w:pPr>
        <w:pStyle w:val="aa"/>
        <w:tabs>
          <w:tab w:val="clear" w:pos="510"/>
        </w:tabs>
        <w:spacing w:line="288" w:lineRule="auto"/>
        <w:ind w:left="735" w:hanging="735"/>
        <w:rPr>
          <w:snapToGrid/>
        </w:rPr>
      </w:pPr>
      <w:r>
        <w:rPr>
          <w:rFonts w:hint="eastAsia"/>
          <w:snapToGrid/>
        </w:rPr>
        <w:t>表</w:t>
      </w:r>
      <w:r>
        <w:rPr>
          <w:snapToGrid/>
        </w:rPr>
        <w:t>10</w:t>
      </w:r>
      <w:r>
        <w:rPr>
          <w:snapToGrid/>
        </w:rPr>
        <w:tab/>
        <w:t>1990</w:t>
      </w:r>
      <w:r>
        <w:rPr>
          <w:rFonts w:hint="eastAsia"/>
          <w:snapToGrid/>
        </w:rPr>
        <w:t>至</w:t>
      </w:r>
      <w:r>
        <w:rPr>
          <w:snapToGrid/>
        </w:rPr>
        <w:t>1999</w:t>
      </w:r>
      <w:r>
        <w:rPr>
          <w:rFonts w:hint="eastAsia"/>
          <w:snapToGrid/>
        </w:rPr>
        <w:t>年期间按工会类型分列的工会数量变化情况</w:t>
      </w:r>
      <w:r>
        <w:rPr>
          <w:snapToGrid/>
        </w:rPr>
        <w:tab/>
      </w:r>
      <w:r>
        <w:rPr>
          <w:snapToGrid/>
        </w:rPr>
        <w:tab/>
        <w:t>61</w:t>
      </w:r>
    </w:p>
    <w:p w:rsidR="00000000" w:rsidRDefault="009C1C61">
      <w:pPr>
        <w:pStyle w:val="aa"/>
        <w:tabs>
          <w:tab w:val="clear" w:pos="510"/>
        </w:tabs>
        <w:spacing w:line="288" w:lineRule="auto"/>
        <w:ind w:left="735" w:hanging="735"/>
        <w:rPr>
          <w:snapToGrid/>
        </w:rPr>
      </w:pPr>
      <w:r>
        <w:rPr>
          <w:rFonts w:hint="eastAsia"/>
          <w:snapToGrid/>
        </w:rPr>
        <w:t>表</w:t>
      </w:r>
      <w:r>
        <w:rPr>
          <w:snapToGrid/>
        </w:rPr>
        <w:t>11</w:t>
      </w:r>
      <w:r>
        <w:rPr>
          <w:snapToGrid/>
        </w:rPr>
        <w:tab/>
        <w:t>1990</w:t>
      </w:r>
      <w:r>
        <w:rPr>
          <w:rFonts w:hint="eastAsia"/>
          <w:snapToGrid/>
        </w:rPr>
        <w:t>至</w:t>
      </w:r>
      <w:r>
        <w:rPr>
          <w:snapToGrid/>
        </w:rPr>
        <w:t>1999</w:t>
      </w:r>
      <w:r>
        <w:rPr>
          <w:rFonts w:hint="eastAsia"/>
          <w:snapToGrid/>
        </w:rPr>
        <w:t>年期间智利工会和会员总数</w:t>
      </w:r>
      <w:r>
        <w:rPr>
          <w:snapToGrid/>
        </w:rPr>
        <w:tab/>
      </w:r>
      <w:r>
        <w:rPr>
          <w:snapToGrid/>
        </w:rPr>
        <w:tab/>
        <w:t>62</w:t>
      </w:r>
    </w:p>
    <w:p w:rsidR="00000000" w:rsidRDefault="009C1C61">
      <w:pPr>
        <w:pStyle w:val="aa"/>
        <w:tabs>
          <w:tab w:val="clear" w:pos="510"/>
        </w:tabs>
        <w:spacing w:line="288" w:lineRule="auto"/>
        <w:ind w:left="735" w:hanging="735"/>
        <w:rPr>
          <w:snapToGrid/>
        </w:rPr>
      </w:pPr>
      <w:r>
        <w:rPr>
          <w:rFonts w:hint="eastAsia"/>
          <w:snapToGrid/>
        </w:rPr>
        <w:t>表</w:t>
      </w:r>
      <w:r>
        <w:rPr>
          <w:snapToGrid/>
        </w:rPr>
        <w:t>12</w:t>
      </w:r>
      <w:r>
        <w:rPr>
          <w:snapToGrid/>
        </w:rPr>
        <w:tab/>
        <w:t>1990</w:t>
      </w:r>
      <w:r>
        <w:rPr>
          <w:rFonts w:hint="eastAsia"/>
          <w:snapToGrid/>
        </w:rPr>
        <w:t>至</w:t>
      </w:r>
      <w:r>
        <w:rPr>
          <w:snapToGrid/>
        </w:rPr>
        <w:t>1999</w:t>
      </w:r>
      <w:r>
        <w:rPr>
          <w:rFonts w:hint="eastAsia"/>
          <w:snapToGrid/>
        </w:rPr>
        <w:t>年期间根据工会类型分列的智利工会变化情况</w:t>
      </w:r>
      <w:r>
        <w:rPr>
          <w:snapToGrid/>
        </w:rPr>
        <w:tab/>
      </w:r>
      <w:r>
        <w:rPr>
          <w:snapToGrid/>
        </w:rPr>
        <w:tab/>
        <w:t>62</w:t>
      </w:r>
    </w:p>
    <w:p w:rsidR="00000000" w:rsidRDefault="009C1C61">
      <w:pPr>
        <w:pStyle w:val="aa"/>
        <w:tabs>
          <w:tab w:val="clear" w:pos="510"/>
        </w:tabs>
        <w:spacing w:line="288" w:lineRule="auto"/>
        <w:ind w:left="735" w:hanging="735"/>
        <w:rPr>
          <w:snapToGrid/>
        </w:rPr>
      </w:pPr>
      <w:r>
        <w:rPr>
          <w:rFonts w:hint="eastAsia"/>
          <w:snapToGrid/>
        </w:rPr>
        <w:t>表</w:t>
      </w:r>
      <w:r>
        <w:rPr>
          <w:snapToGrid/>
        </w:rPr>
        <w:t>13</w:t>
      </w:r>
      <w:r>
        <w:rPr>
          <w:snapToGrid/>
        </w:rPr>
        <w:tab/>
      </w:r>
      <w:r>
        <w:rPr>
          <w:rFonts w:hint="eastAsia"/>
          <w:snapToGrid/>
        </w:rPr>
        <w:t>1</w:t>
      </w:r>
      <w:r>
        <w:rPr>
          <w:snapToGrid/>
        </w:rPr>
        <w:t>987</w:t>
      </w:r>
      <w:r>
        <w:rPr>
          <w:rFonts w:hint="eastAsia"/>
          <w:snapToGrid/>
        </w:rPr>
        <w:t>至</w:t>
      </w:r>
      <w:r>
        <w:rPr>
          <w:snapToGrid/>
        </w:rPr>
        <w:t>2000</w:t>
      </w:r>
      <w:r>
        <w:rPr>
          <w:rFonts w:hint="eastAsia"/>
          <w:snapToGrid/>
        </w:rPr>
        <w:t>年公共支出和财政支出概算</w:t>
      </w:r>
      <w:r>
        <w:rPr>
          <w:snapToGrid/>
        </w:rPr>
        <w:t>(</w:t>
      </w:r>
      <w:r>
        <w:rPr>
          <w:rFonts w:hint="eastAsia"/>
          <w:snapToGrid/>
        </w:rPr>
        <w:t>按</w:t>
      </w:r>
      <w:r>
        <w:rPr>
          <w:snapToGrid/>
        </w:rPr>
        <w:t>2000</w:t>
      </w:r>
      <w:r>
        <w:rPr>
          <w:rFonts w:hint="eastAsia"/>
          <w:snapToGrid/>
        </w:rPr>
        <w:t>年的汇率计算的百万比索</w:t>
      </w:r>
      <w:r>
        <w:rPr>
          <w:snapToGrid/>
        </w:rPr>
        <w:t>)</w:t>
      </w:r>
      <w:r>
        <w:rPr>
          <w:snapToGrid/>
        </w:rPr>
        <w:tab/>
      </w:r>
      <w:r>
        <w:rPr>
          <w:snapToGrid/>
        </w:rPr>
        <w:tab/>
        <w:t>83</w:t>
      </w:r>
    </w:p>
    <w:p w:rsidR="00000000" w:rsidRDefault="009C1C61">
      <w:pPr>
        <w:pStyle w:val="aa"/>
        <w:tabs>
          <w:tab w:val="clear" w:pos="510"/>
        </w:tabs>
        <w:spacing w:line="288" w:lineRule="auto"/>
        <w:ind w:left="735" w:hanging="735"/>
        <w:rPr>
          <w:snapToGrid/>
        </w:rPr>
      </w:pPr>
      <w:r>
        <w:rPr>
          <w:rFonts w:hint="eastAsia"/>
          <w:snapToGrid/>
        </w:rPr>
        <w:t>表</w:t>
      </w:r>
      <w:r>
        <w:rPr>
          <w:snapToGrid/>
        </w:rPr>
        <w:t>14</w:t>
      </w:r>
      <w:r>
        <w:rPr>
          <w:snapToGrid/>
        </w:rPr>
        <w:tab/>
        <w:t>1990</w:t>
      </w:r>
      <w:r>
        <w:rPr>
          <w:rFonts w:hint="eastAsia"/>
          <w:snapToGrid/>
        </w:rPr>
        <w:t>、</w:t>
      </w:r>
      <w:r>
        <w:rPr>
          <w:snapToGrid/>
        </w:rPr>
        <w:t>1995</w:t>
      </w:r>
      <w:r>
        <w:rPr>
          <w:rFonts w:hint="eastAsia"/>
          <w:snapToGrid/>
        </w:rPr>
        <w:t>和</w:t>
      </w:r>
      <w:r>
        <w:rPr>
          <w:snapToGrid/>
        </w:rPr>
        <w:t>2000</w:t>
      </w:r>
      <w:r>
        <w:rPr>
          <w:rFonts w:hint="eastAsia"/>
          <w:snapToGrid/>
        </w:rPr>
        <w:t>年民事登记和鉴定记录的变化</w:t>
      </w:r>
      <w:r>
        <w:rPr>
          <w:rFonts w:hint="eastAsia"/>
          <w:snapToGrid/>
        </w:rPr>
        <w:t xml:space="preserve"> </w:t>
      </w:r>
      <w:r>
        <w:rPr>
          <w:snapToGrid/>
        </w:rPr>
        <w:tab/>
      </w:r>
      <w:r>
        <w:rPr>
          <w:rFonts w:hint="eastAsia"/>
          <w:snapToGrid/>
        </w:rPr>
        <w:tab/>
      </w:r>
      <w:r>
        <w:rPr>
          <w:snapToGrid/>
        </w:rPr>
        <w:t>91</w:t>
      </w:r>
    </w:p>
    <w:p w:rsidR="00000000" w:rsidRDefault="009C1C61">
      <w:pPr>
        <w:pStyle w:val="aa"/>
        <w:tabs>
          <w:tab w:val="clear" w:pos="510"/>
        </w:tabs>
        <w:spacing w:line="288" w:lineRule="auto"/>
        <w:ind w:left="735" w:hanging="735"/>
        <w:rPr>
          <w:snapToGrid/>
        </w:rPr>
      </w:pPr>
      <w:r>
        <w:rPr>
          <w:rFonts w:hint="eastAsia"/>
          <w:snapToGrid/>
        </w:rPr>
        <w:t>表</w:t>
      </w:r>
      <w:r>
        <w:rPr>
          <w:snapToGrid/>
        </w:rPr>
        <w:t>15</w:t>
      </w:r>
      <w:r>
        <w:rPr>
          <w:snapToGrid/>
        </w:rPr>
        <w:tab/>
        <w:t>1999</w:t>
      </w:r>
      <w:r>
        <w:rPr>
          <w:rFonts w:hint="eastAsia"/>
          <w:snapToGrid/>
        </w:rPr>
        <w:t>年</w:t>
      </w:r>
      <w:r>
        <w:rPr>
          <w:rFonts w:hint="eastAsia"/>
          <w:snapToGrid/>
        </w:rPr>
        <w:t>1</w:t>
      </w:r>
      <w:r>
        <w:rPr>
          <w:rFonts w:hint="eastAsia"/>
          <w:snapToGrid/>
        </w:rPr>
        <w:t>至</w:t>
      </w:r>
      <w:r>
        <w:rPr>
          <w:rFonts w:hint="eastAsia"/>
          <w:snapToGrid/>
        </w:rPr>
        <w:t>12</w:t>
      </w:r>
      <w:r>
        <w:rPr>
          <w:rFonts w:hint="eastAsia"/>
          <w:snapToGrid/>
        </w:rPr>
        <w:t>月法律援助方案的咨询领域</w:t>
      </w:r>
      <w:r>
        <w:rPr>
          <w:snapToGrid/>
        </w:rPr>
        <w:tab/>
      </w:r>
      <w:r>
        <w:rPr>
          <w:rFonts w:hint="eastAsia"/>
          <w:snapToGrid/>
        </w:rPr>
        <w:tab/>
      </w:r>
      <w:r>
        <w:rPr>
          <w:snapToGrid/>
        </w:rPr>
        <w:t>115</w:t>
      </w:r>
    </w:p>
    <w:p w:rsidR="00000000" w:rsidRDefault="009C1C61">
      <w:pPr>
        <w:pStyle w:val="aa"/>
        <w:tabs>
          <w:tab w:val="clear" w:pos="510"/>
        </w:tabs>
        <w:spacing w:line="288" w:lineRule="auto"/>
        <w:ind w:left="735" w:hanging="735"/>
        <w:rPr>
          <w:snapToGrid/>
        </w:rPr>
      </w:pPr>
      <w:r>
        <w:rPr>
          <w:rFonts w:hint="eastAsia"/>
          <w:snapToGrid/>
        </w:rPr>
        <w:t>表</w:t>
      </w:r>
      <w:r>
        <w:rPr>
          <w:snapToGrid/>
        </w:rPr>
        <w:t>16</w:t>
      </w:r>
      <w:r>
        <w:rPr>
          <w:snapToGrid/>
        </w:rPr>
        <w:tab/>
        <w:t>1989</w:t>
      </w:r>
      <w:r>
        <w:rPr>
          <w:rFonts w:hint="eastAsia"/>
          <w:snapToGrid/>
        </w:rPr>
        <w:t>至</w:t>
      </w:r>
      <w:r>
        <w:rPr>
          <w:snapToGrid/>
        </w:rPr>
        <w:t>2000</w:t>
      </w:r>
      <w:r>
        <w:rPr>
          <w:rFonts w:hint="eastAsia"/>
          <w:snapToGrid/>
        </w:rPr>
        <w:t>年用于社会福利</w:t>
      </w:r>
      <w:r>
        <w:rPr>
          <w:snapToGrid/>
        </w:rPr>
        <w:t>*</w:t>
      </w:r>
      <w:r>
        <w:rPr>
          <w:rFonts w:hint="eastAsia"/>
          <w:snapToGrid/>
        </w:rPr>
        <w:t>的公共支出和财政支出</w:t>
      </w:r>
      <w:r>
        <w:rPr>
          <w:snapToGrid/>
        </w:rPr>
        <w:t>(</w:t>
      </w:r>
      <w:r>
        <w:rPr>
          <w:rFonts w:hint="eastAsia"/>
          <w:snapToGrid/>
        </w:rPr>
        <w:t>按</w:t>
      </w:r>
      <w:r>
        <w:rPr>
          <w:snapToGrid/>
        </w:rPr>
        <w:t>2000</w:t>
      </w:r>
      <w:r>
        <w:rPr>
          <w:rFonts w:hint="eastAsia"/>
          <w:snapToGrid/>
        </w:rPr>
        <w:t>年价值计算的百万比索</w:t>
      </w:r>
      <w:r>
        <w:rPr>
          <w:snapToGrid/>
        </w:rPr>
        <w:t>) (</w:t>
      </w:r>
      <w:r>
        <w:rPr>
          <w:rFonts w:hint="eastAsia"/>
          <w:snapToGrid/>
        </w:rPr>
        <w:t>按</w:t>
      </w:r>
      <w:r>
        <w:rPr>
          <w:snapToGrid/>
        </w:rPr>
        <w:t>2000</w:t>
      </w:r>
      <w:r>
        <w:rPr>
          <w:rFonts w:hint="eastAsia"/>
          <w:snapToGrid/>
        </w:rPr>
        <w:t>年价值计算的美元</w:t>
      </w:r>
      <w:r>
        <w:rPr>
          <w:snapToGrid/>
        </w:rPr>
        <w:t>)</w:t>
      </w:r>
      <w:r>
        <w:rPr>
          <w:snapToGrid/>
        </w:rPr>
        <w:tab/>
      </w:r>
      <w:r>
        <w:rPr>
          <w:snapToGrid/>
        </w:rPr>
        <w:tab/>
        <w:t>120</w:t>
      </w:r>
    </w:p>
    <w:p w:rsidR="00000000" w:rsidRDefault="009C1C61">
      <w:pPr>
        <w:pStyle w:val="aa"/>
        <w:tabs>
          <w:tab w:val="clear" w:pos="510"/>
        </w:tabs>
        <w:spacing w:line="288" w:lineRule="auto"/>
        <w:ind w:left="735" w:hanging="735"/>
        <w:rPr>
          <w:snapToGrid/>
        </w:rPr>
      </w:pPr>
      <w:r>
        <w:rPr>
          <w:rFonts w:hint="eastAsia"/>
          <w:snapToGrid/>
        </w:rPr>
        <w:t>表</w:t>
      </w:r>
      <w:r>
        <w:rPr>
          <w:snapToGrid/>
        </w:rPr>
        <w:t>17</w:t>
      </w:r>
      <w:r>
        <w:rPr>
          <w:snapToGrid/>
        </w:rPr>
        <w:tab/>
        <w:t>1990</w:t>
      </w:r>
      <w:r>
        <w:rPr>
          <w:rFonts w:hint="eastAsia"/>
          <w:snapToGrid/>
        </w:rPr>
        <w:t>、</w:t>
      </w:r>
      <w:r>
        <w:rPr>
          <w:snapToGrid/>
        </w:rPr>
        <w:t>1995</w:t>
      </w:r>
      <w:r>
        <w:rPr>
          <w:rFonts w:hint="eastAsia"/>
          <w:snapToGrid/>
        </w:rPr>
        <w:t>和</w:t>
      </w:r>
      <w:r>
        <w:rPr>
          <w:snapToGrid/>
        </w:rPr>
        <w:t>2000</w:t>
      </w:r>
      <w:r>
        <w:rPr>
          <w:rFonts w:hint="eastAsia"/>
          <w:snapToGrid/>
        </w:rPr>
        <w:t>年公共福利支出和财政福利支出的部门</w:t>
      </w:r>
      <w:r>
        <w:rPr>
          <w:rFonts w:hint="eastAsia"/>
          <w:snapToGrid/>
        </w:rPr>
        <w:t>结构</w:t>
      </w:r>
      <w:r>
        <w:rPr>
          <w:snapToGrid/>
        </w:rPr>
        <w:t>(</w:t>
      </w:r>
      <w:r>
        <w:rPr>
          <w:rFonts w:hint="eastAsia"/>
          <w:snapToGrid/>
        </w:rPr>
        <w:t>百分比</w:t>
      </w:r>
      <w:r>
        <w:rPr>
          <w:snapToGrid/>
        </w:rPr>
        <w:t>)</w:t>
      </w:r>
      <w:r>
        <w:rPr>
          <w:rFonts w:hint="eastAsia"/>
          <w:snapToGrid/>
        </w:rPr>
        <w:t>..............</w:t>
      </w:r>
      <w:r>
        <w:rPr>
          <w:snapToGrid/>
        </w:rPr>
        <w:tab/>
      </w:r>
      <w:r>
        <w:rPr>
          <w:rFonts w:hint="eastAsia"/>
          <w:snapToGrid/>
        </w:rPr>
        <w:tab/>
      </w:r>
      <w:r>
        <w:rPr>
          <w:snapToGrid/>
        </w:rPr>
        <w:t>122</w:t>
      </w:r>
    </w:p>
    <w:p w:rsidR="00000000" w:rsidRDefault="009C1C61">
      <w:pPr>
        <w:pStyle w:val="aa"/>
        <w:tabs>
          <w:tab w:val="clear" w:pos="510"/>
        </w:tabs>
        <w:spacing w:line="288" w:lineRule="auto"/>
        <w:ind w:left="735" w:hanging="735"/>
        <w:rPr>
          <w:snapToGrid/>
        </w:rPr>
      </w:pPr>
      <w:r>
        <w:rPr>
          <w:rFonts w:hint="eastAsia"/>
          <w:snapToGrid/>
        </w:rPr>
        <w:t>表</w:t>
      </w:r>
      <w:r>
        <w:rPr>
          <w:snapToGrid/>
        </w:rPr>
        <w:t>18</w:t>
      </w:r>
      <w:r>
        <w:rPr>
          <w:snapToGrid/>
        </w:rPr>
        <w:tab/>
        <w:t>1990</w:t>
      </w:r>
      <w:r>
        <w:rPr>
          <w:rFonts w:hint="eastAsia"/>
          <w:snapToGrid/>
        </w:rPr>
        <w:t>至</w:t>
      </w:r>
      <w:r>
        <w:rPr>
          <w:snapToGrid/>
        </w:rPr>
        <w:t>2000</w:t>
      </w:r>
      <w:r>
        <w:rPr>
          <w:rFonts w:hint="eastAsia"/>
          <w:snapToGrid/>
        </w:rPr>
        <w:t>年智利贫困和赤贫</w:t>
      </w:r>
      <w:r>
        <w:rPr>
          <w:snapToGrid/>
        </w:rPr>
        <w:t>*</w:t>
      </w:r>
      <w:r>
        <w:rPr>
          <w:rFonts w:hint="eastAsia"/>
          <w:snapToGrid/>
        </w:rPr>
        <w:t>趋势</w:t>
      </w:r>
      <w:r>
        <w:rPr>
          <w:snapToGrid/>
        </w:rPr>
        <w:tab/>
      </w:r>
      <w:r>
        <w:rPr>
          <w:snapToGrid/>
        </w:rPr>
        <w:tab/>
        <w:t>123</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19</w:t>
      </w:r>
      <w:r>
        <w:rPr>
          <w:snapToGrid/>
        </w:rPr>
        <w:tab/>
        <w:t>1990</w:t>
      </w:r>
      <w:r>
        <w:rPr>
          <w:rFonts w:hint="eastAsia"/>
          <w:snapToGrid/>
        </w:rPr>
        <w:t>至</w:t>
      </w:r>
      <w:r>
        <w:rPr>
          <w:snapToGrid/>
        </w:rPr>
        <w:t>2000</w:t>
      </w:r>
      <w:r>
        <w:rPr>
          <w:rFonts w:hint="eastAsia"/>
          <w:snapToGrid/>
        </w:rPr>
        <w:t>年智利独立收入和货币收入分布情况</w:t>
      </w:r>
      <w:r>
        <w:rPr>
          <w:snapToGrid/>
        </w:rPr>
        <w:t>*</w:t>
      </w:r>
      <w:r>
        <w:rPr>
          <w:snapToGrid/>
        </w:rPr>
        <w:tab/>
      </w:r>
      <w:r>
        <w:rPr>
          <w:snapToGrid/>
        </w:rPr>
        <w:tab/>
        <w:t>125</w:t>
      </w:r>
    </w:p>
    <w:p w:rsidR="00000000" w:rsidRDefault="009C1C61">
      <w:pPr>
        <w:pStyle w:val="aa"/>
        <w:tabs>
          <w:tab w:val="clear" w:pos="510"/>
        </w:tabs>
        <w:spacing w:line="288" w:lineRule="auto"/>
        <w:ind w:left="735" w:hanging="735"/>
        <w:rPr>
          <w:snapToGrid/>
        </w:rPr>
      </w:pPr>
      <w:r>
        <w:rPr>
          <w:rFonts w:hint="eastAsia"/>
          <w:snapToGrid/>
        </w:rPr>
        <w:t>表</w:t>
      </w:r>
      <w:r>
        <w:rPr>
          <w:snapToGrid/>
        </w:rPr>
        <w:t>20</w:t>
      </w:r>
      <w:r>
        <w:rPr>
          <w:snapToGrid/>
        </w:rPr>
        <w:tab/>
      </w:r>
      <w:r>
        <w:rPr>
          <w:snapToGrid/>
          <w:spacing w:val="0"/>
        </w:rPr>
        <w:t>1990</w:t>
      </w:r>
      <w:r>
        <w:rPr>
          <w:rFonts w:hint="eastAsia"/>
          <w:snapToGrid/>
          <w:spacing w:val="0"/>
        </w:rPr>
        <w:t>至</w:t>
      </w:r>
      <w:r>
        <w:rPr>
          <w:snapToGrid/>
          <w:spacing w:val="0"/>
        </w:rPr>
        <w:t>1998</w:t>
      </w:r>
      <w:r>
        <w:rPr>
          <w:rFonts w:hint="eastAsia"/>
          <w:snapToGrid/>
          <w:spacing w:val="0"/>
        </w:rPr>
        <w:t>年按智利居民户人均独立收入的</w:t>
      </w:r>
      <w:r>
        <w:rPr>
          <w:snapToGrid/>
          <w:spacing w:val="0"/>
        </w:rPr>
        <w:t>*</w:t>
      </w:r>
      <w:r>
        <w:rPr>
          <w:rFonts w:hint="eastAsia"/>
          <w:snapToGrid/>
          <w:spacing w:val="0"/>
        </w:rPr>
        <w:t xml:space="preserve"> </w:t>
      </w:r>
      <w:r>
        <w:rPr>
          <w:rFonts w:hint="eastAsia"/>
          <w:snapToGrid/>
          <w:spacing w:val="0"/>
        </w:rPr>
        <w:t>十等分层分列的户均独立收入和货币收入</w:t>
      </w:r>
      <w:r>
        <w:rPr>
          <w:snapToGrid/>
          <w:spacing w:val="0"/>
        </w:rPr>
        <w:t>(1998</w:t>
      </w:r>
      <w:r>
        <w:rPr>
          <w:rFonts w:hint="eastAsia"/>
          <w:snapToGrid/>
          <w:spacing w:val="0"/>
        </w:rPr>
        <w:t>年</w:t>
      </w:r>
      <w:r>
        <w:rPr>
          <w:rFonts w:hint="eastAsia"/>
          <w:snapToGrid/>
          <w:spacing w:val="0"/>
        </w:rPr>
        <w:t>11</w:t>
      </w:r>
      <w:r>
        <w:rPr>
          <w:rFonts w:hint="eastAsia"/>
          <w:snapToGrid/>
          <w:spacing w:val="0"/>
        </w:rPr>
        <w:t>月比索</w:t>
      </w:r>
      <w:r>
        <w:rPr>
          <w:snapToGrid/>
          <w:spacing w:val="0"/>
        </w:rPr>
        <w:t>) (1998</w:t>
      </w:r>
      <w:r>
        <w:rPr>
          <w:rFonts w:hint="eastAsia"/>
          <w:snapToGrid/>
          <w:spacing w:val="0"/>
        </w:rPr>
        <w:t>年</w:t>
      </w:r>
      <w:r>
        <w:rPr>
          <w:rFonts w:hint="eastAsia"/>
          <w:snapToGrid/>
          <w:spacing w:val="0"/>
        </w:rPr>
        <w:t>11</w:t>
      </w:r>
      <w:r>
        <w:rPr>
          <w:rFonts w:hint="eastAsia"/>
          <w:snapToGrid/>
          <w:spacing w:val="0"/>
        </w:rPr>
        <w:t>月美元</w:t>
      </w:r>
      <w:r>
        <w:rPr>
          <w:snapToGrid/>
          <w:spacing w:val="0"/>
        </w:rPr>
        <w:t>)</w:t>
      </w:r>
      <w:r>
        <w:rPr>
          <w:rFonts w:hint="eastAsia"/>
          <w:snapToGrid/>
        </w:rPr>
        <w:t>.</w:t>
      </w:r>
      <w:r>
        <w:rPr>
          <w:rFonts w:hint="eastAsia"/>
          <w:snapToGrid/>
        </w:rPr>
        <w:tab/>
      </w:r>
      <w:r>
        <w:rPr>
          <w:rFonts w:hint="eastAsia"/>
          <w:snapToGrid/>
        </w:rPr>
        <w:tab/>
      </w:r>
      <w:r>
        <w:rPr>
          <w:snapToGrid/>
        </w:rPr>
        <w:t>126</w:t>
      </w:r>
    </w:p>
    <w:p w:rsidR="00000000" w:rsidRDefault="009C1C61">
      <w:pPr>
        <w:pStyle w:val="aa"/>
        <w:tabs>
          <w:tab w:val="clear" w:pos="510"/>
        </w:tabs>
        <w:spacing w:line="288" w:lineRule="auto"/>
        <w:ind w:left="735" w:hanging="735"/>
        <w:rPr>
          <w:snapToGrid/>
        </w:rPr>
      </w:pPr>
      <w:r>
        <w:rPr>
          <w:rFonts w:hint="eastAsia"/>
          <w:snapToGrid/>
        </w:rPr>
        <w:t>表</w:t>
      </w:r>
      <w:r>
        <w:rPr>
          <w:snapToGrid/>
        </w:rPr>
        <w:t>21</w:t>
      </w:r>
      <w:r>
        <w:rPr>
          <w:snapToGrid/>
        </w:rPr>
        <w:tab/>
        <w:t>1990</w:t>
      </w:r>
      <w:r>
        <w:rPr>
          <w:rFonts w:hint="eastAsia"/>
          <w:snapToGrid/>
        </w:rPr>
        <w:t>至</w:t>
      </w:r>
      <w:r>
        <w:rPr>
          <w:snapToGrid/>
        </w:rPr>
        <w:t>1998</w:t>
      </w:r>
      <w:r>
        <w:rPr>
          <w:rFonts w:hint="eastAsia"/>
          <w:snapToGrid/>
        </w:rPr>
        <w:t>年按智利居民户人均独立收入的</w:t>
      </w:r>
      <w:r>
        <w:rPr>
          <w:snapToGrid/>
        </w:rPr>
        <w:t>*</w:t>
      </w:r>
      <w:r>
        <w:rPr>
          <w:rFonts w:hint="eastAsia"/>
          <w:snapToGrid/>
        </w:rPr>
        <w:t xml:space="preserve"> </w:t>
      </w:r>
      <w:r>
        <w:rPr>
          <w:rFonts w:hint="eastAsia"/>
          <w:snapToGrid/>
        </w:rPr>
        <w:t>十等分层分列的户均独立收入和货币收入的变化</w:t>
      </w:r>
      <w:r>
        <w:rPr>
          <w:snapToGrid/>
        </w:rPr>
        <w:t>(</w:t>
      </w:r>
      <w:r>
        <w:rPr>
          <w:rFonts w:hint="eastAsia"/>
          <w:snapToGrid/>
        </w:rPr>
        <w:t>百分比</w:t>
      </w:r>
      <w:r>
        <w:rPr>
          <w:snapToGrid/>
        </w:rPr>
        <w:t>)</w:t>
      </w:r>
      <w:r>
        <w:rPr>
          <w:snapToGrid/>
        </w:rPr>
        <w:tab/>
      </w:r>
      <w:r>
        <w:rPr>
          <w:snapToGrid/>
        </w:rPr>
        <w:tab/>
        <w:t>127</w:t>
      </w:r>
    </w:p>
    <w:p w:rsidR="00000000" w:rsidRDefault="009C1C61">
      <w:pPr>
        <w:pStyle w:val="aa"/>
        <w:tabs>
          <w:tab w:val="clear" w:pos="510"/>
        </w:tabs>
        <w:spacing w:line="288" w:lineRule="auto"/>
        <w:ind w:left="735" w:hanging="735"/>
        <w:rPr>
          <w:snapToGrid/>
        </w:rPr>
      </w:pPr>
      <w:r>
        <w:rPr>
          <w:rFonts w:hint="eastAsia"/>
          <w:snapToGrid/>
        </w:rPr>
        <w:t>表</w:t>
      </w:r>
      <w:r>
        <w:rPr>
          <w:snapToGrid/>
        </w:rPr>
        <w:t>22</w:t>
      </w:r>
      <w:r>
        <w:rPr>
          <w:snapToGrid/>
        </w:rPr>
        <w:tab/>
        <w:t>1990</w:t>
      </w:r>
      <w:r>
        <w:rPr>
          <w:rFonts w:hint="eastAsia"/>
          <w:snapToGrid/>
        </w:rPr>
        <w:t>至</w:t>
      </w:r>
      <w:r>
        <w:rPr>
          <w:snapToGrid/>
        </w:rPr>
        <w:t>2000</w:t>
      </w:r>
      <w:r>
        <w:rPr>
          <w:rFonts w:hint="eastAsia"/>
          <w:snapToGrid/>
        </w:rPr>
        <w:t>年住房短缺趋势</w:t>
      </w:r>
      <w:r>
        <w:rPr>
          <w:snapToGrid/>
        </w:rPr>
        <w:tab/>
      </w:r>
      <w:r>
        <w:rPr>
          <w:snapToGrid/>
        </w:rPr>
        <w:tab/>
        <w:t>1</w:t>
      </w:r>
      <w:r>
        <w:rPr>
          <w:snapToGrid/>
        </w:rPr>
        <w:t>31</w:t>
      </w:r>
    </w:p>
    <w:p w:rsidR="00000000" w:rsidRDefault="009C1C61">
      <w:pPr>
        <w:pStyle w:val="aa"/>
        <w:tabs>
          <w:tab w:val="clear" w:pos="510"/>
        </w:tabs>
        <w:spacing w:line="288" w:lineRule="auto"/>
        <w:ind w:left="735" w:hanging="735"/>
        <w:rPr>
          <w:snapToGrid/>
        </w:rPr>
      </w:pPr>
      <w:r>
        <w:rPr>
          <w:rFonts w:hint="eastAsia"/>
          <w:snapToGrid/>
        </w:rPr>
        <w:t>表</w:t>
      </w:r>
      <w:r>
        <w:rPr>
          <w:snapToGrid/>
        </w:rPr>
        <w:t>23</w:t>
      </w:r>
      <w:r>
        <w:rPr>
          <w:snapToGrid/>
        </w:rPr>
        <w:tab/>
        <w:t>1990</w:t>
      </w:r>
      <w:r>
        <w:rPr>
          <w:rFonts w:hint="eastAsia"/>
          <w:snapToGrid/>
        </w:rPr>
        <w:t>至</w:t>
      </w:r>
      <w:r>
        <w:rPr>
          <w:snapToGrid/>
        </w:rPr>
        <w:t>1998</w:t>
      </w:r>
      <w:r>
        <w:rPr>
          <w:rFonts w:hint="eastAsia"/>
          <w:snapToGrid/>
        </w:rPr>
        <w:t>年按解决办法分类列出的住房问题解决数量</w:t>
      </w:r>
      <w:r>
        <w:rPr>
          <w:snapToGrid/>
        </w:rPr>
        <w:tab/>
      </w:r>
      <w:r>
        <w:rPr>
          <w:snapToGrid/>
        </w:rPr>
        <w:tab/>
        <w:t>132</w:t>
      </w:r>
    </w:p>
    <w:p w:rsidR="00000000" w:rsidRDefault="009C1C61">
      <w:pPr>
        <w:pStyle w:val="a7"/>
        <w:keepNext/>
        <w:tabs>
          <w:tab w:val="clear" w:pos="7201"/>
          <w:tab w:val="clear" w:pos="8618"/>
          <w:tab w:val="left" w:pos="7088"/>
          <w:tab w:val="left" w:pos="8080"/>
          <w:tab w:val="left" w:pos="8640"/>
        </w:tabs>
        <w:spacing w:after="120" w:line="288"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1C61">
      <w:pPr>
        <w:pStyle w:val="aa"/>
        <w:tabs>
          <w:tab w:val="clear" w:pos="510"/>
        </w:tabs>
        <w:spacing w:line="288" w:lineRule="auto"/>
        <w:ind w:left="735" w:hanging="735"/>
        <w:rPr>
          <w:snapToGrid/>
        </w:rPr>
      </w:pPr>
      <w:r>
        <w:rPr>
          <w:rFonts w:hint="eastAsia"/>
          <w:snapToGrid/>
        </w:rPr>
        <w:t>表</w:t>
      </w:r>
      <w:r>
        <w:rPr>
          <w:snapToGrid/>
        </w:rPr>
        <w:t>24</w:t>
      </w:r>
      <w:r>
        <w:rPr>
          <w:snapToGrid/>
        </w:rPr>
        <w:tab/>
        <w:t>1992</w:t>
      </w:r>
      <w:r>
        <w:rPr>
          <w:rFonts w:hint="eastAsia"/>
          <w:snapToGrid/>
        </w:rPr>
        <w:t>至</w:t>
      </w:r>
      <w:r>
        <w:rPr>
          <w:snapToGrid/>
        </w:rPr>
        <w:t>1998</w:t>
      </w:r>
      <w:r>
        <w:rPr>
          <w:rFonts w:hint="eastAsia"/>
          <w:snapToGrid/>
        </w:rPr>
        <w:t>年智利住房短缺趋势的两种设想的演变情况</w:t>
      </w:r>
      <w:r>
        <w:rPr>
          <w:snapToGrid/>
        </w:rPr>
        <w:tab/>
      </w:r>
      <w:r>
        <w:rPr>
          <w:snapToGrid/>
        </w:rPr>
        <w:tab/>
        <w:t>134</w:t>
      </w:r>
    </w:p>
    <w:p w:rsidR="00000000" w:rsidRDefault="009C1C61">
      <w:pPr>
        <w:pStyle w:val="aa"/>
        <w:tabs>
          <w:tab w:val="clear" w:pos="510"/>
        </w:tabs>
        <w:spacing w:line="288" w:lineRule="auto"/>
        <w:ind w:left="735" w:hanging="735"/>
        <w:rPr>
          <w:snapToGrid/>
        </w:rPr>
      </w:pPr>
      <w:r>
        <w:rPr>
          <w:rFonts w:hint="eastAsia"/>
          <w:snapToGrid/>
        </w:rPr>
        <w:t>表</w:t>
      </w:r>
      <w:r>
        <w:rPr>
          <w:snapToGrid/>
        </w:rPr>
        <w:t>25</w:t>
      </w:r>
      <w:r>
        <w:rPr>
          <w:snapToGrid/>
        </w:rPr>
        <w:tab/>
        <w:t>1990</w:t>
      </w:r>
      <w:r>
        <w:rPr>
          <w:rFonts w:hint="eastAsia"/>
          <w:snapToGrid/>
        </w:rPr>
        <w:t>至</w:t>
      </w:r>
      <w:r>
        <w:rPr>
          <w:snapToGrid/>
        </w:rPr>
        <w:t>1998</w:t>
      </w:r>
      <w:r>
        <w:rPr>
          <w:rFonts w:hint="eastAsia"/>
          <w:snapToGrid/>
        </w:rPr>
        <w:t>年智利根据住房卫生条件分列的住户数</w:t>
      </w:r>
      <w:r>
        <w:rPr>
          <w:rFonts w:hint="eastAsia"/>
          <w:snapToGrid/>
        </w:rPr>
        <w:tab/>
      </w:r>
      <w:r>
        <w:rPr>
          <w:rFonts w:hint="eastAsia"/>
          <w:snapToGrid/>
        </w:rPr>
        <w:tab/>
      </w:r>
      <w:r>
        <w:rPr>
          <w:snapToGrid/>
        </w:rPr>
        <w:t>135</w:t>
      </w:r>
    </w:p>
    <w:p w:rsidR="00000000" w:rsidRDefault="009C1C61">
      <w:pPr>
        <w:pStyle w:val="aa"/>
        <w:tabs>
          <w:tab w:val="clear" w:pos="510"/>
        </w:tabs>
        <w:spacing w:line="288" w:lineRule="auto"/>
        <w:ind w:left="735" w:hanging="735"/>
        <w:rPr>
          <w:snapToGrid/>
        </w:rPr>
      </w:pPr>
      <w:r>
        <w:rPr>
          <w:rFonts w:hint="eastAsia"/>
          <w:snapToGrid/>
        </w:rPr>
        <w:t>表</w:t>
      </w:r>
      <w:r>
        <w:rPr>
          <w:snapToGrid/>
        </w:rPr>
        <w:t>26</w:t>
      </w:r>
      <w:r>
        <w:rPr>
          <w:snapToGrid/>
        </w:rPr>
        <w:tab/>
      </w:r>
      <w:r>
        <w:rPr>
          <w:rFonts w:hint="eastAsia"/>
          <w:snapToGrid/>
        </w:rPr>
        <w:t>智利住在没有饮用水住房中的居民户数量和个人的估计数</w:t>
      </w:r>
      <w:r>
        <w:rPr>
          <w:snapToGrid/>
        </w:rPr>
        <w:tab/>
      </w:r>
      <w:r>
        <w:rPr>
          <w:snapToGrid/>
        </w:rPr>
        <w:tab/>
        <w:t>136</w:t>
      </w:r>
    </w:p>
    <w:p w:rsidR="00000000" w:rsidRDefault="009C1C61">
      <w:pPr>
        <w:pStyle w:val="aa"/>
        <w:tabs>
          <w:tab w:val="clear" w:pos="510"/>
        </w:tabs>
        <w:spacing w:line="288" w:lineRule="auto"/>
        <w:ind w:left="735" w:hanging="735"/>
        <w:rPr>
          <w:snapToGrid/>
        </w:rPr>
      </w:pPr>
      <w:r>
        <w:rPr>
          <w:rFonts w:hint="eastAsia"/>
          <w:snapToGrid/>
        </w:rPr>
        <w:t>表</w:t>
      </w:r>
      <w:r>
        <w:rPr>
          <w:snapToGrid/>
        </w:rPr>
        <w:t>27</w:t>
      </w:r>
      <w:r>
        <w:rPr>
          <w:snapToGrid/>
        </w:rPr>
        <w:tab/>
      </w:r>
      <w:r>
        <w:rPr>
          <w:rFonts w:hint="eastAsia"/>
          <w:snapToGrid/>
        </w:rPr>
        <w:t>智利住在没电住房中的居民户数量和个人的估计数</w:t>
      </w:r>
      <w:r>
        <w:rPr>
          <w:snapToGrid/>
        </w:rPr>
        <w:tab/>
      </w:r>
      <w:r>
        <w:rPr>
          <w:snapToGrid/>
        </w:rPr>
        <w:tab/>
        <w:t>136</w:t>
      </w:r>
    </w:p>
    <w:p w:rsidR="00000000" w:rsidRDefault="009C1C61">
      <w:pPr>
        <w:pStyle w:val="aa"/>
        <w:tabs>
          <w:tab w:val="clear" w:pos="510"/>
        </w:tabs>
        <w:spacing w:line="288" w:lineRule="auto"/>
        <w:ind w:left="735" w:hanging="735"/>
        <w:rPr>
          <w:snapToGrid/>
        </w:rPr>
      </w:pPr>
      <w:r>
        <w:rPr>
          <w:rFonts w:hint="eastAsia"/>
          <w:snapToGrid/>
        </w:rPr>
        <w:t>表</w:t>
      </w:r>
      <w:r>
        <w:rPr>
          <w:snapToGrid/>
        </w:rPr>
        <w:t>28</w:t>
      </w:r>
      <w:r>
        <w:rPr>
          <w:snapToGrid/>
        </w:rPr>
        <w:tab/>
      </w:r>
      <w:r>
        <w:rPr>
          <w:rFonts w:hint="eastAsia"/>
          <w:snapToGrid/>
        </w:rPr>
        <w:t>智利根据两个指标来看住在不合格住房中的居民户数量和个人的估计数</w:t>
      </w:r>
      <w:r>
        <w:rPr>
          <w:rFonts w:hint="eastAsia"/>
          <w:snapToGrid/>
        </w:rPr>
        <w:t>.....................</w:t>
      </w:r>
      <w:r>
        <w:rPr>
          <w:rFonts w:hint="eastAsia"/>
          <w:snapToGrid/>
        </w:rPr>
        <w:tab/>
      </w:r>
      <w:r>
        <w:rPr>
          <w:rFonts w:hint="eastAsia"/>
          <w:snapToGrid/>
        </w:rPr>
        <w:tab/>
      </w:r>
      <w:r>
        <w:rPr>
          <w:snapToGrid/>
        </w:rPr>
        <w:t>137</w:t>
      </w:r>
    </w:p>
    <w:p w:rsidR="00000000" w:rsidRDefault="009C1C61">
      <w:pPr>
        <w:pStyle w:val="aa"/>
        <w:tabs>
          <w:tab w:val="clear" w:pos="510"/>
        </w:tabs>
        <w:spacing w:line="288" w:lineRule="auto"/>
        <w:ind w:left="735" w:hanging="735"/>
        <w:rPr>
          <w:snapToGrid/>
        </w:rPr>
      </w:pPr>
      <w:r>
        <w:rPr>
          <w:rFonts w:hint="eastAsia"/>
          <w:snapToGrid/>
        </w:rPr>
        <w:t>表</w:t>
      </w:r>
      <w:r>
        <w:rPr>
          <w:snapToGrid/>
        </w:rPr>
        <w:t>29</w:t>
      </w:r>
      <w:r>
        <w:rPr>
          <w:snapToGrid/>
        </w:rPr>
        <w:tab/>
      </w:r>
      <w:r>
        <w:rPr>
          <w:rFonts w:hint="eastAsia"/>
          <w:snapToGrid/>
        </w:rPr>
        <w:t>智利住房过于拥挤的居民户数量</w:t>
      </w:r>
      <w:r>
        <w:rPr>
          <w:snapToGrid/>
        </w:rPr>
        <w:tab/>
      </w:r>
      <w:r>
        <w:rPr>
          <w:snapToGrid/>
        </w:rPr>
        <w:tab/>
        <w:t>137</w:t>
      </w:r>
    </w:p>
    <w:p w:rsidR="00000000" w:rsidRDefault="009C1C61">
      <w:pPr>
        <w:pStyle w:val="aa"/>
        <w:tabs>
          <w:tab w:val="clear" w:pos="510"/>
        </w:tabs>
        <w:spacing w:line="288" w:lineRule="auto"/>
        <w:ind w:left="735" w:hanging="735"/>
        <w:rPr>
          <w:snapToGrid/>
        </w:rPr>
      </w:pPr>
      <w:r>
        <w:rPr>
          <w:rFonts w:hint="eastAsia"/>
          <w:snapToGrid/>
        </w:rPr>
        <w:t>表</w:t>
      </w:r>
      <w:r>
        <w:rPr>
          <w:snapToGrid/>
        </w:rPr>
        <w:t>30</w:t>
      </w:r>
      <w:r>
        <w:rPr>
          <w:snapToGrid/>
        </w:rPr>
        <w:tab/>
        <w:t>1996</w:t>
      </w:r>
      <w:r>
        <w:rPr>
          <w:rFonts w:hint="eastAsia"/>
          <w:snapToGrid/>
        </w:rPr>
        <w:t>智利住在违章住区和住房中的个人数</w:t>
      </w:r>
      <w:r>
        <w:rPr>
          <w:snapToGrid/>
        </w:rPr>
        <w:tab/>
      </w:r>
      <w:r>
        <w:rPr>
          <w:snapToGrid/>
        </w:rPr>
        <w:tab/>
        <w:t>139</w:t>
      </w:r>
    </w:p>
    <w:p w:rsidR="00000000" w:rsidRDefault="009C1C61">
      <w:pPr>
        <w:pStyle w:val="aa"/>
        <w:tabs>
          <w:tab w:val="clear" w:pos="510"/>
        </w:tabs>
        <w:spacing w:line="288" w:lineRule="auto"/>
        <w:ind w:left="735" w:hanging="735"/>
        <w:rPr>
          <w:snapToGrid/>
        </w:rPr>
      </w:pPr>
      <w:r>
        <w:rPr>
          <w:rFonts w:hint="eastAsia"/>
          <w:snapToGrid/>
        </w:rPr>
        <w:t>表</w:t>
      </w:r>
      <w:r>
        <w:rPr>
          <w:snapToGrid/>
        </w:rPr>
        <w:t>31</w:t>
      </w:r>
      <w:r>
        <w:rPr>
          <w:snapToGrid/>
        </w:rPr>
        <w:tab/>
      </w:r>
      <w:r>
        <w:rPr>
          <w:rFonts w:hint="eastAsia"/>
          <w:snapToGrid/>
        </w:rPr>
        <w:t>进入等待名单的个人数</w:t>
      </w:r>
      <w:r>
        <w:rPr>
          <w:snapToGrid/>
        </w:rPr>
        <w:tab/>
      </w:r>
      <w:r>
        <w:rPr>
          <w:snapToGrid/>
        </w:rPr>
        <w:tab/>
        <w:t>140</w:t>
      </w:r>
    </w:p>
    <w:p w:rsidR="00000000" w:rsidRDefault="009C1C61">
      <w:pPr>
        <w:pStyle w:val="aa"/>
        <w:tabs>
          <w:tab w:val="clear" w:pos="510"/>
        </w:tabs>
        <w:spacing w:line="288" w:lineRule="auto"/>
        <w:ind w:left="735" w:hanging="735"/>
        <w:rPr>
          <w:snapToGrid/>
        </w:rPr>
      </w:pPr>
      <w:r>
        <w:rPr>
          <w:rFonts w:hint="eastAsia"/>
          <w:snapToGrid/>
        </w:rPr>
        <w:t>表</w:t>
      </w:r>
      <w:r>
        <w:rPr>
          <w:snapToGrid/>
        </w:rPr>
        <w:t>32</w:t>
      </w:r>
      <w:r>
        <w:rPr>
          <w:snapToGrid/>
        </w:rPr>
        <w:tab/>
      </w:r>
      <w:r>
        <w:rPr>
          <w:rFonts w:hint="eastAsia"/>
          <w:snapToGrid/>
        </w:rPr>
        <w:t>智利按占用类型分列的居民户数</w:t>
      </w:r>
      <w:r>
        <w:rPr>
          <w:snapToGrid/>
        </w:rPr>
        <w:tab/>
      </w:r>
      <w:r>
        <w:rPr>
          <w:snapToGrid/>
        </w:rPr>
        <w:tab/>
        <w:t>141</w:t>
      </w:r>
    </w:p>
    <w:p w:rsidR="00000000" w:rsidRDefault="009C1C61">
      <w:pPr>
        <w:pStyle w:val="aa"/>
        <w:tabs>
          <w:tab w:val="clear" w:pos="510"/>
        </w:tabs>
        <w:spacing w:line="288" w:lineRule="auto"/>
        <w:ind w:left="735" w:hanging="735"/>
        <w:rPr>
          <w:snapToGrid/>
        </w:rPr>
      </w:pPr>
      <w:r>
        <w:rPr>
          <w:rFonts w:hint="eastAsia"/>
          <w:snapToGrid/>
        </w:rPr>
        <w:t>表</w:t>
      </w:r>
      <w:r>
        <w:rPr>
          <w:snapToGrid/>
        </w:rPr>
        <w:t>33</w:t>
      </w:r>
      <w:r>
        <w:rPr>
          <w:snapToGrid/>
        </w:rPr>
        <w:tab/>
        <w:t>1990</w:t>
      </w:r>
      <w:r>
        <w:rPr>
          <w:rFonts w:hint="eastAsia"/>
          <w:snapToGrid/>
        </w:rPr>
        <w:t>至</w:t>
      </w:r>
      <w:r>
        <w:rPr>
          <w:snapToGrid/>
        </w:rPr>
        <w:t>98</w:t>
      </w:r>
      <w:r>
        <w:rPr>
          <w:rFonts w:hint="eastAsia"/>
          <w:snapToGrid/>
        </w:rPr>
        <w:t>年公共住房支出</w:t>
      </w:r>
      <w:r>
        <w:rPr>
          <w:snapToGrid/>
        </w:rPr>
        <w:t xml:space="preserve"> (</w:t>
      </w:r>
      <w:r>
        <w:rPr>
          <w:rFonts w:hint="eastAsia"/>
          <w:snapToGrid/>
        </w:rPr>
        <w:t>每年百万比索</w:t>
      </w:r>
      <w:r>
        <w:rPr>
          <w:snapToGrid/>
        </w:rPr>
        <w:t xml:space="preserve">) </w:t>
      </w:r>
      <w:r>
        <w:rPr>
          <w:snapToGrid/>
        </w:rPr>
        <w:tab/>
      </w:r>
      <w:r>
        <w:rPr>
          <w:snapToGrid/>
        </w:rPr>
        <w:tab/>
        <w:t>149</w:t>
      </w:r>
    </w:p>
    <w:p w:rsidR="00000000" w:rsidRDefault="009C1C61">
      <w:pPr>
        <w:pStyle w:val="aa"/>
        <w:tabs>
          <w:tab w:val="clear" w:pos="510"/>
        </w:tabs>
        <w:spacing w:line="288" w:lineRule="auto"/>
        <w:ind w:left="735" w:hanging="735"/>
        <w:rPr>
          <w:snapToGrid/>
        </w:rPr>
      </w:pPr>
      <w:r>
        <w:rPr>
          <w:rFonts w:hint="eastAsia"/>
          <w:snapToGrid/>
        </w:rPr>
        <w:t>表</w:t>
      </w:r>
      <w:r>
        <w:rPr>
          <w:snapToGrid/>
        </w:rPr>
        <w:t>34</w:t>
      </w:r>
      <w:r>
        <w:rPr>
          <w:snapToGrid/>
        </w:rPr>
        <w:tab/>
        <w:t>1989</w:t>
      </w:r>
      <w:r>
        <w:rPr>
          <w:rFonts w:hint="eastAsia"/>
          <w:snapToGrid/>
        </w:rPr>
        <w:t>至</w:t>
      </w:r>
      <w:r>
        <w:rPr>
          <w:snapToGrid/>
        </w:rPr>
        <w:t>2000</w:t>
      </w:r>
      <w:r>
        <w:rPr>
          <w:rFonts w:hint="eastAsia"/>
          <w:snapToGrid/>
        </w:rPr>
        <w:t>年预算</w:t>
      </w:r>
      <w:r>
        <w:rPr>
          <w:rFonts w:hint="eastAsia"/>
          <w:snapToGrid/>
        </w:rPr>
        <w:t>/</w:t>
      </w:r>
      <w:r>
        <w:rPr>
          <w:rFonts w:hint="eastAsia"/>
          <w:snapToGrid/>
        </w:rPr>
        <w:t>公共住房支出</w:t>
      </w:r>
      <w:r>
        <w:rPr>
          <w:snapToGrid/>
        </w:rPr>
        <w:t>(%)</w:t>
      </w:r>
      <w:r>
        <w:rPr>
          <w:snapToGrid/>
        </w:rPr>
        <w:tab/>
      </w:r>
      <w:r>
        <w:rPr>
          <w:snapToGrid/>
        </w:rPr>
        <w:tab/>
        <w:t>150</w:t>
      </w:r>
    </w:p>
    <w:p w:rsidR="00000000" w:rsidRDefault="009C1C61">
      <w:pPr>
        <w:pStyle w:val="aa"/>
        <w:tabs>
          <w:tab w:val="clear" w:pos="510"/>
        </w:tabs>
        <w:spacing w:line="288" w:lineRule="auto"/>
        <w:ind w:left="735" w:hanging="735"/>
        <w:rPr>
          <w:snapToGrid/>
        </w:rPr>
      </w:pPr>
      <w:r>
        <w:rPr>
          <w:rFonts w:hint="eastAsia"/>
          <w:snapToGrid/>
        </w:rPr>
        <w:t>表</w:t>
      </w:r>
      <w:r>
        <w:rPr>
          <w:snapToGrid/>
        </w:rPr>
        <w:t>35</w:t>
      </w:r>
      <w:r>
        <w:rPr>
          <w:snapToGrid/>
        </w:rPr>
        <w:tab/>
        <w:t>1990</w:t>
      </w:r>
      <w:r>
        <w:rPr>
          <w:rFonts w:hint="eastAsia"/>
          <w:snapToGrid/>
        </w:rPr>
        <w:t>、</w:t>
      </w:r>
      <w:r>
        <w:rPr>
          <w:snapToGrid/>
        </w:rPr>
        <w:t>1999</w:t>
      </w:r>
      <w:r>
        <w:rPr>
          <w:rFonts w:hint="eastAsia"/>
          <w:snapToGrid/>
        </w:rPr>
        <w:t>和</w:t>
      </w:r>
      <w:r>
        <w:rPr>
          <w:snapToGrid/>
        </w:rPr>
        <w:t>2000</w:t>
      </w:r>
      <w:r>
        <w:rPr>
          <w:rFonts w:hint="eastAsia"/>
          <w:snapToGrid/>
        </w:rPr>
        <w:t>年健康指标</w:t>
      </w:r>
      <w:r>
        <w:rPr>
          <w:snapToGrid/>
        </w:rPr>
        <w:tab/>
      </w:r>
      <w:r>
        <w:rPr>
          <w:snapToGrid/>
        </w:rPr>
        <w:tab/>
        <w:t>154</w:t>
      </w:r>
    </w:p>
    <w:p w:rsidR="00000000" w:rsidRDefault="009C1C61">
      <w:pPr>
        <w:pStyle w:val="aa"/>
        <w:tabs>
          <w:tab w:val="clear" w:pos="510"/>
        </w:tabs>
        <w:spacing w:line="288" w:lineRule="auto"/>
        <w:ind w:left="735" w:right="1424" w:hanging="735"/>
        <w:rPr>
          <w:snapToGrid/>
        </w:rPr>
      </w:pPr>
      <w:r>
        <w:rPr>
          <w:rFonts w:hint="eastAsia"/>
          <w:snapToGrid/>
        </w:rPr>
        <w:t>表</w:t>
      </w:r>
      <w:r>
        <w:rPr>
          <w:snapToGrid/>
        </w:rPr>
        <w:t>36</w:t>
      </w:r>
      <w:r>
        <w:rPr>
          <w:snapToGrid/>
        </w:rPr>
        <w:tab/>
      </w:r>
      <w:r>
        <w:rPr>
          <w:snapToGrid/>
          <w:spacing w:val="0"/>
        </w:rPr>
        <w:t>1989</w:t>
      </w:r>
      <w:r>
        <w:rPr>
          <w:rFonts w:hint="eastAsia"/>
          <w:snapToGrid/>
          <w:spacing w:val="0"/>
        </w:rPr>
        <w:t>至</w:t>
      </w:r>
      <w:r>
        <w:rPr>
          <w:snapToGrid/>
          <w:spacing w:val="0"/>
        </w:rPr>
        <w:t>2000</w:t>
      </w:r>
      <w:r>
        <w:rPr>
          <w:rFonts w:hint="eastAsia"/>
          <w:snapToGrid/>
          <w:spacing w:val="0"/>
        </w:rPr>
        <w:t>年公共和预算卫生支出</w:t>
      </w:r>
      <w:r>
        <w:rPr>
          <w:snapToGrid/>
          <w:spacing w:val="0"/>
        </w:rPr>
        <w:t xml:space="preserve"> (</w:t>
      </w:r>
      <w:r>
        <w:rPr>
          <w:rFonts w:hint="eastAsia"/>
          <w:snapToGrid/>
          <w:spacing w:val="0"/>
        </w:rPr>
        <w:t>2000</w:t>
      </w:r>
      <w:r>
        <w:rPr>
          <w:rFonts w:hint="eastAsia"/>
          <w:snapToGrid/>
          <w:spacing w:val="0"/>
        </w:rPr>
        <w:t>年百万比索</w:t>
      </w:r>
      <w:r>
        <w:rPr>
          <w:snapToGrid/>
          <w:spacing w:val="0"/>
        </w:rPr>
        <w:t>)</w:t>
      </w:r>
      <w:r>
        <w:rPr>
          <w:rFonts w:hint="eastAsia"/>
          <w:snapToGrid/>
          <w:spacing w:val="0"/>
        </w:rPr>
        <w:t>(</w:t>
      </w:r>
      <w:r>
        <w:rPr>
          <w:rFonts w:hint="eastAsia"/>
          <w:snapToGrid/>
          <w:spacing w:val="0"/>
        </w:rPr>
        <w:t>百万美元</w:t>
      </w:r>
      <w:r>
        <w:rPr>
          <w:rFonts w:hint="eastAsia"/>
          <w:snapToGrid/>
          <w:spacing w:val="0"/>
        </w:rPr>
        <w:t>)</w:t>
      </w:r>
      <w:r>
        <w:rPr>
          <w:rFonts w:hint="eastAsia"/>
          <w:snapToGrid/>
        </w:rPr>
        <w:tab/>
      </w:r>
      <w:r>
        <w:rPr>
          <w:rFonts w:hint="eastAsia"/>
          <w:snapToGrid/>
        </w:rPr>
        <w:tab/>
      </w:r>
      <w:r>
        <w:rPr>
          <w:snapToGrid/>
        </w:rPr>
        <w:t>158</w:t>
      </w:r>
    </w:p>
    <w:p w:rsidR="00000000" w:rsidRDefault="009C1C61">
      <w:pPr>
        <w:pStyle w:val="aa"/>
        <w:tabs>
          <w:tab w:val="clear" w:pos="510"/>
        </w:tabs>
        <w:spacing w:line="288" w:lineRule="auto"/>
        <w:ind w:left="735" w:hanging="735"/>
        <w:rPr>
          <w:snapToGrid/>
        </w:rPr>
      </w:pPr>
      <w:r>
        <w:rPr>
          <w:rFonts w:hint="eastAsia"/>
          <w:snapToGrid/>
        </w:rPr>
        <w:t>表</w:t>
      </w:r>
      <w:r>
        <w:rPr>
          <w:snapToGrid/>
        </w:rPr>
        <w:t>37</w:t>
      </w:r>
      <w:r>
        <w:rPr>
          <w:snapToGrid/>
        </w:rPr>
        <w:tab/>
        <w:t>1990</w:t>
      </w:r>
      <w:r>
        <w:rPr>
          <w:rFonts w:hint="eastAsia"/>
          <w:snapToGrid/>
        </w:rPr>
        <w:t>至</w:t>
      </w:r>
      <w:r>
        <w:rPr>
          <w:snapToGrid/>
        </w:rPr>
        <w:t>98</w:t>
      </w:r>
      <w:r>
        <w:rPr>
          <w:rFonts w:hint="eastAsia"/>
          <w:snapToGrid/>
        </w:rPr>
        <w:t>年智利的死产和婴</w:t>
      </w:r>
      <w:r>
        <w:rPr>
          <w:rFonts w:hint="eastAsia"/>
          <w:snapToGrid/>
        </w:rPr>
        <w:t>儿死亡率</w:t>
      </w:r>
      <w:r>
        <w:rPr>
          <w:snapToGrid/>
        </w:rPr>
        <w:tab/>
      </w:r>
      <w:r>
        <w:rPr>
          <w:snapToGrid/>
        </w:rPr>
        <w:tab/>
        <w:t>161</w:t>
      </w:r>
    </w:p>
    <w:p w:rsidR="00000000" w:rsidRDefault="009C1C61">
      <w:pPr>
        <w:pStyle w:val="aa"/>
        <w:tabs>
          <w:tab w:val="clear" w:pos="510"/>
        </w:tabs>
        <w:spacing w:line="288" w:lineRule="auto"/>
        <w:ind w:left="735" w:hanging="735"/>
        <w:rPr>
          <w:snapToGrid/>
        </w:rPr>
      </w:pPr>
      <w:r>
        <w:rPr>
          <w:rFonts w:hint="eastAsia"/>
          <w:snapToGrid/>
        </w:rPr>
        <w:t>表</w:t>
      </w:r>
      <w:r>
        <w:rPr>
          <w:snapToGrid/>
        </w:rPr>
        <w:t>38</w:t>
      </w:r>
      <w:r>
        <w:rPr>
          <w:snapToGrid/>
        </w:rPr>
        <w:tab/>
      </w:r>
      <w:r>
        <w:rPr>
          <w:rFonts w:hint="eastAsia"/>
          <w:snapToGrid/>
        </w:rPr>
        <w:t>1998</w:t>
      </w:r>
      <w:r>
        <w:rPr>
          <w:rFonts w:hint="eastAsia"/>
          <w:snapToGrid/>
        </w:rPr>
        <w:t>年智利按教育层次和性别分列的招生情况</w:t>
      </w:r>
      <w:r>
        <w:rPr>
          <w:snapToGrid/>
        </w:rPr>
        <w:tab/>
      </w:r>
      <w:r>
        <w:rPr>
          <w:snapToGrid/>
        </w:rPr>
        <w:tab/>
        <w:t>177</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39</w:t>
      </w:r>
      <w:r>
        <w:rPr>
          <w:snapToGrid/>
        </w:rPr>
        <w:tab/>
      </w:r>
      <w:r>
        <w:rPr>
          <w:rFonts w:hint="eastAsia"/>
          <w:snapToGrid/>
        </w:rPr>
        <w:t>按教育层次分列的</w:t>
      </w:r>
      <w:r>
        <w:rPr>
          <w:bCs/>
          <w:snapToGrid/>
        </w:rPr>
        <w:t>1990</w:t>
      </w:r>
      <w:r>
        <w:rPr>
          <w:rFonts w:hint="eastAsia"/>
          <w:snapToGrid/>
        </w:rPr>
        <w:t>至</w:t>
      </w:r>
      <w:r>
        <w:rPr>
          <w:bCs/>
          <w:snapToGrid/>
        </w:rPr>
        <w:t>1998</w:t>
      </w:r>
      <w:r>
        <w:rPr>
          <w:rFonts w:hint="eastAsia"/>
          <w:snapToGrid/>
        </w:rPr>
        <w:t>年覆盖率</w:t>
      </w:r>
      <w:r>
        <w:rPr>
          <w:snapToGrid/>
        </w:rPr>
        <w:t>(</w:t>
      </w:r>
      <w:r>
        <w:rPr>
          <w:rFonts w:hint="eastAsia"/>
          <w:snapToGrid/>
        </w:rPr>
        <w:t>百分比</w:t>
      </w:r>
      <w:r>
        <w:rPr>
          <w:snapToGrid/>
        </w:rPr>
        <w:t>)</w:t>
      </w:r>
      <w:r>
        <w:rPr>
          <w:rFonts w:hint="eastAsia"/>
          <w:snapToGrid/>
        </w:rPr>
        <w:t>................</w:t>
      </w:r>
      <w:r>
        <w:rPr>
          <w:rFonts w:hint="eastAsia"/>
          <w:snapToGrid/>
        </w:rPr>
        <w:tab/>
      </w:r>
      <w:r>
        <w:rPr>
          <w:rFonts w:hint="eastAsia"/>
          <w:snapToGrid/>
        </w:rPr>
        <w:tab/>
      </w:r>
      <w:r>
        <w:rPr>
          <w:snapToGrid/>
        </w:rPr>
        <w:t>178</w:t>
      </w:r>
    </w:p>
    <w:p w:rsidR="00000000" w:rsidRDefault="009C1C61">
      <w:pPr>
        <w:pStyle w:val="aa"/>
        <w:tabs>
          <w:tab w:val="clear" w:pos="510"/>
        </w:tabs>
        <w:spacing w:line="288" w:lineRule="auto"/>
        <w:ind w:left="735" w:hanging="735"/>
        <w:rPr>
          <w:snapToGrid/>
        </w:rPr>
      </w:pPr>
      <w:r>
        <w:rPr>
          <w:rFonts w:hint="eastAsia"/>
          <w:snapToGrid/>
        </w:rPr>
        <w:t>表</w:t>
      </w:r>
      <w:r>
        <w:rPr>
          <w:snapToGrid/>
        </w:rPr>
        <w:t>40</w:t>
      </w:r>
      <w:r>
        <w:rPr>
          <w:snapToGrid/>
        </w:rPr>
        <w:tab/>
      </w:r>
      <w:r>
        <w:rPr>
          <w:rFonts w:hint="eastAsia"/>
          <w:snapToGrid/>
          <w:lang w:val="en-GB"/>
        </w:rPr>
        <w:t>根据</w:t>
      </w:r>
      <w:r>
        <w:rPr>
          <w:bCs/>
          <w:snapToGrid/>
        </w:rPr>
        <w:t>1990</w:t>
      </w:r>
      <w:r>
        <w:rPr>
          <w:rFonts w:hint="eastAsia"/>
          <w:snapToGrid/>
        </w:rPr>
        <w:t>至</w:t>
      </w:r>
      <w:r>
        <w:rPr>
          <w:bCs/>
          <w:snapToGrid/>
        </w:rPr>
        <w:t>2000</w:t>
      </w:r>
      <w:r>
        <w:rPr>
          <w:rFonts w:hint="eastAsia"/>
          <w:snapToGrid/>
        </w:rPr>
        <w:t>独立户人均收入五等分层的第一层和第五层按教育层次分列的覆盖率</w:t>
      </w:r>
      <w:r>
        <w:rPr>
          <w:snapToGrid/>
        </w:rPr>
        <w:t>(</w:t>
      </w:r>
      <w:r>
        <w:rPr>
          <w:rFonts w:hint="eastAsia"/>
          <w:snapToGrid/>
        </w:rPr>
        <w:t>百分比</w:t>
      </w:r>
      <w:r>
        <w:rPr>
          <w:snapToGrid/>
        </w:rPr>
        <w:t>)</w:t>
      </w:r>
      <w:r>
        <w:rPr>
          <w:snapToGrid/>
        </w:rPr>
        <w:tab/>
      </w:r>
      <w:r>
        <w:rPr>
          <w:snapToGrid/>
        </w:rPr>
        <w:tab/>
        <w:t>178</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41</w:t>
      </w:r>
      <w:r>
        <w:rPr>
          <w:snapToGrid/>
        </w:rPr>
        <w:tab/>
      </w:r>
      <w:r>
        <w:rPr>
          <w:rFonts w:hint="eastAsia"/>
          <w:snapToGrid/>
        </w:rPr>
        <w:t>按教育层次分列的智利</w:t>
      </w:r>
      <w:r>
        <w:rPr>
          <w:bCs/>
          <w:snapToGrid/>
        </w:rPr>
        <w:t>1990</w:t>
      </w:r>
      <w:r>
        <w:rPr>
          <w:rFonts w:hint="eastAsia"/>
          <w:snapToGrid/>
        </w:rPr>
        <w:t>至</w:t>
      </w:r>
      <w:r>
        <w:rPr>
          <w:bCs/>
          <w:snapToGrid/>
        </w:rPr>
        <w:t>1998</w:t>
      </w:r>
      <w:r>
        <w:rPr>
          <w:rFonts w:hint="eastAsia"/>
          <w:snapToGrid/>
        </w:rPr>
        <w:t>年的辍学率</w:t>
      </w:r>
      <w:r>
        <w:rPr>
          <w:snapToGrid/>
        </w:rPr>
        <w:tab/>
      </w:r>
      <w:r>
        <w:rPr>
          <w:snapToGrid/>
        </w:rPr>
        <w:tab/>
        <w:t>179</w:t>
      </w:r>
    </w:p>
    <w:p w:rsidR="00000000" w:rsidRDefault="009C1C61">
      <w:pPr>
        <w:pStyle w:val="aa"/>
        <w:tabs>
          <w:tab w:val="clear" w:pos="510"/>
        </w:tabs>
        <w:spacing w:line="288" w:lineRule="auto"/>
        <w:ind w:left="735" w:hanging="735"/>
        <w:rPr>
          <w:snapToGrid/>
        </w:rPr>
      </w:pPr>
      <w:r>
        <w:rPr>
          <w:rFonts w:hint="eastAsia"/>
          <w:snapToGrid/>
        </w:rPr>
        <w:t>表</w:t>
      </w:r>
      <w:r>
        <w:rPr>
          <w:snapToGrid/>
        </w:rPr>
        <w:t>42</w:t>
      </w:r>
      <w:r>
        <w:rPr>
          <w:snapToGrid/>
        </w:rPr>
        <w:tab/>
        <w:t>1989</w:t>
      </w:r>
      <w:r>
        <w:rPr>
          <w:rFonts w:hint="eastAsia"/>
          <w:snapToGrid/>
        </w:rPr>
        <w:t>至</w:t>
      </w:r>
      <w:r>
        <w:rPr>
          <w:bCs/>
          <w:snapToGrid/>
        </w:rPr>
        <w:t>2000</w:t>
      </w:r>
      <w:r>
        <w:rPr>
          <w:rFonts w:hint="eastAsia"/>
          <w:snapToGrid/>
        </w:rPr>
        <w:t>年公共和财政的教育支出</w:t>
      </w:r>
      <w:r>
        <w:rPr>
          <w:snapToGrid/>
        </w:rPr>
        <w:t>(</w:t>
      </w:r>
      <w:r>
        <w:rPr>
          <w:rFonts w:hint="eastAsia"/>
          <w:snapToGrid/>
        </w:rPr>
        <w:t>按</w:t>
      </w:r>
      <w:r>
        <w:rPr>
          <w:bCs/>
          <w:snapToGrid/>
        </w:rPr>
        <w:t>2000</w:t>
      </w:r>
      <w:r>
        <w:rPr>
          <w:rFonts w:hint="eastAsia"/>
          <w:snapToGrid/>
        </w:rPr>
        <w:t>年币值计算的百万比索</w:t>
      </w:r>
      <w:r>
        <w:rPr>
          <w:rFonts w:hint="eastAsia"/>
          <w:snapToGrid/>
        </w:rPr>
        <w:t>(</w:t>
      </w:r>
      <w:r>
        <w:rPr>
          <w:rFonts w:hint="eastAsia"/>
          <w:snapToGrid/>
        </w:rPr>
        <w:t>按</w:t>
      </w:r>
      <w:r>
        <w:rPr>
          <w:bCs/>
          <w:snapToGrid/>
        </w:rPr>
        <w:t>2000</w:t>
      </w:r>
      <w:r>
        <w:rPr>
          <w:rFonts w:hint="eastAsia"/>
          <w:snapToGrid/>
        </w:rPr>
        <w:t>年币值计算的百万美元</w:t>
      </w:r>
      <w:r>
        <w:rPr>
          <w:snapToGrid/>
        </w:rPr>
        <w:t>))</w:t>
      </w:r>
      <w:r>
        <w:rPr>
          <w:snapToGrid/>
        </w:rPr>
        <w:tab/>
      </w:r>
      <w:r>
        <w:rPr>
          <w:snapToGrid/>
        </w:rPr>
        <w:tab/>
        <w:t>179</w:t>
      </w:r>
    </w:p>
    <w:p w:rsidR="00000000" w:rsidRDefault="009C1C61">
      <w:pPr>
        <w:pStyle w:val="aa"/>
        <w:tabs>
          <w:tab w:val="clear" w:pos="510"/>
        </w:tabs>
        <w:spacing w:line="288" w:lineRule="auto"/>
        <w:ind w:left="735" w:hanging="735"/>
        <w:rPr>
          <w:snapToGrid/>
        </w:rPr>
      </w:pPr>
      <w:r>
        <w:rPr>
          <w:rFonts w:hint="eastAsia"/>
          <w:snapToGrid/>
        </w:rPr>
        <w:t>表</w:t>
      </w:r>
      <w:r>
        <w:rPr>
          <w:snapToGrid/>
        </w:rPr>
        <w:t>43</w:t>
      </w:r>
      <w:r>
        <w:rPr>
          <w:snapToGrid/>
        </w:rPr>
        <w:tab/>
      </w:r>
      <w:r>
        <w:rPr>
          <w:rFonts w:hint="eastAsia"/>
          <w:snapToGrid/>
        </w:rPr>
        <w:t>根据</w:t>
      </w:r>
      <w:r>
        <w:rPr>
          <w:bCs/>
          <w:snapToGrid/>
        </w:rPr>
        <w:t>19</w:t>
      </w:r>
      <w:r>
        <w:rPr>
          <w:bCs/>
          <w:snapToGrid/>
        </w:rPr>
        <w:t>90</w:t>
      </w:r>
      <w:r>
        <w:rPr>
          <w:rFonts w:hint="eastAsia"/>
          <w:bCs/>
          <w:snapToGrid/>
        </w:rPr>
        <w:t>至</w:t>
      </w:r>
      <w:r>
        <w:rPr>
          <w:bCs/>
          <w:snapToGrid/>
        </w:rPr>
        <w:t>1998</w:t>
      </w:r>
      <w:r>
        <w:rPr>
          <w:rFonts w:hint="eastAsia"/>
          <w:snapToGrid/>
        </w:rPr>
        <w:t>年智利独立户人均收入五等分层的第一层和第五层按教育层次分列的覆盖率</w:t>
      </w:r>
      <w:r>
        <w:rPr>
          <w:rFonts w:hint="eastAsia"/>
          <w:snapToGrid/>
        </w:rPr>
        <w:t>(</w:t>
      </w:r>
      <w:r>
        <w:rPr>
          <w:rFonts w:hint="eastAsia"/>
          <w:snapToGrid/>
        </w:rPr>
        <w:t>百分比</w:t>
      </w:r>
      <w:r>
        <w:rPr>
          <w:snapToGrid/>
        </w:rPr>
        <w:t>)</w:t>
      </w:r>
      <w:r>
        <w:rPr>
          <w:rFonts w:hint="eastAsia"/>
          <w:snapToGrid/>
        </w:rPr>
        <w:t xml:space="preserve"> </w:t>
      </w:r>
      <w:r>
        <w:rPr>
          <w:snapToGrid/>
        </w:rPr>
        <w:tab/>
      </w:r>
      <w:r>
        <w:rPr>
          <w:snapToGrid/>
        </w:rPr>
        <w:tab/>
        <w:t>180</w:t>
      </w:r>
    </w:p>
    <w:p w:rsidR="00000000" w:rsidRDefault="009C1C61">
      <w:pPr>
        <w:pStyle w:val="aa"/>
        <w:tabs>
          <w:tab w:val="clear" w:pos="510"/>
        </w:tabs>
        <w:spacing w:line="288" w:lineRule="auto"/>
        <w:ind w:left="735" w:hanging="735"/>
        <w:rPr>
          <w:rFonts w:hint="eastAsia"/>
          <w:snapToGrid/>
        </w:rPr>
      </w:pPr>
      <w:r>
        <w:rPr>
          <w:rFonts w:hint="eastAsia"/>
          <w:snapToGrid/>
        </w:rPr>
        <w:t>表</w:t>
      </w:r>
      <w:r>
        <w:rPr>
          <w:snapToGrid/>
        </w:rPr>
        <w:t>44</w:t>
      </w:r>
      <w:r>
        <w:rPr>
          <w:snapToGrid/>
        </w:rPr>
        <w:tab/>
      </w:r>
      <w:r>
        <w:rPr>
          <w:rFonts w:hint="eastAsia"/>
          <w:bCs/>
          <w:snapToGrid/>
        </w:rPr>
        <w:t>1994</w:t>
      </w:r>
      <w:r>
        <w:rPr>
          <w:rFonts w:hint="eastAsia"/>
          <w:snapToGrid/>
        </w:rPr>
        <w:t>至</w:t>
      </w:r>
      <w:r>
        <w:rPr>
          <w:rFonts w:hint="eastAsia"/>
          <w:snapToGrid/>
        </w:rPr>
        <w:t>1998</w:t>
      </w:r>
      <w:r>
        <w:rPr>
          <w:rFonts w:hint="eastAsia"/>
          <w:snapToGrid/>
        </w:rPr>
        <w:t>年智利竞争性基金的变化趋势</w:t>
      </w:r>
      <w:r>
        <w:rPr>
          <w:rFonts w:hint="eastAsia"/>
          <w:snapToGrid/>
        </w:rPr>
        <w:t>(</w:t>
      </w:r>
      <w:r>
        <w:rPr>
          <w:rFonts w:hint="eastAsia"/>
          <w:snapToGrid/>
        </w:rPr>
        <w:t>按</w:t>
      </w:r>
      <w:r>
        <w:rPr>
          <w:rFonts w:hint="eastAsia"/>
          <w:snapToGrid/>
        </w:rPr>
        <w:t>1998</w:t>
      </w:r>
      <w:r>
        <w:rPr>
          <w:rFonts w:hint="eastAsia"/>
          <w:snapToGrid/>
        </w:rPr>
        <w:t>年比索和美元的币值计算</w:t>
      </w:r>
      <w:r>
        <w:rPr>
          <w:rFonts w:hint="eastAsia"/>
          <w:snapToGrid/>
        </w:rPr>
        <w:t>)...........................</w:t>
      </w:r>
      <w:r>
        <w:rPr>
          <w:rFonts w:hint="eastAsia"/>
          <w:snapToGrid/>
        </w:rPr>
        <w:tab/>
      </w:r>
      <w:r>
        <w:rPr>
          <w:rFonts w:hint="eastAsia"/>
          <w:snapToGrid/>
        </w:rPr>
        <w:tab/>
        <w:t>196</w:t>
      </w:r>
    </w:p>
    <w:p w:rsidR="00000000" w:rsidRDefault="009C1C61">
      <w:pPr>
        <w:pStyle w:val="aa"/>
        <w:tabs>
          <w:tab w:val="clear" w:pos="510"/>
        </w:tabs>
        <w:spacing w:line="288" w:lineRule="auto"/>
        <w:ind w:left="735" w:hanging="735"/>
        <w:rPr>
          <w:snapToGrid/>
        </w:rPr>
      </w:pPr>
      <w:r>
        <w:rPr>
          <w:rFonts w:hint="eastAsia"/>
          <w:snapToGrid/>
        </w:rPr>
        <w:t>表</w:t>
      </w:r>
      <w:r>
        <w:rPr>
          <w:snapToGrid/>
        </w:rPr>
        <w:t>45</w:t>
      </w:r>
      <w:r>
        <w:rPr>
          <w:snapToGrid/>
        </w:rPr>
        <w:tab/>
      </w:r>
      <w:r>
        <w:rPr>
          <w:rFonts w:hint="eastAsia"/>
          <w:snapToGrid/>
        </w:rPr>
        <w:t>按</w:t>
      </w:r>
      <w:r>
        <w:rPr>
          <w:rFonts w:hint="eastAsia"/>
          <w:bCs/>
          <w:snapToGrid/>
        </w:rPr>
        <w:t>主题</w:t>
      </w:r>
      <w:r>
        <w:rPr>
          <w:rFonts w:hint="eastAsia"/>
          <w:snapToGrid/>
        </w:rPr>
        <w:t>分列的</w:t>
      </w:r>
      <w:r>
        <w:rPr>
          <w:snapToGrid/>
        </w:rPr>
        <w:t>1992-1998</w:t>
      </w:r>
      <w:r>
        <w:rPr>
          <w:rFonts w:hint="eastAsia"/>
          <w:snapToGrid/>
        </w:rPr>
        <w:t>年文艺发展基金选定的项目</w:t>
      </w:r>
      <w:r>
        <w:rPr>
          <w:snapToGrid/>
        </w:rPr>
        <w:tab/>
      </w:r>
      <w:r>
        <w:rPr>
          <w:rFonts w:hint="eastAsia"/>
          <w:snapToGrid/>
        </w:rPr>
        <w:tab/>
      </w:r>
      <w:r>
        <w:rPr>
          <w:snapToGrid/>
        </w:rPr>
        <w:t>197</w:t>
      </w:r>
    </w:p>
    <w:p w:rsidR="00000000" w:rsidRDefault="009C1C61">
      <w:pPr>
        <w:pStyle w:val="aa"/>
        <w:tabs>
          <w:tab w:val="clear" w:pos="510"/>
        </w:tabs>
        <w:spacing w:after="320" w:line="288" w:lineRule="auto"/>
        <w:ind w:left="735" w:hanging="735"/>
        <w:rPr>
          <w:snapToGrid/>
        </w:rPr>
      </w:pPr>
      <w:r>
        <w:rPr>
          <w:rFonts w:hint="eastAsia"/>
          <w:snapToGrid/>
        </w:rPr>
        <w:t>表</w:t>
      </w:r>
      <w:r>
        <w:rPr>
          <w:snapToGrid/>
        </w:rPr>
        <w:t>46</w:t>
      </w:r>
      <w:r>
        <w:rPr>
          <w:snapToGrid/>
        </w:rPr>
        <w:tab/>
      </w:r>
      <w:r>
        <w:rPr>
          <w:rFonts w:hint="eastAsia"/>
          <w:snapToGrid/>
        </w:rPr>
        <w:t>文化捐款法</w:t>
      </w:r>
      <w:r>
        <w:rPr>
          <w:snapToGrid/>
        </w:rPr>
        <w:t>*</w:t>
      </w:r>
      <w:r>
        <w:rPr>
          <w:snapToGrid/>
        </w:rPr>
        <w:tab/>
      </w:r>
      <w:r>
        <w:rPr>
          <w:snapToGrid/>
        </w:rPr>
        <w:tab/>
        <w:t>198</w:t>
      </w:r>
    </w:p>
    <w:p w:rsidR="00000000" w:rsidRDefault="009C1C61">
      <w:pPr>
        <w:pStyle w:val="aa"/>
        <w:tabs>
          <w:tab w:val="clear" w:pos="510"/>
        </w:tabs>
        <w:spacing w:line="288" w:lineRule="auto"/>
        <w:ind w:left="735" w:hanging="735"/>
        <w:rPr>
          <w:rFonts w:hint="eastAsia"/>
          <w:snapToGrid/>
        </w:rPr>
      </w:pPr>
    </w:p>
    <w:p w:rsidR="00000000" w:rsidRDefault="009C1C61">
      <w:pPr>
        <w:pStyle w:val="a7"/>
        <w:keepNext/>
        <w:pageBreakBefore/>
        <w:tabs>
          <w:tab w:val="clear" w:pos="7201"/>
          <w:tab w:val="clear" w:pos="8618"/>
          <w:tab w:val="left" w:pos="7088"/>
          <w:tab w:val="left" w:pos="8080"/>
          <w:tab w:val="left" w:pos="8640"/>
        </w:tabs>
        <w:spacing w:after="120" w:line="288"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9C1C61">
      <w:pPr>
        <w:pStyle w:val="aa"/>
        <w:tabs>
          <w:tab w:val="clear" w:pos="510"/>
        </w:tabs>
        <w:spacing w:line="288" w:lineRule="auto"/>
        <w:ind w:left="735" w:hanging="735"/>
        <w:rPr>
          <w:rFonts w:hint="eastAsia"/>
          <w:snapToGrid/>
        </w:rPr>
      </w:pPr>
      <w:r>
        <w:rPr>
          <w:rFonts w:hint="eastAsia"/>
          <w:snapToGrid/>
        </w:rPr>
        <w:t>图一</w:t>
      </w:r>
      <w:r>
        <w:rPr>
          <w:rFonts w:hint="eastAsia"/>
          <w:snapToGrid/>
        </w:rPr>
        <w:tab/>
        <w:t>1990</w:t>
      </w:r>
      <w:r>
        <w:rPr>
          <w:rFonts w:hint="eastAsia"/>
          <w:snapToGrid/>
        </w:rPr>
        <w:t>年和</w:t>
      </w:r>
      <w:r>
        <w:rPr>
          <w:rFonts w:hint="eastAsia"/>
          <w:snapToGrid/>
        </w:rPr>
        <w:t>1996</w:t>
      </w:r>
      <w:r>
        <w:rPr>
          <w:rFonts w:hint="eastAsia"/>
          <w:snapToGrid/>
        </w:rPr>
        <w:t>年，小四按科目和学校类别分列的教育质评系统测验结果</w:t>
      </w:r>
      <w:r>
        <w:rPr>
          <w:rFonts w:hint="eastAsia"/>
          <w:snapToGrid/>
        </w:rPr>
        <w:t>(</w:t>
      </w:r>
      <w:r>
        <w:rPr>
          <w:rFonts w:hint="eastAsia"/>
          <w:snapToGrid/>
        </w:rPr>
        <w:t>百分比</w:t>
      </w:r>
      <w:r>
        <w:rPr>
          <w:rFonts w:hint="eastAsia"/>
          <w:snapToGrid/>
        </w:rPr>
        <w:t>)</w:t>
      </w:r>
      <w:r>
        <w:rPr>
          <w:snapToGrid/>
        </w:rPr>
        <w:tab/>
      </w:r>
      <w:r>
        <w:rPr>
          <w:snapToGrid/>
        </w:rPr>
        <w:tab/>
        <w:t>181</w:t>
      </w:r>
    </w:p>
    <w:p w:rsidR="00000000" w:rsidRDefault="009C1C61">
      <w:pPr>
        <w:pStyle w:val="aa"/>
        <w:tabs>
          <w:tab w:val="clear" w:pos="510"/>
        </w:tabs>
        <w:spacing w:line="288" w:lineRule="auto"/>
        <w:ind w:left="735" w:hanging="735"/>
        <w:rPr>
          <w:snapToGrid/>
        </w:rPr>
      </w:pPr>
      <w:r>
        <w:rPr>
          <w:rFonts w:hint="eastAsia"/>
          <w:snapToGrid/>
        </w:rPr>
        <w:t>图二</w:t>
      </w:r>
      <w:r>
        <w:rPr>
          <w:rFonts w:hint="eastAsia"/>
          <w:snapToGrid/>
        </w:rPr>
        <w:tab/>
        <w:t>1992</w:t>
      </w:r>
      <w:r>
        <w:rPr>
          <w:rFonts w:hint="eastAsia"/>
          <w:snapToGrid/>
        </w:rPr>
        <w:t>年和</w:t>
      </w:r>
      <w:r>
        <w:rPr>
          <w:rFonts w:hint="eastAsia"/>
          <w:snapToGrid/>
        </w:rPr>
        <w:t>1996</w:t>
      </w:r>
      <w:r>
        <w:rPr>
          <w:rFonts w:hint="eastAsia"/>
          <w:snapToGrid/>
        </w:rPr>
        <w:t>年，</w:t>
      </w:r>
      <w:r>
        <w:rPr>
          <w:rFonts w:hint="eastAsia"/>
          <w:snapToGrid/>
        </w:rPr>
        <w:t>小四按科目以及按市立学校、</w:t>
      </w:r>
      <w:r>
        <w:rPr>
          <w:rFonts w:hint="eastAsia"/>
          <w:snapToGrid/>
        </w:rPr>
        <w:t>P-900</w:t>
      </w:r>
      <w:r>
        <w:rPr>
          <w:rFonts w:hint="eastAsia"/>
          <w:snapToGrid/>
        </w:rPr>
        <w:t>学校和参加乡村学校提高教育质量方案的乡村学校分列的教育质评系统测验结果</w:t>
      </w:r>
      <w:r>
        <w:rPr>
          <w:snapToGrid/>
        </w:rPr>
        <w:t>(</w:t>
      </w:r>
      <w:r>
        <w:rPr>
          <w:rFonts w:hint="eastAsia"/>
          <w:snapToGrid/>
        </w:rPr>
        <w:t>百分比</w:t>
      </w:r>
      <w:r>
        <w:rPr>
          <w:snapToGrid/>
        </w:rPr>
        <w:t xml:space="preserve">) </w:t>
      </w:r>
      <w:r>
        <w:rPr>
          <w:snapToGrid/>
        </w:rPr>
        <w:tab/>
      </w:r>
      <w:r>
        <w:rPr>
          <w:snapToGrid/>
        </w:rPr>
        <w:tab/>
        <w:t>181</w:t>
      </w:r>
    </w:p>
    <w:p w:rsidR="00000000" w:rsidRDefault="009C1C61">
      <w:pPr>
        <w:pStyle w:val="aa"/>
        <w:spacing w:line="288" w:lineRule="auto"/>
        <w:jc w:val="center"/>
        <w:rPr>
          <w:rFonts w:hint="eastAsia"/>
          <w:snapToGrid/>
        </w:rPr>
      </w:pPr>
    </w:p>
    <w:p w:rsidR="00000000" w:rsidRDefault="009C1C61">
      <w:pPr>
        <w:pStyle w:val="aa"/>
        <w:spacing w:line="288" w:lineRule="auto"/>
        <w:jc w:val="center"/>
        <w:rPr>
          <w:rFonts w:hint="eastAsia"/>
          <w:snapToGrid/>
        </w:rPr>
      </w:pPr>
    </w:p>
    <w:p w:rsidR="00000000" w:rsidRDefault="009C1C61">
      <w:pPr>
        <w:pStyle w:val="aa"/>
        <w:jc w:val="center"/>
        <w:rPr>
          <w:rFonts w:hint="eastAsia"/>
          <w:snapToGrid/>
        </w:rPr>
      </w:pPr>
      <w:r>
        <w:t>--  --  --  --  --</w:t>
      </w:r>
    </w:p>
    <w:p w:rsidR="00000000" w:rsidRDefault="009C1C61"/>
    <w:sectPr w:rsidR="00000000">
      <w:headerReference w:type="even" r:id="rId15"/>
      <w:headerReference w:type="default" r:id="rId16"/>
      <w:headerReference w:type="first" r:id="rId17"/>
      <w:footerReference w:type="first" r:id="rId18"/>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1C61">
      <w:pPr>
        <w:spacing w:line="240" w:lineRule="auto"/>
      </w:pPr>
      <w:r>
        <w:separator/>
      </w:r>
    </w:p>
  </w:endnote>
  <w:endnote w:type="continuationSeparator" w:id="0">
    <w:p w:rsidR="00000000" w:rsidRDefault="009C1C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9C1C61">
          <w:pPr>
            <w:pStyle w:val="Footer"/>
          </w:pPr>
          <w:r>
            <w:t>GE. 03-43616 (C)</w:t>
          </w:r>
        </w:p>
      </w:tc>
      <w:tc>
        <w:tcPr>
          <w:tcW w:w="1050" w:type="dxa"/>
        </w:tcPr>
        <w:p w:rsidR="00000000" w:rsidRDefault="009C1C61">
          <w:pPr>
            <w:pStyle w:val="Footer"/>
            <w:rPr>
              <w:rFonts w:hint="eastAsia"/>
            </w:rPr>
          </w:pPr>
          <w:r>
            <w:t>151204</w:t>
          </w:r>
        </w:p>
      </w:tc>
      <w:tc>
        <w:tcPr>
          <w:tcW w:w="6061" w:type="dxa"/>
        </w:tcPr>
        <w:p w:rsidR="00000000" w:rsidRDefault="009C1C61">
          <w:pPr>
            <w:pStyle w:val="Footer"/>
            <w:rPr>
              <w:rFonts w:hint="eastAsia"/>
            </w:rPr>
          </w:pPr>
          <w:r>
            <w:rPr>
              <w:rFonts w:hint="eastAsia"/>
            </w:rPr>
            <w:t>2</w:t>
          </w:r>
          <w:r>
            <w:t>9</w:t>
          </w:r>
          <w:r>
            <w:rPr>
              <w:rFonts w:hint="eastAsia"/>
            </w:rPr>
            <w:t>1204</w:t>
          </w:r>
        </w:p>
      </w:tc>
    </w:tr>
  </w:tbl>
  <w:p w:rsidR="00000000" w:rsidRDefault="009C1C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1C61">
      <w:pPr>
        <w:spacing w:line="240" w:lineRule="auto"/>
      </w:pPr>
      <w:r>
        <w:separator/>
      </w:r>
    </w:p>
  </w:footnote>
  <w:footnote w:type="continuationSeparator" w:id="0">
    <w:p w:rsidR="00000000" w:rsidRDefault="009C1C61">
      <w:pPr>
        <w:spacing w:line="240" w:lineRule="auto"/>
      </w:pPr>
      <w:r>
        <w:continuationSeparator/>
      </w:r>
    </w:p>
  </w:footnote>
  <w:footnote w:id="1">
    <w:p w:rsidR="00000000" w:rsidRDefault="009C1C61">
      <w:pPr>
        <w:pStyle w:val="EndnoteText"/>
        <w:rPr>
          <w:rFonts w:hint="eastAsia"/>
          <w:b/>
          <w:bCs/>
        </w:rPr>
      </w:pPr>
      <w:r>
        <w:rPr>
          <w:rStyle w:val="FootnoteReference"/>
          <w:bCs/>
        </w:rPr>
        <w:t>*</w:t>
      </w:r>
      <w:r>
        <w:rPr>
          <w:b/>
          <w:bCs/>
        </w:rPr>
        <w:t xml:space="preserve"> </w:t>
      </w:r>
      <w:r>
        <w:rPr>
          <w:rFonts w:hint="eastAsia"/>
          <w:b/>
          <w:bCs/>
        </w:rPr>
        <w:tab/>
      </w:r>
      <w:r>
        <w:rPr>
          <w:rFonts w:hint="eastAsia"/>
        </w:rPr>
        <w:t>智利政府提交的关于公约第六至第九条所涉权利的第二次定期报告</w:t>
      </w:r>
      <w:r>
        <w:rPr>
          <w:rFonts w:hint="eastAsia"/>
        </w:rPr>
        <w:t>(E/1984/8/A</w:t>
      </w:r>
      <w:r>
        <w:t>dd.1</w:t>
      </w:r>
      <w:r>
        <w:rPr>
          <w:rFonts w:hint="eastAsia"/>
        </w:rPr>
        <w:t>)</w:t>
      </w:r>
      <w:r>
        <w:rPr>
          <w:rFonts w:hint="eastAsia"/>
        </w:rPr>
        <w:t>和关于《公约》第十至十二条所涉权利的第二次定期报告</w:t>
      </w:r>
      <w:r>
        <w:rPr>
          <w:rFonts w:hint="eastAsia"/>
        </w:rPr>
        <w:t>(E/1986/4/A</w:t>
      </w:r>
      <w:r>
        <w:t>dd.1</w:t>
      </w:r>
      <w:r>
        <w:rPr>
          <w:rFonts w:hint="eastAsia"/>
        </w:rPr>
        <w:t>8)</w:t>
      </w:r>
      <w:r>
        <w:rPr>
          <w:rFonts w:hint="eastAsia"/>
        </w:rPr>
        <w:t>已由经济、社会、文化权利国际公约执行情况政府专家会期工作组在</w:t>
      </w:r>
      <w:r>
        <w:rPr>
          <w:rFonts w:hint="eastAsia"/>
        </w:rPr>
        <w:t>1984</w:t>
      </w:r>
      <w:r>
        <w:rPr>
          <w:rFonts w:hint="eastAsia"/>
        </w:rPr>
        <w:t>年会议上进行了审议</w:t>
      </w:r>
      <w:r>
        <w:rPr>
          <w:rFonts w:hint="eastAsia"/>
        </w:rPr>
        <w:t>(</w:t>
      </w:r>
      <w:r>
        <w:rPr>
          <w:rFonts w:hint="eastAsia"/>
        </w:rPr>
        <w:t>见</w:t>
      </w:r>
      <w:r>
        <w:rPr>
          <w:rFonts w:hint="eastAsia"/>
        </w:rPr>
        <w:t>E/1984/WG.1/S</w:t>
      </w:r>
      <w:r>
        <w:t>r</w:t>
      </w:r>
      <w:r>
        <w:rPr>
          <w:rFonts w:hint="eastAsia"/>
        </w:rPr>
        <w:t>.11-12</w:t>
      </w:r>
      <w:r>
        <w:rPr>
          <w:rFonts w:hint="eastAsia"/>
        </w:rPr>
        <w:t>号文件</w:t>
      </w:r>
      <w:r>
        <w:rPr>
          <w:rFonts w:hint="eastAsia"/>
        </w:rPr>
        <w:t>)</w:t>
      </w:r>
      <w:r>
        <w:rPr>
          <w:rFonts w:hint="eastAsia"/>
        </w:rPr>
        <w:t>，后经经济、社会、文</w:t>
      </w:r>
      <w:r>
        <w:rPr>
          <w:rFonts w:hint="eastAsia"/>
        </w:rPr>
        <w:t>化权利委员会</w:t>
      </w:r>
      <w:r>
        <w:rPr>
          <w:rFonts w:hint="eastAsia"/>
        </w:rPr>
        <w:t>1988</w:t>
      </w:r>
      <w:r>
        <w:rPr>
          <w:rFonts w:hint="eastAsia"/>
        </w:rPr>
        <w:t>年第二届常会审议</w:t>
      </w:r>
      <w:r>
        <w:rPr>
          <w:rFonts w:hint="eastAsia"/>
        </w:rPr>
        <w:t>(</w:t>
      </w:r>
      <w:r>
        <w:rPr>
          <w:rFonts w:hint="eastAsia"/>
        </w:rPr>
        <w:t>见</w:t>
      </w:r>
      <w:r>
        <w:rPr>
          <w:rFonts w:hint="eastAsia"/>
        </w:rPr>
        <w:t>E/C.12/1988/SR.12-13</w:t>
      </w:r>
      <w:r>
        <w:rPr>
          <w:rFonts w:hint="eastAsia"/>
        </w:rPr>
        <w:t>和</w:t>
      </w:r>
      <w:r>
        <w:rPr>
          <w:rFonts w:hint="eastAsia"/>
        </w:rPr>
        <w:t>16</w:t>
      </w:r>
      <w:r>
        <w:rPr>
          <w:rFonts w:hint="eastAsia"/>
        </w:rPr>
        <w:t>号文件</w:t>
      </w:r>
      <w:r>
        <w:rPr>
          <w:rFonts w:hint="eastAsia"/>
        </w:rPr>
        <w:t>)</w:t>
      </w:r>
      <w:r>
        <w:rPr>
          <w:rFonts w:hint="eastAsia"/>
        </w:rPr>
        <w:t>。</w:t>
      </w:r>
    </w:p>
  </w:footnote>
  <w:footnote w:id="2">
    <w:p w:rsidR="00000000" w:rsidRDefault="009C1C61">
      <w:pPr>
        <w:pStyle w:val="FootnoteText"/>
        <w:spacing w:after="160"/>
      </w:pPr>
      <w:r>
        <w:rPr>
          <w:rStyle w:val="FootnoteReference"/>
          <w:bCs/>
        </w:rPr>
        <w:t>**</w:t>
      </w:r>
      <w:r>
        <w:rPr>
          <w:b/>
          <w:bCs/>
        </w:rPr>
        <w:tab/>
      </w:r>
      <w:r>
        <w:rPr>
          <w:rFonts w:hint="eastAsia"/>
        </w:rPr>
        <w:t>根据关于缔约国报告初始部分综合指南提交的资料载于核心文件</w:t>
      </w:r>
      <w:r>
        <w:rPr>
          <w:rFonts w:hint="eastAsia"/>
        </w:rPr>
        <w:t>HRI/</w:t>
      </w:r>
      <w:r>
        <w:t xml:space="preserve"> </w:t>
      </w:r>
      <w:r>
        <w:rPr>
          <w:rFonts w:hint="eastAsia"/>
        </w:rPr>
        <w:t>CORE/1/A</w:t>
      </w:r>
      <w:r>
        <w:t>dd.103</w:t>
      </w:r>
      <w:r>
        <w:rPr>
          <w:rFonts w:hint="eastAsia"/>
        </w:rPr>
        <w:t>。</w:t>
      </w:r>
    </w:p>
  </w:footnote>
  <w:footnote w:id="3">
    <w:p w:rsidR="00000000" w:rsidRDefault="009C1C61">
      <w:pPr>
        <w:pStyle w:val="FootnoteText"/>
        <w:rPr>
          <w:rFonts w:hint="eastAsia"/>
        </w:rPr>
      </w:pPr>
      <w:r>
        <w:rPr>
          <w:rStyle w:val="FootnoteReference"/>
        </w:rPr>
        <w:footnoteRef/>
      </w:r>
      <w:r>
        <w:t xml:space="preserve"> </w:t>
      </w:r>
      <w:r>
        <w:tab/>
      </w:r>
      <w:r>
        <w:rPr>
          <w:rFonts w:hint="eastAsia"/>
        </w:rPr>
        <w:t>见附件一</w:t>
      </w:r>
      <w:r>
        <w:rPr>
          <w:rFonts w:hint="eastAsia"/>
        </w:rPr>
        <w:t>(</w:t>
      </w:r>
      <w:r>
        <w:rPr>
          <w:rFonts w:hint="eastAsia"/>
        </w:rPr>
        <w:t>缩略语</w:t>
      </w:r>
      <w:r>
        <w:rPr>
          <w:rFonts w:hint="eastAsia"/>
        </w:rPr>
        <w:t>)</w:t>
      </w:r>
      <w:r>
        <w:rPr>
          <w:rFonts w:hint="eastAsia"/>
        </w:rPr>
        <w:t>。</w:t>
      </w:r>
    </w:p>
  </w:footnote>
  <w:footnote w:id="4">
    <w:p w:rsidR="00000000" w:rsidRDefault="009C1C61">
      <w:pPr>
        <w:pStyle w:val="FootnoteText"/>
      </w:pPr>
      <w:r>
        <w:rPr>
          <w:rStyle w:val="FootnoteReference"/>
        </w:rPr>
        <w:footnoteRef/>
      </w:r>
      <w:r>
        <w:t xml:space="preserve"> </w:t>
      </w:r>
      <w:r>
        <w:tab/>
      </w:r>
      <w:r>
        <w:rPr>
          <w:rFonts w:hint="eastAsia"/>
        </w:rPr>
        <w:t>国内总产值增长</w:t>
      </w:r>
      <w:r>
        <w:rPr>
          <w:rFonts w:hint="eastAsia"/>
        </w:rPr>
        <w:t>1.8%</w:t>
      </w:r>
      <w:r>
        <w:rPr>
          <w:rFonts w:hint="eastAsia"/>
        </w:rPr>
        <w:t>，</w:t>
      </w:r>
      <w:r>
        <w:rPr>
          <w:rFonts w:hint="eastAsia"/>
        </w:rPr>
        <w:t>2001</w:t>
      </w:r>
      <w:r>
        <w:rPr>
          <w:rFonts w:hint="eastAsia"/>
        </w:rPr>
        <w:t>年为</w:t>
      </w:r>
      <w:r>
        <w:rPr>
          <w:rFonts w:hint="eastAsia"/>
        </w:rPr>
        <w:t>2.8%</w:t>
      </w:r>
      <w:r>
        <w:rPr>
          <w:rFonts w:hint="eastAsia"/>
        </w:rPr>
        <w:t>。通货膨胀显示季节性波动，并受到汇率波动的影响和油价及其衍生物价格波动的影响。最后的通货膨胀率为</w:t>
      </w:r>
      <w:r>
        <w:rPr>
          <w:rFonts w:hint="eastAsia"/>
        </w:rPr>
        <w:t>3%</w:t>
      </w:r>
      <w:r>
        <w:rPr>
          <w:rFonts w:hint="eastAsia"/>
        </w:rPr>
        <w:t>，符合政府的指标。世界经济衰退、地区危机和全球风险增大不仅导致外贸剧跌，而且使得贸易条件持续恶化</w:t>
      </w:r>
      <w:r>
        <w:rPr>
          <w:rFonts w:hint="eastAsia"/>
        </w:rPr>
        <w:t>(2001-2002</w:t>
      </w:r>
      <w:r>
        <w:rPr>
          <w:rFonts w:hint="eastAsia"/>
        </w:rPr>
        <w:t>两年期间为</w:t>
      </w:r>
      <w:r>
        <w:rPr>
          <w:rFonts w:hint="eastAsia"/>
        </w:rPr>
        <w:t>9%)</w:t>
      </w:r>
      <w:r>
        <w:rPr>
          <w:rFonts w:hint="eastAsia"/>
        </w:rPr>
        <w:t>和资本流入下跌，总计相当于国内总产值的</w:t>
      </w:r>
      <w:r>
        <w:rPr>
          <w:rFonts w:hint="eastAsia"/>
        </w:rPr>
        <w:t>5</w:t>
      </w:r>
      <w:r>
        <w:rPr>
          <w:rFonts w:hint="eastAsia"/>
        </w:rPr>
        <w:t>个百分点以上。智利必须面对</w:t>
      </w:r>
      <w:r>
        <w:rPr>
          <w:rFonts w:hint="eastAsia"/>
        </w:rPr>
        <w:t>1982-1983</w:t>
      </w:r>
      <w:r>
        <w:rPr>
          <w:rFonts w:hint="eastAsia"/>
        </w:rPr>
        <w:t>年危机以来最为严峻的外部局势，而且无法逃避国外动荡的以及流向新兴国家资本剧减的影响。资料来源：</w:t>
      </w:r>
      <w:r>
        <w:t xml:space="preserve">Preliminary Overview of the Economies lf Latin America and the Caribbean, </w:t>
      </w:r>
      <w:r>
        <w:rPr>
          <w:rFonts w:hint="eastAsia"/>
        </w:rPr>
        <w:t>拉加经委员会，</w:t>
      </w:r>
      <w:r>
        <w:rPr>
          <w:rFonts w:hint="eastAsia"/>
        </w:rPr>
        <w:t>2002</w:t>
      </w:r>
      <w:r>
        <w:rPr>
          <w:rFonts w:hint="eastAsia"/>
        </w:rPr>
        <w:t>年。</w:t>
      </w:r>
    </w:p>
  </w:footnote>
  <w:footnote w:id="5">
    <w:p w:rsidR="00000000" w:rsidRDefault="009C1C61">
      <w:pPr>
        <w:pStyle w:val="FootnoteText"/>
        <w:rPr>
          <w:rFonts w:hint="eastAsia"/>
        </w:rPr>
      </w:pPr>
      <w:r>
        <w:rPr>
          <w:rStyle w:val="FootnoteReference"/>
        </w:rPr>
        <w:footnoteRef/>
      </w:r>
      <w:r>
        <w:t xml:space="preserve"> </w:t>
      </w:r>
      <w:r>
        <w:rPr>
          <w:rFonts w:hint="eastAsia"/>
        </w:rPr>
        <w:tab/>
      </w:r>
      <w:r>
        <w:rPr>
          <w:rFonts w:hint="eastAsia"/>
        </w:rPr>
        <w:t>《宪法》第</w:t>
      </w:r>
      <w:r>
        <w:rPr>
          <w:rFonts w:hint="eastAsia"/>
        </w:rPr>
        <w:t>19</w:t>
      </w:r>
      <w:r>
        <w:rPr>
          <w:rFonts w:hint="eastAsia"/>
        </w:rPr>
        <w:t>条第</w:t>
      </w:r>
      <w:r>
        <w:rPr>
          <w:rFonts w:hint="eastAsia"/>
        </w:rPr>
        <w:t>21</w:t>
      </w:r>
      <w:r>
        <w:rPr>
          <w:rFonts w:hint="eastAsia"/>
        </w:rPr>
        <w:t>节。</w:t>
      </w:r>
    </w:p>
  </w:footnote>
  <w:footnote w:id="6">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条第</w:t>
      </w:r>
      <w:r>
        <w:rPr>
          <w:rFonts w:hint="eastAsia"/>
        </w:rPr>
        <w:t>23</w:t>
      </w:r>
      <w:r>
        <w:rPr>
          <w:rFonts w:hint="eastAsia"/>
        </w:rPr>
        <w:t>节，第</w:t>
      </w:r>
      <w:r>
        <w:rPr>
          <w:rFonts w:hint="eastAsia"/>
        </w:rPr>
        <w:t>2</w:t>
      </w:r>
      <w:r>
        <w:rPr>
          <w:rFonts w:hint="eastAsia"/>
        </w:rPr>
        <w:t>款。</w:t>
      </w:r>
    </w:p>
  </w:footnote>
  <w:footnote w:id="7">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条第</w:t>
      </w:r>
      <w:r>
        <w:rPr>
          <w:rFonts w:hint="eastAsia"/>
        </w:rPr>
        <w:t>24</w:t>
      </w:r>
      <w:r>
        <w:rPr>
          <w:rFonts w:hint="eastAsia"/>
        </w:rPr>
        <w:t>节，第</w:t>
      </w:r>
      <w:r>
        <w:rPr>
          <w:rFonts w:hint="eastAsia"/>
        </w:rPr>
        <w:t>2</w:t>
      </w:r>
      <w:r>
        <w:rPr>
          <w:rFonts w:hint="eastAsia"/>
        </w:rPr>
        <w:t>款。</w:t>
      </w:r>
    </w:p>
  </w:footnote>
  <w:footnote w:id="8">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条第</w:t>
      </w:r>
      <w:r>
        <w:rPr>
          <w:rFonts w:hint="eastAsia"/>
        </w:rPr>
        <w:t>24</w:t>
      </w:r>
      <w:r>
        <w:rPr>
          <w:rFonts w:hint="eastAsia"/>
        </w:rPr>
        <w:t>节，第</w:t>
      </w:r>
      <w:r>
        <w:rPr>
          <w:rFonts w:hint="eastAsia"/>
        </w:rPr>
        <w:t>6</w:t>
      </w:r>
      <w:r>
        <w:rPr>
          <w:rFonts w:hint="eastAsia"/>
        </w:rPr>
        <w:t>款。</w:t>
      </w:r>
    </w:p>
  </w:footnote>
  <w:footnote w:id="9">
    <w:p w:rsidR="00000000" w:rsidRDefault="009C1C61">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7</w:t>
      </w:r>
      <w:r>
        <w:rPr>
          <w:rFonts w:hint="eastAsia"/>
        </w:rPr>
        <w:t>和第</w:t>
      </w:r>
      <w:r>
        <w:rPr>
          <w:rFonts w:hint="eastAsia"/>
        </w:rPr>
        <w:t>1</w:t>
      </w:r>
      <w:r>
        <w:rPr>
          <w:rFonts w:hint="eastAsia"/>
        </w:rPr>
        <w:t>0</w:t>
      </w:r>
      <w:r>
        <w:rPr>
          <w:rFonts w:hint="eastAsia"/>
        </w:rPr>
        <w:t>款。</w:t>
      </w:r>
    </w:p>
  </w:footnote>
  <w:footnote w:id="10">
    <w:p w:rsidR="00000000" w:rsidRDefault="009C1C61">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7</w:t>
      </w:r>
      <w:r>
        <w:rPr>
          <w:rFonts w:hint="eastAsia"/>
        </w:rPr>
        <w:t>款。</w:t>
      </w:r>
    </w:p>
  </w:footnote>
  <w:footnote w:id="11">
    <w:p w:rsidR="00000000" w:rsidRDefault="009C1C61">
      <w:pPr>
        <w:pStyle w:val="FootnoteText"/>
        <w:rPr>
          <w:rFonts w:hint="eastAsia"/>
        </w:rPr>
      </w:pPr>
      <w:r>
        <w:rPr>
          <w:rStyle w:val="FootnoteReference"/>
        </w:rPr>
        <w:footnoteRef/>
      </w:r>
      <w:r>
        <w:t xml:space="preserve"> </w:t>
      </w:r>
      <w:r>
        <w:rPr>
          <w:rFonts w:hint="eastAsia"/>
        </w:rPr>
        <w:tab/>
      </w:r>
      <w:r>
        <w:rPr>
          <w:rFonts w:hint="eastAsia"/>
        </w:rPr>
        <w:t>根据关于国家政治宪法改革的第</w:t>
      </w:r>
      <w:r>
        <w:rPr>
          <w:rFonts w:hint="eastAsia"/>
        </w:rPr>
        <w:t>17450</w:t>
      </w:r>
      <w:r>
        <w:rPr>
          <w:rFonts w:hint="eastAsia"/>
        </w:rPr>
        <w:t>号法令列入，</w:t>
      </w:r>
      <w:r>
        <w:rPr>
          <w:rFonts w:hint="eastAsia"/>
        </w:rPr>
        <w:t>1971</w:t>
      </w:r>
      <w:r>
        <w:rPr>
          <w:rFonts w:hint="eastAsia"/>
        </w:rPr>
        <w:t>年</w:t>
      </w:r>
      <w:r>
        <w:rPr>
          <w:rFonts w:hint="eastAsia"/>
        </w:rPr>
        <w:t>7</w:t>
      </w:r>
      <w:r>
        <w:rPr>
          <w:rFonts w:hint="eastAsia"/>
        </w:rPr>
        <w:t>月</w:t>
      </w:r>
      <w:r>
        <w:rPr>
          <w:rFonts w:hint="eastAsia"/>
        </w:rPr>
        <w:t>18</w:t>
      </w:r>
      <w:r>
        <w:rPr>
          <w:rFonts w:hint="eastAsia"/>
        </w:rPr>
        <w:t>日政府公报公布了该法。</w:t>
      </w:r>
    </w:p>
  </w:footnote>
  <w:footnote w:id="12">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条第</w:t>
      </w:r>
      <w:r>
        <w:rPr>
          <w:rFonts w:hint="eastAsia"/>
        </w:rPr>
        <w:t>1-26</w:t>
      </w:r>
      <w:r>
        <w:rPr>
          <w:rFonts w:hint="eastAsia"/>
        </w:rPr>
        <w:t>款。</w:t>
      </w:r>
    </w:p>
  </w:footnote>
  <w:footnote w:id="13">
    <w:p w:rsidR="00000000" w:rsidRDefault="009C1C61">
      <w:pPr>
        <w:pStyle w:val="FootnoteText"/>
        <w:rPr>
          <w:rFonts w:hint="eastAsia"/>
        </w:rPr>
      </w:pPr>
      <w:r>
        <w:rPr>
          <w:rStyle w:val="FootnoteReference"/>
        </w:rPr>
        <w:footnoteRef/>
      </w:r>
      <w:r>
        <w:t xml:space="preserve"> </w:t>
      </w:r>
      <w:r>
        <w:rPr>
          <w:rFonts w:hint="eastAsia"/>
        </w:rPr>
        <w:tab/>
      </w:r>
      <w:r>
        <w:rPr>
          <w:rFonts w:hint="eastAsia"/>
        </w:rPr>
        <w:t>宪法第</w:t>
      </w:r>
      <w:r>
        <w:rPr>
          <w:rFonts w:hint="eastAsia"/>
        </w:rPr>
        <w:t>19</w:t>
      </w:r>
      <w:r>
        <w:rPr>
          <w:rFonts w:hint="eastAsia"/>
        </w:rPr>
        <w:t>条保护健康权</w:t>
      </w:r>
      <w:r>
        <w:rPr>
          <w:rFonts w:hint="eastAsia"/>
        </w:rPr>
        <w:t>(</w:t>
      </w:r>
      <w:r>
        <w:rPr>
          <w:rFonts w:hint="eastAsia"/>
        </w:rPr>
        <w:t>第</w:t>
      </w:r>
      <w:r>
        <w:rPr>
          <w:rFonts w:hint="eastAsia"/>
        </w:rPr>
        <w:t>9</w:t>
      </w:r>
      <w:r>
        <w:rPr>
          <w:rFonts w:hint="eastAsia"/>
        </w:rPr>
        <w:t>款</w:t>
      </w:r>
      <w:r>
        <w:rPr>
          <w:rFonts w:hint="eastAsia"/>
        </w:rPr>
        <w:t>)</w:t>
      </w:r>
      <w:r>
        <w:rPr>
          <w:rFonts w:hint="eastAsia"/>
        </w:rPr>
        <w:t>、教育权</w:t>
      </w:r>
      <w:r>
        <w:rPr>
          <w:rFonts w:hint="eastAsia"/>
        </w:rPr>
        <w:t>(</w:t>
      </w:r>
      <w:r>
        <w:rPr>
          <w:rFonts w:hint="eastAsia"/>
        </w:rPr>
        <w:t>第</w:t>
      </w:r>
      <w:r>
        <w:rPr>
          <w:rFonts w:hint="eastAsia"/>
        </w:rPr>
        <w:t>10</w:t>
      </w:r>
      <w:r>
        <w:rPr>
          <w:rFonts w:hint="eastAsia"/>
        </w:rPr>
        <w:t>款</w:t>
      </w:r>
      <w:r>
        <w:rPr>
          <w:rFonts w:hint="eastAsia"/>
        </w:rPr>
        <w:t>)</w:t>
      </w:r>
      <w:r>
        <w:rPr>
          <w:rFonts w:hint="eastAsia"/>
        </w:rPr>
        <w:t>，工作自由</w:t>
      </w:r>
      <w:r>
        <w:rPr>
          <w:rFonts w:hint="eastAsia"/>
        </w:rPr>
        <w:t>(</w:t>
      </w:r>
      <w:r>
        <w:rPr>
          <w:rFonts w:hint="eastAsia"/>
        </w:rPr>
        <w:t>第</w:t>
      </w:r>
      <w:r>
        <w:rPr>
          <w:rFonts w:hint="eastAsia"/>
        </w:rPr>
        <w:t>16</w:t>
      </w:r>
      <w:r>
        <w:rPr>
          <w:rFonts w:hint="eastAsia"/>
        </w:rPr>
        <w:t>款</w:t>
      </w:r>
      <w:r>
        <w:rPr>
          <w:rFonts w:hint="eastAsia"/>
        </w:rPr>
        <w:t>)</w:t>
      </w:r>
      <w:r>
        <w:rPr>
          <w:rFonts w:hint="eastAsia"/>
        </w:rPr>
        <w:t>、社会福利</w:t>
      </w:r>
      <w:r>
        <w:rPr>
          <w:rFonts w:hint="eastAsia"/>
        </w:rPr>
        <w:t>(</w:t>
      </w:r>
      <w:r>
        <w:rPr>
          <w:rFonts w:hint="eastAsia"/>
        </w:rPr>
        <w:t>第</w:t>
      </w:r>
      <w:r>
        <w:rPr>
          <w:rFonts w:hint="eastAsia"/>
        </w:rPr>
        <w:t>18</w:t>
      </w:r>
      <w:r>
        <w:rPr>
          <w:rFonts w:hint="eastAsia"/>
        </w:rPr>
        <w:t>款</w:t>
      </w:r>
      <w:r>
        <w:rPr>
          <w:rFonts w:hint="eastAsia"/>
        </w:rPr>
        <w:t>)</w:t>
      </w:r>
      <w:r>
        <w:rPr>
          <w:rFonts w:hint="eastAsia"/>
        </w:rPr>
        <w:t>，根据法律规定结婚</w:t>
      </w:r>
      <w:r>
        <w:rPr>
          <w:rFonts w:hint="eastAsia"/>
        </w:rPr>
        <w:t>(</w:t>
      </w:r>
      <w:r>
        <w:rPr>
          <w:rFonts w:hint="eastAsia"/>
        </w:rPr>
        <w:t>第</w:t>
      </w:r>
      <w:r>
        <w:rPr>
          <w:rFonts w:hint="eastAsia"/>
        </w:rPr>
        <w:t>19</w:t>
      </w:r>
      <w:r>
        <w:rPr>
          <w:rFonts w:hint="eastAsia"/>
        </w:rPr>
        <w:t>款</w:t>
      </w:r>
      <w:r>
        <w:rPr>
          <w:rFonts w:hint="eastAsia"/>
        </w:rPr>
        <w:t>)</w:t>
      </w:r>
      <w:r>
        <w:rPr>
          <w:rFonts w:hint="eastAsia"/>
        </w:rPr>
        <w:t>和生活在一个没有污染环境里的权利</w:t>
      </w:r>
      <w:r>
        <w:rPr>
          <w:rFonts w:hint="eastAsia"/>
        </w:rPr>
        <w:t>(</w:t>
      </w:r>
      <w:r>
        <w:rPr>
          <w:rFonts w:hint="eastAsia"/>
        </w:rPr>
        <w:t>第</w:t>
      </w:r>
      <w:r>
        <w:rPr>
          <w:rFonts w:hint="eastAsia"/>
        </w:rPr>
        <w:t>8</w:t>
      </w:r>
      <w:r>
        <w:rPr>
          <w:rFonts w:hint="eastAsia"/>
        </w:rPr>
        <w:t>款</w:t>
      </w:r>
      <w:r>
        <w:rPr>
          <w:rFonts w:hint="eastAsia"/>
        </w:rPr>
        <w:t>)</w:t>
      </w:r>
      <w:r>
        <w:rPr>
          <w:rFonts w:hint="eastAsia"/>
        </w:rPr>
        <w:t>。政治宪法也规定了男女平等</w:t>
      </w:r>
      <w:r>
        <w:rPr>
          <w:rFonts w:hint="eastAsia"/>
        </w:rPr>
        <w:t>(</w:t>
      </w:r>
      <w:r>
        <w:rPr>
          <w:rFonts w:hint="eastAsia"/>
        </w:rPr>
        <w:t>第</w:t>
      </w:r>
      <w:r>
        <w:rPr>
          <w:rFonts w:hint="eastAsia"/>
        </w:rPr>
        <w:t>1</w:t>
      </w:r>
      <w:r>
        <w:rPr>
          <w:rFonts w:hint="eastAsia"/>
        </w:rPr>
        <w:t>条和第</w:t>
      </w:r>
      <w:r>
        <w:rPr>
          <w:rFonts w:hint="eastAsia"/>
        </w:rPr>
        <w:t>19</w:t>
      </w:r>
      <w:r>
        <w:rPr>
          <w:rFonts w:hint="eastAsia"/>
        </w:rPr>
        <w:t>条第</w:t>
      </w:r>
      <w:r>
        <w:rPr>
          <w:rFonts w:hint="eastAsia"/>
        </w:rPr>
        <w:t>2</w:t>
      </w:r>
      <w:r>
        <w:rPr>
          <w:rFonts w:hint="eastAsia"/>
        </w:rPr>
        <w:t>款</w:t>
      </w:r>
      <w:r>
        <w:rPr>
          <w:rFonts w:hint="eastAsia"/>
        </w:rPr>
        <w:t>)</w:t>
      </w:r>
      <w:r>
        <w:rPr>
          <w:rFonts w:hint="eastAsia"/>
        </w:rPr>
        <w:t>和对家庭的保护</w:t>
      </w:r>
      <w:r>
        <w:rPr>
          <w:rFonts w:hint="eastAsia"/>
        </w:rPr>
        <w:t>(</w:t>
      </w:r>
      <w:r>
        <w:rPr>
          <w:rFonts w:hint="eastAsia"/>
        </w:rPr>
        <w:t>第</w:t>
      </w:r>
      <w:r>
        <w:rPr>
          <w:rFonts w:hint="eastAsia"/>
        </w:rPr>
        <w:t>1</w:t>
      </w:r>
      <w:r>
        <w:rPr>
          <w:rFonts w:hint="eastAsia"/>
        </w:rPr>
        <w:t>条</w:t>
      </w:r>
      <w:r>
        <w:rPr>
          <w:rFonts w:hint="eastAsia"/>
        </w:rPr>
        <w:t>)</w:t>
      </w:r>
      <w:r>
        <w:rPr>
          <w:rFonts w:hint="eastAsia"/>
        </w:rPr>
        <w:t>。</w:t>
      </w:r>
    </w:p>
  </w:footnote>
  <w:footnote w:id="14">
    <w:p w:rsidR="00000000" w:rsidRDefault="009C1C61">
      <w:pPr>
        <w:pStyle w:val="FootnoteText"/>
        <w:rPr>
          <w:rFonts w:hint="eastAsia"/>
        </w:rPr>
      </w:pPr>
      <w:r>
        <w:rPr>
          <w:rStyle w:val="FootnoteReference"/>
        </w:rPr>
        <w:footnoteRef/>
      </w:r>
      <w:r>
        <w:t xml:space="preserve"> </w:t>
      </w:r>
      <w:r>
        <w:rPr>
          <w:rFonts w:hint="eastAsia"/>
        </w:rPr>
        <w:tab/>
      </w:r>
      <w:r>
        <w:rPr>
          <w:rFonts w:hint="eastAsia"/>
        </w:rPr>
        <w:t>摘录自智利内政部印发的关于智利移民政策的文件。</w:t>
      </w:r>
    </w:p>
  </w:footnote>
  <w:footnote w:id="15">
    <w:p w:rsidR="00000000" w:rsidRDefault="009C1C61">
      <w:pPr>
        <w:pStyle w:val="FootnoteText"/>
        <w:rPr>
          <w:rFonts w:hint="eastAsia"/>
        </w:rPr>
      </w:pPr>
      <w:r>
        <w:rPr>
          <w:rStyle w:val="FootnoteReference"/>
        </w:rPr>
        <w:footnoteRef/>
      </w:r>
      <w:r>
        <w:t xml:space="preserve"> </w:t>
      </w:r>
      <w:r>
        <w:rPr>
          <w:rFonts w:hint="eastAsia"/>
        </w:rPr>
        <w:tab/>
        <w:t>1975</w:t>
      </w:r>
      <w:r>
        <w:rPr>
          <w:rFonts w:hint="eastAsia"/>
        </w:rPr>
        <w:t>年第</w:t>
      </w:r>
      <w:r>
        <w:rPr>
          <w:rFonts w:hint="eastAsia"/>
        </w:rPr>
        <w:t>1094</w:t>
      </w:r>
      <w:r>
        <w:rPr>
          <w:rFonts w:hint="eastAsia"/>
        </w:rPr>
        <w:t>号政令法。</w:t>
      </w:r>
    </w:p>
  </w:footnote>
  <w:footnote w:id="16">
    <w:p w:rsidR="00000000" w:rsidRDefault="009C1C61">
      <w:pPr>
        <w:pStyle w:val="FootnoteText"/>
        <w:rPr>
          <w:rFonts w:hint="eastAsia"/>
        </w:rPr>
      </w:pPr>
      <w:r>
        <w:rPr>
          <w:rStyle w:val="FootnoteReference"/>
        </w:rPr>
        <w:footnoteRef/>
      </w:r>
      <w:r>
        <w:t xml:space="preserve"> </w:t>
      </w:r>
      <w:r>
        <w:rPr>
          <w:rFonts w:hint="eastAsia"/>
        </w:rPr>
        <w:tab/>
        <w:t>1</w:t>
      </w:r>
      <w:r>
        <w:rPr>
          <w:rFonts w:hint="eastAsia"/>
        </w:rPr>
        <w:t>996</w:t>
      </w:r>
      <w:r>
        <w:rPr>
          <w:rFonts w:hint="eastAsia"/>
        </w:rPr>
        <w:t>年第</w:t>
      </w:r>
      <w:r>
        <w:rPr>
          <w:rFonts w:hint="eastAsia"/>
        </w:rPr>
        <w:t>19,746</w:t>
      </w:r>
      <w:r>
        <w:rPr>
          <w:rFonts w:hint="eastAsia"/>
        </w:rPr>
        <w:t>号法令。</w:t>
      </w:r>
    </w:p>
  </w:footnote>
  <w:footnote w:id="17">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条，第</w:t>
      </w:r>
      <w:r>
        <w:rPr>
          <w:rFonts w:hint="eastAsia"/>
        </w:rPr>
        <w:t>26</w:t>
      </w:r>
      <w:r>
        <w:rPr>
          <w:rFonts w:hint="eastAsia"/>
        </w:rPr>
        <w:t>条</w:t>
      </w:r>
      <w:r>
        <w:rPr>
          <w:rFonts w:hint="eastAsia"/>
        </w:rPr>
        <w:t>(</w:t>
      </w:r>
      <w:r>
        <w:t>a)</w:t>
      </w:r>
      <w:r>
        <w:rPr>
          <w:rFonts w:hint="eastAsia"/>
        </w:rPr>
        <w:t>款。</w:t>
      </w:r>
    </w:p>
  </w:footnote>
  <w:footnote w:id="18">
    <w:p w:rsidR="00000000" w:rsidRDefault="009C1C61">
      <w:pPr>
        <w:pStyle w:val="FootnoteText"/>
        <w:rPr>
          <w:rFonts w:hint="eastAsia"/>
        </w:rPr>
      </w:pPr>
      <w:r>
        <w:rPr>
          <w:rStyle w:val="FootnoteReference"/>
        </w:rPr>
        <w:footnoteRef/>
      </w:r>
      <w:r>
        <w:t xml:space="preserve"> </w:t>
      </w:r>
      <w:r>
        <w:rPr>
          <w:rFonts w:hint="eastAsia"/>
        </w:rPr>
        <w:tab/>
        <w:t>1985</w:t>
      </w:r>
      <w:r>
        <w:rPr>
          <w:rFonts w:hint="eastAsia"/>
        </w:rPr>
        <w:t>年</w:t>
      </w:r>
      <w:r>
        <w:rPr>
          <w:rFonts w:hint="eastAsia"/>
        </w:rPr>
        <w:t>12</w:t>
      </w:r>
      <w:r>
        <w:rPr>
          <w:rFonts w:hint="eastAsia"/>
        </w:rPr>
        <w:t>月</w:t>
      </w:r>
      <w:r>
        <w:rPr>
          <w:rFonts w:hint="eastAsia"/>
        </w:rPr>
        <w:t>13</w:t>
      </w:r>
      <w:r>
        <w:rPr>
          <w:rFonts w:hint="eastAsia"/>
        </w:rPr>
        <w:t>日大会第</w:t>
      </w:r>
      <w:r>
        <w:rPr>
          <w:rFonts w:hint="eastAsia"/>
        </w:rPr>
        <w:t>40/144</w:t>
      </w:r>
      <w:r>
        <w:rPr>
          <w:rFonts w:hint="eastAsia"/>
        </w:rPr>
        <w:t>号决议。</w:t>
      </w:r>
    </w:p>
  </w:footnote>
  <w:footnote w:id="19">
    <w:p w:rsidR="00000000" w:rsidRDefault="009C1C61">
      <w:pPr>
        <w:pStyle w:val="FootnoteText"/>
      </w:pPr>
      <w:r>
        <w:rPr>
          <w:rStyle w:val="FootnoteReference"/>
        </w:rPr>
        <w:footnoteRef/>
      </w:r>
      <w:r>
        <w:t xml:space="preserve"> </w:t>
      </w:r>
      <w:r>
        <w:rPr>
          <w:rFonts w:hint="eastAsia"/>
        </w:rPr>
        <w:tab/>
      </w:r>
      <w:r>
        <w:rPr>
          <w:rFonts w:hint="eastAsia"/>
        </w:rPr>
        <w:t>《外国人法案》第</w:t>
      </w:r>
      <w:r>
        <w:rPr>
          <w:rFonts w:hint="eastAsia"/>
        </w:rPr>
        <w:t>15</w:t>
      </w:r>
      <w:r>
        <w:rPr>
          <w:rFonts w:hint="eastAsia"/>
        </w:rPr>
        <w:t>条。</w:t>
      </w:r>
    </w:p>
  </w:footnote>
  <w:footnote w:id="20">
    <w:p w:rsidR="00000000" w:rsidRDefault="009C1C61">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64</w:t>
      </w:r>
      <w:r>
        <w:rPr>
          <w:rFonts w:hint="eastAsia"/>
        </w:rPr>
        <w:t>条。</w:t>
      </w:r>
    </w:p>
  </w:footnote>
  <w:footnote w:id="21">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w:t>
      </w:r>
      <w:r>
        <w:rPr>
          <w:rFonts w:hint="eastAsia"/>
        </w:rPr>
        <w:t>16</w:t>
      </w:r>
      <w:r>
        <w:rPr>
          <w:rFonts w:hint="eastAsia"/>
        </w:rPr>
        <w:t>款。</w:t>
      </w:r>
    </w:p>
  </w:footnote>
  <w:footnote w:id="22">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19</w:t>
      </w:r>
      <w:r>
        <w:rPr>
          <w:rFonts w:hint="eastAsia"/>
        </w:rPr>
        <w:t>条</w:t>
      </w:r>
    </w:p>
  </w:footnote>
  <w:footnote w:id="23">
    <w:p w:rsidR="00000000" w:rsidRDefault="009C1C61">
      <w:pPr>
        <w:pStyle w:val="FootnoteText"/>
        <w:rPr>
          <w:rFonts w:hint="eastAsia"/>
        </w:rPr>
      </w:pPr>
      <w:r>
        <w:rPr>
          <w:rStyle w:val="FootnoteReference"/>
        </w:rPr>
        <w:footnoteRef/>
      </w:r>
      <w:r>
        <w:t xml:space="preserve"> </w:t>
      </w:r>
      <w:r>
        <w:rPr>
          <w:rFonts w:hint="eastAsia"/>
        </w:rPr>
        <w:tab/>
      </w:r>
      <w:r>
        <w:rPr>
          <w:rFonts w:hint="eastAsia"/>
        </w:rPr>
        <w:t>劳工法，第</w:t>
      </w:r>
      <w:r>
        <w:rPr>
          <w:rFonts w:hint="eastAsia"/>
        </w:rPr>
        <w:t>10</w:t>
      </w:r>
      <w:r>
        <w:rPr>
          <w:rFonts w:hint="eastAsia"/>
        </w:rPr>
        <w:t>条第</w:t>
      </w:r>
      <w:r>
        <w:rPr>
          <w:rFonts w:hint="eastAsia"/>
        </w:rPr>
        <w:t>2</w:t>
      </w:r>
      <w:r>
        <w:rPr>
          <w:rFonts w:hint="eastAsia"/>
        </w:rPr>
        <w:t>款。</w:t>
      </w:r>
    </w:p>
  </w:footnote>
  <w:footnote w:id="24">
    <w:p w:rsidR="00000000" w:rsidRDefault="009C1C61">
      <w:pPr>
        <w:pStyle w:val="FootnoteText"/>
        <w:rPr>
          <w:rFonts w:hint="eastAsia"/>
        </w:rPr>
      </w:pPr>
      <w:r>
        <w:rPr>
          <w:rStyle w:val="FootnoteReference"/>
        </w:rPr>
        <w:footnoteRef/>
      </w:r>
      <w:r>
        <w:t xml:space="preserve"> </w:t>
      </w:r>
      <w:r>
        <w:rPr>
          <w:rFonts w:hint="eastAsia"/>
        </w:rPr>
        <w:tab/>
      </w:r>
      <w:r>
        <w:rPr>
          <w:rFonts w:hint="eastAsia"/>
        </w:rPr>
        <w:t>关于意见和新闻自由和从事记者专业的第</w:t>
      </w:r>
      <w:r>
        <w:rPr>
          <w:rFonts w:hint="eastAsia"/>
        </w:rPr>
        <w:t>19,733</w:t>
      </w:r>
      <w:r>
        <w:rPr>
          <w:rFonts w:hint="eastAsia"/>
        </w:rPr>
        <w:t>号法令，</w:t>
      </w:r>
      <w:r>
        <w:rPr>
          <w:rFonts w:hint="eastAsia"/>
        </w:rPr>
        <w:t>2001</w:t>
      </w:r>
      <w:r>
        <w:rPr>
          <w:rFonts w:hint="eastAsia"/>
        </w:rPr>
        <w:t>年</w:t>
      </w:r>
      <w:r>
        <w:rPr>
          <w:rFonts w:hint="eastAsia"/>
        </w:rPr>
        <w:t>5</w:t>
      </w:r>
      <w:r>
        <w:rPr>
          <w:rFonts w:hint="eastAsia"/>
        </w:rPr>
        <w:t>月。</w:t>
      </w:r>
    </w:p>
  </w:footnote>
  <w:footnote w:id="25">
    <w:p w:rsidR="00000000" w:rsidRDefault="009C1C61">
      <w:pPr>
        <w:pStyle w:val="FootnoteText"/>
        <w:rPr>
          <w:rFonts w:hint="eastAsia"/>
        </w:rPr>
      </w:pPr>
      <w:r>
        <w:rPr>
          <w:rStyle w:val="FootnoteReference"/>
        </w:rPr>
        <w:footnoteRef/>
      </w:r>
      <w:r>
        <w:t xml:space="preserve"> </w:t>
      </w:r>
      <w:r>
        <w:rPr>
          <w:rFonts w:hint="eastAsia"/>
        </w:rPr>
        <w:tab/>
        <w:t>1993</w:t>
      </w:r>
      <w:r>
        <w:rPr>
          <w:rFonts w:hint="eastAsia"/>
        </w:rPr>
        <w:t>年</w:t>
      </w:r>
      <w:r>
        <w:rPr>
          <w:rFonts w:hint="eastAsia"/>
        </w:rPr>
        <w:t>10</w:t>
      </w:r>
      <w:r>
        <w:rPr>
          <w:rFonts w:hint="eastAsia"/>
        </w:rPr>
        <w:t>月</w:t>
      </w:r>
      <w:r>
        <w:rPr>
          <w:rFonts w:hint="eastAsia"/>
        </w:rPr>
        <w:t>10</w:t>
      </w:r>
      <w:r>
        <w:rPr>
          <w:rFonts w:hint="eastAsia"/>
        </w:rPr>
        <w:t>日，第</w:t>
      </w:r>
      <w:r>
        <w:rPr>
          <w:rFonts w:hint="eastAsia"/>
        </w:rPr>
        <w:t>19,253</w:t>
      </w:r>
      <w:r>
        <w:rPr>
          <w:rFonts w:hint="eastAsia"/>
        </w:rPr>
        <w:t>号法令。</w:t>
      </w:r>
    </w:p>
  </w:footnote>
  <w:footnote w:id="26">
    <w:p w:rsidR="00000000" w:rsidRDefault="009C1C61">
      <w:pPr>
        <w:pStyle w:val="FootnoteText"/>
        <w:rPr>
          <w:rFonts w:eastAsia="SimSun" w:hint="eastAsia"/>
        </w:rPr>
      </w:pPr>
      <w:r>
        <w:rPr>
          <w:rStyle w:val="FootnoteReference"/>
        </w:rPr>
        <w:footnoteRef/>
      </w:r>
      <w:r>
        <w:t xml:space="preserve"> </w:t>
      </w:r>
      <w:r>
        <w:rPr>
          <w:rFonts w:hint="eastAsia"/>
        </w:rPr>
        <w:tab/>
      </w:r>
      <w:r>
        <w:rPr>
          <w:rFonts w:hint="eastAsia"/>
        </w:rPr>
        <w:t>见附件</w:t>
      </w:r>
      <w:r>
        <w:rPr>
          <w:rFonts w:eastAsia="SimSun" w:hint="eastAsia"/>
          <w:spacing w:val="-50"/>
        </w:rPr>
        <w:t>―</w:t>
      </w:r>
      <w:r>
        <w:rPr>
          <w:rFonts w:eastAsia="SimSun" w:hint="eastAsia"/>
        </w:rPr>
        <w:t>―</w:t>
      </w:r>
      <w:r>
        <w:rPr>
          <w:rFonts w:hint="eastAsia"/>
        </w:rPr>
        <w:t>(</w:t>
      </w:r>
      <w:r>
        <w:rPr>
          <w:rFonts w:hint="eastAsia"/>
        </w:rPr>
        <w:t>简写</w:t>
      </w:r>
      <w:r>
        <w:rPr>
          <w:rFonts w:hint="eastAsia"/>
        </w:rPr>
        <w:t>)</w:t>
      </w:r>
    </w:p>
  </w:footnote>
  <w:footnote w:id="27">
    <w:p w:rsidR="00000000" w:rsidRDefault="009C1C61">
      <w:pPr>
        <w:pStyle w:val="FootnoteText"/>
        <w:rPr>
          <w:rFonts w:hint="eastAsia"/>
        </w:rPr>
      </w:pPr>
      <w:r>
        <w:rPr>
          <w:rStyle w:val="FootnoteReference"/>
        </w:rPr>
        <w:footnoteRef/>
      </w:r>
      <w:r>
        <w:t xml:space="preserve"> </w:t>
      </w:r>
      <w:r>
        <w:rPr>
          <w:rFonts w:hint="eastAsia"/>
        </w:rPr>
        <w:tab/>
        <w:t>1994</w:t>
      </w:r>
      <w:r>
        <w:rPr>
          <w:rFonts w:hint="eastAsia"/>
        </w:rPr>
        <w:t>年第</w:t>
      </w:r>
      <w:r>
        <w:rPr>
          <w:rFonts w:hint="eastAsia"/>
        </w:rPr>
        <w:t>19,284</w:t>
      </w:r>
      <w:r>
        <w:rPr>
          <w:rFonts w:hint="eastAsia"/>
        </w:rPr>
        <w:t>号法令。</w:t>
      </w:r>
    </w:p>
  </w:footnote>
  <w:footnote w:id="28">
    <w:p w:rsidR="00000000" w:rsidRDefault="009C1C61">
      <w:pPr>
        <w:pStyle w:val="FootnoteText"/>
        <w:rPr>
          <w:rFonts w:hint="eastAsia"/>
        </w:rPr>
      </w:pPr>
      <w:r>
        <w:rPr>
          <w:rStyle w:val="FootnoteReference"/>
        </w:rPr>
        <w:footnoteRef/>
      </w:r>
      <w:r>
        <w:t xml:space="preserve"> </w:t>
      </w:r>
      <w:r>
        <w:rPr>
          <w:rFonts w:hint="eastAsia"/>
        </w:rPr>
        <w:tab/>
        <w:t>1994</w:t>
      </w:r>
      <w:r>
        <w:rPr>
          <w:rFonts w:hint="eastAsia"/>
        </w:rPr>
        <w:t>年</w:t>
      </w:r>
      <w:r>
        <w:rPr>
          <w:rFonts w:hint="eastAsia"/>
        </w:rPr>
        <w:t>11</w:t>
      </w:r>
      <w:r>
        <w:rPr>
          <w:rFonts w:hint="eastAsia"/>
        </w:rPr>
        <w:t>月</w:t>
      </w:r>
      <w:r>
        <w:rPr>
          <w:rFonts w:hint="eastAsia"/>
        </w:rPr>
        <w:t>23</w:t>
      </w:r>
      <w:r>
        <w:rPr>
          <w:rFonts w:hint="eastAsia"/>
        </w:rPr>
        <w:t>日，第</w:t>
      </w:r>
      <w:r>
        <w:rPr>
          <w:rFonts w:hint="eastAsia"/>
        </w:rPr>
        <w:t>1137</w:t>
      </w:r>
      <w:r>
        <w:rPr>
          <w:rFonts w:hint="eastAsia"/>
        </w:rPr>
        <w:t>号最高政令</w:t>
      </w:r>
      <w:r>
        <w:rPr>
          <w:rFonts w:hint="eastAsia"/>
        </w:rPr>
        <w:t>(</w:t>
      </w:r>
      <w:r>
        <w:rPr>
          <w:rFonts w:hint="eastAsia"/>
        </w:rPr>
        <w:t>司法部</w:t>
      </w:r>
      <w:r>
        <w:rPr>
          <w:rFonts w:hint="eastAsia"/>
        </w:rPr>
        <w:t>)</w:t>
      </w:r>
      <w:r>
        <w:rPr>
          <w:rFonts w:hint="eastAsia"/>
        </w:rPr>
        <w:t>。</w:t>
      </w:r>
    </w:p>
  </w:footnote>
  <w:footnote w:id="29">
    <w:p w:rsidR="00000000" w:rsidRDefault="009C1C61">
      <w:pPr>
        <w:pStyle w:val="FootnoteText"/>
        <w:rPr>
          <w:rFonts w:hint="eastAsia"/>
        </w:rPr>
      </w:pPr>
      <w:r>
        <w:rPr>
          <w:rStyle w:val="FootnoteReference"/>
        </w:rPr>
        <w:footnoteRef/>
      </w:r>
      <w:r>
        <w:t xml:space="preserve"> </w:t>
      </w:r>
      <w:r>
        <w:rPr>
          <w:rFonts w:hint="eastAsia"/>
        </w:rPr>
        <w:tab/>
        <w:t>1995</w:t>
      </w:r>
      <w:r>
        <w:rPr>
          <w:rFonts w:hint="eastAsia"/>
        </w:rPr>
        <w:t>年</w:t>
      </w:r>
      <w:r>
        <w:rPr>
          <w:rFonts w:hint="eastAsia"/>
        </w:rPr>
        <w:t>3</w:t>
      </w:r>
      <w:r>
        <w:rPr>
          <w:rFonts w:hint="eastAsia"/>
        </w:rPr>
        <w:t>月</w:t>
      </w:r>
      <w:r>
        <w:rPr>
          <w:rFonts w:hint="eastAsia"/>
        </w:rPr>
        <w:t>7</w:t>
      </w:r>
      <w:r>
        <w:rPr>
          <w:rFonts w:hint="eastAsia"/>
        </w:rPr>
        <w:t>日第</w:t>
      </w:r>
      <w:r>
        <w:rPr>
          <w:rFonts w:hint="eastAsia"/>
        </w:rPr>
        <w:t>2505</w:t>
      </w:r>
      <w:r>
        <w:rPr>
          <w:rFonts w:hint="eastAsia"/>
        </w:rPr>
        <w:t>号最高政令</w:t>
      </w:r>
      <w:r>
        <w:rPr>
          <w:rFonts w:hint="eastAsia"/>
        </w:rPr>
        <w:t>(</w:t>
      </w:r>
      <w:r>
        <w:rPr>
          <w:rFonts w:hint="eastAsia"/>
        </w:rPr>
        <w:t>卫生部</w:t>
      </w:r>
      <w:r>
        <w:rPr>
          <w:rFonts w:hint="eastAsia"/>
        </w:rPr>
        <w:t>)</w:t>
      </w:r>
      <w:r>
        <w:rPr>
          <w:rFonts w:hint="eastAsia"/>
        </w:rPr>
        <w:t>。</w:t>
      </w:r>
    </w:p>
  </w:footnote>
  <w:footnote w:id="30">
    <w:p w:rsidR="00000000" w:rsidRDefault="009C1C61">
      <w:pPr>
        <w:pStyle w:val="FootnoteText"/>
        <w:rPr>
          <w:rFonts w:hint="eastAsia"/>
        </w:rPr>
      </w:pPr>
      <w:r>
        <w:rPr>
          <w:rStyle w:val="FootnoteReference"/>
        </w:rPr>
        <w:footnoteRef/>
      </w:r>
      <w:r>
        <w:t xml:space="preserve"> </w:t>
      </w:r>
      <w:r>
        <w:rPr>
          <w:rFonts w:hint="eastAsia"/>
        </w:rPr>
        <w:tab/>
        <w:t>1994</w:t>
      </w:r>
      <w:r>
        <w:rPr>
          <w:rFonts w:hint="eastAsia"/>
        </w:rPr>
        <w:t>年</w:t>
      </w:r>
      <w:r>
        <w:rPr>
          <w:rFonts w:hint="eastAsia"/>
        </w:rPr>
        <w:t>7</w:t>
      </w:r>
      <w:r>
        <w:rPr>
          <w:rFonts w:hint="eastAsia"/>
        </w:rPr>
        <w:t>月</w:t>
      </w:r>
      <w:r>
        <w:rPr>
          <w:rFonts w:hint="eastAsia"/>
        </w:rPr>
        <w:t>2</w:t>
      </w:r>
      <w:r>
        <w:rPr>
          <w:rFonts w:hint="eastAsia"/>
        </w:rPr>
        <w:t>日第</w:t>
      </w:r>
      <w:r>
        <w:rPr>
          <w:rFonts w:hint="eastAsia"/>
        </w:rPr>
        <w:t>141</w:t>
      </w:r>
      <w:r>
        <w:rPr>
          <w:rFonts w:hint="eastAsia"/>
        </w:rPr>
        <w:t>号最高政令</w:t>
      </w:r>
      <w:r>
        <w:rPr>
          <w:rFonts w:hint="eastAsia"/>
        </w:rPr>
        <w:t>(</w:t>
      </w:r>
      <w:r>
        <w:rPr>
          <w:rFonts w:hint="eastAsia"/>
        </w:rPr>
        <w:t>交通和通讯部</w:t>
      </w:r>
      <w:r>
        <w:rPr>
          <w:rFonts w:hint="eastAsia"/>
        </w:rPr>
        <w:t>)</w:t>
      </w:r>
      <w:r>
        <w:rPr>
          <w:rFonts w:hint="eastAsia"/>
        </w:rPr>
        <w:t>。</w:t>
      </w:r>
    </w:p>
  </w:footnote>
  <w:footnote w:id="31">
    <w:p w:rsidR="00000000" w:rsidRDefault="009C1C61">
      <w:pPr>
        <w:pStyle w:val="FootnoteText"/>
        <w:rPr>
          <w:rFonts w:hint="eastAsia"/>
        </w:rPr>
      </w:pPr>
      <w:r>
        <w:rPr>
          <w:rStyle w:val="FootnoteReference"/>
        </w:rPr>
        <w:footnoteRef/>
      </w:r>
      <w:r>
        <w:t xml:space="preserve"> </w:t>
      </w:r>
      <w:r>
        <w:rPr>
          <w:rFonts w:hint="eastAsia"/>
        </w:rPr>
        <w:tab/>
        <w:t>1994</w:t>
      </w:r>
      <w:r>
        <w:rPr>
          <w:rFonts w:hint="eastAsia"/>
        </w:rPr>
        <w:t>年</w:t>
      </w:r>
      <w:r>
        <w:rPr>
          <w:rFonts w:hint="eastAsia"/>
        </w:rPr>
        <w:t>12</w:t>
      </w:r>
      <w:r>
        <w:rPr>
          <w:rFonts w:hint="eastAsia"/>
        </w:rPr>
        <w:t>月</w:t>
      </w:r>
      <w:r>
        <w:rPr>
          <w:rFonts w:hint="eastAsia"/>
        </w:rPr>
        <w:t>1</w:t>
      </w:r>
      <w:r>
        <w:rPr>
          <w:rFonts w:hint="eastAsia"/>
        </w:rPr>
        <w:t>日第</w:t>
      </w:r>
      <w:r>
        <w:rPr>
          <w:rFonts w:hint="eastAsia"/>
        </w:rPr>
        <w:t>249</w:t>
      </w:r>
      <w:r>
        <w:rPr>
          <w:rFonts w:hint="eastAsia"/>
        </w:rPr>
        <w:t>号最高政令</w:t>
      </w:r>
      <w:r>
        <w:rPr>
          <w:rFonts w:hint="eastAsia"/>
        </w:rPr>
        <w:t>(</w:t>
      </w:r>
      <w:r>
        <w:rPr>
          <w:rFonts w:hint="eastAsia"/>
        </w:rPr>
        <w:t>交通和电信部</w:t>
      </w:r>
      <w:r>
        <w:rPr>
          <w:rFonts w:hint="eastAsia"/>
        </w:rPr>
        <w:t>)</w:t>
      </w:r>
      <w:r>
        <w:rPr>
          <w:rFonts w:hint="eastAsia"/>
        </w:rPr>
        <w:t>。</w:t>
      </w:r>
    </w:p>
  </w:footnote>
  <w:footnote w:id="32">
    <w:p w:rsidR="00000000" w:rsidRDefault="009C1C61">
      <w:pPr>
        <w:pStyle w:val="FootnoteText"/>
        <w:rPr>
          <w:rFonts w:hint="eastAsia"/>
        </w:rPr>
      </w:pPr>
      <w:r>
        <w:rPr>
          <w:rStyle w:val="FootnoteReference"/>
        </w:rPr>
        <w:footnoteRef/>
      </w:r>
      <w:r>
        <w:t xml:space="preserve"> </w:t>
      </w:r>
      <w:r>
        <w:rPr>
          <w:rFonts w:hint="eastAsia"/>
        </w:rPr>
        <w:tab/>
        <w:t>1994</w:t>
      </w:r>
      <w:r>
        <w:rPr>
          <w:rFonts w:hint="eastAsia"/>
        </w:rPr>
        <w:t>年</w:t>
      </w:r>
      <w:r>
        <w:rPr>
          <w:rFonts w:hint="eastAsia"/>
        </w:rPr>
        <w:t>12</w:t>
      </w:r>
      <w:r>
        <w:rPr>
          <w:rFonts w:hint="eastAsia"/>
        </w:rPr>
        <w:t>月</w:t>
      </w:r>
      <w:r>
        <w:rPr>
          <w:rFonts w:hint="eastAsia"/>
        </w:rPr>
        <w:t>6</w:t>
      </w:r>
      <w:r>
        <w:rPr>
          <w:rFonts w:hint="eastAsia"/>
        </w:rPr>
        <w:t>日第</w:t>
      </w:r>
      <w:r>
        <w:rPr>
          <w:rFonts w:hint="eastAsia"/>
        </w:rPr>
        <w:t>940</w:t>
      </w:r>
      <w:r>
        <w:rPr>
          <w:rFonts w:hint="eastAsia"/>
        </w:rPr>
        <w:t>号最高政令</w:t>
      </w:r>
      <w:r>
        <w:rPr>
          <w:rFonts w:hint="eastAsia"/>
        </w:rPr>
        <w:t>(</w:t>
      </w:r>
      <w:r>
        <w:rPr>
          <w:rFonts w:hint="eastAsia"/>
        </w:rPr>
        <w:t>财政部</w:t>
      </w:r>
      <w:r>
        <w:rPr>
          <w:rFonts w:hint="eastAsia"/>
        </w:rPr>
        <w:t>)</w:t>
      </w:r>
      <w:r>
        <w:rPr>
          <w:rFonts w:hint="eastAsia"/>
        </w:rPr>
        <w:t>。</w:t>
      </w:r>
    </w:p>
  </w:footnote>
  <w:footnote w:id="33">
    <w:p w:rsidR="00000000" w:rsidRDefault="009C1C61">
      <w:pPr>
        <w:pStyle w:val="FootnoteText"/>
        <w:rPr>
          <w:rFonts w:hint="eastAsia"/>
        </w:rPr>
      </w:pPr>
      <w:r>
        <w:rPr>
          <w:rStyle w:val="FootnoteReference"/>
        </w:rPr>
        <w:footnoteRef/>
      </w:r>
      <w:r>
        <w:t xml:space="preserve"> </w:t>
      </w:r>
      <w:r>
        <w:rPr>
          <w:rFonts w:hint="eastAsia"/>
        </w:rPr>
        <w:tab/>
        <w:t>1995</w:t>
      </w:r>
      <w:r>
        <w:rPr>
          <w:rFonts w:hint="eastAsia"/>
        </w:rPr>
        <w:t>年</w:t>
      </w:r>
      <w:r>
        <w:rPr>
          <w:rFonts w:hint="eastAsia"/>
        </w:rPr>
        <w:t>6</w:t>
      </w:r>
      <w:r>
        <w:rPr>
          <w:rFonts w:hint="eastAsia"/>
        </w:rPr>
        <w:t>月</w:t>
      </w:r>
      <w:r>
        <w:rPr>
          <w:rFonts w:hint="eastAsia"/>
        </w:rPr>
        <w:t>20</w:t>
      </w:r>
      <w:r>
        <w:rPr>
          <w:rFonts w:hint="eastAsia"/>
        </w:rPr>
        <w:t>日第</w:t>
      </w:r>
      <w:r>
        <w:rPr>
          <w:rFonts w:hint="eastAsia"/>
        </w:rPr>
        <w:t>40</w:t>
      </w:r>
      <w:r>
        <w:rPr>
          <w:rFonts w:hint="eastAsia"/>
        </w:rPr>
        <w:t>号最高政令</w:t>
      </w:r>
      <w:r>
        <w:rPr>
          <w:rFonts w:hint="eastAsia"/>
        </w:rPr>
        <w:t>(</w:t>
      </w:r>
      <w:r>
        <w:rPr>
          <w:rFonts w:hint="eastAsia"/>
        </w:rPr>
        <w:t>住房和城市规划部</w:t>
      </w:r>
      <w:r>
        <w:rPr>
          <w:rFonts w:hint="eastAsia"/>
        </w:rPr>
        <w:t>)</w:t>
      </w:r>
      <w:r>
        <w:rPr>
          <w:rFonts w:hint="eastAsia"/>
        </w:rPr>
        <w:t>。</w:t>
      </w:r>
    </w:p>
  </w:footnote>
  <w:footnote w:id="34">
    <w:p w:rsidR="00000000" w:rsidRDefault="009C1C61">
      <w:pPr>
        <w:pStyle w:val="FootnoteText"/>
        <w:rPr>
          <w:rFonts w:hint="eastAsia"/>
        </w:rPr>
      </w:pPr>
      <w:r>
        <w:rPr>
          <w:rStyle w:val="FootnoteReference"/>
        </w:rPr>
        <w:footnoteRef/>
      </w:r>
      <w:r>
        <w:t xml:space="preserve"> </w:t>
      </w:r>
      <w:r>
        <w:rPr>
          <w:rFonts w:hint="eastAsia"/>
        </w:rPr>
        <w:tab/>
        <w:t>1995</w:t>
      </w:r>
      <w:r>
        <w:rPr>
          <w:rFonts w:hint="eastAsia"/>
        </w:rPr>
        <w:t>年</w:t>
      </w:r>
      <w:r>
        <w:rPr>
          <w:rFonts w:hint="eastAsia"/>
        </w:rPr>
        <w:t>6</w:t>
      </w:r>
      <w:r>
        <w:rPr>
          <w:rFonts w:hint="eastAsia"/>
        </w:rPr>
        <w:t>月</w:t>
      </w:r>
      <w:r>
        <w:rPr>
          <w:rFonts w:hint="eastAsia"/>
        </w:rPr>
        <w:t>12</w:t>
      </w:r>
      <w:r>
        <w:rPr>
          <w:rFonts w:hint="eastAsia"/>
        </w:rPr>
        <w:t>日第</w:t>
      </w:r>
      <w:r>
        <w:rPr>
          <w:rFonts w:hint="eastAsia"/>
        </w:rPr>
        <w:t>41</w:t>
      </w:r>
      <w:r>
        <w:rPr>
          <w:rFonts w:hint="eastAsia"/>
        </w:rPr>
        <w:t>号最高政令</w:t>
      </w:r>
      <w:r>
        <w:rPr>
          <w:rFonts w:hint="eastAsia"/>
        </w:rPr>
        <w:t>(</w:t>
      </w:r>
      <w:r>
        <w:rPr>
          <w:rFonts w:hint="eastAsia"/>
        </w:rPr>
        <w:t>同一部</w:t>
      </w:r>
      <w:r>
        <w:rPr>
          <w:rFonts w:hint="eastAsia"/>
        </w:rPr>
        <w:t>)</w:t>
      </w:r>
      <w:r>
        <w:rPr>
          <w:rFonts w:hint="eastAsia"/>
        </w:rPr>
        <w:t>。</w:t>
      </w:r>
    </w:p>
  </w:footnote>
  <w:footnote w:id="35">
    <w:p w:rsidR="00000000" w:rsidRDefault="009C1C61">
      <w:pPr>
        <w:pStyle w:val="FootnoteText"/>
        <w:rPr>
          <w:rFonts w:hint="eastAsia"/>
        </w:rPr>
      </w:pPr>
      <w:r>
        <w:rPr>
          <w:rStyle w:val="FootnoteReference"/>
        </w:rPr>
        <w:footnoteRef/>
      </w:r>
      <w:r>
        <w:t xml:space="preserve"> </w:t>
      </w:r>
      <w:r>
        <w:rPr>
          <w:rFonts w:hint="eastAsia"/>
        </w:rPr>
        <w:tab/>
        <w:t>1998</w:t>
      </w:r>
      <w:r>
        <w:rPr>
          <w:rFonts w:hint="eastAsia"/>
        </w:rPr>
        <w:t>年</w:t>
      </w:r>
      <w:r>
        <w:rPr>
          <w:rFonts w:hint="eastAsia"/>
        </w:rPr>
        <w:t>1</w:t>
      </w:r>
      <w:r>
        <w:rPr>
          <w:rFonts w:hint="eastAsia"/>
        </w:rPr>
        <w:t>月</w:t>
      </w:r>
      <w:r>
        <w:rPr>
          <w:rFonts w:hint="eastAsia"/>
        </w:rPr>
        <w:t>13</w:t>
      </w:r>
      <w:r>
        <w:rPr>
          <w:rFonts w:hint="eastAsia"/>
        </w:rPr>
        <w:t>日第</w:t>
      </w:r>
      <w:r>
        <w:rPr>
          <w:rFonts w:hint="eastAsia"/>
        </w:rPr>
        <w:t>1</w:t>
      </w:r>
      <w:r>
        <w:rPr>
          <w:rFonts w:hint="eastAsia"/>
        </w:rPr>
        <w:t>号最高政令，教育部。</w:t>
      </w:r>
    </w:p>
  </w:footnote>
  <w:footnote w:id="36">
    <w:p w:rsidR="00000000" w:rsidRDefault="009C1C61">
      <w:pPr>
        <w:pStyle w:val="FootnoteText"/>
        <w:rPr>
          <w:rFonts w:hint="eastAsia"/>
        </w:rPr>
      </w:pPr>
      <w:r>
        <w:rPr>
          <w:rStyle w:val="FootnoteReference"/>
        </w:rPr>
        <w:footnoteRef/>
      </w:r>
      <w:r>
        <w:t xml:space="preserve"> </w:t>
      </w:r>
      <w:r>
        <w:rPr>
          <w:rFonts w:hint="eastAsia"/>
        </w:rPr>
        <w:tab/>
      </w:r>
      <w:r>
        <w:rPr>
          <w:rFonts w:hint="eastAsia"/>
        </w:rPr>
        <w:t>受到</w:t>
      </w:r>
      <w:r>
        <w:rPr>
          <w:rFonts w:hint="eastAsia"/>
        </w:rPr>
        <w:t>1981</w:t>
      </w:r>
      <w:r>
        <w:rPr>
          <w:rFonts w:hint="eastAsia"/>
        </w:rPr>
        <w:t>年第</w:t>
      </w:r>
      <w:r>
        <w:rPr>
          <w:rFonts w:hint="eastAsia"/>
        </w:rPr>
        <w:t>1,385</w:t>
      </w:r>
      <w:r>
        <w:rPr>
          <w:rFonts w:hint="eastAsia"/>
        </w:rPr>
        <w:t>号</w:t>
      </w:r>
      <w:r>
        <w:rPr>
          <w:rFonts w:hint="eastAsia"/>
        </w:rPr>
        <w:t>DFL</w:t>
      </w:r>
      <w:r>
        <w:rPr>
          <w:rFonts w:hint="eastAsia"/>
        </w:rPr>
        <w:t>的管制</w:t>
      </w:r>
      <w:r>
        <w:rPr>
          <w:rFonts w:hint="eastAsia"/>
        </w:rPr>
        <w:t>(</w:t>
      </w:r>
      <w:r>
        <w:rPr>
          <w:rFonts w:hint="eastAsia"/>
        </w:rPr>
        <w:t>司法部</w:t>
      </w:r>
      <w:r>
        <w:rPr>
          <w:rFonts w:hint="eastAsia"/>
        </w:rPr>
        <w:t>)</w:t>
      </w:r>
      <w:r>
        <w:rPr>
          <w:rFonts w:hint="eastAsia"/>
        </w:rPr>
        <w:t>。</w:t>
      </w:r>
    </w:p>
  </w:footnote>
  <w:footnote w:id="37">
    <w:p w:rsidR="00000000" w:rsidRDefault="009C1C61">
      <w:pPr>
        <w:pStyle w:val="FootnoteText"/>
        <w:rPr>
          <w:rFonts w:hint="eastAsia"/>
        </w:rPr>
      </w:pPr>
      <w:r>
        <w:rPr>
          <w:rStyle w:val="FootnoteReference"/>
        </w:rPr>
        <w:footnoteRef/>
      </w:r>
      <w:r>
        <w:t xml:space="preserve"> </w:t>
      </w:r>
      <w:r>
        <w:tab/>
      </w:r>
      <w:r>
        <w:rPr>
          <w:rFonts w:hint="eastAsia"/>
        </w:rPr>
        <w:t>1997</w:t>
      </w:r>
      <w:r>
        <w:rPr>
          <w:rFonts w:hint="eastAsia"/>
        </w:rPr>
        <w:t>年第</w:t>
      </w:r>
      <w:r>
        <w:rPr>
          <w:rFonts w:hint="eastAsia"/>
        </w:rPr>
        <w:t>19,539</w:t>
      </w:r>
      <w:r>
        <w:rPr>
          <w:rFonts w:hint="eastAsia"/>
        </w:rPr>
        <w:t>号法令。</w:t>
      </w:r>
    </w:p>
  </w:footnote>
  <w:footnote w:id="38">
    <w:p w:rsidR="00000000" w:rsidRDefault="009C1C61">
      <w:pPr>
        <w:pStyle w:val="FootnoteText"/>
        <w:rPr>
          <w:sz w:val="20"/>
        </w:rPr>
      </w:pPr>
      <w:r>
        <w:rPr>
          <w:rStyle w:val="FootnoteReference"/>
        </w:rPr>
        <w:footnoteRef/>
      </w:r>
      <w:r>
        <w:rPr>
          <w:sz w:val="20"/>
        </w:rPr>
        <w:t xml:space="preserve"> </w:t>
      </w:r>
      <w:r>
        <w:rPr>
          <w:rFonts w:hint="eastAsia"/>
          <w:sz w:val="20"/>
        </w:rPr>
        <w:tab/>
      </w:r>
      <w:r>
        <w:rPr>
          <w:rFonts w:hint="eastAsia"/>
        </w:rPr>
        <w:t>根据第</w:t>
      </w:r>
      <w:r>
        <w:rPr>
          <w:rFonts w:hint="eastAsia"/>
        </w:rPr>
        <w:t>15</w:t>
      </w:r>
      <w:r>
        <w:rPr>
          <w:rFonts w:hint="eastAsia"/>
        </w:rPr>
        <w:t>号总统指示于</w:t>
      </w:r>
      <w:r>
        <w:rPr>
          <w:rFonts w:hint="eastAsia"/>
        </w:rPr>
        <w:t>2000</w:t>
      </w:r>
      <w:r>
        <w:rPr>
          <w:rFonts w:hint="eastAsia"/>
        </w:rPr>
        <w:t>年</w:t>
      </w:r>
      <w:r>
        <w:rPr>
          <w:rFonts w:hint="eastAsia"/>
        </w:rPr>
        <w:t>8</w:t>
      </w:r>
      <w:r>
        <w:rPr>
          <w:rFonts w:hint="eastAsia"/>
        </w:rPr>
        <w:t>月</w:t>
      </w:r>
      <w:r>
        <w:rPr>
          <w:rFonts w:hint="eastAsia"/>
        </w:rPr>
        <w:t>24</w:t>
      </w:r>
      <w:r>
        <w:rPr>
          <w:rFonts w:hint="eastAsia"/>
        </w:rPr>
        <w:t>日设立</w:t>
      </w:r>
      <w:r>
        <w:rPr>
          <w:rFonts w:hint="eastAsia"/>
          <w:sz w:val="20"/>
        </w:rPr>
        <w:t>。</w:t>
      </w:r>
    </w:p>
  </w:footnote>
  <w:footnote w:id="39">
    <w:p w:rsidR="00000000" w:rsidRDefault="009C1C61">
      <w:pPr>
        <w:pStyle w:val="FootnoteText"/>
        <w:spacing w:line="240" w:lineRule="auto"/>
        <w:rPr>
          <w:rFonts w:hint="eastAsia"/>
          <w:sz w:val="20"/>
        </w:rPr>
      </w:pPr>
      <w:r>
        <w:rPr>
          <w:rStyle w:val="FootnoteReference"/>
        </w:rPr>
        <w:footnoteRef/>
      </w:r>
      <w:r>
        <w:rPr>
          <w:sz w:val="20"/>
        </w:rPr>
        <w:t xml:space="preserve"> </w:t>
      </w:r>
      <w:r>
        <w:rPr>
          <w:rFonts w:hint="eastAsia"/>
          <w:sz w:val="20"/>
        </w:rPr>
        <w:tab/>
      </w:r>
      <w:r>
        <w:rPr>
          <w:rFonts w:hint="eastAsia"/>
        </w:rPr>
        <w:t>出于政治和行政管理目的，全国划分为</w:t>
      </w:r>
      <w:r>
        <w:rPr>
          <w:rFonts w:hint="eastAsia"/>
        </w:rPr>
        <w:t>13</w:t>
      </w:r>
      <w:r>
        <w:rPr>
          <w:rFonts w:hint="eastAsia"/>
        </w:rPr>
        <w:t>行政区</w:t>
      </w:r>
      <w:r>
        <w:rPr>
          <w:rFonts w:hint="eastAsia"/>
          <w:sz w:val="20"/>
        </w:rPr>
        <w:t>。</w:t>
      </w:r>
    </w:p>
  </w:footnote>
  <w:footnote w:id="40">
    <w:p w:rsidR="00000000" w:rsidRDefault="009C1C61">
      <w:pPr>
        <w:pStyle w:val="FootnoteText"/>
        <w:spacing w:line="240" w:lineRule="auto"/>
        <w:rPr>
          <w:sz w:val="20"/>
        </w:rPr>
      </w:pPr>
      <w:r>
        <w:rPr>
          <w:rStyle w:val="FootnoteReference"/>
        </w:rPr>
        <w:footnoteRef/>
      </w:r>
      <w:r>
        <w:t xml:space="preserve"> </w:t>
      </w:r>
      <w:r>
        <w:rPr>
          <w:rFonts w:hint="eastAsia"/>
        </w:rPr>
        <w:tab/>
      </w:r>
      <w:r>
        <w:rPr>
          <w:rFonts w:hint="eastAsia"/>
        </w:rPr>
        <w:t>参见智利政府这一期间向劳工组织提交的报告</w:t>
      </w:r>
      <w:r>
        <w:rPr>
          <w:rFonts w:hint="eastAsia"/>
          <w:sz w:val="20"/>
        </w:rPr>
        <w:t>。</w:t>
      </w:r>
    </w:p>
  </w:footnote>
  <w:footnote w:id="41">
    <w:p w:rsidR="00000000" w:rsidRDefault="009C1C61">
      <w:pPr>
        <w:pStyle w:val="FootnoteText"/>
        <w:spacing w:line="240" w:lineRule="auto"/>
      </w:pPr>
      <w:r>
        <w:rPr>
          <w:rStyle w:val="FootnoteReference"/>
        </w:rPr>
        <w:footnoteRef/>
      </w:r>
      <w:r>
        <w:t xml:space="preserve"> </w:t>
      </w:r>
      <w:r>
        <w:rPr>
          <w:rFonts w:hint="eastAsia"/>
        </w:rPr>
        <w:tab/>
      </w:r>
      <w:r>
        <w:rPr>
          <w:rFonts w:hint="eastAsia"/>
        </w:rPr>
        <w:t>第</w:t>
      </w:r>
      <w:r>
        <w:rPr>
          <w:rFonts w:hint="eastAsia"/>
        </w:rPr>
        <w:t>19,518</w:t>
      </w:r>
      <w:r>
        <w:rPr>
          <w:rFonts w:hint="eastAsia"/>
        </w:rPr>
        <w:t>号法案。</w:t>
      </w:r>
    </w:p>
  </w:footnote>
  <w:footnote w:id="42">
    <w:p w:rsidR="00000000" w:rsidRDefault="009C1C61">
      <w:pPr>
        <w:pStyle w:val="FootnoteText"/>
        <w:spacing w:line="240" w:lineRule="auto"/>
        <w:rPr>
          <w:rFonts w:hint="eastAsia"/>
          <w:sz w:val="20"/>
        </w:rPr>
      </w:pPr>
      <w:r>
        <w:rPr>
          <w:rStyle w:val="FootnoteReference"/>
        </w:rPr>
        <w:footnoteRef/>
      </w:r>
      <w:r>
        <w:rPr>
          <w:sz w:val="20"/>
        </w:rPr>
        <w:t xml:space="preserve"> </w:t>
      </w:r>
      <w:r>
        <w:rPr>
          <w:rFonts w:hint="eastAsia"/>
          <w:sz w:val="20"/>
        </w:rPr>
        <w:tab/>
      </w:r>
      <w:r>
        <w:rPr>
          <w:rFonts w:hint="eastAsia"/>
        </w:rPr>
        <w:t>五等分层的每一层为人口群体的</w:t>
      </w:r>
      <w:r>
        <w:rPr>
          <w:rFonts w:hint="eastAsia"/>
        </w:rPr>
        <w:t>20%</w:t>
      </w:r>
      <w:r>
        <w:rPr>
          <w:rFonts w:hint="eastAsia"/>
        </w:rPr>
        <w:t>。就方法而论，五等分层是用来衡量贫困程度的办法。五等分层中的第</w:t>
      </w:r>
      <w:r>
        <w:rPr>
          <w:rFonts w:hint="eastAsia"/>
        </w:rPr>
        <w:t>1</w:t>
      </w:r>
      <w:r>
        <w:rPr>
          <w:rFonts w:hint="eastAsia"/>
        </w:rPr>
        <w:t>层由最贫困群体组成；五等分层的其他各层按顺序递升。</w:t>
      </w:r>
    </w:p>
  </w:footnote>
  <w:footnote w:id="43">
    <w:p w:rsidR="00000000" w:rsidRDefault="009C1C61">
      <w:pPr>
        <w:pStyle w:val="FootnoteText"/>
        <w:spacing w:line="240" w:lineRule="auto"/>
        <w:rPr>
          <w:rFonts w:hint="eastAsia"/>
          <w:lang w:val="fr-CH"/>
        </w:rPr>
      </w:pPr>
      <w:r>
        <w:rPr>
          <w:rStyle w:val="FootnoteReference"/>
        </w:rPr>
        <w:footnoteRef/>
      </w:r>
      <w:r>
        <w:t xml:space="preserve"> </w:t>
      </w:r>
      <w:r>
        <w:rPr>
          <w:rFonts w:hint="eastAsia"/>
        </w:rPr>
        <w:tab/>
      </w:r>
      <w:r>
        <w:rPr>
          <w:rFonts w:hint="eastAsia"/>
        </w:rPr>
        <w:t>根据智利用于测量贫困状况的手法，如果某人的收入低于可满足其基本需求的最低收入水平，，则被视为贫困者；若他的收入水平无法满足他的食物需求，则为赤贫者。以</w:t>
      </w:r>
      <w:r>
        <w:rPr>
          <w:rFonts w:hint="eastAsia"/>
        </w:rPr>
        <w:t>上所述的两个最低水平</w:t>
      </w:r>
      <w:r>
        <w:rPr>
          <w:rFonts w:hint="eastAsia"/>
          <w:lang w:val="fr-CH"/>
        </w:rPr>
        <w:t>称为“贫困线”和“赤贫线”</w:t>
      </w:r>
    </w:p>
  </w:footnote>
  <w:footnote w:id="44">
    <w:p w:rsidR="00000000" w:rsidRDefault="009C1C61">
      <w:pPr>
        <w:pStyle w:val="FootnoteText"/>
        <w:spacing w:line="240" w:lineRule="auto"/>
      </w:pPr>
      <w:r>
        <w:rPr>
          <w:rStyle w:val="FootnoteReference"/>
        </w:rPr>
        <w:footnoteRef/>
      </w:r>
      <w:r>
        <w:rPr>
          <w:rFonts w:hint="eastAsia"/>
        </w:rPr>
        <w:tab/>
      </w:r>
      <w:r>
        <w:rPr>
          <w:rFonts w:hint="eastAsia"/>
        </w:rPr>
        <w:t>因为这些是平均值，工作收入低于</w:t>
      </w:r>
      <w:r>
        <w:rPr>
          <w:rFonts w:hint="eastAsia"/>
        </w:rPr>
        <w:t>2</w:t>
      </w:r>
      <w:r>
        <w:rPr>
          <w:rFonts w:hint="eastAsia"/>
        </w:rPr>
        <w:t>倍均困线的从业人员仍然还达</w:t>
      </w:r>
      <w:r>
        <w:rPr>
          <w:rFonts w:hint="eastAsia"/>
        </w:rPr>
        <w:t>14.1%</w:t>
      </w:r>
      <w:r>
        <w:rPr>
          <w:rFonts w:hint="eastAsia"/>
        </w:rPr>
        <w:t>（全国社会经济特征调查（社经特征调查）提及的年份）。</w:t>
      </w:r>
    </w:p>
  </w:footnote>
  <w:footnote w:id="45">
    <w:p w:rsidR="00000000" w:rsidRDefault="009C1C61">
      <w:pPr>
        <w:pStyle w:val="FootnoteText"/>
        <w:spacing w:line="240" w:lineRule="auto"/>
      </w:pPr>
      <w:r>
        <w:rPr>
          <w:rStyle w:val="FootnoteReference"/>
        </w:rPr>
        <w:footnoteRef/>
      </w:r>
      <w:r>
        <w:t xml:space="preserve"> </w:t>
      </w:r>
      <w:r>
        <w:rPr>
          <w:rFonts w:hint="eastAsia"/>
        </w:rPr>
        <w:t>参见上述脚注。</w:t>
      </w:r>
    </w:p>
  </w:footnote>
  <w:footnote w:id="46">
    <w:p w:rsidR="00000000" w:rsidRDefault="009C1C61">
      <w:pPr>
        <w:pStyle w:val="FootnoteText"/>
        <w:spacing w:line="240" w:lineRule="auto"/>
      </w:pPr>
      <w:r>
        <w:rPr>
          <w:rStyle w:val="FootnoteReference"/>
        </w:rPr>
        <w:footnoteRef/>
      </w:r>
      <w:r>
        <w:rPr>
          <w:rFonts w:ascii="KaiTi_GB2312"/>
        </w:rPr>
        <w:t xml:space="preserve"> </w:t>
      </w:r>
      <w:r>
        <w:rPr>
          <w:rFonts w:ascii="KaiTi_GB2312" w:hint="eastAsia"/>
        </w:rPr>
        <w:tab/>
      </w:r>
      <w:r>
        <w:rPr>
          <w:rFonts w:hint="eastAsia"/>
        </w:rPr>
        <w:t>1997</w:t>
      </w:r>
      <w:r>
        <w:rPr>
          <w:rFonts w:hint="eastAsia"/>
        </w:rPr>
        <w:t>年</w:t>
      </w:r>
      <w:r>
        <w:rPr>
          <w:rFonts w:hint="eastAsia"/>
        </w:rPr>
        <w:t>10</w:t>
      </w:r>
      <w:r>
        <w:rPr>
          <w:rFonts w:hint="eastAsia"/>
        </w:rPr>
        <w:t>月</w:t>
      </w:r>
      <w:r>
        <w:rPr>
          <w:rFonts w:hint="eastAsia"/>
        </w:rPr>
        <w:t>14</w:t>
      </w:r>
      <w:r>
        <w:rPr>
          <w:rFonts w:hint="eastAsia"/>
        </w:rPr>
        <w:t>日第</w:t>
      </w:r>
      <w:r>
        <w:rPr>
          <w:rFonts w:hint="eastAsia"/>
        </w:rPr>
        <w:t>19</w:t>
      </w:r>
      <w:r>
        <w:t>,</w:t>
      </w:r>
      <w:r>
        <w:rPr>
          <w:rFonts w:hint="eastAsia"/>
        </w:rPr>
        <w:t>518</w:t>
      </w:r>
      <w:r>
        <w:rPr>
          <w:rFonts w:hint="eastAsia"/>
        </w:rPr>
        <w:t>号法案</w:t>
      </w:r>
    </w:p>
  </w:footnote>
  <w:footnote w:id="47">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77</w:t>
      </w:r>
      <w:r>
        <w:rPr>
          <w:rFonts w:hint="eastAsia"/>
        </w:rPr>
        <w:t>条</w:t>
      </w:r>
      <w:r>
        <w:t>(</w:t>
      </w:r>
      <w:r>
        <w:rPr>
          <w:rFonts w:hint="eastAsia"/>
        </w:rPr>
        <w:t>c</w:t>
      </w:r>
      <w:r>
        <w:t>)</w:t>
      </w:r>
      <w:r>
        <w:rPr>
          <w:rFonts w:hint="eastAsia"/>
        </w:rPr>
        <w:t>节，核查</w:t>
      </w:r>
      <w:r>
        <w:t>(</w:t>
      </w:r>
      <w:r>
        <w:rPr>
          <w:rFonts w:hint="eastAsia"/>
        </w:rPr>
        <w:t>c</w:t>
      </w:r>
      <w:r>
        <w:t>)</w:t>
      </w:r>
      <w:r>
        <w:rPr>
          <w:rFonts w:hint="eastAsia"/>
        </w:rPr>
        <w:t>节译文。</w:t>
      </w:r>
    </w:p>
  </w:footnote>
  <w:footnote w:id="48">
    <w:p w:rsidR="00000000" w:rsidRDefault="009C1C61">
      <w:pPr>
        <w:pStyle w:val="FootnoteText"/>
        <w:spacing w:line="240" w:lineRule="auto"/>
      </w:pPr>
      <w:r>
        <w:rPr>
          <w:rStyle w:val="FootnoteReference"/>
        </w:rPr>
        <w:footnoteRef/>
      </w:r>
      <w:r>
        <w:t xml:space="preserve"> </w:t>
      </w:r>
      <w:r>
        <w:rPr>
          <w:rFonts w:hint="eastAsia"/>
        </w:rPr>
        <w:tab/>
        <w:t>1998</w:t>
      </w:r>
      <w:r>
        <w:rPr>
          <w:rFonts w:hint="eastAsia"/>
        </w:rPr>
        <w:t>年的比率达到最高峰，</w:t>
      </w:r>
      <w:r>
        <w:rPr>
          <w:rFonts w:hint="eastAsia"/>
        </w:rPr>
        <w:t>38.8%</w:t>
      </w:r>
      <w:r>
        <w:rPr>
          <w:rFonts w:hint="eastAsia"/>
        </w:rPr>
        <w:t>。这是社经特征调查</w:t>
      </w:r>
      <w:r>
        <w:rPr>
          <w:rFonts w:hint="eastAsia"/>
        </w:rPr>
        <w:t>2000</w:t>
      </w:r>
      <w:r>
        <w:rPr>
          <w:rFonts w:hint="eastAsia"/>
        </w:rPr>
        <w:t>年获取的数字。参见附件</w:t>
      </w:r>
      <w:r>
        <w:rPr>
          <w:rFonts w:hint="eastAsia"/>
        </w:rPr>
        <w:t>1(</w:t>
      </w:r>
      <w:r>
        <w:rPr>
          <w:rFonts w:hint="eastAsia"/>
        </w:rPr>
        <w:t>缩略语</w:t>
      </w:r>
      <w:r>
        <w:rPr>
          <w:rFonts w:hint="eastAsia"/>
        </w:rPr>
        <w:t>)</w:t>
      </w:r>
      <w:r>
        <w:rPr>
          <w:rFonts w:hint="eastAsia"/>
        </w:rPr>
        <w:t>。</w:t>
      </w:r>
    </w:p>
  </w:footnote>
  <w:footnote w:id="49">
    <w:p w:rsidR="00000000" w:rsidRDefault="009C1C61">
      <w:pPr>
        <w:pStyle w:val="FootnoteText"/>
        <w:spacing w:line="240" w:lineRule="auto"/>
      </w:pPr>
      <w:r>
        <w:rPr>
          <w:rStyle w:val="FootnoteReference"/>
        </w:rPr>
        <w:footnoteRef/>
      </w:r>
      <w:r>
        <w:t xml:space="preserve"> </w:t>
      </w:r>
      <w:r>
        <w:rPr>
          <w:rFonts w:hint="eastAsia"/>
        </w:rPr>
        <w:tab/>
      </w:r>
      <w:r>
        <w:rPr>
          <w:rFonts w:hint="eastAsia"/>
        </w:rPr>
        <w:t>社经特征调查对所涉年份的调查。本文“非结构性部门”用语涉及从业人员不超过六人的企业中的雇主和雇员、既不是专业人</w:t>
      </w:r>
      <w:r>
        <w:rPr>
          <w:rFonts w:hint="eastAsia"/>
        </w:rPr>
        <w:t>员又不是技术员的自我从业者、家庭佣工和不领取薪金的家庭成员</w:t>
      </w:r>
      <w:r>
        <w:t>(</w:t>
      </w:r>
      <w:r>
        <w:rPr>
          <w:rFonts w:hint="eastAsia"/>
        </w:rPr>
        <w:t>拉加经委会的定义</w:t>
      </w:r>
      <w:r>
        <w:rPr>
          <w:rFonts w:hint="eastAsia"/>
        </w:rPr>
        <w:t>)</w:t>
      </w:r>
      <w:r>
        <w:rPr>
          <w:rFonts w:hint="eastAsia"/>
        </w:rPr>
        <w:t>。</w:t>
      </w:r>
    </w:p>
  </w:footnote>
  <w:footnote w:id="50">
    <w:p w:rsidR="00000000" w:rsidRDefault="009C1C61">
      <w:pPr>
        <w:pStyle w:val="FootnoteText"/>
        <w:spacing w:line="240" w:lineRule="auto"/>
      </w:pPr>
      <w:r>
        <w:rPr>
          <w:rStyle w:val="FootnoteReference"/>
        </w:rPr>
        <w:footnoteRef/>
      </w:r>
      <w:r>
        <w:t xml:space="preserve"> </w:t>
      </w:r>
      <w:r>
        <w:rPr>
          <w:rFonts w:hint="eastAsia"/>
        </w:rPr>
        <w:tab/>
      </w:r>
      <w:r>
        <w:rPr>
          <w:rFonts w:hint="eastAsia"/>
        </w:rPr>
        <w:t>社经特征调查</w:t>
      </w:r>
      <w:r>
        <w:rPr>
          <w:rFonts w:hint="eastAsia"/>
        </w:rPr>
        <w:t>2000</w:t>
      </w:r>
      <w:r>
        <w:rPr>
          <w:rFonts w:hint="eastAsia"/>
        </w:rPr>
        <w:t>年的调查。</w:t>
      </w:r>
    </w:p>
  </w:footnote>
  <w:footnote w:id="51">
    <w:p w:rsidR="00000000" w:rsidRDefault="009C1C61">
      <w:pPr>
        <w:pStyle w:val="FootnoteText"/>
        <w:spacing w:line="240" w:lineRule="auto"/>
      </w:pPr>
      <w:r>
        <w:rPr>
          <w:rStyle w:val="FootnoteReference"/>
        </w:rPr>
        <w:footnoteRef/>
      </w:r>
      <w:r>
        <w:t xml:space="preserve"> </w:t>
      </w:r>
      <w:r>
        <w:rPr>
          <w:rFonts w:hint="eastAsia"/>
        </w:rPr>
        <w:tab/>
      </w:r>
      <w:r>
        <w:t>(</w:t>
      </w:r>
      <w:r>
        <w:rPr>
          <w:rFonts w:hint="eastAsia"/>
        </w:rPr>
        <w:t>参见前页</w:t>
      </w:r>
      <w:r>
        <w:t>)</w:t>
      </w:r>
      <w:r>
        <w:rPr>
          <w:rFonts w:hint="eastAsia"/>
        </w:rPr>
        <w:t>1998</w:t>
      </w:r>
      <w:r>
        <w:rPr>
          <w:rFonts w:hint="eastAsia"/>
        </w:rPr>
        <w:t>年</w:t>
      </w:r>
      <w:r>
        <w:rPr>
          <w:rFonts w:hint="eastAsia"/>
        </w:rPr>
        <w:t>11</w:t>
      </w:r>
      <w:r>
        <w:rPr>
          <w:rFonts w:hint="eastAsia"/>
        </w:rPr>
        <w:t>月</w:t>
      </w:r>
      <w:r>
        <w:rPr>
          <w:rFonts w:hint="eastAsia"/>
        </w:rPr>
        <w:t>9</w:t>
      </w:r>
      <w:r>
        <w:rPr>
          <w:rFonts w:hint="eastAsia"/>
        </w:rPr>
        <w:t>日第</w:t>
      </w:r>
      <w:r>
        <w:rPr>
          <w:rFonts w:hint="eastAsia"/>
        </w:rPr>
        <w:t>19,591</w:t>
      </w:r>
      <w:r>
        <w:rPr>
          <w:rFonts w:hint="eastAsia"/>
        </w:rPr>
        <w:t>号法案。</w:t>
      </w:r>
    </w:p>
  </w:footnote>
  <w:footnote w:id="52">
    <w:p w:rsidR="00000000" w:rsidRDefault="009C1C61">
      <w:pPr>
        <w:pStyle w:val="FootnoteText"/>
        <w:rPr>
          <w:rFonts w:hint="eastAsia"/>
        </w:rPr>
      </w:pPr>
      <w:r>
        <w:rPr>
          <w:rStyle w:val="FootnoteReference"/>
        </w:rPr>
        <w:footnoteRef/>
      </w:r>
      <w:r>
        <w:t xml:space="preserve"> </w:t>
      </w:r>
      <w:r>
        <w:rPr>
          <w:rFonts w:hint="eastAsia"/>
        </w:rPr>
        <w:tab/>
        <w:t>Maria Aster Feres</w:t>
      </w:r>
      <w:r>
        <w:rPr>
          <w:rFonts w:hint="eastAsia"/>
        </w:rPr>
        <w:t>，劳工局局长：题为“工作地点的性骚扰。从有罪不罚到提出诉讼”的发言，《劳工问题辩论报告》第七号，第四页，</w:t>
      </w:r>
      <w:r>
        <w:rPr>
          <w:rFonts w:hint="eastAsia"/>
        </w:rPr>
        <w:t>1999</w:t>
      </w:r>
      <w:r>
        <w:rPr>
          <w:rFonts w:hint="eastAsia"/>
        </w:rPr>
        <w:t>年</w:t>
      </w:r>
      <w:r>
        <w:rPr>
          <w:rFonts w:hint="eastAsia"/>
        </w:rPr>
        <w:t>8</w:t>
      </w:r>
      <w:r>
        <w:rPr>
          <w:rFonts w:hint="eastAsia"/>
        </w:rPr>
        <w:t>月</w:t>
      </w:r>
    </w:p>
  </w:footnote>
  <w:footnote w:id="53">
    <w:p w:rsidR="00000000" w:rsidRDefault="009C1C61">
      <w:pPr>
        <w:pStyle w:val="FootnoteText"/>
        <w:rPr>
          <w:sz w:val="20"/>
        </w:rPr>
      </w:pPr>
      <w:r>
        <w:rPr>
          <w:rStyle w:val="FootnoteReference"/>
          <w:rFonts w:eastAsia="SimSun"/>
          <w:lang w:val="fr-CH"/>
        </w:rPr>
        <w:footnoteRef/>
      </w:r>
      <w:r>
        <w:rPr>
          <w:rFonts w:hint="eastAsia"/>
        </w:rPr>
        <w:t>.</w:t>
      </w:r>
      <w:r>
        <w:rPr>
          <w:rFonts w:hint="eastAsia"/>
        </w:rPr>
        <w:tab/>
      </w:r>
      <w:r>
        <w:rPr>
          <w:rFonts w:hint="eastAsia"/>
        </w:rPr>
        <w:t>根据知识领域（学位课程注册情况）按性别分列的就学情况。</w:t>
      </w:r>
      <w:r>
        <w:rPr>
          <w:rFonts w:hint="eastAsia"/>
        </w:rPr>
        <w:t>1997</w:t>
      </w:r>
      <w:r>
        <w:rPr>
          <w:rFonts w:hint="eastAsia"/>
        </w:rPr>
        <w:t>年，智利大学</w:t>
      </w:r>
      <w:r>
        <w:rPr>
          <w:rFonts w:hint="eastAsia"/>
          <w:sz w:val="20"/>
        </w:rPr>
        <w:t>。</w:t>
      </w:r>
    </w:p>
  </w:footnote>
  <w:footnote w:id="54">
    <w:p w:rsidR="00000000" w:rsidRDefault="009C1C61">
      <w:pPr>
        <w:pStyle w:val="FootnoteText"/>
      </w:pPr>
      <w:r>
        <w:rPr>
          <w:rStyle w:val="FootnoteReference"/>
          <w:rFonts w:eastAsia="SimSun"/>
          <w:lang w:val="fr-CH"/>
        </w:rPr>
        <w:footnoteRef/>
      </w:r>
      <w:r>
        <w:rPr>
          <w:rFonts w:ascii="KaiTi_GB2312"/>
        </w:rPr>
        <w:t xml:space="preserve"> </w:t>
      </w:r>
      <w:r>
        <w:rPr>
          <w:rFonts w:ascii="KaiTi_GB2312" w:hint="eastAsia"/>
        </w:rPr>
        <w:tab/>
      </w:r>
      <w:r>
        <w:rPr>
          <w:rFonts w:ascii="KaiTi_GB2312" w:hint="eastAsia"/>
        </w:rPr>
        <w:t>社经特征调查对各有关年份的调查情况。</w:t>
      </w:r>
    </w:p>
  </w:footnote>
  <w:footnote w:id="55">
    <w:p w:rsidR="00000000" w:rsidRDefault="009C1C61">
      <w:pPr>
        <w:pStyle w:val="FootnoteText"/>
      </w:pPr>
      <w:r>
        <w:rPr>
          <w:rStyle w:val="FootnoteReference"/>
        </w:rPr>
        <w:footnoteRef/>
      </w:r>
      <w:r>
        <w:t xml:space="preserve"> </w:t>
      </w:r>
      <w:r>
        <w:rPr>
          <w:rFonts w:hint="eastAsia"/>
        </w:rPr>
        <w:tab/>
      </w:r>
      <w:r>
        <w:rPr>
          <w:rFonts w:hint="eastAsia"/>
        </w:rPr>
        <w:t>衡量通货膨胀的指数。</w:t>
      </w:r>
    </w:p>
  </w:footnote>
  <w:footnote w:id="56">
    <w:p w:rsidR="00000000" w:rsidRDefault="009C1C61">
      <w:pPr>
        <w:pStyle w:val="FootnoteText"/>
        <w:spacing w:line="240" w:lineRule="auto"/>
        <w:rPr>
          <w:rFonts w:hint="eastAsia"/>
        </w:rPr>
      </w:pPr>
      <w:r>
        <w:rPr>
          <w:rStyle w:val="FootnoteReference"/>
          <w:rFonts w:eastAsia="SimSun"/>
        </w:rPr>
        <w:footnoteRef/>
      </w:r>
      <w:r>
        <w:rPr>
          <w:rFonts w:ascii="KaiTi_GB2312" w:hAnsi="SimSun" w:hint="eastAsia"/>
        </w:rPr>
        <w:tab/>
      </w:r>
      <w:r>
        <w:rPr>
          <w:rFonts w:hint="eastAsia"/>
        </w:rPr>
        <w:t>全国妇女服</w:t>
      </w:r>
      <w:r>
        <w:rPr>
          <w:rFonts w:hint="eastAsia"/>
        </w:rPr>
        <w:t>务署，</w:t>
      </w:r>
      <w:r>
        <w:rPr>
          <w:rFonts w:hint="eastAsia"/>
        </w:rPr>
        <w:t>Lota</w:t>
      </w:r>
      <w:r>
        <w:rPr>
          <w:rFonts w:hint="eastAsia"/>
        </w:rPr>
        <w:t>女经济学家小组的一份题为“工作妇女的机会平等”的报告，第四章，第</w:t>
      </w:r>
      <w:r>
        <w:rPr>
          <w:rFonts w:hint="eastAsia"/>
        </w:rPr>
        <w:t>497</w:t>
      </w:r>
      <w:r>
        <w:rPr>
          <w:rFonts w:hint="eastAsia"/>
        </w:rPr>
        <w:t>页。关于产期津贴权，见该报告关于第九条的章节。</w:t>
      </w:r>
    </w:p>
  </w:footnote>
  <w:footnote w:id="57">
    <w:p w:rsidR="00000000" w:rsidRDefault="009C1C61">
      <w:pPr>
        <w:pStyle w:val="FootnoteText"/>
        <w:spacing w:line="240" w:lineRule="auto"/>
      </w:pPr>
      <w:r>
        <w:rPr>
          <w:rStyle w:val="FootnoteReference"/>
        </w:rPr>
        <w:footnoteRef/>
      </w:r>
      <w:r>
        <w:t xml:space="preserve"> </w:t>
      </w:r>
      <w:r>
        <w:rPr>
          <w:rFonts w:hint="eastAsia"/>
        </w:rPr>
        <w:tab/>
      </w:r>
      <w:r>
        <w:rPr>
          <w:rFonts w:hint="eastAsia"/>
        </w:rPr>
        <w:t>关于防止职业风险的条例，</w:t>
      </w:r>
      <w:r>
        <w:rPr>
          <w:rFonts w:hint="eastAsia"/>
        </w:rPr>
        <w:t>1999</w:t>
      </w:r>
      <w:r>
        <w:rPr>
          <w:rFonts w:hint="eastAsia"/>
        </w:rPr>
        <w:t>年第</w:t>
      </w:r>
      <w:r>
        <w:rPr>
          <w:rFonts w:hint="eastAsia"/>
        </w:rPr>
        <w:t>40</w:t>
      </w:r>
      <w:r>
        <w:rPr>
          <w:rFonts w:hint="eastAsia"/>
        </w:rPr>
        <w:t>号最高政令；和关于宪法和健康与安全问题联合委员会职能的条例，</w:t>
      </w:r>
      <w:r>
        <w:rPr>
          <w:rFonts w:hint="eastAsia"/>
        </w:rPr>
        <w:t>1999</w:t>
      </w:r>
      <w:r>
        <w:rPr>
          <w:rFonts w:hint="eastAsia"/>
        </w:rPr>
        <w:t>年第</w:t>
      </w:r>
      <w:r>
        <w:rPr>
          <w:rFonts w:hint="eastAsia"/>
        </w:rPr>
        <w:t>54</w:t>
      </w:r>
      <w:r>
        <w:rPr>
          <w:rFonts w:hint="eastAsia"/>
        </w:rPr>
        <w:t>号最高政令。</w:t>
      </w:r>
    </w:p>
  </w:footnote>
  <w:footnote w:id="58">
    <w:p w:rsidR="00000000" w:rsidRDefault="009C1C61">
      <w:pPr>
        <w:pStyle w:val="FootnoteText"/>
        <w:spacing w:line="240" w:lineRule="auto"/>
      </w:pPr>
      <w:r>
        <w:rPr>
          <w:rStyle w:val="FootnoteReference"/>
        </w:rPr>
        <w:footnoteRef/>
      </w:r>
      <w:r>
        <w:t xml:space="preserve"> </w:t>
      </w:r>
      <w:r>
        <w:rPr>
          <w:rFonts w:hint="eastAsia"/>
        </w:rPr>
        <w:tab/>
        <w:t>1999</w:t>
      </w:r>
      <w:r>
        <w:rPr>
          <w:rFonts w:hint="eastAsia"/>
        </w:rPr>
        <w:t>年第</w:t>
      </w:r>
      <w:r>
        <w:rPr>
          <w:rFonts w:hint="eastAsia"/>
        </w:rPr>
        <w:t>594</w:t>
      </w:r>
      <w:r>
        <w:rPr>
          <w:rFonts w:hint="eastAsia"/>
        </w:rPr>
        <w:t>号最高政令。</w:t>
      </w:r>
    </w:p>
  </w:footnote>
  <w:footnote w:id="59">
    <w:p w:rsidR="00000000" w:rsidRDefault="009C1C61">
      <w:pPr>
        <w:pStyle w:val="FootnoteText"/>
        <w:spacing w:line="240" w:lineRule="auto"/>
        <w:rPr>
          <w:sz w:val="20"/>
        </w:rPr>
      </w:pPr>
      <w:r>
        <w:rPr>
          <w:rStyle w:val="FootnoteReference"/>
          <w:sz w:val="20"/>
        </w:rPr>
        <w:footnoteRef/>
      </w:r>
      <w:r>
        <w:rPr>
          <w:sz w:val="20"/>
        </w:rPr>
        <w:t xml:space="preserve"> </w:t>
      </w:r>
      <w:r>
        <w:rPr>
          <w:rFonts w:hint="eastAsia"/>
          <w:sz w:val="20"/>
        </w:rPr>
        <w:tab/>
      </w:r>
      <w:r>
        <w:rPr>
          <w:rFonts w:hint="eastAsia"/>
        </w:rPr>
        <w:t>第</w:t>
      </w:r>
      <w:r>
        <w:rPr>
          <w:rFonts w:hint="eastAsia"/>
        </w:rPr>
        <w:t>16,744</w:t>
      </w:r>
      <w:r>
        <w:rPr>
          <w:rFonts w:hint="eastAsia"/>
        </w:rPr>
        <w:t>号法令第</w:t>
      </w:r>
      <w:r>
        <w:rPr>
          <w:rFonts w:hint="eastAsia"/>
        </w:rPr>
        <w:t>67</w:t>
      </w:r>
      <w:r>
        <w:rPr>
          <w:rFonts w:hint="eastAsia"/>
        </w:rPr>
        <w:t>条和</w:t>
      </w:r>
      <w:r>
        <w:rPr>
          <w:rFonts w:hint="eastAsia"/>
        </w:rPr>
        <w:t>1969</w:t>
      </w:r>
      <w:r>
        <w:rPr>
          <w:rFonts w:hint="eastAsia"/>
        </w:rPr>
        <w:t>年第</w:t>
      </w:r>
      <w:r>
        <w:rPr>
          <w:rFonts w:hint="eastAsia"/>
        </w:rPr>
        <w:t>40</w:t>
      </w:r>
      <w:r>
        <w:rPr>
          <w:rFonts w:hint="eastAsia"/>
        </w:rPr>
        <w:t>号最高政令第</w:t>
      </w:r>
      <w:r>
        <w:rPr>
          <w:rFonts w:hint="eastAsia"/>
        </w:rPr>
        <w:t>14</w:t>
      </w:r>
      <w:r>
        <w:rPr>
          <w:rFonts w:hint="eastAsia"/>
        </w:rPr>
        <w:t>条。</w:t>
      </w:r>
    </w:p>
  </w:footnote>
  <w:footnote w:id="60">
    <w:p w:rsidR="00000000" w:rsidRDefault="009C1C61">
      <w:pPr>
        <w:pStyle w:val="FootnoteText"/>
        <w:spacing w:line="240" w:lineRule="auto"/>
      </w:pPr>
      <w:r>
        <w:rPr>
          <w:rStyle w:val="FootnoteReference"/>
        </w:rPr>
        <w:footnoteRef/>
      </w:r>
      <w:r>
        <w:t xml:space="preserve"> </w:t>
      </w:r>
      <w:r>
        <w:rPr>
          <w:rFonts w:hint="eastAsia"/>
        </w:rPr>
        <w:tab/>
        <w:t>1968</w:t>
      </w:r>
      <w:r>
        <w:rPr>
          <w:rFonts w:hint="eastAsia"/>
        </w:rPr>
        <w:t>年</w:t>
      </w:r>
      <w:r>
        <w:rPr>
          <w:rFonts w:hint="eastAsia"/>
        </w:rPr>
        <w:t>6</w:t>
      </w:r>
      <w:r>
        <w:rPr>
          <w:rFonts w:hint="eastAsia"/>
        </w:rPr>
        <w:t>月</w:t>
      </w:r>
      <w:r>
        <w:rPr>
          <w:rFonts w:hint="eastAsia"/>
        </w:rPr>
        <w:t>7</w:t>
      </w:r>
      <w:r>
        <w:rPr>
          <w:rFonts w:hint="eastAsia"/>
        </w:rPr>
        <w:t>日第</w:t>
      </w:r>
      <w:r>
        <w:rPr>
          <w:rFonts w:hint="eastAsia"/>
        </w:rPr>
        <w:t>109</w:t>
      </w:r>
      <w:r>
        <w:rPr>
          <w:rFonts w:hint="eastAsia"/>
        </w:rPr>
        <w:t>号最高法令。</w:t>
      </w:r>
    </w:p>
  </w:footnote>
  <w:footnote w:id="61">
    <w:p w:rsidR="00000000" w:rsidRDefault="009C1C61">
      <w:pPr>
        <w:pStyle w:val="FootnoteText"/>
        <w:spacing w:line="240" w:lineRule="auto"/>
        <w:rPr>
          <w:rFonts w:hint="eastAsia"/>
          <w:sz w:val="20"/>
        </w:rPr>
      </w:pPr>
      <w:r>
        <w:rPr>
          <w:rStyle w:val="FootnoteReference"/>
        </w:rPr>
        <w:footnoteRef/>
      </w:r>
      <w:r>
        <w:t xml:space="preserve"> </w:t>
      </w:r>
      <w:r>
        <w:rPr>
          <w:rFonts w:hint="eastAsia"/>
        </w:rPr>
        <w:tab/>
      </w:r>
      <w:r>
        <w:rPr>
          <w:rFonts w:hint="eastAsia"/>
        </w:rPr>
        <w:t>所有行政组织都包括在内。第</w:t>
      </w:r>
      <w:r>
        <w:rPr>
          <w:rFonts w:hint="eastAsia"/>
        </w:rPr>
        <w:t>16,744</w:t>
      </w:r>
      <w:r>
        <w:rPr>
          <w:rFonts w:hint="eastAsia"/>
        </w:rPr>
        <w:t>号法令，卫生部</w:t>
      </w:r>
      <w:r>
        <w:t>(</w:t>
      </w:r>
      <w:r>
        <w:rPr>
          <w:rFonts w:hint="eastAsia"/>
        </w:rPr>
        <w:t>Minsal)</w:t>
      </w:r>
      <w:r>
        <w:rPr>
          <w:rFonts w:hint="eastAsia"/>
        </w:rPr>
        <w:t>提供的资料。</w:t>
      </w:r>
    </w:p>
  </w:footnote>
  <w:footnote w:id="62">
    <w:p w:rsidR="00000000" w:rsidRDefault="009C1C61">
      <w:pPr>
        <w:pStyle w:val="FootnoteText"/>
        <w:spacing w:line="240" w:lineRule="auto"/>
      </w:pPr>
      <w:r>
        <w:rPr>
          <w:rStyle w:val="FootnoteReference"/>
        </w:rPr>
        <w:footnoteRef/>
      </w:r>
      <w:r>
        <w:rPr>
          <w:sz w:val="20"/>
        </w:rPr>
        <w:t xml:space="preserve"> </w:t>
      </w:r>
      <w:r>
        <w:rPr>
          <w:rFonts w:hint="eastAsia"/>
          <w:sz w:val="20"/>
        </w:rPr>
        <w:tab/>
      </w:r>
      <w:r>
        <w:rPr>
          <w:rFonts w:hint="eastAsia"/>
        </w:rPr>
        <w:t>《劳工法》第</w:t>
      </w:r>
      <w:r>
        <w:rPr>
          <w:rFonts w:hint="eastAsia"/>
        </w:rPr>
        <w:t>22</w:t>
      </w:r>
      <w:r>
        <w:rPr>
          <w:rFonts w:hint="eastAsia"/>
        </w:rPr>
        <w:t>、</w:t>
      </w:r>
      <w:r>
        <w:rPr>
          <w:rFonts w:hint="eastAsia"/>
        </w:rPr>
        <w:t>29</w:t>
      </w:r>
      <w:r>
        <w:rPr>
          <w:rFonts w:hint="eastAsia"/>
        </w:rPr>
        <w:t>和</w:t>
      </w:r>
      <w:r>
        <w:rPr>
          <w:rFonts w:hint="eastAsia"/>
        </w:rPr>
        <w:t>32</w:t>
      </w:r>
      <w:r>
        <w:rPr>
          <w:rFonts w:hint="eastAsia"/>
        </w:rPr>
        <w:t>条。</w:t>
      </w:r>
    </w:p>
  </w:footnote>
  <w:footnote w:id="63">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rPr>
          <w:rFonts w:hint="eastAsia"/>
        </w:rPr>
        <w:t>35</w:t>
      </w:r>
      <w:r>
        <w:rPr>
          <w:rFonts w:hint="eastAsia"/>
        </w:rPr>
        <w:t>条。</w:t>
      </w:r>
    </w:p>
  </w:footnote>
  <w:footnote w:id="64">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rPr>
          <w:rFonts w:hint="eastAsia"/>
        </w:rPr>
        <w:t>67</w:t>
      </w:r>
      <w:r>
        <w:rPr>
          <w:rFonts w:hint="eastAsia"/>
        </w:rPr>
        <w:t>条。</w:t>
      </w:r>
    </w:p>
  </w:footnote>
  <w:footnote w:id="65">
    <w:p w:rsidR="00000000" w:rsidRDefault="009C1C61">
      <w:pPr>
        <w:pStyle w:val="FootnoteText"/>
        <w:spacing w:line="240" w:lineRule="auto"/>
      </w:pPr>
      <w:r>
        <w:rPr>
          <w:rStyle w:val="FootnoteReference"/>
        </w:rPr>
        <w:footnoteRef/>
      </w:r>
      <w:r>
        <w:t xml:space="preserve"> </w:t>
      </w:r>
      <w:r>
        <w:rPr>
          <w:rFonts w:hint="eastAsia"/>
        </w:rPr>
        <w:tab/>
        <w:t>1996</w:t>
      </w:r>
      <w:r>
        <w:rPr>
          <w:rFonts w:hint="eastAsia"/>
        </w:rPr>
        <w:t>年</w:t>
      </w:r>
      <w:r>
        <w:rPr>
          <w:rFonts w:hint="eastAsia"/>
        </w:rPr>
        <w:t>12</w:t>
      </w:r>
      <w:r>
        <w:rPr>
          <w:rFonts w:hint="eastAsia"/>
        </w:rPr>
        <w:t>月</w:t>
      </w:r>
      <w:r>
        <w:rPr>
          <w:rFonts w:hint="eastAsia"/>
        </w:rPr>
        <w:t>3</w:t>
      </w:r>
      <w:r>
        <w:rPr>
          <w:rFonts w:hint="eastAsia"/>
        </w:rPr>
        <w:t>日第</w:t>
      </w:r>
      <w:r>
        <w:rPr>
          <w:rFonts w:hint="eastAsia"/>
        </w:rPr>
        <w:t>19, 482</w:t>
      </w:r>
      <w:r>
        <w:rPr>
          <w:rFonts w:hint="eastAsia"/>
        </w:rPr>
        <w:t>号法令。</w:t>
      </w:r>
    </w:p>
  </w:footnote>
  <w:footnote w:id="66">
    <w:p w:rsidR="00000000" w:rsidRDefault="009C1C61">
      <w:pPr>
        <w:pStyle w:val="FootnoteText"/>
        <w:spacing w:line="240" w:lineRule="auto"/>
      </w:pPr>
      <w:r>
        <w:rPr>
          <w:rStyle w:val="FootnoteReference"/>
        </w:rPr>
        <w:footnoteRef/>
      </w:r>
      <w:r>
        <w:t xml:space="preserve"> </w:t>
      </w:r>
      <w:r>
        <w:rPr>
          <w:rFonts w:hint="eastAsia"/>
        </w:rPr>
        <w:tab/>
        <w:t>1993</w:t>
      </w:r>
      <w:r>
        <w:rPr>
          <w:rFonts w:hint="eastAsia"/>
        </w:rPr>
        <w:t>年</w:t>
      </w:r>
      <w:r>
        <w:rPr>
          <w:rFonts w:hint="eastAsia"/>
        </w:rPr>
        <w:t>9</w:t>
      </w:r>
      <w:r>
        <w:rPr>
          <w:rFonts w:hint="eastAsia"/>
        </w:rPr>
        <w:t>月</w:t>
      </w:r>
      <w:r>
        <w:rPr>
          <w:rFonts w:hint="eastAsia"/>
        </w:rPr>
        <w:t>30</w:t>
      </w:r>
      <w:r>
        <w:rPr>
          <w:rFonts w:hint="eastAsia"/>
        </w:rPr>
        <w:t>第</w:t>
      </w:r>
      <w:r>
        <w:rPr>
          <w:rFonts w:hint="eastAsia"/>
        </w:rPr>
        <w:t>19,250</w:t>
      </w:r>
      <w:r>
        <w:rPr>
          <w:rFonts w:hint="eastAsia"/>
        </w:rPr>
        <w:t>号法令。</w:t>
      </w:r>
    </w:p>
  </w:footnote>
  <w:footnote w:id="67">
    <w:p w:rsidR="00000000" w:rsidRDefault="009C1C61" w:rsidP="009C1C61">
      <w:pPr>
        <w:pStyle w:val="FootnoteText"/>
        <w:ind w:leftChars="195" w:left="31680" w:hangingChars="200" w:firstLine="31680"/>
      </w:pPr>
      <w:r>
        <w:rPr>
          <w:rStyle w:val="FootnoteReference"/>
        </w:rPr>
        <w:footnoteRef/>
      </w:r>
      <w:r>
        <w:t xml:space="preserve"> </w:t>
      </w:r>
      <w:r>
        <w:rPr>
          <w:rFonts w:hint="eastAsia"/>
        </w:rPr>
        <w:tab/>
      </w:r>
      <w:r>
        <w:rPr>
          <w:rFonts w:hint="eastAsia"/>
        </w:rPr>
        <w:t>智利大学经济学系的研究报告，第</w:t>
      </w:r>
      <w:r>
        <w:rPr>
          <w:rFonts w:hint="eastAsia"/>
        </w:rPr>
        <w:t>68</w:t>
      </w:r>
      <w:r>
        <w:rPr>
          <w:rFonts w:hint="eastAsia"/>
        </w:rPr>
        <w:t>号工作文件：“人民的看法。工作和家庭：复杂的关系”，妇女服务署，</w:t>
      </w:r>
      <w:r>
        <w:rPr>
          <w:rFonts w:hint="eastAsia"/>
        </w:rPr>
        <w:t>1999</w:t>
      </w:r>
      <w:r>
        <w:rPr>
          <w:rFonts w:hint="eastAsia"/>
        </w:rPr>
        <w:t>年。</w:t>
      </w:r>
    </w:p>
  </w:footnote>
  <w:footnote w:id="68">
    <w:p w:rsidR="00000000" w:rsidRDefault="009C1C61">
      <w:pPr>
        <w:pStyle w:val="FootnoteText"/>
      </w:pPr>
      <w:r>
        <w:rPr>
          <w:rStyle w:val="FootnoteReference"/>
        </w:rPr>
        <w:footnoteRef/>
      </w:r>
      <w:r>
        <w:t xml:space="preserve"> </w:t>
      </w:r>
      <w:r>
        <w:rPr>
          <w:rFonts w:hint="eastAsia"/>
        </w:rPr>
        <w:tab/>
      </w:r>
      <w:r>
        <w:rPr>
          <w:rFonts w:hint="eastAsia"/>
        </w:rPr>
        <w:t>第</w:t>
      </w:r>
      <w:r>
        <w:rPr>
          <w:rFonts w:hint="eastAsia"/>
        </w:rPr>
        <w:t>19</w:t>
      </w:r>
      <w:r>
        <w:rPr>
          <w:rFonts w:hint="eastAsia"/>
        </w:rPr>
        <w:t>条（</w:t>
      </w:r>
      <w:r>
        <w:rPr>
          <w:rFonts w:hint="eastAsia"/>
        </w:rPr>
        <w:t>19</w:t>
      </w:r>
      <w:r>
        <w:rPr>
          <w:rFonts w:hint="eastAsia"/>
        </w:rPr>
        <w:t>）“宪制权利和义务”。</w:t>
      </w:r>
    </w:p>
  </w:footnote>
  <w:footnote w:id="69">
    <w:p w:rsidR="00000000" w:rsidRDefault="009C1C61">
      <w:pPr>
        <w:pStyle w:val="FootnoteText"/>
        <w:rPr>
          <w:rFonts w:hint="eastAsia"/>
        </w:rPr>
      </w:pPr>
      <w:r>
        <w:rPr>
          <w:rStyle w:val="FootnoteReference"/>
        </w:rPr>
        <w:footnoteRef/>
      </w:r>
      <w:r>
        <w:rPr>
          <w:rFonts w:hint="eastAsia"/>
        </w:rPr>
        <w:t xml:space="preserve"> </w:t>
      </w:r>
      <w:r>
        <w:rPr>
          <w:rFonts w:hint="eastAsia"/>
        </w:rPr>
        <w:tab/>
      </w:r>
      <w:r>
        <w:rPr>
          <w:rFonts w:hint="eastAsia"/>
        </w:rPr>
        <w:t>《劳工法》第</w:t>
      </w:r>
      <w:r>
        <w:rPr>
          <w:rFonts w:hint="eastAsia"/>
        </w:rPr>
        <w:t>2</w:t>
      </w:r>
      <w:r>
        <w:t>12</w:t>
      </w:r>
      <w:r>
        <w:rPr>
          <w:rFonts w:hint="eastAsia"/>
        </w:rPr>
        <w:t>条。</w:t>
      </w:r>
    </w:p>
  </w:footnote>
  <w:footnote w:id="70">
    <w:p w:rsidR="00000000" w:rsidRDefault="009C1C61">
      <w:pPr>
        <w:pStyle w:val="FootnoteText"/>
        <w:rPr>
          <w:rFonts w:hint="eastAsia"/>
        </w:rPr>
      </w:pPr>
      <w:r>
        <w:rPr>
          <w:rStyle w:val="FootnoteReference"/>
        </w:rPr>
        <w:footnoteRef/>
      </w:r>
      <w:r>
        <w:rPr>
          <w:rFonts w:hint="eastAsia"/>
        </w:rPr>
        <w:t xml:space="preserve"> </w:t>
      </w:r>
      <w:r>
        <w:rPr>
          <w:rFonts w:hint="eastAsia"/>
        </w:rPr>
        <w:tab/>
      </w:r>
      <w:r>
        <w:rPr>
          <w:rFonts w:hint="eastAsia"/>
        </w:rPr>
        <w:t>《劳工法》第</w:t>
      </w:r>
      <w:r>
        <w:rPr>
          <w:rFonts w:hint="eastAsia"/>
        </w:rPr>
        <w:t>214</w:t>
      </w:r>
      <w:r>
        <w:rPr>
          <w:rFonts w:hint="eastAsia"/>
        </w:rPr>
        <w:t>条。</w:t>
      </w:r>
    </w:p>
  </w:footnote>
  <w:footnote w:id="71">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3</w:t>
      </w:r>
      <w:r>
        <w:rPr>
          <w:rFonts w:hint="eastAsia"/>
        </w:rPr>
        <w:t>月</w:t>
      </w:r>
      <w:r>
        <w:rPr>
          <w:rFonts w:hint="eastAsia"/>
        </w:rPr>
        <w:t>14</w:t>
      </w:r>
      <w:r>
        <w:rPr>
          <w:rFonts w:hint="eastAsia"/>
        </w:rPr>
        <w:t>日第</w:t>
      </w:r>
      <w:r>
        <w:rPr>
          <w:rFonts w:hint="eastAsia"/>
        </w:rPr>
        <w:t>19296</w:t>
      </w:r>
      <w:r>
        <w:rPr>
          <w:rFonts w:hint="eastAsia"/>
        </w:rPr>
        <w:t>号法令。</w:t>
      </w:r>
    </w:p>
  </w:footnote>
  <w:footnote w:id="72">
    <w:p w:rsidR="00000000" w:rsidRDefault="009C1C61">
      <w:pPr>
        <w:pStyle w:val="FootnoteText"/>
      </w:pPr>
      <w:r>
        <w:rPr>
          <w:rStyle w:val="FootnoteReference"/>
        </w:rPr>
        <w:footnoteRef/>
      </w:r>
      <w:r>
        <w:t xml:space="preserve"> </w:t>
      </w:r>
      <w:r>
        <w:tab/>
      </w:r>
      <w:r>
        <w:rPr>
          <w:rFonts w:hint="eastAsia"/>
        </w:rPr>
        <w:t>《劳工法》第</w:t>
      </w:r>
      <w:r>
        <w:rPr>
          <w:rFonts w:hint="eastAsia"/>
        </w:rPr>
        <w:t>381</w:t>
      </w:r>
      <w:r>
        <w:rPr>
          <w:rFonts w:hint="eastAsia"/>
        </w:rPr>
        <w:t>条。</w:t>
      </w:r>
    </w:p>
  </w:footnote>
  <w:footnote w:id="73">
    <w:p w:rsidR="00000000" w:rsidRDefault="009C1C61">
      <w:pPr>
        <w:pStyle w:val="FootnoteText"/>
        <w:rPr>
          <w:sz w:val="18"/>
        </w:rPr>
      </w:pPr>
      <w:r>
        <w:rPr>
          <w:rStyle w:val="FootnoteReference"/>
        </w:rPr>
        <w:footnoteRef/>
      </w:r>
      <w:r>
        <w:t xml:space="preserve"> </w:t>
      </w:r>
      <w:r>
        <w:tab/>
      </w:r>
      <w:r>
        <w:rPr>
          <w:rFonts w:hint="eastAsia"/>
        </w:rPr>
        <w:t>衡量某个月与另一</w:t>
      </w:r>
      <w:r>
        <w:rPr>
          <w:rFonts w:hint="eastAsia"/>
        </w:rPr>
        <w:t>个月之间生活费用变化的指数（即，每月经济的通货膨胀率或通货收缩率）</w:t>
      </w:r>
      <w:r>
        <w:rPr>
          <w:rFonts w:hint="eastAsia"/>
          <w:sz w:val="18"/>
        </w:rPr>
        <w:t>。</w:t>
      </w:r>
    </w:p>
  </w:footnote>
  <w:footnote w:id="74">
    <w:p w:rsidR="00000000" w:rsidRDefault="009C1C61">
      <w:pPr>
        <w:pStyle w:val="FootnoteText"/>
      </w:pPr>
      <w:r>
        <w:rPr>
          <w:rStyle w:val="FootnoteReference"/>
          <w:rFonts w:eastAsia="SimSun"/>
        </w:rPr>
        <w:footnoteRef/>
      </w:r>
      <w:r>
        <w:t xml:space="preserve"> </w:t>
      </w:r>
      <w:r>
        <w:tab/>
      </w:r>
      <w:r>
        <w:rPr>
          <w:rFonts w:hint="eastAsia"/>
        </w:rPr>
        <w:t>根据每天消费者物价指数增幅进行调整的银行业务支付值。</w:t>
      </w:r>
    </w:p>
  </w:footnote>
  <w:footnote w:id="75">
    <w:p w:rsidR="00000000" w:rsidRDefault="009C1C61">
      <w:pPr>
        <w:pStyle w:val="FootnoteText"/>
      </w:pPr>
      <w:r>
        <w:rPr>
          <w:rStyle w:val="FootnoteReference"/>
        </w:rPr>
        <w:footnoteRef/>
      </w:r>
      <w:r>
        <w:t xml:space="preserve"> </w:t>
      </w:r>
      <w:r>
        <w:tab/>
      </w:r>
      <w:r>
        <w:rPr>
          <w:rFonts w:hint="eastAsia"/>
        </w:rPr>
        <w:t>第</w:t>
      </w:r>
      <w:r>
        <w:rPr>
          <w:rFonts w:hint="eastAsia"/>
        </w:rPr>
        <w:t>384</w:t>
      </w:r>
      <w:r>
        <w:rPr>
          <w:rFonts w:hint="eastAsia"/>
        </w:rPr>
        <w:t>条。</w:t>
      </w:r>
    </w:p>
  </w:footnote>
  <w:footnote w:id="76">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3</w:t>
      </w:r>
      <w:r>
        <w:rPr>
          <w:rFonts w:hint="eastAsia"/>
        </w:rPr>
        <w:t>月</w:t>
      </w:r>
      <w:r>
        <w:rPr>
          <w:rFonts w:hint="eastAsia"/>
        </w:rPr>
        <w:t>14</w:t>
      </w:r>
      <w:r>
        <w:rPr>
          <w:rFonts w:hint="eastAsia"/>
        </w:rPr>
        <w:t>日第</w:t>
      </w:r>
      <w:r>
        <w:t>19</w:t>
      </w:r>
      <w:r>
        <w:rPr>
          <w:rFonts w:hint="eastAsia"/>
        </w:rPr>
        <w:t>296</w:t>
      </w:r>
      <w:r>
        <w:rPr>
          <w:rFonts w:hint="eastAsia"/>
        </w:rPr>
        <w:t>号法令第</w:t>
      </w:r>
      <w:r>
        <w:rPr>
          <w:rFonts w:hint="eastAsia"/>
        </w:rPr>
        <w:t>1</w:t>
      </w:r>
      <w:r>
        <w:rPr>
          <w:rFonts w:hint="eastAsia"/>
        </w:rPr>
        <w:t>条第</w:t>
      </w:r>
      <w:r>
        <w:rPr>
          <w:rFonts w:hint="eastAsia"/>
        </w:rPr>
        <w:t>2</w:t>
      </w:r>
      <w:r>
        <w:rPr>
          <w:rFonts w:hint="eastAsia"/>
        </w:rPr>
        <w:t>款。</w:t>
      </w:r>
    </w:p>
  </w:footnote>
  <w:footnote w:id="77">
    <w:p w:rsidR="00000000" w:rsidRDefault="009C1C61">
      <w:pPr>
        <w:pStyle w:val="FootnoteText"/>
        <w:spacing w:line="240" w:lineRule="auto"/>
        <w:rPr>
          <w:rFonts w:hint="eastAsia"/>
        </w:rPr>
      </w:pPr>
      <w:r>
        <w:rPr>
          <w:rStyle w:val="FootnoteReference"/>
        </w:rPr>
        <w:footnoteRef/>
      </w:r>
      <w:r>
        <w:t xml:space="preserve"> </w:t>
      </w:r>
      <w:r>
        <w:tab/>
      </w:r>
      <w:r>
        <w:rPr>
          <w:rFonts w:hint="eastAsia"/>
        </w:rPr>
        <w:t>第六章，第</w:t>
      </w:r>
      <w:r>
        <w:rPr>
          <w:rFonts w:hint="eastAsia"/>
        </w:rPr>
        <w:t>369</w:t>
      </w:r>
      <w:r>
        <w:rPr>
          <w:rFonts w:hint="eastAsia"/>
        </w:rPr>
        <w:t>条及其后条款。</w:t>
      </w:r>
    </w:p>
  </w:footnote>
  <w:footnote w:id="78">
    <w:p w:rsidR="00000000" w:rsidRDefault="009C1C61">
      <w:pPr>
        <w:pStyle w:val="FootnoteText"/>
        <w:spacing w:line="240" w:lineRule="auto"/>
        <w:rPr>
          <w:rFonts w:hint="eastAsia"/>
        </w:rPr>
      </w:pPr>
      <w:r>
        <w:rPr>
          <w:rStyle w:val="FootnoteReference"/>
        </w:rPr>
        <w:footnoteRef/>
      </w:r>
      <w:r>
        <w:t xml:space="preserve"> </w:t>
      </w:r>
      <w:r>
        <w:tab/>
      </w:r>
      <w:r>
        <w:rPr>
          <w:rFonts w:hint="eastAsia"/>
        </w:rPr>
        <w:t>第</w:t>
      </w:r>
      <w:r>
        <w:rPr>
          <w:rFonts w:hint="eastAsia"/>
        </w:rPr>
        <w:t>19</w:t>
      </w:r>
      <w:r>
        <w:rPr>
          <w:rFonts w:hint="eastAsia"/>
        </w:rPr>
        <w:t>条第</w:t>
      </w:r>
      <w:r>
        <w:rPr>
          <w:rFonts w:hint="eastAsia"/>
        </w:rPr>
        <w:t>(18)</w:t>
      </w:r>
      <w:r>
        <w:rPr>
          <w:rFonts w:hint="eastAsia"/>
        </w:rPr>
        <w:t>款。</w:t>
      </w:r>
    </w:p>
  </w:footnote>
  <w:footnote w:id="79">
    <w:p w:rsidR="00000000" w:rsidRDefault="009C1C61">
      <w:pPr>
        <w:pStyle w:val="FootnoteText"/>
        <w:spacing w:line="240" w:lineRule="auto"/>
        <w:rPr>
          <w:rFonts w:hint="eastAsia"/>
        </w:rPr>
      </w:pPr>
      <w:r>
        <w:rPr>
          <w:rStyle w:val="FootnoteReference"/>
        </w:rPr>
        <w:footnoteRef/>
      </w:r>
      <w:r>
        <w:t xml:space="preserve"> </w:t>
      </w:r>
      <w:r>
        <w:tab/>
      </w:r>
      <w:r>
        <w:rPr>
          <w:rFonts w:hint="eastAsia"/>
        </w:rPr>
        <w:t>1990</w:t>
      </w:r>
      <w:r>
        <w:rPr>
          <w:rFonts w:hint="eastAsia"/>
        </w:rPr>
        <w:t>年和</w:t>
      </w:r>
      <w:r>
        <w:rPr>
          <w:rFonts w:hint="eastAsia"/>
        </w:rPr>
        <w:t>1998</w:t>
      </w:r>
      <w:r>
        <w:rPr>
          <w:rFonts w:hint="eastAsia"/>
        </w:rPr>
        <w:t>年的社经特征调查</w:t>
      </w:r>
      <w:r>
        <w:rPr>
          <w:rFonts w:hint="eastAsia"/>
        </w:rPr>
        <w:t>(</w:t>
      </w:r>
      <w:r>
        <w:rPr>
          <w:rFonts w:hint="eastAsia"/>
        </w:rPr>
        <w:t>见附件一，缩略语</w:t>
      </w:r>
      <w:r>
        <w:rPr>
          <w:rFonts w:hint="eastAsia"/>
        </w:rPr>
        <w:t>)</w:t>
      </w:r>
      <w:r>
        <w:rPr>
          <w:rFonts w:hint="eastAsia"/>
        </w:rPr>
        <w:t>。</w:t>
      </w:r>
    </w:p>
  </w:footnote>
  <w:footnote w:id="80">
    <w:p w:rsidR="00000000" w:rsidRDefault="009C1C61">
      <w:pPr>
        <w:pStyle w:val="FootnoteText"/>
        <w:spacing w:line="240" w:lineRule="auto"/>
        <w:rPr>
          <w:rFonts w:hint="eastAsia"/>
        </w:rPr>
      </w:pPr>
      <w:r>
        <w:rPr>
          <w:rStyle w:val="FootnoteReference"/>
        </w:rPr>
        <w:footnoteRef/>
      </w:r>
      <w:r>
        <w:t xml:space="preserve"> </w:t>
      </w:r>
      <w:r>
        <w:tab/>
      </w:r>
      <w:r>
        <w:rPr>
          <w:rFonts w:hint="eastAsia"/>
        </w:rPr>
        <w:t>1985</w:t>
      </w:r>
      <w:r>
        <w:rPr>
          <w:rFonts w:hint="eastAsia"/>
        </w:rPr>
        <w:t>年</w:t>
      </w:r>
      <w:r>
        <w:rPr>
          <w:rFonts w:hint="eastAsia"/>
        </w:rPr>
        <w:t>11</w:t>
      </w:r>
      <w:r>
        <w:rPr>
          <w:rFonts w:hint="eastAsia"/>
        </w:rPr>
        <w:t>月</w:t>
      </w:r>
      <w:r>
        <w:rPr>
          <w:rFonts w:hint="eastAsia"/>
        </w:rPr>
        <w:t>23</w:t>
      </w:r>
      <w:r>
        <w:rPr>
          <w:rFonts w:hint="eastAsia"/>
        </w:rPr>
        <w:t>日，第</w:t>
      </w:r>
      <w:r>
        <w:rPr>
          <w:rFonts w:hint="eastAsia"/>
        </w:rPr>
        <w:t>18,469</w:t>
      </w:r>
      <w:r>
        <w:rPr>
          <w:rFonts w:hint="eastAsia"/>
        </w:rPr>
        <w:t>号法令。</w:t>
      </w:r>
    </w:p>
  </w:footnote>
  <w:footnote w:id="8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18,469</w:t>
      </w:r>
      <w:r>
        <w:rPr>
          <w:rFonts w:hint="eastAsia"/>
        </w:rPr>
        <w:t>号法令第</w:t>
      </w:r>
      <w:r>
        <w:rPr>
          <w:rFonts w:hint="eastAsia"/>
        </w:rPr>
        <w:t>6</w:t>
      </w:r>
      <w:r>
        <w:rPr>
          <w:rFonts w:hint="eastAsia"/>
        </w:rPr>
        <w:t>条</w:t>
      </w:r>
      <w:r>
        <w:rPr>
          <w:rFonts w:hint="eastAsia"/>
        </w:rPr>
        <w:t>(</w:t>
      </w:r>
      <w:r>
        <w:t>b)</w:t>
      </w:r>
      <w:r>
        <w:rPr>
          <w:rFonts w:hint="eastAsia"/>
        </w:rPr>
        <w:t>和</w:t>
      </w:r>
      <w:r>
        <w:rPr>
          <w:rFonts w:hint="eastAsia"/>
        </w:rPr>
        <w:t>(</w:t>
      </w:r>
      <w:r>
        <w:t>c)</w:t>
      </w:r>
      <w:r>
        <w:rPr>
          <w:rFonts w:hint="eastAsia"/>
        </w:rPr>
        <w:t>款。</w:t>
      </w:r>
    </w:p>
  </w:footnote>
  <w:footnote w:id="82">
    <w:p w:rsidR="00000000" w:rsidRDefault="009C1C61">
      <w:pPr>
        <w:pStyle w:val="FootnoteText"/>
        <w:spacing w:line="240" w:lineRule="auto"/>
        <w:rPr>
          <w:rFonts w:hint="eastAsia"/>
        </w:rPr>
      </w:pPr>
      <w:r>
        <w:rPr>
          <w:rStyle w:val="FootnoteReference"/>
        </w:rPr>
        <w:footnoteRef/>
      </w:r>
      <w:r>
        <w:t xml:space="preserve"> </w:t>
      </w:r>
      <w:r>
        <w:rPr>
          <w:rFonts w:hint="eastAsia"/>
        </w:rPr>
        <w:tab/>
        <w:t>1975</w:t>
      </w:r>
      <w:r>
        <w:rPr>
          <w:rFonts w:hint="eastAsia"/>
        </w:rPr>
        <w:t>年</w:t>
      </w:r>
      <w:r>
        <w:rPr>
          <w:rFonts w:hint="eastAsia"/>
        </w:rPr>
        <w:t>1</w:t>
      </w:r>
      <w:r>
        <w:rPr>
          <w:rFonts w:hint="eastAsia"/>
        </w:rPr>
        <w:t>月</w:t>
      </w:r>
      <w:r>
        <w:rPr>
          <w:rFonts w:hint="eastAsia"/>
        </w:rPr>
        <w:t>28</w:t>
      </w:r>
      <w:r>
        <w:rPr>
          <w:rFonts w:hint="eastAsia"/>
        </w:rPr>
        <w:t>日第</w:t>
      </w:r>
      <w:r>
        <w:rPr>
          <w:rFonts w:hint="eastAsia"/>
        </w:rPr>
        <w:t>869</w:t>
      </w:r>
      <w:r>
        <w:rPr>
          <w:rFonts w:hint="eastAsia"/>
        </w:rPr>
        <w:t>号政令法。</w:t>
      </w:r>
    </w:p>
  </w:footnote>
  <w:footnote w:id="83">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根据</w:t>
      </w:r>
      <w:r>
        <w:rPr>
          <w:rFonts w:hint="eastAsia"/>
        </w:rPr>
        <w:t>198</w:t>
      </w:r>
      <w:r>
        <w:rPr>
          <w:rFonts w:hint="eastAsia"/>
        </w:rPr>
        <w:t>1</w:t>
      </w:r>
      <w:r>
        <w:rPr>
          <w:rFonts w:hint="eastAsia"/>
        </w:rPr>
        <w:t>年</w:t>
      </w:r>
      <w:r>
        <w:rPr>
          <w:rFonts w:hint="eastAsia"/>
        </w:rPr>
        <w:t>8</w:t>
      </w:r>
      <w:r>
        <w:rPr>
          <w:rFonts w:hint="eastAsia"/>
        </w:rPr>
        <w:t>月</w:t>
      </w:r>
      <w:r>
        <w:rPr>
          <w:rFonts w:hint="eastAsia"/>
        </w:rPr>
        <w:t>17</w:t>
      </w:r>
      <w:r>
        <w:rPr>
          <w:rFonts w:hint="eastAsia"/>
        </w:rPr>
        <w:t>日第</w:t>
      </w:r>
      <w:r>
        <w:rPr>
          <w:rFonts w:hint="eastAsia"/>
        </w:rPr>
        <w:t>18,020</w:t>
      </w:r>
      <w:r>
        <w:rPr>
          <w:rFonts w:hint="eastAsia"/>
        </w:rPr>
        <w:t>号法令。</w:t>
      </w:r>
    </w:p>
  </w:footnote>
  <w:footnote w:id="84">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参看上文《公约》第</w:t>
      </w:r>
      <w:r>
        <w:rPr>
          <w:rFonts w:hint="eastAsia"/>
        </w:rPr>
        <w:t>7</w:t>
      </w:r>
      <w:r>
        <w:rPr>
          <w:rFonts w:hint="eastAsia"/>
        </w:rPr>
        <w:t>条下关于“最低工资“的注解。</w:t>
      </w:r>
    </w:p>
  </w:footnote>
  <w:footnote w:id="85">
    <w:p w:rsidR="00000000" w:rsidRDefault="009C1C61">
      <w:pPr>
        <w:pStyle w:val="FootnoteText"/>
        <w:spacing w:line="240" w:lineRule="auto"/>
        <w:rPr>
          <w:rFonts w:hint="eastAsia"/>
        </w:rPr>
      </w:pPr>
      <w:r>
        <w:rPr>
          <w:rStyle w:val="FootnoteReference"/>
        </w:rPr>
        <w:footnoteRef/>
      </w:r>
      <w:r>
        <w:t xml:space="preserve"> </w:t>
      </w:r>
      <w:r>
        <w:rPr>
          <w:rFonts w:hint="eastAsia"/>
        </w:rPr>
        <w:tab/>
        <w:t>1985</w:t>
      </w:r>
      <w:r>
        <w:rPr>
          <w:rFonts w:hint="eastAsia"/>
        </w:rPr>
        <w:t>年</w:t>
      </w:r>
      <w:r>
        <w:rPr>
          <w:rFonts w:hint="eastAsia"/>
        </w:rPr>
        <w:t>11</w:t>
      </w:r>
      <w:r>
        <w:rPr>
          <w:rFonts w:hint="eastAsia"/>
        </w:rPr>
        <w:t>月</w:t>
      </w:r>
      <w:r>
        <w:rPr>
          <w:rFonts w:hint="eastAsia"/>
        </w:rPr>
        <w:t>23</w:t>
      </w:r>
      <w:r>
        <w:rPr>
          <w:rFonts w:hint="eastAsia"/>
        </w:rPr>
        <w:t>日第</w:t>
      </w:r>
      <w:r>
        <w:rPr>
          <w:rFonts w:hint="eastAsia"/>
        </w:rPr>
        <w:t>18,469</w:t>
      </w:r>
      <w:r>
        <w:rPr>
          <w:rFonts w:hint="eastAsia"/>
        </w:rPr>
        <w:t>号法令。</w:t>
      </w:r>
    </w:p>
  </w:footnote>
  <w:footnote w:id="86">
    <w:p w:rsidR="00000000" w:rsidRDefault="009C1C61">
      <w:pPr>
        <w:pStyle w:val="FootnoteText"/>
        <w:rPr>
          <w:rFonts w:hint="eastAsia"/>
        </w:rPr>
      </w:pPr>
      <w:r>
        <w:rPr>
          <w:rStyle w:val="FootnoteReference"/>
        </w:rPr>
        <w:footnoteRef/>
      </w:r>
      <w:r>
        <w:t xml:space="preserve"> </w:t>
      </w:r>
      <w:r>
        <w:rPr>
          <w:rFonts w:hint="eastAsia"/>
        </w:rPr>
        <w:tab/>
      </w:r>
      <w:r>
        <w:rPr>
          <w:rFonts w:hint="eastAsia"/>
        </w:rPr>
        <w:t>劳工和社会保险部</w:t>
      </w:r>
      <w:r>
        <w:rPr>
          <w:rFonts w:hint="eastAsia"/>
        </w:rPr>
        <w:t>1978</w:t>
      </w:r>
      <w:r>
        <w:rPr>
          <w:rFonts w:hint="eastAsia"/>
        </w:rPr>
        <w:t>年第</w:t>
      </w:r>
      <w:r>
        <w:rPr>
          <w:rFonts w:hint="eastAsia"/>
        </w:rPr>
        <w:t>44</w:t>
      </w:r>
      <w:r>
        <w:rPr>
          <w:rFonts w:hint="eastAsia"/>
        </w:rPr>
        <w:t>号立法令第</w:t>
      </w:r>
      <w:r>
        <w:rPr>
          <w:rFonts w:hint="eastAsia"/>
        </w:rPr>
        <w:t>14</w:t>
      </w:r>
      <w:r>
        <w:rPr>
          <w:rFonts w:hint="eastAsia"/>
        </w:rPr>
        <w:t>和</w:t>
      </w:r>
      <w:r>
        <w:rPr>
          <w:rFonts w:hint="eastAsia"/>
        </w:rPr>
        <w:t>15</w:t>
      </w:r>
      <w:r>
        <w:rPr>
          <w:rFonts w:hint="eastAsia"/>
        </w:rPr>
        <w:t>条。</w:t>
      </w:r>
    </w:p>
  </w:footnote>
  <w:footnote w:id="87">
    <w:p w:rsidR="00000000" w:rsidRDefault="009C1C61">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4</w:t>
      </w:r>
      <w:r>
        <w:rPr>
          <w:rFonts w:hint="eastAsia"/>
        </w:rPr>
        <w:t>和第</w:t>
      </w:r>
      <w:r>
        <w:rPr>
          <w:rFonts w:hint="eastAsia"/>
        </w:rPr>
        <w:t>6</w:t>
      </w:r>
      <w:r>
        <w:rPr>
          <w:rFonts w:hint="eastAsia"/>
        </w:rPr>
        <w:t>条。</w:t>
      </w:r>
    </w:p>
  </w:footnote>
  <w:footnote w:id="88">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6</w:t>
      </w:r>
      <w:r>
        <w:rPr>
          <w:rFonts w:hint="eastAsia"/>
        </w:rPr>
        <w:t>条。</w:t>
      </w:r>
    </w:p>
  </w:footnote>
  <w:footnote w:id="8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劳工法第</w:t>
      </w:r>
      <w:r>
        <w:rPr>
          <w:rFonts w:hint="eastAsia"/>
        </w:rPr>
        <w:t>195</w:t>
      </w:r>
      <w:r>
        <w:rPr>
          <w:rFonts w:hint="eastAsia"/>
        </w:rPr>
        <w:t>条。</w:t>
      </w:r>
    </w:p>
  </w:footnote>
  <w:footnote w:id="90">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199</w:t>
      </w:r>
      <w:r>
        <w:rPr>
          <w:rFonts w:hint="eastAsia"/>
        </w:rPr>
        <w:t>条。</w:t>
      </w:r>
    </w:p>
  </w:footnote>
  <w:footnote w:id="9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w:t>
      </w:r>
    </w:p>
  </w:footnote>
  <w:footnote w:id="92">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w:t>
      </w:r>
    </w:p>
  </w:footnote>
  <w:footnote w:id="93">
    <w:p w:rsidR="00000000" w:rsidRDefault="009C1C61">
      <w:pPr>
        <w:pStyle w:val="FootnoteText"/>
        <w:spacing w:line="240" w:lineRule="auto"/>
        <w:rPr>
          <w:rFonts w:hint="eastAsia"/>
        </w:rPr>
      </w:pPr>
      <w:r>
        <w:rPr>
          <w:rStyle w:val="FootnoteReference"/>
        </w:rPr>
        <w:footnoteRef/>
      </w:r>
      <w:r>
        <w:rPr>
          <w:rFonts w:hint="eastAsia"/>
        </w:rPr>
        <w:t xml:space="preserve"> </w:t>
      </w:r>
      <w:r>
        <w:rPr>
          <w:rFonts w:hint="eastAsia"/>
        </w:rPr>
        <w:tab/>
      </w:r>
      <w:r>
        <w:rPr>
          <w:rFonts w:hint="eastAsia"/>
        </w:rPr>
        <w:t>《劳工法》第</w:t>
      </w:r>
      <w:r>
        <w:rPr>
          <w:rFonts w:hint="eastAsia"/>
        </w:rPr>
        <w:t>66</w:t>
      </w:r>
      <w:r>
        <w:rPr>
          <w:rFonts w:hint="eastAsia"/>
        </w:rPr>
        <w:t>条。</w:t>
      </w:r>
    </w:p>
  </w:footnote>
  <w:footnote w:id="94">
    <w:p w:rsidR="00000000" w:rsidRDefault="009C1C61">
      <w:pPr>
        <w:pStyle w:val="FootnoteText"/>
        <w:spacing w:line="240" w:lineRule="auto"/>
        <w:rPr>
          <w:rFonts w:hint="eastAsia"/>
        </w:rPr>
      </w:pPr>
      <w:r>
        <w:rPr>
          <w:rStyle w:val="FootnoteReference"/>
        </w:rPr>
        <w:footnoteRef/>
      </w:r>
      <w:r>
        <w:t xml:space="preserve"> </w:t>
      </w:r>
      <w:r>
        <w:rPr>
          <w:rFonts w:hint="eastAsia"/>
        </w:rPr>
        <w:tab/>
        <w:t>1997</w:t>
      </w:r>
      <w:r>
        <w:rPr>
          <w:rFonts w:hint="eastAsia"/>
        </w:rPr>
        <w:t>年</w:t>
      </w:r>
      <w:r>
        <w:rPr>
          <w:rFonts w:hint="eastAsia"/>
        </w:rPr>
        <w:t>7</w:t>
      </w:r>
      <w:r>
        <w:rPr>
          <w:rFonts w:hint="eastAsia"/>
        </w:rPr>
        <w:t>月</w:t>
      </w:r>
      <w:r>
        <w:rPr>
          <w:rFonts w:hint="eastAsia"/>
        </w:rPr>
        <w:t>25</w:t>
      </w:r>
      <w:r>
        <w:rPr>
          <w:rFonts w:hint="eastAsia"/>
        </w:rPr>
        <w:t>日第</w:t>
      </w:r>
      <w:r>
        <w:rPr>
          <w:rFonts w:hint="eastAsia"/>
        </w:rPr>
        <w:t>19,505</w:t>
      </w:r>
      <w:r>
        <w:rPr>
          <w:rFonts w:hint="eastAsia"/>
        </w:rPr>
        <w:t>号法令，根据该法令，《劳工法》增加了第</w:t>
      </w:r>
      <w:r>
        <w:rPr>
          <w:rFonts w:hint="eastAsia"/>
        </w:rPr>
        <w:t>199</w:t>
      </w:r>
      <w:r>
        <w:rPr>
          <w:rFonts w:hint="eastAsia"/>
        </w:rPr>
        <w:t>条之二。</w:t>
      </w:r>
    </w:p>
  </w:footnote>
  <w:footnote w:id="95">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《劳工法》第</w:t>
      </w:r>
      <w:r>
        <w:rPr>
          <w:rFonts w:hint="eastAsia"/>
        </w:rPr>
        <w:t>198</w:t>
      </w:r>
      <w:r>
        <w:rPr>
          <w:rFonts w:hint="eastAsia"/>
        </w:rPr>
        <w:t>条。</w:t>
      </w:r>
    </w:p>
  </w:footnote>
  <w:footnote w:id="96">
    <w:p w:rsidR="00000000" w:rsidRDefault="009C1C61">
      <w:pPr>
        <w:pStyle w:val="FootnoteText"/>
        <w:spacing w:line="240" w:lineRule="auto"/>
        <w:rPr>
          <w:rFonts w:hint="eastAsia"/>
        </w:rPr>
      </w:pPr>
      <w:r>
        <w:rPr>
          <w:rStyle w:val="FootnoteReference"/>
        </w:rPr>
        <w:footnoteRef/>
      </w:r>
      <w:r>
        <w:t xml:space="preserve"> </w:t>
      </w:r>
      <w:r>
        <w:rPr>
          <w:rFonts w:hint="eastAsia"/>
        </w:rPr>
        <w:tab/>
        <w:t>1985</w:t>
      </w:r>
      <w:r>
        <w:rPr>
          <w:rFonts w:hint="eastAsia"/>
        </w:rPr>
        <w:t>年</w:t>
      </w:r>
      <w:r>
        <w:rPr>
          <w:rFonts w:hint="eastAsia"/>
        </w:rPr>
        <w:t>7</w:t>
      </w:r>
      <w:r>
        <w:rPr>
          <w:rFonts w:hint="eastAsia"/>
        </w:rPr>
        <w:t>月</w:t>
      </w:r>
      <w:r>
        <w:rPr>
          <w:rFonts w:hint="eastAsia"/>
        </w:rPr>
        <w:t>1</w:t>
      </w:r>
      <w:r>
        <w:rPr>
          <w:rFonts w:hint="eastAsia"/>
        </w:rPr>
        <w:t>1</w:t>
      </w:r>
      <w:r>
        <w:rPr>
          <w:rFonts w:hint="eastAsia"/>
        </w:rPr>
        <w:t>日第</w:t>
      </w:r>
      <w:r>
        <w:rPr>
          <w:rFonts w:hint="eastAsia"/>
        </w:rPr>
        <w:t>18418</w:t>
      </w:r>
      <w:r>
        <w:rPr>
          <w:rFonts w:hint="eastAsia"/>
        </w:rPr>
        <w:t>号法令第</w:t>
      </w:r>
      <w:r>
        <w:rPr>
          <w:rFonts w:hint="eastAsia"/>
        </w:rPr>
        <w:t>1</w:t>
      </w:r>
      <w:r>
        <w:rPr>
          <w:rFonts w:hint="eastAsia"/>
        </w:rPr>
        <w:t>条。</w:t>
      </w:r>
    </w:p>
  </w:footnote>
  <w:footnote w:id="97">
    <w:p w:rsidR="00000000" w:rsidRDefault="009C1C61">
      <w:pPr>
        <w:pStyle w:val="FootnoteText"/>
        <w:spacing w:line="240" w:lineRule="auto"/>
        <w:rPr>
          <w:rFonts w:hint="eastAsia"/>
        </w:rPr>
      </w:pPr>
      <w:r>
        <w:rPr>
          <w:rStyle w:val="FootnoteReference"/>
        </w:rPr>
        <w:footnoteRef/>
      </w:r>
      <w:r>
        <w:t xml:space="preserve"> </w:t>
      </w:r>
      <w:r>
        <w:rPr>
          <w:rFonts w:hint="eastAsia"/>
        </w:rPr>
        <w:tab/>
        <w:t>1981</w:t>
      </w:r>
      <w:r>
        <w:rPr>
          <w:rFonts w:hint="eastAsia"/>
        </w:rPr>
        <w:t>年第</w:t>
      </w:r>
      <w:r>
        <w:rPr>
          <w:rFonts w:hint="eastAsia"/>
        </w:rPr>
        <w:t>150</w:t>
      </w:r>
      <w:r>
        <w:rPr>
          <w:rFonts w:hint="eastAsia"/>
        </w:rPr>
        <w:t>号立法令。</w:t>
      </w:r>
    </w:p>
  </w:footnote>
  <w:footnote w:id="98">
    <w:p w:rsidR="00000000" w:rsidRDefault="009C1C61">
      <w:pPr>
        <w:pStyle w:val="FootnoteText"/>
        <w:spacing w:line="240" w:lineRule="auto"/>
        <w:rPr>
          <w:rFonts w:hint="eastAsia"/>
        </w:rPr>
      </w:pPr>
      <w:r>
        <w:rPr>
          <w:rStyle w:val="FootnoteReference"/>
        </w:rPr>
        <w:footnoteRef/>
      </w:r>
      <w:r>
        <w:t xml:space="preserve"> </w:t>
      </w:r>
      <w:r>
        <w:rPr>
          <w:rFonts w:hint="eastAsia"/>
        </w:rPr>
        <w:tab/>
        <w:t>1998</w:t>
      </w:r>
      <w:r>
        <w:rPr>
          <w:rFonts w:hint="eastAsia"/>
        </w:rPr>
        <w:t>年</w:t>
      </w:r>
      <w:r>
        <w:rPr>
          <w:rFonts w:hint="eastAsia"/>
        </w:rPr>
        <w:t>11</w:t>
      </w:r>
      <w:r>
        <w:rPr>
          <w:rFonts w:hint="eastAsia"/>
        </w:rPr>
        <w:t>月</w:t>
      </w:r>
      <w:r>
        <w:rPr>
          <w:rFonts w:hint="eastAsia"/>
        </w:rPr>
        <w:t>9</w:t>
      </w:r>
      <w:r>
        <w:rPr>
          <w:rFonts w:hint="eastAsia"/>
        </w:rPr>
        <w:t>日第</w:t>
      </w:r>
      <w:r>
        <w:rPr>
          <w:rFonts w:hint="eastAsia"/>
        </w:rPr>
        <w:t>19,591</w:t>
      </w:r>
      <w:r>
        <w:rPr>
          <w:rFonts w:hint="eastAsia"/>
        </w:rPr>
        <w:t>号法令。</w:t>
      </w:r>
    </w:p>
  </w:footnote>
  <w:footnote w:id="9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《劳工法》第</w:t>
      </w:r>
      <w:r>
        <w:rPr>
          <w:rFonts w:hint="eastAsia"/>
        </w:rPr>
        <w:t>203</w:t>
      </w:r>
      <w:r>
        <w:rPr>
          <w:rFonts w:hint="eastAsia"/>
        </w:rPr>
        <w:t>条。</w:t>
      </w:r>
    </w:p>
  </w:footnote>
  <w:footnote w:id="100">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206</w:t>
      </w:r>
      <w:r>
        <w:rPr>
          <w:rFonts w:hint="eastAsia"/>
        </w:rPr>
        <w:t>条。</w:t>
      </w:r>
    </w:p>
  </w:footnote>
  <w:footnote w:id="10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18,469</w:t>
      </w:r>
      <w:r>
        <w:rPr>
          <w:rFonts w:hint="eastAsia"/>
        </w:rPr>
        <w:t>号法令，第</w:t>
      </w:r>
      <w:r>
        <w:rPr>
          <w:rFonts w:hint="eastAsia"/>
        </w:rPr>
        <w:t>6</w:t>
      </w:r>
      <w:r>
        <w:rPr>
          <w:rFonts w:hint="eastAsia"/>
        </w:rPr>
        <w:t>条</w:t>
      </w:r>
      <w:r>
        <w:t>(d)</w:t>
      </w:r>
      <w:r>
        <w:rPr>
          <w:rFonts w:hint="eastAsia"/>
        </w:rPr>
        <w:t>款。</w:t>
      </w:r>
    </w:p>
  </w:footnote>
  <w:footnote w:id="102">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9</w:t>
      </w:r>
      <w:r>
        <w:rPr>
          <w:rFonts w:hint="eastAsia"/>
        </w:rPr>
        <w:t>条。</w:t>
      </w:r>
    </w:p>
  </w:footnote>
  <w:footnote w:id="103">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18,469</w:t>
      </w:r>
      <w:r>
        <w:rPr>
          <w:rFonts w:hint="eastAsia"/>
        </w:rPr>
        <w:t>号法令第</w:t>
      </w:r>
      <w:r>
        <w:rPr>
          <w:rFonts w:hint="eastAsia"/>
        </w:rPr>
        <w:t>30</w:t>
      </w:r>
      <w:r>
        <w:rPr>
          <w:rFonts w:hint="eastAsia"/>
        </w:rPr>
        <w:t>条。</w:t>
      </w:r>
    </w:p>
  </w:footnote>
  <w:footnote w:id="104">
    <w:p w:rsidR="00000000" w:rsidRDefault="009C1C61">
      <w:pPr>
        <w:pStyle w:val="FootnoteText"/>
        <w:rPr>
          <w:rFonts w:hint="eastAsia"/>
        </w:rPr>
      </w:pPr>
      <w:r>
        <w:rPr>
          <w:rStyle w:val="FootnoteReference"/>
        </w:rPr>
        <w:footnoteRef/>
      </w:r>
      <w:r>
        <w:t xml:space="preserve"> </w:t>
      </w:r>
      <w:r>
        <w:rPr>
          <w:rFonts w:hint="eastAsia"/>
        </w:rPr>
        <w:tab/>
      </w:r>
      <w:r>
        <w:rPr>
          <w:rFonts w:hint="eastAsia"/>
        </w:rPr>
        <w:t>根据</w:t>
      </w:r>
      <w:r>
        <w:rPr>
          <w:rFonts w:hint="eastAsia"/>
        </w:rPr>
        <w:t>1980</w:t>
      </w:r>
      <w:r>
        <w:rPr>
          <w:rFonts w:hint="eastAsia"/>
        </w:rPr>
        <w:t>年的第</w:t>
      </w:r>
      <w:r>
        <w:rPr>
          <w:rFonts w:hint="eastAsia"/>
        </w:rPr>
        <w:t>3,500</w:t>
      </w:r>
      <w:r>
        <w:rPr>
          <w:rFonts w:hint="eastAsia"/>
        </w:rPr>
        <w:t>号政令法提出。</w:t>
      </w:r>
    </w:p>
  </w:footnote>
  <w:footnote w:id="105">
    <w:p w:rsidR="00000000" w:rsidRDefault="009C1C61">
      <w:pPr>
        <w:pStyle w:val="FootnoteText"/>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号政令法临时条款第</w:t>
      </w:r>
      <w:r>
        <w:rPr>
          <w:rFonts w:hint="eastAsia"/>
        </w:rPr>
        <w:t>1</w:t>
      </w:r>
      <w:r>
        <w:rPr>
          <w:rFonts w:hint="eastAsia"/>
        </w:rPr>
        <w:t>条。</w:t>
      </w:r>
    </w:p>
  </w:footnote>
  <w:footnote w:id="106">
    <w:p w:rsidR="00000000" w:rsidRDefault="009C1C61">
      <w:pPr>
        <w:pStyle w:val="FootnoteText"/>
        <w:rPr>
          <w:rFonts w:hint="eastAsia"/>
        </w:rPr>
      </w:pPr>
      <w:r>
        <w:rPr>
          <w:rStyle w:val="FootnoteReference"/>
        </w:rPr>
        <w:footnoteRef/>
      </w:r>
      <w:r>
        <w:t xml:space="preserve"> </w:t>
      </w:r>
      <w:r>
        <w:rPr>
          <w:rFonts w:hint="eastAsia"/>
        </w:rPr>
        <w:tab/>
      </w:r>
      <w:r>
        <w:rPr>
          <w:rFonts w:hint="eastAsia"/>
        </w:rPr>
        <w:t>主要是根据</w:t>
      </w:r>
      <w:r>
        <w:rPr>
          <w:rFonts w:hint="eastAsia"/>
        </w:rPr>
        <w:t>1952</w:t>
      </w:r>
      <w:r>
        <w:rPr>
          <w:rFonts w:hint="eastAsia"/>
        </w:rPr>
        <w:t>年</w:t>
      </w:r>
      <w:r>
        <w:rPr>
          <w:rFonts w:hint="eastAsia"/>
        </w:rPr>
        <w:t>8</w:t>
      </w:r>
      <w:r>
        <w:rPr>
          <w:rFonts w:hint="eastAsia"/>
        </w:rPr>
        <w:t>月</w:t>
      </w:r>
      <w:r>
        <w:rPr>
          <w:rFonts w:hint="eastAsia"/>
        </w:rPr>
        <w:t>8</w:t>
      </w:r>
      <w:r>
        <w:rPr>
          <w:rFonts w:hint="eastAsia"/>
        </w:rPr>
        <w:t>日第</w:t>
      </w:r>
      <w:r>
        <w:rPr>
          <w:rFonts w:hint="eastAsia"/>
        </w:rPr>
        <w:t>10,383</w:t>
      </w:r>
      <w:r>
        <w:rPr>
          <w:rFonts w:hint="eastAsia"/>
        </w:rPr>
        <w:t>号法令的条款，该条对领取工资的所有工作人员具有强制性的约束力。</w:t>
      </w:r>
    </w:p>
  </w:footnote>
  <w:footnote w:id="107">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10,3</w:t>
      </w:r>
      <w:r>
        <w:rPr>
          <w:rFonts w:hint="eastAsia"/>
        </w:rPr>
        <w:t>83</w:t>
      </w:r>
      <w:r>
        <w:rPr>
          <w:rFonts w:hint="eastAsia"/>
        </w:rPr>
        <w:t>号法令第</w:t>
      </w:r>
      <w:r>
        <w:rPr>
          <w:rFonts w:hint="eastAsia"/>
        </w:rPr>
        <w:t>2</w:t>
      </w:r>
      <w:r>
        <w:rPr>
          <w:rFonts w:hint="eastAsia"/>
        </w:rPr>
        <w:t>条第</w:t>
      </w:r>
      <w:r>
        <w:rPr>
          <w:rFonts w:hint="eastAsia"/>
        </w:rPr>
        <w:t>(3)</w:t>
      </w:r>
      <w:r>
        <w:rPr>
          <w:rFonts w:hint="eastAsia"/>
        </w:rPr>
        <w:t>款。</w:t>
      </w:r>
    </w:p>
  </w:footnote>
  <w:footnote w:id="108">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收进</w:t>
      </w:r>
      <w:r>
        <w:rPr>
          <w:rFonts w:hint="eastAsia"/>
        </w:rPr>
        <w:t>1964</w:t>
      </w:r>
      <w:r>
        <w:rPr>
          <w:rFonts w:hint="eastAsia"/>
        </w:rPr>
        <w:t>年</w:t>
      </w:r>
      <w:r>
        <w:rPr>
          <w:rFonts w:hint="eastAsia"/>
        </w:rPr>
        <w:t>2</w:t>
      </w:r>
      <w:r>
        <w:rPr>
          <w:rFonts w:hint="eastAsia"/>
        </w:rPr>
        <w:t>月</w:t>
      </w:r>
      <w:r>
        <w:rPr>
          <w:rFonts w:hint="eastAsia"/>
        </w:rPr>
        <w:t>4</w:t>
      </w:r>
      <w:r>
        <w:rPr>
          <w:rFonts w:hint="eastAsia"/>
        </w:rPr>
        <w:t>日第</w:t>
      </w:r>
      <w:r>
        <w:rPr>
          <w:rFonts w:hint="eastAsia"/>
        </w:rPr>
        <w:t>15,478</w:t>
      </w:r>
      <w:r>
        <w:rPr>
          <w:rFonts w:hint="eastAsia"/>
        </w:rPr>
        <w:t>号法令。</w:t>
      </w:r>
    </w:p>
  </w:footnote>
  <w:footnote w:id="10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收进</w:t>
      </w:r>
      <w:r>
        <w:rPr>
          <w:rFonts w:hint="eastAsia"/>
        </w:rPr>
        <w:t>1964</w:t>
      </w:r>
      <w:r>
        <w:rPr>
          <w:rFonts w:hint="eastAsia"/>
        </w:rPr>
        <w:t>年</w:t>
      </w:r>
      <w:r>
        <w:rPr>
          <w:rFonts w:hint="eastAsia"/>
        </w:rPr>
        <w:t>10</w:t>
      </w:r>
      <w:r>
        <w:rPr>
          <w:rFonts w:hint="eastAsia"/>
        </w:rPr>
        <w:t>月</w:t>
      </w:r>
      <w:r>
        <w:rPr>
          <w:rFonts w:hint="eastAsia"/>
        </w:rPr>
        <w:t>26</w:t>
      </w:r>
      <w:r>
        <w:rPr>
          <w:rFonts w:hint="eastAsia"/>
        </w:rPr>
        <w:t>日第</w:t>
      </w:r>
      <w:r>
        <w:rPr>
          <w:rFonts w:hint="eastAsia"/>
        </w:rPr>
        <w:t>15,722</w:t>
      </w:r>
      <w:r>
        <w:rPr>
          <w:rFonts w:hint="eastAsia"/>
        </w:rPr>
        <w:t>号法令。</w:t>
      </w:r>
    </w:p>
  </w:footnote>
  <w:footnote w:id="110">
    <w:p w:rsidR="00000000" w:rsidRDefault="009C1C61">
      <w:pPr>
        <w:pStyle w:val="FootnoteText"/>
        <w:spacing w:line="240" w:lineRule="auto"/>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w:t>
      </w:r>
      <w:r>
        <w:rPr>
          <w:rFonts w:ascii="SimSun" w:hint="eastAsia"/>
          <w:szCs w:val="24"/>
        </w:rPr>
        <w:t>政令</w:t>
      </w:r>
      <w:r>
        <w:rPr>
          <w:rFonts w:hint="eastAsia"/>
        </w:rPr>
        <w:t>法第</w:t>
      </w:r>
      <w:r>
        <w:rPr>
          <w:rFonts w:hint="eastAsia"/>
        </w:rPr>
        <w:t>2</w:t>
      </w:r>
      <w:r>
        <w:rPr>
          <w:rFonts w:hint="eastAsia"/>
        </w:rPr>
        <w:t>条。</w:t>
      </w:r>
    </w:p>
  </w:footnote>
  <w:footnote w:id="11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89</w:t>
      </w:r>
      <w:r>
        <w:rPr>
          <w:rFonts w:hint="eastAsia"/>
        </w:rPr>
        <w:t>条。</w:t>
      </w:r>
    </w:p>
  </w:footnote>
  <w:footnote w:id="112">
    <w:p w:rsidR="00000000" w:rsidRDefault="009C1C61">
      <w:pPr>
        <w:pStyle w:val="FootnoteText"/>
        <w:spacing w:line="240" w:lineRule="auto"/>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号政令法第</w:t>
      </w:r>
      <w:r>
        <w:rPr>
          <w:rFonts w:hint="eastAsia"/>
        </w:rPr>
        <w:t>16</w:t>
      </w:r>
      <w:r>
        <w:rPr>
          <w:rFonts w:hint="eastAsia"/>
        </w:rPr>
        <w:t>条及其后各条。</w:t>
      </w:r>
    </w:p>
  </w:footnote>
  <w:footnote w:id="113">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17</w:t>
      </w:r>
      <w:r>
        <w:rPr>
          <w:rFonts w:hint="eastAsia"/>
        </w:rPr>
        <w:t>条。</w:t>
      </w:r>
    </w:p>
  </w:footnote>
  <w:footnote w:id="114">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按上述政令法第</w:t>
      </w:r>
      <w:r>
        <w:rPr>
          <w:rFonts w:hint="eastAsia"/>
        </w:rPr>
        <w:t>16</w:t>
      </w:r>
      <w:r>
        <w:rPr>
          <w:rFonts w:hint="eastAsia"/>
        </w:rPr>
        <w:t>条的规定。</w:t>
      </w:r>
    </w:p>
  </w:footnote>
  <w:footnote w:id="115">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在规合部《</w:t>
      </w:r>
      <w:r>
        <w:rPr>
          <w:rFonts w:hint="eastAsia"/>
        </w:rPr>
        <w:t>1990-2000</w:t>
      </w:r>
      <w:r>
        <w:rPr>
          <w:rFonts w:hint="eastAsia"/>
        </w:rPr>
        <w:t>年经济及社会指标》中社会保险监督局和社会保险标准化协会栏下的数字。</w:t>
      </w:r>
    </w:p>
  </w:footnote>
  <w:footnote w:id="116">
    <w:p w:rsidR="00000000" w:rsidRDefault="009C1C61">
      <w:pPr>
        <w:pStyle w:val="FootnoteText"/>
        <w:spacing w:line="240" w:lineRule="auto"/>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号政令法第</w:t>
      </w:r>
      <w:r>
        <w:rPr>
          <w:rFonts w:hint="eastAsia"/>
        </w:rPr>
        <w:t>61</w:t>
      </w:r>
      <w:r>
        <w:rPr>
          <w:rFonts w:hint="eastAsia"/>
        </w:rPr>
        <w:t>条。</w:t>
      </w:r>
    </w:p>
  </w:footnote>
  <w:footnote w:id="117">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73</w:t>
      </w:r>
      <w:r>
        <w:rPr>
          <w:rFonts w:hint="eastAsia"/>
        </w:rPr>
        <w:t>条起。</w:t>
      </w:r>
    </w:p>
  </w:footnote>
  <w:footnote w:id="118">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规合</w:t>
      </w:r>
      <w:r>
        <w:rPr>
          <w:rFonts w:hint="eastAsia"/>
        </w:rPr>
        <w:t>部的《</w:t>
      </w:r>
      <w:r>
        <w:rPr>
          <w:rFonts w:hint="eastAsia"/>
        </w:rPr>
        <w:t>1990-2000</w:t>
      </w:r>
      <w:r>
        <w:rPr>
          <w:rFonts w:hint="eastAsia"/>
        </w:rPr>
        <w:t>年经济及社会指标》中社会保险监督局和社会保险标准化协会栏下的数字。</w:t>
      </w:r>
    </w:p>
  </w:footnote>
  <w:footnote w:id="11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10,383</w:t>
      </w:r>
      <w:r>
        <w:rPr>
          <w:rFonts w:hint="eastAsia"/>
        </w:rPr>
        <w:t>号法令。</w:t>
      </w:r>
    </w:p>
  </w:footnote>
  <w:footnote w:id="120">
    <w:p w:rsidR="00000000" w:rsidRDefault="009C1C61">
      <w:pPr>
        <w:pStyle w:val="FootnoteText"/>
        <w:spacing w:line="240" w:lineRule="auto"/>
      </w:pPr>
      <w:r>
        <w:rPr>
          <w:rStyle w:val="FootnoteReference"/>
        </w:rPr>
        <w:footnoteRef/>
      </w:r>
      <w:r>
        <w:t xml:space="preserve"> </w:t>
      </w:r>
      <w:r>
        <w:rPr>
          <w:rFonts w:hint="eastAsia"/>
        </w:rPr>
        <w:tab/>
        <w:t>1998</w:t>
      </w:r>
      <w:r>
        <w:rPr>
          <w:rFonts w:hint="eastAsia"/>
        </w:rPr>
        <w:t>年第</w:t>
      </w:r>
      <w:r>
        <w:rPr>
          <w:rFonts w:hint="eastAsia"/>
        </w:rPr>
        <w:t>3,500</w:t>
      </w:r>
      <w:r>
        <w:rPr>
          <w:rFonts w:hint="eastAsia"/>
        </w:rPr>
        <w:t>号政令法第</w:t>
      </w:r>
      <w:r>
        <w:rPr>
          <w:rFonts w:hint="eastAsia"/>
        </w:rPr>
        <w:t>4</w:t>
      </w:r>
      <w:r>
        <w:rPr>
          <w:rFonts w:hint="eastAsia"/>
        </w:rPr>
        <w:t>条。</w:t>
      </w:r>
    </w:p>
  </w:footnote>
  <w:footnote w:id="12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11</w:t>
      </w:r>
      <w:r>
        <w:rPr>
          <w:rFonts w:hint="eastAsia"/>
        </w:rPr>
        <w:t>条。</w:t>
      </w:r>
    </w:p>
  </w:footnote>
  <w:footnote w:id="122">
    <w:p w:rsidR="00000000" w:rsidRDefault="009C1C61">
      <w:pPr>
        <w:pStyle w:val="FootnoteText"/>
        <w:spacing w:line="312" w:lineRule="auto"/>
        <w:rPr>
          <w:rFonts w:hint="eastAsia"/>
        </w:rPr>
      </w:pPr>
      <w:r>
        <w:rPr>
          <w:rStyle w:val="FootnoteReference"/>
        </w:rPr>
        <w:footnoteRef/>
      </w:r>
      <w:r>
        <w:t xml:space="preserve"> </w:t>
      </w:r>
      <w:r>
        <w:rPr>
          <w:rFonts w:hint="eastAsia"/>
        </w:rPr>
        <w:tab/>
      </w:r>
      <w:r>
        <w:rPr>
          <w:rFonts w:hint="eastAsia"/>
        </w:rPr>
        <w:t>第</w:t>
      </w:r>
      <w:r>
        <w:rPr>
          <w:rFonts w:hint="eastAsia"/>
        </w:rPr>
        <w:t>10,383</w:t>
      </w:r>
      <w:r>
        <w:rPr>
          <w:rFonts w:hint="eastAsia"/>
        </w:rPr>
        <w:t>号法令第</w:t>
      </w:r>
      <w:r>
        <w:rPr>
          <w:rFonts w:hint="eastAsia"/>
        </w:rPr>
        <w:t>34</w:t>
      </w:r>
      <w:r>
        <w:rPr>
          <w:rFonts w:hint="eastAsia"/>
        </w:rPr>
        <w:t>条。</w:t>
      </w:r>
    </w:p>
  </w:footnote>
  <w:footnote w:id="123">
    <w:p w:rsidR="00000000" w:rsidRDefault="009C1C61">
      <w:pPr>
        <w:pStyle w:val="FootnoteText"/>
        <w:spacing w:line="312" w:lineRule="auto"/>
        <w:rPr>
          <w:rFonts w:hint="eastAsia"/>
        </w:rPr>
      </w:pPr>
      <w:r>
        <w:rPr>
          <w:rStyle w:val="FootnoteReference"/>
        </w:rPr>
        <w:footnoteRef/>
      </w:r>
      <w:r>
        <w:t xml:space="preserve"> </w:t>
      </w:r>
      <w:r>
        <w:rPr>
          <w:rFonts w:hint="eastAsia"/>
        </w:rPr>
        <w:tab/>
        <w:t>1952</w:t>
      </w:r>
      <w:r>
        <w:rPr>
          <w:rFonts w:hint="eastAsia"/>
        </w:rPr>
        <w:t>年</w:t>
      </w:r>
      <w:r>
        <w:rPr>
          <w:rFonts w:hint="eastAsia"/>
        </w:rPr>
        <w:t>9</w:t>
      </w:r>
      <w:r>
        <w:rPr>
          <w:rFonts w:hint="eastAsia"/>
        </w:rPr>
        <w:t>月</w:t>
      </w:r>
      <w:r>
        <w:rPr>
          <w:rFonts w:hint="eastAsia"/>
        </w:rPr>
        <w:t>8</w:t>
      </w:r>
      <w:r>
        <w:rPr>
          <w:rFonts w:hint="eastAsia"/>
        </w:rPr>
        <w:t>日第</w:t>
      </w:r>
      <w:r>
        <w:rPr>
          <w:rFonts w:hint="eastAsia"/>
        </w:rPr>
        <w:t>10,475</w:t>
      </w:r>
      <w:r>
        <w:rPr>
          <w:rFonts w:hint="eastAsia"/>
        </w:rPr>
        <w:t>号法令第</w:t>
      </w:r>
      <w:r>
        <w:rPr>
          <w:rFonts w:hint="eastAsia"/>
        </w:rPr>
        <w:t>21</w:t>
      </w:r>
      <w:r>
        <w:rPr>
          <w:rFonts w:hint="eastAsia"/>
        </w:rPr>
        <w:t>条。</w:t>
      </w:r>
    </w:p>
  </w:footnote>
  <w:footnote w:id="124">
    <w:p w:rsidR="00000000" w:rsidRDefault="009C1C61">
      <w:pPr>
        <w:pStyle w:val="FootnoteText"/>
        <w:spacing w:line="312" w:lineRule="auto"/>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号政令法第五节。</w:t>
      </w:r>
    </w:p>
  </w:footnote>
  <w:footnote w:id="125">
    <w:p w:rsidR="00000000" w:rsidRDefault="009C1C61">
      <w:pPr>
        <w:pStyle w:val="FootnoteText"/>
        <w:spacing w:line="312" w:lineRule="auto"/>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号政令法第七节。</w:t>
      </w:r>
    </w:p>
  </w:footnote>
  <w:footnote w:id="126">
    <w:p w:rsidR="00000000" w:rsidRDefault="009C1C61">
      <w:pPr>
        <w:pStyle w:val="FootnoteText"/>
        <w:rPr>
          <w:rFonts w:hint="eastAsia"/>
        </w:rPr>
      </w:pPr>
      <w:r>
        <w:rPr>
          <w:rStyle w:val="FootnoteReference"/>
        </w:rPr>
        <w:footnoteRef/>
      </w:r>
      <w:r>
        <w:t xml:space="preserve"> </w:t>
      </w:r>
      <w:r>
        <w:rPr>
          <w:rFonts w:hint="eastAsia"/>
        </w:rPr>
        <w:tab/>
        <w:t>1975</w:t>
      </w:r>
      <w:r>
        <w:rPr>
          <w:rFonts w:hint="eastAsia"/>
        </w:rPr>
        <w:t>年</w:t>
      </w:r>
      <w:r>
        <w:rPr>
          <w:rFonts w:hint="eastAsia"/>
        </w:rPr>
        <w:t>1</w:t>
      </w:r>
      <w:r>
        <w:rPr>
          <w:rFonts w:hint="eastAsia"/>
        </w:rPr>
        <w:t>月第</w:t>
      </w:r>
      <w:r>
        <w:rPr>
          <w:rFonts w:hint="eastAsia"/>
        </w:rPr>
        <w:t>15,386</w:t>
      </w:r>
      <w:r>
        <w:rPr>
          <w:rFonts w:hint="eastAsia"/>
        </w:rPr>
        <w:t>号法令第</w:t>
      </w:r>
      <w:r>
        <w:rPr>
          <w:rFonts w:hint="eastAsia"/>
        </w:rPr>
        <w:t>26</w:t>
      </w:r>
      <w:r>
        <w:rPr>
          <w:rFonts w:hint="eastAsia"/>
        </w:rPr>
        <w:t>条第</w:t>
      </w:r>
      <w:r>
        <w:rPr>
          <w:rFonts w:hint="eastAsia"/>
        </w:rPr>
        <w:t xml:space="preserve"> (2)</w:t>
      </w:r>
      <w:r>
        <w:rPr>
          <w:rFonts w:hint="eastAsia"/>
        </w:rPr>
        <w:t>款。</w:t>
      </w:r>
    </w:p>
  </w:footnote>
  <w:footnote w:id="127">
    <w:p w:rsidR="00000000" w:rsidRDefault="009C1C61">
      <w:pPr>
        <w:pStyle w:val="FootnoteText"/>
        <w:spacing w:line="240" w:lineRule="auto"/>
        <w:rPr>
          <w:rFonts w:hint="eastAsia"/>
        </w:rPr>
      </w:pPr>
      <w:r>
        <w:rPr>
          <w:rStyle w:val="FootnoteReference"/>
        </w:rPr>
        <w:footnoteRef/>
      </w:r>
      <w:r>
        <w:t xml:space="preserve"> </w:t>
      </w:r>
      <w:r>
        <w:rPr>
          <w:rFonts w:hint="eastAsia"/>
        </w:rPr>
        <w:tab/>
        <w:t>1980</w:t>
      </w:r>
      <w:r>
        <w:rPr>
          <w:rFonts w:hint="eastAsia"/>
        </w:rPr>
        <w:t>年第</w:t>
      </w:r>
      <w:r>
        <w:rPr>
          <w:rFonts w:hint="eastAsia"/>
        </w:rPr>
        <w:t>3,500</w:t>
      </w:r>
      <w:r>
        <w:rPr>
          <w:rFonts w:hint="eastAsia"/>
        </w:rPr>
        <w:t>号政令法第</w:t>
      </w:r>
      <w:r>
        <w:rPr>
          <w:rFonts w:hint="eastAsia"/>
        </w:rPr>
        <w:t>6</w:t>
      </w:r>
      <w:r>
        <w:rPr>
          <w:rFonts w:hint="eastAsia"/>
        </w:rPr>
        <w:t>条。</w:t>
      </w:r>
    </w:p>
  </w:footnote>
  <w:footnote w:id="128">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7</w:t>
      </w:r>
      <w:r>
        <w:rPr>
          <w:rFonts w:hint="eastAsia"/>
        </w:rPr>
        <w:t>条。</w:t>
      </w:r>
    </w:p>
  </w:footnote>
  <w:footnote w:id="12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8</w:t>
      </w:r>
      <w:r>
        <w:rPr>
          <w:rFonts w:hint="eastAsia"/>
        </w:rPr>
        <w:t>条。</w:t>
      </w:r>
    </w:p>
  </w:footnote>
  <w:footnote w:id="130">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9</w:t>
      </w:r>
      <w:r>
        <w:rPr>
          <w:rFonts w:hint="eastAsia"/>
        </w:rPr>
        <w:t>条。</w:t>
      </w:r>
    </w:p>
  </w:footnote>
  <w:footnote w:id="13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58</w:t>
      </w:r>
      <w:r>
        <w:rPr>
          <w:rFonts w:hint="eastAsia"/>
        </w:rPr>
        <w:t>条。</w:t>
      </w:r>
    </w:p>
  </w:footnote>
  <w:footnote w:id="132">
    <w:p w:rsidR="00000000" w:rsidRDefault="009C1C61">
      <w:pPr>
        <w:pStyle w:val="FootnoteText"/>
        <w:spacing w:line="240" w:lineRule="auto"/>
        <w:rPr>
          <w:rFonts w:hint="eastAsia"/>
        </w:rPr>
      </w:pPr>
      <w:r>
        <w:rPr>
          <w:rStyle w:val="FootnoteReference"/>
        </w:rPr>
        <w:footnoteRef/>
      </w:r>
      <w:r>
        <w:t xml:space="preserve"> </w:t>
      </w:r>
      <w:r>
        <w:rPr>
          <w:rFonts w:hint="eastAsia"/>
        </w:rPr>
        <w:tab/>
        <w:t>1986</w:t>
      </w:r>
      <w:r>
        <w:rPr>
          <w:rFonts w:hint="eastAsia"/>
        </w:rPr>
        <w:t>年第</w:t>
      </w:r>
      <w:r>
        <w:rPr>
          <w:rFonts w:hint="eastAsia"/>
        </w:rPr>
        <w:t>16,744</w:t>
      </w:r>
      <w:r>
        <w:rPr>
          <w:rFonts w:hint="eastAsia"/>
        </w:rPr>
        <w:t>号法令。</w:t>
      </w:r>
    </w:p>
  </w:footnote>
  <w:footnote w:id="133">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2</w:t>
      </w:r>
      <w:r>
        <w:rPr>
          <w:rFonts w:hint="eastAsia"/>
        </w:rPr>
        <w:t>条。</w:t>
      </w:r>
    </w:p>
  </w:footnote>
  <w:footnote w:id="134">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19,345</w:t>
      </w:r>
      <w:r>
        <w:rPr>
          <w:rFonts w:hint="eastAsia"/>
        </w:rPr>
        <w:t>号法令。</w:t>
      </w:r>
    </w:p>
  </w:footnote>
  <w:footnote w:id="135">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16,744</w:t>
      </w:r>
      <w:r>
        <w:rPr>
          <w:rFonts w:hint="eastAsia"/>
        </w:rPr>
        <w:t>号法令第</w:t>
      </w:r>
      <w:r>
        <w:rPr>
          <w:rFonts w:hint="eastAsia"/>
        </w:rPr>
        <w:t>2</w:t>
      </w:r>
      <w:r>
        <w:rPr>
          <w:rFonts w:hint="eastAsia"/>
        </w:rPr>
        <w:t>条最后分段。</w:t>
      </w:r>
    </w:p>
  </w:footnote>
  <w:footnote w:id="136">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16,744</w:t>
      </w:r>
      <w:r>
        <w:rPr>
          <w:rFonts w:hint="eastAsia"/>
        </w:rPr>
        <w:t>号法令。适用于补充保险交费的豁免、折扣和额外付款程序是在</w:t>
      </w:r>
      <w:r>
        <w:rPr>
          <w:rFonts w:hint="eastAsia"/>
        </w:rPr>
        <w:t>1999</w:t>
      </w:r>
      <w:r>
        <w:rPr>
          <w:rFonts w:hint="eastAsia"/>
        </w:rPr>
        <w:t>年的第</w:t>
      </w:r>
      <w:r>
        <w:rPr>
          <w:rFonts w:hint="eastAsia"/>
        </w:rPr>
        <w:t>6</w:t>
      </w:r>
      <w:r>
        <w:rPr>
          <w:rFonts w:hint="eastAsia"/>
        </w:rPr>
        <w:t>号最高政令中确立的，该法令由劳工和社会保障部于</w:t>
      </w:r>
      <w:r>
        <w:rPr>
          <w:rFonts w:hint="eastAsia"/>
        </w:rPr>
        <w:t>2000</w:t>
      </w:r>
      <w:r>
        <w:rPr>
          <w:rFonts w:hint="eastAsia"/>
        </w:rPr>
        <w:t>年</w:t>
      </w:r>
      <w:r>
        <w:rPr>
          <w:rFonts w:hint="eastAsia"/>
        </w:rPr>
        <w:t>3</w:t>
      </w:r>
      <w:r>
        <w:rPr>
          <w:rFonts w:hint="eastAsia"/>
        </w:rPr>
        <w:t>月</w:t>
      </w:r>
      <w:r>
        <w:rPr>
          <w:rFonts w:hint="eastAsia"/>
        </w:rPr>
        <w:t>7</w:t>
      </w:r>
      <w:r>
        <w:rPr>
          <w:rFonts w:hint="eastAsia"/>
        </w:rPr>
        <w:t>日发表的官方公告中所提出的。</w:t>
      </w:r>
    </w:p>
  </w:footnote>
  <w:footnote w:id="137">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指导公共和私营部门工作人员的解雇福利的这一制度各项规则已在劳工和社会保障部所颁布的</w:t>
      </w:r>
      <w:r>
        <w:rPr>
          <w:rFonts w:hint="eastAsia"/>
        </w:rPr>
        <w:t>1981</w:t>
      </w:r>
      <w:r>
        <w:rPr>
          <w:rFonts w:hint="eastAsia"/>
        </w:rPr>
        <w:t>年第</w:t>
      </w:r>
      <w:r>
        <w:rPr>
          <w:rFonts w:hint="eastAsia"/>
        </w:rPr>
        <w:t>150</w:t>
      </w:r>
      <w:r>
        <w:rPr>
          <w:rFonts w:hint="eastAsia"/>
        </w:rPr>
        <w:t>号政令法中重新起草、协调并加以系</w:t>
      </w:r>
      <w:r>
        <w:rPr>
          <w:rFonts w:hint="eastAsia"/>
        </w:rPr>
        <w:t>统化。</w:t>
      </w:r>
    </w:p>
  </w:footnote>
  <w:footnote w:id="138">
    <w:p w:rsidR="00000000" w:rsidRDefault="009C1C61">
      <w:pPr>
        <w:pStyle w:val="FootnoteText"/>
        <w:spacing w:line="312" w:lineRule="auto"/>
        <w:rPr>
          <w:rFonts w:hint="eastAsia"/>
        </w:rPr>
      </w:pPr>
      <w:r>
        <w:rPr>
          <w:rStyle w:val="FootnoteReference"/>
        </w:rPr>
        <w:footnoteRef/>
      </w:r>
      <w:r>
        <w:t xml:space="preserve"> </w:t>
      </w:r>
      <w:r>
        <w:rPr>
          <w:rFonts w:hint="eastAsia"/>
        </w:rPr>
        <w:tab/>
      </w:r>
      <w:r>
        <w:rPr>
          <w:rFonts w:hint="eastAsia"/>
        </w:rPr>
        <w:t>根据</w:t>
      </w:r>
      <w:r>
        <w:rPr>
          <w:rFonts w:hint="eastAsia"/>
        </w:rPr>
        <w:t>1980</w:t>
      </w:r>
      <w:r>
        <w:rPr>
          <w:rFonts w:hint="eastAsia"/>
        </w:rPr>
        <w:t>年第</w:t>
      </w:r>
      <w:r>
        <w:rPr>
          <w:rFonts w:hint="eastAsia"/>
        </w:rPr>
        <w:t>3500</w:t>
      </w:r>
      <w:r>
        <w:rPr>
          <w:rFonts w:hint="eastAsia"/>
        </w:rPr>
        <w:t>号政令法第</w:t>
      </w:r>
      <w:r>
        <w:rPr>
          <w:rFonts w:hint="eastAsia"/>
        </w:rPr>
        <w:t>91</w:t>
      </w:r>
      <w:r>
        <w:rPr>
          <w:rFonts w:hint="eastAsia"/>
        </w:rPr>
        <w:t>条的规定。</w:t>
      </w:r>
    </w:p>
  </w:footnote>
  <w:footnote w:id="139">
    <w:p w:rsidR="00000000" w:rsidRDefault="009C1C61">
      <w:pPr>
        <w:pStyle w:val="FootnoteText"/>
        <w:spacing w:line="312" w:lineRule="auto"/>
        <w:rPr>
          <w:rFonts w:hint="eastAsia"/>
        </w:rPr>
      </w:pPr>
      <w:r>
        <w:rPr>
          <w:rStyle w:val="FootnoteReference"/>
        </w:rPr>
        <w:footnoteRef/>
      </w:r>
      <w:r>
        <w:t xml:space="preserve"> </w:t>
      </w:r>
      <w:r>
        <w:rPr>
          <w:rFonts w:hint="eastAsia"/>
        </w:rPr>
        <w:tab/>
      </w:r>
      <w:r>
        <w:rPr>
          <w:rFonts w:hint="eastAsia"/>
        </w:rPr>
        <w:t>同上第</w:t>
      </w:r>
      <w:r>
        <w:rPr>
          <w:rFonts w:hint="eastAsia"/>
        </w:rPr>
        <w:t>6</w:t>
      </w:r>
      <w:r>
        <w:rPr>
          <w:rFonts w:hint="eastAsia"/>
        </w:rPr>
        <w:t>条。</w:t>
      </w:r>
    </w:p>
  </w:footnote>
  <w:footnote w:id="140">
    <w:p w:rsidR="00000000" w:rsidRDefault="009C1C61">
      <w:pPr>
        <w:pStyle w:val="FootnoteText"/>
        <w:spacing w:line="312" w:lineRule="auto"/>
        <w:rPr>
          <w:rFonts w:hint="eastAsia"/>
        </w:rPr>
      </w:pPr>
      <w:r>
        <w:rPr>
          <w:rStyle w:val="FootnoteReference"/>
        </w:rPr>
        <w:footnoteRef/>
      </w:r>
      <w:r>
        <w:t xml:space="preserve"> </w:t>
      </w:r>
      <w:r>
        <w:rPr>
          <w:rFonts w:hint="eastAsia"/>
        </w:rPr>
        <w:tab/>
      </w:r>
      <w:r>
        <w:rPr>
          <w:rFonts w:hint="eastAsia"/>
        </w:rPr>
        <w:t>根据第</w:t>
      </w:r>
      <w:r>
        <w:rPr>
          <w:rFonts w:hint="eastAsia"/>
        </w:rPr>
        <w:t>19,429</w:t>
      </w:r>
      <w:r>
        <w:rPr>
          <w:rFonts w:hint="eastAsia"/>
        </w:rPr>
        <w:t>号法令。</w:t>
      </w:r>
    </w:p>
  </w:footnote>
  <w:footnote w:id="141">
    <w:p w:rsidR="00000000" w:rsidRDefault="009C1C61">
      <w:pPr>
        <w:pStyle w:val="FootnoteText"/>
        <w:spacing w:line="312" w:lineRule="auto"/>
        <w:rPr>
          <w:rFonts w:hint="eastAsia"/>
        </w:rPr>
      </w:pPr>
      <w:r>
        <w:rPr>
          <w:rStyle w:val="FootnoteReference"/>
        </w:rPr>
        <w:footnoteRef/>
      </w:r>
      <w:r>
        <w:t xml:space="preserve"> </w:t>
      </w:r>
      <w:r>
        <w:rPr>
          <w:rFonts w:hint="eastAsia"/>
        </w:rPr>
        <w:tab/>
      </w:r>
      <w:r>
        <w:rPr>
          <w:rFonts w:hint="eastAsia"/>
        </w:rPr>
        <w:t>在规划与合作部《</w:t>
      </w:r>
      <w:r>
        <w:rPr>
          <w:rFonts w:hint="eastAsia"/>
        </w:rPr>
        <w:t>1990</w:t>
      </w:r>
      <w:r>
        <w:rPr>
          <w:rFonts w:hint="eastAsia"/>
        </w:rPr>
        <w:t>年至</w:t>
      </w:r>
      <w:r>
        <w:rPr>
          <w:rFonts w:hint="eastAsia"/>
        </w:rPr>
        <w:t>2000</w:t>
      </w:r>
      <w:r>
        <w:rPr>
          <w:rFonts w:hint="eastAsia"/>
        </w:rPr>
        <w:t>年经济及社会指标》中社会保障部门仲裁办公室提出的数字。</w:t>
      </w:r>
    </w:p>
  </w:footnote>
  <w:footnote w:id="142">
    <w:p w:rsidR="00000000" w:rsidRDefault="009C1C61">
      <w:pPr>
        <w:pStyle w:val="FootnoteText"/>
        <w:spacing w:line="312" w:lineRule="auto"/>
        <w:rPr>
          <w:rFonts w:hint="eastAsia"/>
        </w:rPr>
      </w:pPr>
      <w:r>
        <w:rPr>
          <w:rStyle w:val="FootnoteReference"/>
        </w:rPr>
        <w:footnoteRef/>
      </w:r>
      <w:r>
        <w:t xml:space="preserve"> </w:t>
      </w:r>
      <w:r>
        <w:rPr>
          <w:rFonts w:hint="eastAsia"/>
        </w:rPr>
        <w:tab/>
        <w:t>1981</w:t>
      </w:r>
      <w:r>
        <w:rPr>
          <w:rFonts w:hint="eastAsia"/>
        </w:rPr>
        <w:t>年第</w:t>
      </w:r>
      <w:r>
        <w:rPr>
          <w:rFonts w:hint="eastAsia"/>
        </w:rPr>
        <w:t>150</w:t>
      </w:r>
      <w:r>
        <w:rPr>
          <w:rFonts w:hint="eastAsia"/>
        </w:rPr>
        <w:t>号立法令第</w:t>
      </w:r>
      <w:r>
        <w:rPr>
          <w:rFonts w:hint="eastAsia"/>
        </w:rPr>
        <w:t>20</w:t>
      </w:r>
      <w:r>
        <w:rPr>
          <w:rFonts w:hint="eastAsia"/>
        </w:rPr>
        <w:t>条。</w:t>
      </w:r>
    </w:p>
  </w:footnote>
  <w:footnote w:id="143">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关于这一系统的规则在</w:t>
      </w:r>
      <w:r>
        <w:rPr>
          <w:rFonts w:hint="eastAsia"/>
        </w:rPr>
        <w:t>1974</w:t>
      </w:r>
      <w:r>
        <w:rPr>
          <w:rFonts w:hint="eastAsia"/>
        </w:rPr>
        <w:t>年第</w:t>
      </w:r>
      <w:r>
        <w:rPr>
          <w:rFonts w:hint="eastAsia"/>
        </w:rPr>
        <w:t>307</w:t>
      </w:r>
      <w:r>
        <w:rPr>
          <w:rFonts w:hint="eastAsia"/>
        </w:rPr>
        <w:t>号政令法中重新起草并加以协调与系统化，后由</w:t>
      </w:r>
      <w:r>
        <w:rPr>
          <w:rFonts w:hint="eastAsia"/>
        </w:rPr>
        <w:t>1981</w:t>
      </w:r>
      <w:r>
        <w:rPr>
          <w:rFonts w:hint="eastAsia"/>
        </w:rPr>
        <w:t>年第</w:t>
      </w:r>
      <w:r>
        <w:rPr>
          <w:rFonts w:hint="eastAsia"/>
        </w:rPr>
        <w:t>150</w:t>
      </w:r>
      <w:r>
        <w:rPr>
          <w:rFonts w:hint="eastAsia"/>
        </w:rPr>
        <w:t>号立法令所确定并由劳工和社会保障部颁发。</w:t>
      </w:r>
    </w:p>
  </w:footnote>
  <w:footnote w:id="144">
    <w:p w:rsidR="00000000" w:rsidRDefault="009C1C61">
      <w:pPr>
        <w:pStyle w:val="FootnoteText"/>
        <w:spacing w:line="240" w:lineRule="auto"/>
        <w:rPr>
          <w:rFonts w:hint="eastAsia"/>
        </w:rPr>
      </w:pPr>
      <w:r>
        <w:rPr>
          <w:rStyle w:val="FootnoteReference"/>
        </w:rPr>
        <w:footnoteRef/>
      </w:r>
      <w:r>
        <w:t xml:space="preserve"> </w:t>
      </w:r>
      <w:r>
        <w:rPr>
          <w:rFonts w:hint="eastAsia"/>
        </w:rPr>
        <w:tab/>
        <w:t>1963</w:t>
      </w:r>
      <w:r>
        <w:rPr>
          <w:rFonts w:hint="eastAsia"/>
        </w:rPr>
        <w:t>年</w:t>
      </w:r>
      <w:r>
        <w:rPr>
          <w:rFonts w:hint="eastAsia"/>
        </w:rPr>
        <w:t>12</w:t>
      </w:r>
      <w:r>
        <w:rPr>
          <w:rFonts w:hint="eastAsia"/>
        </w:rPr>
        <w:t>月</w:t>
      </w:r>
      <w:r>
        <w:rPr>
          <w:rFonts w:hint="eastAsia"/>
        </w:rPr>
        <w:t>11</w:t>
      </w:r>
      <w:r>
        <w:rPr>
          <w:rFonts w:hint="eastAsia"/>
        </w:rPr>
        <w:t>日第</w:t>
      </w:r>
      <w:r>
        <w:rPr>
          <w:rFonts w:hint="eastAsia"/>
        </w:rPr>
        <w:t>15,386</w:t>
      </w:r>
      <w:r>
        <w:rPr>
          <w:rFonts w:hint="eastAsia"/>
        </w:rPr>
        <w:t>号法令第</w:t>
      </w:r>
      <w:r>
        <w:rPr>
          <w:rFonts w:hint="eastAsia"/>
        </w:rPr>
        <w:t>28</w:t>
      </w:r>
      <w:r>
        <w:rPr>
          <w:rFonts w:hint="eastAsia"/>
        </w:rPr>
        <w:t>条；</w:t>
      </w:r>
      <w:r>
        <w:rPr>
          <w:rFonts w:hint="eastAsia"/>
        </w:rPr>
        <w:t>1980</w:t>
      </w:r>
      <w:r>
        <w:rPr>
          <w:rFonts w:hint="eastAsia"/>
        </w:rPr>
        <w:t>年第</w:t>
      </w:r>
      <w:r>
        <w:rPr>
          <w:rFonts w:hint="eastAsia"/>
        </w:rPr>
        <w:t>3,500</w:t>
      </w:r>
      <w:r>
        <w:rPr>
          <w:rFonts w:hint="eastAsia"/>
        </w:rPr>
        <w:t>号政令法第</w:t>
      </w:r>
      <w:r>
        <w:rPr>
          <w:rFonts w:hint="eastAsia"/>
        </w:rPr>
        <w:t>5</w:t>
      </w:r>
      <w:r>
        <w:rPr>
          <w:rFonts w:hint="eastAsia"/>
        </w:rPr>
        <w:t>条；工伤事故和</w:t>
      </w:r>
      <w:r>
        <w:rPr>
          <w:rFonts w:hint="eastAsia"/>
        </w:rPr>
        <w:t>职业病法令第</w:t>
      </w:r>
      <w:r>
        <w:rPr>
          <w:rFonts w:hint="eastAsia"/>
        </w:rPr>
        <w:t>45</w:t>
      </w:r>
      <w:r>
        <w:rPr>
          <w:rFonts w:hint="eastAsia"/>
        </w:rPr>
        <w:t>条。</w:t>
      </w:r>
    </w:p>
  </w:footnote>
  <w:footnote w:id="145">
    <w:p w:rsidR="00000000" w:rsidRDefault="009C1C61">
      <w:pPr>
        <w:pStyle w:val="FootnoteText"/>
        <w:spacing w:line="240" w:lineRule="auto"/>
        <w:rPr>
          <w:rFonts w:hint="eastAsia"/>
        </w:rPr>
      </w:pPr>
      <w:r>
        <w:rPr>
          <w:rStyle w:val="FootnoteReference"/>
        </w:rPr>
        <w:footnoteRef/>
      </w:r>
      <w:r>
        <w:t xml:space="preserve"> </w:t>
      </w:r>
      <w:r>
        <w:rPr>
          <w:rFonts w:hint="eastAsia"/>
        </w:rPr>
        <w:tab/>
        <w:t>1983</w:t>
      </w:r>
      <w:r>
        <w:rPr>
          <w:rFonts w:hint="eastAsia"/>
        </w:rPr>
        <w:t>年</w:t>
      </w:r>
      <w:r>
        <w:rPr>
          <w:rFonts w:hint="eastAsia"/>
        </w:rPr>
        <w:t>6</w:t>
      </w:r>
      <w:r>
        <w:rPr>
          <w:rFonts w:hint="eastAsia"/>
        </w:rPr>
        <w:t>月</w:t>
      </w:r>
      <w:r>
        <w:rPr>
          <w:rFonts w:hint="eastAsia"/>
        </w:rPr>
        <w:t>28</w:t>
      </w:r>
      <w:r>
        <w:rPr>
          <w:rFonts w:hint="eastAsia"/>
        </w:rPr>
        <w:t>日第</w:t>
      </w:r>
      <w:r>
        <w:rPr>
          <w:rFonts w:hint="eastAsia"/>
        </w:rPr>
        <w:t>18,225</w:t>
      </w:r>
      <w:r>
        <w:rPr>
          <w:rFonts w:hint="eastAsia"/>
        </w:rPr>
        <w:t>号法令。</w:t>
      </w:r>
    </w:p>
  </w:footnote>
  <w:footnote w:id="146">
    <w:p w:rsidR="00000000" w:rsidRDefault="009C1C61">
      <w:pPr>
        <w:pStyle w:val="FootnoteText"/>
        <w:rPr>
          <w:rFonts w:hint="eastAsia"/>
        </w:rPr>
      </w:pPr>
      <w:r>
        <w:rPr>
          <w:rStyle w:val="FootnoteReference"/>
        </w:rPr>
        <w:footnoteRef/>
      </w:r>
      <w:r>
        <w:t xml:space="preserve"> </w:t>
      </w:r>
      <w:r>
        <w:rPr>
          <w:rFonts w:hint="eastAsia"/>
        </w:rPr>
        <w:tab/>
        <w:t>1989</w:t>
      </w:r>
      <w:r>
        <w:rPr>
          <w:rFonts w:hint="eastAsia"/>
        </w:rPr>
        <w:t>年</w:t>
      </w:r>
      <w:r>
        <w:rPr>
          <w:rFonts w:hint="eastAsia"/>
        </w:rPr>
        <w:t>6</w:t>
      </w:r>
      <w:r>
        <w:rPr>
          <w:rFonts w:hint="eastAsia"/>
        </w:rPr>
        <w:t>月</w:t>
      </w:r>
      <w:r>
        <w:rPr>
          <w:rFonts w:hint="eastAsia"/>
        </w:rPr>
        <w:t>19</w:t>
      </w:r>
      <w:r>
        <w:rPr>
          <w:rFonts w:hint="eastAsia"/>
        </w:rPr>
        <w:t>日第</w:t>
      </w:r>
      <w:r>
        <w:rPr>
          <w:rFonts w:hint="eastAsia"/>
        </w:rPr>
        <w:t>18,806</w:t>
      </w:r>
      <w:r>
        <w:rPr>
          <w:rFonts w:hint="eastAsia"/>
        </w:rPr>
        <w:t>号法令第</w:t>
      </w:r>
      <w:r>
        <w:rPr>
          <w:rFonts w:hint="eastAsia"/>
        </w:rPr>
        <w:t>4</w:t>
      </w:r>
      <w:r>
        <w:rPr>
          <w:rFonts w:hint="eastAsia"/>
        </w:rPr>
        <w:t>条第</w:t>
      </w:r>
      <w:r>
        <w:rPr>
          <w:rFonts w:hint="eastAsia"/>
        </w:rPr>
        <w:t>(1)</w:t>
      </w:r>
      <w:r>
        <w:rPr>
          <w:rFonts w:hint="eastAsia"/>
        </w:rPr>
        <w:t>款。</w:t>
      </w:r>
    </w:p>
  </w:footnote>
  <w:footnote w:id="147">
    <w:p w:rsidR="00000000" w:rsidRDefault="009C1C61">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5</w:t>
      </w:r>
      <w:r>
        <w:rPr>
          <w:rFonts w:hint="eastAsia"/>
        </w:rPr>
        <w:t>条。</w:t>
      </w:r>
    </w:p>
  </w:footnote>
  <w:footnote w:id="148">
    <w:p w:rsidR="00000000" w:rsidRDefault="009C1C61">
      <w:pPr>
        <w:pStyle w:val="FootnoteText"/>
        <w:rPr>
          <w:rFonts w:hint="eastAsia"/>
        </w:rPr>
      </w:pPr>
      <w:r>
        <w:rPr>
          <w:rStyle w:val="FootnoteReference"/>
        </w:rPr>
        <w:footnoteRef/>
      </w:r>
      <w:r>
        <w:t xml:space="preserve"> </w:t>
      </w:r>
      <w:r>
        <w:rPr>
          <w:rFonts w:hint="eastAsia"/>
        </w:rPr>
        <w:tab/>
        <w:t>1990</w:t>
      </w:r>
      <w:r>
        <w:rPr>
          <w:rFonts w:hint="eastAsia"/>
        </w:rPr>
        <w:t>年</w:t>
      </w:r>
      <w:r>
        <w:rPr>
          <w:rFonts w:hint="eastAsia"/>
        </w:rPr>
        <w:t>7</w:t>
      </w:r>
      <w:r>
        <w:rPr>
          <w:rFonts w:hint="eastAsia"/>
        </w:rPr>
        <w:t>月</w:t>
      </w:r>
      <w:r>
        <w:rPr>
          <w:rFonts w:hint="eastAsia"/>
        </w:rPr>
        <w:t>11</w:t>
      </w:r>
      <w:r>
        <w:rPr>
          <w:rFonts w:hint="eastAsia"/>
        </w:rPr>
        <w:t>日第</w:t>
      </w:r>
      <w:r>
        <w:rPr>
          <w:rFonts w:hint="eastAsia"/>
        </w:rPr>
        <w:t>18,987</w:t>
      </w:r>
      <w:r>
        <w:rPr>
          <w:rFonts w:hint="eastAsia"/>
        </w:rPr>
        <w:t>号法令第</w:t>
      </w:r>
      <w:r>
        <w:rPr>
          <w:rFonts w:hint="eastAsia"/>
        </w:rPr>
        <w:t>2</w:t>
      </w:r>
      <w:r>
        <w:rPr>
          <w:rFonts w:hint="eastAsia"/>
        </w:rPr>
        <w:t>条最后一款。</w:t>
      </w:r>
    </w:p>
  </w:footnote>
  <w:footnote w:id="14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14</w:t>
      </w:r>
      <w:r>
        <w:rPr>
          <w:rFonts w:hint="eastAsia"/>
        </w:rPr>
        <w:t>条。</w:t>
      </w:r>
    </w:p>
  </w:footnote>
  <w:footnote w:id="150">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67</w:t>
      </w:r>
      <w:r>
        <w:rPr>
          <w:rFonts w:hint="eastAsia"/>
        </w:rPr>
        <w:t>条。</w:t>
      </w:r>
    </w:p>
  </w:footnote>
  <w:footnote w:id="15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18,987</w:t>
      </w:r>
      <w:r>
        <w:rPr>
          <w:rFonts w:hint="eastAsia"/>
        </w:rPr>
        <w:t>号法令第</w:t>
      </w:r>
      <w:r>
        <w:rPr>
          <w:rFonts w:hint="eastAsia"/>
        </w:rPr>
        <w:t>30</w:t>
      </w:r>
      <w:r>
        <w:rPr>
          <w:rFonts w:hint="eastAsia"/>
        </w:rPr>
        <w:t>条。</w:t>
      </w:r>
    </w:p>
  </w:footnote>
  <w:footnote w:id="152">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同上第</w:t>
      </w:r>
      <w:r>
        <w:rPr>
          <w:rFonts w:hint="eastAsia"/>
        </w:rPr>
        <w:t>20</w:t>
      </w:r>
      <w:r>
        <w:rPr>
          <w:rFonts w:hint="eastAsia"/>
        </w:rPr>
        <w:t>和</w:t>
      </w:r>
      <w:r>
        <w:rPr>
          <w:rFonts w:hint="eastAsia"/>
        </w:rPr>
        <w:t>21</w:t>
      </w:r>
      <w:r>
        <w:rPr>
          <w:rFonts w:hint="eastAsia"/>
        </w:rPr>
        <w:t>条。</w:t>
      </w:r>
    </w:p>
  </w:footnote>
  <w:footnote w:id="153">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社会保险监督局在计划与合作部所著《</w:t>
      </w:r>
      <w:r>
        <w:rPr>
          <w:rFonts w:hint="eastAsia"/>
        </w:rPr>
        <w:t>1990</w:t>
      </w:r>
      <w:r>
        <w:rPr>
          <w:rFonts w:hint="eastAsia"/>
        </w:rPr>
        <w:t>年</w:t>
      </w:r>
      <w:r>
        <w:rPr>
          <w:rFonts w:hint="eastAsia"/>
        </w:rPr>
        <w:t>-2000</w:t>
      </w:r>
      <w:r>
        <w:rPr>
          <w:rFonts w:hint="eastAsia"/>
        </w:rPr>
        <w:t>年经济及社会指标》中提出的数字。</w:t>
      </w:r>
    </w:p>
  </w:footnote>
  <w:footnote w:id="154">
    <w:p w:rsidR="00000000" w:rsidRDefault="009C1C61">
      <w:pPr>
        <w:pStyle w:val="FootnoteText"/>
        <w:spacing w:line="240" w:lineRule="auto"/>
        <w:rPr>
          <w:rFonts w:hint="eastAsia"/>
        </w:rPr>
      </w:pPr>
      <w:r>
        <w:rPr>
          <w:rStyle w:val="FootnoteReference"/>
        </w:rPr>
        <w:footnoteRef/>
      </w:r>
      <w:r>
        <w:t xml:space="preserve"> </w:t>
      </w:r>
      <w:r>
        <w:rPr>
          <w:rFonts w:hint="eastAsia"/>
        </w:rPr>
        <w:tab/>
        <w:t>1981</w:t>
      </w:r>
      <w:r>
        <w:rPr>
          <w:rFonts w:hint="eastAsia"/>
        </w:rPr>
        <w:t>年</w:t>
      </w:r>
      <w:r>
        <w:rPr>
          <w:rFonts w:hint="eastAsia"/>
        </w:rPr>
        <w:t>8</w:t>
      </w:r>
      <w:r>
        <w:rPr>
          <w:rFonts w:hint="eastAsia"/>
        </w:rPr>
        <w:t>月</w:t>
      </w:r>
      <w:r>
        <w:rPr>
          <w:rFonts w:hint="eastAsia"/>
        </w:rPr>
        <w:t>17</w:t>
      </w:r>
      <w:r>
        <w:rPr>
          <w:rFonts w:hint="eastAsia"/>
        </w:rPr>
        <w:t>日第</w:t>
      </w:r>
      <w:r>
        <w:rPr>
          <w:rFonts w:hint="eastAsia"/>
        </w:rPr>
        <w:t>18,020</w:t>
      </w:r>
      <w:r>
        <w:rPr>
          <w:rFonts w:hint="eastAsia"/>
        </w:rPr>
        <w:t>号法令所确立，受到经济部</w:t>
      </w:r>
      <w:r>
        <w:rPr>
          <w:rFonts w:hint="eastAsia"/>
        </w:rPr>
        <w:t>1987</w:t>
      </w:r>
      <w:r>
        <w:rPr>
          <w:rFonts w:hint="eastAsia"/>
        </w:rPr>
        <w:t>年第</w:t>
      </w:r>
      <w:r>
        <w:rPr>
          <w:rFonts w:hint="eastAsia"/>
        </w:rPr>
        <w:t>368</w:t>
      </w:r>
      <w:r>
        <w:rPr>
          <w:rFonts w:hint="eastAsia"/>
        </w:rPr>
        <w:t>最高</w:t>
      </w:r>
      <w:r>
        <w:rPr>
          <w:rFonts w:hint="eastAsia"/>
        </w:rPr>
        <w:t>政令的约束，并受到</w:t>
      </w:r>
      <w:r>
        <w:rPr>
          <w:rFonts w:hint="eastAsia"/>
        </w:rPr>
        <w:t>1987</w:t>
      </w:r>
      <w:r>
        <w:rPr>
          <w:rFonts w:hint="eastAsia"/>
        </w:rPr>
        <w:t>年</w:t>
      </w:r>
      <w:r>
        <w:rPr>
          <w:rFonts w:hint="eastAsia"/>
        </w:rPr>
        <w:t>4</w:t>
      </w:r>
      <w:r>
        <w:rPr>
          <w:rFonts w:hint="eastAsia"/>
        </w:rPr>
        <w:t>月</w:t>
      </w:r>
      <w:r>
        <w:rPr>
          <w:rFonts w:hint="eastAsia"/>
        </w:rPr>
        <w:t>23</w:t>
      </w:r>
      <w:r>
        <w:rPr>
          <w:rFonts w:hint="eastAsia"/>
        </w:rPr>
        <w:t>日第</w:t>
      </w:r>
      <w:r>
        <w:rPr>
          <w:rFonts w:hint="eastAsia"/>
        </w:rPr>
        <w:t>18,611</w:t>
      </w:r>
      <w:r>
        <w:rPr>
          <w:rFonts w:hint="eastAsia"/>
        </w:rPr>
        <w:t>号法令的约束，该法令将家属津贴和国家养恤金按地区作出安排。</w:t>
      </w:r>
    </w:p>
  </w:footnote>
  <w:footnote w:id="155">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第</w:t>
      </w:r>
      <w:r>
        <w:rPr>
          <w:rFonts w:hint="eastAsia"/>
        </w:rPr>
        <w:t>18,020</w:t>
      </w:r>
      <w:r>
        <w:rPr>
          <w:rFonts w:hint="eastAsia"/>
        </w:rPr>
        <w:t>号法令第</w:t>
      </w:r>
      <w:r>
        <w:rPr>
          <w:rFonts w:hint="eastAsia"/>
        </w:rPr>
        <w:t>2</w:t>
      </w:r>
      <w:r>
        <w:rPr>
          <w:rFonts w:hint="eastAsia"/>
        </w:rPr>
        <w:t>条。</w:t>
      </w:r>
    </w:p>
  </w:footnote>
  <w:footnote w:id="156">
    <w:p w:rsidR="00000000" w:rsidRDefault="009C1C61">
      <w:pPr>
        <w:pStyle w:val="FootnoteText"/>
        <w:rPr>
          <w:rFonts w:hint="eastAsia"/>
        </w:rPr>
      </w:pPr>
      <w:r>
        <w:rPr>
          <w:rStyle w:val="FootnoteReference"/>
        </w:rPr>
        <w:footnoteRef/>
      </w:r>
      <w:r>
        <w:t xml:space="preserve"> </w:t>
      </w:r>
      <w:r>
        <w:rPr>
          <w:rFonts w:hint="eastAsia"/>
        </w:rPr>
        <w:tab/>
        <w:t>1987</w:t>
      </w:r>
      <w:r>
        <w:rPr>
          <w:rFonts w:hint="eastAsia"/>
        </w:rPr>
        <w:t>年</w:t>
      </w:r>
      <w:r>
        <w:rPr>
          <w:rFonts w:hint="eastAsia"/>
        </w:rPr>
        <w:t>2</w:t>
      </w:r>
      <w:r>
        <w:rPr>
          <w:rFonts w:hint="eastAsia"/>
        </w:rPr>
        <w:t>月</w:t>
      </w:r>
      <w:r>
        <w:rPr>
          <w:rFonts w:hint="eastAsia"/>
        </w:rPr>
        <w:t>19</w:t>
      </w:r>
      <w:r>
        <w:rPr>
          <w:rFonts w:hint="eastAsia"/>
        </w:rPr>
        <w:t>日第</w:t>
      </w:r>
      <w:r>
        <w:rPr>
          <w:rFonts w:hint="eastAsia"/>
        </w:rPr>
        <w:t>18,600</w:t>
      </w:r>
      <w:r>
        <w:rPr>
          <w:rFonts w:hint="eastAsia"/>
        </w:rPr>
        <w:t>号法令。</w:t>
      </w:r>
    </w:p>
  </w:footnote>
  <w:footnote w:id="157">
    <w:p w:rsidR="00000000" w:rsidRDefault="009C1C61">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3</w:t>
      </w:r>
      <w:r>
        <w:rPr>
          <w:rFonts w:hint="eastAsia"/>
        </w:rPr>
        <w:t>条。</w:t>
      </w:r>
    </w:p>
  </w:footnote>
  <w:footnote w:id="158">
    <w:p w:rsidR="00000000" w:rsidRDefault="009C1C61">
      <w:pPr>
        <w:pStyle w:val="FootnoteText"/>
        <w:rPr>
          <w:rFonts w:hint="eastAsia"/>
        </w:rPr>
      </w:pPr>
      <w:r>
        <w:rPr>
          <w:rStyle w:val="FootnoteReference"/>
        </w:rPr>
        <w:footnoteRef/>
      </w:r>
      <w:r>
        <w:t xml:space="preserve"> </w:t>
      </w:r>
      <w:r>
        <w:rPr>
          <w:rFonts w:hint="eastAsia"/>
        </w:rPr>
        <w:tab/>
      </w:r>
      <w:r>
        <w:rPr>
          <w:rFonts w:hint="eastAsia"/>
        </w:rPr>
        <w:t>社会保险监督局在计划与合作部所著《</w:t>
      </w:r>
      <w:r>
        <w:rPr>
          <w:rFonts w:hint="eastAsia"/>
        </w:rPr>
        <w:t>1990</w:t>
      </w:r>
      <w:r>
        <w:rPr>
          <w:rFonts w:hint="eastAsia"/>
        </w:rPr>
        <w:t>年</w:t>
      </w:r>
      <w:r>
        <w:rPr>
          <w:rFonts w:hint="eastAsia"/>
        </w:rPr>
        <w:t>-2000</w:t>
      </w:r>
      <w:r>
        <w:rPr>
          <w:rFonts w:hint="eastAsia"/>
        </w:rPr>
        <w:t>年经济及社会指标》中提出的数字。</w:t>
      </w:r>
    </w:p>
  </w:footnote>
  <w:footnote w:id="159">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18,020</w:t>
      </w:r>
      <w:r>
        <w:rPr>
          <w:rFonts w:hint="eastAsia"/>
        </w:rPr>
        <w:t>号法令第</w:t>
      </w:r>
      <w:r>
        <w:rPr>
          <w:rFonts w:hint="eastAsia"/>
        </w:rPr>
        <w:t>5</w:t>
      </w:r>
      <w:r>
        <w:rPr>
          <w:rFonts w:hint="eastAsia"/>
        </w:rPr>
        <w:t>条</w:t>
      </w:r>
      <w:r>
        <w:rPr>
          <w:rFonts w:hint="eastAsia"/>
        </w:rPr>
        <w:t>(2)</w:t>
      </w:r>
      <w:r>
        <w:rPr>
          <w:rFonts w:hint="eastAsia"/>
        </w:rPr>
        <w:t>款。</w:t>
      </w:r>
    </w:p>
  </w:footnote>
  <w:footnote w:id="160">
    <w:p w:rsidR="00000000" w:rsidRDefault="009C1C61">
      <w:pPr>
        <w:pStyle w:val="FootnoteText"/>
        <w:spacing w:line="336" w:lineRule="auto"/>
        <w:rPr>
          <w:rFonts w:hint="eastAsia"/>
        </w:rPr>
      </w:pPr>
      <w:r>
        <w:rPr>
          <w:rStyle w:val="FootnoteReference"/>
        </w:rPr>
        <w:footnoteRef/>
      </w:r>
      <w:r>
        <w:t xml:space="preserve"> </w:t>
      </w:r>
      <w:r>
        <w:rPr>
          <w:rFonts w:hint="eastAsia"/>
        </w:rPr>
        <w:tab/>
      </w:r>
      <w:r>
        <w:rPr>
          <w:rFonts w:hint="eastAsia"/>
        </w:rPr>
        <w:t>第</w:t>
      </w:r>
      <w:r>
        <w:rPr>
          <w:rFonts w:hint="eastAsia"/>
        </w:rPr>
        <w:t>18,020</w:t>
      </w:r>
      <w:r>
        <w:rPr>
          <w:rFonts w:hint="eastAsia"/>
        </w:rPr>
        <w:t>号法令。</w:t>
      </w:r>
    </w:p>
  </w:footnote>
  <w:footnote w:id="161">
    <w:p w:rsidR="00000000" w:rsidRDefault="009C1C61">
      <w:pPr>
        <w:pStyle w:val="FootnoteText"/>
        <w:spacing w:line="336" w:lineRule="auto"/>
        <w:rPr>
          <w:rFonts w:hint="eastAsia"/>
        </w:rPr>
      </w:pPr>
      <w:r>
        <w:rPr>
          <w:rStyle w:val="FootnoteReference"/>
        </w:rPr>
        <w:footnoteRef/>
      </w:r>
      <w:r>
        <w:t xml:space="preserve"> </w:t>
      </w:r>
      <w:r>
        <w:rPr>
          <w:rFonts w:hint="eastAsia"/>
        </w:rPr>
        <w:tab/>
      </w:r>
      <w:r>
        <w:rPr>
          <w:rFonts w:hint="eastAsia"/>
        </w:rPr>
        <w:t>按第</w:t>
      </w:r>
      <w:r>
        <w:rPr>
          <w:rFonts w:hint="eastAsia"/>
        </w:rPr>
        <w:t>18,611</w:t>
      </w:r>
      <w:r>
        <w:rPr>
          <w:rFonts w:hint="eastAsia"/>
        </w:rPr>
        <w:t>号法令第</w:t>
      </w:r>
      <w:r>
        <w:rPr>
          <w:rFonts w:hint="eastAsia"/>
        </w:rPr>
        <w:t>1</w:t>
      </w:r>
      <w:r>
        <w:rPr>
          <w:rFonts w:hint="eastAsia"/>
        </w:rPr>
        <w:t>条的规定所设立。</w:t>
      </w:r>
    </w:p>
  </w:footnote>
  <w:footnote w:id="162">
    <w:p w:rsidR="00000000" w:rsidRDefault="009C1C61">
      <w:pPr>
        <w:pStyle w:val="FootnoteText"/>
        <w:spacing w:line="336" w:lineRule="auto"/>
        <w:rPr>
          <w:rFonts w:hint="eastAsia"/>
        </w:rPr>
      </w:pPr>
      <w:r>
        <w:rPr>
          <w:rStyle w:val="FootnoteReference"/>
        </w:rPr>
        <w:footnoteRef/>
      </w:r>
      <w:r>
        <w:t xml:space="preserve"> </w:t>
      </w:r>
      <w:r>
        <w:rPr>
          <w:rFonts w:hint="eastAsia"/>
        </w:rPr>
        <w:tab/>
      </w:r>
      <w:r>
        <w:rPr>
          <w:rFonts w:hint="eastAsia"/>
        </w:rPr>
        <w:t>第</w:t>
      </w:r>
      <w:r>
        <w:rPr>
          <w:rFonts w:hint="eastAsia"/>
        </w:rPr>
        <w:t>19,728</w:t>
      </w:r>
      <w:r>
        <w:rPr>
          <w:rFonts w:hint="eastAsia"/>
        </w:rPr>
        <w:t>号法令。</w:t>
      </w:r>
    </w:p>
  </w:footnote>
  <w:footnote w:id="163">
    <w:p w:rsidR="00000000" w:rsidRDefault="009C1C61">
      <w:pPr>
        <w:pStyle w:val="FootnoteText"/>
        <w:rPr>
          <w:rFonts w:hint="eastAsia"/>
        </w:rPr>
      </w:pPr>
      <w:r>
        <w:rPr>
          <w:rStyle w:val="FootnoteReference"/>
        </w:rPr>
        <w:footnoteRef/>
      </w:r>
      <w:r>
        <w:t xml:space="preserve"> </w:t>
      </w:r>
      <w:r>
        <w:rPr>
          <w:rFonts w:hint="eastAsia"/>
        </w:rPr>
        <w:tab/>
      </w:r>
      <w:r>
        <w:rPr>
          <w:rFonts w:hint="eastAsia"/>
        </w:rPr>
        <w:t>经济部在计划与合作部所著《</w:t>
      </w:r>
      <w:r>
        <w:rPr>
          <w:rFonts w:hint="eastAsia"/>
        </w:rPr>
        <w:t>1990-20</w:t>
      </w:r>
      <w:r>
        <w:rPr>
          <w:rFonts w:hint="eastAsia"/>
        </w:rPr>
        <w:t>00</w:t>
      </w:r>
      <w:r>
        <w:rPr>
          <w:rFonts w:hint="eastAsia"/>
        </w:rPr>
        <w:t>年经济及社会指标》中提出的数字。</w:t>
      </w:r>
    </w:p>
  </w:footnote>
  <w:footnote w:id="164">
    <w:p w:rsidR="00000000" w:rsidRDefault="009C1C61">
      <w:pPr>
        <w:pStyle w:val="FootnoteText"/>
        <w:rPr>
          <w:rFonts w:hint="eastAsia"/>
        </w:rPr>
      </w:pPr>
      <w:r>
        <w:rPr>
          <w:rStyle w:val="FootnoteReference"/>
        </w:rPr>
        <w:footnoteRef/>
      </w:r>
      <w:r>
        <w:t xml:space="preserve"> </w:t>
      </w:r>
      <w:r>
        <w:rPr>
          <w:rFonts w:hint="eastAsia"/>
        </w:rPr>
        <w:tab/>
      </w:r>
      <w:r>
        <w:rPr>
          <w:rFonts w:hint="eastAsia"/>
        </w:rPr>
        <w:t>见附件一简称。</w:t>
      </w:r>
    </w:p>
  </w:footnote>
  <w:footnote w:id="165">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16,744</w:t>
      </w:r>
      <w:r>
        <w:rPr>
          <w:rFonts w:hint="eastAsia"/>
        </w:rPr>
        <w:t>号法令的设想。</w:t>
      </w:r>
    </w:p>
  </w:footnote>
  <w:footnote w:id="166">
    <w:p w:rsidR="00000000" w:rsidRDefault="009C1C61">
      <w:pPr>
        <w:pStyle w:val="FootnoteText"/>
        <w:rPr>
          <w:rFonts w:hint="eastAsia"/>
        </w:rPr>
      </w:pPr>
      <w:r>
        <w:rPr>
          <w:rStyle w:val="FootnoteReference"/>
        </w:rPr>
        <w:footnoteRef/>
      </w:r>
      <w:r>
        <w:t xml:space="preserve"> </w:t>
      </w:r>
      <w:r>
        <w:rPr>
          <w:rFonts w:hint="eastAsia"/>
        </w:rPr>
        <w:tab/>
      </w:r>
      <w:r>
        <w:rPr>
          <w:rFonts w:hint="eastAsia"/>
        </w:rPr>
        <w:t>在</w:t>
      </w:r>
      <w:r>
        <w:rPr>
          <w:rFonts w:hint="eastAsia"/>
        </w:rPr>
        <w:t>1996</w:t>
      </w:r>
      <w:r>
        <w:rPr>
          <w:rFonts w:hint="eastAsia"/>
        </w:rPr>
        <w:t>年</w:t>
      </w:r>
      <w:r>
        <w:rPr>
          <w:rFonts w:hint="eastAsia"/>
        </w:rPr>
        <w:t>3</w:t>
      </w:r>
      <w:r>
        <w:rPr>
          <w:rFonts w:hint="eastAsia"/>
        </w:rPr>
        <w:t>月</w:t>
      </w:r>
      <w:r>
        <w:rPr>
          <w:rFonts w:hint="eastAsia"/>
        </w:rPr>
        <w:t>21</w:t>
      </w:r>
      <w:r>
        <w:rPr>
          <w:rFonts w:hint="eastAsia"/>
        </w:rPr>
        <w:t>日的官方布告中发表。</w:t>
      </w:r>
    </w:p>
  </w:footnote>
  <w:footnote w:id="167">
    <w:p w:rsidR="00000000" w:rsidRDefault="009C1C61">
      <w:pPr>
        <w:pStyle w:val="FootnoteText"/>
        <w:rPr>
          <w:rFonts w:hint="eastAsia"/>
        </w:rPr>
      </w:pPr>
      <w:r>
        <w:rPr>
          <w:rStyle w:val="FootnoteReference"/>
        </w:rPr>
        <w:footnoteRef/>
      </w:r>
      <w:r>
        <w:t xml:space="preserve"> </w:t>
      </w:r>
      <w:r>
        <w:rPr>
          <w:rFonts w:hint="eastAsia"/>
        </w:rPr>
        <w:tab/>
      </w:r>
      <w:r>
        <w:rPr>
          <w:rFonts w:hint="eastAsia"/>
        </w:rPr>
        <w:t>第</w:t>
      </w:r>
      <w:r>
        <w:rPr>
          <w:rFonts w:hint="eastAsia"/>
        </w:rPr>
        <w:t>16,744</w:t>
      </w:r>
      <w:r>
        <w:rPr>
          <w:rFonts w:hint="eastAsia"/>
        </w:rPr>
        <w:t>号法令第</w:t>
      </w:r>
      <w:r>
        <w:rPr>
          <w:rFonts w:hint="eastAsia"/>
        </w:rPr>
        <w:t>2</w:t>
      </w:r>
      <w:r>
        <w:rPr>
          <w:rFonts w:hint="eastAsia"/>
        </w:rPr>
        <w:t>条最后一款。</w:t>
      </w:r>
    </w:p>
  </w:footnote>
  <w:footnote w:id="168">
    <w:p w:rsidR="00000000" w:rsidRDefault="009C1C61">
      <w:pPr>
        <w:pStyle w:val="FootnoteText"/>
        <w:rPr>
          <w:rFonts w:hint="eastAsia"/>
        </w:rPr>
      </w:pPr>
      <w:r>
        <w:rPr>
          <w:rStyle w:val="FootnoteReference"/>
        </w:rPr>
        <w:footnoteRef/>
      </w:r>
      <w:r>
        <w:t xml:space="preserve"> </w:t>
      </w:r>
      <w:r>
        <w:rPr>
          <w:rFonts w:hint="eastAsia"/>
        </w:rPr>
        <w:tab/>
      </w:r>
      <w:r>
        <w:rPr>
          <w:rFonts w:hint="eastAsia"/>
        </w:rPr>
        <w:t>国家妇女事务办公室</w:t>
      </w:r>
      <w:r>
        <w:rPr>
          <w:rFonts w:hint="eastAsia"/>
        </w:rPr>
        <w:t>1998</w:t>
      </w:r>
      <w:r>
        <w:rPr>
          <w:rFonts w:hint="eastAsia"/>
        </w:rPr>
        <w:t>年</w:t>
      </w:r>
      <w:r>
        <w:rPr>
          <w:rFonts w:hint="eastAsia"/>
        </w:rPr>
        <w:t>12</w:t>
      </w:r>
      <w:r>
        <w:rPr>
          <w:rFonts w:hint="eastAsia"/>
        </w:rPr>
        <w:t>月第</w:t>
      </w:r>
      <w:r>
        <w:rPr>
          <w:rFonts w:hint="eastAsia"/>
        </w:rPr>
        <w:t>61</w:t>
      </w:r>
      <w:r>
        <w:rPr>
          <w:rFonts w:hint="eastAsia"/>
        </w:rPr>
        <w:t>号工作文件。</w:t>
      </w:r>
    </w:p>
  </w:footnote>
  <w:footnote w:id="169">
    <w:p w:rsidR="00000000" w:rsidRDefault="009C1C61">
      <w:pPr>
        <w:pStyle w:val="FootnoteText"/>
      </w:pPr>
      <w:r>
        <w:rPr>
          <w:rStyle w:val="FootnoteReference"/>
        </w:rPr>
        <w:footnoteRef/>
      </w:r>
      <w:r>
        <w:t xml:space="preserve"> </w:t>
      </w:r>
      <w:r>
        <w:rPr>
          <w:rFonts w:hint="eastAsia"/>
        </w:rPr>
        <w:tab/>
      </w:r>
      <w:r>
        <w:rPr>
          <w:rFonts w:hint="eastAsia"/>
        </w:rPr>
        <w:t>未成年人服务署，全国家庭问题委员会的报告。</w:t>
      </w:r>
    </w:p>
  </w:footnote>
  <w:footnote w:id="170">
    <w:p w:rsidR="00000000" w:rsidRDefault="009C1C61">
      <w:pPr>
        <w:pStyle w:val="FootnoteText"/>
      </w:pPr>
      <w:r>
        <w:rPr>
          <w:rStyle w:val="FootnoteReference"/>
        </w:rPr>
        <w:footnoteRef/>
      </w:r>
      <w:r>
        <w:t xml:space="preserve"> </w:t>
      </w:r>
      <w:r>
        <w:rPr>
          <w:rFonts w:hint="eastAsia"/>
        </w:rPr>
        <w:tab/>
        <w:t>1995</w:t>
      </w:r>
      <w:r>
        <w:rPr>
          <w:rFonts w:hint="eastAsia"/>
        </w:rPr>
        <w:t>年</w:t>
      </w:r>
      <w:r>
        <w:rPr>
          <w:rFonts w:hint="eastAsia"/>
        </w:rPr>
        <w:t>8</w:t>
      </w:r>
      <w:r>
        <w:rPr>
          <w:rFonts w:hint="eastAsia"/>
        </w:rPr>
        <w:t>月</w:t>
      </w:r>
      <w:r>
        <w:rPr>
          <w:rFonts w:hint="eastAsia"/>
        </w:rPr>
        <w:t>27</w:t>
      </w:r>
      <w:r>
        <w:rPr>
          <w:rFonts w:hint="eastAsia"/>
        </w:rPr>
        <w:t>日第</w:t>
      </w:r>
      <w:r>
        <w:rPr>
          <w:rFonts w:hint="eastAsia"/>
        </w:rPr>
        <w:t>19,325</w:t>
      </w:r>
      <w:r>
        <w:rPr>
          <w:rFonts w:hint="eastAsia"/>
        </w:rPr>
        <w:t>号法令第一条。</w:t>
      </w:r>
    </w:p>
  </w:footnote>
  <w:footnote w:id="171">
    <w:p w:rsidR="00000000" w:rsidRDefault="009C1C61">
      <w:pPr>
        <w:pStyle w:val="FootnoteText"/>
      </w:pPr>
      <w:r>
        <w:rPr>
          <w:rStyle w:val="FootnoteReference"/>
        </w:rPr>
        <w:footnoteRef/>
      </w:r>
      <w:r>
        <w:t xml:space="preserve"> </w:t>
      </w:r>
      <w:r>
        <w:rPr>
          <w:rFonts w:hint="eastAsia"/>
        </w:rPr>
        <w:tab/>
      </w:r>
      <w:r>
        <w:rPr>
          <w:rFonts w:hint="eastAsia"/>
        </w:rPr>
        <w:t>根据</w:t>
      </w:r>
      <w:r>
        <w:rPr>
          <w:rFonts w:hint="eastAsia"/>
        </w:rPr>
        <w:t>1993</w:t>
      </w:r>
      <w:r>
        <w:rPr>
          <w:rFonts w:hint="eastAsia"/>
        </w:rPr>
        <w:t>年第</w:t>
      </w:r>
      <w:r>
        <w:rPr>
          <w:rFonts w:hint="eastAsia"/>
        </w:rPr>
        <w:t>19,221</w:t>
      </w:r>
      <w:r>
        <w:rPr>
          <w:rFonts w:hint="eastAsia"/>
        </w:rPr>
        <w:t>号法令修改。</w:t>
      </w:r>
    </w:p>
  </w:footnote>
  <w:footnote w:id="172">
    <w:p w:rsidR="00000000" w:rsidRDefault="009C1C61">
      <w:pPr>
        <w:pStyle w:val="FootnoteText"/>
        <w:spacing w:line="240" w:lineRule="auto"/>
      </w:pPr>
      <w:r>
        <w:rPr>
          <w:rStyle w:val="FootnoteReference"/>
        </w:rPr>
        <w:footnoteRef/>
      </w:r>
      <w:r>
        <w:t xml:space="preserve"> </w:t>
      </w:r>
      <w:r>
        <w:rPr>
          <w:rFonts w:hint="eastAsia"/>
        </w:rPr>
        <w:tab/>
      </w:r>
      <w:r>
        <w:rPr>
          <w:rFonts w:hint="eastAsia"/>
        </w:rPr>
        <w:t>《刑事法》第</w:t>
      </w:r>
      <w:r>
        <w:rPr>
          <w:rFonts w:hint="eastAsia"/>
        </w:rPr>
        <w:t>10</w:t>
      </w:r>
      <w:r>
        <w:rPr>
          <w:rFonts w:hint="eastAsia"/>
        </w:rPr>
        <w:t>条第</w:t>
      </w:r>
      <w:r>
        <w:rPr>
          <w:rFonts w:hint="eastAsia"/>
        </w:rPr>
        <w:t>(2)</w:t>
      </w:r>
      <w:r>
        <w:rPr>
          <w:rFonts w:hint="eastAsia"/>
        </w:rPr>
        <w:t>款。</w:t>
      </w:r>
    </w:p>
  </w:footnote>
  <w:footnote w:id="173">
    <w:p w:rsidR="00000000" w:rsidRDefault="009C1C61">
      <w:pPr>
        <w:pStyle w:val="FootnoteText"/>
        <w:spacing w:line="240" w:lineRule="auto"/>
      </w:pPr>
      <w:r>
        <w:rPr>
          <w:rStyle w:val="FootnoteReference"/>
        </w:rPr>
        <w:footnoteRef/>
      </w:r>
      <w:r>
        <w:t xml:space="preserve"> </w:t>
      </w:r>
      <w:r>
        <w:rPr>
          <w:rFonts w:hint="eastAsia"/>
        </w:rPr>
        <w:tab/>
      </w:r>
      <w:r>
        <w:rPr>
          <w:rFonts w:hint="eastAsia"/>
        </w:rPr>
        <w:t>《刑事诉讼法》第</w:t>
      </w:r>
      <w:r>
        <w:rPr>
          <w:rFonts w:hint="eastAsia"/>
        </w:rPr>
        <w:t>408</w:t>
      </w:r>
      <w:r>
        <w:rPr>
          <w:rFonts w:hint="eastAsia"/>
        </w:rPr>
        <w:t>条第</w:t>
      </w:r>
      <w:r>
        <w:t>(4)</w:t>
      </w:r>
      <w:r>
        <w:rPr>
          <w:rFonts w:hint="eastAsia"/>
        </w:rPr>
        <w:t>款，及《审讯程序法》第</w:t>
      </w:r>
      <w:r>
        <w:rPr>
          <w:rFonts w:hint="eastAsia"/>
        </w:rPr>
        <w:t>250</w:t>
      </w:r>
      <w:r>
        <w:rPr>
          <w:rFonts w:hint="eastAsia"/>
        </w:rPr>
        <w:t>条</w:t>
      </w:r>
      <w:r>
        <w:rPr>
          <w:rFonts w:hint="eastAsia"/>
        </w:rPr>
        <w:t>c)</w:t>
      </w:r>
      <w:r>
        <w:rPr>
          <w:rFonts w:hint="eastAsia"/>
        </w:rPr>
        <w:t>款。</w:t>
      </w:r>
    </w:p>
  </w:footnote>
  <w:footnote w:id="174">
    <w:p w:rsidR="00000000" w:rsidRDefault="009C1C61">
      <w:pPr>
        <w:pStyle w:val="FootnoteText"/>
        <w:spacing w:line="240" w:lineRule="auto"/>
      </w:pPr>
      <w:r>
        <w:rPr>
          <w:rStyle w:val="FootnoteReference"/>
        </w:rPr>
        <w:footnoteRef/>
      </w:r>
      <w:r>
        <w:t xml:space="preserve"> </w:t>
      </w:r>
      <w:r>
        <w:rPr>
          <w:rFonts w:hint="eastAsia"/>
        </w:rPr>
        <w:tab/>
        <w:t>1967</w:t>
      </w:r>
      <w:r>
        <w:rPr>
          <w:rFonts w:hint="eastAsia"/>
        </w:rPr>
        <w:t>年</w:t>
      </w:r>
      <w:r>
        <w:rPr>
          <w:rFonts w:hint="eastAsia"/>
        </w:rPr>
        <w:t>10</w:t>
      </w:r>
      <w:r>
        <w:rPr>
          <w:rFonts w:hint="eastAsia"/>
        </w:rPr>
        <w:t>月第</w:t>
      </w:r>
      <w:r>
        <w:t>16,618</w:t>
      </w:r>
      <w:r>
        <w:rPr>
          <w:rFonts w:hint="eastAsia"/>
        </w:rPr>
        <w:t>号法令。</w:t>
      </w:r>
    </w:p>
  </w:footnote>
  <w:footnote w:id="175">
    <w:p w:rsidR="00000000" w:rsidRDefault="009C1C61">
      <w:pPr>
        <w:pStyle w:val="FootnoteText"/>
        <w:spacing w:line="240" w:lineRule="auto"/>
      </w:pPr>
      <w:r>
        <w:rPr>
          <w:rStyle w:val="FootnoteReference"/>
        </w:rPr>
        <w:footnoteRef/>
      </w:r>
      <w:r>
        <w:t xml:space="preserve"> </w:t>
      </w:r>
      <w:r>
        <w:rPr>
          <w:rFonts w:hint="eastAsia"/>
        </w:rPr>
        <w:tab/>
      </w:r>
      <w:r>
        <w:rPr>
          <w:rFonts w:hint="eastAsia"/>
        </w:rPr>
        <w:t>《刑事法》第</w:t>
      </w:r>
      <w:r>
        <w:rPr>
          <w:rFonts w:hint="eastAsia"/>
        </w:rPr>
        <w:t>10(</w:t>
      </w:r>
      <w:r>
        <w:rPr>
          <w:rFonts w:hint="eastAsia"/>
        </w:rPr>
        <w:t>三</w:t>
      </w:r>
      <w:r>
        <w:rPr>
          <w:rFonts w:hint="eastAsia"/>
        </w:rPr>
        <w:t>)</w:t>
      </w:r>
      <w:r>
        <w:rPr>
          <w:rFonts w:hint="eastAsia"/>
        </w:rPr>
        <w:t>条。</w:t>
      </w:r>
    </w:p>
  </w:footnote>
  <w:footnote w:id="176">
    <w:p w:rsidR="00000000" w:rsidRDefault="009C1C61">
      <w:pPr>
        <w:pStyle w:val="FootnoteText"/>
        <w:spacing w:line="240" w:lineRule="auto"/>
      </w:pPr>
      <w:r>
        <w:rPr>
          <w:rStyle w:val="FootnoteReference"/>
        </w:rPr>
        <w:footnoteRef/>
      </w:r>
      <w:r>
        <w:t xml:space="preserve"> </w:t>
      </w:r>
      <w:r>
        <w:rPr>
          <w:rFonts w:hint="eastAsia"/>
        </w:rPr>
        <w:tab/>
      </w:r>
      <w:r>
        <w:rPr>
          <w:rFonts w:hint="eastAsia"/>
        </w:rPr>
        <w:t>根据《刑事诉讼法》第</w:t>
      </w:r>
      <w:r>
        <w:rPr>
          <w:rFonts w:hint="eastAsia"/>
        </w:rPr>
        <w:t>408(</w:t>
      </w:r>
      <w:r>
        <w:rPr>
          <w:rFonts w:hint="eastAsia"/>
        </w:rPr>
        <w:t>四</w:t>
      </w:r>
      <w:r>
        <w:rPr>
          <w:rFonts w:hint="eastAsia"/>
        </w:rPr>
        <w:t>)</w:t>
      </w:r>
      <w:r>
        <w:rPr>
          <w:rFonts w:hint="eastAsia"/>
        </w:rPr>
        <w:t>条，或《审讯程序法》第</w:t>
      </w:r>
      <w:r>
        <w:rPr>
          <w:rFonts w:hint="eastAsia"/>
        </w:rPr>
        <w:t>250(</w:t>
      </w:r>
      <w:r>
        <w:t>c</w:t>
      </w:r>
      <w:r>
        <w:rPr>
          <w:rFonts w:hint="eastAsia"/>
        </w:rPr>
        <w:t>)</w:t>
      </w:r>
      <w:r>
        <w:rPr>
          <w:rFonts w:hint="eastAsia"/>
        </w:rPr>
        <w:t>条。</w:t>
      </w:r>
    </w:p>
  </w:footnote>
  <w:footnote w:id="177">
    <w:p w:rsidR="00000000" w:rsidRDefault="009C1C61">
      <w:pPr>
        <w:pStyle w:val="FootnoteText"/>
        <w:spacing w:line="240" w:lineRule="auto"/>
      </w:pPr>
      <w:r>
        <w:rPr>
          <w:rStyle w:val="FootnoteReference"/>
        </w:rPr>
        <w:footnoteRef/>
      </w:r>
      <w:r>
        <w:t xml:space="preserve"> </w:t>
      </w:r>
      <w:r>
        <w:rPr>
          <w:rFonts w:hint="eastAsia"/>
        </w:rPr>
        <w:tab/>
      </w:r>
      <w:r>
        <w:rPr>
          <w:rFonts w:hint="eastAsia"/>
        </w:rPr>
        <w:t>第</w:t>
      </w:r>
      <w:r>
        <w:rPr>
          <w:rFonts w:hint="eastAsia"/>
        </w:rPr>
        <w:t>23.3</w:t>
      </w:r>
      <w:r>
        <w:rPr>
          <w:rFonts w:hint="eastAsia"/>
        </w:rPr>
        <w:t>条。</w:t>
      </w:r>
    </w:p>
  </w:footnote>
  <w:footnote w:id="178">
    <w:p w:rsidR="00000000" w:rsidRDefault="009C1C61">
      <w:pPr>
        <w:pStyle w:val="FootnoteText"/>
        <w:spacing w:line="240" w:lineRule="auto"/>
      </w:pPr>
      <w:r>
        <w:rPr>
          <w:rStyle w:val="FootnoteReference"/>
        </w:rPr>
        <w:footnoteRef/>
      </w:r>
      <w:r>
        <w:t xml:space="preserve"> </w:t>
      </w:r>
      <w:r>
        <w:rPr>
          <w:rFonts w:hint="eastAsia"/>
        </w:rPr>
        <w:tab/>
      </w:r>
      <w:r>
        <w:rPr>
          <w:rFonts w:hint="eastAsia"/>
        </w:rPr>
        <w:t>第</w:t>
      </w:r>
      <w:r>
        <w:t>17.</w:t>
      </w:r>
      <w:r>
        <w:rPr>
          <w:rFonts w:hint="eastAsia"/>
        </w:rPr>
        <w:t>3</w:t>
      </w:r>
      <w:r>
        <w:rPr>
          <w:rFonts w:hint="eastAsia"/>
        </w:rPr>
        <w:t>条。</w:t>
      </w:r>
    </w:p>
  </w:footnote>
  <w:footnote w:id="179">
    <w:p w:rsidR="00000000" w:rsidRDefault="009C1C61">
      <w:pPr>
        <w:pStyle w:val="FootnoteText"/>
        <w:spacing w:line="240" w:lineRule="auto"/>
      </w:pPr>
      <w:r>
        <w:rPr>
          <w:rStyle w:val="FootnoteReference"/>
        </w:rPr>
        <w:footnoteRef/>
      </w:r>
      <w:r>
        <w:t xml:space="preserve"> </w:t>
      </w:r>
      <w:r>
        <w:rPr>
          <w:rFonts w:hint="eastAsia"/>
        </w:rPr>
        <w:tab/>
      </w:r>
      <w:r>
        <w:rPr>
          <w:rFonts w:hint="eastAsia"/>
        </w:rPr>
        <w:t>《政治权法》第</w:t>
      </w:r>
      <w:r>
        <w:t>1</w:t>
      </w:r>
      <w:r>
        <w:rPr>
          <w:rFonts w:hint="eastAsia"/>
        </w:rPr>
        <w:t>(</w:t>
      </w:r>
      <w:r>
        <w:rPr>
          <w:rFonts w:hint="eastAsia"/>
        </w:rPr>
        <w:t>二</w:t>
      </w:r>
      <w:r>
        <w:rPr>
          <w:rFonts w:hint="eastAsia"/>
        </w:rPr>
        <w:t>)</w:t>
      </w:r>
      <w:r>
        <w:rPr>
          <w:rFonts w:hint="eastAsia"/>
        </w:rPr>
        <w:t>条。</w:t>
      </w:r>
    </w:p>
  </w:footnote>
  <w:footnote w:id="180">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t>1</w:t>
      </w:r>
      <w:r>
        <w:rPr>
          <w:rFonts w:hint="eastAsia"/>
        </w:rPr>
        <w:t>(</w:t>
      </w:r>
      <w:r>
        <w:rPr>
          <w:rFonts w:hint="eastAsia"/>
        </w:rPr>
        <w:t>四</w:t>
      </w:r>
      <w:r>
        <w:rPr>
          <w:rFonts w:hint="eastAsia"/>
        </w:rPr>
        <w:t>)</w:t>
      </w:r>
      <w:r>
        <w:rPr>
          <w:rFonts w:hint="eastAsia"/>
        </w:rPr>
        <w:t>条。</w:t>
      </w:r>
    </w:p>
  </w:footnote>
  <w:footnote w:id="181">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rPr>
          <w:rFonts w:hint="eastAsia"/>
        </w:rPr>
        <w:t>19</w:t>
      </w:r>
      <w:r>
        <w:rPr>
          <w:rFonts w:hint="eastAsia"/>
        </w:rPr>
        <w:t>条第</w:t>
      </w:r>
      <w:r>
        <w:rPr>
          <w:rFonts w:hint="eastAsia"/>
        </w:rPr>
        <w:t>4</w:t>
      </w:r>
      <w:r>
        <w:rPr>
          <w:rFonts w:hint="eastAsia"/>
        </w:rPr>
        <w:t>款。</w:t>
      </w:r>
    </w:p>
  </w:footnote>
  <w:footnote w:id="182">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rPr>
          <w:rFonts w:hint="eastAsia"/>
        </w:rPr>
        <w:t>19</w:t>
      </w:r>
      <w:r>
        <w:rPr>
          <w:rFonts w:hint="eastAsia"/>
        </w:rPr>
        <w:t>条第</w:t>
      </w:r>
      <w:r>
        <w:rPr>
          <w:rFonts w:hint="eastAsia"/>
        </w:rPr>
        <w:t>7</w:t>
      </w:r>
      <w:r>
        <w:rPr>
          <w:rFonts w:hint="eastAsia"/>
        </w:rPr>
        <w:t>款</w:t>
      </w:r>
      <w:r>
        <w:rPr>
          <w:rFonts w:hint="eastAsia"/>
        </w:rPr>
        <w:t>(</w:t>
      </w:r>
      <w:r>
        <w:t>f</w:t>
      </w:r>
      <w:r>
        <w:rPr>
          <w:rFonts w:hint="eastAsia"/>
        </w:rPr>
        <w:t>)</w:t>
      </w:r>
      <w:r>
        <w:rPr>
          <w:rFonts w:hint="eastAsia"/>
        </w:rPr>
        <w:t>项。</w:t>
      </w:r>
    </w:p>
  </w:footnote>
  <w:footnote w:id="183">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rPr>
          <w:rFonts w:hint="eastAsia"/>
        </w:rPr>
        <w:t>19</w:t>
      </w:r>
      <w:r>
        <w:rPr>
          <w:rFonts w:hint="eastAsia"/>
        </w:rPr>
        <w:t>条第</w:t>
      </w:r>
      <w:r>
        <w:rPr>
          <w:rFonts w:hint="eastAsia"/>
        </w:rPr>
        <w:t>10</w:t>
      </w:r>
      <w:r>
        <w:rPr>
          <w:rFonts w:hint="eastAsia"/>
        </w:rPr>
        <w:t>款第</w:t>
      </w:r>
      <w:r>
        <w:rPr>
          <w:rFonts w:hint="eastAsia"/>
        </w:rPr>
        <w:t>3</w:t>
      </w:r>
      <w:r>
        <w:rPr>
          <w:rFonts w:hint="eastAsia"/>
        </w:rPr>
        <w:t>项。</w:t>
      </w:r>
    </w:p>
  </w:footnote>
  <w:footnote w:id="184">
    <w:p w:rsidR="00000000" w:rsidRDefault="009C1C61">
      <w:pPr>
        <w:pStyle w:val="FootnoteText"/>
      </w:pPr>
      <w:r>
        <w:rPr>
          <w:rStyle w:val="FootnoteReference"/>
        </w:rPr>
        <w:footnoteRef/>
      </w:r>
      <w:r>
        <w:t xml:space="preserve"> </w:t>
      </w:r>
      <w:r>
        <w:rPr>
          <w:rStyle w:val="FootnoteReference"/>
        </w:rPr>
        <w:t>182</w:t>
      </w:r>
      <w:r>
        <w:t xml:space="preserve"> </w:t>
      </w:r>
      <w:r>
        <w:rPr>
          <w:rFonts w:hint="eastAsia"/>
        </w:rPr>
        <w:tab/>
      </w:r>
      <w:r>
        <w:rPr>
          <w:rFonts w:hint="eastAsia"/>
        </w:rPr>
        <w:t>同上，第</w:t>
      </w:r>
      <w:r>
        <w:rPr>
          <w:rFonts w:hint="eastAsia"/>
        </w:rPr>
        <w:t>19</w:t>
      </w:r>
      <w:r>
        <w:rPr>
          <w:rFonts w:hint="eastAsia"/>
        </w:rPr>
        <w:t>条第</w:t>
      </w:r>
      <w:r>
        <w:rPr>
          <w:rFonts w:hint="eastAsia"/>
        </w:rPr>
        <w:t>11</w:t>
      </w:r>
      <w:r>
        <w:rPr>
          <w:rFonts w:hint="eastAsia"/>
        </w:rPr>
        <w:t>款第</w:t>
      </w:r>
      <w:r>
        <w:rPr>
          <w:rFonts w:hint="eastAsia"/>
        </w:rPr>
        <w:t>4</w:t>
      </w:r>
      <w:r>
        <w:rPr>
          <w:rFonts w:hint="eastAsia"/>
        </w:rPr>
        <w:t>项。</w:t>
      </w:r>
    </w:p>
  </w:footnote>
  <w:footnote w:id="185">
    <w:p w:rsidR="00000000" w:rsidRDefault="009C1C61">
      <w:pPr>
        <w:pStyle w:val="FootnoteText"/>
        <w:spacing w:line="240" w:lineRule="auto"/>
      </w:pPr>
      <w:r>
        <w:rPr>
          <w:rStyle w:val="FootnoteReference"/>
        </w:rPr>
        <w:footnoteRef/>
      </w:r>
      <w:r>
        <w:t xml:space="preserve"> </w:t>
      </w:r>
      <w:r>
        <w:rPr>
          <w:rFonts w:hint="eastAsia"/>
        </w:rPr>
        <w:tab/>
      </w:r>
      <w:r>
        <w:rPr>
          <w:rFonts w:hint="eastAsia"/>
        </w:rPr>
        <w:t>规合部，儿童问题部间工作组，</w:t>
      </w:r>
      <w:r>
        <w:rPr>
          <w:rFonts w:hint="eastAsia"/>
        </w:rPr>
        <w:t>1999</w:t>
      </w:r>
      <w:r>
        <w:rPr>
          <w:rFonts w:hint="eastAsia"/>
        </w:rPr>
        <w:t>年。</w:t>
      </w:r>
    </w:p>
  </w:footnote>
  <w:footnote w:id="186">
    <w:p w:rsidR="00000000" w:rsidRDefault="009C1C61">
      <w:pPr>
        <w:pStyle w:val="FootnoteText"/>
        <w:spacing w:line="240" w:lineRule="auto"/>
      </w:pPr>
      <w:r>
        <w:rPr>
          <w:rStyle w:val="FootnoteReference"/>
        </w:rPr>
        <w:footnoteRef/>
      </w:r>
      <w:r>
        <w:t xml:space="preserve"> </w:t>
      </w:r>
      <w:r>
        <w:rPr>
          <w:rFonts w:hint="eastAsia"/>
        </w:rPr>
        <w:tab/>
        <w:t>1994</w:t>
      </w:r>
      <w:r>
        <w:rPr>
          <w:rFonts w:hint="eastAsia"/>
        </w:rPr>
        <w:t>年</w:t>
      </w:r>
      <w:r>
        <w:rPr>
          <w:rFonts w:hint="eastAsia"/>
        </w:rPr>
        <w:t>9</w:t>
      </w:r>
      <w:r>
        <w:rPr>
          <w:rFonts w:hint="eastAsia"/>
        </w:rPr>
        <w:t>月第</w:t>
      </w:r>
      <w:r>
        <w:rPr>
          <w:rFonts w:hint="eastAsia"/>
        </w:rPr>
        <w:t>19,335</w:t>
      </w:r>
      <w:r>
        <w:rPr>
          <w:rFonts w:hint="eastAsia"/>
        </w:rPr>
        <w:t>号法令，</w:t>
      </w:r>
      <w:r>
        <w:rPr>
          <w:rFonts w:hint="eastAsia"/>
        </w:rPr>
        <w:t>涉及从他人获得的财产的分配问题。根据这项法律，配偶中任可一方均可向法院申请要求宣布家庭所使用的楼房内为家庭的主要居住地，楼房中的家具为“家庭财产”。在这种情况下，拥有财产的一方不得在未经另一方的同意之前出售或转让财产。</w:t>
      </w:r>
    </w:p>
  </w:footnote>
  <w:footnote w:id="187">
    <w:p w:rsidR="00000000" w:rsidRDefault="009C1C61">
      <w:pPr>
        <w:pStyle w:val="FootnoteText"/>
        <w:spacing w:line="240" w:lineRule="auto"/>
      </w:pPr>
      <w:r>
        <w:rPr>
          <w:rStyle w:val="FootnoteReference"/>
        </w:rPr>
        <w:footnoteRef/>
      </w:r>
      <w:r>
        <w:t xml:space="preserve"> </w:t>
      </w:r>
      <w:r>
        <w:rPr>
          <w:rFonts w:hint="eastAsia"/>
        </w:rPr>
        <w:tab/>
      </w:r>
      <w:r>
        <w:rPr>
          <w:rFonts w:hint="eastAsia"/>
        </w:rPr>
        <w:t>《儿童权利公约》第</w:t>
      </w:r>
      <w:r>
        <w:rPr>
          <w:rFonts w:hint="eastAsia"/>
        </w:rPr>
        <w:t>18</w:t>
      </w:r>
      <w:r>
        <w:rPr>
          <w:rFonts w:hint="eastAsia"/>
        </w:rPr>
        <w:t>条以及《公民权利和政治权利国际公约》第二十四条第</w:t>
      </w:r>
      <w:r>
        <w:rPr>
          <w:rFonts w:hint="eastAsia"/>
        </w:rPr>
        <w:t>1</w:t>
      </w:r>
      <w:r>
        <w:rPr>
          <w:rFonts w:hint="eastAsia"/>
        </w:rPr>
        <w:t>款规定了这项权利，其措辞如下：“每一儿童应有权享受家庭、社会和国家为其未成年地位给予的必要保护措施，不因种族、肤色、性别、语言、宗教、国籍或社会出身、财产或出生而受任何歧视。”。</w:t>
      </w:r>
    </w:p>
  </w:footnote>
  <w:footnote w:id="188">
    <w:p w:rsidR="00000000" w:rsidRDefault="009C1C61">
      <w:pPr>
        <w:pStyle w:val="FootnoteText"/>
        <w:spacing w:line="240" w:lineRule="auto"/>
      </w:pPr>
      <w:r>
        <w:rPr>
          <w:rStyle w:val="FootnoteReference"/>
        </w:rPr>
        <w:footnoteRef/>
      </w:r>
      <w:r>
        <w:t xml:space="preserve"> </w:t>
      </w:r>
      <w:r>
        <w:rPr>
          <w:rFonts w:hint="eastAsia"/>
        </w:rPr>
        <w:tab/>
      </w:r>
      <w:r>
        <w:rPr>
          <w:rFonts w:hint="eastAsia"/>
        </w:rPr>
        <w:t>第</w:t>
      </w:r>
      <w:r>
        <w:rPr>
          <w:rFonts w:hint="eastAsia"/>
        </w:rPr>
        <w:t>19,620</w:t>
      </w:r>
      <w:r>
        <w:rPr>
          <w:rFonts w:hint="eastAsia"/>
        </w:rPr>
        <w:t>号法令。</w:t>
      </w:r>
    </w:p>
  </w:footnote>
  <w:footnote w:id="189">
    <w:p w:rsidR="00000000" w:rsidRDefault="009C1C61">
      <w:pPr>
        <w:pStyle w:val="FootnoteText"/>
        <w:spacing w:line="240" w:lineRule="auto"/>
      </w:pPr>
      <w:r>
        <w:rPr>
          <w:rStyle w:val="FootnoteReference"/>
        </w:rPr>
        <w:footnoteRef/>
      </w:r>
      <w:r>
        <w:t xml:space="preserve"> </w:t>
      </w:r>
      <w:r>
        <w:rPr>
          <w:rFonts w:hint="eastAsia"/>
        </w:rPr>
        <w:tab/>
      </w:r>
      <w:r>
        <w:rPr>
          <w:rFonts w:hint="eastAsia"/>
        </w:rPr>
        <w:t>第１、</w:t>
      </w:r>
      <w:r>
        <w:rPr>
          <w:rFonts w:hint="eastAsia"/>
        </w:rPr>
        <w:t>3</w:t>
      </w:r>
      <w:r>
        <w:rPr>
          <w:rFonts w:hint="eastAsia"/>
        </w:rPr>
        <w:t>、</w:t>
      </w:r>
      <w:r>
        <w:rPr>
          <w:rFonts w:hint="eastAsia"/>
        </w:rPr>
        <w:t>19</w:t>
      </w:r>
      <w:r>
        <w:rPr>
          <w:rFonts w:hint="eastAsia"/>
        </w:rPr>
        <w:t>、</w:t>
      </w:r>
      <w:r>
        <w:rPr>
          <w:rFonts w:hint="eastAsia"/>
        </w:rPr>
        <w:t>24</w:t>
      </w:r>
      <w:r>
        <w:rPr>
          <w:rFonts w:hint="eastAsia"/>
        </w:rPr>
        <w:t>、</w:t>
      </w:r>
      <w:r>
        <w:rPr>
          <w:rFonts w:hint="eastAsia"/>
        </w:rPr>
        <w:t>30</w:t>
      </w:r>
      <w:r>
        <w:rPr>
          <w:rFonts w:hint="eastAsia"/>
        </w:rPr>
        <w:t>和</w:t>
      </w:r>
      <w:r>
        <w:rPr>
          <w:rFonts w:hint="eastAsia"/>
        </w:rPr>
        <w:t>45</w:t>
      </w:r>
      <w:r>
        <w:rPr>
          <w:rFonts w:hint="eastAsia"/>
        </w:rPr>
        <w:t>条。</w:t>
      </w:r>
    </w:p>
  </w:footnote>
  <w:footnote w:id="190">
    <w:p w:rsidR="00000000" w:rsidRDefault="009C1C61">
      <w:pPr>
        <w:pStyle w:val="FootnoteText"/>
        <w:spacing w:line="240" w:lineRule="auto"/>
      </w:pPr>
      <w:r>
        <w:rPr>
          <w:rStyle w:val="FootnoteReference"/>
        </w:rPr>
        <w:footnoteRef/>
      </w:r>
      <w:r>
        <w:t xml:space="preserve"> </w:t>
      </w:r>
      <w:r>
        <w:rPr>
          <w:rFonts w:hint="eastAsia"/>
        </w:rPr>
        <w:tab/>
      </w:r>
      <w:r>
        <w:rPr>
          <w:rFonts w:hint="eastAsia"/>
        </w:rPr>
        <w:t>第</w:t>
      </w:r>
      <w:r>
        <w:t>3</w:t>
      </w:r>
      <w:r>
        <w:rPr>
          <w:rFonts w:hint="eastAsia"/>
        </w:rPr>
        <w:t>条。</w:t>
      </w:r>
    </w:p>
  </w:footnote>
  <w:footnote w:id="191">
    <w:p w:rsidR="00000000" w:rsidRDefault="009C1C61">
      <w:pPr>
        <w:pStyle w:val="FootnoteText"/>
        <w:spacing w:line="240" w:lineRule="auto"/>
      </w:pPr>
      <w:r>
        <w:rPr>
          <w:rStyle w:val="FootnoteReference"/>
        </w:rPr>
        <w:footnoteRef/>
      </w:r>
      <w:r>
        <w:t xml:space="preserve"> </w:t>
      </w:r>
      <w:r>
        <w:rPr>
          <w:rFonts w:hint="eastAsia"/>
        </w:rPr>
        <w:tab/>
      </w:r>
      <w:r>
        <w:rPr>
          <w:rFonts w:hint="eastAsia"/>
        </w:rPr>
        <w:t>除其他条款外，还包括第１和第</w:t>
      </w:r>
      <w:r>
        <w:rPr>
          <w:rFonts w:hint="eastAsia"/>
        </w:rPr>
        <w:t>7</w:t>
      </w:r>
      <w:r>
        <w:rPr>
          <w:rFonts w:hint="eastAsia"/>
        </w:rPr>
        <w:t>条。</w:t>
      </w:r>
    </w:p>
  </w:footnote>
  <w:footnote w:id="192">
    <w:p w:rsidR="00000000" w:rsidRDefault="009C1C61">
      <w:pPr>
        <w:pStyle w:val="FootnoteText"/>
        <w:spacing w:line="240" w:lineRule="auto"/>
      </w:pPr>
      <w:r>
        <w:rPr>
          <w:rStyle w:val="FootnoteReference"/>
        </w:rPr>
        <w:footnoteRef/>
      </w:r>
      <w:r>
        <w:t xml:space="preserve"> </w:t>
      </w:r>
      <w:r>
        <w:rPr>
          <w:rFonts w:hint="eastAsia"/>
        </w:rPr>
        <w:tab/>
      </w:r>
      <w:r>
        <w:rPr>
          <w:rFonts w:hint="eastAsia"/>
        </w:rPr>
        <w:t>第</w:t>
      </w:r>
      <w:r>
        <w:rPr>
          <w:rFonts w:hint="eastAsia"/>
        </w:rPr>
        <w:t>19,620</w:t>
      </w:r>
      <w:r>
        <w:rPr>
          <w:rFonts w:hint="eastAsia"/>
        </w:rPr>
        <w:t>号法令，法令的条例及《关于国际领养问题的海牙公约》。</w:t>
      </w:r>
    </w:p>
  </w:footnote>
  <w:footnote w:id="193">
    <w:p w:rsidR="00000000" w:rsidRDefault="009C1C61">
      <w:pPr>
        <w:pStyle w:val="FootnoteText"/>
        <w:spacing w:line="240" w:lineRule="auto"/>
      </w:pPr>
      <w:r>
        <w:rPr>
          <w:rStyle w:val="FootnoteReference"/>
        </w:rPr>
        <w:footnoteRef/>
      </w:r>
      <w:r>
        <w:t xml:space="preserve"> </w:t>
      </w:r>
      <w:r>
        <w:rPr>
          <w:rFonts w:hint="eastAsia"/>
        </w:rPr>
        <w:tab/>
      </w:r>
      <w:r>
        <w:rPr>
          <w:rFonts w:hint="eastAsia"/>
        </w:rPr>
        <w:t>受到</w:t>
      </w:r>
      <w:r>
        <w:rPr>
          <w:rFonts w:hint="eastAsia"/>
        </w:rPr>
        <w:t>1988</w:t>
      </w:r>
      <w:r>
        <w:rPr>
          <w:rFonts w:hint="eastAsia"/>
        </w:rPr>
        <w:t>年第</w:t>
      </w:r>
      <w:r>
        <w:rPr>
          <w:rFonts w:hint="eastAsia"/>
        </w:rPr>
        <w:t>18,703</w:t>
      </w:r>
      <w:r>
        <w:rPr>
          <w:rFonts w:hint="eastAsia"/>
        </w:rPr>
        <w:t>号法令、</w:t>
      </w:r>
      <w:r>
        <w:rPr>
          <w:rFonts w:hint="eastAsia"/>
        </w:rPr>
        <w:t>1945</w:t>
      </w:r>
      <w:r>
        <w:rPr>
          <w:rFonts w:hint="eastAsia"/>
        </w:rPr>
        <w:t>年第</w:t>
      </w:r>
      <w:r>
        <w:rPr>
          <w:rFonts w:hint="eastAsia"/>
        </w:rPr>
        <w:t>7,613</w:t>
      </w:r>
      <w:r>
        <w:rPr>
          <w:rFonts w:hint="eastAsia"/>
        </w:rPr>
        <w:t>号法令的约束。</w:t>
      </w:r>
    </w:p>
  </w:footnote>
  <w:footnote w:id="194">
    <w:p w:rsidR="00000000" w:rsidRDefault="009C1C61">
      <w:pPr>
        <w:pStyle w:val="FootnoteText"/>
      </w:pPr>
      <w:r>
        <w:rPr>
          <w:rStyle w:val="FootnoteReference"/>
        </w:rPr>
        <w:footnoteRef/>
      </w:r>
      <w:r>
        <w:t xml:space="preserve"> </w:t>
      </w:r>
      <w:r>
        <w:rPr>
          <w:rFonts w:hint="eastAsia"/>
        </w:rPr>
        <w:tab/>
      </w:r>
      <w:r>
        <w:rPr>
          <w:rFonts w:hint="eastAsia"/>
        </w:rPr>
        <w:t>见关于《公约》第</w:t>
      </w:r>
      <w:r>
        <w:rPr>
          <w:rFonts w:hint="eastAsia"/>
        </w:rPr>
        <w:t>12</w:t>
      </w:r>
      <w:r>
        <w:rPr>
          <w:rFonts w:hint="eastAsia"/>
        </w:rPr>
        <w:t>条的本报告背景中所提出的表</w:t>
      </w:r>
      <w:r>
        <w:rPr>
          <w:rFonts w:hint="eastAsia"/>
        </w:rPr>
        <w:t>35</w:t>
      </w:r>
      <w:r>
        <w:rPr>
          <w:rFonts w:hint="eastAsia"/>
        </w:rPr>
        <w:t>“健康指数”。</w:t>
      </w:r>
    </w:p>
  </w:footnote>
  <w:footnote w:id="195">
    <w:p w:rsidR="00000000" w:rsidRDefault="009C1C61">
      <w:pPr>
        <w:pStyle w:val="FootnoteText"/>
      </w:pPr>
      <w:r>
        <w:rPr>
          <w:rStyle w:val="FootnoteReference"/>
        </w:rPr>
        <w:footnoteRef/>
      </w:r>
      <w:r>
        <w:t xml:space="preserve"> </w:t>
      </w:r>
      <w:r>
        <w:rPr>
          <w:rFonts w:hint="eastAsia"/>
        </w:rPr>
        <w:tab/>
      </w:r>
      <w:r>
        <w:rPr>
          <w:rFonts w:hint="eastAsia"/>
        </w:rPr>
        <w:t>《劳工法》第二编第二节第</w:t>
      </w:r>
      <w:r>
        <w:rPr>
          <w:rFonts w:hint="eastAsia"/>
        </w:rPr>
        <w:t>197</w:t>
      </w:r>
      <w:r>
        <w:rPr>
          <w:rFonts w:hint="eastAsia"/>
        </w:rPr>
        <w:t>—</w:t>
      </w:r>
      <w:r>
        <w:rPr>
          <w:rFonts w:hint="eastAsia"/>
        </w:rPr>
        <w:t>208</w:t>
      </w:r>
      <w:r>
        <w:rPr>
          <w:rFonts w:hint="eastAsia"/>
        </w:rPr>
        <w:t>条。</w:t>
      </w:r>
    </w:p>
  </w:footnote>
  <w:footnote w:id="196">
    <w:p w:rsidR="00000000" w:rsidRDefault="009C1C61">
      <w:pPr>
        <w:pStyle w:val="FootnoteText"/>
      </w:pPr>
      <w:r>
        <w:rPr>
          <w:rStyle w:val="FootnoteReference"/>
        </w:rPr>
        <w:footnoteRef/>
      </w:r>
      <w:r>
        <w:t xml:space="preserve"> </w:t>
      </w:r>
      <w:r>
        <w:rPr>
          <w:rFonts w:hint="eastAsia"/>
        </w:rPr>
        <w:tab/>
      </w:r>
      <w:r>
        <w:rPr>
          <w:rFonts w:hint="eastAsia"/>
        </w:rPr>
        <w:t>同上，第</w:t>
      </w:r>
      <w:r>
        <w:rPr>
          <w:rFonts w:hint="eastAsia"/>
        </w:rPr>
        <w:t>194</w:t>
      </w:r>
      <w:r>
        <w:rPr>
          <w:rFonts w:hint="eastAsia"/>
        </w:rPr>
        <w:t>条。</w:t>
      </w:r>
    </w:p>
  </w:footnote>
  <w:footnote w:id="197">
    <w:p w:rsidR="00000000" w:rsidRDefault="009C1C61">
      <w:pPr>
        <w:pStyle w:val="FootnoteText"/>
        <w:spacing w:line="240" w:lineRule="auto"/>
      </w:pPr>
      <w:r>
        <w:rPr>
          <w:rStyle w:val="FootnoteReference"/>
        </w:rPr>
        <w:footnoteRef/>
      </w:r>
      <w:r>
        <w:t xml:space="preserve"> </w:t>
      </w:r>
      <w:r>
        <w:rPr>
          <w:rFonts w:hint="eastAsia"/>
        </w:rPr>
        <w:tab/>
        <w:t>1998</w:t>
      </w:r>
      <w:r>
        <w:rPr>
          <w:rFonts w:hint="eastAsia"/>
        </w:rPr>
        <w:t>年</w:t>
      </w:r>
      <w:r>
        <w:rPr>
          <w:rFonts w:hint="eastAsia"/>
        </w:rPr>
        <w:t>11</w:t>
      </w:r>
      <w:r>
        <w:rPr>
          <w:rFonts w:hint="eastAsia"/>
        </w:rPr>
        <w:t>月第</w:t>
      </w:r>
      <w:r>
        <w:rPr>
          <w:rFonts w:hint="eastAsia"/>
        </w:rPr>
        <w:t>19,591</w:t>
      </w:r>
      <w:r>
        <w:rPr>
          <w:rFonts w:hint="eastAsia"/>
        </w:rPr>
        <w:t>号法令修正案。</w:t>
      </w:r>
    </w:p>
  </w:footnote>
  <w:footnote w:id="198">
    <w:p w:rsidR="00000000" w:rsidRDefault="009C1C61">
      <w:pPr>
        <w:pStyle w:val="FootnoteText"/>
        <w:spacing w:line="240" w:lineRule="auto"/>
      </w:pPr>
      <w:r>
        <w:rPr>
          <w:rStyle w:val="FootnoteReference"/>
        </w:rPr>
        <w:footnoteRef/>
      </w:r>
      <w:r>
        <w:t xml:space="preserve"> </w:t>
      </w:r>
      <w:r>
        <w:rPr>
          <w:rFonts w:hint="eastAsia"/>
        </w:rPr>
        <w:tab/>
      </w:r>
      <w:r>
        <w:rPr>
          <w:rFonts w:hint="eastAsia"/>
        </w:rPr>
        <w:t>《劳工法》第</w:t>
      </w:r>
      <w:r>
        <w:rPr>
          <w:rFonts w:hint="eastAsia"/>
        </w:rPr>
        <w:t>195</w:t>
      </w:r>
      <w:r>
        <w:rPr>
          <w:rFonts w:hint="eastAsia"/>
        </w:rPr>
        <w:t>条。</w:t>
      </w:r>
    </w:p>
  </w:footnote>
  <w:footnote w:id="199">
    <w:p w:rsidR="00000000" w:rsidRDefault="009C1C61">
      <w:pPr>
        <w:pStyle w:val="FootnoteText"/>
        <w:spacing w:line="240" w:lineRule="auto"/>
      </w:pPr>
      <w:r>
        <w:rPr>
          <w:rStyle w:val="FootnoteReference"/>
        </w:rPr>
        <w:footnoteRef/>
      </w:r>
      <w:r>
        <w:t xml:space="preserve"> </w:t>
      </w:r>
      <w:r>
        <w:rPr>
          <w:rStyle w:val="FootnoteReference"/>
        </w:rPr>
        <w:t>197</w:t>
      </w:r>
      <w:r>
        <w:rPr>
          <w:rFonts w:hint="eastAsia"/>
        </w:rPr>
        <w:tab/>
      </w:r>
      <w:r>
        <w:t xml:space="preserve"> </w:t>
      </w:r>
      <w:r>
        <w:rPr>
          <w:rFonts w:hint="eastAsia"/>
        </w:rPr>
        <w:t>同上，第</w:t>
      </w:r>
      <w:r>
        <w:rPr>
          <w:rFonts w:hint="eastAsia"/>
        </w:rPr>
        <w:t>196</w:t>
      </w:r>
      <w:r>
        <w:rPr>
          <w:rFonts w:hint="eastAsia"/>
        </w:rPr>
        <w:t>条</w:t>
      </w:r>
      <w:r>
        <w:rPr>
          <w:rFonts w:hint="eastAsia"/>
        </w:rPr>
        <w:t>。</w:t>
      </w:r>
    </w:p>
  </w:footnote>
  <w:footnote w:id="200">
    <w:p w:rsidR="00000000" w:rsidRDefault="009C1C61">
      <w:pPr>
        <w:pStyle w:val="FootnoteText"/>
        <w:spacing w:line="240" w:lineRule="auto"/>
      </w:pPr>
      <w:r>
        <w:rPr>
          <w:rStyle w:val="FootnoteReference"/>
        </w:rPr>
        <w:footnoteRef/>
      </w:r>
      <w:r>
        <w:t xml:space="preserve"> </w:t>
      </w:r>
      <w:r>
        <w:rPr>
          <w:rFonts w:hint="eastAsia"/>
        </w:rPr>
        <w:tab/>
      </w:r>
      <w:r>
        <w:rPr>
          <w:rFonts w:hint="eastAsia"/>
        </w:rPr>
        <w:t>同上，第</w:t>
      </w:r>
      <w:r>
        <w:rPr>
          <w:rFonts w:hint="eastAsia"/>
        </w:rPr>
        <w:t>2</w:t>
      </w:r>
      <w:r>
        <w:rPr>
          <w:rFonts w:hint="eastAsia"/>
        </w:rPr>
        <w:t>项。</w:t>
      </w:r>
    </w:p>
  </w:footnote>
  <w:footnote w:id="201">
    <w:p w:rsidR="00000000" w:rsidRDefault="009C1C61">
      <w:pPr>
        <w:pStyle w:val="FootnoteText"/>
        <w:spacing w:line="240" w:lineRule="auto"/>
      </w:pPr>
      <w:r>
        <w:rPr>
          <w:rStyle w:val="FootnoteReference"/>
        </w:rPr>
        <w:footnoteRef/>
      </w:r>
      <w:r>
        <w:t xml:space="preserve"> </w:t>
      </w:r>
      <w:r>
        <w:rPr>
          <w:rStyle w:val="FootnoteReference"/>
        </w:rPr>
        <w:t>199</w:t>
      </w:r>
      <w:r>
        <w:rPr>
          <w:rFonts w:hint="eastAsia"/>
        </w:rPr>
        <w:t xml:space="preserve"> </w:t>
      </w:r>
      <w:r>
        <w:rPr>
          <w:rFonts w:hint="eastAsia"/>
        </w:rPr>
        <w:tab/>
      </w:r>
      <w:r>
        <w:rPr>
          <w:rFonts w:hint="eastAsia"/>
        </w:rPr>
        <w:t>同上，第</w:t>
      </w:r>
      <w:r>
        <w:rPr>
          <w:rFonts w:hint="eastAsia"/>
        </w:rPr>
        <w:t>3</w:t>
      </w:r>
      <w:r>
        <w:rPr>
          <w:rFonts w:hint="eastAsia"/>
        </w:rPr>
        <w:t>项。</w:t>
      </w:r>
    </w:p>
  </w:footnote>
  <w:footnote w:id="202">
    <w:p w:rsidR="00000000" w:rsidRDefault="009C1C61">
      <w:pPr>
        <w:pStyle w:val="FootnoteText"/>
        <w:spacing w:line="240" w:lineRule="auto"/>
      </w:pPr>
      <w:r>
        <w:rPr>
          <w:rStyle w:val="FootnoteReference"/>
        </w:rPr>
        <w:footnoteRef/>
      </w:r>
      <w:r>
        <w:t xml:space="preserve"> </w:t>
      </w:r>
      <w:r>
        <w:tab/>
      </w:r>
      <w:r>
        <w:rPr>
          <w:rFonts w:hint="eastAsia"/>
        </w:rPr>
        <w:t>《劳工法》第</w:t>
      </w:r>
      <w:r>
        <w:rPr>
          <w:rFonts w:hint="eastAsia"/>
        </w:rPr>
        <w:t>198</w:t>
      </w:r>
      <w:r>
        <w:rPr>
          <w:rFonts w:hint="eastAsia"/>
        </w:rPr>
        <w:t>条。</w:t>
      </w:r>
    </w:p>
  </w:footnote>
  <w:footnote w:id="203">
    <w:p w:rsidR="00000000" w:rsidRDefault="009C1C61">
      <w:pPr>
        <w:pStyle w:val="FootnoteText"/>
        <w:spacing w:line="240" w:lineRule="auto"/>
      </w:pPr>
      <w:r>
        <w:rPr>
          <w:rStyle w:val="FootnoteReference"/>
        </w:rPr>
        <w:footnoteRef/>
      </w:r>
      <w:r>
        <w:t xml:space="preserve"> </w:t>
      </w:r>
      <w:r>
        <w:tab/>
      </w:r>
      <w:r>
        <w:rPr>
          <w:rFonts w:hint="eastAsia"/>
        </w:rPr>
        <w:t>1993</w:t>
      </w:r>
      <w:r>
        <w:rPr>
          <w:rFonts w:hint="eastAsia"/>
        </w:rPr>
        <w:t>年</w:t>
      </w:r>
      <w:r>
        <w:rPr>
          <w:rFonts w:hint="eastAsia"/>
        </w:rPr>
        <w:t>9</w:t>
      </w:r>
      <w:r>
        <w:rPr>
          <w:rFonts w:hint="eastAsia"/>
        </w:rPr>
        <w:t>月第</w:t>
      </w:r>
      <w:r>
        <w:rPr>
          <w:rFonts w:hint="eastAsia"/>
        </w:rPr>
        <w:t>19</w:t>
      </w:r>
      <w:r>
        <w:rPr>
          <w:rFonts w:hint="eastAsia"/>
        </w:rPr>
        <w:t>，</w:t>
      </w:r>
      <w:r>
        <w:rPr>
          <w:rFonts w:hint="eastAsia"/>
        </w:rPr>
        <w:t>250</w:t>
      </w:r>
      <w:r>
        <w:rPr>
          <w:rFonts w:hint="eastAsia"/>
        </w:rPr>
        <w:t>号法令。</w:t>
      </w:r>
    </w:p>
  </w:footnote>
  <w:footnote w:id="204">
    <w:p w:rsidR="00000000" w:rsidRDefault="009C1C61">
      <w:pPr>
        <w:pStyle w:val="FootnoteText"/>
      </w:pPr>
      <w:r>
        <w:rPr>
          <w:rStyle w:val="FootnoteReference"/>
        </w:rPr>
        <w:footnoteRef/>
      </w:r>
      <w:r>
        <w:t xml:space="preserve"> </w:t>
      </w:r>
      <w:r>
        <w:tab/>
      </w:r>
      <w:r>
        <w:rPr>
          <w:rFonts w:hint="eastAsia"/>
        </w:rPr>
        <w:t>《劳工法》第</w:t>
      </w:r>
      <w:r>
        <w:rPr>
          <w:rFonts w:hint="eastAsia"/>
        </w:rPr>
        <w:t>201</w:t>
      </w:r>
      <w:r>
        <w:rPr>
          <w:rFonts w:hint="eastAsia"/>
        </w:rPr>
        <w:t>条。</w:t>
      </w:r>
    </w:p>
  </w:footnote>
  <w:footnote w:id="205">
    <w:p w:rsidR="00000000" w:rsidRDefault="009C1C61">
      <w:pPr>
        <w:pStyle w:val="FootnoteText"/>
      </w:pPr>
      <w:r>
        <w:rPr>
          <w:rStyle w:val="FootnoteReference"/>
        </w:rPr>
        <w:footnoteRef/>
      </w:r>
      <w:r>
        <w:t xml:space="preserve"> </w:t>
      </w:r>
      <w:r>
        <w:tab/>
      </w:r>
      <w:r>
        <w:rPr>
          <w:rFonts w:hint="eastAsia"/>
        </w:rPr>
        <w:t>同上，第</w:t>
      </w:r>
      <w:r>
        <w:rPr>
          <w:rFonts w:hint="eastAsia"/>
        </w:rPr>
        <w:t>200</w:t>
      </w:r>
      <w:r>
        <w:rPr>
          <w:rFonts w:hint="eastAsia"/>
        </w:rPr>
        <w:t>条。</w:t>
      </w:r>
    </w:p>
  </w:footnote>
  <w:footnote w:id="206">
    <w:p w:rsidR="00000000" w:rsidRDefault="009C1C61">
      <w:pPr>
        <w:pStyle w:val="FootnoteText"/>
        <w:rPr>
          <w:rFonts w:hint="eastAsia"/>
        </w:rPr>
      </w:pPr>
      <w:r>
        <w:rPr>
          <w:rStyle w:val="FootnoteReference"/>
        </w:rPr>
        <w:footnoteRef/>
      </w:r>
      <w:r>
        <w:t xml:space="preserve"> </w:t>
      </w:r>
      <w:r>
        <w:tab/>
      </w:r>
      <w:r>
        <w:rPr>
          <w:rFonts w:hint="eastAsia"/>
        </w:rPr>
        <w:t>这些津贴是根据劳工和社会保障部</w:t>
      </w:r>
      <w:r>
        <w:rPr>
          <w:rFonts w:hint="eastAsia"/>
        </w:rPr>
        <w:t>1978</w:t>
      </w:r>
      <w:r>
        <w:rPr>
          <w:rFonts w:hint="eastAsia"/>
        </w:rPr>
        <w:t>年第</w:t>
      </w:r>
      <w:r>
        <w:rPr>
          <w:rFonts w:hint="eastAsia"/>
        </w:rPr>
        <w:t>44</w:t>
      </w:r>
      <w:r>
        <w:rPr>
          <w:rFonts w:hint="eastAsia"/>
        </w:rPr>
        <w:t>号立法令的规定发放的。该项法令后经过</w:t>
      </w:r>
      <w:r>
        <w:rPr>
          <w:rFonts w:hint="eastAsia"/>
        </w:rPr>
        <w:t>1994</w:t>
      </w:r>
      <w:r>
        <w:rPr>
          <w:rFonts w:hint="eastAsia"/>
        </w:rPr>
        <w:t>年</w:t>
      </w:r>
      <w:r>
        <w:rPr>
          <w:rFonts w:hint="eastAsia"/>
        </w:rPr>
        <w:t>3</w:t>
      </w:r>
      <w:r>
        <w:rPr>
          <w:rFonts w:hint="eastAsia"/>
        </w:rPr>
        <w:t>月</w:t>
      </w:r>
      <w:r>
        <w:rPr>
          <w:rFonts w:hint="eastAsia"/>
        </w:rPr>
        <w:t>12</w:t>
      </w:r>
      <w:r>
        <w:rPr>
          <w:rFonts w:hint="eastAsia"/>
        </w:rPr>
        <w:t>日的第</w:t>
      </w:r>
      <w:r>
        <w:rPr>
          <w:rFonts w:hint="eastAsia"/>
        </w:rPr>
        <w:t>19</w:t>
      </w:r>
      <w:r>
        <w:rPr>
          <w:rFonts w:hint="eastAsia"/>
        </w:rPr>
        <w:t>，</w:t>
      </w:r>
      <w:r>
        <w:rPr>
          <w:rFonts w:hint="eastAsia"/>
        </w:rPr>
        <w:t>299</w:t>
      </w:r>
      <w:r>
        <w:rPr>
          <w:rFonts w:hint="eastAsia"/>
        </w:rPr>
        <w:t>号法令、</w:t>
      </w:r>
      <w:r>
        <w:t>1985</w:t>
      </w:r>
      <w:r>
        <w:rPr>
          <w:rFonts w:hint="eastAsia"/>
        </w:rPr>
        <w:t>年</w:t>
      </w:r>
      <w:r>
        <w:rPr>
          <w:rFonts w:hint="eastAsia"/>
        </w:rPr>
        <w:t>7</w:t>
      </w:r>
      <w:r>
        <w:rPr>
          <w:rFonts w:hint="eastAsia"/>
        </w:rPr>
        <w:t>月</w:t>
      </w:r>
      <w:r>
        <w:rPr>
          <w:rFonts w:hint="eastAsia"/>
        </w:rPr>
        <w:t>11</w:t>
      </w:r>
      <w:r>
        <w:rPr>
          <w:rFonts w:hint="eastAsia"/>
        </w:rPr>
        <w:t>日第</w:t>
      </w:r>
      <w:r>
        <w:rPr>
          <w:rFonts w:hint="eastAsia"/>
        </w:rPr>
        <w:t>18</w:t>
      </w:r>
      <w:r>
        <w:rPr>
          <w:rFonts w:hint="eastAsia"/>
        </w:rPr>
        <w:t>，</w:t>
      </w:r>
      <w:r>
        <w:rPr>
          <w:rFonts w:hint="eastAsia"/>
        </w:rPr>
        <w:t>418</w:t>
      </w:r>
      <w:r>
        <w:rPr>
          <w:rFonts w:hint="eastAsia"/>
        </w:rPr>
        <w:t>号法令和</w:t>
      </w:r>
      <w:r>
        <w:rPr>
          <w:rFonts w:hint="eastAsia"/>
        </w:rPr>
        <w:t>1985</w:t>
      </w:r>
      <w:r>
        <w:rPr>
          <w:rFonts w:hint="eastAsia"/>
        </w:rPr>
        <w:t>年</w:t>
      </w:r>
      <w:r>
        <w:rPr>
          <w:rFonts w:hint="eastAsia"/>
        </w:rPr>
        <w:t>11</w:t>
      </w:r>
      <w:r>
        <w:rPr>
          <w:rFonts w:hint="eastAsia"/>
        </w:rPr>
        <w:t>月</w:t>
      </w:r>
      <w:r>
        <w:rPr>
          <w:rFonts w:hint="eastAsia"/>
        </w:rPr>
        <w:t>23</w:t>
      </w:r>
      <w:r>
        <w:rPr>
          <w:rFonts w:hint="eastAsia"/>
        </w:rPr>
        <w:t>日第</w:t>
      </w:r>
      <w:r>
        <w:rPr>
          <w:rFonts w:hint="eastAsia"/>
        </w:rPr>
        <w:t>18</w:t>
      </w:r>
      <w:r>
        <w:rPr>
          <w:rFonts w:hint="eastAsia"/>
        </w:rPr>
        <w:t>，</w:t>
      </w:r>
      <w:r>
        <w:rPr>
          <w:rFonts w:hint="eastAsia"/>
        </w:rPr>
        <w:t>469</w:t>
      </w:r>
      <w:r>
        <w:rPr>
          <w:rFonts w:hint="eastAsia"/>
        </w:rPr>
        <w:t>号法令的修正。</w:t>
      </w:r>
    </w:p>
  </w:footnote>
  <w:footnote w:id="207">
    <w:p w:rsidR="00000000" w:rsidRDefault="009C1C61">
      <w:pPr>
        <w:pStyle w:val="FootnoteText"/>
      </w:pPr>
      <w:r>
        <w:rPr>
          <w:rStyle w:val="FootnoteReference"/>
        </w:rPr>
        <w:footnoteRef/>
      </w:r>
      <w:r>
        <w:t xml:space="preserve"> </w:t>
      </w:r>
      <w:r>
        <w:tab/>
      </w:r>
      <w:r>
        <w:rPr>
          <w:rFonts w:hint="eastAsia"/>
        </w:rPr>
        <w:t>第</w:t>
      </w:r>
      <w:r>
        <w:rPr>
          <w:rFonts w:hint="eastAsia"/>
        </w:rPr>
        <w:t>44</w:t>
      </w:r>
      <w:r>
        <w:rPr>
          <w:rFonts w:hint="eastAsia"/>
        </w:rPr>
        <w:t>号立法令第</w:t>
      </w:r>
      <w:r>
        <w:t>8</w:t>
      </w:r>
      <w:r>
        <w:rPr>
          <w:rFonts w:hint="eastAsia"/>
        </w:rPr>
        <w:t>条。</w:t>
      </w:r>
    </w:p>
  </w:footnote>
  <w:footnote w:id="208">
    <w:p w:rsidR="00000000" w:rsidRDefault="009C1C61">
      <w:pPr>
        <w:pStyle w:val="FootnoteText"/>
      </w:pPr>
      <w:r>
        <w:rPr>
          <w:rStyle w:val="FootnoteReference"/>
        </w:rPr>
        <w:footnoteRef/>
      </w:r>
      <w:r>
        <w:t xml:space="preserve"> </w:t>
      </w:r>
      <w:r>
        <w:tab/>
      </w:r>
      <w:r>
        <w:rPr>
          <w:rFonts w:hint="eastAsia"/>
        </w:rPr>
        <w:t>1985</w:t>
      </w:r>
      <w:r>
        <w:rPr>
          <w:rFonts w:hint="eastAsia"/>
        </w:rPr>
        <w:t>年第</w:t>
      </w:r>
      <w:r>
        <w:t>18</w:t>
      </w:r>
      <w:r>
        <w:rPr>
          <w:rFonts w:hint="eastAsia"/>
        </w:rPr>
        <w:t>，</w:t>
      </w:r>
      <w:r>
        <w:rPr>
          <w:rFonts w:hint="eastAsia"/>
        </w:rPr>
        <w:t>469</w:t>
      </w:r>
      <w:r>
        <w:rPr>
          <w:rFonts w:hint="eastAsia"/>
        </w:rPr>
        <w:t>号法令第</w:t>
      </w:r>
      <w:r>
        <w:rPr>
          <w:rFonts w:hint="eastAsia"/>
        </w:rPr>
        <w:t>21</w:t>
      </w:r>
      <w:r>
        <w:rPr>
          <w:rFonts w:hint="eastAsia"/>
        </w:rPr>
        <w:t>条。根据得到第</w:t>
      </w:r>
      <w:r>
        <w:rPr>
          <w:rFonts w:hint="eastAsia"/>
        </w:rPr>
        <w:t>19</w:t>
      </w:r>
      <w:r>
        <w:rPr>
          <w:rFonts w:hint="eastAsia"/>
        </w:rPr>
        <w:t>，</w:t>
      </w:r>
      <w:r>
        <w:rPr>
          <w:rFonts w:hint="eastAsia"/>
        </w:rPr>
        <w:t>299</w:t>
      </w:r>
      <w:r>
        <w:rPr>
          <w:rFonts w:hint="eastAsia"/>
        </w:rPr>
        <w:t>号</w:t>
      </w:r>
      <w:r>
        <w:rPr>
          <w:rFonts w:hint="eastAsia"/>
        </w:rPr>
        <w:t>法令补充的第</w:t>
      </w:r>
      <w:r>
        <w:rPr>
          <w:rFonts w:hint="eastAsia"/>
        </w:rPr>
        <w:t>44</w:t>
      </w:r>
      <w:r>
        <w:rPr>
          <w:rFonts w:hint="eastAsia"/>
        </w:rPr>
        <w:t>号立法令第</w:t>
      </w:r>
      <w:r>
        <w:t>8</w:t>
      </w:r>
      <w:r>
        <w:rPr>
          <w:rFonts w:hint="eastAsia"/>
        </w:rPr>
        <w:t>条新的第</w:t>
      </w:r>
      <w:r>
        <w:t>4</w:t>
      </w:r>
      <w:r>
        <w:rPr>
          <w:rFonts w:hint="eastAsia"/>
        </w:rPr>
        <w:t>款，仅仅为计算《劳工法》第</w:t>
      </w:r>
      <w:r>
        <w:rPr>
          <w:rFonts w:hint="eastAsia"/>
        </w:rPr>
        <w:t>195</w:t>
      </w:r>
      <w:r>
        <w:rPr>
          <w:rFonts w:hint="eastAsia"/>
        </w:rPr>
        <w:t>条第</w:t>
      </w:r>
      <w:r>
        <w:rPr>
          <w:rFonts w:hint="eastAsia"/>
        </w:rPr>
        <w:t>1</w:t>
      </w:r>
      <w:r>
        <w:rPr>
          <w:rFonts w:hint="eastAsia"/>
        </w:rPr>
        <w:t>款和</w:t>
      </w:r>
      <w:r>
        <w:rPr>
          <w:rFonts w:hint="eastAsia"/>
        </w:rPr>
        <w:t>196</w:t>
      </w:r>
      <w:r>
        <w:rPr>
          <w:rFonts w:hint="eastAsia"/>
        </w:rPr>
        <w:t>条第</w:t>
      </w:r>
      <w:r>
        <w:rPr>
          <w:rFonts w:hint="eastAsia"/>
        </w:rPr>
        <w:t>2</w:t>
      </w:r>
      <w:r>
        <w:rPr>
          <w:rFonts w:hint="eastAsia"/>
        </w:rPr>
        <w:t>款中所述生育前后产假的津贴以及产前假的延长起见，持续不断地发放的各种医疗津贴应当被算作单一的一份津贴。尽管如此，经第</w:t>
      </w:r>
      <w:r>
        <w:rPr>
          <w:rFonts w:hint="eastAsia"/>
        </w:rPr>
        <w:t>44</w:t>
      </w:r>
      <w:r>
        <w:rPr>
          <w:rFonts w:hint="eastAsia"/>
        </w:rPr>
        <w:t>号立法令修改的</w:t>
      </w:r>
      <w:r>
        <w:rPr>
          <w:rFonts w:hint="eastAsia"/>
        </w:rPr>
        <w:t>1994</w:t>
      </w:r>
      <w:r>
        <w:rPr>
          <w:rFonts w:hint="eastAsia"/>
        </w:rPr>
        <w:t>年第</w:t>
      </w:r>
      <w:r>
        <w:rPr>
          <w:rFonts w:hint="eastAsia"/>
        </w:rPr>
        <w:t>19</w:t>
      </w:r>
      <w:r>
        <w:rPr>
          <w:rFonts w:hint="eastAsia"/>
        </w:rPr>
        <w:t>，</w:t>
      </w:r>
      <w:r>
        <w:rPr>
          <w:rFonts w:hint="eastAsia"/>
        </w:rPr>
        <w:t>299</w:t>
      </w:r>
      <w:r>
        <w:rPr>
          <w:rFonts w:hint="eastAsia"/>
        </w:rPr>
        <w:t>号法令对《劳工法》第</w:t>
      </w:r>
      <w:r>
        <w:rPr>
          <w:rFonts w:hint="eastAsia"/>
        </w:rPr>
        <w:t>195</w:t>
      </w:r>
      <w:r>
        <w:rPr>
          <w:rFonts w:hint="eastAsia"/>
        </w:rPr>
        <w:t>条第</w:t>
      </w:r>
      <w:r>
        <w:rPr>
          <w:rFonts w:hint="eastAsia"/>
        </w:rPr>
        <w:t>1</w:t>
      </w:r>
      <w:r>
        <w:rPr>
          <w:rFonts w:hint="eastAsia"/>
        </w:rPr>
        <w:t>款（产前和产后假）和第</w:t>
      </w:r>
      <w:r>
        <w:rPr>
          <w:rFonts w:hint="eastAsia"/>
        </w:rPr>
        <w:t>196</w:t>
      </w:r>
      <w:r>
        <w:rPr>
          <w:rFonts w:hint="eastAsia"/>
        </w:rPr>
        <w:t>条第</w:t>
      </w:r>
      <w:r>
        <w:rPr>
          <w:rFonts w:hint="eastAsia"/>
        </w:rPr>
        <w:t>2</w:t>
      </w:r>
      <w:r>
        <w:rPr>
          <w:rFonts w:hint="eastAsia"/>
        </w:rPr>
        <w:t>款（产前假的延长）中提及的津贴设定了最高限额，规定受雇工作人员这些津贴的每日最高限额相当于：最接近休假开始前第七个月的前三个月内所偿付的每月薪酬和津贴净额，除以</w:t>
      </w:r>
      <w:r>
        <w:rPr>
          <w:rFonts w:hint="eastAsia"/>
        </w:rPr>
        <w:t>90</w:t>
      </w:r>
      <w:r>
        <w:rPr>
          <w:rFonts w:hint="eastAsia"/>
        </w:rPr>
        <w:t>，加上产假开始当月以前的七个月内</w:t>
      </w:r>
      <w:r>
        <w:rPr>
          <w:rFonts w:hint="eastAsia"/>
        </w:rPr>
        <w:t>消费者物价指数上升的全部数额，再加上</w:t>
      </w:r>
      <w:r>
        <w:rPr>
          <w:rFonts w:hint="eastAsia"/>
        </w:rPr>
        <w:t>10%</w:t>
      </w:r>
      <w:r>
        <w:rPr>
          <w:rFonts w:hint="eastAsia"/>
        </w:rPr>
        <w:t>。</w:t>
      </w:r>
    </w:p>
  </w:footnote>
  <w:footnote w:id="209">
    <w:p w:rsidR="00000000" w:rsidRDefault="009C1C61">
      <w:pPr>
        <w:pStyle w:val="FootnoteText"/>
      </w:pPr>
      <w:r>
        <w:rPr>
          <w:rStyle w:val="FootnoteReference"/>
        </w:rPr>
        <w:footnoteRef/>
      </w:r>
      <w:r>
        <w:t xml:space="preserve"> </w:t>
      </w:r>
      <w:r>
        <w:tab/>
      </w:r>
      <w:r>
        <w:rPr>
          <w:rFonts w:hint="eastAsia"/>
        </w:rPr>
        <w:t>经第</w:t>
      </w:r>
      <w:r>
        <w:rPr>
          <w:rFonts w:hint="eastAsia"/>
        </w:rPr>
        <w:t>119299</w:t>
      </w:r>
      <w:r>
        <w:rPr>
          <w:rFonts w:hint="eastAsia"/>
        </w:rPr>
        <w:t>号法令修正的第</w:t>
      </w:r>
      <w:r>
        <w:rPr>
          <w:rFonts w:hint="eastAsia"/>
        </w:rPr>
        <w:t>18</w:t>
      </w:r>
      <w:r>
        <w:rPr>
          <w:rFonts w:hint="eastAsia"/>
        </w:rPr>
        <w:t>，</w:t>
      </w:r>
      <w:r>
        <w:rPr>
          <w:rFonts w:hint="eastAsia"/>
        </w:rPr>
        <w:t>469</w:t>
      </w:r>
      <w:r>
        <w:rPr>
          <w:rFonts w:hint="eastAsia"/>
        </w:rPr>
        <w:t>号法令第</w:t>
      </w:r>
      <w:r>
        <w:rPr>
          <w:rFonts w:hint="eastAsia"/>
        </w:rPr>
        <w:t>2</w:t>
      </w:r>
      <w:r>
        <w:rPr>
          <w:rFonts w:hint="eastAsia"/>
        </w:rPr>
        <w:t>条。</w:t>
      </w:r>
    </w:p>
  </w:footnote>
  <w:footnote w:id="210">
    <w:p w:rsidR="00000000" w:rsidRDefault="009C1C61">
      <w:pPr>
        <w:pStyle w:val="FootnoteText"/>
      </w:pPr>
      <w:r>
        <w:rPr>
          <w:rStyle w:val="FootnoteReference"/>
        </w:rPr>
        <w:footnoteRef/>
      </w:r>
      <w:r>
        <w:t xml:space="preserve"> </w:t>
      </w:r>
      <w:r>
        <w:tab/>
      </w:r>
      <w:r>
        <w:rPr>
          <w:rFonts w:hint="eastAsia"/>
        </w:rPr>
        <w:t>第</w:t>
      </w:r>
      <w:r>
        <w:rPr>
          <w:rFonts w:hint="eastAsia"/>
        </w:rPr>
        <w:t>18</w:t>
      </w:r>
      <w:r>
        <w:rPr>
          <w:rFonts w:hint="eastAsia"/>
        </w:rPr>
        <w:t>，</w:t>
      </w:r>
      <w:r>
        <w:rPr>
          <w:rFonts w:hint="eastAsia"/>
        </w:rPr>
        <w:t>469</w:t>
      </w:r>
      <w:r>
        <w:rPr>
          <w:rFonts w:hint="eastAsia"/>
        </w:rPr>
        <w:t>号法令第</w:t>
      </w:r>
      <w:r>
        <w:rPr>
          <w:rFonts w:hint="eastAsia"/>
        </w:rPr>
        <w:t>9</w:t>
      </w:r>
      <w:r>
        <w:rPr>
          <w:rFonts w:hint="eastAsia"/>
        </w:rPr>
        <w:t>条。</w:t>
      </w:r>
    </w:p>
  </w:footnote>
  <w:footnote w:id="211">
    <w:p w:rsidR="00000000" w:rsidRDefault="009C1C61">
      <w:pPr>
        <w:pStyle w:val="FootnoteText"/>
      </w:pPr>
      <w:r>
        <w:rPr>
          <w:rStyle w:val="FootnoteReference"/>
        </w:rPr>
        <w:footnoteRef/>
      </w:r>
      <w:r>
        <w:t xml:space="preserve"> </w:t>
      </w:r>
      <w:r>
        <w:tab/>
      </w:r>
      <w:r>
        <w:rPr>
          <w:rFonts w:hint="eastAsia"/>
        </w:rPr>
        <w:t>2000</w:t>
      </w:r>
      <w:r>
        <w:rPr>
          <w:rFonts w:hint="eastAsia"/>
        </w:rPr>
        <w:t>年</w:t>
      </w:r>
      <w:r>
        <w:rPr>
          <w:rFonts w:hint="eastAsia"/>
        </w:rPr>
        <w:t>4</w:t>
      </w:r>
      <w:r>
        <w:rPr>
          <w:rFonts w:hint="eastAsia"/>
        </w:rPr>
        <w:t>月</w:t>
      </w:r>
      <w:r>
        <w:rPr>
          <w:rFonts w:hint="eastAsia"/>
        </w:rPr>
        <w:t>15</w:t>
      </w:r>
      <w:r>
        <w:rPr>
          <w:rFonts w:hint="eastAsia"/>
        </w:rPr>
        <w:t>日第</w:t>
      </w:r>
      <w:r>
        <w:rPr>
          <w:rFonts w:hint="eastAsia"/>
        </w:rPr>
        <w:t>19</w:t>
      </w:r>
      <w:r>
        <w:rPr>
          <w:rFonts w:hint="eastAsia"/>
        </w:rPr>
        <w:t>，</w:t>
      </w:r>
      <w:r>
        <w:rPr>
          <w:rFonts w:hint="eastAsia"/>
        </w:rPr>
        <w:t>670</w:t>
      </w:r>
      <w:r>
        <w:rPr>
          <w:rFonts w:hint="eastAsia"/>
        </w:rPr>
        <w:t>号法令。</w:t>
      </w:r>
    </w:p>
  </w:footnote>
  <w:footnote w:id="212">
    <w:p w:rsidR="00000000" w:rsidRDefault="009C1C61">
      <w:pPr>
        <w:pStyle w:val="FootnoteText"/>
      </w:pPr>
      <w:r>
        <w:rPr>
          <w:rStyle w:val="FootnoteReference"/>
        </w:rPr>
        <w:footnoteRef/>
      </w:r>
      <w:r>
        <w:t xml:space="preserve"> </w:t>
      </w:r>
      <w:r>
        <w:tab/>
      </w:r>
      <w:r>
        <w:rPr>
          <w:rFonts w:hint="eastAsia"/>
        </w:rPr>
        <w:t>《劳工法》第</w:t>
      </w:r>
      <w:r>
        <w:rPr>
          <w:rFonts w:hint="eastAsia"/>
        </w:rPr>
        <w:t>203</w:t>
      </w:r>
      <w:r>
        <w:rPr>
          <w:rFonts w:hint="eastAsia"/>
        </w:rPr>
        <w:t>条。</w:t>
      </w:r>
    </w:p>
  </w:footnote>
  <w:footnote w:id="213">
    <w:p w:rsidR="00000000" w:rsidRDefault="009C1C61">
      <w:pPr>
        <w:pStyle w:val="FootnoteText"/>
      </w:pPr>
      <w:r>
        <w:rPr>
          <w:rStyle w:val="FootnoteReference"/>
        </w:rPr>
        <w:footnoteRef/>
      </w:r>
      <w:r>
        <w:t xml:space="preserve"> </w:t>
      </w:r>
      <w:r>
        <w:tab/>
      </w:r>
      <w:r>
        <w:rPr>
          <w:rFonts w:hint="eastAsia"/>
        </w:rPr>
        <w:t>1995</w:t>
      </w:r>
      <w:r>
        <w:rPr>
          <w:rFonts w:hint="eastAsia"/>
        </w:rPr>
        <w:t>年第</w:t>
      </w:r>
      <w:r>
        <w:rPr>
          <w:rFonts w:hint="eastAsia"/>
        </w:rPr>
        <w:t>19</w:t>
      </w:r>
      <w:r>
        <w:rPr>
          <w:rFonts w:hint="eastAsia"/>
        </w:rPr>
        <w:t>，</w:t>
      </w:r>
      <w:r>
        <w:rPr>
          <w:rFonts w:hint="eastAsia"/>
        </w:rPr>
        <w:t>408</w:t>
      </w:r>
      <w:r>
        <w:rPr>
          <w:rFonts w:hint="eastAsia"/>
        </w:rPr>
        <w:t>号法令。</w:t>
      </w:r>
    </w:p>
  </w:footnote>
  <w:footnote w:id="214">
    <w:p w:rsidR="00000000" w:rsidRDefault="009C1C61">
      <w:pPr>
        <w:pStyle w:val="FootnoteText"/>
      </w:pPr>
      <w:r>
        <w:rPr>
          <w:rStyle w:val="FootnoteReference"/>
        </w:rPr>
        <w:footnoteRef/>
      </w:r>
      <w:r>
        <w:t xml:space="preserve"> </w:t>
      </w:r>
      <w:r>
        <w:tab/>
      </w:r>
      <w:r>
        <w:rPr>
          <w:rFonts w:hint="eastAsia"/>
        </w:rPr>
        <w:t>第</w:t>
      </w:r>
      <w:r>
        <w:rPr>
          <w:rFonts w:hint="eastAsia"/>
        </w:rPr>
        <w:t>19</w:t>
      </w:r>
      <w:r>
        <w:rPr>
          <w:rFonts w:hint="eastAsia"/>
        </w:rPr>
        <w:t>，</w:t>
      </w:r>
      <w:r>
        <w:rPr>
          <w:rFonts w:hint="eastAsia"/>
        </w:rPr>
        <w:t>591</w:t>
      </w:r>
      <w:r>
        <w:rPr>
          <w:rFonts w:hint="eastAsia"/>
        </w:rPr>
        <w:t>号法令。</w:t>
      </w:r>
    </w:p>
  </w:footnote>
  <w:footnote w:id="215">
    <w:p w:rsidR="00000000" w:rsidRDefault="009C1C61">
      <w:pPr>
        <w:pStyle w:val="FootnoteText"/>
      </w:pPr>
      <w:r>
        <w:rPr>
          <w:rStyle w:val="FootnoteReference"/>
        </w:rPr>
        <w:footnoteRef/>
      </w:r>
      <w:r>
        <w:t xml:space="preserve"> </w:t>
      </w:r>
      <w:r>
        <w:tab/>
      </w:r>
      <w:r>
        <w:rPr>
          <w:rFonts w:hint="eastAsia"/>
        </w:rPr>
        <w:t>《劳工法》第</w:t>
      </w:r>
      <w:r>
        <w:rPr>
          <w:rFonts w:hint="eastAsia"/>
        </w:rPr>
        <w:t>203</w:t>
      </w:r>
      <w:r>
        <w:rPr>
          <w:rFonts w:hint="eastAsia"/>
        </w:rPr>
        <w:t>条。</w:t>
      </w:r>
    </w:p>
  </w:footnote>
  <w:footnote w:id="216">
    <w:p w:rsidR="00000000" w:rsidRDefault="009C1C61">
      <w:pPr>
        <w:pStyle w:val="FootnoteText"/>
      </w:pPr>
      <w:r>
        <w:rPr>
          <w:rStyle w:val="FootnoteReference"/>
        </w:rPr>
        <w:footnoteRef/>
      </w:r>
      <w:r>
        <w:t xml:space="preserve"> </w:t>
      </w:r>
      <w:r>
        <w:tab/>
      </w:r>
      <w:r>
        <w:rPr>
          <w:rFonts w:hint="eastAsia"/>
        </w:rPr>
        <w:t>同上，第</w:t>
      </w:r>
      <w:r>
        <w:rPr>
          <w:rFonts w:hint="eastAsia"/>
        </w:rPr>
        <w:t>206</w:t>
      </w:r>
      <w:r>
        <w:rPr>
          <w:rFonts w:hint="eastAsia"/>
        </w:rPr>
        <w:t>条。</w:t>
      </w:r>
    </w:p>
  </w:footnote>
  <w:footnote w:id="217">
    <w:p w:rsidR="00000000" w:rsidRDefault="009C1C61">
      <w:pPr>
        <w:pStyle w:val="FootnoteText"/>
      </w:pPr>
      <w:r>
        <w:rPr>
          <w:rStyle w:val="FootnoteReference"/>
        </w:rPr>
        <w:footnoteRef/>
      </w:r>
      <w:r>
        <w:t xml:space="preserve"> </w:t>
      </w:r>
      <w:r>
        <w:tab/>
      </w:r>
      <w:r>
        <w:rPr>
          <w:rFonts w:hint="eastAsia"/>
        </w:rPr>
        <w:t>同上，第</w:t>
      </w:r>
      <w:r>
        <w:rPr>
          <w:rFonts w:hint="eastAsia"/>
        </w:rPr>
        <w:t>203</w:t>
      </w:r>
      <w:r>
        <w:rPr>
          <w:rFonts w:hint="eastAsia"/>
        </w:rPr>
        <w:t>条。</w:t>
      </w:r>
    </w:p>
  </w:footnote>
  <w:footnote w:id="218">
    <w:p w:rsidR="00000000" w:rsidRDefault="009C1C61">
      <w:pPr>
        <w:pStyle w:val="FootnoteText"/>
      </w:pPr>
      <w:r>
        <w:rPr>
          <w:rStyle w:val="FootnoteReference"/>
        </w:rPr>
        <w:footnoteRef/>
      </w:r>
      <w:r>
        <w:t xml:space="preserve"> </w:t>
      </w:r>
      <w:r>
        <w:tab/>
      </w:r>
      <w:r>
        <w:rPr>
          <w:rFonts w:hint="eastAsia"/>
        </w:rPr>
        <w:t>同上，最后一款。</w:t>
      </w:r>
    </w:p>
  </w:footnote>
  <w:footnote w:id="219">
    <w:p w:rsidR="00000000" w:rsidRDefault="009C1C61">
      <w:pPr>
        <w:pStyle w:val="FootnoteText"/>
      </w:pPr>
      <w:r>
        <w:rPr>
          <w:rStyle w:val="FootnoteReference"/>
        </w:rPr>
        <w:footnoteRef/>
      </w:r>
      <w:r>
        <w:t xml:space="preserve"> </w:t>
      </w:r>
      <w:r>
        <w:tab/>
      </w:r>
      <w:r>
        <w:rPr>
          <w:rFonts w:hint="eastAsia"/>
        </w:rPr>
        <w:t>同上，最后一款。</w:t>
      </w:r>
    </w:p>
  </w:footnote>
  <w:footnote w:id="220">
    <w:p w:rsidR="00000000" w:rsidRDefault="009C1C61">
      <w:pPr>
        <w:pStyle w:val="FootnoteText"/>
      </w:pPr>
      <w:r>
        <w:rPr>
          <w:rStyle w:val="FootnoteReference"/>
        </w:rPr>
        <w:footnoteRef/>
      </w:r>
      <w:r>
        <w:t xml:space="preserve"> </w:t>
      </w:r>
      <w:r>
        <w:tab/>
      </w:r>
      <w:r>
        <w:rPr>
          <w:rFonts w:hint="eastAsia"/>
        </w:rPr>
        <w:t>根据</w:t>
      </w:r>
      <w:r>
        <w:rPr>
          <w:rFonts w:hint="eastAsia"/>
        </w:rPr>
        <w:t>1979</w:t>
      </w:r>
      <w:r>
        <w:rPr>
          <w:rFonts w:hint="eastAsia"/>
        </w:rPr>
        <w:t>年</w:t>
      </w:r>
      <w:r>
        <w:rPr>
          <w:rFonts w:hint="eastAsia"/>
        </w:rPr>
        <w:t>1</w:t>
      </w:r>
      <w:r>
        <w:rPr>
          <w:rFonts w:hint="eastAsia"/>
        </w:rPr>
        <w:t>月第</w:t>
      </w:r>
      <w:r>
        <w:rPr>
          <w:rFonts w:hint="eastAsia"/>
        </w:rPr>
        <w:t>2</w:t>
      </w:r>
      <w:r>
        <w:rPr>
          <w:rFonts w:hint="eastAsia"/>
        </w:rPr>
        <w:t>，</w:t>
      </w:r>
      <w:r>
        <w:rPr>
          <w:rFonts w:hint="eastAsia"/>
        </w:rPr>
        <w:t>465</w:t>
      </w:r>
      <w:r>
        <w:rPr>
          <w:rFonts w:hint="eastAsia"/>
        </w:rPr>
        <w:t>号政令法设立。</w:t>
      </w:r>
    </w:p>
  </w:footnote>
  <w:footnote w:id="221">
    <w:p w:rsidR="00000000" w:rsidRDefault="009C1C61">
      <w:pPr>
        <w:pStyle w:val="FootnoteText"/>
      </w:pPr>
      <w:r>
        <w:rPr>
          <w:rStyle w:val="FootnoteReference"/>
        </w:rPr>
        <w:footnoteRef/>
      </w:r>
      <w:r>
        <w:t xml:space="preserve"> </w:t>
      </w:r>
      <w:r>
        <w:tab/>
      </w:r>
      <w:r>
        <w:rPr>
          <w:rFonts w:hint="eastAsia"/>
        </w:rPr>
        <w:t>1967</w:t>
      </w:r>
      <w:r>
        <w:rPr>
          <w:rFonts w:hint="eastAsia"/>
        </w:rPr>
        <w:t>年</w:t>
      </w:r>
      <w:r>
        <w:rPr>
          <w:rFonts w:hint="eastAsia"/>
        </w:rPr>
        <w:t>3</w:t>
      </w:r>
      <w:r>
        <w:rPr>
          <w:rFonts w:hint="eastAsia"/>
        </w:rPr>
        <w:t>月第</w:t>
      </w:r>
      <w:r>
        <w:rPr>
          <w:rFonts w:hint="eastAsia"/>
        </w:rPr>
        <w:t>16</w:t>
      </w:r>
      <w:r>
        <w:rPr>
          <w:rFonts w:hint="eastAsia"/>
        </w:rPr>
        <w:t>，</w:t>
      </w:r>
      <w:r>
        <w:rPr>
          <w:rFonts w:hint="eastAsia"/>
        </w:rPr>
        <w:t>618</w:t>
      </w:r>
      <w:r>
        <w:rPr>
          <w:rFonts w:hint="eastAsia"/>
        </w:rPr>
        <w:t>号《未成年人法令》。</w:t>
      </w:r>
    </w:p>
  </w:footnote>
  <w:footnote w:id="222">
    <w:p w:rsidR="00000000" w:rsidRDefault="009C1C61">
      <w:pPr>
        <w:pStyle w:val="FootnoteText"/>
      </w:pPr>
      <w:r>
        <w:rPr>
          <w:rStyle w:val="FootnoteReference"/>
        </w:rPr>
        <w:footnoteRef/>
      </w:r>
      <w:r>
        <w:t xml:space="preserve"> </w:t>
      </w:r>
      <w:r>
        <w:tab/>
      </w:r>
      <w:r>
        <w:rPr>
          <w:rFonts w:hint="eastAsia"/>
        </w:rPr>
        <w:t>1980</w:t>
      </w:r>
      <w:r>
        <w:rPr>
          <w:rFonts w:hint="eastAsia"/>
        </w:rPr>
        <w:t>年</w:t>
      </w:r>
      <w:r>
        <w:rPr>
          <w:rFonts w:hint="eastAsia"/>
        </w:rPr>
        <w:t>11</w:t>
      </w:r>
      <w:r>
        <w:rPr>
          <w:rFonts w:hint="eastAsia"/>
        </w:rPr>
        <w:t>月</w:t>
      </w:r>
      <w:r>
        <w:rPr>
          <w:rFonts w:hint="eastAsia"/>
        </w:rPr>
        <w:t>6</w:t>
      </w:r>
      <w:r>
        <w:rPr>
          <w:rFonts w:hint="eastAsia"/>
        </w:rPr>
        <w:t>日第</w:t>
      </w:r>
      <w:r>
        <w:rPr>
          <w:rFonts w:hint="eastAsia"/>
        </w:rPr>
        <w:t>1</w:t>
      </w:r>
      <w:r>
        <w:rPr>
          <w:rFonts w:hint="eastAsia"/>
        </w:rPr>
        <w:t>，</w:t>
      </w:r>
      <w:r>
        <w:rPr>
          <w:rFonts w:hint="eastAsia"/>
        </w:rPr>
        <w:t>385</w:t>
      </w:r>
      <w:r>
        <w:rPr>
          <w:rFonts w:hint="eastAsia"/>
        </w:rPr>
        <w:t>号立法令。</w:t>
      </w:r>
    </w:p>
  </w:footnote>
  <w:footnote w:id="223">
    <w:p w:rsidR="00000000" w:rsidRDefault="009C1C61">
      <w:pPr>
        <w:pStyle w:val="FootnoteText"/>
      </w:pPr>
      <w:r>
        <w:rPr>
          <w:rStyle w:val="FootnoteReference"/>
        </w:rPr>
        <w:footnoteRef/>
      </w:r>
      <w:r>
        <w:t xml:space="preserve"> </w:t>
      </w:r>
      <w:r>
        <w:tab/>
      </w:r>
      <w:r>
        <w:rPr>
          <w:rFonts w:hint="eastAsia"/>
        </w:rPr>
        <w:t>同上。</w:t>
      </w:r>
    </w:p>
  </w:footnote>
  <w:footnote w:id="224">
    <w:p w:rsidR="00000000" w:rsidRDefault="009C1C61">
      <w:pPr>
        <w:pStyle w:val="FootnoteText"/>
      </w:pPr>
      <w:r>
        <w:rPr>
          <w:rStyle w:val="FootnoteReference"/>
        </w:rPr>
        <w:footnoteRef/>
      </w:r>
      <w:r>
        <w:t xml:space="preserve"> </w:t>
      </w:r>
      <w:r>
        <w:tab/>
      </w:r>
      <w:r>
        <w:rPr>
          <w:rFonts w:hint="eastAsia"/>
        </w:rPr>
        <w:t>第</w:t>
      </w:r>
      <w:r>
        <w:rPr>
          <w:rFonts w:hint="eastAsia"/>
        </w:rPr>
        <w:t>1</w:t>
      </w:r>
      <w:r>
        <w:rPr>
          <w:rFonts w:hint="eastAsia"/>
        </w:rPr>
        <w:t>，</w:t>
      </w:r>
      <w:r>
        <w:rPr>
          <w:rFonts w:hint="eastAsia"/>
        </w:rPr>
        <w:t>385</w:t>
      </w:r>
      <w:r>
        <w:rPr>
          <w:rFonts w:hint="eastAsia"/>
        </w:rPr>
        <w:t>号立法令。</w:t>
      </w:r>
    </w:p>
  </w:footnote>
  <w:footnote w:id="225">
    <w:p w:rsidR="00000000" w:rsidRDefault="009C1C61">
      <w:pPr>
        <w:pStyle w:val="FootnoteText"/>
      </w:pPr>
      <w:r>
        <w:rPr>
          <w:rStyle w:val="FootnoteReference"/>
        </w:rPr>
        <w:footnoteRef/>
      </w:r>
      <w:r>
        <w:t xml:space="preserve"> </w:t>
      </w:r>
      <w:r>
        <w:tab/>
      </w:r>
      <w:r>
        <w:rPr>
          <w:rFonts w:hint="eastAsia"/>
        </w:rPr>
        <w:t>第１，</w:t>
      </w:r>
      <w:r>
        <w:rPr>
          <w:rFonts w:hint="eastAsia"/>
        </w:rPr>
        <w:t>385</w:t>
      </w:r>
      <w:r>
        <w:rPr>
          <w:rFonts w:hint="eastAsia"/>
        </w:rPr>
        <w:t>号立法令。</w:t>
      </w:r>
    </w:p>
  </w:footnote>
  <w:footnote w:id="226">
    <w:p w:rsidR="00000000" w:rsidRDefault="009C1C61">
      <w:pPr>
        <w:pStyle w:val="FootnoteText"/>
      </w:pPr>
      <w:r>
        <w:rPr>
          <w:rStyle w:val="FootnoteReference"/>
        </w:rPr>
        <w:footnoteRef/>
      </w:r>
      <w:r>
        <w:t xml:space="preserve"> </w:t>
      </w:r>
      <w:r>
        <w:tab/>
      </w:r>
      <w:r>
        <w:rPr>
          <w:rFonts w:hint="eastAsia"/>
        </w:rPr>
        <w:t>《劳工法》第一编第二章第一节。</w:t>
      </w:r>
    </w:p>
  </w:footnote>
  <w:footnote w:id="227">
    <w:p w:rsidR="00000000" w:rsidRDefault="009C1C61">
      <w:pPr>
        <w:pStyle w:val="FootnoteText"/>
      </w:pPr>
      <w:r>
        <w:rPr>
          <w:rStyle w:val="FootnoteReference"/>
        </w:rPr>
        <w:footnoteRef/>
      </w:r>
      <w:r>
        <w:t xml:space="preserve"> </w:t>
      </w:r>
      <w:r>
        <w:tab/>
      </w:r>
      <w:r>
        <w:rPr>
          <w:rFonts w:hint="eastAsia"/>
        </w:rPr>
        <w:t>同上，第一章第一节。</w:t>
      </w:r>
    </w:p>
  </w:footnote>
  <w:footnote w:id="228">
    <w:p w:rsidR="00000000" w:rsidRDefault="009C1C61">
      <w:pPr>
        <w:pStyle w:val="FootnoteText"/>
      </w:pPr>
      <w:r>
        <w:rPr>
          <w:rStyle w:val="FootnoteReference"/>
        </w:rPr>
        <w:footnoteRef/>
      </w:r>
      <w:r>
        <w:t xml:space="preserve"> </w:t>
      </w:r>
      <w:r>
        <w:tab/>
      </w:r>
      <w:r>
        <w:rPr>
          <w:rFonts w:hint="eastAsia"/>
        </w:rPr>
        <w:t>劳工总署，《关于童工的解释性研究》，</w:t>
      </w:r>
      <w:r>
        <w:rPr>
          <w:rFonts w:hint="eastAsia"/>
        </w:rPr>
        <w:t>1999</w:t>
      </w:r>
      <w:r>
        <w:rPr>
          <w:rFonts w:hint="eastAsia"/>
        </w:rPr>
        <w:t>年。</w:t>
      </w:r>
    </w:p>
  </w:footnote>
  <w:footnote w:id="229">
    <w:p w:rsidR="00000000" w:rsidRDefault="009C1C61">
      <w:pPr>
        <w:pStyle w:val="FootnoteText"/>
      </w:pPr>
      <w:r>
        <w:rPr>
          <w:rStyle w:val="FootnoteReference"/>
        </w:rPr>
        <w:footnoteRef/>
      </w:r>
      <w:r>
        <w:t xml:space="preserve"> </w:t>
      </w:r>
      <w:r>
        <w:tab/>
      </w:r>
      <w:r>
        <w:rPr>
          <w:rFonts w:hint="eastAsia"/>
        </w:rPr>
        <w:t>1996</w:t>
      </w:r>
      <w:r>
        <w:rPr>
          <w:rFonts w:hint="eastAsia"/>
        </w:rPr>
        <w:t>年</w:t>
      </w:r>
      <w:r>
        <w:rPr>
          <w:rFonts w:hint="eastAsia"/>
        </w:rPr>
        <w:t>6</w:t>
      </w:r>
      <w:r>
        <w:rPr>
          <w:rFonts w:hint="eastAsia"/>
        </w:rPr>
        <w:t>月</w:t>
      </w:r>
      <w:r>
        <w:rPr>
          <w:rFonts w:hint="eastAsia"/>
        </w:rPr>
        <w:t>19</w:t>
      </w:r>
      <w:r>
        <w:rPr>
          <w:rFonts w:hint="eastAsia"/>
        </w:rPr>
        <w:t>日第</w:t>
      </w:r>
      <w:r>
        <w:rPr>
          <w:rFonts w:hint="eastAsia"/>
        </w:rPr>
        <w:t>730</w:t>
      </w:r>
      <w:r>
        <w:rPr>
          <w:rFonts w:hint="eastAsia"/>
        </w:rPr>
        <w:t>号政令法第</w:t>
      </w:r>
      <w:r>
        <w:rPr>
          <w:rFonts w:hint="eastAsia"/>
        </w:rPr>
        <w:t>2</w:t>
      </w:r>
      <w:r>
        <w:rPr>
          <w:rFonts w:hint="eastAsia"/>
        </w:rPr>
        <w:t>条第</w:t>
      </w:r>
      <w:r>
        <w:rPr>
          <w:rFonts w:hint="eastAsia"/>
        </w:rPr>
        <w:t>14</w:t>
      </w:r>
      <w:r>
        <w:rPr>
          <w:rFonts w:hint="eastAsia"/>
        </w:rPr>
        <w:t>款。</w:t>
      </w:r>
    </w:p>
  </w:footnote>
  <w:footnote w:id="230">
    <w:p w:rsidR="00000000" w:rsidRDefault="009C1C61">
      <w:pPr>
        <w:pStyle w:val="FootnoteText"/>
      </w:pPr>
      <w:r>
        <w:rPr>
          <w:rStyle w:val="FootnoteReference"/>
        </w:rPr>
        <w:footnoteRef/>
      </w:r>
      <w:r>
        <w:t xml:space="preserve"> </w:t>
      </w:r>
      <w:r>
        <w:tab/>
      </w:r>
      <w:r>
        <w:rPr>
          <w:rFonts w:hint="eastAsia"/>
        </w:rPr>
        <w:t>以</w:t>
      </w:r>
      <w:r>
        <w:rPr>
          <w:rFonts w:hint="eastAsia"/>
        </w:rPr>
        <w:t>2002</w:t>
      </w:r>
      <w:r>
        <w:rPr>
          <w:rFonts w:hint="eastAsia"/>
        </w:rPr>
        <w:t>年平均换算率计算。</w:t>
      </w:r>
    </w:p>
  </w:footnote>
  <w:footnote w:id="231">
    <w:p w:rsidR="00000000" w:rsidRDefault="009C1C61">
      <w:pPr>
        <w:pStyle w:val="FootnoteText"/>
      </w:pPr>
      <w:r>
        <w:rPr>
          <w:rStyle w:val="FootnoteReference"/>
        </w:rPr>
        <w:footnoteRef/>
      </w:r>
      <w:r>
        <w:t xml:space="preserve"> </w:t>
      </w:r>
      <w:r>
        <w:tab/>
      </w:r>
      <w:r>
        <w:rPr>
          <w:rFonts w:hint="eastAsia"/>
        </w:rPr>
        <w:t>1995</w:t>
      </w:r>
      <w:r>
        <w:rPr>
          <w:rFonts w:hint="eastAsia"/>
        </w:rPr>
        <w:t>年</w:t>
      </w:r>
      <w:r>
        <w:rPr>
          <w:rFonts w:hint="eastAsia"/>
        </w:rPr>
        <w:t>3</w:t>
      </w:r>
      <w:r>
        <w:rPr>
          <w:rFonts w:hint="eastAsia"/>
        </w:rPr>
        <w:t>月</w:t>
      </w:r>
      <w:r>
        <w:rPr>
          <w:rFonts w:hint="eastAsia"/>
        </w:rPr>
        <w:t>24</w:t>
      </w:r>
      <w:r>
        <w:rPr>
          <w:rFonts w:hint="eastAsia"/>
        </w:rPr>
        <w:t>日第</w:t>
      </w:r>
      <w:r>
        <w:rPr>
          <w:rFonts w:hint="eastAsia"/>
        </w:rPr>
        <w:t>697</w:t>
      </w:r>
      <w:r>
        <w:rPr>
          <w:rFonts w:hint="eastAsia"/>
        </w:rPr>
        <w:t>号政令。</w:t>
      </w:r>
    </w:p>
  </w:footnote>
  <w:footnote w:id="232">
    <w:p w:rsidR="00000000" w:rsidRDefault="009C1C61">
      <w:pPr>
        <w:pStyle w:val="FootnoteText"/>
      </w:pPr>
      <w:r>
        <w:rPr>
          <w:rStyle w:val="FootnoteReference"/>
        </w:rPr>
        <w:footnoteRef/>
      </w:r>
      <w:r>
        <w:t xml:space="preserve"> </w:t>
      </w:r>
      <w:r>
        <w:rPr>
          <w:rFonts w:hint="eastAsia"/>
        </w:rPr>
        <w:tab/>
      </w:r>
      <w:r>
        <w:rPr>
          <w:rFonts w:hint="eastAsia"/>
          <w:snapToGrid/>
        </w:rPr>
        <w:t>这些法律中包括</w:t>
      </w:r>
      <w:r>
        <w:rPr>
          <w:rFonts w:hint="eastAsia"/>
          <w:snapToGrid/>
        </w:rPr>
        <w:t>1994</w:t>
      </w:r>
      <w:r>
        <w:rPr>
          <w:rFonts w:hint="eastAsia"/>
          <w:snapToGrid/>
        </w:rPr>
        <w:t>年</w:t>
      </w:r>
      <w:r>
        <w:rPr>
          <w:rFonts w:hint="eastAsia"/>
          <w:snapToGrid/>
        </w:rPr>
        <w:t>4</w:t>
      </w:r>
      <w:r>
        <w:rPr>
          <w:rFonts w:hint="eastAsia"/>
          <w:snapToGrid/>
        </w:rPr>
        <w:t>月</w:t>
      </w:r>
      <w:r>
        <w:rPr>
          <w:rFonts w:hint="eastAsia"/>
          <w:snapToGrid/>
        </w:rPr>
        <w:t>24</w:t>
      </w:r>
      <w:r>
        <w:rPr>
          <w:rFonts w:hint="eastAsia"/>
          <w:snapToGrid/>
        </w:rPr>
        <w:t>日的第</w:t>
      </w:r>
      <w:r>
        <w:rPr>
          <w:rFonts w:hint="eastAsia"/>
          <w:snapToGrid/>
        </w:rPr>
        <w:t>19</w:t>
      </w:r>
      <w:r>
        <w:rPr>
          <w:rFonts w:hint="eastAsia"/>
          <w:snapToGrid/>
        </w:rPr>
        <w:t>，</w:t>
      </w:r>
      <w:r>
        <w:rPr>
          <w:rFonts w:hint="eastAsia"/>
          <w:snapToGrid/>
        </w:rPr>
        <w:t>304</w:t>
      </w:r>
      <w:r>
        <w:rPr>
          <w:rFonts w:hint="eastAsia"/>
          <w:snapToGrid/>
        </w:rPr>
        <w:t>号法令，该法令修正了《未成年人法》第</w:t>
      </w:r>
      <w:r>
        <w:rPr>
          <w:rFonts w:hint="eastAsia"/>
          <w:snapToGrid/>
        </w:rPr>
        <w:t>16</w:t>
      </w:r>
      <w:r>
        <w:rPr>
          <w:rFonts w:hint="eastAsia"/>
          <w:snapToGrid/>
        </w:rPr>
        <w:t>条；</w:t>
      </w:r>
      <w:r>
        <w:rPr>
          <w:rFonts w:hint="eastAsia"/>
          <w:snapToGrid/>
        </w:rPr>
        <w:t>19</w:t>
      </w:r>
      <w:r>
        <w:rPr>
          <w:rFonts w:hint="eastAsia"/>
          <w:snapToGrid/>
        </w:rPr>
        <w:t>94</w:t>
      </w:r>
      <w:r>
        <w:rPr>
          <w:rFonts w:hint="eastAsia"/>
          <w:snapToGrid/>
        </w:rPr>
        <w:t>年</w:t>
      </w:r>
      <w:r>
        <w:rPr>
          <w:rFonts w:hint="eastAsia"/>
          <w:snapToGrid/>
        </w:rPr>
        <w:t>8</w:t>
      </w:r>
      <w:r>
        <w:rPr>
          <w:rFonts w:hint="eastAsia"/>
          <w:snapToGrid/>
        </w:rPr>
        <w:t>月</w:t>
      </w:r>
      <w:r>
        <w:rPr>
          <w:rFonts w:hint="eastAsia"/>
          <w:snapToGrid/>
        </w:rPr>
        <w:t>26</w:t>
      </w:r>
      <w:r>
        <w:rPr>
          <w:rFonts w:hint="eastAsia"/>
          <w:snapToGrid/>
        </w:rPr>
        <w:t>日第</w:t>
      </w:r>
      <w:r>
        <w:rPr>
          <w:rFonts w:hint="eastAsia"/>
          <w:snapToGrid/>
        </w:rPr>
        <w:t>19</w:t>
      </w:r>
      <w:r>
        <w:rPr>
          <w:rFonts w:hint="eastAsia"/>
          <w:snapToGrid/>
        </w:rPr>
        <w:t>，</w:t>
      </w:r>
      <w:r>
        <w:rPr>
          <w:rFonts w:hint="eastAsia"/>
          <w:snapToGrid/>
        </w:rPr>
        <w:t>324</w:t>
      </w:r>
      <w:r>
        <w:rPr>
          <w:rFonts w:hint="eastAsia"/>
          <w:snapToGrid/>
        </w:rPr>
        <w:t>号法令对《未成年人法》作了修正；</w:t>
      </w:r>
      <w:r>
        <w:rPr>
          <w:rFonts w:hint="eastAsia"/>
          <w:snapToGrid/>
        </w:rPr>
        <w:t>1994</w:t>
      </w:r>
      <w:r>
        <w:rPr>
          <w:rFonts w:hint="eastAsia"/>
          <w:snapToGrid/>
        </w:rPr>
        <w:t>年</w:t>
      </w:r>
      <w:r>
        <w:rPr>
          <w:rFonts w:hint="eastAsia"/>
          <w:snapToGrid/>
        </w:rPr>
        <w:t>8</w:t>
      </w:r>
      <w:r>
        <w:rPr>
          <w:rFonts w:hint="eastAsia"/>
          <w:snapToGrid/>
        </w:rPr>
        <w:t>月</w:t>
      </w:r>
      <w:r>
        <w:rPr>
          <w:rFonts w:hint="eastAsia"/>
          <w:snapToGrid/>
        </w:rPr>
        <w:t>27</w:t>
      </w:r>
      <w:r>
        <w:rPr>
          <w:rFonts w:hint="eastAsia"/>
          <w:snapToGrid/>
        </w:rPr>
        <w:t>日第</w:t>
      </w:r>
      <w:r>
        <w:rPr>
          <w:rFonts w:hint="eastAsia"/>
          <w:snapToGrid/>
        </w:rPr>
        <w:t>19</w:t>
      </w:r>
      <w:r>
        <w:rPr>
          <w:rFonts w:hint="eastAsia"/>
          <w:snapToGrid/>
        </w:rPr>
        <w:t>，</w:t>
      </w:r>
      <w:r>
        <w:rPr>
          <w:rFonts w:hint="eastAsia"/>
          <w:snapToGrid/>
        </w:rPr>
        <w:t>325</w:t>
      </w:r>
      <w:r>
        <w:rPr>
          <w:rFonts w:hint="eastAsia"/>
          <w:snapToGrid/>
        </w:rPr>
        <w:t>号法令；</w:t>
      </w:r>
      <w:r>
        <w:rPr>
          <w:rFonts w:hint="eastAsia"/>
          <w:snapToGrid/>
        </w:rPr>
        <w:t>1995</w:t>
      </w:r>
      <w:r>
        <w:rPr>
          <w:rFonts w:hint="eastAsia"/>
          <w:snapToGrid/>
        </w:rPr>
        <w:t>年</w:t>
      </w:r>
      <w:r>
        <w:rPr>
          <w:rFonts w:hint="eastAsia"/>
          <w:snapToGrid/>
        </w:rPr>
        <w:t>9</w:t>
      </w:r>
      <w:r>
        <w:rPr>
          <w:rFonts w:hint="eastAsia"/>
          <w:snapToGrid/>
        </w:rPr>
        <w:t>月</w:t>
      </w:r>
      <w:r>
        <w:rPr>
          <w:rFonts w:hint="eastAsia"/>
          <w:snapToGrid/>
        </w:rPr>
        <w:t>7</w:t>
      </w:r>
      <w:r>
        <w:rPr>
          <w:rFonts w:hint="eastAsia"/>
          <w:snapToGrid/>
        </w:rPr>
        <w:t>日第</w:t>
      </w:r>
      <w:r>
        <w:rPr>
          <w:rFonts w:hint="eastAsia"/>
          <w:snapToGrid/>
        </w:rPr>
        <w:t>19</w:t>
      </w:r>
      <w:r>
        <w:rPr>
          <w:rFonts w:hint="eastAsia"/>
          <w:snapToGrid/>
        </w:rPr>
        <w:t>，</w:t>
      </w:r>
      <w:r>
        <w:rPr>
          <w:rFonts w:hint="eastAsia"/>
          <w:snapToGrid/>
        </w:rPr>
        <w:t>409</w:t>
      </w:r>
      <w:r>
        <w:rPr>
          <w:rFonts w:hint="eastAsia"/>
          <w:snapToGrid/>
        </w:rPr>
        <w:t>号法令，提出了新的第</w:t>
      </w:r>
      <w:r>
        <w:rPr>
          <w:snapToGrid/>
        </w:rPr>
        <w:t>367</w:t>
      </w:r>
      <w:r>
        <w:rPr>
          <w:rFonts w:hint="eastAsia"/>
          <w:snapToGrid/>
        </w:rPr>
        <w:t>条之二，旨在惩处任何鼓励或便利从事卖淫者出入境的人；</w:t>
      </w:r>
      <w:r>
        <w:rPr>
          <w:rFonts w:hint="eastAsia"/>
          <w:snapToGrid/>
        </w:rPr>
        <w:t>1998</w:t>
      </w:r>
      <w:r>
        <w:rPr>
          <w:rFonts w:hint="eastAsia"/>
          <w:snapToGrid/>
        </w:rPr>
        <w:t>年</w:t>
      </w:r>
      <w:r>
        <w:rPr>
          <w:rFonts w:hint="eastAsia"/>
          <w:snapToGrid/>
        </w:rPr>
        <w:t>11</w:t>
      </w:r>
      <w:r>
        <w:rPr>
          <w:rFonts w:hint="eastAsia"/>
          <w:snapToGrid/>
        </w:rPr>
        <w:t>月</w:t>
      </w:r>
      <w:r>
        <w:rPr>
          <w:rFonts w:hint="eastAsia"/>
          <w:snapToGrid/>
        </w:rPr>
        <w:t>11</w:t>
      </w:r>
      <w:r>
        <w:rPr>
          <w:rFonts w:hint="eastAsia"/>
          <w:snapToGrid/>
        </w:rPr>
        <w:t>日发表的《</w:t>
      </w:r>
      <w:r>
        <w:rPr>
          <w:rFonts w:hint="eastAsia"/>
          <w:snapToGrid/>
          <w:szCs w:val="24"/>
        </w:rPr>
        <w:t>美洲防止、惩罚和根除暴力侵害妇女行为公约》（</w:t>
      </w:r>
      <w:r>
        <w:rPr>
          <w:rFonts w:hint="eastAsia"/>
          <w:snapToGrid/>
        </w:rPr>
        <w:t>“</w:t>
      </w:r>
      <w:r>
        <w:rPr>
          <w:rFonts w:hint="eastAsia"/>
          <w:snapToGrid/>
        </w:rPr>
        <w:t>B</w:t>
      </w:r>
      <w:r>
        <w:rPr>
          <w:snapToGrid/>
        </w:rPr>
        <w:t>elem do Para</w:t>
      </w:r>
      <w:r>
        <w:rPr>
          <w:rFonts w:hint="eastAsia"/>
          <w:snapToGrid/>
        </w:rPr>
        <w:t>公约”）；以及</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12</w:t>
      </w:r>
      <w:r>
        <w:rPr>
          <w:rFonts w:hint="eastAsia"/>
          <w:snapToGrid/>
        </w:rPr>
        <w:t>日有关性犯罪的第</w:t>
      </w:r>
      <w:r>
        <w:rPr>
          <w:rFonts w:hint="eastAsia"/>
          <w:snapToGrid/>
        </w:rPr>
        <w:t>19</w:t>
      </w:r>
      <w:r>
        <w:rPr>
          <w:rFonts w:hint="eastAsia"/>
          <w:snapToGrid/>
        </w:rPr>
        <w:t>，</w:t>
      </w:r>
      <w:r>
        <w:rPr>
          <w:rFonts w:hint="eastAsia"/>
          <w:snapToGrid/>
        </w:rPr>
        <w:t>617</w:t>
      </w:r>
      <w:r>
        <w:rPr>
          <w:rFonts w:hint="eastAsia"/>
          <w:snapToGrid/>
        </w:rPr>
        <w:t>号法令。</w:t>
      </w:r>
    </w:p>
  </w:footnote>
  <w:footnote w:id="233">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1</w:t>
      </w:r>
      <w:r>
        <w:rPr>
          <w:rFonts w:hint="eastAsia"/>
        </w:rPr>
        <w:t>月第</w:t>
      </w:r>
      <w:r>
        <w:rPr>
          <w:rFonts w:hint="eastAsia"/>
        </w:rPr>
        <w:t>19284</w:t>
      </w:r>
      <w:r>
        <w:rPr>
          <w:rFonts w:hint="eastAsia"/>
        </w:rPr>
        <w:t>号法令。</w:t>
      </w:r>
    </w:p>
  </w:footnote>
  <w:footnote w:id="234">
    <w:p w:rsidR="00000000" w:rsidRDefault="009C1C61">
      <w:pPr>
        <w:pStyle w:val="FootnoteText"/>
      </w:pPr>
      <w:r>
        <w:rPr>
          <w:rStyle w:val="FootnoteReference"/>
        </w:rPr>
        <w:footnoteRef/>
      </w:r>
      <w:r>
        <w:t xml:space="preserve"> </w:t>
      </w:r>
      <w:r>
        <w:tab/>
      </w:r>
      <w:r>
        <w:rPr>
          <w:rFonts w:hint="eastAsia"/>
        </w:rPr>
        <w:t>1993</w:t>
      </w:r>
      <w:r>
        <w:rPr>
          <w:rFonts w:hint="eastAsia"/>
        </w:rPr>
        <w:t>年</w:t>
      </w:r>
      <w:r>
        <w:rPr>
          <w:rFonts w:hint="eastAsia"/>
        </w:rPr>
        <w:t>10</w:t>
      </w:r>
      <w:r>
        <w:rPr>
          <w:rFonts w:hint="eastAsia"/>
        </w:rPr>
        <w:t>月</w:t>
      </w:r>
      <w:r>
        <w:rPr>
          <w:rFonts w:hint="eastAsia"/>
        </w:rPr>
        <w:t>5</w:t>
      </w:r>
      <w:r>
        <w:rPr>
          <w:rFonts w:hint="eastAsia"/>
        </w:rPr>
        <w:t>日第</w:t>
      </w:r>
      <w:r>
        <w:rPr>
          <w:rFonts w:hint="eastAsia"/>
        </w:rPr>
        <w:t>19</w:t>
      </w:r>
      <w:r>
        <w:rPr>
          <w:rFonts w:hint="eastAsia"/>
        </w:rPr>
        <w:t>，</w:t>
      </w:r>
      <w:r>
        <w:rPr>
          <w:rFonts w:hint="eastAsia"/>
        </w:rPr>
        <w:t>253</w:t>
      </w:r>
      <w:r>
        <w:rPr>
          <w:rFonts w:hint="eastAsia"/>
        </w:rPr>
        <w:t>号法令。</w:t>
      </w:r>
    </w:p>
  </w:footnote>
  <w:footnote w:id="235">
    <w:p w:rsidR="00000000" w:rsidRDefault="009C1C61">
      <w:pPr>
        <w:pStyle w:val="FootnoteText"/>
        <w:spacing w:line="240" w:lineRule="auto"/>
      </w:pPr>
      <w:r>
        <w:rPr>
          <w:rStyle w:val="FootnoteReference"/>
        </w:rPr>
        <w:footnoteRef/>
      </w:r>
      <w:r>
        <w:t xml:space="preserve"> </w:t>
      </w:r>
      <w:r>
        <w:tab/>
      </w:r>
      <w:r>
        <w:rPr>
          <w:rFonts w:hint="eastAsia"/>
        </w:rPr>
        <w:t>1995</w:t>
      </w:r>
      <w:r>
        <w:rPr>
          <w:rFonts w:hint="eastAsia"/>
        </w:rPr>
        <w:t>年</w:t>
      </w:r>
      <w:r>
        <w:rPr>
          <w:rFonts w:hint="eastAsia"/>
        </w:rPr>
        <w:t>1</w:t>
      </w:r>
      <w:r>
        <w:rPr>
          <w:rFonts w:hint="eastAsia"/>
        </w:rPr>
        <w:t>月第</w:t>
      </w:r>
      <w:r>
        <w:rPr>
          <w:rFonts w:hint="eastAsia"/>
        </w:rPr>
        <w:t>19</w:t>
      </w:r>
      <w:r>
        <w:rPr>
          <w:rFonts w:hint="eastAsia"/>
        </w:rPr>
        <w:t>，</w:t>
      </w:r>
      <w:r>
        <w:rPr>
          <w:rFonts w:hint="eastAsia"/>
        </w:rPr>
        <w:t>366</w:t>
      </w:r>
      <w:r>
        <w:rPr>
          <w:rFonts w:hint="eastAsia"/>
        </w:rPr>
        <w:t>号法令，和</w:t>
      </w:r>
      <w:r>
        <w:rPr>
          <w:rFonts w:hint="eastAsia"/>
        </w:rPr>
        <w:t>1996</w:t>
      </w:r>
      <w:r>
        <w:rPr>
          <w:rFonts w:hint="eastAsia"/>
        </w:rPr>
        <w:t>年１月第</w:t>
      </w:r>
      <w:r>
        <w:rPr>
          <w:rFonts w:hint="eastAsia"/>
        </w:rPr>
        <w:t>565</w:t>
      </w:r>
      <w:r>
        <w:rPr>
          <w:rFonts w:hint="eastAsia"/>
        </w:rPr>
        <w:t>号政令。</w:t>
      </w:r>
    </w:p>
  </w:footnote>
  <w:footnote w:id="236">
    <w:p w:rsidR="00000000" w:rsidRDefault="009C1C61">
      <w:pPr>
        <w:pStyle w:val="FootnoteText"/>
        <w:spacing w:line="240" w:lineRule="auto"/>
      </w:pPr>
      <w:r>
        <w:rPr>
          <w:rStyle w:val="FootnoteReference"/>
        </w:rPr>
        <w:footnoteRef/>
      </w:r>
      <w:r>
        <w:t xml:space="preserve"> </w:t>
      </w:r>
      <w:r>
        <w:tab/>
      </w:r>
      <w:r>
        <w:rPr>
          <w:rFonts w:hint="eastAsia"/>
        </w:rPr>
        <w:t>1993</w:t>
      </w:r>
      <w:r>
        <w:rPr>
          <w:rFonts w:hint="eastAsia"/>
        </w:rPr>
        <w:t>年第</w:t>
      </w:r>
      <w:r>
        <w:rPr>
          <w:rFonts w:hint="eastAsia"/>
        </w:rPr>
        <w:t>19</w:t>
      </w:r>
      <w:r>
        <w:rPr>
          <w:rFonts w:hint="eastAsia"/>
        </w:rPr>
        <w:t>，</w:t>
      </w:r>
      <w:r>
        <w:rPr>
          <w:rFonts w:hint="eastAsia"/>
        </w:rPr>
        <w:t>257</w:t>
      </w:r>
      <w:r>
        <w:rPr>
          <w:rFonts w:hint="eastAsia"/>
        </w:rPr>
        <w:t>号法令。</w:t>
      </w:r>
    </w:p>
  </w:footnote>
  <w:footnote w:id="237">
    <w:p w:rsidR="00000000" w:rsidRDefault="009C1C61">
      <w:pPr>
        <w:pStyle w:val="FootnoteText"/>
        <w:spacing w:line="240" w:lineRule="auto"/>
      </w:pPr>
      <w:r>
        <w:rPr>
          <w:rStyle w:val="FootnoteReference"/>
        </w:rPr>
        <w:footnoteRef/>
      </w:r>
      <w:r>
        <w:t xml:space="preserve"> </w:t>
      </w:r>
      <w:r>
        <w:tab/>
      </w:r>
      <w:r>
        <w:rPr>
          <w:rFonts w:hint="eastAsia"/>
        </w:rPr>
        <w:t>1993</w:t>
      </w:r>
      <w:r>
        <w:rPr>
          <w:rFonts w:hint="eastAsia"/>
        </w:rPr>
        <w:t>年</w:t>
      </w:r>
      <w:r>
        <w:rPr>
          <w:rFonts w:hint="eastAsia"/>
        </w:rPr>
        <w:t>8</w:t>
      </w:r>
      <w:r>
        <w:rPr>
          <w:rFonts w:hint="eastAsia"/>
        </w:rPr>
        <w:t>月</w:t>
      </w:r>
      <w:r>
        <w:rPr>
          <w:rFonts w:hint="eastAsia"/>
        </w:rPr>
        <w:t>6</w:t>
      </w:r>
      <w:r>
        <w:rPr>
          <w:rFonts w:hint="eastAsia"/>
        </w:rPr>
        <w:t>日第</w:t>
      </w:r>
      <w:r>
        <w:rPr>
          <w:rFonts w:hint="eastAsia"/>
        </w:rPr>
        <w:t>1,820</w:t>
      </w:r>
      <w:r>
        <w:rPr>
          <w:rFonts w:hint="eastAsia"/>
        </w:rPr>
        <w:t>号独立决定。</w:t>
      </w:r>
    </w:p>
  </w:footnote>
  <w:footnote w:id="238">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3</w:t>
      </w:r>
      <w:r>
        <w:rPr>
          <w:rFonts w:hint="eastAsia"/>
        </w:rPr>
        <w:t>月</w:t>
      </w:r>
      <w:r>
        <w:rPr>
          <w:rFonts w:hint="eastAsia"/>
        </w:rPr>
        <w:t>21</w:t>
      </w:r>
      <w:r>
        <w:rPr>
          <w:rFonts w:hint="eastAsia"/>
        </w:rPr>
        <w:t>日第</w:t>
      </w:r>
      <w:r>
        <w:rPr>
          <w:rFonts w:hint="eastAsia"/>
        </w:rPr>
        <w:t>509</w:t>
      </w:r>
      <w:r>
        <w:rPr>
          <w:rFonts w:hint="eastAsia"/>
        </w:rPr>
        <w:t>号政令。</w:t>
      </w:r>
    </w:p>
  </w:footnote>
  <w:footnote w:id="239">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3</w:t>
      </w:r>
      <w:r>
        <w:rPr>
          <w:rFonts w:hint="eastAsia"/>
        </w:rPr>
        <w:t>月</w:t>
      </w:r>
      <w:r>
        <w:rPr>
          <w:rFonts w:hint="eastAsia"/>
        </w:rPr>
        <w:t>18</w:t>
      </w:r>
      <w:r>
        <w:rPr>
          <w:rFonts w:hint="eastAsia"/>
        </w:rPr>
        <w:t>日第</w:t>
      </w:r>
      <w:r>
        <w:rPr>
          <w:rFonts w:hint="eastAsia"/>
        </w:rPr>
        <w:t>778</w:t>
      </w:r>
      <w:r>
        <w:rPr>
          <w:rFonts w:hint="eastAsia"/>
        </w:rPr>
        <w:t>号政令。</w:t>
      </w:r>
    </w:p>
  </w:footnote>
  <w:footnote w:id="240">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11</w:t>
      </w:r>
      <w:r>
        <w:rPr>
          <w:rFonts w:hint="eastAsia"/>
        </w:rPr>
        <w:t>月</w:t>
      </w:r>
      <w:r>
        <w:rPr>
          <w:rFonts w:hint="eastAsia"/>
        </w:rPr>
        <w:t>25</w:t>
      </w:r>
      <w:r>
        <w:rPr>
          <w:rFonts w:hint="eastAsia"/>
        </w:rPr>
        <w:t>日第</w:t>
      </w:r>
      <w:r>
        <w:rPr>
          <w:rFonts w:hint="eastAsia"/>
        </w:rPr>
        <w:t>1</w:t>
      </w:r>
      <w:r>
        <w:rPr>
          <w:rFonts w:hint="eastAsia"/>
        </w:rPr>
        <w:t>，</w:t>
      </w:r>
      <w:r>
        <w:rPr>
          <w:rFonts w:hint="eastAsia"/>
        </w:rPr>
        <w:t>103</w:t>
      </w:r>
      <w:r>
        <w:rPr>
          <w:rFonts w:hint="eastAsia"/>
        </w:rPr>
        <w:t>号政令。</w:t>
      </w:r>
    </w:p>
  </w:footnote>
  <w:footnote w:id="241">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10</w:t>
      </w:r>
      <w:r>
        <w:rPr>
          <w:rFonts w:hint="eastAsia"/>
        </w:rPr>
        <w:t>月</w:t>
      </w:r>
      <w:r>
        <w:rPr>
          <w:rFonts w:hint="eastAsia"/>
        </w:rPr>
        <w:t>31</w:t>
      </w:r>
      <w:r>
        <w:rPr>
          <w:rFonts w:hint="eastAsia"/>
        </w:rPr>
        <w:t>日第</w:t>
      </w:r>
      <w:r>
        <w:rPr>
          <w:rFonts w:hint="eastAsia"/>
        </w:rPr>
        <w:t>19</w:t>
      </w:r>
      <w:r>
        <w:rPr>
          <w:rFonts w:hint="eastAsia"/>
        </w:rPr>
        <w:t>，</w:t>
      </w:r>
      <w:r>
        <w:rPr>
          <w:rFonts w:hint="eastAsia"/>
        </w:rPr>
        <w:t>343</w:t>
      </w:r>
      <w:r>
        <w:rPr>
          <w:rFonts w:hint="eastAsia"/>
        </w:rPr>
        <w:t>号法令，修改了</w:t>
      </w:r>
      <w:r>
        <w:rPr>
          <w:rFonts w:hint="eastAsia"/>
        </w:rPr>
        <w:t>1967</w:t>
      </w:r>
      <w:r>
        <w:rPr>
          <w:rFonts w:hint="eastAsia"/>
        </w:rPr>
        <w:t>年</w:t>
      </w:r>
      <w:r>
        <w:rPr>
          <w:rFonts w:hint="eastAsia"/>
        </w:rPr>
        <w:t>3</w:t>
      </w:r>
      <w:r>
        <w:rPr>
          <w:rFonts w:hint="eastAsia"/>
        </w:rPr>
        <w:t>月</w:t>
      </w:r>
      <w:r>
        <w:rPr>
          <w:rFonts w:hint="eastAsia"/>
        </w:rPr>
        <w:t>2</w:t>
      </w:r>
      <w:r>
        <w:rPr>
          <w:rFonts w:hint="eastAsia"/>
        </w:rPr>
        <w:t>日第</w:t>
      </w:r>
      <w:r>
        <w:rPr>
          <w:rFonts w:hint="eastAsia"/>
        </w:rPr>
        <w:t>16</w:t>
      </w:r>
      <w:r>
        <w:rPr>
          <w:rFonts w:hint="eastAsia"/>
        </w:rPr>
        <w:t>，</w:t>
      </w:r>
      <w:r>
        <w:rPr>
          <w:rFonts w:hint="eastAsia"/>
        </w:rPr>
        <w:t>6.8</w:t>
      </w:r>
      <w:r>
        <w:rPr>
          <w:rFonts w:hint="eastAsia"/>
        </w:rPr>
        <w:t>号法令并确定了《未成年人法》及其他法律条款的最后文本。</w:t>
      </w:r>
    </w:p>
  </w:footnote>
  <w:footnote w:id="242">
    <w:p w:rsidR="00000000" w:rsidRDefault="009C1C61">
      <w:pPr>
        <w:pStyle w:val="FootnoteText"/>
      </w:pPr>
      <w:r>
        <w:rPr>
          <w:rStyle w:val="FootnoteReference"/>
        </w:rPr>
        <w:footnoteRef/>
      </w:r>
      <w:r>
        <w:t xml:space="preserve"> </w:t>
      </w:r>
      <w:r>
        <w:tab/>
      </w:r>
      <w:r>
        <w:rPr>
          <w:rFonts w:hint="eastAsia"/>
        </w:rPr>
        <w:t>1994</w:t>
      </w:r>
      <w:r>
        <w:rPr>
          <w:rFonts w:hint="eastAsia"/>
        </w:rPr>
        <w:t>年</w:t>
      </w:r>
      <w:r>
        <w:rPr>
          <w:rFonts w:hint="eastAsia"/>
        </w:rPr>
        <w:t>12</w:t>
      </w:r>
      <w:r>
        <w:rPr>
          <w:rFonts w:hint="eastAsia"/>
        </w:rPr>
        <w:t>月</w:t>
      </w:r>
      <w:r>
        <w:rPr>
          <w:rFonts w:hint="eastAsia"/>
        </w:rPr>
        <w:t>27</w:t>
      </w:r>
      <w:r>
        <w:rPr>
          <w:rFonts w:hint="eastAsia"/>
        </w:rPr>
        <w:t>日第１，</w:t>
      </w:r>
      <w:r>
        <w:rPr>
          <w:rFonts w:hint="eastAsia"/>
        </w:rPr>
        <w:t>698</w:t>
      </w:r>
      <w:r>
        <w:rPr>
          <w:rFonts w:hint="eastAsia"/>
        </w:rPr>
        <w:t>号政令；</w:t>
      </w:r>
      <w:r>
        <w:rPr>
          <w:rFonts w:hint="eastAsia"/>
        </w:rPr>
        <w:t>1995</w:t>
      </w:r>
      <w:r>
        <w:rPr>
          <w:rFonts w:hint="eastAsia"/>
        </w:rPr>
        <w:t>年</w:t>
      </w:r>
      <w:r>
        <w:rPr>
          <w:rFonts w:hint="eastAsia"/>
        </w:rPr>
        <w:t>1</w:t>
      </w:r>
      <w:r>
        <w:rPr>
          <w:rFonts w:hint="eastAsia"/>
        </w:rPr>
        <w:t>月</w:t>
      </w:r>
      <w:r>
        <w:rPr>
          <w:rFonts w:hint="eastAsia"/>
        </w:rPr>
        <w:t>20</w:t>
      </w:r>
      <w:r>
        <w:rPr>
          <w:rFonts w:hint="eastAsia"/>
        </w:rPr>
        <w:t>日第</w:t>
      </w:r>
      <w:r>
        <w:rPr>
          <w:rFonts w:hint="eastAsia"/>
        </w:rPr>
        <w:t>80</w:t>
      </w:r>
      <w:r>
        <w:rPr>
          <w:rFonts w:hint="eastAsia"/>
        </w:rPr>
        <w:t>号政令；和</w:t>
      </w:r>
      <w:r>
        <w:rPr>
          <w:rFonts w:hint="eastAsia"/>
        </w:rPr>
        <w:t>1996</w:t>
      </w:r>
      <w:r>
        <w:rPr>
          <w:rFonts w:hint="eastAsia"/>
        </w:rPr>
        <w:t>年</w:t>
      </w:r>
      <w:r>
        <w:rPr>
          <w:rFonts w:hint="eastAsia"/>
        </w:rPr>
        <w:t>1</w:t>
      </w:r>
      <w:r>
        <w:rPr>
          <w:rFonts w:hint="eastAsia"/>
        </w:rPr>
        <w:t>月</w:t>
      </w:r>
      <w:r>
        <w:rPr>
          <w:rFonts w:hint="eastAsia"/>
        </w:rPr>
        <w:t>22</w:t>
      </w:r>
      <w:r>
        <w:rPr>
          <w:rFonts w:hint="eastAsia"/>
        </w:rPr>
        <w:t>日第１，</w:t>
      </w:r>
      <w:r>
        <w:rPr>
          <w:rFonts w:hint="eastAsia"/>
        </w:rPr>
        <w:t>091</w:t>
      </w:r>
      <w:r>
        <w:rPr>
          <w:rFonts w:hint="eastAsia"/>
        </w:rPr>
        <w:t>号政令。</w:t>
      </w:r>
    </w:p>
  </w:footnote>
  <w:footnote w:id="243">
    <w:p w:rsidR="00000000" w:rsidRDefault="009C1C61">
      <w:pPr>
        <w:pStyle w:val="FootnoteText"/>
      </w:pPr>
      <w:r>
        <w:rPr>
          <w:rStyle w:val="FootnoteReference"/>
        </w:rPr>
        <w:footnoteRef/>
      </w:r>
      <w:r>
        <w:t xml:space="preserve"> </w:t>
      </w:r>
      <w:r>
        <w:tab/>
      </w:r>
      <w:r>
        <w:rPr>
          <w:rFonts w:hint="eastAsia"/>
        </w:rPr>
        <w:t>1996</w:t>
      </w:r>
      <w:r>
        <w:rPr>
          <w:rFonts w:hint="eastAsia"/>
        </w:rPr>
        <w:t>年</w:t>
      </w:r>
      <w:r>
        <w:rPr>
          <w:rFonts w:hint="eastAsia"/>
        </w:rPr>
        <w:t>7</w:t>
      </w:r>
      <w:r>
        <w:rPr>
          <w:rFonts w:hint="eastAsia"/>
        </w:rPr>
        <w:t>月</w:t>
      </w:r>
      <w:r>
        <w:rPr>
          <w:rFonts w:hint="eastAsia"/>
        </w:rPr>
        <w:t>19</w:t>
      </w:r>
      <w:r>
        <w:rPr>
          <w:rFonts w:hint="eastAsia"/>
        </w:rPr>
        <w:t>日第</w:t>
      </w:r>
      <w:r>
        <w:t>730</w:t>
      </w:r>
      <w:r>
        <w:rPr>
          <w:rFonts w:hint="eastAsia"/>
        </w:rPr>
        <w:t>号政令。</w:t>
      </w:r>
    </w:p>
  </w:footnote>
  <w:footnote w:id="244">
    <w:p w:rsidR="00000000" w:rsidRDefault="009C1C61">
      <w:pPr>
        <w:pStyle w:val="FootnoteText"/>
        <w:rPr>
          <w:rFonts w:hint="eastAsia"/>
        </w:rPr>
      </w:pPr>
      <w:r>
        <w:rPr>
          <w:rStyle w:val="FootnoteReference"/>
        </w:rPr>
        <w:footnoteRef/>
      </w:r>
      <w:r>
        <w:t xml:space="preserve"> </w:t>
      </w:r>
      <w:r>
        <w:rPr>
          <w:rFonts w:hint="eastAsia"/>
        </w:rPr>
        <w:tab/>
      </w:r>
      <w:r>
        <w:rPr>
          <w:rFonts w:hint="eastAsia"/>
        </w:rPr>
        <w:t>从经济部提供的资料中提炼出的数据，见规划与合作部</w:t>
      </w:r>
      <w:r>
        <w:rPr>
          <w:rFonts w:hint="eastAsia"/>
        </w:rPr>
        <w:t>1990-2000</w:t>
      </w:r>
      <w:r>
        <w:rPr>
          <w:rFonts w:hint="eastAsia"/>
        </w:rPr>
        <w:t>年经济社会指标。</w:t>
      </w:r>
    </w:p>
  </w:footnote>
  <w:footnote w:id="245">
    <w:p w:rsidR="00000000" w:rsidRDefault="009C1C61">
      <w:pPr>
        <w:pStyle w:val="FootnoteText"/>
        <w:rPr>
          <w:rFonts w:eastAsia="SimSun" w:hint="eastAsia"/>
        </w:rPr>
      </w:pPr>
      <w:r>
        <w:rPr>
          <w:rStyle w:val="FootnoteReference"/>
        </w:rPr>
        <w:footnoteRef/>
      </w:r>
      <w:r>
        <w:t xml:space="preserve"> </w:t>
      </w:r>
      <w:r>
        <w:rPr>
          <w:rFonts w:hint="eastAsia"/>
        </w:rPr>
        <w:tab/>
      </w:r>
      <w:r>
        <w:rPr>
          <w:rFonts w:hint="eastAsia"/>
        </w:rPr>
        <w:t>见规划与合作部</w:t>
      </w:r>
      <w:r>
        <w:rPr>
          <w:rFonts w:hint="eastAsia"/>
        </w:rPr>
        <w:t>1990-2000</w:t>
      </w:r>
      <w:r>
        <w:rPr>
          <w:rFonts w:hint="eastAsia"/>
        </w:rPr>
        <w:t>年经济社会指标。</w:t>
      </w:r>
    </w:p>
  </w:footnote>
  <w:footnote w:id="246">
    <w:p w:rsidR="00000000" w:rsidRDefault="009C1C61">
      <w:pPr>
        <w:pStyle w:val="FootnoteText"/>
        <w:rPr>
          <w:rFonts w:eastAsia="SimSun" w:hint="eastAsia"/>
        </w:rPr>
      </w:pPr>
      <w:r>
        <w:rPr>
          <w:rStyle w:val="FootnoteReference"/>
        </w:rPr>
        <w:footnoteRef/>
      </w:r>
      <w:r>
        <w:t xml:space="preserve"> </w:t>
      </w:r>
      <w:r>
        <w:rPr>
          <w:rFonts w:hint="eastAsia"/>
        </w:rPr>
        <w:tab/>
      </w:r>
      <w:r>
        <w:rPr>
          <w:rFonts w:hint="eastAsia"/>
        </w:rPr>
        <w:t>资料来源：规合部，</w:t>
      </w:r>
      <w:r>
        <w:rPr>
          <w:rFonts w:hint="eastAsia"/>
        </w:rPr>
        <w:t>1990</w:t>
      </w:r>
      <w:r>
        <w:rPr>
          <w:rFonts w:hint="eastAsia"/>
        </w:rPr>
        <w:t>年、</w:t>
      </w:r>
      <w:r>
        <w:rPr>
          <w:rFonts w:hint="eastAsia"/>
        </w:rPr>
        <w:t>1996</w:t>
      </w:r>
      <w:r>
        <w:rPr>
          <w:rFonts w:hint="eastAsia"/>
        </w:rPr>
        <w:t>年及</w:t>
      </w:r>
      <w:r>
        <w:rPr>
          <w:rFonts w:hint="eastAsia"/>
        </w:rPr>
        <w:t>2000</w:t>
      </w:r>
      <w:r>
        <w:rPr>
          <w:rFonts w:hint="eastAsia"/>
        </w:rPr>
        <w:t>年的社经特征调查。</w:t>
      </w:r>
    </w:p>
  </w:footnote>
  <w:footnote w:id="247">
    <w:p w:rsidR="00000000" w:rsidRDefault="009C1C61">
      <w:pPr>
        <w:pStyle w:val="FootnoteText"/>
        <w:rPr>
          <w:rFonts w:eastAsia="SimSun" w:hint="eastAsia"/>
        </w:rPr>
      </w:pPr>
      <w:r>
        <w:rPr>
          <w:rStyle w:val="FootnoteReference"/>
        </w:rPr>
        <w:footnoteRef/>
      </w:r>
      <w:r>
        <w:t xml:space="preserve"> </w:t>
      </w:r>
      <w:r>
        <w:rPr>
          <w:rFonts w:hint="eastAsia"/>
        </w:rPr>
        <w:tab/>
      </w:r>
      <w:r>
        <w:rPr>
          <w:rFonts w:hint="eastAsia"/>
        </w:rPr>
        <w:t>家庭货币收入是指家庭的独立收和所收国家拨款的总和。独立收入也称主要收入，是指家庭因拥有生产要素而得到的所有付款。它包括工资和薪水、独立劳动所得、家制产品自给、租金、利息、养恤金及退休金。拨款是国家提供的所有现金付</w:t>
      </w:r>
      <w:r>
        <w:rPr>
          <w:rFonts w:hint="eastAsia"/>
        </w:rPr>
        <w:t>款，包括国家补助养恤金（</w:t>
      </w:r>
      <w:r>
        <w:rPr>
          <w:rFonts w:hint="eastAsia"/>
        </w:rPr>
        <w:t>P</w:t>
      </w:r>
      <w:r>
        <w:t>asis</w:t>
      </w:r>
      <w:r>
        <w:rPr>
          <w:rFonts w:hint="eastAsia"/>
        </w:rPr>
        <w:t>）、裁员补贴、统一家属津贴、家属津贴、饮水津贴及其他国家补贴。</w:t>
      </w:r>
    </w:p>
  </w:footnote>
  <w:footnote w:id="248">
    <w:p w:rsidR="00000000" w:rsidRDefault="009C1C61">
      <w:pPr>
        <w:pStyle w:val="FootnoteText"/>
        <w:rPr>
          <w:rFonts w:eastAsia="SimSun" w:hint="eastAsia"/>
        </w:rPr>
      </w:pPr>
      <w:r>
        <w:rPr>
          <w:rStyle w:val="FootnoteReference"/>
        </w:rPr>
        <w:footnoteRef/>
      </w:r>
      <w:r>
        <w:t xml:space="preserve"> </w:t>
      </w:r>
      <w:r>
        <w:rPr>
          <w:rFonts w:hint="eastAsia"/>
        </w:rPr>
        <w:tab/>
      </w:r>
      <w:r>
        <w:rPr>
          <w:rFonts w:hint="eastAsia"/>
        </w:rPr>
        <w:t>在智利，年满</w:t>
      </w:r>
      <w:r>
        <w:rPr>
          <w:rFonts w:hint="eastAsia"/>
        </w:rPr>
        <w:t>6</w:t>
      </w:r>
      <w:r>
        <w:rPr>
          <w:rFonts w:hint="eastAsia"/>
        </w:rPr>
        <w:t>岁儿童于当年</w:t>
      </w:r>
      <w:r>
        <w:rPr>
          <w:rFonts w:hint="eastAsia"/>
        </w:rPr>
        <w:t>3</w:t>
      </w:r>
      <w:r>
        <w:rPr>
          <w:rFonts w:hint="eastAsia"/>
        </w:rPr>
        <w:t>月</w:t>
      </w:r>
      <w:r>
        <w:rPr>
          <w:rFonts w:hint="eastAsia"/>
        </w:rPr>
        <w:t>1</w:t>
      </w:r>
      <w:r>
        <w:rPr>
          <w:rFonts w:hint="eastAsia"/>
        </w:rPr>
        <w:t>日入学。</w:t>
      </w:r>
    </w:p>
  </w:footnote>
  <w:footnote w:id="249">
    <w:p w:rsidR="00000000" w:rsidRDefault="009C1C61">
      <w:pPr>
        <w:pStyle w:val="FootnoteText"/>
        <w:spacing w:line="240" w:lineRule="auto"/>
        <w:rPr>
          <w:rFonts w:eastAsia="SimSun" w:hint="eastAsia"/>
        </w:rPr>
      </w:pPr>
      <w:r>
        <w:rPr>
          <w:rStyle w:val="FootnoteReference"/>
        </w:rPr>
        <w:footnoteRef/>
      </w:r>
      <w:r>
        <w:t xml:space="preserve"> </w:t>
      </w:r>
      <w:r>
        <w:rPr>
          <w:rFonts w:hint="eastAsia"/>
        </w:rPr>
        <w:tab/>
      </w:r>
      <w:r>
        <w:rPr>
          <w:rFonts w:hint="eastAsia"/>
        </w:rPr>
        <w:t>这些现金补贴由国家支付，包括国家援助养恤金、裁员补贴、统一家属津贴、家属津贴及其他国家发放给家庭的拨款。</w:t>
      </w:r>
    </w:p>
  </w:footnote>
  <w:footnote w:id="250">
    <w:p w:rsidR="00000000" w:rsidRDefault="009C1C61">
      <w:pPr>
        <w:pStyle w:val="FootnoteText"/>
        <w:spacing w:line="240" w:lineRule="auto"/>
        <w:rPr>
          <w:rFonts w:eastAsia="SimSun" w:hint="eastAsia"/>
        </w:rPr>
      </w:pPr>
      <w:r>
        <w:rPr>
          <w:rStyle w:val="FootnoteReference"/>
        </w:rPr>
        <w:footnoteRef/>
      </w:r>
      <w:r>
        <w:t xml:space="preserve"> </w:t>
      </w:r>
      <w:r>
        <w:rPr>
          <w:rFonts w:hint="eastAsia"/>
        </w:rPr>
        <w:tab/>
      </w:r>
      <w:r>
        <w:t>Vio, F.</w:t>
      </w:r>
      <w:r>
        <w:rPr>
          <w:rFonts w:hint="eastAsia"/>
        </w:rPr>
        <w:t>和</w:t>
      </w:r>
      <w:r>
        <w:t>Albala</w:t>
      </w:r>
      <w:r>
        <w:t>，</w:t>
      </w:r>
      <w:r>
        <w:t>C, “Epidemiologia de la abesidad en Chile”(</w:t>
      </w:r>
      <w:r>
        <w:rPr>
          <w:rFonts w:hint="eastAsia"/>
        </w:rPr>
        <w:t>智利的肥胖流行病学</w:t>
      </w:r>
      <w:r>
        <w:t>)</w:t>
      </w:r>
      <w:r>
        <w:rPr>
          <w:rFonts w:hint="eastAsia"/>
        </w:rPr>
        <w:t>，</w:t>
      </w:r>
      <w:r>
        <w:t>Revista Chilena de Nutricion</w:t>
      </w:r>
      <w:r>
        <w:rPr>
          <w:rFonts w:hint="eastAsia"/>
        </w:rPr>
        <w:t>，</w:t>
      </w:r>
      <w:r>
        <w:rPr>
          <w:rFonts w:hint="eastAsia"/>
        </w:rPr>
        <w:t>2000</w:t>
      </w:r>
      <w:r>
        <w:rPr>
          <w:rFonts w:hint="eastAsia"/>
        </w:rPr>
        <w:t>年第</w:t>
      </w:r>
      <w:r>
        <w:rPr>
          <w:rFonts w:hint="eastAsia"/>
        </w:rPr>
        <w:t>27</w:t>
      </w:r>
      <w:r>
        <w:rPr>
          <w:rFonts w:hint="eastAsia"/>
        </w:rPr>
        <w:t>期，第</w:t>
      </w:r>
      <w:r>
        <w:rPr>
          <w:rFonts w:hint="eastAsia"/>
        </w:rPr>
        <w:t>97-104</w:t>
      </w:r>
      <w:r>
        <w:rPr>
          <w:rFonts w:hint="eastAsia"/>
        </w:rPr>
        <w:t>页。</w:t>
      </w:r>
    </w:p>
  </w:footnote>
  <w:footnote w:id="251">
    <w:p w:rsidR="00000000" w:rsidRDefault="009C1C61">
      <w:pPr>
        <w:pStyle w:val="FootnoteText"/>
        <w:spacing w:line="240" w:lineRule="auto"/>
        <w:rPr>
          <w:rFonts w:eastAsia="SimSun" w:hint="eastAsia"/>
        </w:rPr>
      </w:pPr>
      <w:r>
        <w:rPr>
          <w:rStyle w:val="FootnoteReference"/>
        </w:rPr>
        <w:footnoteRef/>
      </w:r>
      <w:r>
        <w:t xml:space="preserve"> </w:t>
      </w:r>
      <w:r>
        <w:rPr>
          <w:rFonts w:hint="eastAsia"/>
        </w:rPr>
        <w:tab/>
      </w:r>
      <w:r>
        <w:rPr>
          <w:rFonts w:hint="eastAsia"/>
        </w:rPr>
        <w:t>这种住</w:t>
      </w:r>
      <w:r>
        <w:rPr>
          <w:rFonts w:hint="eastAsia"/>
        </w:rPr>
        <w:t>房需求源于密集聚居住户问题（</w:t>
      </w:r>
      <w:r>
        <w:t>allegamiento</w:t>
      </w:r>
      <w:r>
        <w:rPr>
          <w:rFonts w:hint="eastAsia"/>
        </w:rPr>
        <w:t>）。密集聚居住户有内外之别：内，是指几个住户共住同一个房屋；外，是指密集聚居家庭核心，也就是说，属于一个（多个核心的）大家庭的若干家庭共住同一房屋。</w:t>
      </w:r>
    </w:p>
  </w:footnote>
  <w:footnote w:id="252">
    <w:p w:rsidR="00000000" w:rsidRDefault="009C1C61">
      <w:pPr>
        <w:pStyle w:val="FootnoteText"/>
        <w:spacing w:line="240" w:lineRule="auto"/>
        <w:rPr>
          <w:rFonts w:eastAsia="SimSun" w:hint="eastAsia"/>
        </w:rPr>
      </w:pPr>
      <w:r>
        <w:rPr>
          <w:rStyle w:val="FootnoteReference"/>
        </w:rPr>
        <w:footnoteRef/>
      </w:r>
      <w:r>
        <w:t xml:space="preserve"> </w:t>
      </w:r>
      <w:r>
        <w:rPr>
          <w:rFonts w:hint="eastAsia"/>
        </w:rPr>
        <w:tab/>
      </w:r>
      <w:r>
        <w:rPr>
          <w:rFonts w:hint="eastAsia"/>
        </w:rPr>
        <w:t>这是指在下述某个方面：（</w:t>
      </w:r>
      <w:r>
        <w:t>a</w:t>
      </w:r>
      <w:r>
        <w:rPr>
          <w:rFonts w:hint="eastAsia"/>
        </w:rPr>
        <w:t>）物质便利、（</w:t>
      </w:r>
      <w:r>
        <w:t>b</w:t>
      </w:r>
      <w:r>
        <w:rPr>
          <w:rFonts w:hint="eastAsia"/>
        </w:rPr>
        <w:t>）卫生设备和（</w:t>
      </w:r>
      <w:r>
        <w:t>c</w:t>
      </w:r>
      <w:r>
        <w:rPr>
          <w:rFonts w:hint="eastAsia"/>
        </w:rPr>
        <w:t>）适居性存在缺陷的房屋。</w:t>
      </w:r>
    </w:p>
  </w:footnote>
  <w:footnote w:id="253">
    <w:p w:rsidR="00000000" w:rsidRDefault="009C1C61">
      <w:pPr>
        <w:pStyle w:val="FootnoteText"/>
        <w:spacing w:line="240" w:lineRule="auto"/>
        <w:rPr>
          <w:rFonts w:hint="eastAsia"/>
        </w:rPr>
      </w:pPr>
      <w:r>
        <w:rPr>
          <w:rStyle w:val="FootnoteReference"/>
        </w:rPr>
        <w:footnoteRef/>
      </w:r>
      <w:r>
        <w:t xml:space="preserve"> </w:t>
      </w:r>
      <w:r>
        <w:tab/>
      </w:r>
      <w:r>
        <w:rPr>
          <w:rFonts w:hint="eastAsia"/>
        </w:rPr>
        <w:t>第</w:t>
      </w:r>
      <w:r>
        <w:rPr>
          <w:rFonts w:hint="eastAsia"/>
        </w:rPr>
        <w:t>16/94</w:t>
      </w:r>
      <w:r>
        <w:rPr>
          <w:rFonts w:hint="eastAsia"/>
        </w:rPr>
        <w:t>号工作文件，《还需要多少住房？》，</w:t>
      </w:r>
      <w:r>
        <w:rPr>
          <w:rFonts w:hint="eastAsia"/>
        </w:rPr>
        <w:t>Joan Macdonald, 1994</w:t>
      </w:r>
      <w:r>
        <w:rPr>
          <w:rFonts w:hint="eastAsia"/>
        </w:rPr>
        <w:t>年</w:t>
      </w:r>
      <w:r>
        <w:rPr>
          <w:rFonts w:hint="eastAsia"/>
        </w:rPr>
        <w:t>6</w:t>
      </w:r>
      <w:r>
        <w:rPr>
          <w:rFonts w:hint="eastAsia"/>
        </w:rPr>
        <w:t>月。大学促进协会。</w:t>
      </w:r>
    </w:p>
  </w:footnote>
  <w:footnote w:id="254">
    <w:p w:rsidR="00000000" w:rsidRDefault="009C1C61">
      <w:pPr>
        <w:pStyle w:val="FootnoteText"/>
        <w:spacing w:line="240" w:lineRule="auto"/>
        <w:rPr>
          <w:rFonts w:hint="eastAsia"/>
        </w:rPr>
      </w:pPr>
      <w:r>
        <w:rPr>
          <w:rStyle w:val="FootnoteReference"/>
        </w:rPr>
        <w:footnoteRef/>
      </w:r>
      <w:r>
        <w:t xml:space="preserve"> </w:t>
      </w:r>
      <w:r>
        <w:tab/>
      </w:r>
      <w:r>
        <w:rPr>
          <w:rFonts w:hint="eastAsia"/>
        </w:rPr>
        <w:t>见规合部“</w:t>
      </w:r>
      <w:r>
        <w:rPr>
          <w:rFonts w:hint="eastAsia"/>
        </w:rPr>
        <w:t>1990-2000</w:t>
      </w:r>
      <w:r>
        <w:rPr>
          <w:rFonts w:hint="eastAsia"/>
        </w:rPr>
        <w:t>年经济和社会指标”中根据住房和城市规划部提供的资料编制的数据。</w:t>
      </w:r>
    </w:p>
  </w:footnote>
  <w:footnote w:id="255">
    <w:p w:rsidR="00000000" w:rsidRDefault="009C1C61">
      <w:pPr>
        <w:pStyle w:val="FootnoteText"/>
        <w:spacing w:line="240" w:lineRule="auto"/>
        <w:rPr>
          <w:rFonts w:hint="eastAsia"/>
        </w:rPr>
      </w:pPr>
      <w:r>
        <w:rPr>
          <w:rStyle w:val="FootnoteReference"/>
        </w:rPr>
        <w:footnoteRef/>
      </w:r>
      <w:r>
        <w:t xml:space="preserve"> </w:t>
      </w:r>
      <w:r>
        <w:tab/>
      </w:r>
      <w:r>
        <w:rPr>
          <w:rFonts w:hint="eastAsia"/>
        </w:rPr>
        <w:t>照</w:t>
      </w:r>
      <w:r>
        <w:rPr>
          <w:rFonts w:hint="eastAsia"/>
        </w:rPr>
        <w:t>1984</w:t>
      </w:r>
      <w:r>
        <w:rPr>
          <w:rFonts w:hint="eastAsia"/>
        </w:rPr>
        <w:t>年第</w:t>
      </w:r>
      <w:r>
        <w:rPr>
          <w:rFonts w:hint="eastAsia"/>
        </w:rPr>
        <w:t>62</w:t>
      </w:r>
      <w:r>
        <w:rPr>
          <w:rFonts w:hint="eastAsia"/>
        </w:rPr>
        <w:t>号最高政令办。</w:t>
      </w:r>
    </w:p>
  </w:footnote>
  <w:footnote w:id="256">
    <w:p w:rsidR="00000000" w:rsidRDefault="009C1C61">
      <w:pPr>
        <w:pStyle w:val="FootnoteText"/>
        <w:spacing w:line="240" w:lineRule="auto"/>
        <w:rPr>
          <w:rFonts w:hint="eastAsia"/>
        </w:rPr>
      </w:pPr>
      <w:r>
        <w:rPr>
          <w:rStyle w:val="FootnoteReference"/>
        </w:rPr>
        <w:footnoteRef/>
      </w:r>
      <w:r>
        <w:t xml:space="preserve"> </w:t>
      </w:r>
      <w:r>
        <w:tab/>
      </w:r>
      <w:r>
        <w:rPr>
          <w:rFonts w:hint="eastAsia"/>
        </w:rPr>
        <w:t>照</w:t>
      </w:r>
      <w:r>
        <w:rPr>
          <w:rFonts w:hint="eastAsia"/>
        </w:rPr>
        <w:t>1990</w:t>
      </w:r>
      <w:r>
        <w:rPr>
          <w:rFonts w:hint="eastAsia"/>
        </w:rPr>
        <w:t>年第</w:t>
      </w:r>
      <w:r>
        <w:rPr>
          <w:rFonts w:hint="eastAsia"/>
        </w:rPr>
        <w:t>140</w:t>
      </w:r>
      <w:r>
        <w:rPr>
          <w:rFonts w:hint="eastAsia"/>
        </w:rPr>
        <w:t>号最高政令办。</w:t>
      </w:r>
    </w:p>
  </w:footnote>
  <w:footnote w:id="257">
    <w:p w:rsidR="00000000" w:rsidRDefault="009C1C61">
      <w:pPr>
        <w:pStyle w:val="FootnoteText"/>
        <w:rPr>
          <w:rFonts w:hint="eastAsia"/>
        </w:rPr>
      </w:pPr>
      <w:r>
        <w:rPr>
          <w:rStyle w:val="FootnoteReference"/>
        </w:rPr>
        <w:footnoteRef/>
      </w:r>
      <w:r>
        <w:t xml:space="preserve"> </w:t>
      </w:r>
      <w:r>
        <w:tab/>
      </w:r>
      <w:r>
        <w:rPr>
          <w:rFonts w:hint="eastAsia"/>
        </w:rPr>
        <w:t>第</w:t>
      </w:r>
      <w:r>
        <w:rPr>
          <w:rFonts w:hint="eastAsia"/>
        </w:rPr>
        <w:t>16,391</w:t>
      </w:r>
      <w:r>
        <w:rPr>
          <w:rFonts w:hint="eastAsia"/>
        </w:rPr>
        <w:t>号法。</w:t>
      </w:r>
    </w:p>
  </w:footnote>
  <w:footnote w:id="258">
    <w:p w:rsidR="00000000" w:rsidRDefault="009C1C61">
      <w:pPr>
        <w:pStyle w:val="FootnoteText"/>
        <w:rPr>
          <w:rFonts w:hint="eastAsia"/>
        </w:rPr>
      </w:pPr>
      <w:r>
        <w:rPr>
          <w:rStyle w:val="FootnoteReference"/>
        </w:rPr>
        <w:footnoteRef/>
      </w:r>
      <w:r>
        <w:t xml:space="preserve"> </w:t>
      </w:r>
      <w:r>
        <w:tab/>
      </w:r>
      <w:r>
        <w:rPr>
          <w:rFonts w:hint="eastAsia"/>
        </w:rPr>
        <w:t>1995</w:t>
      </w:r>
      <w:r>
        <w:rPr>
          <w:rFonts w:hint="eastAsia"/>
        </w:rPr>
        <w:t>年第</w:t>
      </w:r>
      <w:r>
        <w:rPr>
          <w:rFonts w:hint="eastAsia"/>
        </w:rPr>
        <w:t>1,035</w:t>
      </w:r>
      <w:r>
        <w:rPr>
          <w:rFonts w:hint="eastAsia"/>
        </w:rPr>
        <w:t>号</w:t>
      </w:r>
      <w:r>
        <w:rPr>
          <w:rFonts w:ascii="SimSun" w:hint="eastAsia"/>
          <w:szCs w:val="24"/>
        </w:rPr>
        <w:t>政令</w:t>
      </w:r>
      <w:r>
        <w:rPr>
          <w:rFonts w:hint="eastAsia"/>
        </w:rPr>
        <w:t>法。</w:t>
      </w:r>
    </w:p>
  </w:footnote>
  <w:footnote w:id="259">
    <w:p w:rsidR="00000000" w:rsidRDefault="009C1C61">
      <w:pPr>
        <w:pStyle w:val="FootnoteText"/>
      </w:pPr>
      <w:r>
        <w:rPr>
          <w:rStyle w:val="FootnoteReference"/>
        </w:rPr>
        <w:footnoteRef/>
      </w:r>
      <w:r>
        <w:t xml:space="preserve"> </w:t>
      </w:r>
      <w:r>
        <w:tab/>
      </w:r>
      <w:r>
        <w:rPr>
          <w:rFonts w:hint="eastAsia"/>
        </w:rPr>
        <w:t>1982</w:t>
      </w:r>
      <w:r>
        <w:rPr>
          <w:rFonts w:hint="eastAsia"/>
        </w:rPr>
        <w:t>年第</w:t>
      </w:r>
      <w:r>
        <w:rPr>
          <w:rFonts w:hint="eastAsia"/>
        </w:rPr>
        <w:t>18,138</w:t>
      </w:r>
      <w:r>
        <w:rPr>
          <w:rFonts w:hint="eastAsia"/>
        </w:rPr>
        <w:t>号法令。</w:t>
      </w:r>
    </w:p>
  </w:footnote>
  <w:footnote w:id="260">
    <w:p w:rsidR="00000000" w:rsidRDefault="009C1C61">
      <w:pPr>
        <w:pStyle w:val="FootnoteText"/>
        <w:rPr>
          <w:rFonts w:hint="eastAsia"/>
        </w:rPr>
      </w:pPr>
      <w:r>
        <w:rPr>
          <w:rStyle w:val="FootnoteReference"/>
        </w:rPr>
        <w:footnoteRef/>
      </w:r>
      <w:r>
        <w:t xml:space="preserve"> </w:t>
      </w:r>
      <w:r>
        <w:tab/>
      </w:r>
      <w:r>
        <w:rPr>
          <w:rFonts w:hint="eastAsia"/>
        </w:rPr>
        <w:t>一般都市规划和建筑法，</w:t>
      </w:r>
      <w:r>
        <w:rPr>
          <w:rFonts w:hint="eastAsia"/>
        </w:rPr>
        <w:t>1975</w:t>
      </w:r>
      <w:r>
        <w:rPr>
          <w:rFonts w:hint="eastAsia"/>
        </w:rPr>
        <w:t>年第</w:t>
      </w:r>
      <w:r>
        <w:rPr>
          <w:rFonts w:hint="eastAsia"/>
        </w:rPr>
        <w:t>458</w:t>
      </w:r>
      <w:r>
        <w:rPr>
          <w:rFonts w:hint="eastAsia"/>
        </w:rPr>
        <w:t>号立法令</w:t>
      </w:r>
      <w:r>
        <w:rPr>
          <w:rFonts w:hint="eastAsia"/>
        </w:rPr>
        <w:t>(</w:t>
      </w:r>
      <w:r>
        <w:rPr>
          <w:rFonts w:hint="eastAsia"/>
        </w:rPr>
        <w:t>住房和都市规划部</w:t>
      </w:r>
      <w:r>
        <w:rPr>
          <w:rFonts w:hint="eastAsia"/>
        </w:rPr>
        <w:t>)</w:t>
      </w:r>
      <w:r>
        <w:rPr>
          <w:rFonts w:hint="eastAsia"/>
        </w:rPr>
        <w:t>及相关条例；一般都市规划和建筑条例，</w:t>
      </w:r>
      <w:r>
        <w:rPr>
          <w:rFonts w:hint="eastAsia"/>
        </w:rPr>
        <w:t>1992</w:t>
      </w:r>
      <w:r>
        <w:rPr>
          <w:rFonts w:hint="eastAsia"/>
        </w:rPr>
        <w:t>年</w:t>
      </w:r>
      <w:r>
        <w:rPr>
          <w:rFonts w:hint="eastAsia"/>
        </w:rPr>
        <w:t>5</w:t>
      </w:r>
      <w:r>
        <w:rPr>
          <w:rFonts w:hint="eastAsia"/>
        </w:rPr>
        <w:t>月第</w:t>
      </w:r>
      <w:r>
        <w:rPr>
          <w:rFonts w:hint="eastAsia"/>
        </w:rPr>
        <w:t>47</w:t>
      </w:r>
      <w:r>
        <w:rPr>
          <w:rFonts w:hint="eastAsia"/>
        </w:rPr>
        <w:t>号最高政令</w:t>
      </w:r>
      <w:r>
        <w:rPr>
          <w:rFonts w:hint="eastAsia"/>
        </w:rPr>
        <w:t>(</w:t>
      </w:r>
      <w:r>
        <w:rPr>
          <w:rFonts w:hint="eastAsia"/>
        </w:rPr>
        <w:t>住房和都市规划部</w:t>
      </w:r>
      <w:r>
        <w:rPr>
          <w:rFonts w:hint="eastAsia"/>
        </w:rPr>
        <w:t>)</w:t>
      </w:r>
      <w:r>
        <w:rPr>
          <w:rFonts w:hint="eastAsia"/>
        </w:rPr>
        <w:t>。</w:t>
      </w:r>
    </w:p>
  </w:footnote>
  <w:footnote w:id="261">
    <w:p w:rsidR="00000000" w:rsidRDefault="009C1C61">
      <w:pPr>
        <w:pStyle w:val="FootnoteText"/>
      </w:pPr>
      <w:r>
        <w:rPr>
          <w:rStyle w:val="FootnoteReference"/>
        </w:rPr>
        <w:footnoteRef/>
      </w:r>
      <w:r>
        <w:t xml:space="preserve"> </w:t>
      </w:r>
      <w:r>
        <w:tab/>
      </w:r>
      <w:r>
        <w:rPr>
          <w:rFonts w:hint="eastAsia"/>
        </w:rPr>
        <w:t>一般都市规划和建筑法，第</w:t>
      </w:r>
      <w:r>
        <w:rPr>
          <w:rFonts w:hint="eastAsia"/>
        </w:rPr>
        <w:t>55</w:t>
      </w:r>
      <w:r>
        <w:rPr>
          <w:rFonts w:hint="eastAsia"/>
        </w:rPr>
        <w:t>条。</w:t>
      </w:r>
    </w:p>
  </w:footnote>
  <w:footnote w:id="262">
    <w:p w:rsidR="00000000" w:rsidRDefault="009C1C61">
      <w:pPr>
        <w:pStyle w:val="FootnoteText"/>
        <w:rPr>
          <w:rFonts w:hint="eastAsia"/>
        </w:rPr>
      </w:pPr>
      <w:r>
        <w:rPr>
          <w:rStyle w:val="FootnoteReference"/>
        </w:rPr>
        <w:footnoteRef/>
      </w:r>
      <w:r>
        <w:t xml:space="preserve"> </w:t>
      </w:r>
      <w:r>
        <w:tab/>
      </w:r>
      <w:r>
        <w:rPr>
          <w:rFonts w:hint="eastAsia"/>
        </w:rPr>
        <w:t>1982</w:t>
      </w:r>
      <w:r>
        <w:rPr>
          <w:rFonts w:hint="eastAsia"/>
        </w:rPr>
        <w:t>年第</w:t>
      </w:r>
      <w:r>
        <w:rPr>
          <w:rFonts w:hint="eastAsia"/>
        </w:rPr>
        <w:t>18,101</w:t>
      </w:r>
      <w:r>
        <w:rPr>
          <w:rFonts w:hint="eastAsia"/>
        </w:rPr>
        <w:t>号法令。</w:t>
      </w:r>
    </w:p>
  </w:footnote>
  <w:footnote w:id="263">
    <w:p w:rsidR="00000000" w:rsidRDefault="009C1C61">
      <w:pPr>
        <w:pStyle w:val="FootnoteText"/>
        <w:spacing w:line="240" w:lineRule="auto"/>
        <w:rPr>
          <w:rFonts w:hint="eastAsia"/>
        </w:rPr>
      </w:pPr>
      <w:r>
        <w:rPr>
          <w:rStyle w:val="FootnoteReference"/>
        </w:rPr>
        <w:footnoteRef/>
      </w:r>
      <w:r>
        <w:t xml:space="preserve"> </w:t>
      </w:r>
      <w:r>
        <w:tab/>
      </w:r>
      <w:r>
        <w:rPr>
          <w:rFonts w:hint="eastAsia"/>
        </w:rPr>
        <w:t>《宪法》第</w:t>
      </w:r>
      <w:r>
        <w:rPr>
          <w:rFonts w:hint="eastAsia"/>
        </w:rPr>
        <w:t>1</w:t>
      </w:r>
      <w:r>
        <w:rPr>
          <w:rFonts w:hint="eastAsia"/>
        </w:rPr>
        <w:t>条。</w:t>
      </w:r>
    </w:p>
  </w:footnote>
  <w:footnote w:id="264">
    <w:p w:rsidR="00000000" w:rsidRDefault="009C1C61">
      <w:pPr>
        <w:pStyle w:val="FootnoteText"/>
        <w:spacing w:line="240" w:lineRule="auto"/>
        <w:rPr>
          <w:rFonts w:hint="eastAsia"/>
        </w:rPr>
      </w:pPr>
      <w:r>
        <w:rPr>
          <w:rStyle w:val="FootnoteReference"/>
        </w:rPr>
        <w:footnoteRef/>
      </w:r>
      <w:r>
        <w:t xml:space="preserve"> </w:t>
      </w:r>
      <w:r>
        <w:tab/>
      </w:r>
      <w:r>
        <w:rPr>
          <w:rFonts w:hint="eastAsia"/>
        </w:rPr>
        <w:t>同上，第</w:t>
      </w:r>
      <w:r>
        <w:rPr>
          <w:rFonts w:hint="eastAsia"/>
        </w:rPr>
        <w:t>19</w:t>
      </w:r>
      <w:r>
        <w:rPr>
          <w:rFonts w:hint="eastAsia"/>
        </w:rPr>
        <w:t>条第</w:t>
      </w:r>
      <w:r>
        <w:rPr>
          <w:rFonts w:hint="eastAsia"/>
        </w:rPr>
        <w:t>2</w:t>
      </w:r>
      <w:r>
        <w:rPr>
          <w:rFonts w:hint="eastAsia"/>
        </w:rPr>
        <w:t>款。</w:t>
      </w:r>
    </w:p>
  </w:footnote>
  <w:footnote w:id="265">
    <w:p w:rsidR="00000000" w:rsidRDefault="009C1C61">
      <w:pPr>
        <w:pStyle w:val="FootnoteText"/>
        <w:spacing w:line="240" w:lineRule="auto"/>
        <w:rPr>
          <w:rFonts w:hint="eastAsia"/>
        </w:rPr>
      </w:pPr>
      <w:r>
        <w:rPr>
          <w:rStyle w:val="FootnoteReference"/>
        </w:rPr>
        <w:footnoteRef/>
      </w:r>
      <w:r>
        <w:t xml:space="preserve"> </w:t>
      </w:r>
      <w:r>
        <w:tab/>
      </w:r>
      <w:r>
        <w:rPr>
          <w:rFonts w:hint="eastAsia"/>
        </w:rPr>
        <w:t>1982</w:t>
      </w:r>
      <w:r>
        <w:rPr>
          <w:rFonts w:hint="eastAsia"/>
        </w:rPr>
        <w:t>年第</w:t>
      </w:r>
      <w:r>
        <w:rPr>
          <w:rFonts w:hint="eastAsia"/>
        </w:rPr>
        <w:t>18,101</w:t>
      </w:r>
      <w:r>
        <w:rPr>
          <w:rFonts w:hint="eastAsia"/>
        </w:rPr>
        <w:t>号</w:t>
      </w:r>
      <w:r>
        <w:rPr>
          <w:rFonts w:hint="eastAsia"/>
        </w:rPr>
        <w:t>(</w:t>
      </w:r>
      <w:r>
        <w:rPr>
          <w:rFonts w:hint="eastAsia"/>
        </w:rPr>
        <w:t>关于租房人和承租人权利的</w:t>
      </w:r>
      <w:r>
        <w:rPr>
          <w:rFonts w:hint="eastAsia"/>
        </w:rPr>
        <w:t>)</w:t>
      </w:r>
      <w:r>
        <w:rPr>
          <w:rFonts w:hint="eastAsia"/>
        </w:rPr>
        <w:t>法。</w:t>
      </w:r>
    </w:p>
  </w:footnote>
  <w:footnote w:id="266">
    <w:p w:rsidR="00000000" w:rsidRDefault="009C1C61">
      <w:pPr>
        <w:pStyle w:val="FootnoteText"/>
        <w:spacing w:line="240" w:lineRule="auto"/>
        <w:rPr>
          <w:rFonts w:hint="eastAsia"/>
        </w:rPr>
      </w:pPr>
      <w:r>
        <w:rPr>
          <w:rStyle w:val="FootnoteReference"/>
        </w:rPr>
        <w:footnoteRef/>
      </w:r>
      <w:r>
        <w:t xml:space="preserve"> </w:t>
      </w:r>
      <w:r>
        <w:tab/>
      </w:r>
      <w:r>
        <w:rPr>
          <w:rFonts w:hint="eastAsia"/>
        </w:rPr>
        <w:t>1982</w:t>
      </w:r>
      <w:r>
        <w:rPr>
          <w:rFonts w:hint="eastAsia"/>
        </w:rPr>
        <w:t>年第</w:t>
      </w:r>
      <w:r>
        <w:rPr>
          <w:rFonts w:hint="eastAsia"/>
        </w:rPr>
        <w:t>18,138</w:t>
      </w:r>
      <w:r>
        <w:rPr>
          <w:rFonts w:hint="eastAsia"/>
        </w:rPr>
        <w:t>号组织法。</w:t>
      </w:r>
    </w:p>
  </w:footnote>
  <w:footnote w:id="267">
    <w:p w:rsidR="00000000" w:rsidRDefault="009C1C61">
      <w:pPr>
        <w:pStyle w:val="FootnoteText"/>
        <w:rPr>
          <w:rFonts w:hint="eastAsia"/>
        </w:rPr>
      </w:pPr>
      <w:r>
        <w:rPr>
          <w:rStyle w:val="FootnoteReference"/>
        </w:rPr>
        <w:footnoteRef/>
      </w:r>
      <w:r>
        <w:t xml:space="preserve"> </w:t>
      </w:r>
      <w:r>
        <w:tab/>
      </w:r>
      <w:r>
        <w:rPr>
          <w:rFonts w:hint="eastAsia"/>
        </w:rPr>
        <w:t>1968</w:t>
      </w:r>
      <w:r>
        <w:rPr>
          <w:rFonts w:hint="eastAsia"/>
        </w:rPr>
        <w:t>年第</w:t>
      </w:r>
      <w:r>
        <w:rPr>
          <w:rFonts w:hint="eastAsia"/>
        </w:rPr>
        <w:t>16,741</w:t>
      </w:r>
      <w:r>
        <w:rPr>
          <w:rFonts w:hint="eastAsia"/>
        </w:rPr>
        <w:t>号法令和</w:t>
      </w:r>
      <w:r>
        <w:rPr>
          <w:rFonts w:hint="eastAsia"/>
        </w:rPr>
        <w:t>1979</w:t>
      </w:r>
      <w:r>
        <w:rPr>
          <w:rFonts w:hint="eastAsia"/>
        </w:rPr>
        <w:t>年第</w:t>
      </w:r>
      <w:r>
        <w:rPr>
          <w:rFonts w:hint="eastAsia"/>
        </w:rPr>
        <w:t>2,552</w:t>
      </w:r>
      <w:r>
        <w:rPr>
          <w:rFonts w:hint="eastAsia"/>
        </w:rPr>
        <w:t>号</w:t>
      </w:r>
      <w:r>
        <w:rPr>
          <w:rFonts w:ascii="SimSun" w:hint="eastAsia"/>
          <w:szCs w:val="24"/>
        </w:rPr>
        <w:t>政令</w:t>
      </w:r>
      <w:r>
        <w:rPr>
          <w:rFonts w:hint="eastAsia"/>
        </w:rPr>
        <w:t>法。</w:t>
      </w:r>
    </w:p>
  </w:footnote>
  <w:footnote w:id="268">
    <w:p w:rsidR="00000000" w:rsidRDefault="009C1C61">
      <w:pPr>
        <w:pStyle w:val="FootnoteText"/>
      </w:pPr>
      <w:r>
        <w:rPr>
          <w:rStyle w:val="FootnoteReference"/>
        </w:rPr>
        <w:footnoteRef/>
      </w:r>
      <w:r>
        <w:t xml:space="preserve"> </w:t>
      </w:r>
      <w:r>
        <w:tab/>
      </w:r>
      <w:r>
        <w:rPr>
          <w:rFonts w:hint="eastAsia"/>
        </w:rPr>
        <w:t>1968</w:t>
      </w:r>
      <w:r>
        <w:rPr>
          <w:rFonts w:hint="eastAsia"/>
        </w:rPr>
        <w:t>年第</w:t>
      </w:r>
      <w:r>
        <w:rPr>
          <w:rFonts w:hint="eastAsia"/>
        </w:rPr>
        <w:t>16,741</w:t>
      </w:r>
      <w:r>
        <w:rPr>
          <w:rFonts w:hint="eastAsia"/>
        </w:rPr>
        <w:t>号法令。</w:t>
      </w:r>
    </w:p>
  </w:footnote>
  <w:footnote w:id="269">
    <w:p w:rsidR="00000000" w:rsidRDefault="009C1C61">
      <w:pPr>
        <w:pStyle w:val="FootnoteText"/>
      </w:pPr>
      <w:r>
        <w:rPr>
          <w:rStyle w:val="FootnoteReference"/>
        </w:rPr>
        <w:footnoteRef/>
      </w:r>
      <w:r>
        <w:t xml:space="preserve"> </w:t>
      </w:r>
      <w:r>
        <w:tab/>
      </w:r>
      <w:r>
        <w:rPr>
          <w:rFonts w:hint="eastAsia"/>
        </w:rPr>
        <w:t>1979</w:t>
      </w:r>
      <w:r>
        <w:rPr>
          <w:rFonts w:hint="eastAsia"/>
        </w:rPr>
        <w:t>年第</w:t>
      </w:r>
      <w:r>
        <w:rPr>
          <w:rFonts w:hint="eastAsia"/>
        </w:rPr>
        <w:t>2,552</w:t>
      </w:r>
      <w:r>
        <w:rPr>
          <w:rFonts w:hint="eastAsia"/>
        </w:rPr>
        <w:t>号</w:t>
      </w:r>
      <w:r>
        <w:rPr>
          <w:rFonts w:ascii="SimSun" w:hint="eastAsia"/>
          <w:szCs w:val="24"/>
        </w:rPr>
        <w:t>政令</w:t>
      </w:r>
      <w:r>
        <w:rPr>
          <w:rFonts w:hint="eastAsia"/>
        </w:rPr>
        <w:t>法。</w:t>
      </w:r>
    </w:p>
  </w:footnote>
  <w:footnote w:id="270">
    <w:p w:rsidR="00000000" w:rsidRDefault="009C1C61">
      <w:pPr>
        <w:pStyle w:val="FootnoteText"/>
      </w:pPr>
      <w:r>
        <w:rPr>
          <w:rStyle w:val="FootnoteReference"/>
        </w:rPr>
        <w:footnoteRef/>
      </w:r>
      <w:r>
        <w:t xml:space="preserve"> </w:t>
      </w:r>
      <w:r>
        <w:tab/>
      </w:r>
      <w:r>
        <w:rPr>
          <w:rFonts w:hint="eastAsia"/>
        </w:rPr>
        <w:t>一般都市规划和建筑法；</w:t>
      </w:r>
      <w:r>
        <w:rPr>
          <w:rFonts w:hint="eastAsia"/>
          <w:color w:val="000000"/>
        </w:rPr>
        <w:t>建筑和城市化一般条例及</w:t>
      </w:r>
      <w:r>
        <w:rPr>
          <w:rFonts w:hint="eastAsia"/>
        </w:rPr>
        <w:t>卫生法规。环境整顿照</w:t>
      </w:r>
      <w:r>
        <w:rPr>
          <w:rFonts w:hint="eastAsia"/>
        </w:rPr>
        <w:t>1994</w:t>
      </w:r>
      <w:r>
        <w:rPr>
          <w:rFonts w:hint="eastAsia"/>
        </w:rPr>
        <w:t>第</w:t>
      </w:r>
      <w:r>
        <w:rPr>
          <w:rFonts w:hint="eastAsia"/>
        </w:rPr>
        <w:t>19300</w:t>
      </w:r>
      <w:r>
        <w:rPr>
          <w:rFonts w:hint="eastAsia"/>
        </w:rPr>
        <w:t>号法令办理，须符合环境一般原则。</w:t>
      </w:r>
    </w:p>
  </w:footnote>
  <w:footnote w:id="271">
    <w:p w:rsidR="00000000" w:rsidRDefault="009C1C61">
      <w:pPr>
        <w:pStyle w:val="FootnoteText"/>
        <w:rPr>
          <w:rFonts w:hint="eastAsia"/>
        </w:rPr>
      </w:pPr>
      <w:r>
        <w:rPr>
          <w:rStyle w:val="FootnoteReference"/>
        </w:rPr>
        <w:footnoteRef/>
      </w:r>
      <w:r>
        <w:t xml:space="preserve"> </w:t>
      </w:r>
      <w:r>
        <w:tab/>
      </w:r>
      <w:r>
        <w:rPr>
          <w:rFonts w:hint="eastAsia"/>
        </w:rPr>
        <w:t>1990</w:t>
      </w:r>
      <w:r>
        <w:rPr>
          <w:rFonts w:hint="eastAsia"/>
        </w:rPr>
        <w:t>年</w:t>
      </w:r>
      <w:r>
        <w:rPr>
          <w:rFonts w:hint="eastAsia"/>
        </w:rPr>
        <w:t>10</w:t>
      </w:r>
      <w:r>
        <w:rPr>
          <w:rFonts w:hint="eastAsia"/>
        </w:rPr>
        <w:t>月</w:t>
      </w:r>
      <w:r>
        <w:rPr>
          <w:rFonts w:hint="eastAsia"/>
        </w:rPr>
        <w:t>22</w:t>
      </w:r>
      <w:r>
        <w:rPr>
          <w:rFonts w:hint="eastAsia"/>
        </w:rPr>
        <w:t>日第</w:t>
      </w:r>
      <w:r>
        <w:rPr>
          <w:rFonts w:hint="eastAsia"/>
        </w:rPr>
        <w:t>140</w:t>
      </w:r>
      <w:r>
        <w:rPr>
          <w:rFonts w:hint="eastAsia"/>
        </w:rPr>
        <w:t>号最高政令。</w:t>
      </w:r>
    </w:p>
  </w:footnote>
  <w:footnote w:id="272">
    <w:p w:rsidR="00000000" w:rsidRDefault="009C1C61">
      <w:pPr>
        <w:pStyle w:val="FootnoteText"/>
        <w:rPr>
          <w:rFonts w:hint="eastAsia"/>
        </w:rPr>
      </w:pPr>
      <w:r>
        <w:rPr>
          <w:rStyle w:val="FootnoteReference"/>
        </w:rPr>
        <w:footnoteRef/>
      </w:r>
      <w:r>
        <w:t xml:space="preserve"> </w:t>
      </w:r>
      <w:r>
        <w:tab/>
      </w:r>
      <w:r>
        <w:rPr>
          <w:rFonts w:hint="eastAsia"/>
        </w:rPr>
        <w:t>住房和都市规划部</w:t>
      </w:r>
      <w:r>
        <w:rPr>
          <w:rFonts w:hint="eastAsia"/>
        </w:rPr>
        <w:t>1990</w:t>
      </w:r>
      <w:r>
        <w:rPr>
          <w:rFonts w:hint="eastAsia"/>
        </w:rPr>
        <w:t>年最</w:t>
      </w:r>
      <w:r>
        <w:rPr>
          <w:rFonts w:hint="eastAsia"/>
        </w:rPr>
        <w:t>140</w:t>
      </w:r>
      <w:r>
        <w:rPr>
          <w:rFonts w:hint="eastAsia"/>
        </w:rPr>
        <w:t>号最高政令。</w:t>
      </w:r>
    </w:p>
  </w:footnote>
  <w:footnote w:id="273">
    <w:p w:rsidR="00000000" w:rsidRDefault="009C1C61">
      <w:pPr>
        <w:pStyle w:val="FootnoteText"/>
      </w:pPr>
      <w:r>
        <w:rPr>
          <w:rStyle w:val="FootnoteReference"/>
        </w:rPr>
        <w:footnoteRef/>
      </w:r>
      <w:r>
        <w:t xml:space="preserve"> </w:t>
      </w:r>
      <w:r>
        <w:tab/>
      </w:r>
      <w:r>
        <w:rPr>
          <w:rFonts w:hint="eastAsia"/>
        </w:rPr>
        <w:t>1990</w:t>
      </w:r>
      <w:r>
        <w:rPr>
          <w:rFonts w:hint="eastAsia"/>
        </w:rPr>
        <w:t>年第</w:t>
      </w:r>
      <w:r>
        <w:rPr>
          <w:rFonts w:hint="eastAsia"/>
        </w:rPr>
        <w:t>140</w:t>
      </w:r>
      <w:r>
        <w:rPr>
          <w:rFonts w:hint="eastAsia"/>
        </w:rPr>
        <w:t>号最高政令。</w:t>
      </w:r>
    </w:p>
  </w:footnote>
  <w:footnote w:id="274">
    <w:p w:rsidR="00000000" w:rsidRDefault="009C1C61">
      <w:pPr>
        <w:pStyle w:val="FootnoteText"/>
      </w:pPr>
      <w:r>
        <w:rPr>
          <w:rStyle w:val="FootnoteReference"/>
        </w:rPr>
        <w:footnoteRef/>
      </w:r>
      <w:r>
        <w:t xml:space="preserve"> </w:t>
      </w:r>
      <w:r>
        <w:tab/>
      </w:r>
      <w:r>
        <w:rPr>
          <w:rFonts w:hint="eastAsia"/>
        </w:rPr>
        <w:t>1984</w:t>
      </w:r>
      <w:r>
        <w:rPr>
          <w:rFonts w:hint="eastAsia"/>
        </w:rPr>
        <w:t>年</w:t>
      </w:r>
      <w:r>
        <w:rPr>
          <w:rFonts w:hint="eastAsia"/>
        </w:rPr>
        <w:t>第</w:t>
      </w:r>
      <w:r>
        <w:rPr>
          <w:rFonts w:hint="eastAsia"/>
        </w:rPr>
        <w:t>62</w:t>
      </w:r>
      <w:r>
        <w:rPr>
          <w:rFonts w:hint="eastAsia"/>
        </w:rPr>
        <w:t>号最高政令。</w:t>
      </w:r>
    </w:p>
  </w:footnote>
  <w:footnote w:id="275">
    <w:p w:rsidR="00000000" w:rsidRDefault="009C1C61">
      <w:pPr>
        <w:pStyle w:val="FootnoteText"/>
      </w:pPr>
      <w:r>
        <w:rPr>
          <w:rStyle w:val="FootnoteReference"/>
        </w:rPr>
        <w:footnoteRef/>
      </w:r>
      <w:r>
        <w:t xml:space="preserve"> </w:t>
      </w:r>
      <w:r>
        <w:tab/>
      </w:r>
      <w:r>
        <w:rPr>
          <w:rFonts w:hint="eastAsia"/>
        </w:rPr>
        <w:t>1986</w:t>
      </w:r>
      <w:r>
        <w:rPr>
          <w:rFonts w:hint="eastAsia"/>
        </w:rPr>
        <w:t>年第</w:t>
      </w:r>
      <w:r>
        <w:rPr>
          <w:rFonts w:hint="eastAsia"/>
        </w:rPr>
        <w:t>167</w:t>
      </w:r>
      <w:r>
        <w:rPr>
          <w:rFonts w:hint="eastAsia"/>
        </w:rPr>
        <w:t>号最高政令及随后的修证案。</w:t>
      </w:r>
    </w:p>
  </w:footnote>
  <w:footnote w:id="276">
    <w:p w:rsidR="00000000" w:rsidRDefault="009C1C61">
      <w:pPr>
        <w:pStyle w:val="FootnoteText"/>
      </w:pPr>
      <w:r>
        <w:rPr>
          <w:rStyle w:val="FootnoteReference"/>
        </w:rPr>
        <w:footnoteRef/>
      </w:r>
      <w:r>
        <w:t xml:space="preserve"> </w:t>
      </w:r>
      <w:r>
        <w:tab/>
      </w:r>
      <w:r>
        <w:rPr>
          <w:rFonts w:hint="eastAsia"/>
        </w:rPr>
        <w:t>住房和都市规划部</w:t>
      </w:r>
      <w:r>
        <w:rPr>
          <w:rFonts w:hint="eastAsia"/>
        </w:rPr>
        <w:t>1988</w:t>
      </w:r>
      <w:r>
        <w:rPr>
          <w:rFonts w:hint="eastAsia"/>
        </w:rPr>
        <w:t>年最</w:t>
      </w:r>
      <w:r>
        <w:rPr>
          <w:rFonts w:hint="eastAsia"/>
        </w:rPr>
        <w:t>44</w:t>
      </w:r>
      <w:r>
        <w:rPr>
          <w:rFonts w:hint="eastAsia"/>
        </w:rPr>
        <w:t>号最高政令。</w:t>
      </w:r>
    </w:p>
  </w:footnote>
  <w:footnote w:id="277">
    <w:p w:rsidR="00000000" w:rsidRDefault="009C1C61">
      <w:pPr>
        <w:pStyle w:val="FootnoteText"/>
        <w:rPr>
          <w:rFonts w:hint="eastAsia"/>
        </w:rPr>
      </w:pPr>
      <w:r>
        <w:rPr>
          <w:rStyle w:val="FootnoteReference"/>
        </w:rPr>
        <w:footnoteRef/>
      </w:r>
      <w:r>
        <w:t xml:space="preserve"> </w:t>
      </w:r>
      <w:r>
        <w:tab/>
      </w:r>
      <w:r>
        <w:rPr>
          <w:rFonts w:hint="eastAsia"/>
        </w:rPr>
        <w:t>1993</w:t>
      </w:r>
      <w:r>
        <w:rPr>
          <w:rFonts w:hint="eastAsia"/>
        </w:rPr>
        <w:t>年</w:t>
      </w:r>
      <w:r>
        <w:rPr>
          <w:rFonts w:hint="eastAsia"/>
        </w:rPr>
        <w:t>12</w:t>
      </w:r>
      <w:r>
        <w:rPr>
          <w:rFonts w:hint="eastAsia"/>
        </w:rPr>
        <w:t>月第</w:t>
      </w:r>
      <w:r>
        <w:rPr>
          <w:rFonts w:hint="eastAsia"/>
        </w:rPr>
        <w:t>19,281</w:t>
      </w:r>
      <w:r>
        <w:rPr>
          <w:rFonts w:hint="eastAsia"/>
        </w:rPr>
        <w:t>号法令。</w:t>
      </w:r>
    </w:p>
  </w:footnote>
  <w:footnote w:id="278">
    <w:p w:rsidR="00000000" w:rsidRDefault="009C1C61">
      <w:pPr>
        <w:pStyle w:val="FootnoteText"/>
        <w:rPr>
          <w:rFonts w:hint="eastAsia"/>
        </w:rPr>
      </w:pPr>
      <w:r>
        <w:rPr>
          <w:rStyle w:val="FootnoteReference"/>
        </w:rPr>
        <w:footnoteRef/>
      </w:r>
      <w:r>
        <w:t xml:space="preserve"> </w:t>
      </w:r>
      <w:r>
        <w:tab/>
      </w:r>
      <w:r>
        <w:rPr>
          <w:rFonts w:hint="eastAsia"/>
        </w:rPr>
        <w:t>财政部，见规合部</w:t>
      </w:r>
      <w:r>
        <w:rPr>
          <w:rFonts w:hint="eastAsia"/>
        </w:rPr>
        <w:t>1990-2000</w:t>
      </w:r>
      <w:r>
        <w:rPr>
          <w:rFonts w:hint="eastAsia"/>
        </w:rPr>
        <w:t>年经济社会指标。</w:t>
      </w:r>
    </w:p>
  </w:footnote>
  <w:footnote w:id="279">
    <w:p w:rsidR="00000000" w:rsidRDefault="009C1C61">
      <w:pPr>
        <w:pStyle w:val="FootnoteText"/>
        <w:rPr>
          <w:rFonts w:hint="eastAsia"/>
        </w:rPr>
      </w:pPr>
      <w:r>
        <w:rPr>
          <w:rStyle w:val="FootnoteReference"/>
        </w:rPr>
        <w:footnoteRef/>
      </w:r>
      <w:r>
        <w:t xml:space="preserve"> </w:t>
      </w:r>
      <w:r>
        <w:tab/>
      </w:r>
      <w:r>
        <w:rPr>
          <w:rFonts w:hint="eastAsia"/>
        </w:rPr>
        <w:t>同上。</w:t>
      </w:r>
    </w:p>
  </w:footnote>
  <w:footnote w:id="280">
    <w:p w:rsidR="00000000" w:rsidRDefault="009C1C61">
      <w:pPr>
        <w:pStyle w:val="FootnoteText"/>
        <w:rPr>
          <w:rFonts w:hint="eastAsia"/>
        </w:rPr>
      </w:pPr>
      <w:r>
        <w:rPr>
          <w:rStyle w:val="FootnoteReference"/>
        </w:rPr>
        <w:footnoteRef/>
      </w:r>
      <w:r>
        <w:t xml:space="preserve"> </w:t>
      </w:r>
      <w:r>
        <w:tab/>
      </w:r>
      <w:r>
        <w:rPr>
          <w:rFonts w:hint="eastAsia"/>
        </w:rPr>
        <w:t>规划与合作部，根据住房和都市规划部提供的数据，见</w:t>
      </w:r>
      <w:r>
        <w:rPr>
          <w:rFonts w:hint="eastAsia"/>
        </w:rPr>
        <w:t>1990-2000</w:t>
      </w:r>
      <w:r>
        <w:rPr>
          <w:rFonts w:hint="eastAsia"/>
        </w:rPr>
        <w:t>年经济社会指标。</w:t>
      </w:r>
    </w:p>
  </w:footnote>
  <w:footnote w:id="281">
    <w:p w:rsidR="00000000" w:rsidRDefault="009C1C61">
      <w:pPr>
        <w:pStyle w:val="FootnoteText"/>
        <w:rPr>
          <w:rFonts w:hint="eastAsia"/>
        </w:rPr>
      </w:pPr>
      <w:r>
        <w:rPr>
          <w:rStyle w:val="FootnoteReference"/>
        </w:rPr>
        <w:footnoteRef/>
      </w:r>
      <w:r>
        <w:t xml:space="preserve"> </w:t>
      </w:r>
      <w:r>
        <w:tab/>
      </w:r>
      <w:r>
        <w:rPr>
          <w:rFonts w:hint="eastAsia"/>
        </w:rPr>
        <w:t>同上。</w:t>
      </w:r>
    </w:p>
  </w:footnote>
  <w:footnote w:id="282">
    <w:p w:rsidR="00000000" w:rsidRDefault="009C1C61">
      <w:pPr>
        <w:pStyle w:val="FootnoteText"/>
        <w:rPr>
          <w:rFonts w:hint="eastAsia"/>
        </w:rPr>
      </w:pPr>
      <w:r>
        <w:rPr>
          <w:rStyle w:val="FootnoteReference"/>
        </w:rPr>
        <w:footnoteRef/>
      </w:r>
      <w:r>
        <w:t xml:space="preserve"> </w:t>
      </w:r>
      <w:r>
        <w:tab/>
      </w:r>
      <w:r>
        <w:rPr>
          <w:rFonts w:hint="eastAsia"/>
        </w:rPr>
        <w:t>同上。</w:t>
      </w:r>
    </w:p>
  </w:footnote>
  <w:footnote w:id="283">
    <w:p w:rsidR="00000000" w:rsidRDefault="009C1C61">
      <w:pPr>
        <w:pStyle w:val="FootnoteText"/>
        <w:rPr>
          <w:rFonts w:hint="eastAsia"/>
        </w:rPr>
      </w:pPr>
      <w:r>
        <w:rPr>
          <w:rStyle w:val="FootnoteReference"/>
        </w:rPr>
        <w:footnoteRef/>
      </w:r>
      <w:r>
        <w:t xml:space="preserve"> </w:t>
      </w:r>
      <w:r>
        <w:rPr>
          <w:rFonts w:hint="eastAsia"/>
        </w:rPr>
        <w:tab/>
      </w:r>
      <w:r>
        <w:rPr>
          <w:rFonts w:hint="eastAsia"/>
        </w:rPr>
        <w:t>城规部</w:t>
      </w:r>
      <w:r>
        <w:rPr>
          <w:rFonts w:hint="eastAsia"/>
        </w:rPr>
        <w:t>1986</w:t>
      </w:r>
      <w:r>
        <w:rPr>
          <w:rFonts w:hint="eastAsia"/>
        </w:rPr>
        <w:t>年第</w:t>
      </w:r>
      <w:r>
        <w:rPr>
          <w:rFonts w:hint="eastAsia"/>
        </w:rPr>
        <w:t>167</w:t>
      </w:r>
      <w:r>
        <w:rPr>
          <w:rFonts w:hint="eastAsia"/>
        </w:rPr>
        <w:t>号最高政令。</w:t>
      </w:r>
    </w:p>
  </w:footnote>
  <w:footnote w:id="284">
    <w:p w:rsidR="00000000" w:rsidRDefault="009C1C61">
      <w:pPr>
        <w:pStyle w:val="FootnoteText"/>
        <w:rPr>
          <w:rFonts w:hint="eastAsia"/>
        </w:rPr>
      </w:pPr>
      <w:r>
        <w:rPr>
          <w:rStyle w:val="FootnoteReference"/>
        </w:rPr>
        <w:footnoteRef/>
      </w:r>
      <w:r>
        <w:t xml:space="preserve"> </w:t>
      </w:r>
      <w:r>
        <w:tab/>
      </w:r>
      <w:r>
        <w:rPr>
          <w:rFonts w:hint="eastAsia"/>
        </w:rPr>
        <w:t>1978</w:t>
      </w:r>
      <w:r>
        <w:rPr>
          <w:rFonts w:hint="eastAsia"/>
        </w:rPr>
        <w:t>年第</w:t>
      </w:r>
      <w:r>
        <w:rPr>
          <w:rFonts w:hint="eastAsia"/>
        </w:rPr>
        <w:t>2186</w:t>
      </w:r>
      <w:r>
        <w:rPr>
          <w:rFonts w:hint="eastAsia"/>
        </w:rPr>
        <w:t>号政令法</w:t>
      </w:r>
      <w:r>
        <w:rPr>
          <w:rFonts w:hint="eastAsia"/>
        </w:rPr>
        <w:t>(</w:t>
      </w:r>
      <w:r>
        <w:rPr>
          <w:rFonts w:hint="eastAsia"/>
        </w:rPr>
        <w:t>关于征用程序的基本法</w:t>
      </w:r>
      <w:r>
        <w:rPr>
          <w:rFonts w:hint="eastAsia"/>
        </w:rPr>
        <w:t>)</w:t>
      </w:r>
      <w:r>
        <w:rPr>
          <w:rFonts w:hint="eastAsia"/>
        </w:rPr>
        <w:t>，关于城镇规划和建设的一般法，城规部</w:t>
      </w:r>
      <w:r>
        <w:rPr>
          <w:rFonts w:hint="eastAsia"/>
        </w:rPr>
        <w:t>1976</w:t>
      </w:r>
      <w:r>
        <w:rPr>
          <w:rFonts w:hint="eastAsia"/>
        </w:rPr>
        <w:t>年第</w:t>
      </w:r>
      <w:r>
        <w:rPr>
          <w:rFonts w:hint="eastAsia"/>
        </w:rPr>
        <w:t>4</w:t>
      </w:r>
      <w:r>
        <w:rPr>
          <w:rFonts w:hint="eastAsia"/>
        </w:rPr>
        <w:t>58</w:t>
      </w:r>
      <w:r>
        <w:rPr>
          <w:rFonts w:hint="eastAsia"/>
        </w:rPr>
        <w:t>号政令法。</w:t>
      </w:r>
    </w:p>
  </w:footnote>
  <w:footnote w:id="285">
    <w:p w:rsidR="00000000" w:rsidRDefault="009C1C61">
      <w:pPr>
        <w:pStyle w:val="FootnoteText"/>
        <w:rPr>
          <w:rFonts w:hint="eastAsia"/>
        </w:rPr>
      </w:pPr>
      <w:r>
        <w:rPr>
          <w:rStyle w:val="FootnoteReference"/>
        </w:rPr>
        <w:footnoteRef/>
      </w:r>
      <w:r>
        <w:t xml:space="preserve"> </w:t>
      </w:r>
      <w:r>
        <w:tab/>
      </w:r>
      <w:r>
        <w:rPr>
          <w:rFonts w:hint="eastAsia"/>
        </w:rPr>
        <w:t>1992</w:t>
      </w:r>
      <w:r>
        <w:rPr>
          <w:rFonts w:hint="eastAsia"/>
        </w:rPr>
        <w:t>年第</w:t>
      </w:r>
      <w:r>
        <w:rPr>
          <w:rFonts w:hint="eastAsia"/>
        </w:rPr>
        <w:t>18,695</w:t>
      </w:r>
      <w:r>
        <w:rPr>
          <w:rFonts w:hint="eastAsia"/>
        </w:rPr>
        <w:t>号法令第</w:t>
      </w:r>
      <w:r>
        <w:rPr>
          <w:rFonts w:hint="eastAsia"/>
        </w:rPr>
        <w:t>4</w:t>
      </w:r>
      <w:r>
        <w:rPr>
          <w:rFonts w:hint="eastAsia"/>
        </w:rPr>
        <w:t>条第</w:t>
      </w:r>
      <w:r>
        <w:rPr>
          <w:rFonts w:hint="eastAsia"/>
        </w:rPr>
        <w:t>1</w:t>
      </w:r>
      <w:r>
        <w:rPr>
          <w:rFonts w:hint="eastAsia"/>
        </w:rPr>
        <w:t>款。</w:t>
      </w:r>
    </w:p>
  </w:footnote>
  <w:footnote w:id="286">
    <w:p w:rsidR="00000000" w:rsidRDefault="009C1C61">
      <w:pPr>
        <w:pStyle w:val="FootnoteText"/>
        <w:spacing w:line="240" w:lineRule="auto"/>
        <w:rPr>
          <w:rFonts w:hint="eastAsia"/>
        </w:rPr>
      </w:pPr>
      <w:r>
        <w:rPr>
          <w:rStyle w:val="FootnoteReference"/>
        </w:rPr>
        <w:footnoteRef/>
      </w:r>
      <w:r>
        <w:t xml:space="preserve"> </w:t>
      </w:r>
      <w:r>
        <w:tab/>
      </w:r>
      <w:r>
        <w:rPr>
          <w:rFonts w:hint="eastAsia"/>
        </w:rPr>
        <w:t>卫生部，智利政府官方文件，《</w:t>
      </w:r>
      <w:r>
        <w:rPr>
          <w:rFonts w:hint="eastAsia"/>
        </w:rPr>
        <w:t>2000</w:t>
      </w:r>
      <w:r>
        <w:rPr>
          <w:rFonts w:hint="eastAsia"/>
        </w:rPr>
        <w:t>至</w:t>
      </w:r>
      <w:r>
        <w:rPr>
          <w:rFonts w:hint="eastAsia"/>
        </w:rPr>
        <w:t>2010</w:t>
      </w:r>
      <w:r>
        <w:rPr>
          <w:rFonts w:hint="eastAsia"/>
        </w:rPr>
        <w:t>年十年期间的卫生目标和卫生模式》，</w:t>
      </w:r>
      <w:r>
        <w:rPr>
          <w:rFonts w:hint="eastAsia"/>
        </w:rPr>
        <w:t>2000</w:t>
      </w:r>
      <w:r>
        <w:rPr>
          <w:rFonts w:hint="eastAsia"/>
        </w:rPr>
        <w:t>年</w:t>
      </w:r>
      <w:r>
        <w:rPr>
          <w:rFonts w:hint="eastAsia"/>
        </w:rPr>
        <w:t>1</w:t>
      </w:r>
      <w:r>
        <w:rPr>
          <w:rFonts w:hint="eastAsia"/>
        </w:rPr>
        <w:t>月。</w:t>
      </w:r>
    </w:p>
  </w:footnote>
  <w:footnote w:id="287">
    <w:p w:rsidR="00000000" w:rsidRDefault="009C1C61">
      <w:pPr>
        <w:pStyle w:val="FootnoteText"/>
        <w:spacing w:line="240" w:lineRule="auto"/>
        <w:rPr>
          <w:rFonts w:hint="eastAsia"/>
        </w:rPr>
      </w:pPr>
      <w:r>
        <w:rPr>
          <w:rStyle w:val="FootnoteReference"/>
        </w:rPr>
        <w:footnoteRef/>
      </w:r>
      <w:r>
        <w:t xml:space="preserve"> </w:t>
      </w:r>
      <w:r>
        <w:tab/>
      </w:r>
      <w:r>
        <w:rPr>
          <w:rFonts w:hint="eastAsia"/>
        </w:rPr>
        <w:t>卫生部卫生统计和信息司。</w:t>
      </w:r>
    </w:p>
  </w:footnote>
  <w:footnote w:id="288">
    <w:p w:rsidR="00000000" w:rsidRDefault="009C1C61">
      <w:pPr>
        <w:pStyle w:val="FootnoteText"/>
        <w:spacing w:line="240" w:lineRule="auto"/>
        <w:rPr>
          <w:rFonts w:hint="eastAsia"/>
        </w:rPr>
      </w:pPr>
      <w:r>
        <w:rPr>
          <w:rStyle w:val="FootnoteReference"/>
        </w:rPr>
        <w:footnoteRef/>
      </w:r>
      <w:r>
        <w:t xml:space="preserve"> </w:t>
      </w:r>
      <w:r>
        <w:tab/>
      </w:r>
      <w:r>
        <w:rPr>
          <w:rFonts w:hint="eastAsia"/>
        </w:rPr>
        <w:t>同上。</w:t>
      </w:r>
    </w:p>
  </w:footnote>
  <w:footnote w:id="289">
    <w:p w:rsidR="00000000" w:rsidRDefault="009C1C61">
      <w:pPr>
        <w:pStyle w:val="FootnoteText"/>
        <w:spacing w:line="240" w:lineRule="auto"/>
        <w:rPr>
          <w:rFonts w:hint="eastAsia"/>
        </w:rPr>
      </w:pPr>
      <w:r>
        <w:rPr>
          <w:rStyle w:val="FootnoteReference"/>
        </w:rPr>
        <w:footnoteRef/>
      </w:r>
      <w:r>
        <w:t xml:space="preserve"> </w:t>
      </w:r>
      <w:r>
        <w:tab/>
      </w:r>
      <w:r>
        <w:rPr>
          <w:rFonts w:hint="eastAsia"/>
        </w:rPr>
        <w:t>规合部，《</w:t>
      </w:r>
      <w:r>
        <w:rPr>
          <w:rFonts w:hint="eastAsia"/>
        </w:rPr>
        <w:t>1990-1996</w:t>
      </w:r>
      <w:r>
        <w:rPr>
          <w:rFonts w:hint="eastAsia"/>
        </w:rPr>
        <w:t>年</w:t>
      </w:r>
      <w:r>
        <w:rPr>
          <w:rFonts w:hint="eastAsia"/>
        </w:rPr>
        <w:t>6</w:t>
      </w:r>
      <w:r>
        <w:rPr>
          <w:rFonts w:hint="eastAsia"/>
        </w:rPr>
        <w:t>年社会政策概述》。</w:t>
      </w:r>
    </w:p>
  </w:footnote>
  <w:footnote w:id="290">
    <w:p w:rsidR="00000000" w:rsidRDefault="009C1C61">
      <w:pPr>
        <w:pStyle w:val="FootnoteText"/>
        <w:spacing w:line="240" w:lineRule="auto"/>
        <w:rPr>
          <w:rFonts w:hint="eastAsia"/>
        </w:rPr>
      </w:pPr>
      <w:r>
        <w:rPr>
          <w:rStyle w:val="FootnoteReference"/>
        </w:rPr>
        <w:footnoteRef/>
      </w:r>
      <w:r>
        <w:t xml:space="preserve"> </w:t>
      </w:r>
      <w:r>
        <w:tab/>
      </w:r>
      <w:r>
        <w:rPr>
          <w:rFonts w:hint="eastAsia"/>
        </w:rPr>
        <w:t>2001</w:t>
      </w:r>
      <w:r>
        <w:rPr>
          <w:rFonts w:hint="eastAsia"/>
        </w:rPr>
        <w:t>年</w:t>
      </w:r>
      <w:r>
        <w:rPr>
          <w:rFonts w:hint="eastAsia"/>
        </w:rPr>
        <w:t>5</w:t>
      </w:r>
      <w:r>
        <w:rPr>
          <w:rFonts w:hint="eastAsia"/>
        </w:rPr>
        <w:t>月</w:t>
      </w:r>
      <w:r>
        <w:rPr>
          <w:rFonts w:hint="eastAsia"/>
        </w:rPr>
        <w:t>21</w:t>
      </w:r>
      <w:r>
        <w:rPr>
          <w:rFonts w:hint="eastAsia"/>
        </w:rPr>
        <w:t>日总统咨文。</w:t>
      </w:r>
    </w:p>
  </w:footnote>
  <w:footnote w:id="291">
    <w:p w:rsidR="00000000" w:rsidRDefault="009C1C61">
      <w:pPr>
        <w:pStyle w:val="FootnoteText"/>
        <w:rPr>
          <w:rFonts w:hint="eastAsia"/>
        </w:rPr>
      </w:pPr>
      <w:r>
        <w:rPr>
          <w:rStyle w:val="FootnoteReference"/>
        </w:rPr>
        <w:footnoteRef/>
      </w:r>
      <w:r>
        <w:t xml:space="preserve"> </w:t>
      </w:r>
      <w:r>
        <w:tab/>
      </w:r>
      <w:r>
        <w:rPr>
          <w:rFonts w:hint="eastAsia"/>
        </w:rPr>
        <w:t>财政部，规合部的《经济和社会指标》。</w:t>
      </w:r>
    </w:p>
  </w:footnote>
  <w:footnote w:id="292">
    <w:p w:rsidR="00000000" w:rsidRDefault="009C1C61">
      <w:pPr>
        <w:pStyle w:val="FootnoteText"/>
        <w:rPr>
          <w:rFonts w:hint="eastAsia"/>
        </w:rPr>
      </w:pPr>
      <w:r>
        <w:rPr>
          <w:rStyle w:val="FootnoteReference"/>
        </w:rPr>
        <w:footnoteRef/>
      </w:r>
      <w:r>
        <w:t xml:space="preserve"> </w:t>
      </w:r>
      <w:r>
        <w:tab/>
      </w:r>
      <w:r>
        <w:rPr>
          <w:rFonts w:hint="eastAsia"/>
        </w:rPr>
        <w:t>同上。</w:t>
      </w:r>
    </w:p>
  </w:footnote>
  <w:footnote w:id="293">
    <w:p w:rsidR="00000000" w:rsidRDefault="009C1C61">
      <w:pPr>
        <w:pStyle w:val="FootnoteText"/>
        <w:spacing w:line="240" w:lineRule="auto"/>
        <w:rPr>
          <w:rFonts w:hint="eastAsia"/>
        </w:rPr>
      </w:pPr>
      <w:r>
        <w:rPr>
          <w:rStyle w:val="FootnoteReference"/>
        </w:rPr>
        <w:footnoteRef/>
      </w:r>
      <w:r>
        <w:t xml:space="preserve"> </w:t>
      </w:r>
      <w:r>
        <w:tab/>
      </w:r>
      <w:r>
        <w:rPr>
          <w:rFonts w:hint="eastAsia"/>
        </w:rPr>
        <w:t>见附件</w:t>
      </w:r>
      <w:r>
        <w:rPr>
          <w:rFonts w:hint="eastAsia"/>
        </w:rPr>
        <w:t>1</w:t>
      </w:r>
      <w:r>
        <w:rPr>
          <w:rFonts w:hint="eastAsia"/>
        </w:rPr>
        <w:t>。</w:t>
      </w:r>
    </w:p>
  </w:footnote>
  <w:footnote w:id="294">
    <w:p w:rsidR="00000000" w:rsidRDefault="009C1C61">
      <w:pPr>
        <w:pStyle w:val="FootnoteText"/>
        <w:spacing w:line="240" w:lineRule="auto"/>
        <w:rPr>
          <w:rFonts w:hint="eastAsia"/>
        </w:rPr>
      </w:pPr>
      <w:r>
        <w:rPr>
          <w:rStyle w:val="FootnoteReference"/>
        </w:rPr>
        <w:footnoteRef/>
      </w:r>
      <w:r>
        <w:t xml:space="preserve"> </w:t>
      </w:r>
      <w:r>
        <w:tab/>
      </w:r>
      <w:r>
        <w:rPr>
          <w:rFonts w:hint="eastAsia"/>
        </w:rPr>
        <w:t>卫生部。</w:t>
      </w:r>
    </w:p>
  </w:footnote>
  <w:footnote w:id="295">
    <w:p w:rsidR="00000000" w:rsidRDefault="009C1C61">
      <w:pPr>
        <w:pStyle w:val="FootnoteText"/>
        <w:rPr>
          <w:rFonts w:hint="eastAsia"/>
        </w:rPr>
      </w:pPr>
      <w:r>
        <w:rPr>
          <w:rStyle w:val="FootnoteReference"/>
        </w:rPr>
        <w:footnoteRef/>
      </w:r>
      <w:r>
        <w:t xml:space="preserve"> </w:t>
      </w:r>
      <w:r>
        <w:tab/>
      </w:r>
      <w:r>
        <w:rPr>
          <w:rFonts w:hint="eastAsia"/>
        </w:rPr>
        <w:t>妇女健康方案，系列</w:t>
      </w:r>
      <w:r>
        <w:rPr>
          <w:rFonts w:hint="eastAsia"/>
        </w:rPr>
        <w:t>01</w:t>
      </w:r>
      <w:r>
        <w:rPr>
          <w:rFonts w:hint="eastAsia"/>
        </w:rPr>
        <w:t>：健康方案。智利，</w:t>
      </w:r>
      <w:r>
        <w:rPr>
          <w:rFonts w:hint="eastAsia"/>
        </w:rPr>
        <w:t>1997</w:t>
      </w:r>
      <w:r>
        <w:rPr>
          <w:rFonts w:hint="eastAsia"/>
        </w:rPr>
        <w:t>年。</w:t>
      </w:r>
    </w:p>
  </w:footnote>
  <w:footnote w:id="296">
    <w:p w:rsidR="00000000" w:rsidRDefault="009C1C61">
      <w:pPr>
        <w:pStyle w:val="FootnoteText"/>
      </w:pPr>
      <w:r>
        <w:rPr>
          <w:rStyle w:val="FootnoteReference"/>
        </w:rPr>
        <w:footnoteRef/>
      </w:r>
      <w:r>
        <w:t xml:space="preserve">  </w:t>
      </w:r>
      <w:r>
        <w:rPr>
          <w:rFonts w:hint="eastAsia"/>
        </w:rPr>
        <w:t>《卫生法》和</w:t>
      </w:r>
      <w:r>
        <w:t>2000</w:t>
      </w:r>
      <w:r>
        <w:rPr>
          <w:rFonts w:hint="eastAsia"/>
        </w:rPr>
        <w:t>年</w:t>
      </w:r>
      <w:r>
        <w:t>4</w:t>
      </w:r>
      <w:r>
        <w:rPr>
          <w:rFonts w:hint="eastAsia"/>
        </w:rPr>
        <w:t>月</w:t>
      </w:r>
      <w:r>
        <w:t>17</w:t>
      </w:r>
      <w:r>
        <w:rPr>
          <w:rFonts w:hint="eastAsia"/>
        </w:rPr>
        <w:t>日卫生部第</w:t>
      </w:r>
      <w:r>
        <w:t>712</w:t>
      </w:r>
      <w:r>
        <w:rPr>
          <w:rFonts w:hint="eastAsia"/>
        </w:rPr>
        <w:t>号最高政令。</w:t>
      </w:r>
    </w:p>
  </w:footnote>
  <w:footnote w:id="297">
    <w:p w:rsidR="00000000" w:rsidRDefault="009C1C61">
      <w:pPr>
        <w:pStyle w:val="FootnoteText"/>
        <w:spacing w:line="240" w:lineRule="auto"/>
      </w:pPr>
      <w:r>
        <w:rPr>
          <w:rStyle w:val="FootnoteReference"/>
        </w:rPr>
        <w:footnoteRef/>
      </w:r>
      <w:r>
        <w:t xml:space="preserve">   </w:t>
      </w:r>
      <w:r>
        <w:rPr>
          <w:rFonts w:hint="eastAsia"/>
        </w:rPr>
        <w:t>卫生部，第</w:t>
      </w:r>
      <w:r>
        <w:rPr>
          <w:rFonts w:hint="eastAsia"/>
        </w:rPr>
        <w:t>55</w:t>
      </w:r>
      <w:r>
        <w:rPr>
          <w:rFonts w:hint="eastAsia"/>
        </w:rPr>
        <w:t>号条例，</w:t>
      </w:r>
      <w:r>
        <w:rPr>
          <w:rFonts w:hint="eastAsia"/>
        </w:rPr>
        <w:t>2000</w:t>
      </w:r>
      <w:r>
        <w:rPr>
          <w:rFonts w:hint="eastAsia"/>
        </w:rPr>
        <w:t>年</w:t>
      </w:r>
      <w:r>
        <w:rPr>
          <w:rFonts w:hint="eastAsia"/>
        </w:rPr>
        <w:t>12</w:t>
      </w:r>
      <w:r>
        <w:rPr>
          <w:rFonts w:hint="eastAsia"/>
        </w:rPr>
        <w:t>月</w:t>
      </w:r>
      <w:r>
        <w:rPr>
          <w:rFonts w:hint="eastAsia"/>
        </w:rPr>
        <w:t>1</w:t>
      </w:r>
      <w:r>
        <w:rPr>
          <w:rFonts w:hint="eastAsia"/>
        </w:rPr>
        <w:t>日第</w:t>
      </w:r>
      <w:r>
        <w:t>2,323</w:t>
      </w:r>
      <w:r>
        <w:rPr>
          <w:rFonts w:hint="eastAsia"/>
        </w:rPr>
        <w:t>号豁免决议。</w:t>
      </w:r>
    </w:p>
  </w:footnote>
  <w:footnote w:id="298">
    <w:p w:rsidR="00000000" w:rsidRDefault="009C1C61">
      <w:pPr>
        <w:pStyle w:val="FootnoteText"/>
      </w:pPr>
      <w:r>
        <w:rPr>
          <w:rStyle w:val="FootnoteReference"/>
        </w:rPr>
        <w:footnoteRef/>
      </w:r>
      <w:r>
        <w:t xml:space="preserve">  </w:t>
      </w:r>
      <w:r>
        <w:rPr>
          <w:rFonts w:hint="eastAsia"/>
        </w:rPr>
        <w:t>《卫生改革的核心：有明确保障的机会普及计划</w:t>
      </w:r>
      <w:r>
        <w:rPr>
          <w:rFonts w:hint="eastAsia"/>
        </w:rPr>
        <w:t>(</w:t>
      </w:r>
      <w:r>
        <w:rPr>
          <w:rFonts w:hint="eastAsia"/>
        </w:rPr>
        <w:t>机会普及</w:t>
      </w:r>
      <w:r>
        <w:rPr>
          <w:rFonts w:hint="eastAsia"/>
        </w:rPr>
        <w:t>)</w:t>
      </w:r>
      <w:r>
        <w:rPr>
          <w:rFonts w:hint="eastAsia"/>
        </w:rPr>
        <w:t>》，提交给国家的工作文件。卫生部，</w:t>
      </w:r>
      <w:r>
        <w:rPr>
          <w:rFonts w:hint="eastAsia"/>
        </w:rPr>
        <w:t>2002</w:t>
      </w:r>
      <w:r>
        <w:rPr>
          <w:rFonts w:hint="eastAsia"/>
        </w:rPr>
        <w:t>年</w:t>
      </w:r>
      <w:r>
        <w:rPr>
          <w:rFonts w:hint="eastAsia"/>
        </w:rPr>
        <w:t>1</w:t>
      </w:r>
      <w:r>
        <w:rPr>
          <w:rFonts w:hint="eastAsia"/>
        </w:rPr>
        <w:t>月。</w:t>
      </w:r>
    </w:p>
  </w:footnote>
  <w:footnote w:id="299">
    <w:p w:rsidR="00000000" w:rsidRDefault="009C1C61">
      <w:pPr>
        <w:pStyle w:val="FootnoteText"/>
      </w:pPr>
      <w:r>
        <w:rPr>
          <w:rStyle w:val="FootnoteReference"/>
        </w:rPr>
        <w:footnoteRef/>
      </w:r>
      <w:r>
        <w:t xml:space="preserve">  </w:t>
      </w:r>
      <w:r>
        <w:rPr>
          <w:rFonts w:hint="eastAsia"/>
        </w:rPr>
        <w:t>有关这几个组的情况，见本执行第</w:t>
      </w:r>
      <w:r>
        <w:rPr>
          <w:rFonts w:hint="eastAsia"/>
        </w:rPr>
        <w:t>282</w:t>
      </w:r>
      <w:r>
        <w:rPr>
          <w:rFonts w:hint="eastAsia"/>
        </w:rPr>
        <w:t>段。</w:t>
      </w:r>
    </w:p>
  </w:footnote>
  <w:footnote w:id="300">
    <w:p w:rsidR="00000000" w:rsidRDefault="009C1C61">
      <w:pPr>
        <w:pStyle w:val="FootnoteText"/>
      </w:pPr>
      <w:r>
        <w:rPr>
          <w:rStyle w:val="FootnoteReference"/>
        </w:rPr>
        <w:footnoteRef/>
      </w:r>
      <w:r>
        <w:t xml:space="preserve">   </w:t>
      </w:r>
      <w:r>
        <w:rPr>
          <w:rFonts w:hint="eastAsia"/>
        </w:rPr>
        <w:t>此处所给材料基于医生和健康服务部门发给全国艾滋病防治委员会的通报。它涵盖了智利大约</w:t>
      </w:r>
      <w:r>
        <w:rPr>
          <w:rFonts w:hint="eastAsia"/>
        </w:rPr>
        <w:t>85%</w:t>
      </w:r>
      <w:r>
        <w:rPr>
          <w:rFonts w:hint="eastAsia"/>
        </w:rPr>
        <w:t>的艾滋病病例。</w:t>
      </w:r>
    </w:p>
  </w:footnote>
  <w:footnote w:id="301">
    <w:p w:rsidR="00000000" w:rsidRDefault="009C1C61">
      <w:pPr>
        <w:pStyle w:val="FootnoteText"/>
      </w:pPr>
      <w:r>
        <w:rPr>
          <w:rStyle w:val="FootnoteReference"/>
        </w:rPr>
        <w:footnoteRef/>
      </w:r>
      <w:r>
        <w:t xml:space="preserve">  </w:t>
      </w:r>
      <w:r>
        <w:rPr>
          <w:rFonts w:hint="eastAsia"/>
        </w:rPr>
        <w:t>第</w:t>
      </w:r>
      <w:r>
        <w:rPr>
          <w:rFonts w:hint="eastAsia"/>
        </w:rPr>
        <w:t>19,779</w:t>
      </w:r>
      <w:r>
        <w:rPr>
          <w:rFonts w:hint="eastAsia"/>
        </w:rPr>
        <w:t>号法令。</w:t>
      </w:r>
    </w:p>
  </w:footnote>
  <w:footnote w:id="302">
    <w:p w:rsidR="00000000" w:rsidRDefault="009C1C61">
      <w:pPr>
        <w:pStyle w:val="FootnoteText"/>
      </w:pPr>
      <w:r>
        <w:rPr>
          <w:rStyle w:val="FootnoteReference"/>
        </w:rPr>
        <w:footnoteRef/>
      </w:r>
      <w:r>
        <w:t xml:space="preserve">   </w:t>
      </w:r>
      <w:r>
        <w:rPr>
          <w:rFonts w:hint="eastAsia"/>
        </w:rPr>
        <w:t>按</w:t>
      </w:r>
      <w:r>
        <w:rPr>
          <w:rFonts w:hint="eastAsia"/>
        </w:rPr>
        <w:t>2002</w:t>
      </w:r>
      <w:r>
        <w:rPr>
          <w:rFonts w:hint="eastAsia"/>
        </w:rPr>
        <w:t>年汇率换算。</w:t>
      </w:r>
    </w:p>
  </w:footnote>
  <w:footnote w:id="303">
    <w:p w:rsidR="00000000" w:rsidRDefault="009C1C61">
      <w:pPr>
        <w:pStyle w:val="FootnoteText"/>
      </w:pPr>
      <w:r>
        <w:rPr>
          <w:rStyle w:val="FootnoteReference"/>
        </w:rPr>
        <w:footnoteRef/>
      </w:r>
      <w:r>
        <w:t xml:space="preserve">   </w:t>
      </w:r>
      <w:r>
        <w:rPr>
          <w:rFonts w:hint="eastAsia"/>
        </w:rPr>
        <w:t>除非另有说明，以下的全部数据均摘自教育部智利学制统计数字。</w:t>
      </w:r>
    </w:p>
  </w:footnote>
  <w:footnote w:id="304">
    <w:p w:rsidR="00000000" w:rsidRDefault="009C1C61">
      <w:pPr>
        <w:pStyle w:val="FootnoteText"/>
        <w:rPr>
          <w:rFonts w:hint="eastAsia"/>
        </w:rPr>
      </w:pPr>
      <w:r>
        <w:rPr>
          <w:rStyle w:val="FootnoteReference"/>
        </w:rPr>
        <w:footnoteRef/>
      </w:r>
      <w:r>
        <w:t xml:space="preserve"> </w:t>
      </w:r>
      <w:r>
        <w:rPr>
          <w:rFonts w:hint="eastAsia"/>
        </w:rPr>
        <w:t xml:space="preserve"> </w:t>
      </w:r>
      <w:r>
        <w:rPr>
          <w:rFonts w:hint="eastAsia"/>
        </w:rPr>
        <w:t>见附件一</w:t>
      </w:r>
      <w:r>
        <w:rPr>
          <w:rFonts w:hint="eastAsia"/>
        </w:rPr>
        <w:t>，缩略语。</w:t>
      </w:r>
    </w:p>
  </w:footnote>
  <w:footnote w:id="305">
    <w:p w:rsidR="00000000" w:rsidRDefault="009C1C61">
      <w:pPr>
        <w:pStyle w:val="FootnoteText"/>
        <w:rPr>
          <w:rFonts w:hint="eastAsia"/>
        </w:rPr>
      </w:pPr>
      <w:r>
        <w:rPr>
          <w:rStyle w:val="FootnoteReference"/>
        </w:rPr>
        <w:footnoteRef/>
      </w:r>
      <w:r>
        <w:t xml:space="preserve"> </w:t>
      </w:r>
      <w:r>
        <w:rPr>
          <w:rFonts w:hint="eastAsia"/>
        </w:rPr>
        <w:t xml:space="preserve"> </w:t>
      </w:r>
      <w:r>
        <w:rPr>
          <w:rFonts w:hint="eastAsia"/>
        </w:rPr>
        <w:t>这类学校占教育部</w:t>
      </w:r>
      <w:r>
        <w:rPr>
          <w:rFonts w:hint="eastAsia"/>
        </w:rPr>
        <w:t>1998</w:t>
      </w:r>
      <w:r>
        <w:rPr>
          <w:rFonts w:hint="eastAsia"/>
        </w:rPr>
        <w:t>年所有小学就学人数的</w:t>
      </w:r>
      <w:r>
        <w:rPr>
          <w:rFonts w:hint="eastAsia"/>
        </w:rPr>
        <w:t>32.2%</w:t>
      </w:r>
      <w:r>
        <w:rPr>
          <w:rFonts w:hint="eastAsia"/>
        </w:rPr>
        <w:t>。</w:t>
      </w:r>
    </w:p>
  </w:footnote>
  <w:footnote w:id="306">
    <w:p w:rsidR="00000000" w:rsidRDefault="009C1C61">
      <w:pPr>
        <w:pStyle w:val="FootnoteText"/>
        <w:rPr>
          <w:rFonts w:hint="eastAsia"/>
        </w:rPr>
      </w:pPr>
      <w:r>
        <w:rPr>
          <w:rStyle w:val="FootnoteReference"/>
        </w:rPr>
        <w:footnoteRef/>
      </w:r>
      <w:r>
        <w:t xml:space="preserve"> </w:t>
      </w:r>
      <w:r>
        <w:rPr>
          <w:rFonts w:hint="eastAsia"/>
        </w:rPr>
        <w:tab/>
      </w:r>
      <w:r>
        <w:rPr>
          <w:rFonts w:hint="eastAsia"/>
        </w:rPr>
        <w:t>教育部，规合部《</w:t>
      </w:r>
      <w:r>
        <w:rPr>
          <w:rFonts w:hint="eastAsia"/>
        </w:rPr>
        <w:t>2002</w:t>
      </w:r>
      <w:r>
        <w:rPr>
          <w:rFonts w:hint="eastAsia"/>
        </w:rPr>
        <w:t>年经济和社会指标》。</w:t>
      </w:r>
    </w:p>
  </w:footnote>
  <w:footnote w:id="307">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w:t>
      </w:r>
    </w:p>
  </w:footnote>
  <w:footnote w:id="308">
    <w:p w:rsidR="00000000" w:rsidRDefault="009C1C61">
      <w:pPr>
        <w:pStyle w:val="FootnoteText"/>
        <w:spacing w:line="240" w:lineRule="auto"/>
        <w:rPr>
          <w:rFonts w:hint="eastAsia"/>
        </w:rPr>
      </w:pPr>
      <w:r>
        <w:rPr>
          <w:rStyle w:val="FootnoteReference"/>
        </w:rPr>
        <w:footnoteRef/>
      </w:r>
      <w:r>
        <w:t xml:space="preserve"> </w:t>
      </w:r>
      <w:r>
        <w:tab/>
      </w:r>
      <w:r>
        <w:rPr>
          <w:rFonts w:hint="eastAsia"/>
        </w:rPr>
        <w:t>每个五等分层代表人口的</w:t>
      </w:r>
      <w:r>
        <w:rPr>
          <w:rFonts w:hint="eastAsia"/>
        </w:rPr>
        <w:t>20%</w:t>
      </w:r>
      <w:r>
        <w:rPr>
          <w:rFonts w:hint="eastAsia"/>
        </w:rPr>
        <w:t>。在方法上采用分层来衡量该国的贫穷状况，第一层为最贫穷群体，其他各层以上升顺序为</w:t>
      </w:r>
      <w:r>
        <w:rPr>
          <w:rFonts w:hint="eastAsia"/>
          <w:szCs w:val="21"/>
        </w:rPr>
        <w:t>经济条件更优越的</w:t>
      </w:r>
      <w:r>
        <w:rPr>
          <w:rFonts w:hint="eastAsia"/>
        </w:rPr>
        <w:t>群体。</w:t>
      </w:r>
    </w:p>
  </w:footnote>
  <w:footnote w:id="309">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教育部统计数字。</w:t>
      </w:r>
    </w:p>
  </w:footnote>
  <w:footnote w:id="310">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经济部，经济和社会指数，国家规划部。</w:t>
      </w:r>
    </w:p>
  </w:footnote>
  <w:footnote w:id="311">
    <w:p w:rsidR="00000000" w:rsidRDefault="009C1C61">
      <w:pPr>
        <w:pStyle w:val="FootnoteText"/>
        <w:spacing w:line="240" w:lineRule="auto"/>
        <w:rPr>
          <w:rFonts w:hint="eastAsia"/>
        </w:rPr>
      </w:pPr>
      <w:r>
        <w:rPr>
          <w:rStyle w:val="FootnoteReference"/>
        </w:rPr>
        <w:footnoteRef/>
      </w:r>
      <w:r>
        <w:t xml:space="preserve"> </w:t>
      </w:r>
      <w:r>
        <w:rPr>
          <w:rFonts w:hint="eastAsia"/>
        </w:rPr>
        <w:tab/>
      </w:r>
      <w:r>
        <w:rPr>
          <w:rFonts w:hint="eastAsia"/>
        </w:rPr>
        <w:t>同上。</w:t>
      </w:r>
    </w:p>
  </w:footnote>
  <w:footnote w:id="312">
    <w:p w:rsidR="00000000" w:rsidRDefault="009C1C61">
      <w:pPr>
        <w:pStyle w:val="FootnoteText"/>
        <w:spacing w:line="240" w:lineRule="auto"/>
        <w:rPr>
          <w:rFonts w:hint="eastAsia"/>
        </w:rPr>
      </w:pPr>
      <w:r>
        <w:rPr>
          <w:rStyle w:val="FootnoteReference"/>
        </w:rPr>
        <w:footnoteRef/>
      </w:r>
      <w:r>
        <w:t xml:space="preserve"> </w:t>
      </w:r>
      <w:r>
        <w:rPr>
          <w:rFonts w:hint="eastAsia"/>
        </w:rPr>
        <w:t xml:space="preserve"> </w:t>
      </w:r>
      <w:r>
        <w:rPr>
          <w:rFonts w:hint="eastAsia"/>
        </w:rPr>
        <w:t>每年都运用教育质量评估制度</w:t>
      </w:r>
      <w:r>
        <w:rPr>
          <w:rFonts w:hint="eastAsia"/>
        </w:rPr>
        <w:t>(S</w:t>
      </w:r>
      <w:r>
        <w:t>imce</w:t>
      </w:r>
      <w:r>
        <w:rPr>
          <w:rFonts w:hint="eastAsia"/>
        </w:rPr>
        <w:t>)</w:t>
      </w:r>
      <w:r>
        <w:rPr>
          <w:rFonts w:hint="eastAsia"/>
        </w:rPr>
        <w:t>测验小学四至八年级的学生。</w:t>
      </w:r>
    </w:p>
  </w:footnote>
  <w:footnote w:id="313">
    <w:p w:rsidR="00000000" w:rsidRDefault="009C1C61">
      <w:pPr>
        <w:pStyle w:val="FootnoteText"/>
      </w:pPr>
      <w:r>
        <w:rPr>
          <w:rStyle w:val="FootnoteReference"/>
        </w:rPr>
        <w:footnoteRef/>
      </w:r>
      <w:r>
        <w:t xml:space="preserve"> </w:t>
      </w:r>
      <w:r>
        <w:rPr>
          <w:rFonts w:hint="eastAsia"/>
        </w:rPr>
        <w:t xml:space="preserve"> 1990</w:t>
      </w:r>
      <w:r>
        <w:rPr>
          <w:rFonts w:hint="eastAsia"/>
        </w:rPr>
        <w:t>、</w:t>
      </w:r>
      <w:r>
        <w:rPr>
          <w:rFonts w:hint="eastAsia"/>
        </w:rPr>
        <w:t>1996</w:t>
      </w:r>
      <w:r>
        <w:rPr>
          <w:rFonts w:hint="eastAsia"/>
        </w:rPr>
        <w:t>和</w:t>
      </w:r>
      <w:r>
        <w:rPr>
          <w:rFonts w:hint="eastAsia"/>
        </w:rPr>
        <w:t>1998</w:t>
      </w:r>
      <w:r>
        <w:rPr>
          <w:rFonts w:hint="eastAsia"/>
        </w:rPr>
        <w:t>年</w:t>
      </w:r>
      <w:r>
        <w:rPr>
          <w:rFonts w:hint="eastAsia"/>
          <w:noProof/>
        </w:rPr>
        <w:t>社经特征调查</w:t>
      </w:r>
      <w:r>
        <w:rPr>
          <w:rFonts w:hint="eastAsia"/>
        </w:rPr>
        <w:t>。</w:t>
      </w:r>
    </w:p>
  </w:footnote>
  <w:footnote w:id="314">
    <w:p w:rsidR="00000000" w:rsidRDefault="009C1C61">
      <w:pPr>
        <w:pStyle w:val="FootnoteText"/>
        <w:rPr>
          <w:rFonts w:hint="eastAsia"/>
        </w:rPr>
      </w:pPr>
      <w:r>
        <w:rPr>
          <w:rStyle w:val="FootnoteReference"/>
        </w:rPr>
        <w:footnoteRef/>
      </w:r>
      <w:r>
        <w:t xml:space="preserve"> </w:t>
      </w:r>
      <w:r>
        <w:tab/>
        <w:t>1993</w:t>
      </w:r>
      <w:r>
        <w:rPr>
          <w:rFonts w:hint="eastAsia"/>
        </w:rPr>
        <w:t>年第</w:t>
      </w:r>
      <w:r>
        <w:t>19,</w:t>
      </w:r>
      <w:r>
        <w:t>253</w:t>
      </w:r>
      <w:r>
        <w:rPr>
          <w:rFonts w:hint="eastAsia"/>
        </w:rPr>
        <w:t>号法令。</w:t>
      </w:r>
    </w:p>
  </w:footnote>
  <w:footnote w:id="315">
    <w:p w:rsidR="00000000" w:rsidRDefault="009C1C61">
      <w:pPr>
        <w:pStyle w:val="FootnoteText"/>
      </w:pPr>
      <w:r>
        <w:rPr>
          <w:rStyle w:val="FootnoteReference"/>
        </w:rPr>
        <w:footnoteRef/>
      </w:r>
      <w:r>
        <w:t xml:space="preserve"> </w:t>
      </w:r>
      <w:r>
        <w:tab/>
        <w:t>1999</w:t>
      </w:r>
      <w:r>
        <w:rPr>
          <w:rFonts w:hint="eastAsia"/>
        </w:rPr>
        <w:t>年价值。</w:t>
      </w:r>
    </w:p>
  </w:footnote>
  <w:footnote w:id="316">
    <w:p w:rsidR="00000000" w:rsidRDefault="009C1C61">
      <w:pPr>
        <w:pStyle w:val="FootnoteText"/>
        <w:rPr>
          <w:rFonts w:hint="eastAsia"/>
        </w:rPr>
      </w:pPr>
      <w:r>
        <w:rPr>
          <w:rStyle w:val="FootnoteReference"/>
        </w:rPr>
        <w:footnoteRef/>
      </w:r>
      <w:r>
        <w:t xml:space="preserve"> </w:t>
      </w:r>
      <w:r>
        <w:tab/>
        <w:t xml:space="preserve">1995 </w:t>
      </w:r>
      <w:r>
        <w:rPr>
          <w:rFonts w:hint="eastAsia"/>
        </w:rPr>
        <w:t>年第</w:t>
      </w:r>
      <w:r>
        <w:t>19,410</w:t>
      </w:r>
      <w:r>
        <w:rPr>
          <w:rFonts w:hint="eastAsia"/>
        </w:rPr>
        <w:t>号法令。</w:t>
      </w:r>
    </w:p>
  </w:footnote>
  <w:footnote w:id="317">
    <w:p w:rsidR="00000000" w:rsidRDefault="009C1C61">
      <w:pPr>
        <w:pStyle w:val="FootnoteText"/>
      </w:pPr>
      <w:r>
        <w:rPr>
          <w:rStyle w:val="FootnoteReference"/>
        </w:rPr>
        <w:footnoteRef/>
      </w:r>
      <w:r>
        <w:t xml:space="preserve"> </w:t>
      </w:r>
      <w:r>
        <w:tab/>
      </w:r>
      <w:r>
        <w:rPr>
          <w:rFonts w:hint="eastAsia"/>
        </w:rPr>
        <w:t>两个数字均按</w:t>
      </w:r>
      <w:r>
        <w:t>1999</w:t>
      </w:r>
      <w:r>
        <w:rPr>
          <w:rFonts w:hint="eastAsia"/>
        </w:rPr>
        <w:t>年价值计</w:t>
      </w:r>
      <w:r>
        <w:rPr>
          <w:rFonts w:ascii="KaiTi_GB2312" w:hint="eastAsia"/>
        </w:rPr>
        <w:t>算。</w:t>
      </w:r>
    </w:p>
  </w:footnote>
  <w:footnote w:id="318">
    <w:p w:rsidR="00000000" w:rsidRDefault="009C1C61">
      <w:pPr>
        <w:pStyle w:val="FootnoteText"/>
      </w:pPr>
      <w:r>
        <w:rPr>
          <w:rStyle w:val="FootnoteReference"/>
        </w:rPr>
        <w:footnoteRef/>
      </w:r>
      <w:r>
        <w:t xml:space="preserve"> </w:t>
      </w:r>
      <w:r>
        <w:rPr>
          <w:rFonts w:hint="eastAsia"/>
        </w:rPr>
        <w:t xml:space="preserve"> </w:t>
      </w:r>
      <w:r>
        <w:rPr>
          <w:rFonts w:ascii="KaiTi_GB2312"/>
        </w:rPr>
        <w:t>1995</w:t>
      </w:r>
      <w:r>
        <w:rPr>
          <w:rFonts w:ascii="KaiTi_GB2312" w:hint="eastAsia"/>
        </w:rPr>
        <w:t>年修订的</w:t>
      </w:r>
      <w:r>
        <w:rPr>
          <w:rFonts w:ascii="KaiTi_GB2312" w:hint="eastAsia"/>
        </w:rPr>
        <w:t>1991</w:t>
      </w:r>
      <w:r>
        <w:rPr>
          <w:rFonts w:ascii="KaiTi_GB2312" w:hint="eastAsia"/>
        </w:rPr>
        <w:t>年第</w:t>
      </w:r>
      <w:r>
        <w:rPr>
          <w:rFonts w:ascii="KaiTi_GB2312" w:hint="eastAsia"/>
        </w:rPr>
        <w:t>19,070</w:t>
      </w:r>
      <w:r>
        <w:rPr>
          <w:rFonts w:ascii="KaiTi_GB2312" w:hint="eastAsia"/>
        </w:rPr>
        <w:t>号法令。</w:t>
      </w:r>
    </w:p>
  </w:footnote>
  <w:footnote w:id="319">
    <w:p w:rsidR="00000000" w:rsidRDefault="009C1C61">
      <w:pPr>
        <w:pStyle w:val="FootnoteText"/>
        <w:spacing w:line="240" w:lineRule="auto"/>
      </w:pPr>
      <w:r>
        <w:rPr>
          <w:rStyle w:val="FootnoteReference"/>
        </w:rPr>
        <w:footnoteRef/>
      </w:r>
      <w:r>
        <w:t xml:space="preserve"> </w:t>
      </w:r>
      <w:r>
        <w:tab/>
      </w:r>
      <w:r>
        <w:rPr>
          <w:rFonts w:ascii="KaiTi_GB2312" w:hint="eastAsia"/>
        </w:rPr>
        <w:t>第</w:t>
      </w:r>
      <w:r>
        <w:t>1/96</w:t>
      </w:r>
      <w:r>
        <w:rPr>
          <w:rFonts w:ascii="KaiTi_GB2312" w:hint="eastAsia"/>
        </w:rPr>
        <w:t>号立法令。</w:t>
      </w:r>
    </w:p>
  </w:footnote>
  <w:footnote w:id="320">
    <w:p w:rsidR="00000000" w:rsidRDefault="009C1C61">
      <w:pPr>
        <w:pStyle w:val="FootnoteText"/>
        <w:spacing w:line="240" w:lineRule="auto"/>
        <w:rPr>
          <w:rFonts w:hint="eastAsia"/>
        </w:rPr>
      </w:pPr>
      <w:r>
        <w:rPr>
          <w:rStyle w:val="FootnoteReference"/>
        </w:rPr>
        <w:footnoteRef/>
      </w:r>
      <w:r>
        <w:t xml:space="preserve"> </w:t>
      </w:r>
      <w:r>
        <w:tab/>
        <w:t>1995</w:t>
      </w:r>
      <w:r>
        <w:rPr>
          <w:rFonts w:hint="eastAsia"/>
        </w:rPr>
        <w:t>年第</w:t>
      </w:r>
      <w:r>
        <w:t xml:space="preserve">19,410 </w:t>
      </w:r>
      <w:r>
        <w:rPr>
          <w:rFonts w:hint="eastAsia"/>
        </w:rPr>
        <w:t>号法令。</w:t>
      </w:r>
    </w:p>
  </w:footnote>
  <w:footnote w:id="321">
    <w:p w:rsidR="00000000" w:rsidRDefault="009C1C61">
      <w:pPr>
        <w:pStyle w:val="FootnoteText"/>
        <w:spacing w:line="240" w:lineRule="auto"/>
      </w:pPr>
      <w:r>
        <w:rPr>
          <w:rStyle w:val="FootnoteReference"/>
        </w:rPr>
        <w:footnoteRef/>
      </w:r>
      <w:r>
        <w:t xml:space="preserve"> </w:t>
      </w:r>
      <w:r>
        <w:tab/>
        <w:t>2000</w:t>
      </w:r>
      <w:r>
        <w:rPr>
          <w:rFonts w:hint="eastAsia"/>
        </w:rPr>
        <w:t>年价值。</w:t>
      </w:r>
    </w:p>
  </w:footnote>
  <w:footnote w:id="322">
    <w:p w:rsidR="00000000" w:rsidRDefault="009C1C61">
      <w:pPr>
        <w:pStyle w:val="FootnoteText"/>
        <w:rPr>
          <w:rFonts w:hint="eastAsia"/>
        </w:rPr>
      </w:pPr>
      <w:r>
        <w:rPr>
          <w:rStyle w:val="FootnoteReference"/>
        </w:rPr>
        <w:footnoteRef/>
      </w:r>
      <w:r>
        <w:t xml:space="preserve"> </w:t>
      </w:r>
      <w:r>
        <w:tab/>
        <w:t>1996</w:t>
      </w:r>
      <w:r>
        <w:rPr>
          <w:rFonts w:hint="eastAsia"/>
        </w:rPr>
        <w:t>年第</w:t>
      </w:r>
      <w:r>
        <w:rPr>
          <w:rFonts w:hint="eastAsia"/>
        </w:rPr>
        <w:t>19,</w:t>
      </w:r>
      <w:r>
        <w:t>070</w:t>
      </w:r>
      <w:r>
        <w:rPr>
          <w:rFonts w:hint="eastAsia"/>
        </w:rPr>
        <w:t>号法令。</w:t>
      </w:r>
    </w:p>
  </w:footnote>
  <w:footnote w:id="323">
    <w:p w:rsidR="00000000" w:rsidRDefault="009C1C61">
      <w:pPr>
        <w:pStyle w:val="FootnoteText"/>
      </w:pPr>
      <w:r>
        <w:rPr>
          <w:rStyle w:val="FootnoteReference"/>
        </w:rPr>
        <w:footnoteRef/>
      </w:r>
      <w:r>
        <w:t xml:space="preserve"> </w:t>
      </w:r>
      <w:r>
        <w:tab/>
      </w:r>
      <w:r>
        <w:rPr>
          <w:rFonts w:hint="eastAsia"/>
        </w:rPr>
        <w:t>促进公平教育并提高教育质量方案。</w:t>
      </w:r>
    </w:p>
  </w:footnote>
  <w:footnote w:id="324">
    <w:p w:rsidR="00000000" w:rsidRDefault="009C1C61">
      <w:pPr>
        <w:pStyle w:val="FootnoteText"/>
        <w:rPr>
          <w:rFonts w:hint="eastAsia"/>
        </w:rPr>
      </w:pPr>
      <w:r>
        <w:rPr>
          <w:rStyle w:val="FootnoteReference"/>
        </w:rPr>
        <w:footnoteRef/>
      </w:r>
      <w:r>
        <w:t xml:space="preserve"> </w:t>
      </w:r>
      <w:r>
        <w:tab/>
      </w:r>
      <w:r>
        <w:rPr>
          <w:rFonts w:hint="eastAsia"/>
        </w:rPr>
        <w:t>1993</w:t>
      </w:r>
      <w:r>
        <w:rPr>
          <w:rFonts w:hint="eastAsia"/>
        </w:rPr>
        <w:t>年</w:t>
      </w:r>
      <w:r>
        <w:rPr>
          <w:rFonts w:hint="eastAsia"/>
        </w:rPr>
        <w:t>7</w:t>
      </w:r>
      <w:r>
        <w:rPr>
          <w:rFonts w:hint="eastAsia"/>
        </w:rPr>
        <w:t>月</w:t>
      </w:r>
      <w:r>
        <w:rPr>
          <w:rFonts w:hint="eastAsia"/>
        </w:rPr>
        <w:t>10</w:t>
      </w:r>
      <w:r>
        <w:rPr>
          <w:rFonts w:hint="eastAsia"/>
        </w:rPr>
        <w:t>日第</w:t>
      </w:r>
      <w:r>
        <w:rPr>
          <w:rFonts w:hint="eastAsia"/>
        </w:rPr>
        <w:t>19,227</w:t>
      </w:r>
      <w:r>
        <w:rPr>
          <w:rFonts w:hint="eastAsia"/>
        </w:rPr>
        <w:t>号法。</w:t>
      </w:r>
    </w:p>
  </w:footnote>
  <w:footnote w:id="325">
    <w:p w:rsidR="00000000" w:rsidRDefault="009C1C61">
      <w:pPr>
        <w:pStyle w:val="FootnoteText"/>
        <w:rPr>
          <w:rFonts w:hint="eastAsia"/>
        </w:rPr>
      </w:pPr>
      <w:r>
        <w:rPr>
          <w:rStyle w:val="FootnoteReference"/>
        </w:rPr>
        <w:footnoteRef/>
      </w:r>
      <w:r>
        <w:t xml:space="preserve"> </w:t>
      </w:r>
      <w:r>
        <w:tab/>
      </w:r>
      <w:r>
        <w:rPr>
          <w:rFonts w:hint="eastAsia"/>
        </w:rPr>
        <w:t>例如称为文化捐款法的税收改革法第</w:t>
      </w:r>
      <w:r>
        <w:rPr>
          <w:rFonts w:hint="eastAsia"/>
        </w:rPr>
        <w:t>8</w:t>
      </w:r>
      <w:r>
        <w:rPr>
          <w:rFonts w:hint="eastAsia"/>
        </w:rPr>
        <w:t>条。</w:t>
      </w:r>
    </w:p>
  </w:footnote>
  <w:footnote w:id="326">
    <w:p w:rsidR="00000000" w:rsidRDefault="009C1C61">
      <w:pPr>
        <w:pStyle w:val="FootnoteText"/>
        <w:rPr>
          <w:rFonts w:hint="eastAsia"/>
        </w:rPr>
      </w:pPr>
      <w:r>
        <w:rPr>
          <w:rStyle w:val="FootnoteReference"/>
        </w:rPr>
        <w:footnoteRef/>
      </w:r>
      <w:r>
        <w:t xml:space="preserve"> </w:t>
      </w:r>
      <w:r>
        <w:tab/>
      </w:r>
      <w:r>
        <w:rPr>
          <w:rFonts w:hint="eastAsia"/>
        </w:rPr>
        <w:t>这个数值考虑到图书馆、档案和博物馆局；文化促进局；影片分级委</w:t>
      </w:r>
      <w:r>
        <w:rPr>
          <w:rFonts w:hint="eastAsia"/>
        </w:rPr>
        <w:t>员会；总统府部长</w:t>
      </w:r>
      <w:r>
        <w:rPr>
          <w:rFonts w:hint="eastAsia"/>
        </w:rPr>
        <w:t xml:space="preserve"> </w:t>
      </w:r>
      <w:r>
        <w:rPr>
          <w:rFonts w:hint="eastAsia"/>
        </w:rPr>
        <w:t>─</w:t>
      </w:r>
      <w:r>
        <w:rPr>
          <w:rFonts w:hint="eastAsia"/>
        </w:rPr>
        <w:t xml:space="preserve"> </w:t>
      </w:r>
      <w:r>
        <w:rPr>
          <w:rFonts w:hint="eastAsia"/>
        </w:rPr>
        <w:t>秘书长办公厅文化司；外交部对外宣传局；公共工程部建筑局；体育总局；全国林业公司；圣地亚哥市政当局的预算；和捐给智利大学的款项。</w:t>
      </w:r>
    </w:p>
  </w:footnote>
  <w:footnote w:id="327">
    <w:p w:rsidR="00000000" w:rsidRDefault="009C1C61">
      <w:pPr>
        <w:pStyle w:val="FootnoteText"/>
        <w:rPr>
          <w:rFonts w:hint="eastAsia"/>
        </w:rPr>
      </w:pPr>
      <w:r>
        <w:rPr>
          <w:rStyle w:val="FootnoteReference"/>
        </w:rPr>
        <w:footnoteRef/>
      </w:r>
      <w:r>
        <w:t xml:space="preserve"> </w:t>
      </w:r>
      <w:r>
        <w:tab/>
      </w:r>
      <w:r>
        <w:rPr>
          <w:rFonts w:hint="eastAsia"/>
        </w:rPr>
        <w:t>必须考虑到这段时期的通货紧缩。</w:t>
      </w:r>
    </w:p>
  </w:footnote>
  <w:footnote w:id="328">
    <w:p w:rsidR="00000000" w:rsidRDefault="009C1C61">
      <w:pPr>
        <w:pStyle w:val="FootnoteText"/>
        <w:rPr>
          <w:rFonts w:hint="eastAsia"/>
        </w:rPr>
      </w:pPr>
      <w:r>
        <w:rPr>
          <w:rStyle w:val="FootnoteReference"/>
        </w:rPr>
        <w:footnoteRef/>
      </w:r>
      <w:r>
        <w:t xml:space="preserve"> </w:t>
      </w:r>
      <w:r>
        <w:rPr>
          <w:rFonts w:hint="eastAsia"/>
        </w:rPr>
        <w:tab/>
        <w:t>2000</w:t>
      </w:r>
      <w:r>
        <w:rPr>
          <w:rFonts w:hint="eastAsia"/>
        </w:rPr>
        <w:t>年的币值。</w:t>
      </w:r>
    </w:p>
  </w:footnote>
  <w:footnote w:id="329">
    <w:p w:rsidR="00000000" w:rsidRDefault="009C1C61">
      <w:pPr>
        <w:pStyle w:val="FootnoteText"/>
        <w:rPr>
          <w:rFonts w:hint="eastAsia"/>
        </w:rPr>
      </w:pPr>
      <w:r>
        <w:rPr>
          <w:rStyle w:val="FootnoteReference"/>
        </w:rPr>
        <w:footnoteRef/>
      </w:r>
      <w:r>
        <w:t xml:space="preserve"> </w:t>
      </w:r>
      <w:r>
        <w:rPr>
          <w:rFonts w:hint="eastAsia"/>
        </w:rPr>
        <w:tab/>
        <w:t>1999</w:t>
      </w:r>
      <w:r>
        <w:rPr>
          <w:rFonts w:hint="eastAsia"/>
        </w:rPr>
        <w:t>年的币值。</w:t>
      </w:r>
    </w:p>
  </w:footnote>
  <w:footnote w:id="330">
    <w:p w:rsidR="00000000" w:rsidRDefault="009C1C61">
      <w:pPr>
        <w:pStyle w:val="FootnoteText"/>
        <w:rPr>
          <w:rFonts w:hint="eastAsia"/>
        </w:rPr>
      </w:pPr>
      <w:r>
        <w:rPr>
          <w:rStyle w:val="FootnoteReference"/>
        </w:rPr>
        <w:footnoteRef/>
      </w:r>
      <w:r>
        <w:t xml:space="preserve"> </w:t>
      </w:r>
      <w:r>
        <w:rPr>
          <w:rFonts w:hint="eastAsia"/>
        </w:rPr>
        <w:tab/>
        <w:t>1990</w:t>
      </w:r>
      <w:r>
        <w:rPr>
          <w:rFonts w:hint="eastAsia"/>
        </w:rPr>
        <w:t>年</w:t>
      </w:r>
      <w:r>
        <w:rPr>
          <w:rFonts w:hint="eastAsia"/>
        </w:rPr>
        <w:t>6</w:t>
      </w:r>
      <w:r>
        <w:rPr>
          <w:rFonts w:hint="eastAsia"/>
        </w:rPr>
        <w:t>月</w:t>
      </w:r>
      <w:r>
        <w:rPr>
          <w:rFonts w:hint="eastAsia"/>
        </w:rPr>
        <w:t>28</w:t>
      </w:r>
      <w:r>
        <w:rPr>
          <w:rFonts w:hint="eastAsia"/>
        </w:rPr>
        <w:t>日第</w:t>
      </w:r>
      <w:r>
        <w:rPr>
          <w:rFonts w:hint="eastAsia"/>
        </w:rPr>
        <w:t>18,985</w:t>
      </w:r>
      <w:r>
        <w:rPr>
          <w:rFonts w:hint="eastAsia"/>
        </w:rPr>
        <w:t>号法令。</w:t>
      </w:r>
    </w:p>
  </w:footnote>
  <w:footnote w:id="331">
    <w:p w:rsidR="00000000" w:rsidRDefault="009C1C61">
      <w:pPr>
        <w:pStyle w:val="FootnoteText"/>
        <w:rPr>
          <w:rFonts w:hint="eastAsia"/>
        </w:rPr>
      </w:pPr>
      <w:r>
        <w:rPr>
          <w:rStyle w:val="FootnoteReference"/>
        </w:rPr>
        <w:footnoteRef/>
      </w:r>
      <w:r>
        <w:t xml:space="preserve"> </w:t>
      </w:r>
      <w:r>
        <w:rPr>
          <w:rFonts w:hint="eastAsia"/>
        </w:rPr>
        <w:tab/>
        <w:t>2000</w:t>
      </w:r>
      <w:r>
        <w:rPr>
          <w:rFonts w:hint="eastAsia"/>
        </w:rPr>
        <w:t>年的币值。</w:t>
      </w:r>
    </w:p>
  </w:footnote>
  <w:footnote w:id="332">
    <w:p w:rsidR="00000000" w:rsidRDefault="009C1C61">
      <w:pPr>
        <w:pStyle w:val="FootnoteText"/>
      </w:pPr>
      <w:r>
        <w:rPr>
          <w:rStyle w:val="FootnoteReference"/>
        </w:rPr>
        <w:footnoteRef/>
      </w:r>
      <w:r>
        <w:t xml:space="preserve"> </w:t>
      </w:r>
      <w:r>
        <w:rPr>
          <w:rFonts w:hint="eastAsia"/>
        </w:rPr>
        <w:tab/>
        <w:t>2000</w:t>
      </w:r>
      <w:r>
        <w:rPr>
          <w:rFonts w:hint="eastAsia"/>
        </w:rPr>
        <w:t>年的币值。</w:t>
      </w:r>
    </w:p>
  </w:footnote>
  <w:footnote w:id="333">
    <w:p w:rsidR="00000000" w:rsidRDefault="009C1C61">
      <w:pPr>
        <w:pStyle w:val="FootnoteText"/>
        <w:rPr>
          <w:rFonts w:hint="eastAsia"/>
        </w:rPr>
      </w:pPr>
      <w:r>
        <w:rPr>
          <w:rStyle w:val="FootnoteReference"/>
        </w:rPr>
        <w:footnoteRef/>
      </w:r>
      <w:r>
        <w:t xml:space="preserve"> </w:t>
      </w:r>
      <w:r>
        <w:rPr>
          <w:rFonts w:hint="eastAsia"/>
        </w:rPr>
        <w:tab/>
        <w:t>1970</w:t>
      </w:r>
      <w:r>
        <w:rPr>
          <w:rFonts w:hint="eastAsia"/>
        </w:rPr>
        <w:t>年</w:t>
      </w:r>
      <w:r>
        <w:rPr>
          <w:rFonts w:hint="eastAsia"/>
        </w:rPr>
        <w:t>2</w:t>
      </w:r>
      <w:r>
        <w:rPr>
          <w:rFonts w:hint="eastAsia"/>
        </w:rPr>
        <w:t>月</w:t>
      </w:r>
      <w:r>
        <w:rPr>
          <w:rFonts w:hint="eastAsia"/>
        </w:rPr>
        <w:t>4</w:t>
      </w:r>
      <w:r>
        <w:rPr>
          <w:rFonts w:hint="eastAsia"/>
        </w:rPr>
        <w:t>日第</w:t>
      </w:r>
      <w:r>
        <w:rPr>
          <w:rFonts w:hint="eastAsia"/>
        </w:rPr>
        <w:t>17,288</w:t>
      </w:r>
      <w:r>
        <w:rPr>
          <w:rFonts w:hint="eastAsia"/>
        </w:rPr>
        <w:t>号法令。</w:t>
      </w:r>
    </w:p>
  </w:footnote>
  <w:footnote w:id="334">
    <w:p w:rsidR="00000000" w:rsidRDefault="009C1C61">
      <w:pPr>
        <w:pStyle w:val="FootnoteText"/>
      </w:pPr>
      <w:r>
        <w:rPr>
          <w:rStyle w:val="FootnoteReference"/>
        </w:rPr>
        <w:footnoteRef/>
      </w:r>
      <w:r>
        <w:t xml:space="preserve"> </w:t>
      </w:r>
      <w:r>
        <w:tab/>
      </w:r>
      <w:r>
        <w:rPr>
          <w:rFonts w:hint="eastAsia"/>
        </w:rPr>
        <w:t>2002</w:t>
      </w:r>
      <w:r>
        <w:rPr>
          <w:rFonts w:hint="eastAsia"/>
        </w:rPr>
        <w:t>年</w:t>
      </w:r>
      <w:r>
        <w:rPr>
          <w:rFonts w:hint="eastAsia"/>
        </w:rPr>
        <w:t>11</w:t>
      </w:r>
      <w:r>
        <w:rPr>
          <w:rFonts w:hint="eastAsia"/>
        </w:rPr>
        <w:t>月</w:t>
      </w:r>
      <w:r>
        <w:rPr>
          <w:rFonts w:hint="eastAsia"/>
        </w:rPr>
        <w:t>9</w:t>
      </w:r>
      <w:r>
        <w:rPr>
          <w:rFonts w:hint="eastAsia"/>
        </w:rPr>
        <w:t>日第</w:t>
      </w:r>
      <w:r>
        <w:t>19,742</w:t>
      </w:r>
      <w:r>
        <w:rPr>
          <w:rFonts w:hint="eastAsia"/>
        </w:rPr>
        <w:t>号法令。</w:t>
      </w:r>
    </w:p>
  </w:footnote>
  <w:footnote w:id="335">
    <w:p w:rsidR="00000000" w:rsidRDefault="009C1C61">
      <w:pPr>
        <w:pStyle w:val="FootnoteText"/>
      </w:pPr>
      <w:r>
        <w:rPr>
          <w:rStyle w:val="FootnoteReference"/>
        </w:rPr>
        <w:footnoteRef/>
      </w:r>
      <w:r>
        <w:t xml:space="preserve"> </w:t>
      </w:r>
      <w:r>
        <w:tab/>
      </w:r>
      <w:r>
        <w:rPr>
          <w:rFonts w:hint="eastAsia"/>
        </w:rPr>
        <w:t>1999</w:t>
      </w:r>
      <w:r>
        <w:rPr>
          <w:rFonts w:hint="eastAsia"/>
        </w:rPr>
        <w:t>年第</w:t>
      </w:r>
      <w:r>
        <w:t>19,653</w:t>
      </w:r>
      <w:r>
        <w:rPr>
          <w:rFonts w:hint="eastAsia"/>
        </w:rPr>
        <w:t>号法令。</w:t>
      </w:r>
    </w:p>
  </w:footnote>
  <w:footnote w:id="336">
    <w:p w:rsidR="00000000" w:rsidRDefault="009C1C61">
      <w:pPr>
        <w:pStyle w:val="FootnoteText"/>
      </w:pPr>
      <w:r>
        <w:rPr>
          <w:rStyle w:val="FootnoteReference"/>
        </w:rPr>
        <w:footnoteRef/>
      </w:r>
      <w:r>
        <w:t xml:space="preserve"> </w:t>
      </w:r>
      <w:r>
        <w:tab/>
      </w:r>
      <w:r>
        <w:rPr>
          <w:rFonts w:hint="eastAsia"/>
        </w:rPr>
        <w:t>1957</w:t>
      </w:r>
      <w:r>
        <w:rPr>
          <w:rFonts w:hint="eastAsia"/>
        </w:rPr>
        <w:t>年</w:t>
      </w:r>
      <w:r>
        <w:rPr>
          <w:rFonts w:hint="eastAsia"/>
        </w:rPr>
        <w:t>8</w:t>
      </w:r>
      <w:r>
        <w:rPr>
          <w:rFonts w:hint="eastAsia"/>
        </w:rPr>
        <w:t>月</w:t>
      </w:r>
      <w:r>
        <w:rPr>
          <w:rFonts w:hint="eastAsia"/>
        </w:rPr>
        <w:t>6</w:t>
      </w:r>
      <w:r>
        <w:rPr>
          <w:rFonts w:hint="eastAsia"/>
        </w:rPr>
        <w:t>日第</w:t>
      </w:r>
      <w:r>
        <w:t>12,</w:t>
      </w:r>
      <w:r>
        <w:t>927</w:t>
      </w:r>
      <w:r>
        <w:rPr>
          <w:rFonts w:hint="eastAsia"/>
        </w:rPr>
        <w:t>号法令。</w:t>
      </w:r>
    </w:p>
  </w:footnote>
  <w:footnote w:id="337">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根据</w:t>
      </w:r>
      <w:r>
        <w:rPr>
          <w:rFonts w:hint="eastAsia"/>
        </w:rPr>
        <w:t>1991</w:t>
      </w:r>
      <w:r>
        <w:rPr>
          <w:rFonts w:hint="eastAsia"/>
        </w:rPr>
        <w:t>年</w:t>
      </w:r>
      <w:r>
        <w:rPr>
          <w:rFonts w:hint="eastAsia"/>
        </w:rPr>
        <w:t>9</w:t>
      </w:r>
      <w:r>
        <w:rPr>
          <w:rFonts w:hint="eastAsia"/>
        </w:rPr>
        <w:t>月</w:t>
      </w:r>
      <w:r>
        <w:rPr>
          <w:rFonts w:hint="eastAsia"/>
        </w:rPr>
        <w:t>6</w:t>
      </w:r>
      <w:r>
        <w:rPr>
          <w:rFonts w:hint="eastAsia"/>
        </w:rPr>
        <w:t>日颁布的第</w:t>
      </w:r>
      <w:r>
        <w:t>18,892</w:t>
      </w:r>
      <w:r>
        <w:rPr>
          <w:rFonts w:hint="eastAsia"/>
        </w:rPr>
        <w:t>号法令</w:t>
      </w:r>
      <w:r>
        <w:rPr>
          <w:rFonts w:eastAsia="SimSun" w:hint="eastAsia"/>
          <w:spacing w:val="-40"/>
        </w:rPr>
        <w:t>――</w:t>
      </w:r>
      <w:r>
        <w:rPr>
          <w:rFonts w:hint="eastAsia"/>
        </w:rPr>
        <w:t>《渔业和水产业综合法》修订案文设置；重新拟订的案文已经列为经济部第</w:t>
      </w:r>
      <w:r>
        <w:rPr>
          <w:rFonts w:hint="eastAsia"/>
        </w:rPr>
        <w:t>430</w:t>
      </w:r>
      <w:r>
        <w:rPr>
          <w:rFonts w:hint="eastAsia"/>
        </w:rPr>
        <w:t>号最高政令的规定。</w:t>
      </w:r>
    </w:p>
  </w:footnote>
  <w:footnote w:id="338">
    <w:p w:rsidR="00000000" w:rsidRDefault="009C1C61">
      <w:pPr>
        <w:pStyle w:val="FootnoteText"/>
        <w:spacing w:line="240" w:lineRule="auto"/>
        <w:ind w:firstLine="0"/>
        <w:rPr>
          <w:rFonts w:hint="eastAsia"/>
        </w:rPr>
      </w:pPr>
      <w:r>
        <w:rPr>
          <w:rFonts w:hint="eastAsia"/>
        </w:rPr>
        <w:tab/>
      </w:r>
      <w:r>
        <w:rPr>
          <w:rStyle w:val="FootnoteReference"/>
        </w:rPr>
        <w:footnoteRef/>
      </w:r>
      <w:r>
        <w:t xml:space="preserve"> </w:t>
      </w:r>
      <w:r>
        <w:tab/>
      </w:r>
      <w:r>
        <w:rPr>
          <w:rFonts w:hint="eastAsia"/>
        </w:rPr>
        <w:t>根据规划与合作部所制定的第</w:t>
      </w:r>
      <w:r>
        <w:t>151/99</w:t>
      </w:r>
      <w:r>
        <w:rPr>
          <w:rFonts w:hint="eastAsia"/>
        </w:rPr>
        <w:t>号最高政令创设并生效。</w:t>
      </w:r>
    </w:p>
  </w:footnote>
  <w:footnote w:id="339">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第</w:t>
      </w:r>
      <w:r>
        <w:t>19</w:t>
      </w:r>
      <w:r>
        <w:rPr>
          <w:rFonts w:hint="eastAsia"/>
        </w:rPr>
        <w:t>条第</w:t>
      </w:r>
      <w:r>
        <w:t>8</w:t>
      </w:r>
      <w:r>
        <w:rPr>
          <w:rFonts w:hint="eastAsia"/>
        </w:rPr>
        <w:t>项。</w:t>
      </w:r>
    </w:p>
  </w:footnote>
  <w:footnote w:id="340">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1994</w:t>
      </w:r>
      <w:r>
        <w:rPr>
          <w:rFonts w:hint="eastAsia"/>
        </w:rPr>
        <w:t>年</w:t>
      </w:r>
      <w:r>
        <w:rPr>
          <w:rFonts w:hint="eastAsia"/>
        </w:rPr>
        <w:t>3</w:t>
      </w:r>
      <w:r>
        <w:rPr>
          <w:rFonts w:hint="eastAsia"/>
        </w:rPr>
        <w:t>月</w:t>
      </w:r>
      <w:r>
        <w:rPr>
          <w:rFonts w:hint="eastAsia"/>
        </w:rPr>
        <w:t>1</w:t>
      </w:r>
      <w:r>
        <w:rPr>
          <w:rFonts w:hint="eastAsia"/>
        </w:rPr>
        <w:t>日颁布的第</w:t>
      </w:r>
      <w:r>
        <w:t>19,300</w:t>
      </w:r>
      <w:r>
        <w:rPr>
          <w:rFonts w:hint="eastAsia"/>
        </w:rPr>
        <w:t>号法令。</w:t>
      </w:r>
    </w:p>
  </w:footnote>
  <w:footnote w:id="341">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总统府部长</w:t>
      </w:r>
      <w:r>
        <w:rPr>
          <w:rFonts w:hint="eastAsia"/>
        </w:rPr>
        <w:t xml:space="preserve"> </w:t>
      </w:r>
      <w:r>
        <w:rPr>
          <w:rFonts w:hint="eastAsia"/>
        </w:rPr>
        <w:t>─</w:t>
      </w:r>
      <w:r>
        <w:rPr>
          <w:rFonts w:hint="eastAsia"/>
        </w:rPr>
        <w:t xml:space="preserve"> </w:t>
      </w:r>
      <w:r>
        <w:rPr>
          <w:rFonts w:hint="eastAsia"/>
        </w:rPr>
        <w:t>秘书长办公厅通过并于</w:t>
      </w:r>
      <w:r>
        <w:t>1997</w:t>
      </w:r>
      <w:r>
        <w:rPr>
          <w:rFonts w:hint="eastAsia"/>
        </w:rPr>
        <w:t>年</w:t>
      </w:r>
      <w:r>
        <w:rPr>
          <w:rFonts w:hint="eastAsia"/>
        </w:rPr>
        <w:t>4</w:t>
      </w:r>
      <w:r>
        <w:rPr>
          <w:rFonts w:hint="eastAsia"/>
        </w:rPr>
        <w:t>月</w:t>
      </w:r>
      <w:r>
        <w:rPr>
          <w:rFonts w:hint="eastAsia"/>
        </w:rPr>
        <w:t>3</w:t>
      </w:r>
      <w:r>
        <w:rPr>
          <w:rFonts w:hint="eastAsia"/>
        </w:rPr>
        <w:t>日公布的第</w:t>
      </w:r>
      <w:r>
        <w:t>30</w:t>
      </w:r>
      <w:r>
        <w:rPr>
          <w:rFonts w:hint="eastAsia"/>
        </w:rPr>
        <w:t>号最高政令。</w:t>
      </w:r>
    </w:p>
  </w:footnote>
  <w:footnote w:id="342">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总统府部长</w:t>
      </w:r>
      <w:r>
        <w:t xml:space="preserve"> </w:t>
      </w:r>
      <w:r>
        <w:rPr>
          <w:rFonts w:hint="eastAsia"/>
        </w:rPr>
        <w:t>─</w:t>
      </w:r>
      <w:r>
        <w:t xml:space="preserve"> </w:t>
      </w:r>
      <w:r>
        <w:rPr>
          <w:rFonts w:hint="eastAsia"/>
        </w:rPr>
        <w:t>秘书长办公厅以</w:t>
      </w:r>
      <w:r>
        <w:rPr>
          <w:rFonts w:hint="eastAsia"/>
        </w:rPr>
        <w:t>1995</w:t>
      </w:r>
      <w:r>
        <w:rPr>
          <w:rFonts w:hint="eastAsia"/>
        </w:rPr>
        <w:t>年</w:t>
      </w:r>
      <w:r>
        <w:rPr>
          <w:rFonts w:hint="eastAsia"/>
        </w:rPr>
        <w:t>5</w:t>
      </w:r>
      <w:r>
        <w:rPr>
          <w:rFonts w:hint="eastAsia"/>
        </w:rPr>
        <w:t>月</w:t>
      </w:r>
      <w:r>
        <w:rPr>
          <w:rFonts w:hint="eastAsia"/>
        </w:rPr>
        <w:t>15</w:t>
      </w:r>
      <w:r>
        <w:rPr>
          <w:rFonts w:hint="eastAsia"/>
        </w:rPr>
        <w:t>日第</w:t>
      </w:r>
      <w:r>
        <w:rPr>
          <w:rFonts w:hint="eastAsia"/>
        </w:rPr>
        <w:t>93</w:t>
      </w:r>
      <w:r>
        <w:rPr>
          <w:rFonts w:hint="eastAsia"/>
        </w:rPr>
        <w:t>号最高政令核定的《发布环境质量和排放标准</w:t>
      </w:r>
      <w:r>
        <w:rPr>
          <w:rFonts w:hint="eastAsia"/>
        </w:rPr>
        <w:t>条例》，载于</w:t>
      </w:r>
      <w:r>
        <w:rPr>
          <w:rFonts w:hint="eastAsia"/>
        </w:rPr>
        <w:t>1995</w:t>
      </w:r>
      <w:r>
        <w:rPr>
          <w:rFonts w:hint="eastAsia"/>
        </w:rPr>
        <w:t>年</w:t>
      </w:r>
      <w:r>
        <w:rPr>
          <w:rFonts w:hint="eastAsia"/>
        </w:rPr>
        <w:t>10</w:t>
      </w:r>
      <w:r>
        <w:rPr>
          <w:rFonts w:hint="eastAsia"/>
        </w:rPr>
        <w:t>月</w:t>
      </w:r>
      <w:r>
        <w:rPr>
          <w:rFonts w:hint="eastAsia"/>
        </w:rPr>
        <w:t>26</w:t>
      </w:r>
      <w:r>
        <w:rPr>
          <w:rFonts w:hint="eastAsia"/>
        </w:rPr>
        <w:t>日《政府公报》。</w:t>
      </w:r>
    </w:p>
  </w:footnote>
  <w:footnote w:id="343">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总统府部长</w:t>
      </w:r>
      <w:r>
        <w:t xml:space="preserve"> </w:t>
      </w:r>
      <w:r>
        <w:rPr>
          <w:rFonts w:hint="eastAsia"/>
        </w:rPr>
        <w:t>─</w:t>
      </w:r>
      <w:r>
        <w:t xml:space="preserve"> </w:t>
      </w:r>
      <w:r>
        <w:rPr>
          <w:rFonts w:hint="eastAsia"/>
        </w:rPr>
        <w:t>秘书长办公厅的第</w:t>
      </w:r>
      <w:r>
        <w:rPr>
          <w:rFonts w:hint="eastAsia"/>
        </w:rPr>
        <w:t>59</w:t>
      </w:r>
      <w:r>
        <w:rPr>
          <w:rFonts w:hint="eastAsia"/>
        </w:rPr>
        <w:t>号最高政令，载于</w:t>
      </w:r>
      <w:r>
        <w:rPr>
          <w:rFonts w:hint="eastAsia"/>
        </w:rPr>
        <w:t>1998</w:t>
      </w:r>
      <w:r>
        <w:rPr>
          <w:rFonts w:hint="eastAsia"/>
        </w:rPr>
        <w:t>年</w:t>
      </w:r>
      <w:r>
        <w:rPr>
          <w:rFonts w:hint="eastAsia"/>
        </w:rPr>
        <w:t>5</w:t>
      </w:r>
      <w:r>
        <w:rPr>
          <w:rFonts w:hint="eastAsia"/>
        </w:rPr>
        <w:t>月</w:t>
      </w:r>
      <w:r>
        <w:rPr>
          <w:rFonts w:hint="eastAsia"/>
        </w:rPr>
        <w:t>25</w:t>
      </w:r>
      <w:r>
        <w:rPr>
          <w:rFonts w:hint="eastAsia"/>
        </w:rPr>
        <w:t>日《政府公报》。目前正在修订这项标准。</w:t>
      </w:r>
    </w:p>
  </w:footnote>
  <w:footnote w:id="344">
    <w:p w:rsidR="00000000" w:rsidRDefault="009C1C61">
      <w:pPr>
        <w:pStyle w:val="FootnoteText"/>
        <w:spacing w:line="240" w:lineRule="auto"/>
        <w:ind w:firstLine="0"/>
      </w:pPr>
      <w:r>
        <w:rPr>
          <w:rFonts w:hint="eastAsia"/>
        </w:rPr>
        <w:tab/>
      </w:r>
      <w:r>
        <w:rPr>
          <w:rStyle w:val="FootnoteReference"/>
        </w:rPr>
        <w:footnoteRef/>
      </w:r>
      <w:r>
        <w:t xml:space="preserve"> </w:t>
      </w:r>
      <w:r>
        <w:tab/>
      </w:r>
      <w:r>
        <w:rPr>
          <w:rFonts w:hint="eastAsia"/>
        </w:rPr>
        <w:t>总统府部长</w:t>
      </w:r>
      <w:r>
        <w:t xml:space="preserve"> </w:t>
      </w:r>
      <w:r>
        <w:rPr>
          <w:rFonts w:hint="eastAsia"/>
        </w:rPr>
        <w:t>─</w:t>
      </w:r>
      <w:r>
        <w:t xml:space="preserve"> </w:t>
      </w:r>
      <w:r>
        <w:rPr>
          <w:rFonts w:hint="eastAsia"/>
        </w:rPr>
        <w:t>秘书长办公厅</w:t>
      </w:r>
      <w:r>
        <w:rPr>
          <w:rFonts w:hint="eastAsia"/>
        </w:rPr>
        <w:t>1995</w:t>
      </w:r>
      <w:r>
        <w:rPr>
          <w:rFonts w:hint="eastAsia"/>
        </w:rPr>
        <w:t>年</w:t>
      </w:r>
      <w:r>
        <w:rPr>
          <w:rFonts w:hint="eastAsia"/>
        </w:rPr>
        <w:t>5</w:t>
      </w:r>
      <w:r>
        <w:rPr>
          <w:rFonts w:hint="eastAsia"/>
        </w:rPr>
        <w:t>月</w:t>
      </w:r>
      <w:r>
        <w:rPr>
          <w:rFonts w:hint="eastAsia"/>
        </w:rPr>
        <w:t>15</w:t>
      </w:r>
      <w:r>
        <w:rPr>
          <w:rFonts w:hint="eastAsia"/>
        </w:rPr>
        <w:t>日第</w:t>
      </w:r>
      <w:r>
        <w:rPr>
          <w:rFonts w:hint="eastAsia"/>
        </w:rPr>
        <w:t>93</w:t>
      </w:r>
      <w:r>
        <w:rPr>
          <w:rFonts w:hint="eastAsia"/>
        </w:rPr>
        <w:t>号最高政令。</w:t>
      </w:r>
    </w:p>
  </w:footnote>
  <w:footnote w:id="345">
    <w:p w:rsidR="00000000" w:rsidRDefault="009C1C61">
      <w:pPr>
        <w:pStyle w:val="FootnoteText"/>
        <w:ind w:firstLine="0"/>
      </w:pPr>
      <w:r>
        <w:rPr>
          <w:rFonts w:hint="eastAsia"/>
        </w:rPr>
        <w:tab/>
      </w:r>
      <w:r>
        <w:rPr>
          <w:rStyle w:val="FootnoteReference"/>
        </w:rPr>
        <w:footnoteRef/>
      </w:r>
      <w:r>
        <w:t xml:space="preserve"> </w:t>
      </w:r>
      <w:r>
        <w:tab/>
      </w:r>
      <w:r>
        <w:rPr>
          <w:rFonts w:hint="eastAsia"/>
        </w:rPr>
        <w:t>载于总统府部长</w:t>
      </w:r>
      <w:r>
        <w:t xml:space="preserve"> </w:t>
      </w:r>
      <w:r>
        <w:rPr>
          <w:rFonts w:hint="eastAsia"/>
        </w:rPr>
        <w:t>─</w:t>
      </w:r>
      <w:r>
        <w:t xml:space="preserve"> </w:t>
      </w:r>
      <w:r>
        <w:rPr>
          <w:rFonts w:hint="eastAsia"/>
        </w:rPr>
        <w:t>秘书长办公厅</w:t>
      </w:r>
      <w:r>
        <w:rPr>
          <w:rFonts w:hint="eastAsia"/>
        </w:rPr>
        <w:t>1995</w:t>
      </w:r>
      <w:r>
        <w:rPr>
          <w:rFonts w:hint="eastAsia"/>
        </w:rPr>
        <w:t>年</w:t>
      </w:r>
      <w:r>
        <w:rPr>
          <w:rFonts w:hint="eastAsia"/>
        </w:rPr>
        <w:t>5</w:t>
      </w:r>
      <w:r>
        <w:rPr>
          <w:rFonts w:hint="eastAsia"/>
        </w:rPr>
        <w:t>月</w:t>
      </w:r>
      <w:r>
        <w:rPr>
          <w:rFonts w:hint="eastAsia"/>
        </w:rPr>
        <w:t>15</w:t>
      </w:r>
      <w:r>
        <w:rPr>
          <w:rFonts w:hint="eastAsia"/>
        </w:rPr>
        <w:t>日第</w:t>
      </w:r>
      <w:r>
        <w:rPr>
          <w:rFonts w:hint="eastAsia"/>
        </w:rPr>
        <w:t>94</w:t>
      </w:r>
      <w:r>
        <w:rPr>
          <w:rFonts w:hint="eastAsia"/>
        </w:rPr>
        <w:t>号最高政令。</w:t>
      </w:r>
    </w:p>
  </w:footnote>
  <w:footnote w:id="346">
    <w:p w:rsidR="00000000" w:rsidRDefault="009C1C61">
      <w:pPr>
        <w:pStyle w:val="FootnoteText"/>
        <w:spacing w:line="240" w:lineRule="auto"/>
        <w:rPr>
          <w:lang w:val="fr-CH"/>
        </w:rPr>
      </w:pPr>
      <w:r>
        <w:rPr>
          <w:rStyle w:val="FootnoteReference"/>
        </w:rPr>
        <w:footnoteRef/>
      </w:r>
      <w:r>
        <w:t xml:space="preserve"> </w:t>
      </w:r>
      <w:r>
        <w:rPr>
          <w:lang w:val="fr-CH"/>
        </w:rPr>
        <w:tab/>
      </w:r>
      <w:r>
        <w:rPr>
          <w:rFonts w:hint="eastAsia"/>
          <w:lang w:val="fr-CH"/>
        </w:rPr>
        <w:t>第</w:t>
      </w:r>
      <w:r>
        <w:t>19</w:t>
      </w:r>
      <w:r>
        <w:rPr>
          <w:rFonts w:hint="eastAsia"/>
        </w:rPr>
        <w:t>条第</w:t>
      </w:r>
      <w:r>
        <w:t>25</w:t>
      </w:r>
      <w:r>
        <w:rPr>
          <w:rFonts w:hint="eastAsia"/>
        </w:rPr>
        <w:t>项。</w:t>
      </w:r>
    </w:p>
  </w:footnote>
  <w:footnote w:id="347">
    <w:p w:rsidR="00000000" w:rsidRDefault="009C1C61">
      <w:pPr>
        <w:pStyle w:val="FootnoteText"/>
        <w:spacing w:line="240" w:lineRule="auto"/>
        <w:rPr>
          <w:rFonts w:hint="eastAsia"/>
          <w:lang w:val="fr-CH"/>
        </w:rPr>
      </w:pPr>
      <w:r>
        <w:rPr>
          <w:rStyle w:val="FootnoteReference"/>
        </w:rPr>
        <w:footnoteRef/>
      </w:r>
      <w:r>
        <w:t xml:space="preserve"> </w:t>
      </w:r>
      <w:r>
        <w:tab/>
      </w:r>
      <w:r>
        <w:rPr>
          <w:rFonts w:hint="eastAsia"/>
        </w:rPr>
        <w:t>第</w:t>
      </w:r>
      <w:r>
        <w:t>19</w:t>
      </w:r>
      <w:r>
        <w:rPr>
          <w:rFonts w:hint="eastAsia"/>
        </w:rPr>
        <w:t>条第</w:t>
      </w:r>
      <w:r>
        <w:rPr>
          <w:rFonts w:hint="eastAsia"/>
        </w:rPr>
        <w:t>24</w:t>
      </w:r>
      <w:r>
        <w:rPr>
          <w:rFonts w:hint="eastAsia"/>
          <w:szCs w:val="24"/>
        </w:rPr>
        <w:t>项</w:t>
      </w:r>
      <w:r>
        <w:rPr>
          <w:rFonts w:hint="eastAsia"/>
        </w:rPr>
        <w:t>。</w:t>
      </w:r>
    </w:p>
  </w:footnote>
  <w:footnote w:id="348">
    <w:p w:rsidR="00000000" w:rsidRDefault="009C1C61">
      <w:pPr>
        <w:spacing w:before="120" w:line="240" w:lineRule="auto"/>
        <w:rPr>
          <w:rFonts w:hint="eastAsia"/>
          <w:lang w:val="fr-CH"/>
        </w:rPr>
      </w:pPr>
      <w:r>
        <w:rPr>
          <w:rFonts w:hint="eastAsia"/>
        </w:rPr>
        <w:tab/>
      </w:r>
      <w:r>
        <w:rPr>
          <w:rStyle w:val="FootnoteReference"/>
        </w:rPr>
        <w:footnoteRef/>
      </w:r>
      <w:r>
        <w:t xml:space="preserve"> </w:t>
      </w:r>
      <w:r>
        <w:tab/>
      </w:r>
      <w:r>
        <w:rPr>
          <w:rFonts w:eastAsia="KaiTi_GB2312" w:hint="eastAsia"/>
        </w:rPr>
        <w:t>第</w:t>
      </w:r>
      <w:r>
        <w:rPr>
          <w:rFonts w:eastAsia="KaiTi_GB2312"/>
        </w:rPr>
        <w:t>17,336</w:t>
      </w:r>
      <w:r>
        <w:rPr>
          <w:rFonts w:eastAsia="KaiTi_GB2312" w:hint="eastAsia"/>
        </w:rPr>
        <w:t>号法令。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1C61">
    <w:pPr>
      <w:pStyle w:val="Header"/>
    </w:pPr>
    <w:r>
      <w:t>E/199</w:t>
    </w:r>
    <w:r>
      <w:rPr>
        <w:rFonts w:hint="eastAsia"/>
      </w:rPr>
      <w:t>4</w:t>
    </w:r>
    <w:r>
      <w:t>/104/Add.26</w:t>
    </w:r>
  </w:p>
  <w:p w:rsidR="00000000" w:rsidRDefault="009C1C6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1C61">
    <w:pPr>
      <w:pStyle w:val="Header"/>
    </w:pPr>
    <w:r>
      <w:tab/>
    </w:r>
    <w:r>
      <w:tab/>
    </w:r>
    <w:r>
      <w:tab/>
      <w:t>E/199</w:t>
    </w:r>
    <w:r>
      <w:rPr>
        <w:rFonts w:hint="eastAsia"/>
      </w:rPr>
      <w:t>4</w:t>
    </w:r>
    <w:r>
      <w:t>/104/</w:t>
    </w:r>
    <w:r>
      <w:t>Add.26</w:t>
    </w:r>
  </w:p>
  <w:p w:rsidR="00000000" w:rsidRDefault="009C1C61">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1C61">
    <w:pPr>
      <w:pStyle w:val="Header"/>
    </w:pPr>
    <w:r>
      <w:rPr>
        <w:noProof/>
        <w:snapToGrid/>
        <w:lang w:eastAsia="zh-TW"/>
      </w:rPr>
      <w:pict>
        <v:rect id="_x0000_s1027" style="position:absolute;left:0;text-align:left;margin-left:535.05pt;margin-top:59.05pt;width:30.05pt;height:36pt;z-index:-5;mso-position-horizontal-relative:page;mso-position-vertical-relative:page" o:allowincell="f" filled="f" stroked="f" strokeweight="0">
          <v:textbox style="mso-next-textbox:#_x0000_s1027" inset="0,0,0,0">
            <w:txbxContent>
              <w:p w:rsidR="00000000" w:rsidRDefault="009C1C61">
                <w:pPr>
                  <w:pStyle w:val="1R1"/>
                  <w:rPr>
                    <w:rFonts w:ascii="Univers Bold" w:hAnsi="Univers Bold"/>
                  </w:rPr>
                </w:pPr>
                <w:r>
                  <w:t>E</w:t>
                </w:r>
              </w:p>
            </w:txbxContent>
          </v:textbox>
          <w10:wrap anchorx="page" anchory="page"/>
        </v:rect>
      </w:pict>
    </w:r>
  </w:p>
  <w:p w:rsidR="00000000" w:rsidRDefault="009C1C61">
    <w:pPr>
      <w:pStyle w:val="Header"/>
    </w:pPr>
  </w:p>
  <w:p w:rsidR="00000000" w:rsidRDefault="009C1C61">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19.05pt;margin-top:-.1pt;width:91pt;height:27pt;z-index:5" strokecolor="white">
          <v:textbox style="mso-next-textbox:#_x0000_s1031">
            <w:txbxContent>
              <w:p w:rsidR="00000000" w:rsidRDefault="009C1C61">
                <w:pPr>
                  <w:pStyle w:val="1L"/>
                </w:pPr>
                <w:r>
                  <w:rPr>
                    <w:rFonts w:hint="eastAsia"/>
                  </w:rPr>
                  <w:t>联合国</w:t>
                </w:r>
              </w:p>
            </w:txbxContent>
          </v:textbox>
        </v:shape>
      </w:pict>
    </w:r>
  </w:p>
  <w:p w:rsidR="00000000" w:rsidRDefault="009C1C61">
    <w:pPr>
      <w:pStyle w:val="Header"/>
    </w:pPr>
  </w:p>
  <w:p w:rsidR="00000000" w:rsidRDefault="009C1C61">
    <w:pPr>
      <w:pStyle w:val="Header"/>
    </w:pPr>
    <w:r>
      <w:rPr>
        <w:noProof/>
        <w:snapToGrid/>
        <w:lang w:eastAsia="zh-TW"/>
      </w:rPr>
      <w:pict>
        <v:rect id="_x0000_s1033" style="position:absolute;left:0;text-align:left;margin-left:-12pt;margin-top:95.45pt;width:492.05pt;height:.95pt;z-index:-1;mso-position-horizontal-relative:margin;mso-position-vertical-relative:page" o:allowincell="f" fillcolor="black" stroked="f" strokeweight=".1pt">
          <v:fill color2="black"/>
          <w10:wrap anchorx="margin" anchory="page"/>
        </v:rect>
      </w:pict>
    </w:r>
  </w:p>
  <w:p w:rsidR="00000000" w:rsidRDefault="009C1C61">
    <w:pPr>
      <w:pStyle w:val="Header"/>
    </w:pPr>
    <w:r>
      <w:rPr>
        <w:noProof/>
        <w:snapToGrid/>
        <w:lang w:eastAsia="zh-TW"/>
      </w:rPr>
      <w:pict>
        <v:shape id="_x0000_s1026" type="#_x0000_t202" style="position:absolute;left:0;text-align:left;margin-left:-19.5pt;margin-top:6.25pt;width:83.35pt;height:66.45pt;z-index:1" strokecolor="white">
          <v:textbox style="mso-next-textbox:#_x0000_s1026">
            <w:txbxContent>
              <w:p w:rsidR="00000000" w:rsidRDefault="009C1C6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8.25pt;height:58.5pt" fillcolor="window">
                      <v:imagedata r:id="rId1" o:title="" croptop="-107f" cropbottom="-92f" cropleft="-3348f" cropright="-3348f"/>
                    </v:shape>
                  </w:pict>
                </w:r>
              </w:p>
            </w:txbxContent>
          </v:textbox>
        </v:shape>
      </w:pict>
    </w:r>
  </w:p>
  <w:p w:rsidR="00000000" w:rsidRDefault="009C1C61">
    <w:pPr>
      <w:pStyle w:val="Header"/>
      <w:framePr w:w="3117" w:h="930" w:hSpace="180" w:wrap="around" w:vAnchor="page" w:hAnchor="page" w:x="8332" w:y="2346"/>
    </w:pPr>
    <w:r>
      <w:t>Distr.</w:t>
    </w:r>
  </w:p>
  <w:p w:rsidR="00000000" w:rsidRDefault="009C1C61">
    <w:pPr>
      <w:pStyle w:val="Header"/>
      <w:framePr w:w="3117" w:h="930" w:hSpace="180" w:wrap="around" w:vAnchor="page" w:hAnchor="page" w:x="8332" w:y="2346"/>
    </w:pPr>
    <w:r>
      <w:t>GENERAL</w:t>
    </w:r>
  </w:p>
  <w:p w:rsidR="00000000" w:rsidRDefault="009C1C61">
    <w:pPr>
      <w:pStyle w:val="Header"/>
      <w:framePr w:w="3117" w:h="930" w:hSpace="180" w:wrap="around" w:vAnchor="page" w:hAnchor="page" w:x="8332" w:y="2346"/>
    </w:pPr>
  </w:p>
  <w:p w:rsidR="00000000" w:rsidRDefault="009C1C61">
    <w:pPr>
      <w:pStyle w:val="Header"/>
      <w:framePr w:w="3117" w:h="930" w:hSpace="180" w:wrap="around" w:vAnchor="page" w:hAnchor="page" w:x="8332" w:y="2346"/>
    </w:pPr>
    <w:r>
      <w:t>E/199</w:t>
    </w:r>
    <w:r>
      <w:rPr>
        <w:rFonts w:hint="eastAsia"/>
      </w:rPr>
      <w:t>4</w:t>
    </w:r>
    <w:r>
      <w:t>/104/Add.26</w:t>
    </w:r>
  </w:p>
  <w:p w:rsidR="00000000" w:rsidRDefault="009C1C61">
    <w:pPr>
      <w:pStyle w:val="Header"/>
      <w:framePr w:w="3117" w:h="930" w:hSpace="180" w:wrap="around" w:vAnchor="page" w:hAnchor="page" w:x="8332" w:y="2346"/>
      <w:rPr>
        <w:rFonts w:hint="eastAsia"/>
      </w:rPr>
    </w:pPr>
    <w:r>
      <w:t>14 July 2003</w:t>
    </w:r>
  </w:p>
  <w:p w:rsidR="00000000" w:rsidRDefault="009C1C61">
    <w:pPr>
      <w:pStyle w:val="Header"/>
      <w:framePr w:w="3117" w:h="930" w:hSpace="180" w:wrap="around" w:vAnchor="page" w:hAnchor="page" w:x="8332" w:y="2346"/>
    </w:pPr>
    <w:r>
      <w:t>CHINESE</w:t>
    </w:r>
  </w:p>
  <w:p w:rsidR="00000000" w:rsidRDefault="009C1C61">
    <w:pPr>
      <w:pStyle w:val="Header"/>
      <w:framePr w:w="3117" w:h="930" w:hSpace="180" w:wrap="around" w:vAnchor="page" w:hAnchor="page" w:x="8332" w:y="2346"/>
    </w:pPr>
    <w:r>
      <w:t>Original:</w:t>
    </w:r>
    <w:r>
      <w:tab/>
      <w:t>SPANISH</w:t>
    </w:r>
  </w:p>
  <w:p w:rsidR="00000000" w:rsidRDefault="009C1C61">
    <w:pPr>
      <w:framePr w:w="3117" w:h="930" w:hSpace="180" w:wrap="around" w:vAnchor="page" w:hAnchor="page" w:x="8332" w:y="2346"/>
    </w:pPr>
  </w:p>
  <w:p w:rsidR="00000000" w:rsidRDefault="009C1C61">
    <w:pPr>
      <w:pStyle w:val="Header"/>
    </w:pPr>
  </w:p>
  <w:p w:rsidR="00000000" w:rsidRDefault="009C1C61">
    <w:pPr>
      <w:pStyle w:val="Header"/>
    </w:pPr>
  </w:p>
  <w:p w:rsidR="00000000" w:rsidRDefault="009C1C61">
    <w:pPr>
      <w:pStyle w:val="Header"/>
    </w:pPr>
  </w:p>
  <w:p w:rsidR="00000000" w:rsidRDefault="009C1C61">
    <w:pPr>
      <w:pStyle w:val="Header"/>
    </w:pPr>
  </w:p>
  <w:p w:rsidR="00000000" w:rsidRDefault="009C1C61">
    <w:pPr>
      <w:pStyle w:val="Header"/>
    </w:pPr>
  </w:p>
  <w:p w:rsidR="00000000" w:rsidRDefault="009C1C61">
    <w:pPr>
      <w:pStyle w:val="Header"/>
      <w:rPr>
        <w:rFonts w:hint="eastAsia"/>
      </w:rPr>
    </w:pPr>
  </w:p>
  <w:p w:rsidR="00000000" w:rsidRDefault="009C1C61">
    <w:pPr>
      <w:pStyle w:val="Header"/>
    </w:pPr>
    <w:r>
      <w:rPr>
        <w:noProof/>
        <w:snapToGrid/>
        <w:lang w:eastAsia="zh-TW"/>
      </w:rPr>
      <w:pict>
        <v:rect id="_x0000_s1030" style="position:absolute;left:0;text-align:left;margin-left:151.05pt;margin-top:121.45pt;width:192.05pt;height:31.25pt;z-index:-3;mso-position-horizontal-relative:page;mso-position-vertical-relative:page" o:allowincell="f" filled="f" stroked="f" strokeweight="0">
          <v:textbox style="mso-next-textbox:#_x0000_s1030" inset="0,0,0,0">
            <w:txbxContent>
              <w:p w:rsidR="00000000" w:rsidRDefault="009C1C61">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9C1C61">
    <w:pPr>
      <w:pStyle w:val="Header"/>
    </w:pPr>
  </w:p>
  <w:p w:rsidR="00000000" w:rsidRDefault="009C1C61">
    <w:pPr>
      <w:pStyle w:val="Header"/>
    </w:pPr>
  </w:p>
  <w:p w:rsidR="00000000" w:rsidRDefault="009C1C61">
    <w:pPr>
      <w:pStyle w:val="Header"/>
    </w:pPr>
  </w:p>
  <w:p w:rsidR="00000000" w:rsidRDefault="009C1C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00000004"/>
    <w:multiLevelType w:val="multilevel"/>
    <w:tmpl w:val="00000000"/>
    <w:lvl w:ilvl="0">
      <w:start w:val="1"/>
      <w:numFmt w:val="lowerLetter"/>
      <w:lvlText w:val="(%1)"/>
      <w:lvlJc w:val="left"/>
      <w:pPr>
        <w:tabs>
          <w:tab w:val="num" w:pos="720"/>
        </w:tabs>
        <w:ind w:left="720" w:hanging="720"/>
      </w:pPr>
      <w:rPr>
        <w:rFonts w:ascii="Times New Roman" w:hAnsi="Times New Roman"/>
        <w:sz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nsid w:val="00000006"/>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nsid w:val="00000007"/>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nsid w:val="00000008"/>
    <w:multiLevelType w:val="multilevel"/>
    <w:tmpl w:val="9E4E9CB4"/>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nsid w:val="00000009"/>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6">
    <w:nsid w:val="0000000A"/>
    <w:multiLevelType w:val="multilevel"/>
    <w:tmpl w:val="8DF6A50C"/>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7">
    <w:nsid w:val="0000000B"/>
    <w:multiLevelType w:val="multilevel"/>
    <w:tmpl w:val="1952C67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8">
    <w:nsid w:val="0000000D"/>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nsid w:val="0000000E"/>
    <w:multiLevelType w:val="multilevel"/>
    <w:tmpl w:val="B742D3C6"/>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nsid w:val="0000000F"/>
    <w:multiLevelType w:val="multilevel"/>
    <w:tmpl w:val="154EC2F4"/>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1">
    <w:nsid w:val="00000010"/>
    <w:multiLevelType w:val="multilevel"/>
    <w:tmpl w:val="66F8D8C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2">
    <w:nsid w:val="00000011"/>
    <w:multiLevelType w:val="multilevel"/>
    <w:tmpl w:val="FB44197C"/>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3">
    <w:nsid w:val="00000012"/>
    <w:multiLevelType w:val="multilevel"/>
    <w:tmpl w:val="9E349794"/>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4">
    <w:nsid w:val="00000013"/>
    <w:multiLevelType w:val="multilevel"/>
    <w:tmpl w:val="A6EE62E2"/>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5">
    <w:nsid w:val="00000014"/>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6">
    <w:nsid w:val="00000015"/>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7">
    <w:nsid w:val="00000016"/>
    <w:multiLevelType w:val="multilevel"/>
    <w:tmpl w:val="555AAF66"/>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8">
    <w:nsid w:val="00000017"/>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9">
    <w:nsid w:val="00000019"/>
    <w:multiLevelType w:val="multilevel"/>
    <w:tmpl w:val="0A1E89AA"/>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0">
    <w:nsid w:val="0000001A"/>
    <w:multiLevelType w:val="multilevel"/>
    <w:tmpl w:val="00000000"/>
    <w:lvl w:ilvl="0">
      <w:start w:val="1"/>
      <w:numFmt w:val="lowerLetter"/>
      <w:lvlText w:val="(%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1">
    <w:nsid w:val="000C07F3"/>
    <w:multiLevelType w:val="singleLevel"/>
    <w:tmpl w:val="288257A6"/>
    <w:lvl w:ilvl="0">
      <w:start w:val="625"/>
      <w:numFmt w:val="decimal"/>
      <w:lvlText w:val="%1."/>
      <w:lvlJc w:val="left"/>
      <w:pPr>
        <w:tabs>
          <w:tab w:val="num" w:pos="465"/>
        </w:tabs>
        <w:ind w:left="465" w:hanging="465"/>
      </w:pPr>
      <w:rPr>
        <w:rFonts w:hint="default"/>
      </w:rPr>
    </w:lvl>
  </w:abstractNum>
  <w:abstractNum w:abstractNumId="22">
    <w:nsid w:val="001D1720"/>
    <w:multiLevelType w:val="hybridMultilevel"/>
    <w:tmpl w:val="3B68733E"/>
    <w:lvl w:ilvl="0" w:tplc="FFFFFFFF">
      <w:start w:val="142"/>
      <w:numFmt w:val="decimal"/>
      <w:lvlText w:val="%1."/>
      <w:lvlJc w:val="left"/>
      <w:pPr>
        <w:tabs>
          <w:tab w:val="num" w:pos="780"/>
        </w:tabs>
        <w:ind w:left="780" w:hanging="42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0D6325C"/>
    <w:multiLevelType w:val="hybridMultilevel"/>
    <w:tmpl w:val="67E88C5E"/>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018B5A77"/>
    <w:multiLevelType w:val="hybridMultilevel"/>
    <w:tmpl w:val="43ACB054"/>
    <w:lvl w:ilvl="0" w:tplc="FFFFFFFF">
      <w:start w:val="142"/>
      <w:numFmt w:val="decimal"/>
      <w:lvlText w:val="%1."/>
      <w:lvlJc w:val="left"/>
      <w:pPr>
        <w:tabs>
          <w:tab w:val="num" w:pos="975"/>
        </w:tabs>
        <w:ind w:left="975" w:hanging="615"/>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02036984"/>
    <w:multiLevelType w:val="singleLevel"/>
    <w:tmpl w:val="8638A28E"/>
    <w:lvl w:ilvl="0">
      <w:start w:val="1"/>
      <w:numFmt w:val="decimal"/>
      <w:lvlText w:val="%1."/>
      <w:lvlJc w:val="left"/>
      <w:pPr>
        <w:tabs>
          <w:tab w:val="num" w:pos="420"/>
        </w:tabs>
        <w:ind w:left="420" w:hanging="420"/>
      </w:pPr>
      <w:rPr>
        <w:rFonts w:hint="default"/>
      </w:rPr>
    </w:lvl>
  </w:abstractNum>
  <w:abstractNum w:abstractNumId="27">
    <w:nsid w:val="02551BB9"/>
    <w:multiLevelType w:val="hybridMultilevel"/>
    <w:tmpl w:val="8C24A54E"/>
    <w:lvl w:ilvl="0" w:tplc="498275A2">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28">
    <w:nsid w:val="02EB288D"/>
    <w:multiLevelType w:val="hybridMultilevel"/>
    <w:tmpl w:val="B7F4C0A2"/>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0">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03935814"/>
    <w:multiLevelType w:val="hybridMultilevel"/>
    <w:tmpl w:val="89F890F8"/>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03A5127D"/>
    <w:multiLevelType w:val="singleLevel"/>
    <w:tmpl w:val="CEAAC896"/>
    <w:lvl w:ilvl="0">
      <w:start w:val="218"/>
      <w:numFmt w:val="decimal"/>
      <w:lvlText w:val="%1."/>
      <w:lvlJc w:val="left"/>
      <w:pPr>
        <w:tabs>
          <w:tab w:val="num" w:pos="419"/>
        </w:tabs>
        <w:ind w:left="419" w:hanging="419"/>
      </w:pPr>
      <w:rPr>
        <w:rFonts w:hint="default"/>
      </w:rPr>
    </w:lvl>
  </w:abstractNum>
  <w:abstractNum w:abstractNumId="33">
    <w:nsid w:val="045F53C1"/>
    <w:multiLevelType w:val="hybridMultilevel"/>
    <w:tmpl w:val="BA62E7B0"/>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04695056"/>
    <w:multiLevelType w:val="hybridMultilevel"/>
    <w:tmpl w:val="790C4406"/>
    <w:lvl w:ilvl="0" w:tplc="B320558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5">
    <w:nsid w:val="047E1189"/>
    <w:multiLevelType w:val="singleLevel"/>
    <w:tmpl w:val="AD6ED364"/>
    <w:lvl w:ilvl="0">
      <w:start w:val="219"/>
      <w:numFmt w:val="decimal"/>
      <w:lvlText w:val="%1."/>
      <w:lvlJc w:val="left"/>
      <w:pPr>
        <w:tabs>
          <w:tab w:val="num" w:pos="540"/>
        </w:tabs>
        <w:ind w:left="540" w:hanging="540"/>
      </w:pPr>
      <w:rPr>
        <w:rFonts w:hint="default"/>
      </w:rPr>
    </w:lvl>
  </w:abstractNum>
  <w:abstractNum w:abstractNumId="36">
    <w:nsid w:val="051A76D6"/>
    <w:multiLevelType w:val="singleLevel"/>
    <w:tmpl w:val="A434CDC8"/>
    <w:lvl w:ilvl="0">
      <w:start w:val="550"/>
      <w:numFmt w:val="decimal"/>
      <w:lvlText w:val="%1."/>
      <w:lvlJc w:val="left"/>
      <w:pPr>
        <w:tabs>
          <w:tab w:val="num" w:pos="420"/>
        </w:tabs>
        <w:ind w:left="420" w:hanging="420"/>
      </w:pPr>
      <w:rPr>
        <w:rFonts w:hint="default"/>
      </w:rPr>
    </w:lvl>
  </w:abstractNum>
  <w:abstractNum w:abstractNumId="37">
    <w:nsid w:val="053A2601"/>
    <w:multiLevelType w:val="hybridMultilevel"/>
    <w:tmpl w:val="F440BEE4"/>
    <w:lvl w:ilvl="0" w:tplc="B086982A">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057059B5"/>
    <w:multiLevelType w:val="hybridMultilevel"/>
    <w:tmpl w:val="8BD85F02"/>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08C35465"/>
    <w:multiLevelType w:val="hybridMultilevel"/>
    <w:tmpl w:val="E85EEE5E"/>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08D87DB8"/>
    <w:multiLevelType w:val="hybridMultilevel"/>
    <w:tmpl w:val="5750F304"/>
    <w:lvl w:ilvl="0" w:tplc="43C2C850">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1">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2">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43">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098D29C0"/>
    <w:multiLevelType w:val="hybridMultilevel"/>
    <w:tmpl w:val="D464B9C0"/>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0A150492"/>
    <w:multiLevelType w:val="hybridMultilevel"/>
    <w:tmpl w:val="2D0C839A"/>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0A2021E4"/>
    <w:multiLevelType w:val="singleLevel"/>
    <w:tmpl w:val="C83057EE"/>
    <w:lvl w:ilvl="0">
      <w:start w:val="1"/>
      <w:numFmt w:val="lowerLetter"/>
      <w:lvlText w:val="%1)"/>
      <w:lvlJc w:val="left"/>
      <w:pPr>
        <w:tabs>
          <w:tab w:val="num" w:pos="1080"/>
        </w:tabs>
        <w:ind w:left="1080" w:hanging="360"/>
      </w:pPr>
      <w:rPr>
        <w:rFonts w:hint="default"/>
      </w:rPr>
    </w:lvl>
  </w:abstractNum>
  <w:abstractNum w:abstractNumId="47">
    <w:nsid w:val="0A255663"/>
    <w:multiLevelType w:val="hybridMultilevel"/>
    <w:tmpl w:val="A3C2DCEC"/>
    <w:lvl w:ilvl="0" w:tplc="00CE4A24">
      <w:start w:val="865"/>
      <w:numFmt w:val="decimal"/>
      <w:lvlText w:val="%1."/>
      <w:lvlJc w:val="left"/>
      <w:pPr>
        <w:tabs>
          <w:tab w:val="num" w:pos="1530"/>
        </w:tabs>
        <w:ind w:left="1530" w:hanging="10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8">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0A5463AD"/>
    <w:multiLevelType w:val="hybridMultilevel"/>
    <w:tmpl w:val="5096F9CC"/>
    <w:lvl w:ilvl="0" w:tplc="2CD2BE50">
      <w:start w:val="1"/>
      <w:numFmt w:val="lowerLetter"/>
      <w:lvlRestart w:val="0"/>
      <w:lvlText w:val="(%1)"/>
      <w:lvlJc w:val="right"/>
      <w:pPr>
        <w:tabs>
          <w:tab w:val="num" w:pos="2241"/>
        </w:tabs>
        <w:ind w:left="2241" w:hanging="227"/>
      </w:pPr>
      <w:rPr>
        <w:rFonts w:ascii="Times New Roman" w:hAnsi="Times New Roman"/>
        <w:b w:val="0"/>
        <w:i w:val="0"/>
        <w:sz w:val="24"/>
      </w:rPr>
    </w:lvl>
    <w:lvl w:ilvl="1" w:tplc="04090019">
      <w:start w:val="1"/>
      <w:numFmt w:val="ideographTraditional"/>
      <w:lvlText w:val="%2、"/>
      <w:lvlJc w:val="left"/>
      <w:pPr>
        <w:tabs>
          <w:tab w:val="num" w:pos="1670"/>
        </w:tabs>
        <w:ind w:left="1670" w:hanging="480"/>
      </w:pPr>
    </w:lvl>
    <w:lvl w:ilvl="2" w:tplc="0409001B" w:tentative="1">
      <w:start w:val="1"/>
      <w:numFmt w:val="lowerRoman"/>
      <w:lvlText w:val="%3."/>
      <w:lvlJc w:val="right"/>
      <w:pPr>
        <w:tabs>
          <w:tab w:val="num" w:pos="2150"/>
        </w:tabs>
        <w:ind w:left="2150" w:hanging="480"/>
      </w:pPr>
    </w:lvl>
    <w:lvl w:ilvl="3" w:tplc="0409000F" w:tentative="1">
      <w:start w:val="1"/>
      <w:numFmt w:val="decimal"/>
      <w:lvlText w:val="%4."/>
      <w:lvlJc w:val="left"/>
      <w:pPr>
        <w:tabs>
          <w:tab w:val="num" w:pos="2630"/>
        </w:tabs>
        <w:ind w:left="2630" w:hanging="480"/>
      </w:pPr>
    </w:lvl>
    <w:lvl w:ilvl="4" w:tplc="04090019" w:tentative="1">
      <w:start w:val="1"/>
      <w:numFmt w:val="ideographTraditional"/>
      <w:lvlText w:val="%5、"/>
      <w:lvlJc w:val="left"/>
      <w:pPr>
        <w:tabs>
          <w:tab w:val="num" w:pos="3110"/>
        </w:tabs>
        <w:ind w:left="3110" w:hanging="480"/>
      </w:pPr>
    </w:lvl>
    <w:lvl w:ilvl="5" w:tplc="0409001B" w:tentative="1">
      <w:start w:val="1"/>
      <w:numFmt w:val="lowerRoman"/>
      <w:lvlText w:val="%6."/>
      <w:lvlJc w:val="right"/>
      <w:pPr>
        <w:tabs>
          <w:tab w:val="num" w:pos="3590"/>
        </w:tabs>
        <w:ind w:left="3590" w:hanging="480"/>
      </w:pPr>
    </w:lvl>
    <w:lvl w:ilvl="6" w:tplc="0409000F" w:tentative="1">
      <w:start w:val="1"/>
      <w:numFmt w:val="decimal"/>
      <w:lvlText w:val="%7."/>
      <w:lvlJc w:val="left"/>
      <w:pPr>
        <w:tabs>
          <w:tab w:val="num" w:pos="4070"/>
        </w:tabs>
        <w:ind w:left="4070" w:hanging="480"/>
      </w:pPr>
    </w:lvl>
    <w:lvl w:ilvl="7" w:tplc="04090019" w:tentative="1">
      <w:start w:val="1"/>
      <w:numFmt w:val="ideographTraditional"/>
      <w:lvlText w:val="%8、"/>
      <w:lvlJc w:val="left"/>
      <w:pPr>
        <w:tabs>
          <w:tab w:val="num" w:pos="4550"/>
        </w:tabs>
        <w:ind w:left="4550" w:hanging="480"/>
      </w:pPr>
    </w:lvl>
    <w:lvl w:ilvl="8" w:tplc="0409001B" w:tentative="1">
      <w:start w:val="1"/>
      <w:numFmt w:val="lowerRoman"/>
      <w:lvlText w:val="%9."/>
      <w:lvlJc w:val="right"/>
      <w:pPr>
        <w:tabs>
          <w:tab w:val="num" w:pos="5030"/>
        </w:tabs>
        <w:ind w:left="5030" w:hanging="480"/>
      </w:pPr>
    </w:lvl>
  </w:abstractNum>
  <w:abstractNum w:abstractNumId="50">
    <w:nsid w:val="0A6F6BD3"/>
    <w:multiLevelType w:val="hybridMultilevel"/>
    <w:tmpl w:val="58761258"/>
    <w:lvl w:ilvl="0" w:tplc="B0785CA4">
      <w:start w:val="839"/>
      <w:numFmt w:val="decimal"/>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0C39160E"/>
    <w:multiLevelType w:val="hybridMultilevel"/>
    <w:tmpl w:val="2FCAB970"/>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978EB660">
      <w:start w:val="687"/>
      <w:numFmt w:val="decimal"/>
      <w:lvlText w:val="%2."/>
      <w:lvlJc w:val="left"/>
      <w:pPr>
        <w:tabs>
          <w:tab w:val="num" w:pos="1230"/>
        </w:tabs>
        <w:ind w:left="1230" w:hanging="75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0C6A70EA"/>
    <w:multiLevelType w:val="hybridMultilevel"/>
    <w:tmpl w:val="0E485F06"/>
    <w:lvl w:ilvl="0" w:tplc="C3D8E21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0CA12EEC"/>
    <w:multiLevelType w:val="singleLevel"/>
    <w:tmpl w:val="9656C96C"/>
    <w:lvl w:ilvl="0">
      <w:start w:val="1"/>
      <w:numFmt w:val="lowerLetter"/>
      <w:lvlText w:val="%1)"/>
      <w:lvlJc w:val="left"/>
      <w:pPr>
        <w:tabs>
          <w:tab w:val="num" w:pos="1080"/>
        </w:tabs>
        <w:ind w:left="1080" w:hanging="360"/>
      </w:pPr>
      <w:rPr>
        <w:rFonts w:hint="default"/>
      </w:rPr>
    </w:lvl>
  </w:abstractNum>
  <w:abstractNum w:abstractNumId="54">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55">
    <w:nsid w:val="0D5D4B9E"/>
    <w:multiLevelType w:val="hybridMultilevel"/>
    <w:tmpl w:val="57F6F464"/>
    <w:lvl w:ilvl="0" w:tplc="084CC7B6">
      <w:start w:val="1"/>
      <w:numFmt w:val="chineseCountingThousand"/>
      <w:lvlRestart w:val="0"/>
      <w:lvlText w:val="(%1)"/>
      <w:lvlJc w:val="right"/>
      <w:pPr>
        <w:tabs>
          <w:tab w:val="num" w:pos="1531"/>
        </w:tabs>
        <w:ind w:left="1531" w:hanging="170"/>
      </w:pPr>
      <w:rPr>
        <w:rFonts w:ascii="Times New Roman" w:hAnsi="Times New Roman"/>
        <w:sz w:val="2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0D687731"/>
    <w:multiLevelType w:val="hybridMultilevel"/>
    <w:tmpl w:val="BA8ADBE8"/>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0D7912C0"/>
    <w:multiLevelType w:val="singleLevel"/>
    <w:tmpl w:val="2BC0BB8E"/>
    <w:lvl w:ilvl="0">
      <w:start w:val="1"/>
      <w:numFmt w:val="lowerLetter"/>
      <w:lvlText w:val="(%1)"/>
      <w:lvlJc w:val="left"/>
      <w:pPr>
        <w:tabs>
          <w:tab w:val="num" w:pos="720"/>
        </w:tabs>
        <w:ind w:left="720" w:hanging="720"/>
      </w:pPr>
      <w:rPr>
        <w:rFonts w:hint="default"/>
      </w:rPr>
    </w:lvl>
  </w:abstractNum>
  <w:abstractNum w:abstractNumId="58">
    <w:nsid w:val="0DA76321"/>
    <w:multiLevelType w:val="hybridMultilevel"/>
    <w:tmpl w:val="7F34964E"/>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0DC743B9"/>
    <w:multiLevelType w:val="hybridMultilevel"/>
    <w:tmpl w:val="88A6C6CC"/>
    <w:lvl w:ilvl="0" w:tplc="78DE4662">
      <w:start w:val="1"/>
      <w:numFmt w:val="decimal"/>
      <w:lvlText w:val="%1．"/>
      <w:lvlJc w:val="left"/>
      <w:pPr>
        <w:tabs>
          <w:tab w:val="num" w:pos="1740"/>
        </w:tabs>
        <w:ind w:left="1740" w:hanging="72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61">
    <w:nsid w:val="0E1A31A1"/>
    <w:multiLevelType w:val="hybridMultilevel"/>
    <w:tmpl w:val="60BEF72A"/>
    <w:lvl w:ilvl="0" w:tplc="25BE621C">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0EFE5254"/>
    <w:multiLevelType w:val="singleLevel"/>
    <w:tmpl w:val="2F925710"/>
    <w:lvl w:ilvl="0">
      <w:start w:val="551"/>
      <w:numFmt w:val="decimal"/>
      <w:lvlText w:val="%1."/>
      <w:lvlJc w:val="left"/>
      <w:pPr>
        <w:tabs>
          <w:tab w:val="num" w:pos="615"/>
        </w:tabs>
        <w:ind w:left="615" w:hanging="615"/>
      </w:pPr>
      <w:rPr>
        <w:rFonts w:hint="default"/>
      </w:rPr>
    </w:lvl>
  </w:abstractNum>
  <w:abstractNum w:abstractNumId="63">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10FE0148"/>
    <w:multiLevelType w:val="hybridMultilevel"/>
    <w:tmpl w:val="D8E8C17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DBE8046">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67">
    <w:nsid w:val="1227275F"/>
    <w:multiLevelType w:val="hybridMultilevel"/>
    <w:tmpl w:val="A848592E"/>
    <w:lvl w:ilvl="0" w:tplc="FFFFFFFF">
      <w:start w:val="3"/>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125620D3"/>
    <w:multiLevelType w:val="hybridMultilevel"/>
    <w:tmpl w:val="FF7E1326"/>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125871F3"/>
    <w:multiLevelType w:val="hybridMultilevel"/>
    <w:tmpl w:val="95820A2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71">
    <w:nsid w:val="127C449C"/>
    <w:multiLevelType w:val="hybridMultilevel"/>
    <w:tmpl w:val="5186D8FC"/>
    <w:lvl w:ilvl="0" w:tplc="4524E4A0">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2">
    <w:nsid w:val="12AD395D"/>
    <w:multiLevelType w:val="hybridMultilevel"/>
    <w:tmpl w:val="C298C428"/>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13BE088A"/>
    <w:multiLevelType w:val="hybridMultilevel"/>
    <w:tmpl w:val="AADA1E26"/>
    <w:lvl w:ilvl="0" w:tplc="2048B3AE">
      <w:start w:val="1"/>
      <w:numFmt w:val="lowerLetter"/>
      <w:lvlRestart w:val="0"/>
      <w:lvlText w:val="(%1)"/>
      <w:lvlJc w:val="right"/>
      <w:pPr>
        <w:tabs>
          <w:tab w:val="num" w:pos="2311"/>
        </w:tabs>
        <w:ind w:left="2311" w:hanging="227"/>
      </w:pPr>
      <w:rPr>
        <w:rFonts w:ascii="Times New Roman" w:hAnsi="Times New Roman"/>
        <w:b w:val="0"/>
        <w:i w:val="0"/>
        <w:sz w:val="24"/>
      </w:rPr>
    </w:lvl>
    <w:lvl w:ilvl="1" w:tplc="04090019">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74">
    <w:nsid w:val="141B7AC2"/>
    <w:multiLevelType w:val="singleLevel"/>
    <w:tmpl w:val="66843138"/>
    <w:lvl w:ilvl="0">
      <w:start w:val="1"/>
      <w:numFmt w:val="lowerLetter"/>
      <w:lvlText w:val="%1)"/>
      <w:lvlJc w:val="left"/>
      <w:pPr>
        <w:tabs>
          <w:tab w:val="num" w:pos="1080"/>
        </w:tabs>
        <w:ind w:left="1080" w:hanging="360"/>
      </w:pPr>
      <w:rPr>
        <w:rFonts w:hint="default"/>
      </w:rPr>
    </w:lvl>
  </w:abstractNum>
  <w:abstractNum w:abstractNumId="75">
    <w:nsid w:val="14787546"/>
    <w:multiLevelType w:val="hybridMultilevel"/>
    <w:tmpl w:val="74BCE3C6"/>
    <w:lvl w:ilvl="0" w:tplc="1C08D16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14913C5D"/>
    <w:multiLevelType w:val="hybridMultilevel"/>
    <w:tmpl w:val="DEFE751C"/>
    <w:lvl w:ilvl="0" w:tplc="7742851A">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7">
    <w:nsid w:val="14DE4462"/>
    <w:multiLevelType w:val="hybridMultilevel"/>
    <w:tmpl w:val="ED824A62"/>
    <w:lvl w:ilvl="0" w:tplc="8E7E1116">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157D0A85"/>
    <w:multiLevelType w:val="singleLevel"/>
    <w:tmpl w:val="7F02D1FC"/>
    <w:lvl w:ilvl="0">
      <w:start w:val="234"/>
      <w:numFmt w:val="decimal"/>
      <w:lvlText w:val="%1."/>
      <w:lvlJc w:val="left"/>
      <w:pPr>
        <w:tabs>
          <w:tab w:val="num" w:pos="600"/>
        </w:tabs>
        <w:ind w:left="600" w:hanging="600"/>
      </w:pPr>
      <w:rPr>
        <w:rFonts w:hint="default"/>
      </w:rPr>
    </w:lvl>
  </w:abstractNum>
  <w:abstractNum w:abstractNumId="79">
    <w:nsid w:val="15BA2E8E"/>
    <w:multiLevelType w:val="multilevel"/>
    <w:tmpl w:val="5C1C1764"/>
    <w:lvl w:ilvl="0">
      <w:start w:val="1"/>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0">
    <w:nsid w:val="15CD1877"/>
    <w:multiLevelType w:val="hybridMultilevel"/>
    <w:tmpl w:val="94C02EC8"/>
    <w:lvl w:ilvl="0" w:tplc="C1241BD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15E404F9"/>
    <w:multiLevelType w:val="multilevel"/>
    <w:tmpl w:val="486820CC"/>
    <w:lvl w:ilvl="0">
      <w:start w:val="52"/>
      <w:numFmt w:val="decimal"/>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2">
    <w:nsid w:val="166E39D6"/>
    <w:multiLevelType w:val="hybridMultilevel"/>
    <w:tmpl w:val="76926438"/>
    <w:lvl w:ilvl="0" w:tplc="FFFFFFFF">
      <w:start w:val="50"/>
      <w:numFmt w:val="decimal"/>
      <w:lvlText w:val="%1."/>
      <w:lvlJc w:val="left"/>
      <w:pPr>
        <w:tabs>
          <w:tab w:val="num" w:pos="840"/>
        </w:tabs>
        <w:ind w:left="840" w:hanging="4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16992EC5"/>
    <w:multiLevelType w:val="hybridMultilevel"/>
    <w:tmpl w:val="D2583A3E"/>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16BF62DF"/>
    <w:multiLevelType w:val="singleLevel"/>
    <w:tmpl w:val="8D8CDDB8"/>
    <w:lvl w:ilvl="0">
      <w:start w:val="1"/>
      <w:numFmt w:val="lowerLetter"/>
      <w:lvlText w:val="%1)"/>
      <w:lvlJc w:val="left"/>
      <w:pPr>
        <w:tabs>
          <w:tab w:val="num" w:pos="1080"/>
        </w:tabs>
        <w:ind w:left="1080" w:hanging="360"/>
      </w:pPr>
      <w:rPr>
        <w:rFonts w:hint="default"/>
      </w:rPr>
    </w:lvl>
  </w:abstractNum>
  <w:abstractNum w:abstractNumId="86">
    <w:nsid w:val="1706662D"/>
    <w:multiLevelType w:val="singleLevel"/>
    <w:tmpl w:val="17C2DA3A"/>
    <w:lvl w:ilvl="0">
      <w:start w:val="1"/>
      <w:numFmt w:val="lowerLetter"/>
      <w:lvlText w:val="%1)"/>
      <w:lvlJc w:val="left"/>
      <w:pPr>
        <w:tabs>
          <w:tab w:val="num" w:pos="1080"/>
        </w:tabs>
        <w:ind w:left="1080" w:hanging="360"/>
      </w:pPr>
      <w:rPr>
        <w:rFonts w:hint="default"/>
      </w:rPr>
    </w:lvl>
  </w:abstractNum>
  <w:abstractNum w:abstractNumId="8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18180041"/>
    <w:multiLevelType w:val="hybridMultilevel"/>
    <w:tmpl w:val="E9BE9EDE"/>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90">
    <w:nsid w:val="1A462ED4"/>
    <w:multiLevelType w:val="hybridMultilevel"/>
    <w:tmpl w:val="5FBE70AE"/>
    <w:lvl w:ilvl="0" w:tplc="C1241BD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1A475862"/>
    <w:multiLevelType w:val="hybridMultilevel"/>
    <w:tmpl w:val="AFF25B44"/>
    <w:lvl w:ilvl="0" w:tplc="FFFFFFFF">
      <w:start w:val="195"/>
      <w:numFmt w:val="decimal"/>
      <w:lvlText w:val="%1."/>
      <w:lvlJc w:val="left"/>
      <w:pPr>
        <w:tabs>
          <w:tab w:val="num" w:pos="960"/>
        </w:tabs>
        <w:ind w:left="960" w:hanging="6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1AEF05E7"/>
    <w:multiLevelType w:val="hybridMultilevel"/>
    <w:tmpl w:val="527CCBCA"/>
    <w:lvl w:ilvl="0" w:tplc="D728909C">
      <w:start w:val="1"/>
      <w:numFmt w:val="decimal"/>
      <w:lvlText w:val="%1."/>
      <w:lvlJc w:val="left"/>
      <w:pPr>
        <w:tabs>
          <w:tab w:val="num" w:pos="1380"/>
        </w:tabs>
        <w:ind w:left="1380" w:hanging="36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93">
    <w:nsid w:val="1BDA43A6"/>
    <w:multiLevelType w:val="singleLevel"/>
    <w:tmpl w:val="EBA0DF54"/>
    <w:lvl w:ilvl="0">
      <w:start w:val="52"/>
      <w:numFmt w:val="decimal"/>
      <w:lvlText w:val="%1."/>
      <w:lvlJc w:val="left"/>
      <w:pPr>
        <w:tabs>
          <w:tab w:val="num" w:pos="480"/>
        </w:tabs>
        <w:ind w:left="480" w:hanging="480"/>
      </w:pPr>
      <w:rPr>
        <w:rFonts w:hint="default"/>
      </w:rPr>
    </w:lvl>
  </w:abstractNum>
  <w:abstractNum w:abstractNumId="94">
    <w:nsid w:val="1BF40718"/>
    <w:multiLevelType w:val="hybridMultilevel"/>
    <w:tmpl w:val="5A8C2308"/>
    <w:lvl w:ilvl="0" w:tplc="C36EE8D2">
      <w:start w:val="864"/>
      <w:numFmt w:val="decimal"/>
      <w:lvlText w:val="%1．"/>
      <w:lvlJc w:val="left"/>
      <w:pPr>
        <w:tabs>
          <w:tab w:val="num" w:pos="1230"/>
        </w:tabs>
        <w:ind w:left="1230" w:hanging="72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5">
    <w:nsid w:val="1C534E57"/>
    <w:multiLevelType w:val="hybridMultilevel"/>
    <w:tmpl w:val="54281B22"/>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9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8">
    <w:nsid w:val="1DDB094E"/>
    <w:multiLevelType w:val="hybridMultilevel"/>
    <w:tmpl w:val="4DB805B6"/>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1E666F5D"/>
    <w:multiLevelType w:val="hybridMultilevel"/>
    <w:tmpl w:val="FF504CE8"/>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1F665278"/>
    <w:multiLevelType w:val="hybridMultilevel"/>
    <w:tmpl w:val="03F6746C"/>
    <w:lvl w:ilvl="0" w:tplc="C1241BD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nsid w:val="1FB76A41"/>
    <w:multiLevelType w:val="hybridMultilevel"/>
    <w:tmpl w:val="125253C2"/>
    <w:lvl w:ilvl="0" w:tplc="B320558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2">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03">
    <w:nsid w:val="20BE4781"/>
    <w:multiLevelType w:val="hybridMultilevel"/>
    <w:tmpl w:val="7C425D5E"/>
    <w:lvl w:ilvl="0" w:tplc="413273EA">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nsid w:val="2105732C"/>
    <w:multiLevelType w:val="hybridMultilevel"/>
    <w:tmpl w:val="87BA74B2"/>
    <w:lvl w:ilvl="0" w:tplc="47AAD538">
      <w:start w:val="2"/>
      <w:numFmt w:val="taiwaneseCountingThousand"/>
      <w:lvlText w:val="（%1）"/>
      <w:lvlJc w:val="left"/>
      <w:pPr>
        <w:tabs>
          <w:tab w:val="num" w:pos="1290"/>
        </w:tabs>
        <w:ind w:left="1290" w:hanging="78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5">
    <w:nsid w:val="21252F36"/>
    <w:multiLevelType w:val="hybridMultilevel"/>
    <w:tmpl w:val="CA1637BC"/>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nsid w:val="215B4875"/>
    <w:multiLevelType w:val="hybridMultilevel"/>
    <w:tmpl w:val="DBA63112"/>
    <w:lvl w:ilvl="0" w:tplc="3BE65268">
      <w:start w:val="1"/>
      <w:numFmt w:val="lowerLetter"/>
      <w:lvlText w:val="(%1)"/>
      <w:lvlJc w:val="left"/>
      <w:pPr>
        <w:tabs>
          <w:tab w:val="num" w:pos="1535"/>
        </w:tabs>
        <w:ind w:left="1535" w:hanging="495"/>
      </w:pPr>
      <w:rPr>
        <w:rFonts w:hint="default"/>
      </w:rPr>
    </w:lvl>
    <w:lvl w:ilvl="1" w:tplc="04090019" w:tentative="1">
      <w:start w:val="1"/>
      <w:numFmt w:val="ideographTraditional"/>
      <w:lvlText w:val="%2、"/>
      <w:lvlJc w:val="left"/>
      <w:pPr>
        <w:tabs>
          <w:tab w:val="num" w:pos="2000"/>
        </w:tabs>
        <w:ind w:left="2000" w:hanging="480"/>
      </w:pPr>
    </w:lvl>
    <w:lvl w:ilvl="2" w:tplc="0409001B" w:tentative="1">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107">
    <w:nsid w:val="221C42E2"/>
    <w:multiLevelType w:val="hybridMultilevel"/>
    <w:tmpl w:val="309AE3C0"/>
    <w:lvl w:ilvl="0" w:tplc="2CD2BE50">
      <w:start w:val="1"/>
      <w:numFmt w:val="lowerLetter"/>
      <w:lvlRestart w:val="0"/>
      <w:lvlText w:val="(%1)"/>
      <w:lvlJc w:val="right"/>
      <w:pPr>
        <w:tabs>
          <w:tab w:val="num" w:pos="2241"/>
        </w:tabs>
        <w:ind w:left="2241" w:hanging="227"/>
      </w:pPr>
      <w:rPr>
        <w:rFonts w:ascii="Times New Roman" w:hAnsi="Times New Roman"/>
        <w:b w:val="0"/>
        <w:i w:val="0"/>
        <w:sz w:val="24"/>
      </w:rPr>
    </w:lvl>
    <w:lvl w:ilvl="1" w:tplc="04090019">
      <w:start w:val="1"/>
      <w:numFmt w:val="ideographTraditional"/>
      <w:lvlText w:val="%2、"/>
      <w:lvlJc w:val="left"/>
      <w:pPr>
        <w:tabs>
          <w:tab w:val="num" w:pos="1670"/>
        </w:tabs>
        <w:ind w:left="1670" w:hanging="480"/>
      </w:pPr>
    </w:lvl>
    <w:lvl w:ilvl="2" w:tplc="0409001B" w:tentative="1">
      <w:start w:val="1"/>
      <w:numFmt w:val="lowerRoman"/>
      <w:lvlText w:val="%3."/>
      <w:lvlJc w:val="right"/>
      <w:pPr>
        <w:tabs>
          <w:tab w:val="num" w:pos="2150"/>
        </w:tabs>
        <w:ind w:left="2150" w:hanging="480"/>
      </w:pPr>
    </w:lvl>
    <w:lvl w:ilvl="3" w:tplc="0409000F" w:tentative="1">
      <w:start w:val="1"/>
      <w:numFmt w:val="decimal"/>
      <w:lvlText w:val="%4."/>
      <w:lvlJc w:val="left"/>
      <w:pPr>
        <w:tabs>
          <w:tab w:val="num" w:pos="2630"/>
        </w:tabs>
        <w:ind w:left="2630" w:hanging="480"/>
      </w:pPr>
    </w:lvl>
    <w:lvl w:ilvl="4" w:tplc="04090019" w:tentative="1">
      <w:start w:val="1"/>
      <w:numFmt w:val="ideographTraditional"/>
      <w:lvlText w:val="%5、"/>
      <w:lvlJc w:val="left"/>
      <w:pPr>
        <w:tabs>
          <w:tab w:val="num" w:pos="3110"/>
        </w:tabs>
        <w:ind w:left="3110" w:hanging="480"/>
      </w:pPr>
    </w:lvl>
    <w:lvl w:ilvl="5" w:tplc="0409001B" w:tentative="1">
      <w:start w:val="1"/>
      <w:numFmt w:val="lowerRoman"/>
      <w:lvlText w:val="%6."/>
      <w:lvlJc w:val="right"/>
      <w:pPr>
        <w:tabs>
          <w:tab w:val="num" w:pos="3590"/>
        </w:tabs>
        <w:ind w:left="3590" w:hanging="480"/>
      </w:pPr>
    </w:lvl>
    <w:lvl w:ilvl="6" w:tplc="0409000F" w:tentative="1">
      <w:start w:val="1"/>
      <w:numFmt w:val="decimal"/>
      <w:lvlText w:val="%7."/>
      <w:lvlJc w:val="left"/>
      <w:pPr>
        <w:tabs>
          <w:tab w:val="num" w:pos="4070"/>
        </w:tabs>
        <w:ind w:left="4070" w:hanging="480"/>
      </w:pPr>
    </w:lvl>
    <w:lvl w:ilvl="7" w:tplc="04090019" w:tentative="1">
      <w:start w:val="1"/>
      <w:numFmt w:val="ideographTraditional"/>
      <w:lvlText w:val="%8、"/>
      <w:lvlJc w:val="left"/>
      <w:pPr>
        <w:tabs>
          <w:tab w:val="num" w:pos="4550"/>
        </w:tabs>
        <w:ind w:left="4550" w:hanging="480"/>
      </w:pPr>
    </w:lvl>
    <w:lvl w:ilvl="8" w:tplc="0409001B" w:tentative="1">
      <w:start w:val="1"/>
      <w:numFmt w:val="lowerRoman"/>
      <w:lvlText w:val="%9."/>
      <w:lvlJc w:val="right"/>
      <w:pPr>
        <w:tabs>
          <w:tab w:val="num" w:pos="5030"/>
        </w:tabs>
        <w:ind w:left="5030" w:hanging="480"/>
      </w:pPr>
    </w:lvl>
  </w:abstractNum>
  <w:abstractNum w:abstractNumId="108">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109">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23551E8B"/>
    <w:multiLevelType w:val="hybridMultilevel"/>
    <w:tmpl w:val="77D0EADE"/>
    <w:lvl w:ilvl="0" w:tplc="FFFFFFFF">
      <w:start w:val="196"/>
      <w:numFmt w:val="decimal"/>
      <w:lvlText w:val="%1."/>
      <w:lvlJc w:val="left"/>
      <w:pPr>
        <w:tabs>
          <w:tab w:val="num" w:pos="975"/>
        </w:tabs>
        <w:ind w:left="975" w:hanging="61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23B51E3D"/>
    <w:multiLevelType w:val="hybridMultilevel"/>
    <w:tmpl w:val="750256E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nsid w:val="23E54682"/>
    <w:multiLevelType w:val="singleLevel"/>
    <w:tmpl w:val="4830B77A"/>
    <w:lvl w:ilvl="0">
      <w:start w:val="55"/>
      <w:numFmt w:val="decimal"/>
      <w:lvlText w:val="%1."/>
      <w:lvlJc w:val="left"/>
      <w:pPr>
        <w:tabs>
          <w:tab w:val="num" w:pos="480"/>
        </w:tabs>
        <w:ind w:left="480" w:hanging="480"/>
      </w:pPr>
      <w:rPr>
        <w:rFonts w:hint="default"/>
      </w:rPr>
    </w:lvl>
  </w:abstractNum>
  <w:abstractNum w:abstractNumId="113">
    <w:nsid w:val="23EC5894"/>
    <w:multiLevelType w:val="singleLevel"/>
    <w:tmpl w:val="B860F268"/>
    <w:lvl w:ilvl="0">
      <w:start w:val="232"/>
      <w:numFmt w:val="decimal"/>
      <w:lvlText w:val="%1."/>
      <w:lvlJc w:val="left"/>
      <w:pPr>
        <w:tabs>
          <w:tab w:val="num" w:pos="705"/>
        </w:tabs>
        <w:ind w:left="705" w:hanging="705"/>
      </w:pPr>
      <w:rPr>
        <w:rFonts w:hint="default"/>
      </w:rPr>
    </w:lvl>
  </w:abstractNum>
  <w:abstractNum w:abstractNumId="114">
    <w:nsid w:val="2435383A"/>
    <w:multiLevelType w:val="hybridMultilevel"/>
    <w:tmpl w:val="B1BE3538"/>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nsid w:val="24712FE3"/>
    <w:multiLevelType w:val="hybridMultilevel"/>
    <w:tmpl w:val="90EE9D64"/>
    <w:lvl w:ilvl="0" w:tplc="498275A2">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16">
    <w:nsid w:val="24D35D15"/>
    <w:multiLevelType w:val="hybridMultilevel"/>
    <w:tmpl w:val="86F61936"/>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nsid w:val="25306B63"/>
    <w:multiLevelType w:val="hybridMultilevel"/>
    <w:tmpl w:val="F34E9432"/>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25894051"/>
    <w:multiLevelType w:val="hybridMultilevel"/>
    <w:tmpl w:val="5F720E8A"/>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120">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26C054B6"/>
    <w:multiLevelType w:val="hybridMultilevel"/>
    <w:tmpl w:val="46189684"/>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nsid w:val="2750573B"/>
    <w:multiLevelType w:val="hybridMultilevel"/>
    <w:tmpl w:val="3230A750"/>
    <w:lvl w:ilvl="0" w:tplc="6EE23FB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nsid w:val="27A23B88"/>
    <w:multiLevelType w:val="hybridMultilevel"/>
    <w:tmpl w:val="10062596"/>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nsid w:val="27E667F3"/>
    <w:multiLevelType w:val="hybridMultilevel"/>
    <w:tmpl w:val="30BADDB0"/>
    <w:lvl w:ilvl="0" w:tplc="4274D6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28C26697"/>
    <w:multiLevelType w:val="singleLevel"/>
    <w:tmpl w:val="1D34D850"/>
    <w:lvl w:ilvl="0">
      <w:start w:val="577"/>
      <w:numFmt w:val="decimal"/>
      <w:lvlText w:val="%1."/>
      <w:lvlJc w:val="left"/>
      <w:pPr>
        <w:tabs>
          <w:tab w:val="num" w:pos="510"/>
        </w:tabs>
        <w:ind w:left="510" w:hanging="510"/>
      </w:pPr>
      <w:rPr>
        <w:rFonts w:hint="default"/>
      </w:rPr>
    </w:lvl>
  </w:abstractNum>
  <w:abstractNum w:abstractNumId="12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297F1D87"/>
    <w:multiLevelType w:val="hybridMultilevel"/>
    <w:tmpl w:val="D34A3914"/>
    <w:lvl w:ilvl="0" w:tplc="4F0CEF80">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2A286FC2"/>
    <w:multiLevelType w:val="hybridMultilevel"/>
    <w:tmpl w:val="84680B24"/>
    <w:lvl w:ilvl="0" w:tplc="FFFFFFFF">
      <w:start w:val="149"/>
      <w:numFmt w:val="decimal"/>
      <w:lvlText w:val="%1."/>
      <w:lvlJc w:val="left"/>
      <w:pPr>
        <w:tabs>
          <w:tab w:val="num" w:pos="960"/>
        </w:tabs>
        <w:ind w:left="960" w:hanging="6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2A554208"/>
    <w:multiLevelType w:val="hybridMultilevel"/>
    <w:tmpl w:val="E3CA71AE"/>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nsid w:val="2ACD23D0"/>
    <w:multiLevelType w:val="hybridMultilevel"/>
    <w:tmpl w:val="1ADA9B58"/>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2D489EAA">
      <w:start w:val="50"/>
      <w:numFmt w:val="decimal"/>
      <w:lvlText w:val="%2."/>
      <w:lvlJc w:val="left"/>
      <w:pPr>
        <w:tabs>
          <w:tab w:val="num" w:pos="1095"/>
        </w:tabs>
        <w:ind w:left="1095" w:hanging="61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nsid w:val="2AD8590B"/>
    <w:multiLevelType w:val="hybridMultilevel"/>
    <w:tmpl w:val="A97EBDA4"/>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2B447D93"/>
    <w:multiLevelType w:val="hybridMultilevel"/>
    <w:tmpl w:val="A4782BF2"/>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nsid w:val="2B966085"/>
    <w:multiLevelType w:val="hybridMultilevel"/>
    <w:tmpl w:val="30382790"/>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34">
    <w:nsid w:val="2BFD39ED"/>
    <w:multiLevelType w:val="singleLevel"/>
    <w:tmpl w:val="13F2B124"/>
    <w:lvl w:ilvl="0">
      <w:start w:val="65"/>
      <w:numFmt w:val="decimal"/>
      <w:lvlText w:val="%1."/>
      <w:lvlJc w:val="left"/>
      <w:pPr>
        <w:tabs>
          <w:tab w:val="num" w:pos="480"/>
        </w:tabs>
        <w:ind w:left="480" w:hanging="480"/>
      </w:pPr>
      <w:rPr>
        <w:rFonts w:hint="default"/>
        <w:i w:val="0"/>
      </w:rPr>
    </w:lvl>
  </w:abstractNum>
  <w:abstractNum w:abstractNumId="135">
    <w:nsid w:val="2C5148C5"/>
    <w:multiLevelType w:val="hybridMultilevel"/>
    <w:tmpl w:val="FC86392A"/>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nsid w:val="2C5504B3"/>
    <w:multiLevelType w:val="singleLevel"/>
    <w:tmpl w:val="CB7A8BCA"/>
    <w:lvl w:ilvl="0">
      <w:start w:val="547"/>
      <w:numFmt w:val="decimal"/>
      <w:lvlText w:val="%1."/>
      <w:lvlJc w:val="left"/>
      <w:pPr>
        <w:tabs>
          <w:tab w:val="num" w:pos="480"/>
        </w:tabs>
        <w:ind w:left="480" w:hanging="480"/>
      </w:pPr>
      <w:rPr>
        <w:rFonts w:hint="default"/>
      </w:rPr>
    </w:lvl>
  </w:abstractNum>
  <w:abstractNum w:abstractNumId="137">
    <w:nsid w:val="2C6D0D1E"/>
    <w:multiLevelType w:val="hybridMultilevel"/>
    <w:tmpl w:val="EBF2343A"/>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nsid w:val="2DF24A8A"/>
    <w:multiLevelType w:val="hybridMultilevel"/>
    <w:tmpl w:val="BFA83A18"/>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nsid w:val="2E4B2CAD"/>
    <w:multiLevelType w:val="singleLevel"/>
    <w:tmpl w:val="3538FA2A"/>
    <w:lvl w:ilvl="0">
      <w:start w:val="565"/>
      <w:numFmt w:val="decimal"/>
      <w:lvlText w:val="%1."/>
      <w:lvlJc w:val="left"/>
      <w:pPr>
        <w:tabs>
          <w:tab w:val="num" w:pos="480"/>
        </w:tabs>
        <w:ind w:left="480" w:hanging="480"/>
      </w:pPr>
      <w:rPr>
        <w:rFonts w:hint="default"/>
      </w:rPr>
    </w:lvl>
  </w:abstractNum>
  <w:abstractNum w:abstractNumId="140">
    <w:nsid w:val="2EA36EF7"/>
    <w:multiLevelType w:val="hybridMultilevel"/>
    <w:tmpl w:val="0066C936"/>
    <w:lvl w:ilvl="0" w:tplc="D6CAACBA">
      <w:start w:val="825"/>
      <w:numFmt w:val="bullet"/>
      <w:lvlText w:val=""/>
      <w:lvlJc w:val="left"/>
      <w:pPr>
        <w:tabs>
          <w:tab w:val="num" w:pos="390"/>
        </w:tabs>
        <w:ind w:left="390" w:hanging="390"/>
      </w:pPr>
      <w:rPr>
        <w:rFonts w:ascii="Wingdings" w:eastAsia="SimSun" w:hAnsi="Wingdings"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1">
    <w:nsid w:val="2EAC34DF"/>
    <w:multiLevelType w:val="singleLevel"/>
    <w:tmpl w:val="2154FB92"/>
    <w:lvl w:ilvl="0">
      <w:start w:val="1"/>
      <w:numFmt w:val="lowerLetter"/>
      <w:lvlText w:val="(%1)"/>
      <w:lvlJc w:val="left"/>
      <w:pPr>
        <w:tabs>
          <w:tab w:val="num" w:pos="405"/>
        </w:tabs>
        <w:ind w:left="405" w:hanging="405"/>
      </w:pPr>
      <w:rPr>
        <w:rFonts w:hint="default"/>
      </w:rPr>
    </w:lvl>
  </w:abstractNum>
  <w:abstractNum w:abstractNumId="142">
    <w:nsid w:val="2ED7337C"/>
    <w:multiLevelType w:val="hybridMultilevel"/>
    <w:tmpl w:val="A3B01206"/>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nsid w:val="2EED7752"/>
    <w:multiLevelType w:val="hybridMultilevel"/>
    <w:tmpl w:val="AE6C0D9C"/>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nsid w:val="2F354304"/>
    <w:multiLevelType w:val="hybridMultilevel"/>
    <w:tmpl w:val="4E30DFDA"/>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
    <w:nsid w:val="2F3C5D81"/>
    <w:multiLevelType w:val="multilevel"/>
    <w:tmpl w:val="8C2E3A1A"/>
    <w:lvl w:ilvl="0">
      <w:start w:val="1"/>
      <w:numFmt w:val="lowerLetter"/>
      <w:lvlText w:val="(%1)"/>
      <w:lvlJc w:val="left"/>
      <w:pPr>
        <w:tabs>
          <w:tab w:val="num" w:pos="840"/>
        </w:tabs>
        <w:ind w:left="840" w:hanging="360"/>
      </w:pPr>
      <w:rPr>
        <w:rFonts w:hint="default"/>
      </w:rPr>
    </w:lvl>
    <w:lvl w:ilvl="1" w:tentative="1">
      <w:start w:val="1"/>
      <w:numFmt w:val="ideographTraditional"/>
      <w:lvlText w:val="%2、"/>
      <w:lvlJc w:val="left"/>
      <w:pPr>
        <w:tabs>
          <w:tab w:val="num" w:pos="1440"/>
        </w:tabs>
        <w:ind w:left="1440" w:hanging="480"/>
      </w:pPr>
    </w:lvl>
    <w:lvl w:ilvl="2" w:tentative="1">
      <w:start w:val="1"/>
      <w:numFmt w:val="lowerRoman"/>
      <w:lvlText w:val="%3."/>
      <w:lvlJc w:val="right"/>
      <w:pPr>
        <w:tabs>
          <w:tab w:val="num" w:pos="1920"/>
        </w:tabs>
        <w:ind w:left="1920" w:hanging="480"/>
      </w:pPr>
    </w:lvl>
    <w:lvl w:ilvl="3" w:tentative="1">
      <w:start w:val="1"/>
      <w:numFmt w:val="decimal"/>
      <w:lvlText w:val="%4."/>
      <w:lvlJc w:val="left"/>
      <w:pPr>
        <w:tabs>
          <w:tab w:val="num" w:pos="2400"/>
        </w:tabs>
        <w:ind w:left="2400" w:hanging="480"/>
      </w:pPr>
    </w:lvl>
    <w:lvl w:ilvl="4" w:tentative="1">
      <w:start w:val="1"/>
      <w:numFmt w:val="ideographTraditional"/>
      <w:lvlText w:val="%5、"/>
      <w:lvlJc w:val="left"/>
      <w:pPr>
        <w:tabs>
          <w:tab w:val="num" w:pos="2880"/>
        </w:tabs>
        <w:ind w:left="2880" w:hanging="480"/>
      </w:pPr>
    </w:lvl>
    <w:lvl w:ilvl="5" w:tentative="1">
      <w:start w:val="1"/>
      <w:numFmt w:val="lowerRoman"/>
      <w:lvlText w:val="%6."/>
      <w:lvlJc w:val="right"/>
      <w:pPr>
        <w:tabs>
          <w:tab w:val="num" w:pos="3360"/>
        </w:tabs>
        <w:ind w:left="3360" w:hanging="480"/>
      </w:pPr>
    </w:lvl>
    <w:lvl w:ilvl="6" w:tentative="1">
      <w:start w:val="1"/>
      <w:numFmt w:val="decimal"/>
      <w:lvlText w:val="%7."/>
      <w:lvlJc w:val="left"/>
      <w:pPr>
        <w:tabs>
          <w:tab w:val="num" w:pos="3840"/>
        </w:tabs>
        <w:ind w:left="3840" w:hanging="480"/>
      </w:pPr>
    </w:lvl>
    <w:lvl w:ilvl="7" w:tentative="1">
      <w:start w:val="1"/>
      <w:numFmt w:val="ideographTraditional"/>
      <w:lvlText w:val="%8、"/>
      <w:lvlJc w:val="left"/>
      <w:pPr>
        <w:tabs>
          <w:tab w:val="num" w:pos="4320"/>
        </w:tabs>
        <w:ind w:left="4320" w:hanging="480"/>
      </w:pPr>
    </w:lvl>
    <w:lvl w:ilvl="8" w:tentative="1">
      <w:start w:val="1"/>
      <w:numFmt w:val="lowerRoman"/>
      <w:lvlText w:val="%9."/>
      <w:lvlJc w:val="right"/>
      <w:pPr>
        <w:tabs>
          <w:tab w:val="num" w:pos="4800"/>
        </w:tabs>
        <w:ind w:left="4800" w:hanging="480"/>
      </w:pPr>
    </w:lvl>
  </w:abstractNum>
  <w:abstractNum w:abstractNumId="146">
    <w:nsid w:val="2F8E1299"/>
    <w:multiLevelType w:val="hybridMultilevel"/>
    <w:tmpl w:val="73AC027A"/>
    <w:lvl w:ilvl="0" w:tplc="084CC7B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nsid w:val="2FFC14BB"/>
    <w:multiLevelType w:val="hybridMultilevel"/>
    <w:tmpl w:val="100E53B0"/>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nsid w:val="3058602F"/>
    <w:multiLevelType w:val="singleLevel"/>
    <w:tmpl w:val="0409000F"/>
    <w:lvl w:ilvl="0">
      <w:start w:val="65"/>
      <w:numFmt w:val="decimal"/>
      <w:lvlText w:val="%1."/>
      <w:lvlJc w:val="left"/>
      <w:pPr>
        <w:tabs>
          <w:tab w:val="num" w:pos="360"/>
        </w:tabs>
        <w:ind w:left="360" w:hanging="360"/>
      </w:pPr>
      <w:rPr>
        <w:rFonts w:hint="default"/>
      </w:rPr>
    </w:lvl>
  </w:abstractNum>
  <w:abstractNum w:abstractNumId="149">
    <w:nsid w:val="309E4824"/>
    <w:multiLevelType w:val="hybridMultilevel"/>
    <w:tmpl w:val="C562D7B6"/>
    <w:lvl w:ilvl="0" w:tplc="3E34A322">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nsid w:val="30D50BFF"/>
    <w:multiLevelType w:val="hybridMultilevel"/>
    <w:tmpl w:val="BD90E90A"/>
    <w:lvl w:ilvl="0" w:tplc="DD164028">
      <w:start w:val="1"/>
      <w:numFmt w:val="lowerLetter"/>
      <w:lvlText w:val="(%1)"/>
      <w:lvlJc w:val="left"/>
      <w:pPr>
        <w:tabs>
          <w:tab w:val="num" w:pos="960"/>
        </w:tabs>
        <w:ind w:left="960" w:hanging="45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1">
    <w:nsid w:val="32772B83"/>
    <w:multiLevelType w:val="hybridMultilevel"/>
    <w:tmpl w:val="121AEEC2"/>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153">
    <w:nsid w:val="33533A03"/>
    <w:multiLevelType w:val="hybridMultilevel"/>
    <w:tmpl w:val="875C6BFE"/>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155">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156">
    <w:nsid w:val="35385784"/>
    <w:multiLevelType w:val="hybridMultilevel"/>
    <w:tmpl w:val="6D42E4DA"/>
    <w:lvl w:ilvl="0" w:tplc="B320558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7">
    <w:nsid w:val="35AD7F13"/>
    <w:multiLevelType w:val="singleLevel"/>
    <w:tmpl w:val="9E9EB2D8"/>
    <w:lvl w:ilvl="0">
      <w:start w:val="539"/>
      <w:numFmt w:val="decimal"/>
      <w:lvlText w:val="%1."/>
      <w:lvlJc w:val="left"/>
      <w:pPr>
        <w:tabs>
          <w:tab w:val="num" w:pos="510"/>
        </w:tabs>
        <w:ind w:left="510" w:hanging="510"/>
      </w:pPr>
      <w:rPr>
        <w:rFonts w:hint="default"/>
      </w:rPr>
    </w:lvl>
  </w:abstractNum>
  <w:abstractNum w:abstractNumId="15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9">
    <w:nsid w:val="37590DDF"/>
    <w:multiLevelType w:val="hybridMultilevel"/>
    <w:tmpl w:val="75FA6984"/>
    <w:lvl w:ilvl="0" w:tplc="3F1EED62">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nsid w:val="382C2A6A"/>
    <w:multiLevelType w:val="singleLevel"/>
    <w:tmpl w:val="C0C022BA"/>
    <w:lvl w:ilvl="0">
      <w:start w:val="1"/>
      <w:numFmt w:val="lowerLetter"/>
      <w:lvlText w:val="(%1)"/>
      <w:legacy w:legacy="1" w:legacySpace="0" w:legacyIndent="425"/>
      <w:lvlJc w:val="left"/>
      <w:pPr>
        <w:ind w:left="1446" w:hanging="425"/>
      </w:pPr>
    </w:lvl>
  </w:abstractNum>
  <w:abstractNum w:abstractNumId="161">
    <w:nsid w:val="38FE29D3"/>
    <w:multiLevelType w:val="hybridMultilevel"/>
    <w:tmpl w:val="B0C2920A"/>
    <w:lvl w:ilvl="0" w:tplc="DC0661D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2">
    <w:nsid w:val="39436D2E"/>
    <w:multiLevelType w:val="hybridMultilevel"/>
    <w:tmpl w:val="B032EF1E"/>
    <w:lvl w:ilvl="0" w:tplc="941A50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164">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6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166">
    <w:nsid w:val="3AD127AC"/>
    <w:multiLevelType w:val="singleLevel"/>
    <w:tmpl w:val="700604DE"/>
    <w:lvl w:ilvl="0">
      <w:start w:val="573"/>
      <w:numFmt w:val="decimal"/>
      <w:lvlText w:val="%1."/>
      <w:lvlJc w:val="left"/>
      <w:pPr>
        <w:tabs>
          <w:tab w:val="num" w:pos="480"/>
        </w:tabs>
        <w:ind w:left="480" w:hanging="480"/>
      </w:pPr>
      <w:rPr>
        <w:rFonts w:hint="default"/>
      </w:rPr>
    </w:lvl>
  </w:abstractNum>
  <w:abstractNum w:abstractNumId="167">
    <w:nsid w:val="3B30500E"/>
    <w:multiLevelType w:val="singleLevel"/>
    <w:tmpl w:val="F7D8DE74"/>
    <w:lvl w:ilvl="0">
      <w:start w:val="201"/>
      <w:numFmt w:val="decimal"/>
      <w:lvlText w:val="%1."/>
      <w:lvlJc w:val="left"/>
      <w:pPr>
        <w:tabs>
          <w:tab w:val="num" w:pos="600"/>
        </w:tabs>
        <w:ind w:left="600" w:hanging="600"/>
      </w:pPr>
      <w:rPr>
        <w:rFonts w:hint="default"/>
      </w:rPr>
    </w:lvl>
  </w:abstractNum>
  <w:abstractNum w:abstractNumId="168">
    <w:nsid w:val="3B4C2457"/>
    <w:multiLevelType w:val="hybridMultilevel"/>
    <w:tmpl w:val="8DD83FC4"/>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9">
    <w:nsid w:val="3CAB2235"/>
    <w:multiLevelType w:val="hybridMultilevel"/>
    <w:tmpl w:val="18FA70EA"/>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nsid w:val="3D3430C2"/>
    <w:multiLevelType w:val="hybridMultilevel"/>
    <w:tmpl w:val="60285E6A"/>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172">
    <w:nsid w:val="3D4674B0"/>
    <w:multiLevelType w:val="hybridMultilevel"/>
    <w:tmpl w:val="86A27A06"/>
    <w:lvl w:ilvl="0" w:tplc="941A50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nsid w:val="3D5347F3"/>
    <w:multiLevelType w:val="hybridMultilevel"/>
    <w:tmpl w:val="F40C1FB6"/>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5">
    <w:nsid w:val="3DFF26CF"/>
    <w:multiLevelType w:val="hybridMultilevel"/>
    <w:tmpl w:val="4274C1E6"/>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34C01216">
      <w:start w:val="1"/>
      <w:numFmt w:val="lowerLetter"/>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nsid w:val="3E8955E9"/>
    <w:multiLevelType w:val="hybridMultilevel"/>
    <w:tmpl w:val="752A55E2"/>
    <w:lvl w:ilvl="0" w:tplc="6A1E969C">
      <w:start w:val="1"/>
      <w:numFmt w:val="lowerLetter"/>
      <w:lvlText w:val="(%1)"/>
      <w:lvlJc w:val="left"/>
      <w:pPr>
        <w:tabs>
          <w:tab w:val="num" w:pos="960"/>
        </w:tabs>
        <w:ind w:left="960" w:hanging="45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77">
    <w:nsid w:val="3EEB065C"/>
    <w:multiLevelType w:val="hybridMultilevel"/>
    <w:tmpl w:val="F2AC504A"/>
    <w:lvl w:ilvl="0" w:tplc="941A507C">
      <w:start w:val="1"/>
      <w:numFmt w:val="lowerLetter"/>
      <w:lvlRestart w:val="0"/>
      <w:lvlText w:val="(%1)"/>
      <w:lvlJc w:val="right"/>
      <w:pPr>
        <w:tabs>
          <w:tab w:val="num" w:pos="1531"/>
        </w:tabs>
        <w:ind w:left="1531" w:hanging="227"/>
      </w:pPr>
      <w:rPr>
        <w:rFonts w:ascii="Times New Roman" w:hAnsi="Times New Roman"/>
        <w:b w:val="0"/>
        <w:i w:val="0"/>
        <w:sz w:val="24"/>
      </w:rPr>
    </w:lvl>
    <w:lvl w:ilvl="1" w:tplc="B89A6224">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nsid w:val="3F7828C1"/>
    <w:multiLevelType w:val="hybridMultilevel"/>
    <w:tmpl w:val="766EDCF4"/>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
    <w:nsid w:val="3F932B37"/>
    <w:multiLevelType w:val="hybridMultilevel"/>
    <w:tmpl w:val="470890CE"/>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181">
    <w:nsid w:val="41203552"/>
    <w:multiLevelType w:val="hybridMultilevel"/>
    <w:tmpl w:val="96D849D4"/>
    <w:lvl w:ilvl="0" w:tplc="FFFFFFFF">
      <w:start w:val="114"/>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2">
    <w:nsid w:val="41662E14"/>
    <w:multiLevelType w:val="hybridMultilevel"/>
    <w:tmpl w:val="2D84A096"/>
    <w:lvl w:ilvl="0" w:tplc="FFFFFFFF">
      <w:start w:val="2"/>
      <w:numFmt w:val="lowerLetter"/>
      <w:lvlText w:val="(%1)"/>
      <w:lvlJc w:val="left"/>
      <w:pPr>
        <w:tabs>
          <w:tab w:val="num" w:pos="1040"/>
        </w:tabs>
        <w:ind w:left="1040" w:hanging="360"/>
      </w:pPr>
      <w:rPr>
        <w:rFonts w:hint="default"/>
      </w:rPr>
    </w:lvl>
    <w:lvl w:ilvl="1" w:tplc="FFFFFFFF">
      <w:start w:val="1"/>
      <w:numFmt w:val="lowerLetter"/>
      <w:lvlText w:val="%2."/>
      <w:lvlJc w:val="left"/>
      <w:pPr>
        <w:tabs>
          <w:tab w:val="num" w:pos="1760"/>
        </w:tabs>
        <w:ind w:left="1760" w:hanging="360"/>
      </w:pPr>
    </w:lvl>
    <w:lvl w:ilvl="2" w:tplc="FFFFFFFF" w:tentative="1">
      <w:start w:val="1"/>
      <w:numFmt w:val="lowerRoman"/>
      <w:lvlText w:val="%3."/>
      <w:lvlJc w:val="right"/>
      <w:pPr>
        <w:tabs>
          <w:tab w:val="num" w:pos="2480"/>
        </w:tabs>
        <w:ind w:left="2480" w:hanging="180"/>
      </w:pPr>
    </w:lvl>
    <w:lvl w:ilvl="3" w:tplc="FFFFFFFF" w:tentative="1">
      <w:start w:val="1"/>
      <w:numFmt w:val="decimal"/>
      <w:lvlText w:val="%4."/>
      <w:lvlJc w:val="left"/>
      <w:pPr>
        <w:tabs>
          <w:tab w:val="num" w:pos="3200"/>
        </w:tabs>
        <w:ind w:left="3200" w:hanging="360"/>
      </w:pPr>
    </w:lvl>
    <w:lvl w:ilvl="4" w:tplc="FFFFFFFF" w:tentative="1">
      <w:start w:val="1"/>
      <w:numFmt w:val="lowerLetter"/>
      <w:lvlText w:val="%5."/>
      <w:lvlJc w:val="left"/>
      <w:pPr>
        <w:tabs>
          <w:tab w:val="num" w:pos="3920"/>
        </w:tabs>
        <w:ind w:left="3920" w:hanging="360"/>
      </w:pPr>
    </w:lvl>
    <w:lvl w:ilvl="5" w:tplc="FFFFFFFF" w:tentative="1">
      <w:start w:val="1"/>
      <w:numFmt w:val="lowerRoman"/>
      <w:lvlText w:val="%6."/>
      <w:lvlJc w:val="right"/>
      <w:pPr>
        <w:tabs>
          <w:tab w:val="num" w:pos="4640"/>
        </w:tabs>
        <w:ind w:left="4640" w:hanging="180"/>
      </w:pPr>
    </w:lvl>
    <w:lvl w:ilvl="6" w:tplc="FFFFFFFF" w:tentative="1">
      <w:start w:val="1"/>
      <w:numFmt w:val="decimal"/>
      <w:lvlText w:val="%7."/>
      <w:lvlJc w:val="left"/>
      <w:pPr>
        <w:tabs>
          <w:tab w:val="num" w:pos="5360"/>
        </w:tabs>
        <w:ind w:left="5360" w:hanging="360"/>
      </w:pPr>
    </w:lvl>
    <w:lvl w:ilvl="7" w:tplc="FFFFFFFF" w:tentative="1">
      <w:start w:val="1"/>
      <w:numFmt w:val="lowerLetter"/>
      <w:lvlText w:val="%8."/>
      <w:lvlJc w:val="left"/>
      <w:pPr>
        <w:tabs>
          <w:tab w:val="num" w:pos="6080"/>
        </w:tabs>
        <w:ind w:left="6080" w:hanging="360"/>
      </w:pPr>
    </w:lvl>
    <w:lvl w:ilvl="8" w:tplc="FFFFFFFF" w:tentative="1">
      <w:start w:val="1"/>
      <w:numFmt w:val="lowerRoman"/>
      <w:lvlText w:val="%9."/>
      <w:lvlJc w:val="right"/>
      <w:pPr>
        <w:tabs>
          <w:tab w:val="num" w:pos="6800"/>
        </w:tabs>
        <w:ind w:left="6800" w:hanging="180"/>
      </w:pPr>
    </w:lvl>
  </w:abstractNum>
  <w:abstractNum w:abstractNumId="183">
    <w:nsid w:val="42A85D33"/>
    <w:multiLevelType w:val="singleLevel"/>
    <w:tmpl w:val="56349B0E"/>
    <w:lvl w:ilvl="0">
      <w:start w:val="1"/>
      <w:numFmt w:val="lowerLetter"/>
      <w:lvlText w:val="%1)"/>
      <w:lvlJc w:val="left"/>
      <w:pPr>
        <w:tabs>
          <w:tab w:val="num" w:pos="1080"/>
        </w:tabs>
        <w:ind w:left="1080" w:hanging="360"/>
      </w:pPr>
      <w:rPr>
        <w:rFonts w:hint="default"/>
      </w:rPr>
    </w:lvl>
  </w:abstractNum>
  <w:abstractNum w:abstractNumId="184">
    <w:nsid w:val="43277ED2"/>
    <w:multiLevelType w:val="multilevel"/>
    <w:tmpl w:val="3FBC83AC"/>
    <w:lvl w:ilvl="0">
      <w:start w:val="4"/>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5">
    <w:nsid w:val="434B4E30"/>
    <w:multiLevelType w:val="hybridMultilevel"/>
    <w:tmpl w:val="BA04BC62"/>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187">
    <w:nsid w:val="439A1AA8"/>
    <w:multiLevelType w:val="hybridMultilevel"/>
    <w:tmpl w:val="3A6A4DEE"/>
    <w:lvl w:ilvl="0" w:tplc="FFFFFFFF">
      <w:start w:val="143"/>
      <w:numFmt w:val="decimal"/>
      <w:lvlText w:val="%1."/>
      <w:lvlJc w:val="left"/>
      <w:pPr>
        <w:tabs>
          <w:tab w:val="num" w:pos="960"/>
        </w:tabs>
        <w:ind w:left="960" w:hanging="6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8">
    <w:nsid w:val="43DA5494"/>
    <w:multiLevelType w:val="singleLevel"/>
    <w:tmpl w:val="12141048"/>
    <w:lvl w:ilvl="0">
      <w:start w:val="228"/>
      <w:numFmt w:val="decimal"/>
      <w:lvlText w:val="%1."/>
      <w:lvlJc w:val="left"/>
      <w:pPr>
        <w:tabs>
          <w:tab w:val="num" w:pos="645"/>
        </w:tabs>
        <w:ind w:left="645" w:hanging="645"/>
      </w:pPr>
      <w:rPr>
        <w:rFonts w:hint="default"/>
      </w:rPr>
    </w:lvl>
  </w:abstractNum>
  <w:abstractNum w:abstractNumId="189">
    <w:nsid w:val="444F3A6A"/>
    <w:multiLevelType w:val="hybridMultilevel"/>
    <w:tmpl w:val="7D90614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nsid w:val="44A06492"/>
    <w:multiLevelType w:val="hybridMultilevel"/>
    <w:tmpl w:val="0FE04A98"/>
    <w:lvl w:ilvl="0" w:tplc="FFFFFFFF">
      <w:start w:val="201"/>
      <w:numFmt w:val="decimal"/>
      <w:lvlText w:val="%1."/>
      <w:lvlJc w:val="left"/>
      <w:pPr>
        <w:tabs>
          <w:tab w:val="num" w:pos="900"/>
        </w:tabs>
        <w:ind w:left="900" w:hanging="5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nsid w:val="450757E8"/>
    <w:multiLevelType w:val="singleLevel"/>
    <w:tmpl w:val="5FD4C122"/>
    <w:lvl w:ilvl="0">
      <w:start w:val="223"/>
      <w:numFmt w:val="decimal"/>
      <w:lvlText w:val="%1."/>
      <w:lvlJc w:val="left"/>
      <w:pPr>
        <w:tabs>
          <w:tab w:val="num" w:pos="419"/>
        </w:tabs>
        <w:ind w:left="419" w:hanging="419"/>
      </w:pPr>
      <w:rPr>
        <w:rFonts w:hint="default"/>
      </w:rPr>
    </w:lvl>
  </w:abstractNum>
  <w:abstractNum w:abstractNumId="192">
    <w:nsid w:val="451E629E"/>
    <w:multiLevelType w:val="hybridMultilevel"/>
    <w:tmpl w:val="B64ADA80"/>
    <w:lvl w:ilvl="0" w:tplc="1BE8F1E0">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nsid w:val="45AC09AC"/>
    <w:multiLevelType w:val="hybridMultilevel"/>
    <w:tmpl w:val="8B105FCE"/>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
    <w:nsid w:val="45C258C0"/>
    <w:multiLevelType w:val="hybridMultilevel"/>
    <w:tmpl w:val="576C32FE"/>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AE989206">
      <w:start w:val="1"/>
      <w:numFmt w:val="lowerLetter"/>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nsid w:val="46557982"/>
    <w:multiLevelType w:val="hybridMultilevel"/>
    <w:tmpl w:val="A94666C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9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8">
    <w:nsid w:val="47D91407"/>
    <w:multiLevelType w:val="hybridMultilevel"/>
    <w:tmpl w:val="FA36A922"/>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nsid w:val="48145869"/>
    <w:multiLevelType w:val="singleLevel"/>
    <w:tmpl w:val="F7BCAD1E"/>
    <w:lvl w:ilvl="0">
      <w:start w:val="1"/>
      <w:numFmt w:val="lowerLetter"/>
      <w:lvlText w:val="%1)"/>
      <w:lvlJc w:val="left"/>
      <w:pPr>
        <w:tabs>
          <w:tab w:val="num" w:pos="1080"/>
        </w:tabs>
        <w:ind w:left="1080" w:hanging="360"/>
      </w:pPr>
      <w:rPr>
        <w:rFonts w:hint="default"/>
      </w:rPr>
    </w:lvl>
  </w:abstractNum>
  <w:abstractNum w:abstractNumId="20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1">
    <w:nsid w:val="48BA5E3A"/>
    <w:multiLevelType w:val="hybridMultilevel"/>
    <w:tmpl w:val="D8608A4E"/>
    <w:lvl w:ilvl="0" w:tplc="2102AE44">
      <w:start w:val="806"/>
      <w:numFmt w:val="decimal"/>
      <w:lvlText w:val="%1."/>
      <w:lvlJc w:val="left"/>
      <w:pPr>
        <w:tabs>
          <w:tab w:val="num" w:pos="1530"/>
        </w:tabs>
        <w:ind w:left="1530" w:hanging="10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02">
    <w:nsid w:val="48CD234F"/>
    <w:multiLevelType w:val="hybridMultilevel"/>
    <w:tmpl w:val="975C1FE0"/>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nsid w:val="48F769CB"/>
    <w:multiLevelType w:val="hybridMultilevel"/>
    <w:tmpl w:val="AFA84598"/>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nsid w:val="494F1F1B"/>
    <w:multiLevelType w:val="hybridMultilevel"/>
    <w:tmpl w:val="EFD678A4"/>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nsid w:val="496F5EE8"/>
    <w:multiLevelType w:val="hybridMultilevel"/>
    <w:tmpl w:val="BABA0A70"/>
    <w:lvl w:ilvl="0" w:tplc="26921C0E">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7">
    <w:nsid w:val="49F50D5B"/>
    <w:multiLevelType w:val="hybridMultilevel"/>
    <w:tmpl w:val="1D78E9CC"/>
    <w:lvl w:ilvl="0" w:tplc="2CD2BE50">
      <w:start w:val="1"/>
      <w:numFmt w:val="lowerLetter"/>
      <w:lvlRestart w:val="0"/>
      <w:lvlText w:val="(%1)"/>
      <w:lvlJc w:val="right"/>
      <w:pPr>
        <w:tabs>
          <w:tab w:val="num" w:pos="2241"/>
        </w:tabs>
        <w:ind w:left="2241" w:hanging="227"/>
      </w:pPr>
      <w:rPr>
        <w:rFonts w:ascii="Times New Roman" w:hAnsi="Times New Roman"/>
        <w:b w:val="0"/>
        <w:i w:val="0"/>
        <w:sz w:val="24"/>
      </w:rPr>
    </w:lvl>
    <w:lvl w:ilvl="1" w:tplc="04090019">
      <w:start w:val="1"/>
      <w:numFmt w:val="ideographTraditional"/>
      <w:lvlText w:val="%2、"/>
      <w:lvlJc w:val="left"/>
      <w:pPr>
        <w:tabs>
          <w:tab w:val="num" w:pos="1670"/>
        </w:tabs>
        <w:ind w:left="1670" w:hanging="480"/>
      </w:pPr>
    </w:lvl>
    <w:lvl w:ilvl="2" w:tplc="0409001B" w:tentative="1">
      <w:start w:val="1"/>
      <w:numFmt w:val="lowerRoman"/>
      <w:lvlText w:val="%3."/>
      <w:lvlJc w:val="right"/>
      <w:pPr>
        <w:tabs>
          <w:tab w:val="num" w:pos="2150"/>
        </w:tabs>
        <w:ind w:left="2150" w:hanging="480"/>
      </w:pPr>
    </w:lvl>
    <w:lvl w:ilvl="3" w:tplc="0409000F" w:tentative="1">
      <w:start w:val="1"/>
      <w:numFmt w:val="decimal"/>
      <w:lvlText w:val="%4."/>
      <w:lvlJc w:val="left"/>
      <w:pPr>
        <w:tabs>
          <w:tab w:val="num" w:pos="2630"/>
        </w:tabs>
        <w:ind w:left="2630" w:hanging="480"/>
      </w:pPr>
    </w:lvl>
    <w:lvl w:ilvl="4" w:tplc="04090019" w:tentative="1">
      <w:start w:val="1"/>
      <w:numFmt w:val="ideographTraditional"/>
      <w:lvlText w:val="%5、"/>
      <w:lvlJc w:val="left"/>
      <w:pPr>
        <w:tabs>
          <w:tab w:val="num" w:pos="3110"/>
        </w:tabs>
        <w:ind w:left="3110" w:hanging="480"/>
      </w:pPr>
    </w:lvl>
    <w:lvl w:ilvl="5" w:tplc="0409001B" w:tentative="1">
      <w:start w:val="1"/>
      <w:numFmt w:val="lowerRoman"/>
      <w:lvlText w:val="%6."/>
      <w:lvlJc w:val="right"/>
      <w:pPr>
        <w:tabs>
          <w:tab w:val="num" w:pos="3590"/>
        </w:tabs>
        <w:ind w:left="3590" w:hanging="480"/>
      </w:pPr>
    </w:lvl>
    <w:lvl w:ilvl="6" w:tplc="0409000F" w:tentative="1">
      <w:start w:val="1"/>
      <w:numFmt w:val="decimal"/>
      <w:lvlText w:val="%7."/>
      <w:lvlJc w:val="left"/>
      <w:pPr>
        <w:tabs>
          <w:tab w:val="num" w:pos="4070"/>
        </w:tabs>
        <w:ind w:left="4070" w:hanging="480"/>
      </w:pPr>
    </w:lvl>
    <w:lvl w:ilvl="7" w:tplc="04090019" w:tentative="1">
      <w:start w:val="1"/>
      <w:numFmt w:val="ideographTraditional"/>
      <w:lvlText w:val="%8、"/>
      <w:lvlJc w:val="left"/>
      <w:pPr>
        <w:tabs>
          <w:tab w:val="num" w:pos="4550"/>
        </w:tabs>
        <w:ind w:left="4550" w:hanging="480"/>
      </w:pPr>
    </w:lvl>
    <w:lvl w:ilvl="8" w:tplc="0409001B" w:tentative="1">
      <w:start w:val="1"/>
      <w:numFmt w:val="lowerRoman"/>
      <w:lvlText w:val="%9."/>
      <w:lvlJc w:val="right"/>
      <w:pPr>
        <w:tabs>
          <w:tab w:val="num" w:pos="5030"/>
        </w:tabs>
        <w:ind w:left="5030" w:hanging="480"/>
      </w:pPr>
    </w:lvl>
  </w:abstractNum>
  <w:abstractNum w:abstractNumId="208">
    <w:nsid w:val="4A3802B2"/>
    <w:multiLevelType w:val="hybridMultilevel"/>
    <w:tmpl w:val="45985FE6"/>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92E4D900">
      <w:start w:val="145"/>
      <w:numFmt w:val="decimal"/>
      <w:lvlText w:val="%2."/>
      <w:lvlJc w:val="left"/>
      <w:pPr>
        <w:tabs>
          <w:tab w:val="num" w:pos="1230"/>
        </w:tabs>
        <w:ind w:left="1230" w:hanging="75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0">
    <w:nsid w:val="4A94562C"/>
    <w:multiLevelType w:val="hybridMultilevel"/>
    <w:tmpl w:val="33F479C2"/>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1">
    <w:nsid w:val="4CA50F66"/>
    <w:multiLevelType w:val="singleLevel"/>
    <w:tmpl w:val="C8781CCA"/>
    <w:lvl w:ilvl="0">
      <w:start w:val="218"/>
      <w:numFmt w:val="decimal"/>
      <w:lvlText w:val="%1."/>
      <w:lvlJc w:val="left"/>
      <w:pPr>
        <w:tabs>
          <w:tab w:val="num" w:pos="585"/>
        </w:tabs>
        <w:ind w:left="585" w:hanging="585"/>
      </w:pPr>
      <w:rPr>
        <w:rFonts w:hint="default"/>
      </w:rPr>
    </w:lvl>
  </w:abstractNum>
  <w:abstractNum w:abstractNumId="212">
    <w:nsid w:val="4CC96EA6"/>
    <w:multiLevelType w:val="hybridMultilevel"/>
    <w:tmpl w:val="6B6EC6BC"/>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3">
    <w:nsid w:val="4D1B3E87"/>
    <w:multiLevelType w:val="hybridMultilevel"/>
    <w:tmpl w:val="9AE24BFC"/>
    <w:lvl w:ilvl="0" w:tplc="FFFFFFFF">
      <w:start w:val="4"/>
      <w:numFmt w:val="lowerLetter"/>
      <w:lvlText w:val="(%1)"/>
      <w:lvlJc w:val="left"/>
      <w:pPr>
        <w:tabs>
          <w:tab w:val="num" w:pos="720"/>
        </w:tabs>
        <w:ind w:left="720" w:hanging="360"/>
      </w:pPr>
      <w:rPr>
        <w:rFonts w:hint="default"/>
      </w:rPr>
    </w:lvl>
    <w:lvl w:ilvl="1" w:tplc="FFFFFFFF">
      <w:start w:val="81"/>
      <w:numFmt w:val="decimal"/>
      <w:lvlText w:val="%2."/>
      <w:lvlJc w:val="left"/>
      <w:pPr>
        <w:tabs>
          <w:tab w:val="num" w:pos="1575"/>
        </w:tabs>
        <w:ind w:left="1575" w:hanging="495"/>
      </w:pPr>
      <w:rPr>
        <w:rFonts w:hint="default"/>
      </w:rPr>
    </w:lvl>
    <w:lvl w:ilvl="2" w:tplc="FFFFFFFF">
      <w:start w:val="142"/>
      <w:numFmt w:val="decimal"/>
      <w:lvlText w:val="%3"/>
      <w:lvlJc w:val="left"/>
      <w:pPr>
        <w:tabs>
          <w:tab w:val="num" w:pos="2340"/>
        </w:tabs>
        <w:ind w:left="2340" w:hanging="360"/>
      </w:pPr>
      <w:rPr>
        <w:rFonts w:hint="default"/>
        <w:i w: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215">
    <w:nsid w:val="4D6C5B88"/>
    <w:multiLevelType w:val="hybridMultilevel"/>
    <w:tmpl w:val="B6509646"/>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6D5A7ACA">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6">
    <w:nsid w:val="4D9A4802"/>
    <w:multiLevelType w:val="hybridMultilevel"/>
    <w:tmpl w:val="A086BCC8"/>
    <w:lvl w:ilvl="0" w:tplc="F1ECA33C">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7">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218">
    <w:nsid w:val="4E001557"/>
    <w:multiLevelType w:val="multilevel"/>
    <w:tmpl w:val="D82E1068"/>
    <w:lvl w:ilvl="0">
      <w:start w:val="1"/>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19">
    <w:nsid w:val="4E001E7F"/>
    <w:multiLevelType w:val="singleLevel"/>
    <w:tmpl w:val="4C9A41FC"/>
    <w:lvl w:ilvl="0">
      <w:start w:val="591"/>
      <w:numFmt w:val="decimal"/>
      <w:lvlText w:val="%1."/>
      <w:lvlJc w:val="left"/>
      <w:pPr>
        <w:tabs>
          <w:tab w:val="num" w:pos="495"/>
        </w:tabs>
        <w:ind w:left="495" w:hanging="495"/>
      </w:pPr>
      <w:rPr>
        <w:rFonts w:hint="default"/>
      </w:rPr>
    </w:lvl>
  </w:abstractNum>
  <w:abstractNum w:abstractNumId="220">
    <w:nsid w:val="4E66696A"/>
    <w:multiLevelType w:val="hybridMultilevel"/>
    <w:tmpl w:val="6178B788"/>
    <w:lvl w:ilvl="0" w:tplc="09A8EC2E">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21">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222">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3">
    <w:nsid w:val="4F827DB2"/>
    <w:multiLevelType w:val="hybridMultilevel"/>
    <w:tmpl w:val="76CE4916"/>
    <w:lvl w:ilvl="0" w:tplc="FFFFFFFF">
      <w:start w:val="195"/>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4">
    <w:nsid w:val="501034B3"/>
    <w:multiLevelType w:val="hybridMultilevel"/>
    <w:tmpl w:val="D526B0D4"/>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22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27">
    <w:nsid w:val="512835B4"/>
    <w:multiLevelType w:val="singleLevel"/>
    <w:tmpl w:val="DAE65A7C"/>
    <w:lvl w:ilvl="0">
      <w:start w:val="218"/>
      <w:numFmt w:val="decimal"/>
      <w:lvlText w:val="%1."/>
      <w:lvlJc w:val="left"/>
      <w:pPr>
        <w:tabs>
          <w:tab w:val="num" w:pos="419"/>
        </w:tabs>
        <w:ind w:left="419" w:hanging="419"/>
      </w:pPr>
      <w:rPr>
        <w:rFonts w:hint="default"/>
      </w:rPr>
    </w:lvl>
  </w:abstractNum>
  <w:abstractNum w:abstractNumId="228">
    <w:nsid w:val="512C46E0"/>
    <w:multiLevelType w:val="singleLevel"/>
    <w:tmpl w:val="7116BA28"/>
    <w:lvl w:ilvl="0">
      <w:start w:val="219"/>
      <w:numFmt w:val="decimal"/>
      <w:lvlText w:val="%1."/>
      <w:lvlJc w:val="left"/>
      <w:pPr>
        <w:tabs>
          <w:tab w:val="num" w:pos="419"/>
        </w:tabs>
        <w:ind w:left="419" w:hanging="419"/>
      </w:pPr>
      <w:rPr>
        <w:rFonts w:hint="default"/>
      </w:rPr>
    </w:lvl>
  </w:abstractNum>
  <w:abstractNum w:abstractNumId="229">
    <w:nsid w:val="5148038C"/>
    <w:multiLevelType w:val="hybridMultilevel"/>
    <w:tmpl w:val="679E920E"/>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nsid w:val="51782309"/>
    <w:multiLevelType w:val="hybridMultilevel"/>
    <w:tmpl w:val="C88E78E2"/>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EA149668">
      <w:start w:val="1"/>
      <w:numFmt w:val="chineseCountingThousand"/>
      <w:lvlRestart w:val="0"/>
      <w:lvlText w:val="(%2)"/>
      <w:lvlJc w:val="right"/>
      <w:pPr>
        <w:tabs>
          <w:tab w:val="num" w:pos="650"/>
        </w:tabs>
        <w:ind w:left="650" w:hanging="170"/>
      </w:pPr>
      <w:rPr>
        <w:rFonts w:ascii="Times New Roman" w:hAnsi="Times New Roman"/>
        <w:sz w:val="20"/>
      </w:rPr>
    </w:lvl>
    <w:lvl w:ilvl="2" w:tplc="022EE29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232">
    <w:nsid w:val="51863FE9"/>
    <w:multiLevelType w:val="multilevel"/>
    <w:tmpl w:val="E5AEC016"/>
    <w:lvl w:ilvl="0">
      <w:start w:val="52"/>
      <w:numFmt w:val="decimal"/>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3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234">
    <w:nsid w:val="51E91FCB"/>
    <w:multiLevelType w:val="singleLevel"/>
    <w:tmpl w:val="AA30A552"/>
    <w:lvl w:ilvl="0">
      <w:start w:val="1"/>
      <w:numFmt w:val="lowerLetter"/>
      <w:lvlText w:val="%1)"/>
      <w:lvlJc w:val="left"/>
      <w:pPr>
        <w:tabs>
          <w:tab w:val="num" w:pos="1080"/>
        </w:tabs>
        <w:ind w:left="1080" w:hanging="360"/>
      </w:pPr>
      <w:rPr>
        <w:rFonts w:hint="default"/>
      </w:rPr>
    </w:lvl>
  </w:abstractNum>
  <w:abstractNum w:abstractNumId="235">
    <w:nsid w:val="52D33FAE"/>
    <w:multiLevelType w:val="hybridMultilevel"/>
    <w:tmpl w:val="97AC48B0"/>
    <w:lvl w:ilvl="0" w:tplc="FFFFFFFF">
      <w:start w:val="213"/>
      <w:numFmt w:val="decimal"/>
      <w:lvlText w:val="%1."/>
      <w:lvlJc w:val="left"/>
      <w:pPr>
        <w:tabs>
          <w:tab w:val="num" w:pos="975"/>
        </w:tabs>
        <w:ind w:left="975" w:hanging="61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6">
    <w:nsid w:val="536F1BD3"/>
    <w:multiLevelType w:val="hybridMultilevel"/>
    <w:tmpl w:val="10142CF6"/>
    <w:lvl w:ilvl="0" w:tplc="C5829A0A">
      <w:start w:val="1"/>
      <w:numFmt w:val="lowerLetter"/>
      <w:lvlText w:val="(%1)"/>
      <w:lvlJc w:val="left"/>
      <w:pPr>
        <w:tabs>
          <w:tab w:val="num" w:pos="1450"/>
        </w:tabs>
        <w:ind w:left="1450" w:hanging="930"/>
      </w:pPr>
      <w:rPr>
        <w:rFonts w:hint="eastAsia"/>
        <w:b/>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237">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238">
    <w:nsid w:val="565C4CA1"/>
    <w:multiLevelType w:val="singleLevel"/>
    <w:tmpl w:val="E14CC362"/>
    <w:lvl w:ilvl="0">
      <w:start w:val="1"/>
      <w:numFmt w:val="lowerLetter"/>
      <w:lvlText w:val="%1)"/>
      <w:lvlJc w:val="left"/>
      <w:pPr>
        <w:tabs>
          <w:tab w:val="num" w:pos="1080"/>
        </w:tabs>
        <w:ind w:left="1080" w:hanging="360"/>
      </w:pPr>
      <w:rPr>
        <w:rFonts w:hint="default"/>
      </w:rPr>
    </w:lvl>
  </w:abstractNum>
  <w:abstractNum w:abstractNumId="239">
    <w:nsid w:val="56B11558"/>
    <w:multiLevelType w:val="hybridMultilevel"/>
    <w:tmpl w:val="B240C156"/>
    <w:lvl w:ilvl="0" w:tplc="78A28362">
      <w:start w:val="1"/>
      <w:numFmt w:val="taiwaneseCountingThousand"/>
      <w:lvlText w:val="(%1)"/>
      <w:lvlJc w:val="left"/>
      <w:pPr>
        <w:tabs>
          <w:tab w:val="num" w:pos="1740"/>
        </w:tabs>
        <w:ind w:left="1740" w:hanging="123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4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241">
    <w:nsid w:val="57D14068"/>
    <w:multiLevelType w:val="hybridMultilevel"/>
    <w:tmpl w:val="3D2073C2"/>
    <w:lvl w:ilvl="0" w:tplc="C3D8E21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nsid w:val="587960DB"/>
    <w:multiLevelType w:val="singleLevel"/>
    <w:tmpl w:val="1FDCAD5C"/>
    <w:lvl w:ilvl="0">
      <w:start w:val="575"/>
      <w:numFmt w:val="decimal"/>
      <w:lvlText w:val="%1."/>
      <w:lvlJc w:val="left"/>
      <w:pPr>
        <w:tabs>
          <w:tab w:val="num" w:pos="480"/>
        </w:tabs>
        <w:ind w:left="480" w:hanging="480"/>
      </w:pPr>
      <w:rPr>
        <w:rFonts w:hint="default"/>
      </w:rPr>
    </w:lvl>
  </w:abstractNum>
  <w:abstractNum w:abstractNumId="243">
    <w:nsid w:val="59123D68"/>
    <w:multiLevelType w:val="hybridMultilevel"/>
    <w:tmpl w:val="EFDEB186"/>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5">
    <w:nsid w:val="59F67DAD"/>
    <w:multiLevelType w:val="hybridMultilevel"/>
    <w:tmpl w:val="38906C6E"/>
    <w:lvl w:ilvl="0" w:tplc="C1241BD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nsid w:val="5A233743"/>
    <w:multiLevelType w:val="hybridMultilevel"/>
    <w:tmpl w:val="66A2C896"/>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248">
    <w:nsid w:val="5BDC3EA3"/>
    <w:multiLevelType w:val="singleLevel"/>
    <w:tmpl w:val="5D74B1B0"/>
    <w:lvl w:ilvl="0">
      <w:start w:val="1"/>
      <w:numFmt w:val="lowerLetter"/>
      <w:lvlText w:val="%1)"/>
      <w:lvlJc w:val="left"/>
      <w:pPr>
        <w:tabs>
          <w:tab w:val="num" w:pos="1080"/>
        </w:tabs>
        <w:ind w:left="1080" w:hanging="360"/>
      </w:pPr>
      <w:rPr>
        <w:rFonts w:hint="default"/>
      </w:rPr>
    </w:lvl>
  </w:abstractNum>
  <w:abstractNum w:abstractNumId="249">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25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1">
    <w:nsid w:val="5C556142"/>
    <w:multiLevelType w:val="hybridMultilevel"/>
    <w:tmpl w:val="F528AAAE"/>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3">
    <w:nsid w:val="5CEB7308"/>
    <w:multiLevelType w:val="hybridMultilevel"/>
    <w:tmpl w:val="ADA407EA"/>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5">
    <w:nsid w:val="5D72186A"/>
    <w:multiLevelType w:val="hybridMultilevel"/>
    <w:tmpl w:val="B39AAAE8"/>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nsid w:val="5DCE7B45"/>
    <w:multiLevelType w:val="hybridMultilevel"/>
    <w:tmpl w:val="24C26BA6"/>
    <w:lvl w:ilvl="0" w:tplc="FFFFFFFF">
      <w:start w:val="3"/>
      <w:numFmt w:val="lowerLetter"/>
      <w:lvlText w:val="(%1)"/>
      <w:lvlJc w:val="left"/>
      <w:pPr>
        <w:tabs>
          <w:tab w:val="num" w:pos="720"/>
        </w:tabs>
        <w:ind w:left="720" w:hanging="360"/>
      </w:pPr>
      <w:rPr>
        <w:rFonts w:hint="default"/>
      </w:rPr>
    </w:lvl>
    <w:lvl w:ilvl="1" w:tplc="FFFFFFFF">
      <w:start w:val="84"/>
      <w:numFmt w:val="decimal"/>
      <w:lvlText w:val="%2."/>
      <w:lvlJc w:val="left"/>
      <w:pPr>
        <w:tabs>
          <w:tab w:val="num" w:pos="1575"/>
        </w:tabs>
        <w:ind w:left="1575" w:hanging="495"/>
      </w:pPr>
      <w:rPr>
        <w:rFonts w:hint="default"/>
      </w:rPr>
    </w:lvl>
    <w:lvl w:ilvl="2" w:tplc="FFFFFFFF">
      <w:start w:val="143"/>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258">
    <w:nsid w:val="5E3740FD"/>
    <w:multiLevelType w:val="hybridMultilevel"/>
    <w:tmpl w:val="FAD2EB30"/>
    <w:lvl w:ilvl="0" w:tplc="2CD2BE5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nsid w:val="5EE65855"/>
    <w:multiLevelType w:val="hybridMultilevel"/>
    <w:tmpl w:val="A2C86462"/>
    <w:lvl w:ilvl="0" w:tplc="FFFFFFFF">
      <w:start w:val="89"/>
      <w:numFmt w:val="decimal"/>
      <w:lvlText w:val="%1."/>
      <w:lvlJc w:val="left"/>
      <w:pPr>
        <w:tabs>
          <w:tab w:val="num" w:pos="840"/>
        </w:tabs>
        <w:ind w:left="840" w:hanging="48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0">
    <w:nsid w:val="5EFD630B"/>
    <w:multiLevelType w:val="multilevel"/>
    <w:tmpl w:val="FAF04C5E"/>
    <w:lvl w:ilvl="0">
      <w:start w:val="52"/>
      <w:numFmt w:val="decimal"/>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6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262">
    <w:nsid w:val="5FA502B2"/>
    <w:multiLevelType w:val="singleLevel"/>
    <w:tmpl w:val="16146BF2"/>
    <w:lvl w:ilvl="0">
      <w:start w:val="1"/>
      <w:numFmt w:val="lowerLetter"/>
      <w:lvlText w:val="(%1)"/>
      <w:lvlJc w:val="left"/>
      <w:pPr>
        <w:tabs>
          <w:tab w:val="num" w:pos="720"/>
        </w:tabs>
        <w:ind w:left="720" w:hanging="720"/>
      </w:pPr>
      <w:rPr>
        <w:rFonts w:hint="default"/>
      </w:rPr>
    </w:lvl>
  </w:abstractNum>
  <w:abstractNum w:abstractNumId="263">
    <w:nsid w:val="60B12066"/>
    <w:multiLevelType w:val="singleLevel"/>
    <w:tmpl w:val="3AC29542"/>
    <w:lvl w:ilvl="0">
      <w:start w:val="213"/>
      <w:numFmt w:val="decimal"/>
      <w:lvlText w:val="%1."/>
      <w:lvlJc w:val="left"/>
      <w:pPr>
        <w:tabs>
          <w:tab w:val="num" w:pos="600"/>
        </w:tabs>
        <w:ind w:left="600" w:hanging="600"/>
      </w:pPr>
      <w:rPr>
        <w:rFonts w:hint="default"/>
      </w:rPr>
    </w:lvl>
  </w:abstractNum>
  <w:abstractNum w:abstractNumId="264">
    <w:nsid w:val="60B13BDA"/>
    <w:multiLevelType w:val="hybridMultilevel"/>
    <w:tmpl w:val="CA2C732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5">
    <w:nsid w:val="625B06D9"/>
    <w:multiLevelType w:val="multilevel"/>
    <w:tmpl w:val="B7EEADAA"/>
    <w:lvl w:ilvl="0">
      <w:start w:val="1"/>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66">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7">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268">
    <w:nsid w:val="62965F80"/>
    <w:multiLevelType w:val="singleLevel"/>
    <w:tmpl w:val="DBBA0734"/>
    <w:lvl w:ilvl="0">
      <w:start w:val="1"/>
      <w:numFmt w:val="lowerLetter"/>
      <w:lvlText w:val="%1)"/>
      <w:lvlJc w:val="left"/>
      <w:pPr>
        <w:tabs>
          <w:tab w:val="num" w:pos="1080"/>
        </w:tabs>
        <w:ind w:left="1080" w:hanging="360"/>
      </w:pPr>
      <w:rPr>
        <w:rFonts w:hint="default"/>
      </w:rPr>
    </w:lvl>
  </w:abstractNum>
  <w:abstractNum w:abstractNumId="269">
    <w:nsid w:val="62A81FC9"/>
    <w:multiLevelType w:val="hybridMultilevel"/>
    <w:tmpl w:val="50B23D14"/>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271">
    <w:nsid w:val="64B36781"/>
    <w:multiLevelType w:val="hybridMultilevel"/>
    <w:tmpl w:val="00948418"/>
    <w:lvl w:ilvl="0" w:tplc="498275A2">
      <w:start w:val="1"/>
      <w:numFmt w:val="lowerLetter"/>
      <w:lvlRestart w:val="0"/>
      <w:lvlText w:val="(%1)"/>
      <w:lvlJc w:val="right"/>
      <w:pPr>
        <w:tabs>
          <w:tab w:val="num" w:pos="1247"/>
        </w:tabs>
        <w:ind w:left="1247" w:hanging="227"/>
      </w:pPr>
      <w:rPr>
        <w:rFonts w:ascii="Times New Roman" w:hAnsi="Times New Roman"/>
        <w:b w:val="0"/>
        <w:i w:val="0"/>
        <w:sz w:val="24"/>
      </w:rPr>
    </w:lvl>
    <w:lvl w:ilvl="1" w:tplc="04090019" w:tentative="1">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272">
    <w:nsid w:val="64BF4773"/>
    <w:multiLevelType w:val="multilevel"/>
    <w:tmpl w:val="9EBAB814"/>
    <w:lvl w:ilvl="0">
      <w:start w:val="4"/>
      <w:numFmt w:val="lowerLetter"/>
      <w:lvlText w:val="(%1)"/>
      <w:lvlJc w:val="left"/>
      <w:pPr>
        <w:tabs>
          <w:tab w:val="num" w:pos="360"/>
        </w:tabs>
        <w:ind w:left="36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73">
    <w:nsid w:val="66E654C7"/>
    <w:multiLevelType w:val="hybridMultilevel"/>
    <w:tmpl w:val="620CC13C"/>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4">
    <w:nsid w:val="671B52D8"/>
    <w:multiLevelType w:val="hybridMultilevel"/>
    <w:tmpl w:val="D5802A76"/>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27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278">
    <w:nsid w:val="69CD21D6"/>
    <w:multiLevelType w:val="hybridMultilevel"/>
    <w:tmpl w:val="76F41344"/>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280">
    <w:nsid w:val="6A2C709E"/>
    <w:multiLevelType w:val="hybridMultilevel"/>
    <w:tmpl w:val="44500DE4"/>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1">
    <w:nsid w:val="6AB324EE"/>
    <w:multiLevelType w:val="singleLevel"/>
    <w:tmpl w:val="071E8376"/>
    <w:lvl w:ilvl="0">
      <w:start w:val="217"/>
      <w:numFmt w:val="decimal"/>
      <w:lvlText w:val="%1."/>
      <w:lvlJc w:val="left"/>
      <w:pPr>
        <w:tabs>
          <w:tab w:val="num" w:pos="645"/>
        </w:tabs>
        <w:ind w:left="645" w:hanging="645"/>
      </w:pPr>
      <w:rPr>
        <w:rFonts w:hint="default"/>
      </w:rPr>
    </w:lvl>
  </w:abstractNum>
  <w:abstractNum w:abstractNumId="282">
    <w:nsid w:val="6AD96605"/>
    <w:multiLevelType w:val="hybridMultilevel"/>
    <w:tmpl w:val="1DB2AE5A"/>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nsid w:val="6AE8243F"/>
    <w:multiLevelType w:val="singleLevel"/>
    <w:tmpl w:val="872AC2CC"/>
    <w:lvl w:ilvl="0">
      <w:start w:val="4"/>
      <w:numFmt w:val="lowerLetter"/>
      <w:lvlText w:val="(%1)"/>
      <w:lvlJc w:val="left"/>
      <w:pPr>
        <w:tabs>
          <w:tab w:val="num" w:pos="1020"/>
        </w:tabs>
        <w:ind w:left="1020" w:hanging="510"/>
      </w:pPr>
      <w:rPr>
        <w:rFonts w:hint="default"/>
      </w:rPr>
    </w:lvl>
  </w:abstractNum>
  <w:abstractNum w:abstractNumId="284">
    <w:nsid w:val="6BB5599C"/>
    <w:multiLevelType w:val="singleLevel"/>
    <w:tmpl w:val="133EA2C4"/>
    <w:lvl w:ilvl="0">
      <w:start w:val="1"/>
      <w:numFmt w:val="lowerLetter"/>
      <w:lvlText w:val="%1)"/>
      <w:lvlJc w:val="left"/>
      <w:pPr>
        <w:tabs>
          <w:tab w:val="num" w:pos="1080"/>
        </w:tabs>
        <w:ind w:left="1080" w:hanging="360"/>
      </w:pPr>
      <w:rPr>
        <w:rFonts w:hint="default"/>
      </w:rPr>
    </w:lvl>
  </w:abstractNum>
  <w:abstractNum w:abstractNumId="285">
    <w:nsid w:val="6C0538FC"/>
    <w:multiLevelType w:val="hybridMultilevel"/>
    <w:tmpl w:val="A54A94EE"/>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7">
    <w:nsid w:val="6CA12A1C"/>
    <w:multiLevelType w:val="hybridMultilevel"/>
    <w:tmpl w:val="44C470DE"/>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8">
    <w:nsid w:val="6CD73162"/>
    <w:multiLevelType w:val="singleLevel"/>
    <w:tmpl w:val="90EE602E"/>
    <w:lvl w:ilvl="0">
      <w:start w:val="230"/>
      <w:numFmt w:val="decimal"/>
      <w:lvlText w:val="%1."/>
      <w:lvlJc w:val="left"/>
      <w:pPr>
        <w:tabs>
          <w:tab w:val="num" w:pos="600"/>
        </w:tabs>
        <w:ind w:left="600" w:hanging="600"/>
      </w:pPr>
      <w:rPr>
        <w:rFonts w:hint="default"/>
      </w:rPr>
    </w:lvl>
  </w:abstractNum>
  <w:abstractNum w:abstractNumId="289">
    <w:nsid w:val="6CE136BA"/>
    <w:multiLevelType w:val="hybridMultilevel"/>
    <w:tmpl w:val="564890FE"/>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nsid w:val="6CEE34A0"/>
    <w:multiLevelType w:val="singleLevel"/>
    <w:tmpl w:val="428A3744"/>
    <w:lvl w:ilvl="0">
      <w:start w:val="227"/>
      <w:numFmt w:val="decimal"/>
      <w:lvlText w:val="%1."/>
      <w:lvlJc w:val="left"/>
      <w:pPr>
        <w:tabs>
          <w:tab w:val="num" w:pos="600"/>
        </w:tabs>
        <w:ind w:left="600" w:hanging="600"/>
      </w:pPr>
      <w:rPr>
        <w:rFonts w:hint="default"/>
      </w:rPr>
    </w:lvl>
  </w:abstractNum>
  <w:abstractNum w:abstractNumId="291">
    <w:nsid w:val="6CFD75DC"/>
    <w:multiLevelType w:val="singleLevel"/>
    <w:tmpl w:val="9B06BF58"/>
    <w:lvl w:ilvl="0">
      <w:start w:val="217"/>
      <w:numFmt w:val="decimal"/>
      <w:lvlText w:val="%1."/>
      <w:lvlJc w:val="left"/>
      <w:pPr>
        <w:tabs>
          <w:tab w:val="num" w:pos="419"/>
        </w:tabs>
        <w:ind w:left="419" w:hanging="419"/>
      </w:pPr>
      <w:rPr>
        <w:rFonts w:hint="default"/>
      </w:rPr>
    </w:lvl>
  </w:abstractNum>
  <w:abstractNum w:abstractNumId="292">
    <w:nsid w:val="6DB459D7"/>
    <w:multiLevelType w:val="hybridMultilevel"/>
    <w:tmpl w:val="BF4A02C6"/>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nsid w:val="6DF80D4B"/>
    <w:multiLevelType w:val="hybridMultilevel"/>
    <w:tmpl w:val="BB3CA030"/>
    <w:lvl w:ilvl="0" w:tplc="25547234">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94">
    <w:nsid w:val="6E7306C5"/>
    <w:multiLevelType w:val="hybridMultilevel"/>
    <w:tmpl w:val="8C5415F0"/>
    <w:lvl w:ilvl="0" w:tplc="8932E2C6">
      <w:start w:val="1"/>
      <w:numFmt w:val="lowerLetter"/>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5">
    <w:nsid w:val="6E853FE8"/>
    <w:multiLevelType w:val="hybridMultilevel"/>
    <w:tmpl w:val="CA70D2B8"/>
    <w:lvl w:ilvl="0" w:tplc="FFFFFFFF">
      <w:start w:val="114"/>
      <w:numFmt w:val="decimal"/>
      <w:lvlText w:val="%1."/>
      <w:lvlJc w:val="left"/>
      <w:pPr>
        <w:tabs>
          <w:tab w:val="num" w:pos="975"/>
        </w:tabs>
        <w:ind w:left="975" w:hanging="61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6">
    <w:nsid w:val="6E8D7808"/>
    <w:multiLevelType w:val="singleLevel"/>
    <w:tmpl w:val="38021C96"/>
    <w:lvl w:ilvl="0">
      <w:start w:val="1"/>
      <w:numFmt w:val="lowerLetter"/>
      <w:lvlText w:val="%1)"/>
      <w:lvlJc w:val="left"/>
      <w:pPr>
        <w:tabs>
          <w:tab w:val="num" w:pos="1080"/>
        </w:tabs>
        <w:ind w:left="1080" w:hanging="360"/>
      </w:pPr>
      <w:rPr>
        <w:rFonts w:hint="default"/>
      </w:rPr>
    </w:lvl>
  </w:abstractNum>
  <w:abstractNum w:abstractNumId="297">
    <w:nsid w:val="6EB73F8E"/>
    <w:multiLevelType w:val="hybridMultilevel"/>
    <w:tmpl w:val="CA4A25BC"/>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8">
    <w:nsid w:val="6ECE36A6"/>
    <w:multiLevelType w:val="singleLevel"/>
    <w:tmpl w:val="5E0EB706"/>
    <w:lvl w:ilvl="0">
      <w:start w:val="218"/>
      <w:numFmt w:val="decimal"/>
      <w:lvlText w:val="%1."/>
      <w:lvlJc w:val="left"/>
      <w:pPr>
        <w:tabs>
          <w:tab w:val="num" w:pos="419"/>
        </w:tabs>
        <w:ind w:left="419" w:hanging="419"/>
      </w:pPr>
      <w:rPr>
        <w:rFonts w:hint="default"/>
      </w:rPr>
    </w:lvl>
  </w:abstractNum>
  <w:abstractNum w:abstractNumId="299">
    <w:nsid w:val="6EDF1EF1"/>
    <w:multiLevelType w:val="hybridMultilevel"/>
    <w:tmpl w:val="95405592"/>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1">
    <w:nsid w:val="712C63B6"/>
    <w:multiLevelType w:val="hybridMultilevel"/>
    <w:tmpl w:val="0AACAD3C"/>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3">
    <w:nsid w:val="717034CB"/>
    <w:multiLevelType w:val="hybridMultilevel"/>
    <w:tmpl w:val="FD6E121E"/>
    <w:lvl w:ilvl="0" w:tplc="498275A2">
      <w:start w:val="1"/>
      <w:numFmt w:val="lowerLetter"/>
      <w:lvlRestart w:val="0"/>
      <w:lvlText w:val="(%1)"/>
      <w:lvlJc w:val="right"/>
      <w:pPr>
        <w:tabs>
          <w:tab w:val="num" w:pos="2051"/>
        </w:tabs>
        <w:ind w:left="2051" w:hanging="227"/>
      </w:pPr>
      <w:rPr>
        <w:rFonts w:ascii="Times New Roman" w:hAnsi="Times New Roman"/>
        <w:b w:val="0"/>
        <w:i w:val="0"/>
        <w:sz w:val="24"/>
      </w:rPr>
    </w:lvl>
    <w:lvl w:ilvl="1" w:tplc="498275A2">
      <w:start w:val="1"/>
      <w:numFmt w:val="lowerLetter"/>
      <w:lvlRestart w:val="0"/>
      <w:lvlText w:val="(%2)"/>
      <w:lvlJc w:val="right"/>
      <w:pPr>
        <w:tabs>
          <w:tab w:val="num" w:pos="1227"/>
        </w:tabs>
        <w:ind w:left="1227" w:hanging="227"/>
      </w:pPr>
      <w:rPr>
        <w:rFonts w:ascii="Times New Roman" w:hAnsi="Times New Roman"/>
        <w:b w:val="0"/>
        <w:i w:val="0"/>
        <w:sz w:val="24"/>
      </w:r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304">
    <w:nsid w:val="71EF1F3E"/>
    <w:multiLevelType w:val="hybridMultilevel"/>
    <w:tmpl w:val="784691C0"/>
    <w:lvl w:ilvl="0" w:tplc="E2B27C20">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05">
    <w:nsid w:val="71F927AE"/>
    <w:multiLevelType w:val="singleLevel"/>
    <w:tmpl w:val="08090017"/>
    <w:lvl w:ilvl="0">
      <w:start w:val="1"/>
      <w:numFmt w:val="lowerLetter"/>
      <w:lvlText w:val="%1)"/>
      <w:lvlJc w:val="left"/>
      <w:pPr>
        <w:tabs>
          <w:tab w:val="num" w:pos="360"/>
        </w:tabs>
        <w:ind w:left="360" w:hanging="360"/>
      </w:pPr>
      <w:rPr>
        <w:rFonts w:hint="default"/>
      </w:rPr>
    </w:lvl>
  </w:abstractNum>
  <w:abstractNum w:abstractNumId="306">
    <w:nsid w:val="725575CF"/>
    <w:multiLevelType w:val="hybridMultilevel"/>
    <w:tmpl w:val="99526894"/>
    <w:lvl w:ilvl="0" w:tplc="2CD2BE50">
      <w:start w:val="1"/>
      <w:numFmt w:val="lowerLetter"/>
      <w:lvlRestart w:val="0"/>
      <w:lvlText w:val="(%1)"/>
      <w:lvlJc w:val="right"/>
      <w:pPr>
        <w:tabs>
          <w:tab w:val="num" w:pos="2241"/>
        </w:tabs>
        <w:ind w:left="2241" w:hanging="227"/>
      </w:pPr>
      <w:rPr>
        <w:rFonts w:ascii="Times New Roman" w:hAnsi="Times New Roman"/>
        <w:b w:val="0"/>
        <w:i w:val="0"/>
        <w:sz w:val="24"/>
      </w:rPr>
    </w:lvl>
    <w:lvl w:ilvl="1" w:tplc="04090019">
      <w:start w:val="1"/>
      <w:numFmt w:val="ideographTraditional"/>
      <w:lvlText w:val="%2、"/>
      <w:lvlJc w:val="left"/>
      <w:pPr>
        <w:tabs>
          <w:tab w:val="num" w:pos="1670"/>
        </w:tabs>
        <w:ind w:left="1670" w:hanging="480"/>
      </w:pPr>
    </w:lvl>
    <w:lvl w:ilvl="2" w:tplc="0409001B" w:tentative="1">
      <w:start w:val="1"/>
      <w:numFmt w:val="lowerRoman"/>
      <w:lvlText w:val="%3."/>
      <w:lvlJc w:val="right"/>
      <w:pPr>
        <w:tabs>
          <w:tab w:val="num" w:pos="2150"/>
        </w:tabs>
        <w:ind w:left="2150" w:hanging="480"/>
      </w:pPr>
    </w:lvl>
    <w:lvl w:ilvl="3" w:tplc="0409000F" w:tentative="1">
      <w:start w:val="1"/>
      <w:numFmt w:val="decimal"/>
      <w:lvlText w:val="%4."/>
      <w:lvlJc w:val="left"/>
      <w:pPr>
        <w:tabs>
          <w:tab w:val="num" w:pos="2630"/>
        </w:tabs>
        <w:ind w:left="2630" w:hanging="480"/>
      </w:pPr>
    </w:lvl>
    <w:lvl w:ilvl="4" w:tplc="04090019" w:tentative="1">
      <w:start w:val="1"/>
      <w:numFmt w:val="ideographTraditional"/>
      <w:lvlText w:val="%5、"/>
      <w:lvlJc w:val="left"/>
      <w:pPr>
        <w:tabs>
          <w:tab w:val="num" w:pos="3110"/>
        </w:tabs>
        <w:ind w:left="3110" w:hanging="480"/>
      </w:pPr>
    </w:lvl>
    <w:lvl w:ilvl="5" w:tplc="0409001B" w:tentative="1">
      <w:start w:val="1"/>
      <w:numFmt w:val="lowerRoman"/>
      <w:lvlText w:val="%6."/>
      <w:lvlJc w:val="right"/>
      <w:pPr>
        <w:tabs>
          <w:tab w:val="num" w:pos="3590"/>
        </w:tabs>
        <w:ind w:left="3590" w:hanging="480"/>
      </w:pPr>
    </w:lvl>
    <w:lvl w:ilvl="6" w:tplc="0409000F" w:tentative="1">
      <w:start w:val="1"/>
      <w:numFmt w:val="decimal"/>
      <w:lvlText w:val="%7."/>
      <w:lvlJc w:val="left"/>
      <w:pPr>
        <w:tabs>
          <w:tab w:val="num" w:pos="4070"/>
        </w:tabs>
        <w:ind w:left="4070" w:hanging="480"/>
      </w:pPr>
    </w:lvl>
    <w:lvl w:ilvl="7" w:tplc="04090019" w:tentative="1">
      <w:start w:val="1"/>
      <w:numFmt w:val="ideographTraditional"/>
      <w:lvlText w:val="%8、"/>
      <w:lvlJc w:val="left"/>
      <w:pPr>
        <w:tabs>
          <w:tab w:val="num" w:pos="4550"/>
        </w:tabs>
        <w:ind w:left="4550" w:hanging="480"/>
      </w:pPr>
    </w:lvl>
    <w:lvl w:ilvl="8" w:tplc="0409001B" w:tentative="1">
      <w:start w:val="1"/>
      <w:numFmt w:val="lowerRoman"/>
      <w:lvlText w:val="%9."/>
      <w:lvlJc w:val="right"/>
      <w:pPr>
        <w:tabs>
          <w:tab w:val="num" w:pos="5030"/>
        </w:tabs>
        <w:ind w:left="5030" w:hanging="480"/>
      </w:pPr>
    </w:lvl>
  </w:abstractNum>
  <w:abstractNum w:abstractNumId="307">
    <w:nsid w:val="726D15EC"/>
    <w:multiLevelType w:val="hybridMultilevel"/>
    <w:tmpl w:val="08B68AA4"/>
    <w:lvl w:ilvl="0" w:tplc="CA3AA0B4">
      <w:start w:val="1"/>
      <w:numFmt w:val="lowerLetter"/>
      <w:lvlRestart w:val="0"/>
      <w:lvlText w:val="(%1)"/>
      <w:lvlJc w:val="right"/>
      <w:pPr>
        <w:tabs>
          <w:tab w:val="num" w:pos="2571"/>
        </w:tabs>
        <w:ind w:left="2571" w:hanging="227"/>
      </w:pPr>
      <w:rPr>
        <w:rFonts w:ascii="Times New Roman" w:hAnsi="Times New Roman"/>
        <w:b w:val="0"/>
        <w:i w:val="0"/>
        <w:sz w:val="24"/>
      </w:rPr>
    </w:lvl>
    <w:lvl w:ilvl="1" w:tplc="084CC7B6">
      <w:start w:val="1"/>
      <w:numFmt w:val="chineseCountingThousand"/>
      <w:lvlRestart w:val="0"/>
      <w:lvlText w:val="(%2)"/>
      <w:lvlJc w:val="right"/>
      <w:pPr>
        <w:tabs>
          <w:tab w:val="num" w:pos="1690"/>
        </w:tabs>
        <w:ind w:left="1690" w:hanging="170"/>
      </w:pPr>
      <w:rPr>
        <w:rFonts w:ascii="Times New Roman" w:hAnsi="Times New Roman"/>
        <w:sz w:val="20"/>
      </w:rPr>
    </w:lvl>
    <w:lvl w:ilvl="2" w:tplc="24789396">
      <w:start w:val="1"/>
      <w:numFmt w:val="taiwaneseCountingThousand"/>
      <w:lvlText w:val="(%3)"/>
      <w:lvlJc w:val="left"/>
      <w:pPr>
        <w:tabs>
          <w:tab w:val="num" w:pos="2360"/>
        </w:tabs>
        <w:ind w:left="2360" w:hanging="360"/>
      </w:pPr>
      <w:rPr>
        <w:rFonts w:hint="eastAsia"/>
      </w:r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308">
    <w:nsid w:val="729F7DF1"/>
    <w:multiLevelType w:val="hybridMultilevel"/>
    <w:tmpl w:val="A1860D46"/>
    <w:lvl w:ilvl="0" w:tplc="CA3AA0B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0">
    <w:nsid w:val="735562C5"/>
    <w:multiLevelType w:val="hybridMultilevel"/>
    <w:tmpl w:val="E1C49F44"/>
    <w:lvl w:ilvl="0" w:tplc="9B3E1F0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1">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2">
    <w:nsid w:val="73C46832"/>
    <w:multiLevelType w:val="hybridMultilevel"/>
    <w:tmpl w:val="4ADE9DB2"/>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3">
    <w:nsid w:val="749F3949"/>
    <w:multiLevelType w:val="singleLevel"/>
    <w:tmpl w:val="BF943A66"/>
    <w:lvl w:ilvl="0">
      <w:start w:val="1"/>
      <w:numFmt w:val="lowerLetter"/>
      <w:lvlText w:val="%1)"/>
      <w:lvlJc w:val="left"/>
      <w:pPr>
        <w:tabs>
          <w:tab w:val="num" w:pos="1080"/>
        </w:tabs>
        <w:ind w:left="1080" w:hanging="360"/>
      </w:pPr>
      <w:rPr>
        <w:rFonts w:hint="default"/>
      </w:rPr>
    </w:lvl>
  </w:abstractNum>
  <w:abstractNum w:abstractNumId="314">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315">
    <w:nsid w:val="74DE405F"/>
    <w:multiLevelType w:val="hybridMultilevel"/>
    <w:tmpl w:val="D892E35C"/>
    <w:lvl w:ilvl="0" w:tplc="FFFFFFFF">
      <w:start w:val="115"/>
      <w:numFmt w:val="decimal"/>
      <w:lvlText w:val="%1."/>
      <w:lvlJc w:val="left"/>
      <w:pPr>
        <w:tabs>
          <w:tab w:val="num" w:pos="960"/>
        </w:tabs>
        <w:ind w:left="960" w:hanging="6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6">
    <w:nsid w:val="7666723D"/>
    <w:multiLevelType w:val="multilevel"/>
    <w:tmpl w:val="379262D6"/>
    <w:lvl w:ilvl="0">
      <w:start w:val="1"/>
      <w:numFmt w:val="lowerLetter"/>
      <w:lvlText w:val="(%1)"/>
      <w:lvlJc w:val="left"/>
      <w:pPr>
        <w:tabs>
          <w:tab w:val="num" w:pos="1080"/>
        </w:tabs>
        <w:ind w:left="1080" w:hanging="36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17">
    <w:nsid w:val="76C0046A"/>
    <w:multiLevelType w:val="multilevel"/>
    <w:tmpl w:val="449C7FA0"/>
    <w:lvl w:ilvl="0">
      <w:start w:val="112"/>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318">
    <w:nsid w:val="76D06642"/>
    <w:multiLevelType w:val="singleLevel"/>
    <w:tmpl w:val="9710B628"/>
    <w:lvl w:ilvl="0">
      <w:start w:val="219"/>
      <w:numFmt w:val="decimal"/>
      <w:lvlText w:val="%1."/>
      <w:lvlJc w:val="left"/>
      <w:pPr>
        <w:tabs>
          <w:tab w:val="num" w:pos="540"/>
        </w:tabs>
        <w:ind w:left="540" w:hanging="540"/>
      </w:pPr>
      <w:rPr>
        <w:rFonts w:hint="default"/>
      </w:rPr>
    </w:lvl>
  </w:abstractNum>
  <w:abstractNum w:abstractNumId="319">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0">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1">
    <w:nsid w:val="77C35387"/>
    <w:multiLevelType w:val="hybridMultilevel"/>
    <w:tmpl w:val="461C01C2"/>
    <w:lvl w:ilvl="0" w:tplc="7AA699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323">
    <w:nsid w:val="783F6D05"/>
    <w:multiLevelType w:val="hybridMultilevel"/>
    <w:tmpl w:val="BE1E2756"/>
    <w:lvl w:ilvl="0" w:tplc="FFFFFFFF">
      <w:start w:val="219"/>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4">
    <w:nsid w:val="78580AD6"/>
    <w:multiLevelType w:val="hybridMultilevel"/>
    <w:tmpl w:val="E33895E2"/>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5">
    <w:nsid w:val="785F1445"/>
    <w:multiLevelType w:val="singleLevel"/>
    <w:tmpl w:val="A55675CA"/>
    <w:lvl w:ilvl="0">
      <w:start w:val="1"/>
      <w:numFmt w:val="lowerLetter"/>
      <w:lvlText w:val="%1)"/>
      <w:lvlJc w:val="left"/>
      <w:pPr>
        <w:tabs>
          <w:tab w:val="num" w:pos="1080"/>
        </w:tabs>
        <w:ind w:left="1080" w:hanging="360"/>
      </w:pPr>
      <w:rPr>
        <w:rFonts w:hint="default"/>
      </w:rPr>
    </w:lvl>
  </w:abstractNum>
  <w:abstractNum w:abstractNumId="326">
    <w:nsid w:val="78756062"/>
    <w:multiLevelType w:val="singleLevel"/>
    <w:tmpl w:val="DA7A1E64"/>
    <w:lvl w:ilvl="0">
      <w:start w:val="693"/>
      <w:numFmt w:val="decimal"/>
      <w:lvlText w:val="%1."/>
      <w:lvlJc w:val="left"/>
      <w:pPr>
        <w:tabs>
          <w:tab w:val="num" w:pos="645"/>
        </w:tabs>
        <w:ind w:left="645" w:hanging="645"/>
      </w:pPr>
      <w:rPr>
        <w:rFonts w:hint="default"/>
      </w:rPr>
    </w:lvl>
  </w:abstractNum>
  <w:abstractNum w:abstractNumId="327">
    <w:nsid w:val="7877459C"/>
    <w:multiLevelType w:val="hybridMultilevel"/>
    <w:tmpl w:val="B09AADF6"/>
    <w:lvl w:ilvl="0" w:tplc="AA004350">
      <w:start w:val="864"/>
      <w:numFmt w:val="decimal"/>
      <w:lvlText w:val="%1."/>
      <w:lvlJc w:val="left"/>
      <w:pPr>
        <w:tabs>
          <w:tab w:val="num" w:pos="1770"/>
        </w:tabs>
        <w:ind w:left="1770" w:hanging="12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28">
    <w:nsid w:val="7A961A9E"/>
    <w:multiLevelType w:val="hybridMultilevel"/>
    <w:tmpl w:val="8F86B0DC"/>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330">
    <w:nsid w:val="7B6358DC"/>
    <w:multiLevelType w:val="hybridMultilevel"/>
    <w:tmpl w:val="60AABFA8"/>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1">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332">
    <w:nsid w:val="7BA8245A"/>
    <w:multiLevelType w:val="hybridMultilevel"/>
    <w:tmpl w:val="AA66A5EE"/>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nsid w:val="7BD0203F"/>
    <w:multiLevelType w:val="singleLevel"/>
    <w:tmpl w:val="918C2EBC"/>
    <w:lvl w:ilvl="0">
      <w:start w:val="72"/>
      <w:numFmt w:val="decimal"/>
      <w:lvlText w:val="%1."/>
      <w:lvlJc w:val="left"/>
      <w:pPr>
        <w:tabs>
          <w:tab w:val="num" w:pos="480"/>
        </w:tabs>
        <w:ind w:left="480" w:hanging="480"/>
      </w:pPr>
      <w:rPr>
        <w:rFonts w:hint="default"/>
      </w:rPr>
    </w:lvl>
  </w:abstractNum>
  <w:abstractNum w:abstractNumId="334">
    <w:nsid w:val="7DBF4E3A"/>
    <w:multiLevelType w:val="hybridMultilevel"/>
    <w:tmpl w:val="7AB4CB2E"/>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5">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6">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337">
    <w:nsid w:val="7EB82DFB"/>
    <w:multiLevelType w:val="hybridMultilevel"/>
    <w:tmpl w:val="3306B886"/>
    <w:lvl w:ilvl="0" w:tplc="FFFFFFFF">
      <w:start w:val="165"/>
      <w:numFmt w:val="decimal"/>
      <w:lvlText w:val="%1."/>
      <w:lvlJc w:val="left"/>
      <w:pPr>
        <w:tabs>
          <w:tab w:val="num" w:pos="900"/>
        </w:tabs>
        <w:ind w:left="900" w:hanging="5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26"/>
  </w:num>
  <w:num w:numId="2">
    <w:abstractNumId w:val="164"/>
  </w:num>
  <w:num w:numId="3">
    <w:abstractNumId w:val="152"/>
  </w:num>
  <w:num w:numId="4">
    <w:abstractNumId w:val="154"/>
  </w:num>
  <w:num w:numId="5">
    <w:abstractNumId w:val="320"/>
  </w:num>
  <w:num w:numId="6">
    <w:abstractNumId w:val="24"/>
  </w:num>
  <w:num w:numId="7">
    <w:abstractNumId w:val="206"/>
  </w:num>
  <w:num w:numId="8">
    <w:abstractNumId w:val="120"/>
  </w:num>
  <w:num w:numId="9">
    <w:abstractNumId w:val="59"/>
  </w:num>
  <w:num w:numId="10">
    <w:abstractNumId w:val="83"/>
  </w:num>
  <w:num w:numId="11">
    <w:abstractNumId w:val="300"/>
  </w:num>
  <w:num w:numId="12">
    <w:abstractNumId w:val="96"/>
  </w:num>
  <w:num w:numId="13">
    <w:abstractNumId w:val="314"/>
  </w:num>
  <w:num w:numId="14">
    <w:abstractNumId w:val="221"/>
  </w:num>
  <w:num w:numId="15">
    <w:abstractNumId w:val="231"/>
  </w:num>
  <w:num w:numId="16">
    <w:abstractNumId w:val="42"/>
  </w:num>
  <w:num w:numId="17">
    <w:abstractNumId w:val="335"/>
  </w:num>
  <w:num w:numId="18">
    <w:abstractNumId w:val="286"/>
  </w:num>
  <w:num w:numId="19">
    <w:abstractNumId w:val="276"/>
  </w:num>
  <w:num w:numId="20">
    <w:abstractNumId w:val="48"/>
  </w:num>
  <w:num w:numId="21">
    <w:abstractNumId w:val="225"/>
  </w:num>
  <w:num w:numId="22">
    <w:abstractNumId w:val="237"/>
  </w:num>
  <w:num w:numId="23">
    <w:abstractNumId w:val="329"/>
  </w:num>
  <w:num w:numId="24">
    <w:abstractNumId w:val="257"/>
  </w:num>
  <w:num w:numId="25">
    <w:abstractNumId w:val="252"/>
  </w:num>
  <w:num w:numId="26">
    <w:abstractNumId w:val="200"/>
  </w:num>
  <w:num w:numId="27">
    <w:abstractNumId w:val="64"/>
  </w:num>
  <w:num w:numId="28">
    <w:abstractNumId w:val="54"/>
  </w:num>
  <w:num w:numId="29">
    <w:abstractNumId w:val="336"/>
  </w:num>
  <w:num w:numId="30">
    <w:abstractNumId w:val="29"/>
  </w:num>
  <w:num w:numId="31">
    <w:abstractNumId w:val="89"/>
  </w:num>
  <w:num w:numId="32">
    <w:abstractNumId w:val="311"/>
  </w:num>
  <w:num w:numId="33">
    <w:abstractNumId w:val="126"/>
  </w:num>
  <w:num w:numId="34">
    <w:abstractNumId w:val="275"/>
  </w:num>
  <w:num w:numId="35">
    <w:abstractNumId w:val="270"/>
  </w:num>
  <w:num w:numId="36">
    <w:abstractNumId w:val="165"/>
  </w:num>
  <w:num w:numId="37">
    <w:abstractNumId w:val="240"/>
  </w:num>
  <w:num w:numId="38">
    <w:abstractNumId w:val="250"/>
  </w:num>
  <w:num w:numId="39">
    <w:abstractNumId w:val="302"/>
  </w:num>
  <w:num w:numId="40">
    <w:abstractNumId w:val="43"/>
  </w:num>
  <w:num w:numId="41">
    <w:abstractNumId w:val="158"/>
  </w:num>
  <w:num w:numId="42">
    <w:abstractNumId w:val="331"/>
  </w:num>
  <w:num w:numId="43">
    <w:abstractNumId w:val="249"/>
  </w:num>
  <w:num w:numId="44">
    <w:abstractNumId w:val="277"/>
  </w:num>
  <w:num w:numId="45">
    <w:abstractNumId w:val="119"/>
  </w:num>
  <w:num w:numId="46">
    <w:abstractNumId w:val="163"/>
  </w:num>
  <w:num w:numId="47">
    <w:abstractNumId w:val="70"/>
  </w:num>
  <w:num w:numId="48">
    <w:abstractNumId w:val="261"/>
  </w:num>
  <w:num w:numId="49">
    <w:abstractNumId w:val="244"/>
  </w:num>
  <w:num w:numId="50">
    <w:abstractNumId w:val="174"/>
  </w:num>
  <w:num w:numId="51">
    <w:abstractNumId w:val="87"/>
  </w:num>
  <w:num w:numId="52">
    <w:abstractNumId w:val="247"/>
  </w:num>
  <w:num w:numId="53">
    <w:abstractNumId w:val="66"/>
  </w:num>
  <w:num w:numId="54">
    <w:abstractNumId w:val="171"/>
  </w:num>
  <w:num w:numId="55">
    <w:abstractNumId w:val="214"/>
  </w:num>
  <w:num w:numId="56">
    <w:abstractNumId w:val="322"/>
  </w:num>
  <w:num w:numId="57">
    <w:abstractNumId w:val="233"/>
  </w:num>
  <w:num w:numId="58">
    <w:abstractNumId w:val="180"/>
  </w:num>
  <w:num w:numId="59">
    <w:abstractNumId w:val="155"/>
  </w:num>
  <w:num w:numId="60">
    <w:abstractNumId w:val="41"/>
  </w:num>
  <w:num w:numId="61">
    <w:abstractNumId w:val="217"/>
  </w:num>
  <w:num w:numId="62">
    <w:abstractNumId w:val="102"/>
  </w:num>
  <w:num w:numId="63">
    <w:abstractNumId w:val="267"/>
  </w:num>
  <w:num w:numId="64">
    <w:abstractNumId w:val="266"/>
  </w:num>
  <w:num w:numId="65">
    <w:abstractNumId w:val="30"/>
  </w:num>
  <w:num w:numId="66">
    <w:abstractNumId w:val="222"/>
  </w:num>
  <w:num w:numId="67">
    <w:abstractNumId w:val="97"/>
  </w:num>
  <w:num w:numId="68">
    <w:abstractNumId w:val="209"/>
  </w:num>
  <w:num w:numId="69">
    <w:abstractNumId w:val="63"/>
  </w:num>
  <w:num w:numId="70">
    <w:abstractNumId w:val="254"/>
  </w:num>
  <w:num w:numId="71">
    <w:abstractNumId w:val="197"/>
  </w:num>
  <w:num w:numId="72">
    <w:abstractNumId w:val="309"/>
  </w:num>
  <w:num w:numId="73">
    <w:abstractNumId w:val="279"/>
  </w:num>
  <w:num w:numId="74">
    <w:abstractNumId w:val="108"/>
  </w:num>
  <w:num w:numId="75">
    <w:abstractNumId w:val="186"/>
  </w:num>
  <w:num w:numId="76">
    <w:abstractNumId w:val="196"/>
  </w:num>
  <w:num w:numId="77">
    <w:abstractNumId w:val="109"/>
  </w:num>
  <w:num w:numId="78">
    <w:abstractNumId w:val="319"/>
  </w:num>
  <w:num w:numId="79">
    <w:abstractNumId w:val="160"/>
  </w:num>
  <w:num w:numId="80">
    <w:abstractNumId w:val="130"/>
  </w:num>
  <w:num w:numId="81">
    <w:abstractNumId w:val="172"/>
  </w:num>
  <w:num w:numId="82">
    <w:abstractNumId w:val="177"/>
  </w:num>
  <w:num w:numId="83">
    <w:abstractNumId w:val="162"/>
  </w:num>
  <w:num w:numId="84">
    <w:abstractNumId w:val="100"/>
  </w:num>
  <w:num w:numId="85">
    <w:abstractNumId w:val="245"/>
  </w:num>
  <w:num w:numId="86">
    <w:abstractNumId w:val="90"/>
  </w:num>
  <w:num w:numId="87">
    <w:abstractNumId w:val="80"/>
  </w:num>
  <w:num w:numId="88">
    <w:abstractNumId w:val="299"/>
  </w:num>
  <w:num w:numId="89">
    <w:abstractNumId w:val="142"/>
  </w:num>
  <w:num w:numId="90">
    <w:abstractNumId w:val="289"/>
  </w:num>
  <w:num w:numId="91">
    <w:abstractNumId w:val="280"/>
  </w:num>
  <w:num w:numId="92">
    <w:abstractNumId w:val="132"/>
  </w:num>
  <w:num w:numId="93">
    <w:abstractNumId w:val="118"/>
  </w:num>
  <w:num w:numId="94">
    <w:abstractNumId w:val="56"/>
  </w:num>
  <w:num w:numId="95">
    <w:abstractNumId w:val="303"/>
  </w:num>
  <w:num w:numId="96">
    <w:abstractNumId w:val="27"/>
  </w:num>
  <w:num w:numId="97">
    <w:abstractNumId w:val="115"/>
  </w:num>
  <w:num w:numId="98">
    <w:abstractNumId w:val="271"/>
  </w:num>
  <w:num w:numId="99">
    <w:abstractNumId w:val="124"/>
  </w:num>
  <w:num w:numId="100">
    <w:abstractNumId w:val="301"/>
  </w:num>
  <w:num w:numId="101">
    <w:abstractNumId w:val="39"/>
  </w:num>
  <w:num w:numId="102">
    <w:abstractNumId w:val="88"/>
  </w:num>
  <w:num w:numId="103">
    <w:abstractNumId w:val="72"/>
  </w:num>
  <w:num w:numId="104">
    <w:abstractNumId w:val="321"/>
  </w:num>
  <w:num w:numId="105">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6">
    <w:abstractNumId w:val="1"/>
    <w:lvlOverride w:ilvl="0">
      <w:startOverride w:val="28"/>
      <w:lvl w:ilvl="0">
        <w:start w:val="2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7">
    <w:abstractNumId w:val="2"/>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8">
    <w:abstractNumId w:val="3"/>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9">
    <w:abstractNumId w:val="4"/>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0">
    <w:abstractNumId w:val="5"/>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1">
    <w:abstractNumId w:val="6"/>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2">
    <w:abstractNumId w:val="7"/>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3">
    <w:abstractNumId w:val="8"/>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4">
    <w:abstractNumId w:val="9"/>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5">
    <w:abstractNumId w:val="10"/>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6">
    <w:abstractNumId w:val="11"/>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7">
    <w:abstractNumId w:val="12"/>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8">
    <w:abstractNumId w:val="13"/>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9">
    <w:abstractNumId w:val="14"/>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0">
    <w:abstractNumId w:val="15"/>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1">
    <w:abstractNumId w:val="16"/>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2">
    <w:abstractNumId w:val="17"/>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3">
    <w:abstractNumId w:val="18"/>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4">
    <w:abstractNumId w:val="19"/>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5">
    <w:abstractNumId w:val="2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6">
    <w:abstractNumId w:val="167"/>
  </w:num>
  <w:num w:numId="127">
    <w:abstractNumId w:val="263"/>
  </w:num>
  <w:num w:numId="128">
    <w:abstractNumId w:val="211"/>
  </w:num>
  <w:num w:numId="129">
    <w:abstractNumId w:val="291"/>
  </w:num>
  <w:num w:numId="130">
    <w:abstractNumId w:val="20"/>
    <w:lvlOverride w:ilvl="0">
      <w:startOverride w:val="1"/>
      <w:lvl w:ilvl="0">
        <w:start w:val="1"/>
        <w:numFmt w:val="decimal"/>
        <w:lvlText w:val="(%1)"/>
        <w:lvlJc w:val="left"/>
      </w:lvl>
    </w:lvlOverride>
    <w:lvlOverride w:ilvl="1">
      <w:startOverride w:val="217"/>
      <w:lvl w:ilvl="1">
        <w:start w:val="217"/>
        <w:numFmt w:val="decimal"/>
        <w:lvlText w:val="%2"/>
        <w:lvlJc w:val="left"/>
      </w:lvl>
    </w:lvlOverride>
  </w:num>
  <w:num w:numId="131">
    <w:abstractNumId w:val="32"/>
  </w:num>
  <w:num w:numId="132">
    <w:abstractNumId w:val="227"/>
  </w:num>
  <w:num w:numId="133">
    <w:abstractNumId w:val="298"/>
  </w:num>
  <w:num w:numId="134">
    <w:abstractNumId w:val="281"/>
  </w:num>
  <w:num w:numId="135">
    <w:abstractNumId w:val="318"/>
  </w:num>
  <w:num w:numId="136">
    <w:abstractNumId w:val="228"/>
  </w:num>
  <w:num w:numId="137">
    <w:abstractNumId w:val="35"/>
  </w:num>
  <w:num w:numId="138">
    <w:abstractNumId w:val="57"/>
  </w:num>
  <w:num w:numId="139">
    <w:abstractNumId w:val="262"/>
  </w:num>
  <w:num w:numId="140">
    <w:abstractNumId w:val="191"/>
  </w:num>
  <w:num w:numId="141">
    <w:abstractNumId w:val="290"/>
  </w:num>
  <w:num w:numId="142">
    <w:abstractNumId w:val="188"/>
  </w:num>
  <w:num w:numId="143">
    <w:abstractNumId w:val="288"/>
  </w:num>
  <w:num w:numId="144">
    <w:abstractNumId w:val="113"/>
  </w:num>
  <w:num w:numId="145">
    <w:abstractNumId w:val="78"/>
  </w:num>
  <w:num w:numId="146">
    <w:abstractNumId w:val="26"/>
  </w:num>
  <w:num w:numId="147">
    <w:abstractNumId w:val="218"/>
  </w:num>
  <w:num w:numId="148">
    <w:abstractNumId w:val="272"/>
  </w:num>
  <w:num w:numId="149">
    <w:abstractNumId w:val="184"/>
  </w:num>
  <w:num w:numId="150">
    <w:abstractNumId w:val="93"/>
  </w:num>
  <w:num w:numId="151">
    <w:abstractNumId w:val="81"/>
  </w:num>
  <w:num w:numId="152">
    <w:abstractNumId w:val="232"/>
  </w:num>
  <w:num w:numId="153">
    <w:abstractNumId w:val="260"/>
  </w:num>
  <w:num w:numId="154">
    <w:abstractNumId w:val="112"/>
  </w:num>
  <w:num w:numId="155">
    <w:abstractNumId w:val="134"/>
  </w:num>
  <w:num w:numId="156">
    <w:abstractNumId w:val="148"/>
  </w:num>
  <w:num w:numId="157">
    <w:abstractNumId w:val="333"/>
  </w:num>
  <w:num w:numId="158">
    <w:abstractNumId w:val="79"/>
  </w:num>
  <w:num w:numId="159">
    <w:abstractNumId w:val="265"/>
  </w:num>
  <w:num w:numId="160">
    <w:abstractNumId w:val="316"/>
  </w:num>
  <w:num w:numId="161">
    <w:abstractNumId w:val="0"/>
    <w:lvlOverride w:ilvl="0">
      <w:startOverride w:val="3"/>
      <w:lvl w:ilvl="0">
        <w:start w:val="3"/>
        <w:numFmt w:val="decimal"/>
        <w:lvlText w:val="(%1)"/>
        <w:lvlJc w:val="left"/>
      </w:lvl>
    </w:lvlOverride>
  </w:num>
  <w:num w:numId="162">
    <w:abstractNumId w:val="82"/>
  </w:num>
  <w:num w:numId="163">
    <w:abstractNumId w:val="67"/>
  </w:num>
  <w:num w:numId="164">
    <w:abstractNumId w:val="213"/>
  </w:num>
  <w:num w:numId="165">
    <w:abstractNumId w:val="256"/>
  </w:num>
  <w:num w:numId="166">
    <w:abstractNumId w:val="4"/>
    <w:lvlOverride w:ilvl="0">
      <w:startOverride w:val="1"/>
      <w:lvl w:ilvl="0">
        <w:start w:val="1"/>
        <w:numFmt w:val="lowerLetter"/>
        <w:lvlText w:val="(%1)"/>
        <w:lvlJc w:val="left"/>
        <w:rPr>
          <w:rFonts w:ascii="Times New Roman" w:eastAsia="Times New Roman" w:hAnsi="Times New Roman" w:cs="Times New Roman"/>
        </w:rPr>
      </w:lvl>
    </w:lvlOverride>
  </w:num>
  <w:num w:numId="167">
    <w:abstractNumId w:val="259"/>
  </w:num>
  <w:num w:numId="168">
    <w:abstractNumId w:val="295"/>
  </w:num>
  <w:num w:numId="169">
    <w:abstractNumId w:val="181"/>
  </w:num>
  <w:num w:numId="170">
    <w:abstractNumId w:val="315"/>
  </w:num>
  <w:num w:numId="171">
    <w:abstractNumId w:val="25"/>
  </w:num>
  <w:num w:numId="172">
    <w:abstractNumId w:val="22"/>
  </w:num>
  <w:num w:numId="173">
    <w:abstractNumId w:val="187"/>
  </w:num>
  <w:num w:numId="174">
    <w:abstractNumId w:val="19"/>
    <w:lvlOverride w:ilvl="0">
      <w:startOverride w:val="1"/>
      <w:lvl w:ilvl="0">
        <w:start w:val="1"/>
        <w:numFmt w:val="lowerLetter"/>
        <w:lvlText w:val="(%1)"/>
        <w:lvlJc w:val="left"/>
        <w:rPr>
          <w:rFonts w:ascii="Times New Roman" w:eastAsia="Times New Roman" w:hAnsi="Times New Roman" w:cs="Times New Roman"/>
        </w:rPr>
      </w:lvl>
    </w:lvlOverride>
  </w:num>
  <w:num w:numId="175">
    <w:abstractNumId w:val="128"/>
  </w:num>
  <w:num w:numId="176">
    <w:abstractNumId w:val="13"/>
    <w:lvlOverride w:ilvl="0">
      <w:startOverride w:val="1"/>
      <w:lvl w:ilvl="0">
        <w:start w:val="1"/>
        <w:numFmt w:val="lowerLetter"/>
        <w:lvlText w:val="(%1)"/>
        <w:lvlJc w:val="left"/>
        <w:rPr>
          <w:rFonts w:ascii="Times New Roman" w:eastAsia="Times New Roman" w:hAnsi="Times New Roman" w:cs="Times New Roman"/>
        </w:rPr>
      </w:lvl>
    </w:lvlOverride>
    <w:lvlOverride w:ilvl="1">
      <w:startOverride w:val="149"/>
      <w:lvl w:ilvl="1">
        <w:start w:val="149"/>
        <w:numFmt w:val="decimal"/>
        <w:lvlText w:val="%2"/>
        <w:lvlJc w:val="left"/>
      </w:lvl>
    </w:lvlOverride>
  </w:num>
  <w:num w:numId="177">
    <w:abstractNumId w:val="91"/>
  </w:num>
  <w:num w:numId="178">
    <w:abstractNumId w:val="223"/>
  </w:num>
  <w:num w:numId="179">
    <w:abstractNumId w:val="110"/>
  </w:num>
  <w:num w:numId="180">
    <w:abstractNumId w:val="190"/>
  </w:num>
  <w:num w:numId="181">
    <w:abstractNumId w:val="235"/>
  </w:num>
  <w:num w:numId="182">
    <w:abstractNumId w:val="323"/>
  </w:num>
  <w:num w:numId="183">
    <w:abstractNumId w:val="337"/>
  </w:num>
  <w:num w:numId="184">
    <w:abstractNumId w:val="133"/>
  </w:num>
  <w:num w:numId="185">
    <w:abstractNumId w:val="46"/>
  </w:num>
  <w:num w:numId="186">
    <w:abstractNumId w:val="141"/>
  </w:num>
  <w:num w:numId="187">
    <w:abstractNumId w:val="234"/>
  </w:num>
  <w:num w:numId="188">
    <w:abstractNumId w:val="305"/>
  </w:num>
  <w:num w:numId="189">
    <w:abstractNumId w:val="53"/>
  </w:num>
  <w:num w:numId="190">
    <w:abstractNumId w:val="313"/>
  </w:num>
  <w:num w:numId="191">
    <w:abstractNumId w:val="238"/>
  </w:num>
  <w:num w:numId="192">
    <w:abstractNumId w:val="85"/>
  </w:num>
  <w:num w:numId="193">
    <w:abstractNumId w:val="199"/>
  </w:num>
  <w:num w:numId="194">
    <w:abstractNumId w:val="74"/>
  </w:num>
  <w:num w:numId="195">
    <w:abstractNumId w:val="248"/>
  </w:num>
  <w:num w:numId="196">
    <w:abstractNumId w:val="268"/>
  </w:num>
  <w:num w:numId="197">
    <w:abstractNumId w:val="284"/>
  </w:num>
  <w:num w:numId="198">
    <w:abstractNumId w:val="183"/>
  </w:num>
  <w:num w:numId="199">
    <w:abstractNumId w:val="296"/>
  </w:num>
  <w:num w:numId="200">
    <w:abstractNumId w:val="325"/>
  </w:num>
  <w:num w:numId="201">
    <w:abstractNumId w:val="86"/>
  </w:num>
  <w:num w:numId="202">
    <w:abstractNumId w:val="182"/>
  </w:num>
  <w:num w:numId="203">
    <w:abstractNumId w:val="21"/>
  </w:num>
  <w:num w:numId="204">
    <w:abstractNumId w:val="283"/>
  </w:num>
  <w:num w:numId="205">
    <w:abstractNumId w:val="326"/>
  </w:num>
  <w:num w:numId="206">
    <w:abstractNumId w:val="157"/>
  </w:num>
  <w:num w:numId="207">
    <w:abstractNumId w:val="136"/>
  </w:num>
  <w:num w:numId="208">
    <w:abstractNumId w:val="36"/>
  </w:num>
  <w:num w:numId="209">
    <w:abstractNumId w:val="62"/>
  </w:num>
  <w:num w:numId="210">
    <w:abstractNumId w:val="139"/>
  </w:num>
  <w:num w:numId="211">
    <w:abstractNumId w:val="166"/>
  </w:num>
  <w:num w:numId="212">
    <w:abstractNumId w:val="242"/>
  </w:num>
  <w:num w:numId="213">
    <w:abstractNumId w:val="125"/>
  </w:num>
  <w:num w:numId="214">
    <w:abstractNumId w:val="219"/>
  </w:num>
  <w:num w:numId="215">
    <w:abstractNumId w:val="317"/>
  </w:num>
  <w:num w:numId="216">
    <w:abstractNumId w:val="145"/>
  </w:num>
  <w:num w:numId="217">
    <w:abstractNumId w:val="52"/>
  </w:num>
  <w:num w:numId="218">
    <w:abstractNumId w:val="241"/>
  </w:num>
  <w:num w:numId="219">
    <w:abstractNumId w:val="201"/>
  </w:num>
  <w:num w:numId="220">
    <w:abstractNumId w:val="239"/>
  </w:num>
  <w:num w:numId="221">
    <w:abstractNumId w:val="140"/>
  </w:num>
  <w:num w:numId="222">
    <w:abstractNumId w:val="50"/>
  </w:num>
  <w:num w:numId="223">
    <w:abstractNumId w:val="47"/>
  </w:num>
  <w:num w:numId="224">
    <w:abstractNumId w:val="327"/>
  </w:num>
  <w:num w:numId="225">
    <w:abstractNumId w:val="94"/>
  </w:num>
  <w:num w:numId="226">
    <w:abstractNumId w:val="104"/>
  </w:num>
  <w:num w:numId="227">
    <w:abstractNumId w:val="294"/>
  </w:num>
  <w:num w:numId="228">
    <w:abstractNumId w:val="61"/>
  </w:num>
  <w:num w:numId="229">
    <w:abstractNumId w:val="75"/>
  </w:num>
  <w:num w:numId="230">
    <w:abstractNumId w:val="73"/>
  </w:num>
  <w:num w:numId="231">
    <w:abstractNumId w:val="310"/>
  </w:num>
  <w:num w:numId="232">
    <w:abstractNumId w:val="60"/>
  </w:num>
  <w:num w:numId="233">
    <w:abstractNumId w:val="92"/>
  </w:num>
  <w:num w:numId="234">
    <w:abstractNumId w:val="194"/>
  </w:num>
  <w:num w:numId="235">
    <w:abstractNumId w:val="236"/>
  </w:num>
  <w:num w:numId="236">
    <w:abstractNumId w:val="135"/>
  </w:num>
  <w:num w:numId="237">
    <w:abstractNumId w:val="178"/>
  </w:num>
  <w:num w:numId="238">
    <w:abstractNumId w:val="101"/>
  </w:num>
  <w:num w:numId="239">
    <w:abstractNumId w:val="278"/>
  </w:num>
  <w:num w:numId="240">
    <w:abstractNumId w:val="208"/>
  </w:num>
  <w:num w:numId="241">
    <w:abstractNumId w:val="175"/>
  </w:num>
  <w:num w:numId="242">
    <w:abstractNumId w:val="156"/>
  </w:num>
  <w:num w:numId="243">
    <w:abstractNumId w:val="44"/>
  </w:num>
  <w:num w:numId="244">
    <w:abstractNumId w:val="243"/>
  </w:num>
  <w:num w:numId="245">
    <w:abstractNumId w:val="34"/>
  </w:num>
  <w:num w:numId="246">
    <w:abstractNumId w:val="33"/>
  </w:num>
  <w:num w:numId="247">
    <w:abstractNumId w:val="312"/>
  </w:num>
  <w:num w:numId="248">
    <w:abstractNumId w:val="58"/>
  </w:num>
  <w:num w:numId="249">
    <w:abstractNumId w:val="230"/>
  </w:num>
  <w:num w:numId="250">
    <w:abstractNumId w:val="98"/>
  </w:num>
  <w:num w:numId="251">
    <w:abstractNumId w:val="168"/>
  </w:num>
  <w:num w:numId="252">
    <w:abstractNumId w:val="203"/>
  </w:num>
  <w:num w:numId="253">
    <w:abstractNumId w:val="210"/>
  </w:num>
  <w:num w:numId="254">
    <w:abstractNumId w:val="215"/>
  </w:num>
  <w:num w:numId="255">
    <w:abstractNumId w:val="103"/>
  </w:num>
  <w:num w:numId="256">
    <w:abstractNumId w:val="153"/>
  </w:num>
  <w:num w:numId="257">
    <w:abstractNumId w:val="192"/>
  </w:num>
  <w:num w:numId="258">
    <w:abstractNumId w:val="49"/>
  </w:num>
  <w:num w:numId="259">
    <w:abstractNumId w:val="28"/>
  </w:num>
  <w:num w:numId="260">
    <w:abstractNumId w:val="207"/>
  </w:num>
  <w:num w:numId="261">
    <w:abstractNumId w:val="251"/>
  </w:num>
  <w:num w:numId="262">
    <w:abstractNumId w:val="107"/>
  </w:num>
  <w:num w:numId="263">
    <w:abstractNumId w:val="258"/>
  </w:num>
  <w:num w:numId="264">
    <w:abstractNumId w:val="68"/>
  </w:num>
  <w:num w:numId="265">
    <w:abstractNumId w:val="306"/>
  </w:num>
  <w:num w:numId="266">
    <w:abstractNumId w:val="193"/>
  </w:num>
  <w:num w:numId="267">
    <w:abstractNumId w:val="123"/>
  </w:num>
  <w:num w:numId="268">
    <w:abstractNumId w:val="161"/>
  </w:num>
  <w:num w:numId="269">
    <w:abstractNumId w:val="65"/>
  </w:num>
  <w:num w:numId="270">
    <w:abstractNumId w:val="159"/>
  </w:num>
  <w:num w:numId="271">
    <w:abstractNumId w:val="195"/>
  </w:num>
  <w:num w:numId="272">
    <w:abstractNumId w:val="212"/>
  </w:num>
  <w:num w:numId="273">
    <w:abstractNumId w:val="282"/>
  </w:num>
  <w:num w:numId="274">
    <w:abstractNumId w:val="116"/>
  </w:num>
  <w:num w:numId="275">
    <w:abstractNumId w:val="198"/>
  </w:num>
  <w:num w:numId="276">
    <w:abstractNumId w:val="332"/>
  </w:num>
  <w:num w:numId="277">
    <w:abstractNumId w:val="69"/>
  </w:num>
  <w:num w:numId="278">
    <w:abstractNumId w:val="151"/>
  </w:num>
  <w:num w:numId="279">
    <w:abstractNumId w:val="99"/>
  </w:num>
  <w:num w:numId="280">
    <w:abstractNumId w:val="292"/>
  </w:num>
  <w:num w:numId="281">
    <w:abstractNumId w:val="264"/>
  </w:num>
  <w:num w:numId="282">
    <w:abstractNumId w:val="179"/>
  </w:num>
  <w:num w:numId="283">
    <w:abstractNumId w:val="255"/>
  </w:num>
  <w:num w:numId="284">
    <w:abstractNumId w:val="324"/>
  </w:num>
  <w:num w:numId="285">
    <w:abstractNumId w:val="189"/>
  </w:num>
  <w:num w:numId="286">
    <w:abstractNumId w:val="269"/>
  </w:num>
  <w:num w:numId="287">
    <w:abstractNumId w:val="229"/>
  </w:num>
  <w:num w:numId="288">
    <w:abstractNumId w:val="202"/>
  </w:num>
  <w:num w:numId="289">
    <w:abstractNumId w:val="84"/>
  </w:num>
  <w:num w:numId="290">
    <w:abstractNumId w:val="274"/>
  </w:num>
  <w:num w:numId="291">
    <w:abstractNumId w:val="111"/>
  </w:num>
  <w:num w:numId="292">
    <w:abstractNumId w:val="131"/>
  </w:num>
  <w:num w:numId="293">
    <w:abstractNumId w:val="144"/>
  </w:num>
  <w:num w:numId="294">
    <w:abstractNumId w:val="122"/>
  </w:num>
  <w:num w:numId="295">
    <w:abstractNumId w:val="114"/>
  </w:num>
  <w:num w:numId="296">
    <w:abstractNumId w:val="37"/>
  </w:num>
  <w:num w:numId="297">
    <w:abstractNumId w:val="334"/>
  </w:num>
  <w:num w:numId="298">
    <w:abstractNumId w:val="77"/>
  </w:num>
  <w:num w:numId="299">
    <w:abstractNumId w:val="23"/>
  </w:num>
  <w:num w:numId="300">
    <w:abstractNumId w:val="176"/>
  </w:num>
  <w:num w:numId="301">
    <w:abstractNumId w:val="224"/>
  </w:num>
  <w:num w:numId="302">
    <w:abstractNumId w:val="76"/>
  </w:num>
  <w:num w:numId="303">
    <w:abstractNumId w:val="121"/>
  </w:num>
  <w:num w:numId="304">
    <w:abstractNumId w:val="304"/>
  </w:num>
  <w:num w:numId="305">
    <w:abstractNumId w:val="285"/>
  </w:num>
  <w:num w:numId="306">
    <w:abstractNumId w:val="51"/>
  </w:num>
  <w:num w:numId="307">
    <w:abstractNumId w:val="330"/>
  </w:num>
  <w:num w:numId="308">
    <w:abstractNumId w:val="105"/>
  </w:num>
  <w:num w:numId="309">
    <w:abstractNumId w:val="185"/>
  </w:num>
  <w:num w:numId="310">
    <w:abstractNumId w:val="169"/>
  </w:num>
  <w:num w:numId="311">
    <w:abstractNumId w:val="31"/>
  </w:num>
  <w:num w:numId="312">
    <w:abstractNumId w:val="45"/>
  </w:num>
  <w:num w:numId="313">
    <w:abstractNumId w:val="95"/>
  </w:num>
  <w:num w:numId="314">
    <w:abstractNumId w:val="138"/>
  </w:num>
  <w:num w:numId="315">
    <w:abstractNumId w:val="328"/>
  </w:num>
  <w:num w:numId="316">
    <w:abstractNumId w:val="143"/>
  </w:num>
  <w:num w:numId="317">
    <w:abstractNumId w:val="173"/>
  </w:num>
  <w:num w:numId="318">
    <w:abstractNumId w:val="38"/>
  </w:num>
  <w:num w:numId="319">
    <w:abstractNumId w:val="273"/>
  </w:num>
  <w:num w:numId="320">
    <w:abstractNumId w:val="205"/>
  </w:num>
  <w:num w:numId="321">
    <w:abstractNumId w:val="170"/>
  </w:num>
  <w:num w:numId="322">
    <w:abstractNumId w:val="149"/>
  </w:num>
  <w:num w:numId="323">
    <w:abstractNumId w:val="287"/>
  </w:num>
  <w:num w:numId="324">
    <w:abstractNumId w:val="150"/>
  </w:num>
  <w:num w:numId="325">
    <w:abstractNumId w:val="307"/>
  </w:num>
  <w:num w:numId="326">
    <w:abstractNumId w:val="106"/>
  </w:num>
  <w:num w:numId="327">
    <w:abstractNumId w:val="137"/>
  </w:num>
  <w:num w:numId="328">
    <w:abstractNumId w:val="55"/>
  </w:num>
  <w:num w:numId="329">
    <w:abstractNumId w:val="146"/>
  </w:num>
  <w:num w:numId="330">
    <w:abstractNumId w:val="117"/>
  </w:num>
  <w:num w:numId="331">
    <w:abstractNumId w:val="253"/>
  </w:num>
  <w:num w:numId="332">
    <w:abstractNumId w:val="40"/>
  </w:num>
  <w:num w:numId="333">
    <w:abstractNumId w:val="204"/>
  </w:num>
  <w:num w:numId="334">
    <w:abstractNumId w:val="220"/>
  </w:num>
  <w:num w:numId="335">
    <w:abstractNumId w:val="147"/>
  </w:num>
  <w:num w:numId="336">
    <w:abstractNumId w:val="293"/>
  </w:num>
  <w:num w:numId="337">
    <w:abstractNumId w:val="308"/>
  </w:num>
  <w:num w:numId="338">
    <w:abstractNumId w:val="216"/>
  </w:num>
  <w:num w:numId="339">
    <w:abstractNumId w:val="297"/>
  </w:num>
  <w:num w:numId="340">
    <w:abstractNumId w:val="71"/>
  </w:num>
  <w:num w:numId="341">
    <w:abstractNumId w:val="246"/>
  </w:num>
  <w:num w:numId="342">
    <w:abstractNumId w:val="129"/>
  </w:num>
  <w:num w:numId="343">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C61"/>
    <w:rsid w:val="009C1C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rFonts w:eastAsia="SimHei"/>
      <w:kern w:val="28"/>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Level1">
    <w:name w:val="Level 1"/>
    <w:basedOn w:val="Normal"/>
    <w:pPr>
      <w:widowControl w:val="0"/>
      <w:numPr>
        <w:numId w:val="125"/>
      </w:numPr>
      <w:overflowPunct/>
      <w:adjustRightInd/>
      <w:snapToGrid/>
      <w:spacing w:line="240" w:lineRule="auto"/>
      <w:ind w:left="720" w:hanging="720"/>
      <w:jc w:val="left"/>
      <w:outlineLvl w:val="0"/>
    </w:pPr>
    <w:rPr>
      <w:rFonts w:eastAsia="PMingLiU"/>
      <w:spacing w:val="0"/>
      <w:szCs w:val="24"/>
      <w:lang w:eastAsia="en-US"/>
    </w:rPr>
  </w:style>
  <w:style w:type="paragraph" w:styleId="List">
    <w:name w:val="List"/>
    <w:basedOn w:val="Normal"/>
    <w:semiHidden/>
    <w:pPr>
      <w:widowControl w:val="0"/>
      <w:overflowPunct/>
      <w:adjustRightInd/>
      <w:snapToGrid/>
      <w:spacing w:line="240" w:lineRule="auto"/>
      <w:ind w:left="283" w:hanging="283"/>
      <w:jc w:val="left"/>
    </w:pPr>
    <w:rPr>
      <w:rFonts w:eastAsia="PMingLiU"/>
      <w:spacing w:val="0"/>
      <w:szCs w:val="24"/>
      <w:lang w:eastAsia="en-US"/>
    </w:rPr>
  </w:style>
  <w:style w:type="paragraph" w:styleId="BodyTextIndent">
    <w:name w:val="Body Text Indent"/>
    <w:basedOn w:val="Normal"/>
    <w:semiHidden/>
    <w:pPr>
      <w:widowControl w:val="0"/>
      <w:overflowPunct/>
      <w:adjustRightInd/>
      <w:snapToGrid/>
      <w:spacing w:after="120" w:line="240" w:lineRule="auto"/>
      <w:ind w:left="283"/>
      <w:jc w:val="left"/>
    </w:pPr>
    <w:rPr>
      <w:rFonts w:eastAsia="PMingLiU"/>
      <w:spacing w:val="0"/>
      <w:szCs w:val="24"/>
      <w:lang w:eastAsia="en-US"/>
    </w:rPr>
  </w:style>
  <w:style w:type="paragraph" w:customStyle="1" w:styleId="cdL1">
    <w:name w:val="cdL1"/>
    <w:basedOn w:val="Normal"/>
    <w:pPr>
      <w:widowControl w:val="0"/>
      <w:tabs>
        <w:tab w:val="left" w:pos="510"/>
      </w:tabs>
    </w:pPr>
    <w:rPr>
      <w:snapToGrid/>
      <w:spacing w:val="0"/>
    </w:rPr>
  </w:style>
  <w:style w:type="paragraph" w:customStyle="1" w:styleId="TableNotitle">
    <w:name w:val="Table_No &amp; title"/>
    <w:basedOn w:val="Normal"/>
    <w:next w:val="Tablehead"/>
    <w:pPr>
      <w:keepNext/>
      <w:keepLines/>
      <w:tabs>
        <w:tab w:val="left" w:pos="794"/>
        <w:tab w:val="left" w:pos="1191"/>
        <w:tab w:val="left" w:pos="1588"/>
        <w:tab w:val="left" w:pos="1985"/>
      </w:tabs>
      <w:autoSpaceDE w:val="0"/>
      <w:autoSpaceDN w:val="0"/>
      <w:snapToGrid/>
      <w:spacing w:before="360" w:after="120" w:line="240" w:lineRule="auto"/>
      <w:jc w:val="center"/>
      <w:textAlignment w:val="baseline"/>
    </w:pPr>
    <w:rPr>
      <w:rFonts w:eastAsia="PMingLiU"/>
      <w:b/>
      <w:snapToGrid/>
      <w:spacing w:val="0"/>
      <w:lang w:val="en-GB" w:eastAsia="en-US"/>
    </w:rPr>
  </w:style>
  <w:style w:type="paragraph" w:customStyle="1" w:styleId="Tablehead">
    <w:name w:val="Table_head"/>
    <w:basedOn w:val="Normal"/>
    <w:next w:val="Tabletext"/>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autoSpaceDE w:val="0"/>
      <w:autoSpaceDN w:val="0"/>
      <w:snapToGrid/>
      <w:spacing w:before="80" w:after="80" w:line="240" w:lineRule="auto"/>
      <w:jc w:val="center"/>
      <w:textAlignment w:val="baseline"/>
    </w:pPr>
    <w:rPr>
      <w:rFonts w:eastAsia="PMingLiU"/>
      <w:b/>
      <w:snapToGrid/>
      <w:spacing w:val="0"/>
      <w:sz w:val="22"/>
      <w:lang w:val="en-GB" w:eastAsia="en-US"/>
    </w:rPr>
  </w:style>
  <w:style w:type="paragraph" w:customStyle="1" w:styleId="Tabletext">
    <w:name w:val="Table_text"/>
    <w:basedOn w:val="Normal"/>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autoSpaceDE w:val="0"/>
      <w:autoSpaceDN w:val="0"/>
      <w:snapToGrid/>
      <w:spacing w:before="40" w:after="40" w:line="240" w:lineRule="auto"/>
      <w:jc w:val="left"/>
      <w:textAlignment w:val="baseline"/>
    </w:pPr>
    <w:rPr>
      <w:rFonts w:eastAsia="PMingLiU"/>
      <w:snapToGrid/>
      <w:spacing w:val="0"/>
      <w:sz w:val="22"/>
      <w:lang w:val="en-GB" w:eastAsia="en-US"/>
    </w:rPr>
  </w:style>
  <w:style w:type="paragraph" w:customStyle="1" w:styleId="Recref">
    <w:name w:val="Rec_ref"/>
    <w:basedOn w:val="Normal"/>
    <w:next w:val="Normal"/>
    <w:pPr>
      <w:keepNext/>
      <w:keepLines/>
      <w:autoSpaceDE w:val="0"/>
      <w:autoSpaceDN w:val="0"/>
      <w:snapToGrid/>
      <w:spacing w:before="120" w:line="240" w:lineRule="auto"/>
      <w:jc w:val="center"/>
      <w:textAlignment w:val="baseline"/>
    </w:pPr>
    <w:rPr>
      <w:rFonts w:eastAsia="PMingLiU"/>
      <w:i/>
      <w:snapToGrid/>
      <w:spacing w:val="0"/>
      <w:lang w:val="en-GB" w:eastAsia="en-US"/>
    </w:rPr>
  </w:style>
  <w:style w:type="paragraph" w:customStyle="1" w:styleId="Parttitle">
    <w:name w:val="Part_title"/>
    <w:basedOn w:val="Normal"/>
    <w:next w:val="Normal"/>
    <w:pPr>
      <w:keepNext/>
      <w:keepLines/>
      <w:tabs>
        <w:tab w:val="left" w:pos="794"/>
        <w:tab w:val="left" w:pos="1191"/>
        <w:tab w:val="left" w:pos="1588"/>
        <w:tab w:val="left" w:pos="1985"/>
      </w:tabs>
      <w:autoSpaceDE w:val="0"/>
      <w:autoSpaceDN w:val="0"/>
      <w:snapToGrid/>
      <w:spacing w:before="240" w:after="280" w:line="240" w:lineRule="auto"/>
      <w:jc w:val="center"/>
      <w:textAlignment w:val="baseline"/>
    </w:pPr>
    <w:rPr>
      <w:rFonts w:eastAsia="PMingLiU"/>
      <w:b/>
      <w:snapToGrid/>
      <w:spacing w:val="0"/>
      <w:sz w:val="28"/>
      <w:lang w:val="en-GB" w:eastAsia="en-US"/>
    </w:rPr>
  </w:style>
  <w:style w:type="paragraph" w:customStyle="1" w:styleId="Figurelegend">
    <w:name w:val="Figure_legend"/>
    <w:basedOn w:val="Normal"/>
    <w:pPr>
      <w:keepNext/>
      <w:keepLines/>
      <w:autoSpaceDE w:val="0"/>
      <w:autoSpaceDN w:val="0"/>
      <w:snapToGrid/>
      <w:spacing w:before="20" w:after="20" w:line="240" w:lineRule="auto"/>
      <w:jc w:val="left"/>
      <w:textAlignment w:val="baseline"/>
    </w:pPr>
    <w:rPr>
      <w:rFonts w:eastAsia="PMingLiU"/>
      <w:snapToGrid/>
      <w:spacing w:val="0"/>
      <w:sz w:val="18"/>
      <w:lang w:val="en-GB" w:eastAsia="en-US"/>
    </w:rPr>
  </w:style>
  <w:style w:type="paragraph" w:styleId="BodyText3">
    <w:name w:val="Body Text 3"/>
    <w:basedOn w:val="Normal"/>
    <w:semiHidden/>
    <w:pPr>
      <w:widowControl w:val="0"/>
      <w:overflowPunct/>
      <w:adjustRightInd/>
      <w:snapToGrid/>
      <w:spacing w:line="240" w:lineRule="auto"/>
      <w:jc w:val="left"/>
    </w:pPr>
    <w:rPr>
      <w:rFonts w:eastAsia="PMingLiU"/>
      <w:b/>
      <w:bCs/>
      <w:spacing w:val="0"/>
      <w:sz w:val="1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239</Pages>
  <Words>27188</Words>
  <Characters>154973</Characters>
  <Application>Microsoft Office Word</Application>
  <DocSecurity>4</DocSecurity>
  <Lines>1291</Lines>
  <Paragraphs>309</Paragraphs>
  <ScaleCrop>false</ScaleCrop>
  <HeadingPairs>
    <vt:vector size="4" baseType="variant">
      <vt:variant>
        <vt:lpstr>题目</vt:lpstr>
      </vt:variant>
      <vt:variant>
        <vt:i4>1</vt:i4>
      </vt:variant>
      <vt:variant>
        <vt:lpstr>标题</vt:lpstr>
      </vt:variant>
      <vt:variant>
        <vt:i4>46</vt:i4>
      </vt:variant>
    </vt:vector>
  </HeadingPairs>
  <TitlesOfParts>
    <vt:vector size="47" baseType="lpstr">
      <vt:lpstr>                                                                                                                              </vt:lpstr>
      <vt:lpstr>    《经济、社会、文化权利国际公约》的执行情况</vt:lpstr>
      <vt:lpstr>        缔约国按照《公约》第十六和第十七条 提交的第三次定期报告</vt:lpstr>
      <vt:lpstr>        增  编</vt:lpstr>
      <vt:lpstr>    智  利 *  **</vt:lpstr>
      <vt:lpstr>    智利按照《经济、社会、文化权利国际公约》 第十六和第十条提交的关于《公约》 执行情况的第三次报告</vt:lpstr>
      <vt:lpstr>    导  言</vt:lpstr>
      <vt:lpstr>    报告关于一般性规定的部分</vt:lpstr>
      <vt:lpstr>        第 一 条</vt:lpstr>
      <vt:lpstr>        自 决 权</vt:lpstr>
      <vt:lpstr>        第 二 条</vt:lpstr>
      <vt:lpstr>        采取措施(特别是经济和技术措施) 以便以所有可能的方法， 特别是通过立法措施，逐渐实现《公约》所承认的权利</vt:lpstr>
      <vt:lpstr>        表 1.  根据补助的原因分列的每年发放补助养恤金的数目</vt:lpstr>
      <vt:lpstr>        表 2.  因精神上的缺陷支付的统一家属津贴</vt:lpstr>
      <vt:lpstr>        表 3.  65岁或以上的人口参加劳动力的比率 (百分比)</vt:lpstr>
      <vt:lpstr>        第 三 条</vt:lpstr>
      <vt:lpstr>        承诺确保男女有权平等享有《公约》所列的权利</vt:lpstr>
      <vt:lpstr>        第 四 条</vt:lpstr>
      <vt:lpstr>        对《公约》所保障权利的限制</vt:lpstr>
      <vt:lpstr>        第 五 条</vt:lpstr>
      <vt:lpstr>    报告涉及某些权利的部分</vt:lpstr>
      <vt:lpstr>        第 六 条</vt:lpstr>
      <vt:lpstr>        工 作 权</vt:lpstr>
      <vt:lpstr>        表  4 1990至2001年智利的就业趋势</vt:lpstr>
      <vt:lpstr>        表  5 1990至2001年**，按性别* 分列的参与率 (百分比)</vt:lpstr>
      <vt:lpstr>        表  6 1990至2000年按性别分列的失业率 * (百分比)</vt:lpstr>
      <vt:lpstr>        表  7 1990至2001年，智利男女性失业情况变化趋势 (每千人)</vt:lpstr>
      <vt:lpstr>        表  8 1989年至2000年在职雇员人均生产率</vt:lpstr>
      <vt:lpstr>        第 七 条</vt:lpstr>
      <vt:lpstr>        合理和良好工作条件的权利</vt:lpstr>
      <vt:lpstr>        表  9 1989至2000年按实际价值计算的收入和最低工资指数 (以1999年＝100为基准)</vt:lpstr>
      <vt:lpstr>        第 八 条</vt:lpstr>
      <vt:lpstr>        工 会 权 利</vt:lpstr>
      <vt:lpstr>        按工会类型规定的组建工会的法定人数</vt:lpstr>
      <vt:lpstr>        表  10 1990至1999年期间按工会类型分列的工会数量变化情况</vt:lpstr>
      <vt:lpstr>        表  11 1990至1999年期间智利工会和会员总数</vt:lpstr>
      <vt:lpstr>        表  12 1990至1999年期间，根据工会类别分列的智利工会会员变化情况</vt:lpstr>
      <vt:lpstr>        第 九 条</vt:lpstr>
      <vt:lpstr>        社会保障权</vt:lpstr>
      <vt:lpstr>        表  13 1987年至2000年公共支出和财政支出概算 (按2000年的汇率计算的百万比索)</vt:lpstr>
      <vt:lpstr>        第 十 条</vt:lpstr>
      <vt:lpstr>        对家庭、母亲与儿童的保护</vt:lpstr>
      <vt:lpstr>        表  14 1990、1995和2000年民事登记和鉴定纪录的变化</vt:lpstr>
      <vt:lpstr>        表  15 法律援助方案的咨询领域 1999年1月至12月</vt:lpstr>
      <vt:lpstr>        第十一条</vt:lpstr>
      <vt:lpstr>        获得相当的生活水准的权利</vt:lpstr>
      <vt:lpstr>        表  16 1989－2000年用于社会福利* 的公共支出和财政支出 (按2000年价值计算的百万比索)(按2000年价值计算的美元)</vt:lpstr>
    </vt:vector>
  </TitlesOfParts>
  <Company>Chinese Unit - GE</Company>
  <LinksUpToDate>false</LinksUpToDate>
  <CharactersWithSpaces>190317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SIJ</dc:creator>
  <cp:keywords/>
  <dc:description>经济及社会理事会</dc:description>
  <cp:lastModifiedBy>niu</cp:lastModifiedBy>
  <cp:revision>2</cp:revision>
  <cp:lastPrinted>2004-12-29T08:08:00Z</cp:lastPrinted>
  <dcterms:created xsi:type="dcterms:W3CDTF">2004-12-29T08:09:00Z</dcterms:created>
  <dcterms:modified xsi:type="dcterms:W3CDTF">2004-12-29T08:09:00Z</dcterms:modified>
  <cp:category>E</cp:category>
</cp:coreProperties>
</file>