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E0B97" w:rsidTr="00782EEE">
        <w:trPr>
          <w:trHeight w:hRule="exact" w:val="851"/>
        </w:trPr>
        <w:tc>
          <w:tcPr>
            <w:tcW w:w="1280" w:type="dxa"/>
            <w:tcBorders>
              <w:bottom w:val="single" w:sz="4" w:space="0" w:color="auto"/>
            </w:tcBorders>
            <w:shd w:val="clear" w:color="auto" w:fill="auto"/>
          </w:tcPr>
          <w:p w:rsidR="002D5AAC" w:rsidRPr="003E0B97" w:rsidRDefault="002D5AAC" w:rsidP="00782EEE"/>
        </w:tc>
        <w:tc>
          <w:tcPr>
            <w:tcW w:w="2273" w:type="dxa"/>
            <w:tcBorders>
              <w:bottom w:val="single" w:sz="4" w:space="0" w:color="auto"/>
            </w:tcBorders>
            <w:shd w:val="clear" w:color="auto" w:fill="auto"/>
            <w:vAlign w:val="bottom"/>
          </w:tcPr>
          <w:p w:rsidR="002D5AAC" w:rsidRPr="00782EEE" w:rsidRDefault="00BD33EE" w:rsidP="00782EEE">
            <w:pPr>
              <w:spacing w:after="80" w:line="300" w:lineRule="exact"/>
              <w:rPr>
                <w:sz w:val="28"/>
              </w:rPr>
            </w:pPr>
            <w:r w:rsidRPr="00782EEE">
              <w:rPr>
                <w:sz w:val="28"/>
              </w:rPr>
              <w:t>Naciones Unidas</w:t>
            </w:r>
          </w:p>
        </w:tc>
        <w:tc>
          <w:tcPr>
            <w:tcW w:w="6086" w:type="dxa"/>
            <w:gridSpan w:val="2"/>
            <w:tcBorders>
              <w:bottom w:val="single" w:sz="4" w:space="0" w:color="auto"/>
            </w:tcBorders>
            <w:shd w:val="clear" w:color="auto" w:fill="auto"/>
            <w:vAlign w:val="bottom"/>
          </w:tcPr>
          <w:p w:rsidR="002D5AAC" w:rsidRPr="003E0B97" w:rsidRDefault="003E236A" w:rsidP="00782EEE">
            <w:pPr>
              <w:jc w:val="right"/>
            </w:pPr>
            <w:r w:rsidRPr="00782EEE">
              <w:rPr>
                <w:sz w:val="40"/>
              </w:rPr>
              <w:t>E</w:t>
            </w:r>
            <w:r w:rsidRPr="003E0B97">
              <w:t>/C.12/ESP/6</w:t>
            </w:r>
          </w:p>
        </w:tc>
      </w:tr>
      <w:tr w:rsidR="002D5AAC" w:rsidRPr="003E0B97" w:rsidTr="00782EEE">
        <w:trPr>
          <w:trHeight w:hRule="exact" w:val="2835"/>
        </w:trPr>
        <w:tc>
          <w:tcPr>
            <w:tcW w:w="1280" w:type="dxa"/>
            <w:tcBorders>
              <w:top w:val="single" w:sz="4" w:space="0" w:color="auto"/>
              <w:bottom w:val="single" w:sz="12" w:space="0" w:color="auto"/>
            </w:tcBorders>
            <w:shd w:val="clear" w:color="auto" w:fill="auto"/>
          </w:tcPr>
          <w:p w:rsidR="002D5AAC" w:rsidRPr="003E0B97" w:rsidRDefault="00A93DFB" w:rsidP="00782EEE">
            <w:pPr>
              <w:spacing w:before="120"/>
              <w:jc w:val="center"/>
            </w:pPr>
            <w:r>
              <w:rPr>
                <w:noProof/>
                <w:lang w:eastAsia="zh-CN"/>
              </w:rPr>
              <w:drawing>
                <wp:inline distT="0" distB="0" distL="0" distR="0">
                  <wp:extent cx="714375" cy="590550"/>
                  <wp:effectExtent l="0" t="0" r="0" b="0"/>
                  <wp:docPr id="20"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782EEE" w:rsidRDefault="004B19F2" w:rsidP="00782EEE">
            <w:pPr>
              <w:spacing w:before="120" w:line="420" w:lineRule="exact"/>
              <w:rPr>
                <w:b/>
                <w:sz w:val="40"/>
                <w:szCs w:val="40"/>
              </w:rPr>
            </w:pPr>
            <w:r w:rsidRPr="00782EEE">
              <w:rPr>
                <w:b/>
                <w:sz w:val="40"/>
                <w:szCs w:val="40"/>
              </w:rPr>
              <w:t>Consejo Económico y Social</w:t>
            </w:r>
          </w:p>
        </w:tc>
        <w:tc>
          <w:tcPr>
            <w:tcW w:w="2819" w:type="dxa"/>
            <w:tcBorders>
              <w:top w:val="single" w:sz="4" w:space="0" w:color="auto"/>
              <w:bottom w:val="single" w:sz="12" w:space="0" w:color="auto"/>
            </w:tcBorders>
            <w:shd w:val="clear" w:color="auto" w:fill="auto"/>
          </w:tcPr>
          <w:p w:rsidR="002D5AAC" w:rsidRPr="003E0B97" w:rsidRDefault="003E236A" w:rsidP="00782EEE">
            <w:pPr>
              <w:spacing w:before="240" w:line="240" w:lineRule="exact"/>
            </w:pPr>
            <w:r w:rsidRPr="003E0B97">
              <w:t>Distr. general</w:t>
            </w:r>
          </w:p>
          <w:p w:rsidR="003E236A" w:rsidRPr="003E0B97" w:rsidRDefault="0011482B" w:rsidP="00782EEE">
            <w:pPr>
              <w:spacing w:line="240" w:lineRule="exact"/>
            </w:pPr>
            <w:r>
              <w:t>31</w:t>
            </w:r>
            <w:r w:rsidR="007458C5">
              <w:t xml:space="preserve"> de</w:t>
            </w:r>
            <w:r w:rsidR="003E236A" w:rsidRPr="003E0B97">
              <w:t xml:space="preserve"> </w:t>
            </w:r>
            <w:r w:rsidR="00DE3DA8">
              <w:t>octub</w:t>
            </w:r>
            <w:r w:rsidR="003E236A" w:rsidRPr="003E0B97">
              <w:t>re</w:t>
            </w:r>
            <w:r w:rsidR="007458C5">
              <w:t xml:space="preserve"> de</w:t>
            </w:r>
            <w:r w:rsidR="003E236A" w:rsidRPr="003E0B97">
              <w:t xml:space="preserve"> 2017</w:t>
            </w:r>
          </w:p>
          <w:p w:rsidR="003E236A" w:rsidRPr="003E0B97" w:rsidRDefault="003E236A" w:rsidP="00782EEE">
            <w:pPr>
              <w:spacing w:line="240" w:lineRule="exact"/>
            </w:pPr>
          </w:p>
          <w:p w:rsidR="003E236A" w:rsidRPr="003E0B97" w:rsidRDefault="003E236A" w:rsidP="00782EEE">
            <w:pPr>
              <w:spacing w:line="240" w:lineRule="exact"/>
            </w:pPr>
            <w:r w:rsidRPr="003E0B97">
              <w:t>Original: español</w:t>
            </w:r>
          </w:p>
          <w:p w:rsidR="00087D8B" w:rsidRPr="003E0B97" w:rsidRDefault="00087D8B" w:rsidP="00782EEE">
            <w:pPr>
              <w:spacing w:line="240" w:lineRule="exact"/>
            </w:pPr>
            <w:r w:rsidRPr="003E0B97">
              <w:t>Español, francés e inglés únicamente</w:t>
            </w:r>
          </w:p>
        </w:tc>
      </w:tr>
    </w:tbl>
    <w:p w:rsidR="00087D8B" w:rsidRPr="00F36DAB" w:rsidRDefault="00087D8B" w:rsidP="00F36DAB">
      <w:pPr>
        <w:spacing w:before="120"/>
        <w:rPr>
          <w:sz w:val="24"/>
        </w:rPr>
      </w:pPr>
      <w:r w:rsidRPr="00F36DAB">
        <w:rPr>
          <w:b/>
          <w:sz w:val="24"/>
        </w:rPr>
        <w:t>Comité de Derechos Económicos, Sociales y Culturales</w:t>
      </w:r>
    </w:p>
    <w:p w:rsidR="007458C5" w:rsidRPr="00F36DAB" w:rsidRDefault="00181601" w:rsidP="00C3111D">
      <w:pPr>
        <w:pStyle w:val="HMG"/>
        <w:rPr>
          <w:b w:val="0"/>
        </w:rPr>
      </w:pPr>
      <w:r w:rsidRPr="0011482B">
        <w:tab/>
      </w:r>
      <w:r w:rsidRPr="0011482B">
        <w:tab/>
      </w:r>
      <w:r w:rsidR="00C3111D">
        <w:t xml:space="preserve">Sexto informe periódico que España debía presentar en 2017 </w:t>
      </w:r>
      <w:r w:rsidR="00914454" w:rsidRPr="0011482B">
        <w:t>en virtud de</w:t>
      </w:r>
      <w:r w:rsidR="00BB5656">
        <w:t> </w:t>
      </w:r>
      <w:r w:rsidR="00914454" w:rsidRPr="0011482B">
        <w:t>los</w:t>
      </w:r>
      <w:r w:rsidR="00BB5656">
        <w:t> </w:t>
      </w:r>
      <w:r w:rsidR="00914454" w:rsidRPr="0011482B">
        <w:t>artículos</w:t>
      </w:r>
      <w:r w:rsidR="00BB5656">
        <w:t> </w:t>
      </w:r>
      <w:r w:rsidR="00914454" w:rsidRPr="0011482B">
        <w:t>16</w:t>
      </w:r>
      <w:r w:rsidR="00BB5656">
        <w:t> </w:t>
      </w:r>
      <w:r w:rsidR="00914454" w:rsidRPr="0011482B">
        <w:t>y 17 del Pacto</w:t>
      </w:r>
      <w:r w:rsidR="0011482B" w:rsidRPr="00F36DAB">
        <w:rPr>
          <w:rStyle w:val="Refdenotaalpie"/>
          <w:b w:val="0"/>
          <w:sz w:val="20"/>
          <w:vertAlign w:val="baseline"/>
        </w:rPr>
        <w:footnoteReference w:customMarkFollows="1" w:id="1"/>
        <w:t>*</w:t>
      </w:r>
      <w:r w:rsidR="00C3111D" w:rsidRPr="00C3111D">
        <w:rPr>
          <w:rStyle w:val="Refdenotaalpie"/>
          <w:b w:val="0"/>
          <w:sz w:val="20"/>
        </w:rPr>
        <w:t>,</w:t>
      </w:r>
      <w:r w:rsidR="0011482B" w:rsidRPr="00F36DAB">
        <w:rPr>
          <w:b w:val="0"/>
          <w:sz w:val="20"/>
        </w:rPr>
        <w:t xml:space="preserve"> </w:t>
      </w:r>
      <w:r w:rsidR="0011482B" w:rsidRPr="00F36DAB">
        <w:rPr>
          <w:rStyle w:val="Refdenotaalpie"/>
          <w:b w:val="0"/>
          <w:sz w:val="20"/>
          <w:vertAlign w:val="baseline"/>
        </w:rPr>
        <w:footnoteReference w:customMarkFollows="1" w:id="2"/>
        <w:t>**</w:t>
      </w:r>
    </w:p>
    <w:p w:rsidR="00F62F36" w:rsidRPr="003E0B97" w:rsidRDefault="00F62F36" w:rsidP="00F36DAB">
      <w:pPr>
        <w:pStyle w:val="SingleTxtG"/>
        <w:jc w:val="right"/>
      </w:pPr>
      <w:bookmarkStart w:id="0" w:name="_GoBack"/>
      <w:bookmarkEnd w:id="0"/>
      <w:r w:rsidRPr="003E0B97">
        <w:t xml:space="preserve">[Fecha de recepción: </w:t>
      </w:r>
      <w:r w:rsidR="00E10B3B">
        <w:t>9</w:t>
      </w:r>
      <w:r w:rsidRPr="003E0B97">
        <w:t xml:space="preserve"> de </w:t>
      </w:r>
      <w:r w:rsidR="00E32D1A" w:rsidRPr="003E0B97">
        <w:t xml:space="preserve">septiembre </w:t>
      </w:r>
      <w:r w:rsidRPr="003E0B97">
        <w:t>de 201</w:t>
      </w:r>
      <w:r w:rsidR="00E10B3B">
        <w:t>7</w:t>
      </w:r>
      <w:r w:rsidRPr="003E0B97">
        <w:t>]</w:t>
      </w:r>
    </w:p>
    <w:p w:rsidR="00384375" w:rsidRDefault="00580985" w:rsidP="00F36DAB">
      <w:pPr>
        <w:pStyle w:val="HChG"/>
        <w:spacing w:before="0"/>
      </w:pPr>
      <w:r>
        <w:br w:type="page"/>
      </w:r>
      <w:r>
        <w:lastRenderedPageBreak/>
        <w:tab/>
        <w:t>A.</w:t>
      </w:r>
      <w:r>
        <w:tab/>
      </w:r>
      <w:r w:rsidR="00384375" w:rsidRPr="003E0B97">
        <w:t>Cuestiones de particular importancia</w:t>
      </w:r>
    </w:p>
    <w:p w:rsidR="00384375" w:rsidRPr="003E0B97" w:rsidRDefault="00580985" w:rsidP="00F36DAB">
      <w:pPr>
        <w:pStyle w:val="H1G"/>
      </w:pPr>
      <w:r>
        <w:tab/>
        <w:t>1.</w:t>
      </w:r>
      <w:r>
        <w:tab/>
      </w:r>
      <w:r w:rsidR="00384375" w:rsidRPr="003E0B97">
        <w:t>Garantías para el disfrute por todos de los derechos económicos, sociales y culturales</w:t>
      </w:r>
    </w:p>
    <w:p w:rsidR="00384375" w:rsidRPr="00F36DAB" w:rsidRDefault="00BD4D4A" w:rsidP="00F36DAB">
      <w:pPr>
        <w:pStyle w:val="SingleTxtG"/>
      </w:pPr>
      <w:r w:rsidRPr="009D3089">
        <w:t>1.</w:t>
      </w:r>
      <w:r w:rsidRPr="009D3089">
        <w:tab/>
      </w:r>
      <w:r w:rsidR="00384375" w:rsidRPr="009D3089">
        <w:t>En España, con carácter general, todas las personas, incluidas las más vulnerables, tienen acceso a los instrumentos del Estado del bienestar, ya sea en el plano nacional, regional o local. Entre otras medidas,</w:t>
      </w:r>
      <w:r w:rsidR="00384375" w:rsidRPr="00F36DAB">
        <w:t xml:space="preserve"> se contemplan la universalización de los sistemas educativo y sanitario, las pensiones no contributivas, el refuerzo de la protección por desempleo, la consolidación de un sistema público de servicios sociales, las políticas de vivienda social o la asistencia jurídica gratuita.</w:t>
      </w:r>
    </w:p>
    <w:p w:rsidR="00384375" w:rsidRPr="00F36DAB" w:rsidRDefault="00BD4D4A" w:rsidP="00F36DAB">
      <w:pPr>
        <w:pStyle w:val="SingleTxtG"/>
      </w:pPr>
      <w:r w:rsidRPr="00F36DAB">
        <w:t>2.</w:t>
      </w:r>
      <w:r w:rsidRPr="00F36DAB">
        <w:tab/>
      </w:r>
      <w:r w:rsidR="00384375" w:rsidRPr="00F36DAB">
        <w:t>En este contexto, teniendo presente las preocupaciones del Comité manifestadas por carta en 2012, ninguna de las decisiones adoptadas en los últimos años han podido infringir las obligaciones contraídas por España a través del Pacto.</w:t>
      </w:r>
    </w:p>
    <w:p w:rsidR="00384375" w:rsidRPr="00F36DAB" w:rsidRDefault="00BD4D4A" w:rsidP="00F36DAB">
      <w:pPr>
        <w:pStyle w:val="SingleTxtG"/>
      </w:pPr>
      <w:r w:rsidRPr="00F36DAB">
        <w:t>3.</w:t>
      </w:r>
      <w:r w:rsidRPr="00F36DAB">
        <w:tab/>
      </w:r>
      <w:r w:rsidR="00384375" w:rsidRPr="00F36DAB">
        <w:t>No obstante, reconociendo que ciertas medidas pueden tener impactos negativos en determinadas personas y grupos, a través de mecanismos sugeridos por el Comité, como las ayudas económicas, se canalizan rentas para hacer frente a las necesidades del día a día de quien lo puedan necesitar.</w:t>
      </w:r>
    </w:p>
    <w:p w:rsidR="00384375" w:rsidRPr="00F36DAB" w:rsidRDefault="00BD4D4A" w:rsidP="00F36DAB">
      <w:pPr>
        <w:pStyle w:val="SingleTxtG"/>
      </w:pPr>
      <w:r w:rsidRPr="00F36DAB">
        <w:t>4.</w:t>
      </w:r>
      <w:r w:rsidRPr="00F36DAB">
        <w:tab/>
      </w:r>
      <w:r w:rsidR="00384375" w:rsidRPr="00F36DAB">
        <w:t xml:space="preserve">Especial importancia tienen las denominadas prestaciones no contributivas, gestionadas en el ámbito nacional, por las que se concede una determinada suma mensual, calculada de acuerdo a diversos criterios, a aquellas personas que no han generado derecho a una prestación contributiva o que la han agotado (como ocurre, por ejemplo, en el caso de los subsidios por desempleo). </w:t>
      </w:r>
    </w:p>
    <w:p w:rsidR="00384375" w:rsidRPr="00F36DAB" w:rsidRDefault="00BD4D4A" w:rsidP="00F36DAB">
      <w:pPr>
        <w:pStyle w:val="SingleTxtG"/>
      </w:pPr>
      <w:r w:rsidRPr="00F36DAB">
        <w:t>5.</w:t>
      </w:r>
      <w:r w:rsidRPr="00F36DAB">
        <w:tab/>
      </w:r>
      <w:r w:rsidR="00384375" w:rsidRPr="00F36DAB">
        <w:t>En los planos regional y local es de destacar la importancia de las Rentas Mínimas de Inserción (RMI). Las prestaciones van acompañadas además de un proceso de intervención social y, en su caso, de procesos de inserción laboral.</w:t>
      </w:r>
    </w:p>
    <w:p w:rsidR="00384375" w:rsidRPr="00F36DAB" w:rsidRDefault="00BD4D4A" w:rsidP="00F36DAB">
      <w:pPr>
        <w:pStyle w:val="SingleTxtG"/>
      </w:pPr>
      <w:r w:rsidRPr="00F36DAB">
        <w:t>6.</w:t>
      </w:r>
      <w:r w:rsidRPr="00F36DAB">
        <w:tab/>
      </w:r>
      <w:r w:rsidR="00384375" w:rsidRPr="00F36DAB">
        <w:t>No menos relevantes son las ayudas al tercer sector. En 2013 se agilizó el pago de las deudas que las Comunidades Autónomas y las Entidades Locales pudieran tener con sus proveedores, mediante el Real Decreto-</w:t>
      </w:r>
      <w:r w:rsidR="003D3899">
        <w:t>Ley</w:t>
      </w:r>
      <w:r w:rsidR="00384375" w:rsidRPr="00F36DAB">
        <w:t xml:space="preserve"> </w:t>
      </w:r>
      <w:r w:rsidR="00C142E0">
        <w:t xml:space="preserve">núm. </w:t>
      </w:r>
      <w:r w:rsidR="00384375" w:rsidRPr="00F36DAB">
        <w:t>8/2013. Se ha tenido presente a las asociaciones e instituciones sin fines de lucro y con fines sociales en campos como la infancia y las familias, las personas con discapacidad o las personas de edad.</w:t>
      </w:r>
    </w:p>
    <w:p w:rsidR="00384375" w:rsidRPr="00F36DAB" w:rsidRDefault="00BD4D4A" w:rsidP="00F36DAB">
      <w:pPr>
        <w:pStyle w:val="SingleTxtG"/>
      </w:pPr>
      <w:r w:rsidRPr="00F36DAB">
        <w:t>7.</w:t>
      </w:r>
      <w:r w:rsidRPr="00F36DAB">
        <w:tab/>
      </w:r>
      <w:r w:rsidR="00384375" w:rsidRPr="00F36DAB">
        <w:t>Cabe señalar también que las entidades del tercer sector fueron reconocidas como colaboradoras de las Administraciones Públicas mediante el Real Decreto-</w:t>
      </w:r>
      <w:r w:rsidR="003D3899">
        <w:t>Ley</w:t>
      </w:r>
      <w:r w:rsidR="00384375" w:rsidRPr="00F36DAB">
        <w:t xml:space="preserve"> </w:t>
      </w:r>
      <w:r w:rsidR="00C142E0">
        <w:t xml:space="preserve">núm. </w:t>
      </w:r>
      <w:r w:rsidR="00384375" w:rsidRPr="00F36DAB">
        <w:t>7/2013, que contempla medidas urgentes de naturaleza tributaria, presupuestaria y de fomento de la investigación, el desarrollo y la innovación.</w:t>
      </w:r>
    </w:p>
    <w:p w:rsidR="00384375" w:rsidRPr="00F36DAB" w:rsidRDefault="00BD4D4A" w:rsidP="00F36DAB">
      <w:pPr>
        <w:pStyle w:val="SingleTxtG"/>
      </w:pPr>
      <w:r w:rsidRPr="00F36DAB">
        <w:t>8.</w:t>
      </w:r>
      <w:r w:rsidRPr="00F36DAB">
        <w:tab/>
      </w:r>
      <w:r w:rsidR="00384375" w:rsidRPr="00F36DAB">
        <w:t xml:space="preserve">Hechas estas aclaraciones generales, en los casos de ciertas personas y grupos en particular, existen actuaciones específicas que garantizan la aplicación del Pacto, incluso en escenarios económicos desfavorables. </w:t>
      </w:r>
    </w:p>
    <w:p w:rsidR="00384375" w:rsidRPr="00F36DAB" w:rsidRDefault="00BD4D4A" w:rsidP="00F36DAB">
      <w:pPr>
        <w:pStyle w:val="SingleTxtG"/>
      </w:pPr>
      <w:r w:rsidRPr="00F36DAB">
        <w:t>9.</w:t>
      </w:r>
      <w:r w:rsidRPr="00F36DAB">
        <w:tab/>
      </w:r>
      <w:r w:rsidR="00384375" w:rsidRPr="00F36DAB">
        <w:t>En cuanto a los gitanos, la Fundación Secretariado Gitano señala en su informe Crisis económica y comunidad gitana. El impacto de la crisis y las medidas de austeridad en la situación de la comunidad gitana en España que la crisis económica y financiera ha tenido especial incidencia en este colectivo.</w:t>
      </w:r>
    </w:p>
    <w:p w:rsidR="00384375" w:rsidRPr="00F36DAB" w:rsidRDefault="00BD4D4A" w:rsidP="00F36DAB">
      <w:pPr>
        <w:pStyle w:val="SingleTxtG"/>
      </w:pPr>
      <w:r w:rsidRPr="00F36DAB">
        <w:t>10.</w:t>
      </w:r>
      <w:r w:rsidRPr="00F36DAB">
        <w:tab/>
      </w:r>
      <w:r w:rsidR="00384375" w:rsidRPr="00F36DAB">
        <w:t xml:space="preserve">Para contrarrestar esta realidad, se dispone de planes gubernamentales en ámbito como el empleo o la inclusión social que contemplan referencias explícitas a la población gitana. En consecuencia, los esfuerzos son múltiples y están perfectamente coordinados, compartiéndose las buenas prácticas desde la más estrecha cooperación. </w:t>
      </w:r>
    </w:p>
    <w:p w:rsidR="00384375" w:rsidRPr="00F36DAB" w:rsidRDefault="00BD4D4A" w:rsidP="00F36DAB">
      <w:pPr>
        <w:pStyle w:val="SingleTxtG"/>
      </w:pPr>
      <w:r w:rsidRPr="00F36DAB">
        <w:t>11.</w:t>
      </w:r>
      <w:r w:rsidRPr="00F36DAB">
        <w:tab/>
      </w:r>
      <w:r w:rsidR="00384375" w:rsidRPr="00F36DAB">
        <w:t xml:space="preserve">Por otro lado, España cuenta con una Estrategia Nacional para la Inclusión Social de la Población Gitana, con horizonte 2012-2020, que, siguiendo las directrices de la Comisión Europea, establece una serie de objetivos concretos para áreas como la educación, el empleo, la salud o la vivienda, dentro del espíritu integral evocado en la carta del Comité de 2012. </w:t>
      </w:r>
    </w:p>
    <w:p w:rsidR="00384375" w:rsidRPr="00F36DAB" w:rsidRDefault="00BD4D4A" w:rsidP="00F36DAB">
      <w:pPr>
        <w:pStyle w:val="SingleTxtG"/>
      </w:pPr>
      <w:r w:rsidRPr="00F36DAB">
        <w:t>12.</w:t>
      </w:r>
      <w:r w:rsidRPr="00F36DAB">
        <w:tab/>
      </w:r>
      <w:r w:rsidR="00384375" w:rsidRPr="00F36DAB">
        <w:t xml:space="preserve">Esta Estrategia se concreta en una serie de planes operativos, el último de los cuales es de 2014-2016. Actualmente se prepara una evaluación intermedia de la misma, cuyos </w:t>
      </w:r>
      <w:r w:rsidR="00384375" w:rsidRPr="00F36DAB">
        <w:lastRenderedPageBreak/>
        <w:t xml:space="preserve">resultados se conocerán en la segunda mitad de 2017. Sobre la base de sus conclusiones se elaborará el último plan operativo, teniendo en cuenta las aportaciones de los diferentes departamentos ministeriales y de las Comunidades Autónomas. Entre las acciones cabe destacar la cooperación financiera y técnica con organizaciones no gubernamentales (ONG) del movimiento asociativo gitano y/o que trabajan por el desarrollo de la población gitana, así como la participación constante y comprehensiva del Consejo Estatal del Pueblo Gitano. </w:t>
      </w:r>
    </w:p>
    <w:p w:rsidR="00384375" w:rsidRPr="00F36DAB" w:rsidRDefault="00BD4D4A" w:rsidP="00F36DAB">
      <w:pPr>
        <w:pStyle w:val="SingleTxtG"/>
      </w:pPr>
      <w:r w:rsidRPr="00F36DAB">
        <w:t>13.</w:t>
      </w:r>
      <w:r w:rsidRPr="00F36DAB">
        <w:tab/>
      </w:r>
      <w:r w:rsidR="00384375" w:rsidRPr="00F36DAB">
        <w:t xml:space="preserve">La cooperación se establece en una doble vertiente: la de prestación de apoyo técnico a estas organizaciones y la de apoyo económico a los programas de interés social que realizan. Tan solo en el año 2015, a través de subvenciones, se concedió un total de 7.716.732,12 euros a las asociaciones del movimiento asociativo gitano. Gracias a estas subvenciones se han financiado programas de diversa índole (promoción y educación para la salud, con especial incidencia en las mujeres; inserción sociolaboral y educativa; sensibilización, convivencia intercultural, igualdad de trato y no discriminación). </w:t>
      </w:r>
    </w:p>
    <w:p w:rsidR="00384375" w:rsidRPr="00F36DAB" w:rsidRDefault="00BD4D4A" w:rsidP="00F36DAB">
      <w:pPr>
        <w:pStyle w:val="SingleTxtG"/>
      </w:pPr>
      <w:r w:rsidRPr="00F36DAB">
        <w:t>14.</w:t>
      </w:r>
      <w:r w:rsidRPr="00F36DAB">
        <w:tab/>
      </w:r>
      <w:r w:rsidR="00384375" w:rsidRPr="00F36DAB">
        <w:t>A estos esfuerzos estatales, se añaden las estrategias o planes autonómicos, alineados con la Estrategia nacional, y los planes sectoriales para distintas materias.</w:t>
      </w:r>
    </w:p>
    <w:p w:rsidR="00384375" w:rsidRPr="00F36DAB" w:rsidRDefault="00BD4D4A" w:rsidP="00F36DAB">
      <w:pPr>
        <w:pStyle w:val="SingleTxtG"/>
      </w:pPr>
      <w:r w:rsidRPr="00F36DAB">
        <w:t>15.</w:t>
      </w:r>
      <w:r w:rsidRPr="00F36DAB">
        <w:tab/>
      </w:r>
      <w:r w:rsidR="00384375" w:rsidRPr="00F36DAB">
        <w:t xml:space="preserve">En lo que se refiere a las personas con discapacidad, siguiendo las recomendaciones de necesidad y proporcionalidad apuntadas por el Comité en 2012, en unos casos se ha realizado actuaciones positivas mientras que en otros se han aplicado excepciones en las normas generales. </w:t>
      </w:r>
    </w:p>
    <w:p w:rsidR="00384375" w:rsidRPr="00F36DAB" w:rsidRDefault="00BD4D4A" w:rsidP="00F36DAB">
      <w:pPr>
        <w:pStyle w:val="SingleTxtG"/>
      </w:pPr>
      <w:r w:rsidRPr="00F36DAB">
        <w:t>16.</w:t>
      </w:r>
      <w:r w:rsidRPr="00F36DAB">
        <w:tab/>
      </w:r>
      <w:r w:rsidR="00384375" w:rsidRPr="00F36DAB">
        <w:t xml:space="preserve">A modo de ejemplo, el Real </w:t>
      </w:r>
      <w:r w:rsidR="003D3899" w:rsidRPr="00F36DAB">
        <w:t>Decreto</w:t>
      </w:r>
      <w:r w:rsidR="003D3899">
        <w:t>-</w:t>
      </w:r>
      <w:r w:rsidR="00384375" w:rsidRPr="00F36DAB">
        <w:t xml:space="preserve">Ley </w:t>
      </w:r>
      <w:r w:rsidR="003D3899">
        <w:t xml:space="preserve">núm. </w:t>
      </w:r>
      <w:r w:rsidR="00384375" w:rsidRPr="00F36DAB">
        <w:t xml:space="preserve">16/2012 establece la exención de aportación de la prestación farmacéutica de las personas con discapacidad en los supuestos contemplados en su normativa específica. En este contexto, conviene señalar que los pensionistas, ya sea por jubilación o por incapacidad, solamente deberán sufragar el 10% del coste con los máximos previstos legalmente. </w:t>
      </w:r>
    </w:p>
    <w:p w:rsidR="00384375" w:rsidRPr="00F36DAB" w:rsidRDefault="00BD4D4A" w:rsidP="00F36DAB">
      <w:pPr>
        <w:pStyle w:val="SingleTxtG"/>
      </w:pPr>
      <w:r w:rsidRPr="00F36DAB">
        <w:t>17.</w:t>
      </w:r>
      <w:r w:rsidRPr="00F36DAB">
        <w:tab/>
      </w:r>
      <w:r w:rsidR="00384375" w:rsidRPr="00F36DAB">
        <w:t xml:space="preserve">En virtud del Real Decreto </w:t>
      </w:r>
      <w:r w:rsidR="003D3899">
        <w:t xml:space="preserve">núm. </w:t>
      </w:r>
      <w:r w:rsidR="00384375" w:rsidRPr="00F36DAB">
        <w:t>1192/2012 se garantiza además con cargo a fondos públicos, a través del Sistema Nacional de Salud, la asistencia sanitaria a las personas con discapacidad.</w:t>
      </w:r>
    </w:p>
    <w:p w:rsidR="00384375" w:rsidRPr="00F36DAB" w:rsidRDefault="00BD4D4A" w:rsidP="00F36DAB">
      <w:pPr>
        <w:pStyle w:val="SingleTxtG"/>
      </w:pPr>
      <w:r w:rsidRPr="00F36DAB">
        <w:t>18.</w:t>
      </w:r>
      <w:r w:rsidRPr="00F36DAB">
        <w:tab/>
      </w:r>
      <w:r w:rsidR="00384375" w:rsidRPr="00F36DAB">
        <w:t>En el ámbito de la Administración de Justicia, se garantiza por ley la asistencia jurídica gratuita sin tener en cuenta la existencia de recursos o ingresos a favor de las personas con discapacidad intelectual cuando sean víctimas de situaciones de abuso o malos tratos. Además, se incrementa el umbral económico de las personas con discapacidad para acceder a dicho beneficio (quíntuplo del indicador público de renta de efectos múltiples).</w:t>
      </w:r>
    </w:p>
    <w:p w:rsidR="00384375" w:rsidRPr="00F36DAB" w:rsidRDefault="00BD4D4A" w:rsidP="00F36DAB">
      <w:pPr>
        <w:pStyle w:val="SingleTxtG"/>
      </w:pPr>
      <w:r w:rsidRPr="00F36DAB">
        <w:t>19.</w:t>
      </w:r>
      <w:r w:rsidRPr="00F36DAB">
        <w:tab/>
      </w:r>
      <w:r w:rsidR="00384375" w:rsidRPr="00F36DAB">
        <w:t>El Real Decreto-</w:t>
      </w:r>
      <w:r w:rsidR="003D3899">
        <w:t>Ley</w:t>
      </w:r>
      <w:r w:rsidR="00384375" w:rsidRPr="00F36DAB">
        <w:t xml:space="preserve"> </w:t>
      </w:r>
      <w:r w:rsidR="00C142E0">
        <w:t xml:space="preserve">núm. </w:t>
      </w:r>
      <w:r w:rsidR="00384375" w:rsidRPr="00F36DAB">
        <w:t>27/2012 introdujo la suspensión temporal de lanzamientos respecto de familias que cuenten con algún miembro con discapacidad igual o superior al 33</w:t>
      </w:r>
      <w:r w:rsidR="00666B89">
        <w:t>%</w:t>
      </w:r>
      <w:r w:rsidR="00384375" w:rsidRPr="00F36DAB">
        <w:t xml:space="preserve">, situación de dependencia o enfermedad acreditada que le incapacite de forma permanente para realizar una actividad laboral. Dicha medida se amplió posteriormente en el tiempo. Además, la Ley </w:t>
      </w:r>
      <w:r w:rsidR="003D3899">
        <w:t xml:space="preserve">núm. </w:t>
      </w:r>
      <w:r w:rsidR="00384375" w:rsidRPr="00F36DAB">
        <w:t xml:space="preserve">1/2013 incrementa el umbral de ingresos que se tendrán en cuenta para que opere la suspensión de los lanzamientos cuando se trata de personas con discapacidad. Asimismo se ha incluido a las personas con discapacidad entre los beneficiarios de la hipoteca inversa, antes excluidos de esta institución financiera. </w:t>
      </w:r>
    </w:p>
    <w:p w:rsidR="00384375" w:rsidRPr="00F36DAB" w:rsidRDefault="00BD4D4A" w:rsidP="00F36DAB">
      <w:pPr>
        <w:pStyle w:val="SingleTxtG"/>
      </w:pPr>
      <w:r w:rsidRPr="00F36DAB">
        <w:t>20.</w:t>
      </w:r>
      <w:r w:rsidRPr="00F36DAB">
        <w:tab/>
      </w:r>
      <w:r w:rsidR="00384375" w:rsidRPr="00F36DAB">
        <w:t>En el ámbito presupuestario, la reforma fiscal introdujo beneficios para las familias que tienen entre sus miembros a personas con discapacidad así como para las empresas que contrataran a trabajadores con discapacidad.</w:t>
      </w:r>
    </w:p>
    <w:p w:rsidR="00384375" w:rsidRPr="00F36DAB" w:rsidRDefault="00BD4D4A" w:rsidP="00F36DAB">
      <w:pPr>
        <w:pStyle w:val="SingleTxtG"/>
      </w:pPr>
      <w:r w:rsidRPr="00F36DAB">
        <w:t>21.</w:t>
      </w:r>
      <w:r w:rsidRPr="00F36DAB">
        <w:tab/>
      </w:r>
      <w:r w:rsidR="00384375" w:rsidRPr="00F36DAB">
        <w:t>Por último, se puede destacar que han aumentado las subvenciones estatales destinadas al colectivo de las personas con discapacidad y que se convocan con cargo a la asignación tributaria del impuesto que grava la renta de las personas físicas. El motivo es que en cada ejercicio cada vez más personas han optado libremente por indicar que desean que una parte de sus impuestos se destine a este fin, lo que demuestra el grado de sensibilización de la sociedad española.</w:t>
      </w:r>
    </w:p>
    <w:p w:rsidR="00384375" w:rsidRPr="003E0B97" w:rsidRDefault="00384375" w:rsidP="00F36DAB">
      <w:pPr>
        <w:pStyle w:val="H1G"/>
      </w:pPr>
      <w:r w:rsidRPr="003E0B97">
        <w:lastRenderedPageBreak/>
        <w:tab/>
      </w:r>
      <w:r w:rsidR="00580985">
        <w:t>2.</w:t>
      </w:r>
      <w:r w:rsidRPr="003E0B97">
        <w:tab/>
        <w:t>Derecho al trabajo</w:t>
      </w:r>
    </w:p>
    <w:p w:rsidR="00384375" w:rsidRPr="00F36DAB" w:rsidRDefault="00BD4D4A" w:rsidP="00F36DAB">
      <w:pPr>
        <w:pStyle w:val="SingleTxtG"/>
      </w:pPr>
      <w:r w:rsidRPr="009D3089">
        <w:t>22.</w:t>
      </w:r>
      <w:r w:rsidRPr="009D3089">
        <w:tab/>
      </w:r>
      <w:r w:rsidR="00384375" w:rsidRPr="009D3089">
        <w:t xml:space="preserve">La reforma del mercado laboral de 2012 estableció un marco de relaciones laborales orientado a </w:t>
      </w:r>
      <w:r w:rsidR="00384375" w:rsidRPr="00F36DAB">
        <w:t>hacer frente a un contexto económico caracterizado por un prolongado estancamiento de la actividad económica y una intensa destrucción de empleo. En ese contexto, especialmente las medidas de flexibilidad interna buscaban, ante todo, contribuir a frenar esa tendencia y sentar las bases de la recuperación económica para que pudiera volverse a crear empleo. De esta forma se dirigía a mejorar la empleabilidad de los trabajadores y, al mismo tiempo, a facilitar que las empresas se adaptasen a las circunstancias económicas sin destruir empleo de forma generalizada.</w:t>
      </w:r>
    </w:p>
    <w:p w:rsidR="00384375" w:rsidRPr="00F36DAB" w:rsidRDefault="00BD4D4A" w:rsidP="00F36DAB">
      <w:pPr>
        <w:pStyle w:val="SingleTxtG"/>
      </w:pPr>
      <w:r w:rsidRPr="00F36DAB">
        <w:t>23.</w:t>
      </w:r>
      <w:r w:rsidRPr="00F36DAB">
        <w:tab/>
      </w:r>
      <w:r w:rsidR="00384375" w:rsidRPr="00F36DAB">
        <w:t xml:space="preserve">En 2013, un año después de la puesta en marcha de la reforma, se presentó un informe de evaluación. Desde entonces han sido numerosos los estudios y análisis que de una u otra forma han servido de evaluación y seguimiento de los efectos de la reforma laboral. </w:t>
      </w:r>
    </w:p>
    <w:p w:rsidR="00384375" w:rsidRPr="00F36DAB" w:rsidRDefault="00BD4D4A" w:rsidP="00F36DAB">
      <w:pPr>
        <w:pStyle w:val="SingleTxtG"/>
      </w:pPr>
      <w:r w:rsidRPr="00F36DAB">
        <w:t>24.</w:t>
      </w:r>
      <w:r w:rsidRPr="00F36DAB">
        <w:tab/>
      </w:r>
      <w:r w:rsidR="00384375" w:rsidRPr="00F36DAB">
        <w:t>El informe de 2013, que fue el primero, lo publicó el Ministerio de Empleo y Seguridad Social</w:t>
      </w:r>
      <w:r w:rsidR="001329DA" w:rsidRPr="00F36DAB">
        <w:rPr>
          <w:rStyle w:val="Refdenotaalpie"/>
        </w:rPr>
        <w:footnoteReference w:id="3"/>
      </w:r>
      <w:r w:rsidR="00772C82">
        <w:t xml:space="preserve">. </w:t>
      </w:r>
      <w:r w:rsidR="00384375" w:rsidRPr="009D3089">
        <w:t xml:space="preserve">De entre sus principales conclusiones, destaca que </w:t>
      </w:r>
      <w:r w:rsidR="00BB5656" w:rsidRPr="009D3089">
        <w:t>“</w:t>
      </w:r>
      <w:r w:rsidR="00384375" w:rsidRPr="00F36DAB">
        <w:t>la reforma habría contribuido a evitar la destrucción de 225.800 empleos en el año anterior a su puesta en marcha</w:t>
      </w:r>
      <w:r w:rsidR="00BB5656" w:rsidRPr="00F36DAB">
        <w:t>”</w:t>
      </w:r>
      <w:r w:rsidR="00384375" w:rsidRPr="00F36DAB">
        <w:t xml:space="preserve">. </w:t>
      </w:r>
    </w:p>
    <w:p w:rsidR="00384375" w:rsidRPr="009D3089" w:rsidRDefault="00BD4D4A" w:rsidP="00F36DAB">
      <w:pPr>
        <w:pStyle w:val="SingleTxtG"/>
      </w:pPr>
      <w:r w:rsidRPr="00F36DAB">
        <w:t>25.</w:t>
      </w:r>
      <w:r w:rsidRPr="00F36DAB">
        <w:tab/>
      </w:r>
      <w:r w:rsidR="00384375" w:rsidRPr="00F36DAB">
        <w:t>Por otra parte, también se estima en este informe el nuevo umbral de creación de empleo que se puede derivar de las medidas de flexibilización incluidas en la reforma. Este umbral es el nivel de crecimiento del PIB a partir del cual la economía española puede empezar a generar empleo. Sobre esa base, se concluye que el umbral de crecimiento puede estar fijado desde la aprobación de la reforma en un entorno conservador del 1</w:t>
      </w:r>
      <w:r w:rsidR="00FB37F5">
        <w:t xml:space="preserve">% al </w:t>
      </w:r>
      <w:r w:rsidR="00384375" w:rsidRPr="00F36DAB">
        <w:t>1,2%. Los datos de empleo para el año 2014 parecen confirmar los resultados de este ejercicio. La economía española fue capaz de crear más de 400.000 puestos de trabajo con una tasa de crecimiento interanual de 1,4%. Además, el aumento en el número de puestos de trabajo no se debe únicamente al reparto de horas por el aumento en los contratos a tiempo parcial. También se observa un aumento en el número total de horas trabajadas</w:t>
      </w:r>
      <w:r w:rsidR="00C66443" w:rsidRPr="00F36DAB">
        <w:rPr>
          <w:rStyle w:val="Refdenotaalpie"/>
        </w:rPr>
        <w:footnoteReference w:id="4"/>
      </w:r>
      <w:r w:rsidR="00772C82">
        <w:t>.</w:t>
      </w:r>
    </w:p>
    <w:p w:rsidR="004916DE" w:rsidRPr="009D3089" w:rsidRDefault="00BD4D4A" w:rsidP="00F36DAB">
      <w:pPr>
        <w:pStyle w:val="SingleTxtG"/>
      </w:pPr>
      <w:r w:rsidRPr="00F36DAB">
        <w:t>26.</w:t>
      </w:r>
      <w:r w:rsidRPr="00F36DAB">
        <w:tab/>
      </w:r>
      <w:r w:rsidR="00384375" w:rsidRPr="00F36DAB">
        <w:t>En una segunda evaluación, publicada en el Boletín Económico del Banco de España en septiembre de 2013, se trató de aislar el posible impacto de la reforma en las principales magnitudes del mercado de trabajo del resto de factores que pueden haber condicionado esa evolución, en particular, de la adversa situación cíclica del momento analizado</w:t>
      </w:r>
      <w:r w:rsidR="004916DE" w:rsidRPr="00F36DAB">
        <w:rPr>
          <w:rStyle w:val="Refdenotaalpie"/>
        </w:rPr>
        <w:footnoteReference w:id="5"/>
      </w:r>
      <w:r w:rsidR="00772C82">
        <w:t>.</w:t>
      </w:r>
    </w:p>
    <w:p w:rsidR="00384375" w:rsidRPr="00F36DAB" w:rsidRDefault="00BD4D4A" w:rsidP="00F36DAB">
      <w:pPr>
        <w:pStyle w:val="SingleTxtG"/>
      </w:pPr>
      <w:r w:rsidRPr="00F36DAB">
        <w:t>27.</w:t>
      </w:r>
      <w:r w:rsidRPr="00F36DAB">
        <w:tab/>
      </w:r>
      <w:r w:rsidR="00384375" w:rsidRPr="00F36DAB">
        <w:t>En especial, se observó una clara reducción en el incremento salarial medio pactado en los convenios colectivos desde 2012, lo cual se cree puede achacarse tanto a los efectos de la reforma como a los derivados del Acuerdo para el Empleo y la Negociación Colectiva firmado por los agentes sociales en enero de 2012.</w:t>
      </w:r>
    </w:p>
    <w:p w:rsidR="00384375" w:rsidRPr="00F36DAB" w:rsidRDefault="00BD4D4A" w:rsidP="00F36DAB">
      <w:pPr>
        <w:pStyle w:val="SingleTxtG"/>
      </w:pPr>
      <w:r w:rsidRPr="00F36DAB">
        <w:t>28.</w:t>
      </w:r>
      <w:r w:rsidRPr="00F36DAB">
        <w:tab/>
      </w:r>
      <w:r w:rsidR="00384375" w:rsidRPr="00F36DAB">
        <w:t>Para identificar la parte de la evolución del empleo y el desempleo que se debe a los efectos de la reforma laboral, se estimó la relación entre la tasa de crecimiento del empleo y la tasa de variación de la actividad económica (Ley de Okun). A fin de evitar el sesgo que puede provocar la desfavorable evolución del empleo en el sector público, se centró esta estimación en la economía de mercado. Los resultados indicaron que el empleo en el sector privado ha mostrado un comportamiento algo mejor al esperado desde finales de 2012, lo que podría ser atribuido a los efectos de la moderación salarial derivada de la reforma.</w:t>
      </w:r>
    </w:p>
    <w:p w:rsidR="00384375" w:rsidRPr="00F36DAB" w:rsidRDefault="00BD4D4A" w:rsidP="00F36DAB">
      <w:pPr>
        <w:pStyle w:val="SingleTxtG"/>
      </w:pPr>
      <w:r w:rsidRPr="00F36DAB">
        <w:t>29.</w:t>
      </w:r>
      <w:r w:rsidRPr="00F36DAB">
        <w:tab/>
      </w:r>
      <w:r w:rsidR="00384375" w:rsidRPr="00F36DAB">
        <w:t xml:space="preserve">Finalmente, se estimaron modelos para determinar la existencia de cambios en los procesos de creación y destrucción de empleo a partir de la estadística de flujos de la Encuesta de Población Activa. Con ello se pretendía estudiar si la disminución en los costes de despido adoptada en la reforma ha generado un aumento en la tasa de destrucción de </w:t>
      </w:r>
      <w:r w:rsidR="00384375" w:rsidRPr="00F36DAB">
        <w:lastRenderedPageBreak/>
        <w:t xml:space="preserve">empleo entre los trabajadores con contrato indefinido. Los resultados apuntaron que ese no ha sido el caso con los datos observados hasta el segundo trimestre de 2013. </w:t>
      </w:r>
    </w:p>
    <w:p w:rsidR="00580985" w:rsidRPr="00F36DAB" w:rsidRDefault="00BD4D4A" w:rsidP="00F36DAB">
      <w:pPr>
        <w:pStyle w:val="SingleTxtG"/>
      </w:pPr>
      <w:r w:rsidRPr="00F36DAB">
        <w:t>30.</w:t>
      </w:r>
      <w:r w:rsidRPr="00F36DAB">
        <w:tab/>
      </w:r>
      <w:r w:rsidR="00384375" w:rsidRPr="00F36DAB">
        <w:t>Por otro lado, se buscó analizar si la creación de empleo indefinido se ha visto favorecida por estas medidas además de por la moderación salarial. Se constató que la tasa de creación de empleo ha dejado de caer desde finales de 2012. Además, se documentó de manera descriptiva que la caída es menos intensa en la salidas de desempleo hacia un empleo indefinido, lo que podría estar indicando que las medidas de impulso a la contratación indefinida pudieron estar teniendo algún efecto positivo.</w:t>
      </w:r>
    </w:p>
    <w:p w:rsidR="00384375" w:rsidRPr="00F36DAB" w:rsidRDefault="00BD4D4A" w:rsidP="00F36DAB">
      <w:pPr>
        <w:pStyle w:val="SingleTxtG"/>
      </w:pPr>
      <w:r w:rsidRPr="00F36DAB">
        <w:t>31.</w:t>
      </w:r>
      <w:r w:rsidRPr="00F36DAB">
        <w:tab/>
      </w:r>
      <w:r w:rsidR="00384375" w:rsidRPr="00F36DAB">
        <w:t>Otro informe destacable es el que publicó la OCDE en 2014</w:t>
      </w:r>
      <w:r w:rsidR="001329DA" w:rsidRPr="00F36DAB">
        <w:rPr>
          <w:rStyle w:val="Refdenotaalpie"/>
        </w:rPr>
        <w:footnoteReference w:id="6"/>
      </w:r>
      <w:r w:rsidR="00772C82">
        <w:t>.</w:t>
      </w:r>
      <w:r w:rsidR="00580985" w:rsidRPr="009D3089">
        <w:t xml:space="preserve"> </w:t>
      </w:r>
      <w:r w:rsidR="00384375" w:rsidRPr="009D3089">
        <w:t>Éste trató de determinar el efecto diferencial que puede haber tenido la reforma laboral en distintas magnitudes laborales. Entre otros aspectos, se analizaron los efectos de la reforma laboral sobre las tasas de contratación por la Encuesta de Población A</w:t>
      </w:r>
      <w:r w:rsidR="00384375" w:rsidRPr="00F36DAB">
        <w:t xml:space="preserve">ctiva. Se obtuvo que esas tasas pueden haber aumentado en un 8% gracias a la reforma, debido fundamentalmente al impacto en la contratación indefinida, que ha aumentado en un 13% (un 18% el empleo indefinido a tiempo completo). </w:t>
      </w:r>
    </w:p>
    <w:p w:rsidR="00384375" w:rsidRPr="00F36DAB" w:rsidRDefault="00BD4D4A" w:rsidP="00F36DAB">
      <w:pPr>
        <w:pStyle w:val="SingleTxtG"/>
      </w:pPr>
      <w:r w:rsidRPr="00F36DAB">
        <w:t>32.</w:t>
      </w:r>
      <w:r w:rsidRPr="00F36DAB">
        <w:tab/>
      </w:r>
      <w:r w:rsidR="00384375" w:rsidRPr="00F36DAB">
        <w:t xml:space="preserve">Igualmente se estimó el efecto de la reforma en las dinámicas del mercado de trabajo. Así, con datos de la Muestra Continua de Vidas Laborales, se pudo determinar que la reforma laboral hizo que la transición del desempleo al empleo indefinido aumentase en un 24%, de media, durante los seis primeros meses en desempleo del individuo medio. </w:t>
      </w:r>
    </w:p>
    <w:p w:rsidR="00384375" w:rsidRPr="00F36DAB" w:rsidRDefault="00BD4D4A" w:rsidP="00F36DAB">
      <w:pPr>
        <w:pStyle w:val="SingleTxtG"/>
      </w:pPr>
      <w:r w:rsidRPr="00F36DAB">
        <w:t>33.</w:t>
      </w:r>
      <w:r w:rsidRPr="00F36DAB">
        <w:tab/>
      </w:r>
      <w:r w:rsidR="00384375" w:rsidRPr="00F36DAB">
        <w:t>Este análisis se ha complementado con el realizado sobre los flujos mensuales de contratación utilizando los registros de contratos. La reforma podría haber creado unos 25.000 nuevos contratos indefinidos al mes durante el periodo analizado. El aumento en el número de contratos indefinidos se debe exclusivamente a empresas de menos de 50 trabajadores, el límite legal para poder acogerse al nuevo contrato de apoyo a emprendedores y a las subvenciones y bonificaciones aparejadas a él. En particular, 21.000 de los 25.000 nuevos contratos indefinidos que se estiman se deben a la reforma se han creado en empresas de menos de 25 trabajadores.</w:t>
      </w:r>
    </w:p>
    <w:p w:rsidR="00384375" w:rsidRPr="00F36DAB" w:rsidRDefault="00BD4D4A" w:rsidP="00F36DAB">
      <w:pPr>
        <w:pStyle w:val="SingleTxtG"/>
      </w:pPr>
      <w:r w:rsidRPr="00F36DAB">
        <w:t>34.</w:t>
      </w:r>
      <w:r w:rsidRPr="00F36DAB">
        <w:tab/>
      </w:r>
      <w:r w:rsidR="00384375" w:rsidRPr="00F36DAB">
        <w:t>Por otra parte, puede considerarse el artículo de R. Doménech, J.</w:t>
      </w:r>
      <w:r w:rsidR="00772C82">
        <w:t xml:space="preserve"> </w:t>
      </w:r>
      <w:r w:rsidR="00384375" w:rsidRPr="009D3089">
        <w:t>R García y C. Ulloa, publicado en 2016 en la Revista del Ministerio de Empleo y Seguridad Social y que lleva por título Los efectos de las reformas laborales sobre el crecimiento y el empleo. En él se estudian los efectos macroeconómicos de la reforma, en particular el de una mayor flexibilidad salarial e interna de las empresas. Se plantearon dos escenarios de estudio: en primer lugar, cuál hubiese sido la evolución de la economía en ausencia de la reforma y, en segundo, cuáles habrían sido l</w:t>
      </w:r>
      <w:r w:rsidR="00384375" w:rsidRPr="00F36DAB">
        <w:t xml:space="preserve">os efectos de contar con esa reforma antes del inicio de la crisis de 2008. </w:t>
      </w:r>
    </w:p>
    <w:p w:rsidR="00384375" w:rsidRPr="00F36DAB" w:rsidRDefault="00BD4D4A" w:rsidP="00F36DAB">
      <w:pPr>
        <w:pStyle w:val="SingleTxtG"/>
      </w:pPr>
      <w:r w:rsidRPr="00F36DAB">
        <w:t>35.</w:t>
      </w:r>
      <w:r w:rsidRPr="00F36DAB">
        <w:tab/>
      </w:r>
      <w:r w:rsidR="00384375" w:rsidRPr="00F36DAB">
        <w:t>Las principales conclusiones del artículo se dividieron en observaciones empíricas y en resultados de la aplicación del modelo econométrico.</w:t>
      </w:r>
    </w:p>
    <w:p w:rsidR="00384375" w:rsidRPr="00F36DAB" w:rsidRDefault="00BD4D4A" w:rsidP="00F36DAB">
      <w:pPr>
        <w:pStyle w:val="SingleTxtG"/>
      </w:pPr>
      <w:r w:rsidRPr="00F36DAB">
        <w:t>36.</w:t>
      </w:r>
      <w:r w:rsidRPr="00F36DAB">
        <w:tab/>
      </w:r>
      <w:r w:rsidR="00384375" w:rsidRPr="00F36DAB">
        <w:t xml:space="preserve">Respecto a las observaciones empíricas, que no son resultado de la aplicación del modelo econométrico, se apreció que la reducción del empleo en la fase recesiva de 2012-2013 fue menor de lo que cabría esperar, dadas las condiciones fiscales y financieras más adversas que en la primera fase recesiva de la crisis. Esto es consistente con la hipótesis de que la reforma laboral, sobre todo los cambios en la negociación colectiva, aumentó la flexibilidad del mercado de trabajo para hacer frente a impactos negativos. </w:t>
      </w:r>
    </w:p>
    <w:p w:rsidR="00384375" w:rsidRPr="00F36DAB" w:rsidRDefault="00BD4D4A" w:rsidP="00F36DAB">
      <w:pPr>
        <w:pStyle w:val="SingleTxtG"/>
      </w:pPr>
      <w:r w:rsidRPr="00F36DAB">
        <w:t>37.</w:t>
      </w:r>
      <w:r w:rsidRPr="00F36DAB">
        <w:tab/>
      </w:r>
      <w:r w:rsidR="00384375" w:rsidRPr="00F36DAB">
        <w:t>Otra observación empírica fue que en 2014-2015 se ha creado empleo sin un diferencial positivo de inflación con la UE o aumento en los Costes Laborales Unitarios (CLU) que hayan mermado la competitividad de la economía española. Esto contrasta con el comportamiento anterior a la crisis, cuando las ganancias de empleo acompañaban a la pérdida de competitividad.</w:t>
      </w:r>
    </w:p>
    <w:p w:rsidR="00384375" w:rsidRPr="00F36DAB" w:rsidRDefault="00BD4D4A" w:rsidP="00F36DAB">
      <w:pPr>
        <w:pStyle w:val="SingleTxtG"/>
      </w:pPr>
      <w:r w:rsidRPr="00F36DAB">
        <w:t>38.</w:t>
      </w:r>
      <w:r w:rsidRPr="00F36DAB">
        <w:tab/>
      </w:r>
      <w:r w:rsidR="00384375" w:rsidRPr="00F36DAB">
        <w:t xml:space="preserve">Asimismo se observó que por primera vez en las últimas décadas se ha creado empleo sin incurrir en déficits en la balanza por cuenta corriente y sin ayuda de devaluaciones del tipo de cambio. Los bajos precios del petróleo no explican por sí solos </w:t>
      </w:r>
      <w:r w:rsidR="00384375" w:rsidRPr="00F36DAB">
        <w:lastRenderedPageBreak/>
        <w:t>ese resultado, puesto que también fueron bajos en otros momentos en que la creación de empleo sí dio lugar a un fuerte deterioro de la balanza por cuenta corriente.</w:t>
      </w:r>
    </w:p>
    <w:p w:rsidR="00384375" w:rsidRPr="00F36DAB" w:rsidRDefault="00BD4D4A" w:rsidP="00F36DAB">
      <w:pPr>
        <w:pStyle w:val="SingleTxtG"/>
      </w:pPr>
      <w:r w:rsidRPr="00F36DAB">
        <w:t>39.</w:t>
      </w:r>
      <w:r w:rsidRPr="00F36DAB">
        <w:tab/>
      </w:r>
      <w:r w:rsidR="00384375" w:rsidRPr="00F36DAB">
        <w:t xml:space="preserve">Pasando a detallar los resultados de la aplicación del modelo econométrico, la primera conclusión es que si las exigencias salariales de 2010-2011 hubieran continuado entre 2012 y 2015, se habrían perdido 910.000 empleos adicionales y la tasa de paro habría sido 5,1 puntos superior. A largo plazo (unos seis años), la destrucción adicional de empleo habría alcanzado el 1,5 millones de puestos de trabajo y la tasa de desempleo habría sumado 6,3 puntos adicionales. </w:t>
      </w:r>
    </w:p>
    <w:p w:rsidR="00384375" w:rsidRPr="00F36DAB" w:rsidRDefault="00BD4D4A" w:rsidP="00F36DAB">
      <w:pPr>
        <w:pStyle w:val="SingleTxtG"/>
      </w:pPr>
      <w:r w:rsidRPr="00F36DAB">
        <w:t>40.</w:t>
      </w:r>
      <w:r w:rsidRPr="00F36DAB">
        <w:tab/>
      </w:r>
      <w:r w:rsidR="00384375" w:rsidRPr="00F36DAB">
        <w:t xml:space="preserve">Además, si las demandas salariales en 2008 se hubieran ajustado al comportamiento posterior a la reforma, se habría evitado la destrucción de 2 millones de empleos y la tasa de paro habría sido hoy 8 puntos inferior (12,9% en lugar de 20,9%). </w:t>
      </w:r>
    </w:p>
    <w:p w:rsidR="004916DE" w:rsidRPr="009D3089" w:rsidRDefault="00BD4D4A" w:rsidP="00F36DAB">
      <w:pPr>
        <w:pStyle w:val="SingleTxtG"/>
      </w:pPr>
      <w:r w:rsidRPr="00F36DAB">
        <w:t>41.</w:t>
      </w:r>
      <w:r w:rsidRPr="00F36DAB">
        <w:tab/>
      </w:r>
      <w:r w:rsidR="00384375" w:rsidRPr="00F36DAB">
        <w:t>En todo caso, hay que señalar que estos resultados no son atribuibles en exclusiva a la reforma laboral, sino a la moderación salarial y a ella puede haber contribuido el Acuerdo por el Empleo y la Negociación Colectiva de enero de 2012. Tampoco puede descartarse que la moderación salarial se hubiera producido por sí misma, en ausencia de reforma, como reacción de todos los agentes a los insoportables niveles de paro</w:t>
      </w:r>
      <w:r w:rsidR="004916DE" w:rsidRPr="00F36DAB">
        <w:rPr>
          <w:rStyle w:val="Refdenotaalpie"/>
        </w:rPr>
        <w:footnoteReference w:id="7"/>
      </w:r>
      <w:r w:rsidR="00772C82">
        <w:t>.</w:t>
      </w:r>
    </w:p>
    <w:p w:rsidR="004916DE" w:rsidRPr="009D3089" w:rsidRDefault="00BD4D4A" w:rsidP="00F36DAB">
      <w:pPr>
        <w:pStyle w:val="SingleTxtG"/>
      </w:pPr>
      <w:r w:rsidRPr="009D3089">
        <w:t>42.</w:t>
      </w:r>
      <w:r w:rsidRPr="009D3089">
        <w:tab/>
      </w:r>
      <w:r w:rsidR="00384375" w:rsidRPr="00F36DAB">
        <w:t>Adicionalmente, en 2016 J.</w:t>
      </w:r>
      <w:r w:rsidR="00772C82">
        <w:t xml:space="preserve"> </w:t>
      </w:r>
      <w:r w:rsidR="00384375" w:rsidRPr="009D3089">
        <w:t>I. García Pérez publicó en FEDEA Policy Papers un documento de trabajo titulado El efecto de la Reforma Laboral de 2012 sobre la dualidad y el empleo: cambios en la contratación y el despido por tipo de contrato</w:t>
      </w:r>
      <w:r w:rsidR="004916DE" w:rsidRPr="00F36DAB">
        <w:rPr>
          <w:rStyle w:val="Refdenotaalpie"/>
        </w:rPr>
        <w:footnoteReference w:id="8"/>
      </w:r>
      <w:r w:rsidR="00772C82">
        <w:t>.</w:t>
      </w:r>
    </w:p>
    <w:p w:rsidR="00384375" w:rsidRPr="00F36DAB" w:rsidRDefault="00BD4D4A" w:rsidP="00F36DAB">
      <w:pPr>
        <w:pStyle w:val="SingleTxtG"/>
      </w:pPr>
      <w:r w:rsidRPr="00F36DAB">
        <w:t>43.</w:t>
      </w:r>
      <w:r w:rsidRPr="00F36DAB">
        <w:tab/>
      </w:r>
      <w:r w:rsidR="00384375" w:rsidRPr="00F36DAB">
        <w:t xml:space="preserve">En él se presentó una evaluación parcial sobre los flujos de transición entre el empleo y el desempleo para determinar si la reforma laboral ha tenido algún efecto en ellos que pueda diferenciarse de otros factores. </w:t>
      </w:r>
    </w:p>
    <w:p w:rsidR="00384375" w:rsidRPr="009D3089" w:rsidRDefault="00BD4D4A" w:rsidP="00F36DAB">
      <w:pPr>
        <w:pStyle w:val="SingleTxtG"/>
      </w:pPr>
      <w:r w:rsidRPr="00F36DAB">
        <w:t>44.</w:t>
      </w:r>
      <w:r w:rsidRPr="00F36DAB">
        <w:tab/>
      </w:r>
      <w:r w:rsidR="00384375" w:rsidRPr="00F36DAB">
        <w:t>Según este documento, la reforma laboral de 2012 ha tenido un efecto positivo, aunque pequeño, en la reducción de la dualidad laboral. Hasta un 32% de la reducción del desempleo desde su aprobación puede atribuirse de manera directa a los efectos de la reforma medidos en este análisis (la reforma puede haber tenido efectos también vía moderación salarial, como se recoge en otros estudios)</w:t>
      </w:r>
      <w:r w:rsidR="004916DE" w:rsidRPr="00F36DAB">
        <w:rPr>
          <w:rStyle w:val="Refdenotaalpie"/>
        </w:rPr>
        <w:footnoteReference w:id="9"/>
      </w:r>
      <w:r w:rsidR="00772C82">
        <w:rPr>
          <w:rStyle w:val="Refdenotaalpie"/>
          <w:sz w:val="20"/>
          <w:vertAlign w:val="baseline"/>
        </w:rPr>
        <w:t>.</w:t>
      </w:r>
      <w:r w:rsidR="00384375" w:rsidRPr="009D3089">
        <w:t xml:space="preserve"> </w:t>
      </w:r>
    </w:p>
    <w:p w:rsidR="004916DE" w:rsidRPr="009D3089" w:rsidRDefault="00BD4D4A" w:rsidP="00F36DAB">
      <w:pPr>
        <w:pStyle w:val="SingleTxtG"/>
      </w:pPr>
      <w:r w:rsidRPr="00F36DAB">
        <w:t>45.</w:t>
      </w:r>
      <w:r w:rsidRPr="00F36DAB">
        <w:tab/>
      </w:r>
      <w:r w:rsidR="00384375" w:rsidRPr="00F36DAB">
        <w:t>Otra conclusión es que la reforma ha aumentado en un 51,3% (del 1,7% al 2,6%) la probabilidad de salir del desempleo hacia el empleo indefinido para los parados con hasta doce meses en el paro</w:t>
      </w:r>
      <w:r w:rsidR="004916DE" w:rsidRPr="00F36DAB">
        <w:rPr>
          <w:rStyle w:val="Refdenotaalpie"/>
        </w:rPr>
        <w:footnoteReference w:id="10"/>
      </w:r>
      <w:r w:rsidR="00772C82">
        <w:t>.</w:t>
      </w:r>
    </w:p>
    <w:p w:rsidR="004916DE" w:rsidRPr="009D3089" w:rsidRDefault="00BD4D4A" w:rsidP="00F36DAB">
      <w:pPr>
        <w:pStyle w:val="SingleTxtG"/>
      </w:pPr>
      <w:r w:rsidRPr="00F36DAB">
        <w:t>46.</w:t>
      </w:r>
      <w:r w:rsidRPr="00F36DAB">
        <w:tab/>
      </w:r>
      <w:r w:rsidR="00384375" w:rsidRPr="00F36DAB">
        <w:t>Esto ha disminuido la permanencia media en el paro de 12,5 a 11 meses y ha disminuido de media el paro en 24.000 personas cada año desde la reforma</w:t>
      </w:r>
      <w:r w:rsidR="004916DE" w:rsidRPr="00F36DAB">
        <w:rPr>
          <w:rStyle w:val="Refdenotaalpie"/>
        </w:rPr>
        <w:footnoteReference w:id="11"/>
      </w:r>
      <w:r w:rsidR="00772C82">
        <w:t>.</w:t>
      </w:r>
    </w:p>
    <w:p w:rsidR="00384375" w:rsidRPr="00F36DAB" w:rsidRDefault="00BD4D4A" w:rsidP="00F36DAB">
      <w:pPr>
        <w:pStyle w:val="SingleTxtG"/>
      </w:pPr>
      <w:r w:rsidRPr="00F36DAB">
        <w:t>47.</w:t>
      </w:r>
      <w:r w:rsidRPr="00F36DAB">
        <w:tab/>
      </w:r>
      <w:r w:rsidR="00384375" w:rsidRPr="00F36DAB">
        <w:t xml:space="preserve">Este efecto es especialmente intenso para los jóvenes (menores de 30 años), que prácticamente doblan su probabilidad (+88,5%) de salir del paro hacia el empleo indefinido (pasa del 1,1% al 2,07%). </w:t>
      </w:r>
    </w:p>
    <w:p w:rsidR="00384375" w:rsidRPr="00F36DAB" w:rsidRDefault="00BD4D4A" w:rsidP="00F36DAB">
      <w:pPr>
        <w:pStyle w:val="SingleTxtG"/>
      </w:pPr>
      <w:r w:rsidRPr="00F36DAB">
        <w:t>48.</w:t>
      </w:r>
      <w:r w:rsidRPr="00F36DAB">
        <w:tab/>
      </w:r>
      <w:r w:rsidR="00384375" w:rsidRPr="00F36DAB">
        <w:t xml:space="preserve">El efecto de entrada en el empleo indefinido también es mayor en las PYMES con menos de 50 trabajadores (que pueden acceder a las ventajas del Contrato de Apoyo a Emprendedores) e incluso todavía algo más en las empresas hasta 25 trabajadores. </w:t>
      </w:r>
    </w:p>
    <w:p w:rsidR="00384375" w:rsidRPr="00F36DAB" w:rsidRDefault="00BD4D4A" w:rsidP="00F36DAB">
      <w:pPr>
        <w:pStyle w:val="SingleTxtG"/>
      </w:pPr>
      <w:r w:rsidRPr="00F36DAB">
        <w:lastRenderedPageBreak/>
        <w:t>49.</w:t>
      </w:r>
      <w:r w:rsidRPr="00F36DAB">
        <w:tab/>
      </w:r>
      <w:r w:rsidR="00384375" w:rsidRPr="00F36DAB">
        <w:rPr>
          <w:rFonts w:eastAsia="Calibri"/>
        </w:rPr>
        <w:t xml:space="preserve">Asimismo, </w:t>
      </w:r>
      <w:r w:rsidR="00384375" w:rsidRPr="00F36DAB">
        <w:t xml:space="preserve">la reforma ha disminuido (en un 11%) la probabilidad de que los trabajadores temporales pierdan su empleo. Como consecuencia, ha aumentado la duración media de estos empleos de 10,5 meses a 13,3 meses. Como resultado, se estima que cada año se han ahorrado 47.000 despidos en este tipo de contratos. </w:t>
      </w:r>
    </w:p>
    <w:p w:rsidR="00384375" w:rsidRPr="00F36DAB" w:rsidRDefault="00BD4D4A" w:rsidP="00F36DAB">
      <w:pPr>
        <w:pStyle w:val="SingleTxtG"/>
      </w:pPr>
      <w:r w:rsidRPr="00F36DAB">
        <w:t>50.</w:t>
      </w:r>
      <w:r w:rsidRPr="00F36DAB">
        <w:tab/>
      </w:r>
      <w:r w:rsidR="00384375" w:rsidRPr="00F36DAB">
        <w:t xml:space="preserve">Por otra parte, la reforma no ha tenido efectos significativos en la probabilidad de que los trabajadores indefinidos pierdan su empleo. Probablemente, el efecto del menor coste del despido, que podría haberla aumentado, se ha visto compensado con la mayor flexibilidad interna, que la disminuye. </w:t>
      </w:r>
    </w:p>
    <w:p w:rsidR="00384375" w:rsidRPr="00F36DAB" w:rsidRDefault="00BD4D4A" w:rsidP="00F36DAB">
      <w:pPr>
        <w:pStyle w:val="SingleTxtG"/>
      </w:pPr>
      <w:r w:rsidRPr="00F36DAB">
        <w:t>51.</w:t>
      </w:r>
      <w:r w:rsidRPr="00F36DAB">
        <w:tab/>
      </w:r>
      <w:r w:rsidR="00384375" w:rsidRPr="00F36DAB">
        <w:t xml:space="preserve">Tras la reforma, los trabajadores con contrato temporal tienen más probabilidades de pasar a un contrato indefinido, especialmente los menores de 30 años. </w:t>
      </w:r>
    </w:p>
    <w:p w:rsidR="00384375" w:rsidRPr="00F36DAB" w:rsidRDefault="00BD4D4A" w:rsidP="00F36DAB">
      <w:pPr>
        <w:pStyle w:val="SingleTxtG"/>
      </w:pPr>
      <w:r w:rsidRPr="00F36DAB">
        <w:t>52.</w:t>
      </w:r>
      <w:r w:rsidRPr="00F36DAB">
        <w:tab/>
      </w:r>
      <w:r w:rsidR="00384375" w:rsidRPr="00F36DAB">
        <w:t xml:space="preserve">Como resultado de lo anterior, la reforma podría ser responsable de un 32% de la reducción del paro de marzo </w:t>
      </w:r>
      <w:r w:rsidR="00903790">
        <w:t xml:space="preserve">de </w:t>
      </w:r>
      <w:r w:rsidR="00384375" w:rsidRPr="00F36DAB">
        <w:t xml:space="preserve">2012 a diciembre </w:t>
      </w:r>
      <w:r w:rsidR="00903790">
        <w:t xml:space="preserve">de </w:t>
      </w:r>
      <w:r w:rsidR="00384375" w:rsidRPr="00F36DAB">
        <w:t xml:space="preserve">2015. Ha disminuido la tasa de paro de equilibrio de la economía española, aunque no puede precisarse en qué medida. </w:t>
      </w:r>
    </w:p>
    <w:p w:rsidR="00384375" w:rsidRPr="00F36DAB" w:rsidRDefault="00BD4D4A" w:rsidP="00F36DAB">
      <w:pPr>
        <w:pStyle w:val="SingleTxtG"/>
      </w:pPr>
      <w:r w:rsidRPr="00F36DAB">
        <w:t>53.</w:t>
      </w:r>
      <w:r w:rsidRPr="00F36DAB">
        <w:tab/>
      </w:r>
      <w:r w:rsidR="00384375" w:rsidRPr="00F36DAB">
        <w:t xml:space="preserve">Otro informe que se puede considerar es el informe país de 2016 publicado por la Comisión Europea sobre España. En él se analiza el ajuste del mercado laboral. Después de señalar que la situación del mercado de trabajo ha mejorado y que la moderación salarial ha contribuido al reajuste macroeconómico, se señala que las reformas adoptadas entre 2012 y 2014 parecen haber amortiguado la caída del empleo y haber acelerado su recuperación. </w:t>
      </w:r>
    </w:p>
    <w:p w:rsidR="004916DE" w:rsidRPr="009D3089" w:rsidRDefault="00BD4D4A" w:rsidP="00F36DAB">
      <w:pPr>
        <w:pStyle w:val="SingleTxtG"/>
      </w:pPr>
      <w:r w:rsidRPr="00F36DAB">
        <w:t>54.</w:t>
      </w:r>
      <w:r w:rsidRPr="00F36DAB">
        <w:tab/>
      </w:r>
      <w:r w:rsidR="00384375" w:rsidRPr="00F36DAB">
        <w:t>Una predicción de empleo basada en la relación anterior a la reforma con el crecimiento del PIB sugiere que en ausencia de reformas se habrían perdido otros 400.000 puestos de trabajo</w:t>
      </w:r>
      <w:r w:rsidR="004916DE" w:rsidRPr="00F36DAB">
        <w:rPr>
          <w:rStyle w:val="Refdenotaalpie"/>
        </w:rPr>
        <w:footnoteReference w:id="12"/>
      </w:r>
      <w:r w:rsidR="00772C82">
        <w:rPr>
          <w:rStyle w:val="Refdenotaalpie"/>
          <w:sz w:val="20"/>
          <w:vertAlign w:val="baseline"/>
        </w:rPr>
        <w:t>.</w:t>
      </w:r>
    </w:p>
    <w:p w:rsidR="00384375" w:rsidRPr="00F36DAB" w:rsidRDefault="00BD4D4A" w:rsidP="00F36DAB">
      <w:pPr>
        <w:pStyle w:val="SingleTxtG"/>
      </w:pPr>
      <w:r w:rsidRPr="00F36DAB">
        <w:t>55.</w:t>
      </w:r>
      <w:r w:rsidRPr="00F36DAB">
        <w:tab/>
      </w:r>
      <w:r w:rsidR="00384375" w:rsidRPr="00F36DAB">
        <w:t xml:space="preserve">Además, el empleo habría comenzado a crecer de nuevo unos meses después, en el segundo trimestre de 2014 y la recuperación del empleo habría sido más suave. Esto indica que el mercado laboral es ahora capaz de generar crecimiento del empleo con un crecimiento del PIB menor que en las condiciones previas a la reforma. </w:t>
      </w:r>
    </w:p>
    <w:p w:rsidR="00384375" w:rsidRPr="00F36DAB" w:rsidRDefault="00BD4D4A" w:rsidP="00F36DAB">
      <w:pPr>
        <w:pStyle w:val="SingleTxtG"/>
      </w:pPr>
      <w:r w:rsidRPr="00F36DAB">
        <w:t>56.</w:t>
      </w:r>
      <w:r w:rsidRPr="00F36DAB">
        <w:tab/>
      </w:r>
      <w:r w:rsidR="00384375" w:rsidRPr="00F36DAB">
        <w:t xml:space="preserve">También se indica que es probable que la reforma de 2012 haya tenido un efecto positivo, pero reducido, sobre la contratación y que al mismo tiempo haya ayudado a limitar la destrucción de empleo durante el segundo agravamiento de la crisis. Según el comportamiento cíclico previo a la reforma, la tasa prevista de obtención de empleo habría empezado a mejorar solo a partir de mediados de 2014 y habría estado aproximadamente un punto porcentual por debajo de la tasa real en el primer trimestre de 2015. </w:t>
      </w:r>
    </w:p>
    <w:p w:rsidR="00384375" w:rsidRPr="00F36DAB" w:rsidRDefault="00BD4D4A" w:rsidP="00F36DAB">
      <w:pPr>
        <w:pStyle w:val="SingleTxtG"/>
      </w:pPr>
      <w:r w:rsidRPr="00F36DAB">
        <w:t>57.</w:t>
      </w:r>
      <w:r w:rsidRPr="00F36DAB">
        <w:tab/>
      </w:r>
      <w:r w:rsidR="00384375" w:rsidRPr="00F36DAB">
        <w:t xml:space="preserve">Asimismo, se aprecia que las mejoras de la tasa de pérdida de empleo han sido significativas, con unas tasas de destrucción de empleo que ya a finales de 2014 habían vuelto aproximadamente a los niveles anteriores a la recesión, cuando, según las estimaciones, en ausencia de reformas habrían seguido siendo elevadas. </w:t>
      </w:r>
    </w:p>
    <w:p w:rsidR="00384375" w:rsidRPr="00F36DAB" w:rsidRDefault="00BD4D4A" w:rsidP="00F36DAB">
      <w:pPr>
        <w:pStyle w:val="SingleTxtG"/>
      </w:pPr>
      <w:r w:rsidRPr="00F36DAB">
        <w:t>58.</w:t>
      </w:r>
      <w:r w:rsidRPr="00F36DAB">
        <w:tab/>
      </w:r>
      <w:r w:rsidR="00384375" w:rsidRPr="00F36DAB">
        <w:t>Por último, el informe de la Comisión, al igual que el de la OCDE, apunta que la reforma consiguió reducir la tasa de pérdida de empleo, sobre todo merced a una mayor flexibilidad interna, si bien el efecto en las nuevas contrataciones fue más limitado.</w:t>
      </w:r>
    </w:p>
    <w:p w:rsidR="004916DE" w:rsidRPr="009D3089" w:rsidRDefault="00BD4D4A" w:rsidP="00F36DAB">
      <w:pPr>
        <w:pStyle w:val="SingleTxtG"/>
      </w:pPr>
      <w:r w:rsidRPr="00F36DAB">
        <w:t>59.</w:t>
      </w:r>
      <w:r w:rsidRPr="00F36DAB">
        <w:tab/>
      </w:r>
      <w:r w:rsidR="00384375" w:rsidRPr="00F36DAB">
        <w:t>En su informe sobre la economía española de 30 de enero de 2017, el FMI ha dedicado el anexo 1 a hacer un resumen de las evidencias relevantes sobre los efectos de la reforma laboral</w:t>
      </w:r>
      <w:r w:rsidR="004916DE" w:rsidRPr="00F36DAB">
        <w:rPr>
          <w:rStyle w:val="Refdenotaalpie"/>
        </w:rPr>
        <w:footnoteReference w:id="13"/>
      </w:r>
      <w:r w:rsidR="00772C82">
        <w:rPr>
          <w:rStyle w:val="Refdenotaalpie"/>
          <w:sz w:val="20"/>
          <w:vertAlign w:val="baseline"/>
        </w:rPr>
        <w:t>.</w:t>
      </w:r>
    </w:p>
    <w:p w:rsidR="00384375" w:rsidRPr="00F36DAB" w:rsidRDefault="00BD4D4A" w:rsidP="00F36DAB">
      <w:pPr>
        <w:pStyle w:val="SingleTxtG"/>
      </w:pPr>
      <w:r w:rsidRPr="00F36DAB">
        <w:t>60.</w:t>
      </w:r>
      <w:r w:rsidRPr="00F36DAB">
        <w:tab/>
      </w:r>
      <w:r w:rsidR="00384375" w:rsidRPr="00F36DAB">
        <w:t>En lo que se refiere a la manera en que la estrategia española de empleo y los planes anuales de política de empleo han contribuido a reducir el desempleo, en particular entre los jóvenes y los parados de larga duración, además de lo ya apuntado, debe señalarse que los Programas Nacionales de Reforma (PNR) de 2015</w:t>
      </w:r>
      <w:r w:rsidR="004916DE" w:rsidRPr="00F36DAB">
        <w:rPr>
          <w:rStyle w:val="Refdenotaalpie"/>
        </w:rPr>
        <w:footnoteReference w:id="14"/>
      </w:r>
      <w:r w:rsidR="004916DE" w:rsidRPr="00F36DAB">
        <w:t xml:space="preserve"> </w:t>
      </w:r>
      <w:r w:rsidR="00384375" w:rsidRPr="00F36DAB">
        <w:t>y 2016</w:t>
      </w:r>
      <w:r w:rsidR="004916DE" w:rsidRPr="00F36DAB">
        <w:rPr>
          <w:rStyle w:val="Refdenotaalpie"/>
        </w:rPr>
        <w:footnoteReference w:id="15"/>
      </w:r>
      <w:r w:rsidR="004916DE" w:rsidRPr="00F36DAB">
        <w:t xml:space="preserve"> </w:t>
      </w:r>
      <w:r w:rsidR="00384375" w:rsidRPr="00F36DAB">
        <w:t xml:space="preserve">detallan la forma en que las </w:t>
      </w:r>
      <w:r w:rsidR="00384375" w:rsidRPr="00F36DAB">
        <w:lastRenderedPageBreak/>
        <w:t xml:space="preserve">diversas medidas adoptadas en esos años y en los anteriores contribuyen a cumplir los objetivos de la Estrategia Europa 2020, entre los que se incluye de forma destacada el aumento de la tasa de empleo, así como la mejora de los resultados educativos. </w:t>
      </w:r>
    </w:p>
    <w:p w:rsidR="004916DE" w:rsidRPr="009D3089" w:rsidRDefault="00BD4D4A" w:rsidP="00F36DAB">
      <w:pPr>
        <w:pStyle w:val="SingleTxtG"/>
      </w:pPr>
      <w:r w:rsidRPr="00F36DAB">
        <w:t>61.</w:t>
      </w:r>
      <w:r w:rsidRPr="00F36DAB">
        <w:tab/>
      </w:r>
      <w:r w:rsidR="00384375" w:rsidRPr="00F36DAB">
        <w:t>De las reformas cuyos resultados se reflejan en esos PNR cabe destacar además la Estrategia de Emprendimiento y Empleo Joven</w:t>
      </w:r>
      <w:r w:rsidR="004916DE" w:rsidRPr="00F36DAB">
        <w:rPr>
          <w:rStyle w:val="Refdenotaalpie"/>
        </w:rPr>
        <w:footnoteReference w:id="16"/>
      </w:r>
      <w:r w:rsidR="004916DE" w:rsidRPr="00F36DAB">
        <w:t xml:space="preserve"> </w:t>
      </w:r>
      <w:r w:rsidR="00384375" w:rsidRPr="00F36DAB">
        <w:t>y la Estrategia de Políticas de Activación</w:t>
      </w:r>
      <w:r w:rsidR="004916DE" w:rsidRPr="00F36DAB">
        <w:rPr>
          <w:rStyle w:val="Refdenotaalpie"/>
        </w:rPr>
        <w:footnoteReference w:id="17"/>
      </w:r>
      <w:r w:rsidR="00772C82">
        <w:t>.</w:t>
      </w:r>
    </w:p>
    <w:p w:rsidR="00384375" w:rsidRPr="00F36DAB" w:rsidRDefault="00BD4D4A" w:rsidP="00F36DAB">
      <w:pPr>
        <w:pStyle w:val="SingleTxtG"/>
      </w:pPr>
      <w:r w:rsidRPr="00F36DAB">
        <w:t>62.</w:t>
      </w:r>
      <w:r w:rsidRPr="00F36DAB">
        <w:tab/>
      </w:r>
      <w:r w:rsidR="00384375" w:rsidRPr="00F36DAB">
        <w:t>En lo que se refiere a la participación de los agentes sociales en las reformas apuntadas, el Real Decreto-</w:t>
      </w:r>
      <w:r w:rsidR="003D3899">
        <w:t>Ley</w:t>
      </w:r>
      <w:r w:rsidR="00384375" w:rsidRPr="00F36DAB">
        <w:t xml:space="preserve"> </w:t>
      </w:r>
      <w:r w:rsidR="00C142E0">
        <w:t xml:space="preserve">núm. </w:t>
      </w:r>
      <w:r w:rsidR="00384375" w:rsidRPr="00F36DAB">
        <w:t xml:space="preserve">3/2012, que fue publicado en el Boletín Oficial del Estado, se adoptó por razones de urgencia conforme al artículo 86 de la Constitución. No hubo, por lo tanto, posibilidad de hacer consultas. En el contexto de algunas impugnaciones ante el Tribunal Constitucional o la OIT, las organizaciones sindicales han reconocido implícitamente las razones de urgencia. </w:t>
      </w:r>
    </w:p>
    <w:p w:rsidR="00384375" w:rsidRPr="00F36DAB" w:rsidRDefault="00BD4D4A" w:rsidP="00F36DAB">
      <w:pPr>
        <w:pStyle w:val="SingleTxtG"/>
      </w:pPr>
      <w:r w:rsidRPr="00F36DAB">
        <w:t>63.</w:t>
      </w:r>
      <w:r w:rsidRPr="00F36DAB">
        <w:tab/>
      </w:r>
      <w:r w:rsidR="00384375" w:rsidRPr="00F36DAB">
        <w:t xml:space="preserve">En todo caso, el punto de vista de las organizaciones sindicales se dio a conocer en un momento cercano a la adopción de la reforma gracias al II Acuerdo para el Empleo y la Negociación Colectiva (II AENC) 2012, 2013 y 2014, suscrito entre sindicatos de trabajadores y de empleadores en 2012. En ese mismo II AENC se reconocía precisamente la necesidad de </w:t>
      </w:r>
      <w:r w:rsidR="00BB5656" w:rsidRPr="00F36DAB">
        <w:t>“</w:t>
      </w:r>
      <w:r w:rsidR="00384375" w:rsidRPr="00F36DAB">
        <w:t>disponer de unas medidas en el menor tiempo posible</w:t>
      </w:r>
      <w:r w:rsidR="00BB5656" w:rsidRPr="00F36DAB">
        <w:t>”</w:t>
      </w:r>
      <w:r w:rsidR="00384375" w:rsidRPr="00F36DAB">
        <w:t>.</w:t>
      </w:r>
    </w:p>
    <w:p w:rsidR="00384375" w:rsidRPr="00F36DAB" w:rsidRDefault="00BD4D4A" w:rsidP="00F36DAB">
      <w:pPr>
        <w:pStyle w:val="SingleTxtG"/>
      </w:pPr>
      <w:r w:rsidRPr="00F36DAB">
        <w:t>64.</w:t>
      </w:r>
      <w:r w:rsidRPr="00F36DAB">
        <w:tab/>
      </w:r>
      <w:r w:rsidR="00384375" w:rsidRPr="00F36DAB">
        <w:t>Se puede destacar también que tras la adopción de la reforma se mantuvieron cinco reuniones técnicas entre febrero y marzo, a la que asistieron organizaciones sindicales (UGT y CC.OO.). Hubo oportunidad de elaborar propuestas de enmienda y las que formularon las organizaciones sindicales se consideraron y estudiaron.</w:t>
      </w:r>
    </w:p>
    <w:p w:rsidR="00384375" w:rsidRPr="003E0B97" w:rsidRDefault="00384375" w:rsidP="00F36DAB">
      <w:pPr>
        <w:pStyle w:val="H1G"/>
      </w:pPr>
      <w:r w:rsidRPr="003E0B97">
        <w:tab/>
      </w:r>
      <w:r w:rsidR="00580985">
        <w:t>3.</w:t>
      </w:r>
      <w:r w:rsidRPr="003E0B97">
        <w:tab/>
        <w:t>Derechos sindicales</w:t>
      </w:r>
    </w:p>
    <w:p w:rsidR="00384375" w:rsidRPr="00F36DAB" w:rsidRDefault="00BD4D4A" w:rsidP="00F36DAB">
      <w:pPr>
        <w:pStyle w:val="SingleTxtG"/>
      </w:pPr>
      <w:r w:rsidRPr="009D3089">
        <w:t>65.</w:t>
      </w:r>
      <w:r w:rsidRPr="009D3089">
        <w:tab/>
      </w:r>
      <w:r w:rsidR="00384375" w:rsidRPr="009D3089">
        <w:t>En el ordenamiento español, el derecho de huelga tiene reconocimiento constitucional. Su regulación se contiene en el Título I de la Constitución Española (CE), De los derechos y deberes fundamentales.</w:t>
      </w:r>
      <w:r w:rsidR="00384375" w:rsidRPr="00F36DAB">
        <w:t xml:space="preserve"> En concreto, en el artículo 28.2 de la CE se reconoce el derecho a la huelga y se establece que se regulará por ley. Al estar reconocido como un derecho fundamental, está salvaguardado por garantías especiales.</w:t>
      </w:r>
    </w:p>
    <w:p w:rsidR="00384375" w:rsidRPr="00F36DAB" w:rsidRDefault="00BD4D4A" w:rsidP="00F36DAB">
      <w:pPr>
        <w:pStyle w:val="SingleTxtG"/>
      </w:pPr>
      <w:r w:rsidRPr="00F36DAB">
        <w:t>66.</w:t>
      </w:r>
      <w:r w:rsidRPr="00F36DAB">
        <w:tab/>
      </w:r>
      <w:r w:rsidR="00384375" w:rsidRPr="00F36DAB">
        <w:t>Está protegido a través del derecho a la tutela judicial efectiva ante la jurisdicción ordinaria. Además, el artículo 53.2 de la CE prevé una vía preferente y sumaria caracterizada por la reducción de plazos, la supresión de trámites y la escasez de formalidades, lo que constituye una garantía adicional y compatible con la ordinaria. De esta manera, se puede acudir a cualquiera de las dos vías anteriores: la ordinaria o la preferente y sumaria.</w:t>
      </w:r>
    </w:p>
    <w:p w:rsidR="00384375" w:rsidRPr="00F36DAB" w:rsidRDefault="00BD4D4A" w:rsidP="00F36DAB">
      <w:pPr>
        <w:pStyle w:val="SingleTxtG"/>
      </w:pPr>
      <w:r w:rsidRPr="00F36DAB">
        <w:t>67.</w:t>
      </w:r>
      <w:r w:rsidRPr="00F36DAB">
        <w:tab/>
      </w:r>
      <w:r w:rsidR="00384375" w:rsidRPr="00F36DAB">
        <w:t>Asimismo, y una vez agotadas las vías anteriormente mencionadas, se podrá acudir al Tribunal Constitucional (máximo garante de los derechos y libertades) a través del recurso de amparo (</w:t>
      </w:r>
      <w:r w:rsidR="00B03578" w:rsidRPr="00F36DAB">
        <w:t>art</w:t>
      </w:r>
      <w:r w:rsidR="00B03578">
        <w:t>.</w:t>
      </w:r>
      <w:r w:rsidR="00B03578" w:rsidRPr="00F36DAB">
        <w:t xml:space="preserve"> </w:t>
      </w:r>
      <w:r w:rsidR="00384375" w:rsidRPr="00F36DAB">
        <w:t xml:space="preserve">161 CE y Ley Orgánica </w:t>
      </w:r>
      <w:r w:rsidR="00B03578">
        <w:t xml:space="preserve">núm. </w:t>
      </w:r>
      <w:r w:rsidR="00384375" w:rsidRPr="00F36DAB">
        <w:t>2/1979).</w:t>
      </w:r>
    </w:p>
    <w:p w:rsidR="00384375" w:rsidRPr="00F36DAB" w:rsidRDefault="00BD4D4A" w:rsidP="00F36DAB">
      <w:pPr>
        <w:pStyle w:val="SingleTxtG"/>
      </w:pPr>
      <w:r w:rsidRPr="00F36DAB">
        <w:t>68.</w:t>
      </w:r>
      <w:r w:rsidRPr="00F36DAB">
        <w:tab/>
      </w:r>
      <w:r w:rsidR="00384375" w:rsidRPr="00F36DAB">
        <w:t xml:space="preserve">Recientemente, el Código Penal (Ley Orgánica </w:t>
      </w:r>
      <w:r w:rsidR="003D3899">
        <w:t xml:space="preserve">núm. </w:t>
      </w:r>
      <w:r w:rsidR="00384375" w:rsidRPr="00F36DAB">
        <w:t xml:space="preserve">10/1995) ha sido reformado a través de la Ley Orgánica </w:t>
      </w:r>
      <w:r w:rsidR="003D3899">
        <w:t xml:space="preserve">núm. </w:t>
      </w:r>
      <w:r w:rsidR="00384375" w:rsidRPr="00F36DAB">
        <w:t>1/2015, de 30 de marzo, y con ello se ha reforzado la protección penal de este derecho. Así, el artículo 315 del Código Penal establece penas de prisión para quienes lo impidan o limiten, que además serán mayores en caso de que se recurra a coacciones.</w:t>
      </w:r>
    </w:p>
    <w:p w:rsidR="00384375" w:rsidRPr="00F36DAB" w:rsidRDefault="00BD4D4A" w:rsidP="00F36DAB">
      <w:pPr>
        <w:pStyle w:val="SingleTxtG"/>
      </w:pPr>
      <w:r w:rsidRPr="00F36DAB">
        <w:t>69.</w:t>
      </w:r>
      <w:r w:rsidRPr="00F36DAB">
        <w:tab/>
      </w:r>
      <w:r w:rsidR="00384375" w:rsidRPr="00F36DAB">
        <w:t xml:space="preserve">En cuanto a la reforma del mercado laboral de 2012, hay que destacar que se reforzó la participación de los representantes sindicales en los periodos de negociación de medidas de flexibilidad interna (movilidad geográfica, modificación sustancial de las condiciones de trabajo, suspensión de contratos o reducción de jornada) y despidos colectivos. La reforma fue de hecho escrupulosamente respetuosa con el contenido esencial del derecho de sindicación y no afectó al derecho de huelga. Igualmente fue respetuosa con el derecho a la negociación colectiva laboral, reconocido en el artículo 37.1 de la Constitución, que garantiza el derecho a la negociación colectiva laboral entre los representantes de los </w:t>
      </w:r>
      <w:r w:rsidR="00384375" w:rsidRPr="00F36DAB">
        <w:lastRenderedPageBreak/>
        <w:t xml:space="preserve">trabajadores y empresarios, así como la fuerza vinculante de los convenios. Así lo puso de manifiesto la Sentencia </w:t>
      </w:r>
      <w:r w:rsidR="003D3899" w:rsidRPr="00F36DAB">
        <w:t>núm</w:t>
      </w:r>
      <w:r w:rsidR="003D3899">
        <w:t>.</w:t>
      </w:r>
      <w:r w:rsidR="003D3899" w:rsidRPr="00F36DAB">
        <w:t xml:space="preserve"> </w:t>
      </w:r>
      <w:r w:rsidR="00384375" w:rsidRPr="00F36DAB">
        <w:t xml:space="preserve">8/2015 de 22 </w:t>
      </w:r>
      <w:r w:rsidR="00903790">
        <w:t xml:space="preserve">de </w:t>
      </w:r>
      <w:r w:rsidR="00384375" w:rsidRPr="00F36DAB">
        <w:t xml:space="preserve">enero, del Pleno del Tribunal Constitucional, sobre el recurso de inconstitucionalidad promovido por </w:t>
      </w:r>
      <w:r w:rsidR="00903790">
        <w:t>104</w:t>
      </w:r>
      <w:r w:rsidR="00384375" w:rsidRPr="00F36DAB">
        <w:t xml:space="preserve"> Diputados contra determinados preceptos de la Ley </w:t>
      </w:r>
      <w:r w:rsidR="003D3899">
        <w:t xml:space="preserve">núm. </w:t>
      </w:r>
      <w:r w:rsidR="00384375" w:rsidRPr="00F36DAB">
        <w:t>3/2012.</w:t>
      </w:r>
    </w:p>
    <w:p w:rsidR="00384375" w:rsidRPr="00F36DAB" w:rsidRDefault="00BD4D4A" w:rsidP="00F36DAB">
      <w:pPr>
        <w:pStyle w:val="SingleTxtG"/>
      </w:pPr>
      <w:r w:rsidRPr="00F36DAB">
        <w:t>70.</w:t>
      </w:r>
      <w:r w:rsidRPr="00F36DAB">
        <w:tab/>
      </w:r>
      <w:r w:rsidR="00384375" w:rsidRPr="00F36DAB">
        <w:t>Respecto a la negociación colectiva, está consagrada en el artículo 37 de la Constitución. El procedimiento o mecanismo de la negociación se encuentra en los artículos 89 y 90 del Estatuto de los Trabajadores. A grandes rasgos, se establecen unos pasos con la garantía de que se realizan por escrito, con unos motivos de denegación estrictamente tasados y bajo el principio de buena fe. Hay previsiones en contra del uso de la violencia, a favor de la intervención de mediadores a solicitud de las partes y de refuerzo de respeto a la legalidad vigente.</w:t>
      </w:r>
    </w:p>
    <w:p w:rsidR="00384375" w:rsidRPr="00F36DAB" w:rsidRDefault="00BD4D4A" w:rsidP="00F36DAB">
      <w:pPr>
        <w:pStyle w:val="SingleTxtG"/>
      </w:pPr>
      <w:r w:rsidRPr="00F36DAB">
        <w:t>71.</w:t>
      </w:r>
      <w:r w:rsidRPr="00F36DAB">
        <w:tab/>
      </w:r>
      <w:r w:rsidR="00384375" w:rsidRPr="00F36DAB">
        <w:t>Sobre la estadística de trabajadores sindicados, en España existe el concepto de sindicato más representativo según los resultados electorales en los centros de trabajo (arts</w:t>
      </w:r>
      <w:r w:rsidR="00B03578">
        <w:t>.</w:t>
      </w:r>
      <w:r w:rsidR="00384375" w:rsidRPr="00F36DAB">
        <w:t xml:space="preserve"> 6 y 7 de la Ley Orgánica </w:t>
      </w:r>
      <w:r w:rsidR="00B03578">
        <w:t xml:space="preserve">núm. </w:t>
      </w:r>
      <w:r w:rsidR="00384375" w:rsidRPr="00F36DAB">
        <w:t>11/1985 de Libertad Sindical). Los trabajadores gozan de libertad de sindicación y el derecho a la libre afiliación (</w:t>
      </w:r>
      <w:r w:rsidR="00B03578" w:rsidRPr="00F36DAB">
        <w:t>art</w:t>
      </w:r>
      <w:r w:rsidR="00B03578">
        <w:t>.</w:t>
      </w:r>
      <w:r w:rsidR="00B03578" w:rsidRPr="00F36DAB">
        <w:t xml:space="preserve"> </w:t>
      </w:r>
      <w:r w:rsidR="00384375" w:rsidRPr="00F36DAB">
        <w:t xml:space="preserve">28.1 </w:t>
      </w:r>
      <w:r w:rsidR="00B03578">
        <w:t xml:space="preserve">de la </w:t>
      </w:r>
      <w:r w:rsidR="00384375" w:rsidRPr="00F36DAB">
        <w:t>Constitución).</w:t>
      </w:r>
    </w:p>
    <w:p w:rsidR="00384375" w:rsidRPr="003E0B97" w:rsidRDefault="00384375" w:rsidP="00F36DAB">
      <w:pPr>
        <w:pStyle w:val="H1G"/>
      </w:pPr>
      <w:r w:rsidRPr="003E0B97">
        <w:tab/>
      </w:r>
      <w:r w:rsidR="00580985">
        <w:t>4.</w:t>
      </w:r>
      <w:r w:rsidRPr="003E0B97">
        <w:tab/>
        <w:t xml:space="preserve">Seguridad Social </w:t>
      </w:r>
    </w:p>
    <w:p w:rsidR="00384375" w:rsidRPr="00F36DAB" w:rsidRDefault="00BD4D4A" w:rsidP="00F36DAB">
      <w:pPr>
        <w:pStyle w:val="SingleTxtG"/>
      </w:pPr>
      <w:r w:rsidRPr="009D3089">
        <w:t>72.</w:t>
      </w:r>
      <w:r w:rsidRPr="009D3089">
        <w:tab/>
      </w:r>
      <w:r w:rsidR="00384375" w:rsidRPr="009D3089">
        <w:t>El ejercicio de los derechos a la seguridad social está garantizado y reforzado en todo contexto. Se ha mejorado la a</w:t>
      </w:r>
      <w:r w:rsidR="00384375" w:rsidRPr="00F36DAB">
        <w:t xml:space="preserve">tención al ciudadano tanto presencialmente como vía internet, creando un portal específico llamado </w:t>
      </w:r>
      <w:r w:rsidR="00BB5656" w:rsidRPr="00F36DAB">
        <w:t>“</w:t>
      </w:r>
      <w:r w:rsidR="00384375" w:rsidRPr="00F36DAB">
        <w:t>Tu Seguridad Social</w:t>
      </w:r>
      <w:r w:rsidR="00BB5656" w:rsidRPr="00F36DAB">
        <w:t>”</w:t>
      </w:r>
      <w:r w:rsidR="00384375" w:rsidRPr="00F36DAB">
        <w:t xml:space="preserve">. </w:t>
      </w:r>
    </w:p>
    <w:p w:rsidR="00384375" w:rsidRPr="00F36DAB" w:rsidRDefault="00BD4D4A" w:rsidP="00F36DAB">
      <w:pPr>
        <w:pStyle w:val="SingleTxtG"/>
      </w:pPr>
      <w:r w:rsidRPr="00F36DAB">
        <w:t>73.</w:t>
      </w:r>
      <w:r w:rsidRPr="00F36DAB">
        <w:tab/>
      </w:r>
      <w:r w:rsidR="00384375" w:rsidRPr="00F36DAB">
        <w:t xml:space="preserve">En los últimos años se han producido importantes reformas en el sistema español de seguridad social, la mayoría de ellas en el marco de la Ley </w:t>
      </w:r>
      <w:r w:rsidR="003D3899">
        <w:t xml:space="preserve">núm. </w:t>
      </w:r>
      <w:r w:rsidR="00384375" w:rsidRPr="00F36DAB">
        <w:t xml:space="preserve">27/2011. Tras sucesivas reformas de la normativa en vigor, éstas han sido finalmente integradas en Real Decreto Legislativo </w:t>
      </w:r>
      <w:r w:rsidR="003D3899">
        <w:t xml:space="preserve">núm. </w:t>
      </w:r>
      <w:r w:rsidR="00384375" w:rsidRPr="00F36DAB">
        <w:t>8/2015, por el que ha sido aprobado el nuevo texto refundido de la Ley General de la Seguridad Social (TRLGSS en adelante).</w:t>
      </w:r>
    </w:p>
    <w:p w:rsidR="00384375" w:rsidRPr="00F36DAB" w:rsidRDefault="00BD4D4A" w:rsidP="00F36DAB">
      <w:pPr>
        <w:pStyle w:val="SingleTxtG"/>
      </w:pPr>
      <w:r w:rsidRPr="00F36DAB">
        <w:t>74.</w:t>
      </w:r>
      <w:r w:rsidRPr="00F36DAB">
        <w:tab/>
      </w:r>
      <w:r w:rsidR="00384375" w:rsidRPr="00F36DAB">
        <w:t xml:space="preserve">La Ley </w:t>
      </w:r>
      <w:r w:rsidR="003D3899">
        <w:t xml:space="preserve">núm. </w:t>
      </w:r>
      <w:r w:rsidR="00384375" w:rsidRPr="00F36DAB">
        <w:t xml:space="preserve">27/2011 ha supuesto, entre otros aspectos, la introducción de modificaciones en el régimen jurídico de la protección social de los trabajadores a tiempo parcial. Dichas modificaciones han tenido como objetivo aproximar su situación a la de los trabajadores a tiempo completo. También se ha buscado la integración en el Régimen General de la Seguridad Social de los hasta entonces regímenes especiales de empleados del hogar y del sector agrario por cuenta ajena. Como consecuencia, se ha ampliado y mejorado la cobertura de ambos colectivos. </w:t>
      </w:r>
    </w:p>
    <w:p w:rsidR="00384375" w:rsidRPr="00F36DAB" w:rsidRDefault="00BD4D4A" w:rsidP="00F36DAB">
      <w:pPr>
        <w:pStyle w:val="SingleTxtG"/>
      </w:pPr>
      <w:r w:rsidRPr="00F36DAB">
        <w:t>75.</w:t>
      </w:r>
      <w:r w:rsidRPr="00F36DAB">
        <w:tab/>
      </w:r>
      <w:r w:rsidR="00384375" w:rsidRPr="00F36DAB">
        <w:t xml:space="preserve">Asimismo, las previsiones contenidas en el citado TRLGSS han dado lugar, mediante la aprobación de la Ley </w:t>
      </w:r>
      <w:r w:rsidR="003D3899">
        <w:t xml:space="preserve">núm. </w:t>
      </w:r>
      <w:r w:rsidR="00384375" w:rsidRPr="00F36DAB">
        <w:t>23/2013, a la introducción del factor de sostenibilidad y del índice de revisión del sistema de pensiones de la seguridad social española. Dicha norma es coherente con las recomendaciones contenidas en diversos instrumentos y documentos de las instituciones de la Unión Europea, como el Libro Blanco 2012, la Agenda para unas pensiones adecuadas, seguras y sostenibles o el informe de adecuación de las pensiones en la UE 2010-2050. Todos ellos están enmarcados dentro de la Estrategia Europea 2020, que constituye el referente para la coordinación de las políticas económicas de los Estados miembros y el ámbito desde el que se impulsa una política de orientación y coordinación de esfuerzos para afrontar el reto del envejecimiento y su impacto dentro de los sistemas de protección social.</w:t>
      </w:r>
    </w:p>
    <w:p w:rsidR="00384375" w:rsidRPr="00F36DAB" w:rsidRDefault="00BD4D4A" w:rsidP="00F36DAB">
      <w:pPr>
        <w:pStyle w:val="SingleTxtG"/>
      </w:pPr>
      <w:r w:rsidRPr="00F36DAB">
        <w:t>76.</w:t>
      </w:r>
      <w:r w:rsidRPr="00F36DAB">
        <w:tab/>
      </w:r>
      <w:r w:rsidR="00384375" w:rsidRPr="00F36DAB">
        <w:t>En lo que se refiere a los pensionistas, de acuerdo con el indicador AROPE de la estrategia Europea 2020, la tasa de riesgo de pobreza o exclusión social de los jubilados ha descendido en el período 2008-2015 casi 11 puntos (hasta 12,6 en el año 2015), lo que demuestra la fortaleza del sistema de protección pública de las pensiones de la Seguridad Social en España.</w:t>
      </w:r>
    </w:p>
    <w:p w:rsidR="00384375" w:rsidRPr="00F36DAB" w:rsidRDefault="00BD4D4A" w:rsidP="00F36DAB">
      <w:pPr>
        <w:pStyle w:val="SingleTxtG"/>
      </w:pPr>
      <w:r w:rsidRPr="00F36DAB">
        <w:t>77.</w:t>
      </w:r>
      <w:r w:rsidRPr="00F36DAB">
        <w:tab/>
      </w:r>
      <w:r w:rsidR="00384375" w:rsidRPr="00F36DAB">
        <w:t>Según el documento 2016 Social Protection Performance Monitor (SPPM) dashboard results (December 2016 update), el dato general de riesgo de pobreza o exclusión social de España es de 28,6 (2015), con un aumento en el período 2008-2015 de 4,8 puntos. Este dato contrasta con el mismo indicador para las personas de 65 y más años, que es de 13,7 (2015), con un descenso de 12,5 puntos en el período 2008-2015.</w:t>
      </w:r>
    </w:p>
    <w:p w:rsidR="00384375" w:rsidRPr="00F36DAB" w:rsidRDefault="00BD4D4A" w:rsidP="00F36DAB">
      <w:pPr>
        <w:pStyle w:val="SingleTxtG"/>
      </w:pPr>
      <w:r w:rsidRPr="00F36DAB">
        <w:lastRenderedPageBreak/>
        <w:t>78.</w:t>
      </w:r>
      <w:r w:rsidRPr="00F36DAB">
        <w:tab/>
      </w:r>
      <w:r w:rsidR="00384375" w:rsidRPr="00F36DAB">
        <w:t xml:space="preserve">También el informe The 2015 Pension Adequacy Report: current and future income adequacy in old age in the EU confirma la ventajosa posición que ocupa el colectivo de mayor edad en España con respecto a los demás países del entorno europeo. </w:t>
      </w:r>
    </w:p>
    <w:p w:rsidR="00384375" w:rsidRPr="00F36DAB" w:rsidRDefault="00BD4D4A" w:rsidP="00F36DAB">
      <w:pPr>
        <w:pStyle w:val="SingleTxtG"/>
        <w:rPr>
          <w:rFonts w:eastAsia="Calibri"/>
        </w:rPr>
      </w:pPr>
      <w:r w:rsidRPr="00F36DAB">
        <w:rPr>
          <w:rFonts w:eastAsia="Calibri"/>
        </w:rPr>
        <w:t>79.</w:t>
      </w:r>
      <w:r w:rsidRPr="00F36DAB">
        <w:rPr>
          <w:rFonts w:eastAsia="Calibri"/>
        </w:rPr>
        <w:tab/>
      </w:r>
      <w:r w:rsidR="00384375" w:rsidRPr="00F36DAB">
        <w:rPr>
          <w:rFonts w:eastAsia="Calibri"/>
        </w:rPr>
        <w:t>Dentro de las medidas destinadas a reforzar el ejercicio de los derechos ligados a la seguridad social, procede asimismo mencionar la disposición contenida en el artículo 60 del TRLGSS, de acuerdo a la cual se reconoce un complemento de pensión a las mujeres que hayan tenido hijos biológicos o adoptados y sean beneficiarias, en cualquier régimen del sistema de la Seguridad Social, de pensiones contributivas de jubilación, viudedad o incapacidad permanente. Dicho complemento consiste en un importe equivalente al resultado de aplicar a la cuantía inicial de las referidas pensiones un porcentaje establecido en función del número de hijos.</w:t>
      </w:r>
    </w:p>
    <w:p w:rsidR="00384375" w:rsidRPr="00F36DAB" w:rsidRDefault="00BD4D4A" w:rsidP="00F36DAB">
      <w:pPr>
        <w:pStyle w:val="SingleTxtG"/>
        <w:rPr>
          <w:rFonts w:eastAsia="Calibri"/>
        </w:rPr>
      </w:pPr>
      <w:r w:rsidRPr="00F36DAB">
        <w:rPr>
          <w:rFonts w:eastAsia="Calibri"/>
        </w:rPr>
        <w:t>80.</w:t>
      </w:r>
      <w:r w:rsidRPr="00F36DAB">
        <w:rPr>
          <w:rFonts w:eastAsia="Calibri"/>
        </w:rPr>
        <w:tab/>
      </w:r>
      <w:r w:rsidR="00384375" w:rsidRPr="00F36DAB">
        <w:rPr>
          <w:rFonts w:eastAsia="Calibri"/>
        </w:rPr>
        <w:t>Por otra parte, la acción protectora en España comprende un conjunto de medidas para prever, reparar o superar determinadas situaciones de infortunio o estados de necesidad concretos, que suelen originar una pérdida de ingresos o un exceso de gastos en las personas que los atraviesan. En su mayoría económicas, las prestaciones son las siguientes sin ánimo de exhaustividad:</w:t>
      </w:r>
    </w:p>
    <w:p w:rsidR="00384375" w:rsidRPr="00E018D6" w:rsidRDefault="00384375" w:rsidP="00F36DAB">
      <w:pPr>
        <w:pStyle w:val="Bullet1G"/>
        <w:rPr>
          <w:rFonts w:eastAsia="Calibri"/>
        </w:rPr>
      </w:pPr>
      <w:r w:rsidRPr="00E018D6">
        <w:rPr>
          <w:rFonts w:eastAsia="Calibri"/>
        </w:rPr>
        <w:t>Prestaciones/pensiones contributivas (financiadas con cotizaciones sociales) para situaciones como la incapacidad temporal, el riesgo durante el embarazo, por maternidad o paternidad, inca</w:t>
      </w:r>
      <w:r w:rsidR="00580985" w:rsidRPr="00E018D6">
        <w:rPr>
          <w:rFonts w:eastAsia="Calibri"/>
        </w:rPr>
        <w:t>pacidad permanente, entre otros;</w:t>
      </w:r>
    </w:p>
    <w:p w:rsidR="00384375" w:rsidRPr="00E018D6" w:rsidRDefault="00384375" w:rsidP="00F36DAB">
      <w:pPr>
        <w:pStyle w:val="Bullet1G"/>
        <w:rPr>
          <w:rFonts w:eastAsia="Calibri"/>
        </w:rPr>
      </w:pPr>
      <w:r w:rsidRPr="00E018D6">
        <w:rPr>
          <w:rFonts w:eastAsia="Calibri"/>
        </w:rPr>
        <w:t>Pensiones en su modalidad no contributiva (financiadas por presupuestos del Estado que se transfieren a presupuestos de Seguridad Social) para situac</w:t>
      </w:r>
      <w:r w:rsidR="00580985" w:rsidRPr="00E018D6">
        <w:rPr>
          <w:rFonts w:eastAsia="Calibri"/>
        </w:rPr>
        <w:t>iones de jubilación e invalidez;</w:t>
      </w:r>
    </w:p>
    <w:p w:rsidR="00384375" w:rsidRPr="00E018D6" w:rsidRDefault="00384375" w:rsidP="00F36DAB">
      <w:pPr>
        <w:pStyle w:val="Bullet1G"/>
        <w:rPr>
          <w:rFonts w:eastAsia="Calibri"/>
        </w:rPr>
      </w:pPr>
      <w:r w:rsidRPr="00E018D6">
        <w:rPr>
          <w:rFonts w:eastAsia="Calibri"/>
        </w:rPr>
        <w:t>Prestaciones por desempleo contributivas (financiadas con cotizaciones sociales) para desempleo tota</w:t>
      </w:r>
      <w:r w:rsidR="00580985" w:rsidRPr="00E018D6">
        <w:rPr>
          <w:rFonts w:eastAsia="Calibri"/>
        </w:rPr>
        <w:t>l o parcial de los trabajadores;</w:t>
      </w:r>
    </w:p>
    <w:p w:rsidR="00384375" w:rsidRPr="00E018D6" w:rsidRDefault="00384375" w:rsidP="00F36DAB">
      <w:pPr>
        <w:pStyle w:val="Bullet1G"/>
        <w:rPr>
          <w:rFonts w:eastAsia="Calibri"/>
        </w:rPr>
      </w:pPr>
      <w:r w:rsidRPr="00E018D6">
        <w:rPr>
          <w:rFonts w:eastAsia="Calibri"/>
        </w:rPr>
        <w:t>Prestaciones por desempleo no contributivas, nivel asistencial, (financiadas con ingresos del Estado), en caso de subsidios por desempleo o de que se deba recurrir</w:t>
      </w:r>
      <w:r w:rsidR="00580985" w:rsidRPr="00E018D6">
        <w:rPr>
          <w:rFonts w:eastAsia="Calibri"/>
        </w:rPr>
        <w:t xml:space="preserve"> al Fondo de Garantía Salarial;</w:t>
      </w:r>
    </w:p>
    <w:p w:rsidR="00384375" w:rsidRPr="00E018D6" w:rsidRDefault="00384375" w:rsidP="00F36DAB">
      <w:pPr>
        <w:pStyle w:val="Bullet1G"/>
        <w:rPr>
          <w:rFonts w:eastAsia="Calibri"/>
        </w:rPr>
      </w:pPr>
      <w:r w:rsidRPr="00E018D6">
        <w:rPr>
          <w:rFonts w:eastAsia="Calibri"/>
        </w:rPr>
        <w:t xml:space="preserve">Servicios sociales (Instituto de Mayores y Servicios Sociales </w:t>
      </w:r>
      <w:r w:rsidR="00C142E0">
        <w:rPr>
          <w:rFonts w:eastAsia="Calibri"/>
        </w:rPr>
        <w:t>—</w:t>
      </w:r>
      <w:r w:rsidRPr="00E018D6">
        <w:rPr>
          <w:rFonts w:eastAsia="Calibri"/>
        </w:rPr>
        <w:t>IMSERSO</w:t>
      </w:r>
      <w:r w:rsidR="00C142E0">
        <w:rPr>
          <w:rFonts w:eastAsia="Calibri"/>
        </w:rPr>
        <w:t>—</w:t>
      </w:r>
      <w:r w:rsidR="00C142E0" w:rsidRPr="00E018D6">
        <w:rPr>
          <w:rFonts w:eastAsia="Calibri"/>
        </w:rPr>
        <w:t xml:space="preserve"> </w:t>
      </w:r>
      <w:r w:rsidRPr="00E018D6">
        <w:rPr>
          <w:rFonts w:eastAsia="Calibri"/>
        </w:rPr>
        <w:t xml:space="preserve">u órganos competentes de las Comunidades Autónomas con competencias transferidas). </w:t>
      </w:r>
    </w:p>
    <w:p w:rsidR="00384375" w:rsidRPr="00F36DAB" w:rsidRDefault="00BD4D4A" w:rsidP="00F36DAB">
      <w:pPr>
        <w:pStyle w:val="SingleTxtG"/>
        <w:rPr>
          <w:rFonts w:eastAsia="Calibri"/>
        </w:rPr>
      </w:pPr>
      <w:r w:rsidRPr="00F36DAB">
        <w:rPr>
          <w:rFonts w:eastAsia="Calibri"/>
        </w:rPr>
        <w:t>81.</w:t>
      </w:r>
      <w:r w:rsidRPr="00F36DAB">
        <w:rPr>
          <w:rFonts w:eastAsia="Calibri"/>
        </w:rPr>
        <w:tab/>
      </w:r>
      <w:r w:rsidR="00384375" w:rsidRPr="00F36DAB">
        <w:rPr>
          <w:rFonts w:eastAsia="Calibri"/>
        </w:rPr>
        <w:t xml:space="preserve">En lo que se refiere a la solicitud de información sobre las prestaciones no contributivas, se ofrece a continuación datos . Esta modalidad de acción protectora, de carácter no contributivo y universal, debe ser financiada mediante aportaciones del Estado al presupuesto de la Seguridad Social y los programas que componen el grupo, que son pensiones no contributivas y pensiones de protección familiar y otras prestaciones, donde incluimos la de maternidad y otras familiares como por hijos menores, nacimiento, adopción o del síndrome tóxico. </w:t>
      </w:r>
    </w:p>
    <w:p w:rsidR="00384375" w:rsidRPr="00F36DAB" w:rsidRDefault="00BD4D4A" w:rsidP="00F36DAB">
      <w:pPr>
        <w:pStyle w:val="SingleTxtG"/>
        <w:rPr>
          <w:rFonts w:eastAsia="Calibri"/>
        </w:rPr>
      </w:pPr>
      <w:r w:rsidRPr="00F36DAB">
        <w:rPr>
          <w:rFonts w:eastAsia="Calibri"/>
        </w:rPr>
        <w:t>82.</w:t>
      </w:r>
      <w:r w:rsidRPr="00F36DAB">
        <w:rPr>
          <w:rFonts w:eastAsia="Calibri"/>
        </w:rPr>
        <w:tab/>
      </w:r>
      <w:r w:rsidR="00384375" w:rsidRPr="00F36DAB">
        <w:rPr>
          <w:rFonts w:eastAsia="Calibri"/>
        </w:rPr>
        <w:t xml:space="preserve">En el cuadro que se muestra a continuación se resume el gasto correspondiente a las prestaciones incluidas en el programa de prestaciones no contributivas, de los subsidios contemplados en el texto refundido de la Ley General de derechos de las personas con discapacidad y de su inclusión social, aprobado por Real Decreto Legislativo </w:t>
      </w:r>
      <w:r w:rsidR="003D3899">
        <w:t xml:space="preserve">núm. </w:t>
      </w:r>
      <w:r w:rsidR="00384375" w:rsidRPr="00F36DAB">
        <w:rPr>
          <w:rFonts w:eastAsia="Calibri"/>
        </w:rPr>
        <w:t>1/2013, de 29 de noviembre y el gasto en pensiones asistenciales (FAS), que constituyen prestaciones a extinguir.</w:t>
      </w:r>
      <w:bookmarkStart w:id="1" w:name="_Toc399590831"/>
      <w:bookmarkStart w:id="2" w:name="_Toc399591307"/>
      <w:bookmarkStart w:id="3" w:name="_Toc399607415"/>
      <w:bookmarkStart w:id="4" w:name="_Toc399699647"/>
      <w:bookmarkStart w:id="5" w:name="_Toc401049316"/>
      <w:bookmarkStart w:id="6" w:name="_Toc426011785"/>
      <w:bookmarkStart w:id="7" w:name="_Toc426366936"/>
    </w:p>
    <w:p w:rsidR="00384375" w:rsidRPr="00F36DAB" w:rsidRDefault="00E018D6" w:rsidP="00F36DAB">
      <w:pPr>
        <w:pStyle w:val="H23G"/>
        <w:rPr>
          <w:sz w:val="16"/>
        </w:rPr>
      </w:pPr>
      <w:r>
        <w:tab/>
      </w:r>
      <w:r>
        <w:tab/>
      </w:r>
      <w:r w:rsidR="00D7003B" w:rsidRPr="00580985">
        <w:t>Gasto en prestaciones no contributivas</w:t>
      </w:r>
      <w:bookmarkEnd w:id="1"/>
      <w:bookmarkEnd w:id="2"/>
      <w:bookmarkEnd w:id="3"/>
      <w:bookmarkEnd w:id="4"/>
      <w:bookmarkEnd w:id="5"/>
      <w:bookmarkEnd w:id="6"/>
      <w:bookmarkEnd w:id="7"/>
      <w:r w:rsidR="007458C5">
        <w:br/>
      </w:r>
      <w:r w:rsidRPr="00F36DAB">
        <w:rPr>
          <w:b w:val="0"/>
          <w:sz w:val="16"/>
        </w:rPr>
        <w:t>(En m</w:t>
      </w:r>
      <w:r w:rsidR="00384375" w:rsidRPr="00F36DAB">
        <w:rPr>
          <w:b w:val="0"/>
          <w:sz w:val="16"/>
        </w:rPr>
        <w:t>illones de euros</w:t>
      </w:r>
      <w:r w:rsidRPr="00F36DAB">
        <w:rPr>
          <w:b w:val="0"/>
          <w:sz w:val="16"/>
        </w:rPr>
        <w:t>)</w:t>
      </w:r>
    </w:p>
    <w:tbl>
      <w:tblPr>
        <w:tblW w:w="7370" w:type="dxa"/>
        <w:tblInd w:w="1134" w:type="dxa"/>
        <w:tblBorders>
          <w:top w:val="single" w:sz="4" w:space="0" w:color="auto"/>
        </w:tblBorders>
        <w:tblCellMar>
          <w:left w:w="0" w:type="dxa"/>
          <w:right w:w="0" w:type="dxa"/>
        </w:tblCellMar>
        <w:tblLook w:val="0520" w:firstRow="1" w:lastRow="0" w:firstColumn="0" w:lastColumn="1" w:noHBand="0" w:noVBand="1"/>
      </w:tblPr>
      <w:tblGrid>
        <w:gridCol w:w="692"/>
        <w:gridCol w:w="1336"/>
        <w:gridCol w:w="1336"/>
        <w:gridCol w:w="1336"/>
        <w:gridCol w:w="1335"/>
        <w:gridCol w:w="1335"/>
      </w:tblGrid>
      <w:tr w:rsidR="00E018D6" w:rsidRPr="00E018D6" w:rsidTr="00F36DAB">
        <w:trPr>
          <w:trHeight w:val="240"/>
          <w:tblHeader/>
        </w:trPr>
        <w:tc>
          <w:tcPr>
            <w:tcW w:w="469" w:type="pct"/>
            <w:tcBorders>
              <w:top w:val="single" w:sz="4" w:space="0" w:color="auto"/>
              <w:bottom w:val="single" w:sz="12" w:space="0" w:color="auto"/>
            </w:tcBorders>
            <w:shd w:val="clear" w:color="auto" w:fill="auto"/>
            <w:vAlign w:val="bottom"/>
          </w:tcPr>
          <w:p w:rsidR="00384375" w:rsidRPr="00E018D6" w:rsidRDefault="00384375">
            <w:pPr>
              <w:spacing w:before="80" w:after="80" w:line="200" w:lineRule="exact"/>
              <w:rPr>
                <w:rFonts w:eastAsia="Calibri"/>
                <w:i/>
                <w:sz w:val="16"/>
              </w:rPr>
            </w:pPr>
            <w:r w:rsidRPr="00E018D6">
              <w:rPr>
                <w:rFonts w:eastAsia="Calibri"/>
                <w:i/>
                <w:sz w:val="16"/>
              </w:rPr>
              <w:t>A</w:t>
            </w:r>
            <w:r w:rsidR="00E018D6" w:rsidRPr="00E018D6">
              <w:rPr>
                <w:rFonts w:eastAsia="Calibri"/>
                <w:i/>
                <w:sz w:val="16"/>
              </w:rPr>
              <w:t>ños</w:t>
            </w:r>
          </w:p>
        </w:tc>
        <w:tc>
          <w:tcPr>
            <w:tcW w:w="906"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Pensiones no contributivas</w:t>
            </w:r>
            <w:r w:rsidRPr="00F36DAB">
              <w:rPr>
                <w:rFonts w:eastAsia="Calibri"/>
                <w:sz w:val="18"/>
              </w:rPr>
              <w:t>*</w:t>
            </w:r>
          </w:p>
        </w:tc>
        <w:tc>
          <w:tcPr>
            <w:tcW w:w="906"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Protección Familiar y otras prestaciones</w:t>
            </w:r>
          </w:p>
        </w:tc>
        <w:tc>
          <w:tcPr>
            <w:tcW w:w="906"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Subsidio personas con discapacidad</w:t>
            </w:r>
            <w:r w:rsidR="00E018D6">
              <w:rPr>
                <w:rFonts w:eastAsia="Calibri"/>
                <w:i/>
                <w:sz w:val="16"/>
              </w:rPr>
              <w:br/>
              <w:t>(LISMI)</w:t>
            </w:r>
            <w:r w:rsidR="00E018D6" w:rsidRPr="00F36DAB">
              <w:rPr>
                <w:rFonts w:eastAsia="Calibri"/>
                <w:i/>
                <w:sz w:val="18"/>
              </w:rPr>
              <w:t>*</w:t>
            </w:r>
          </w:p>
        </w:tc>
        <w:tc>
          <w:tcPr>
            <w:tcW w:w="906"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FAS</w:t>
            </w:r>
          </w:p>
        </w:tc>
        <w:tc>
          <w:tcPr>
            <w:tcW w:w="906"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S</w:t>
            </w:r>
            <w:r w:rsidR="00E018D6" w:rsidRPr="00E018D6">
              <w:rPr>
                <w:rFonts w:eastAsia="Calibri"/>
                <w:i/>
                <w:sz w:val="16"/>
              </w:rPr>
              <w:t>uma</w:t>
            </w:r>
          </w:p>
        </w:tc>
      </w:tr>
      <w:tr w:rsidR="00E018D6" w:rsidRPr="00E018D6" w:rsidTr="00F36DAB">
        <w:trPr>
          <w:trHeight w:val="240"/>
        </w:trPr>
        <w:tc>
          <w:tcPr>
            <w:tcW w:w="469" w:type="pct"/>
            <w:tcBorders>
              <w:top w:val="single" w:sz="12" w:space="0" w:color="auto"/>
            </w:tcBorders>
            <w:shd w:val="clear" w:color="auto" w:fill="auto"/>
            <w:noWrap/>
          </w:tcPr>
          <w:p w:rsidR="00384375" w:rsidRPr="00E018D6" w:rsidRDefault="00384375">
            <w:pPr>
              <w:spacing w:before="40" w:after="40" w:line="220" w:lineRule="exact"/>
              <w:rPr>
                <w:rFonts w:eastAsia="Calibri"/>
                <w:sz w:val="18"/>
              </w:rPr>
            </w:pPr>
            <w:r w:rsidRPr="00E018D6">
              <w:rPr>
                <w:rFonts w:eastAsia="Calibri"/>
                <w:sz w:val="18"/>
              </w:rPr>
              <w:t>2011</w:t>
            </w:r>
          </w:p>
        </w:tc>
        <w:tc>
          <w:tcPr>
            <w:tcW w:w="906" w:type="pct"/>
            <w:tcBorders>
              <w:top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2.138,71</w:t>
            </w:r>
          </w:p>
        </w:tc>
        <w:tc>
          <w:tcPr>
            <w:tcW w:w="906" w:type="pct"/>
            <w:tcBorders>
              <w:top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1.326,43</w:t>
            </w:r>
          </w:p>
        </w:tc>
        <w:tc>
          <w:tcPr>
            <w:tcW w:w="906" w:type="pct"/>
            <w:tcBorders>
              <w:top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39,92</w:t>
            </w:r>
          </w:p>
        </w:tc>
        <w:tc>
          <w:tcPr>
            <w:tcW w:w="906" w:type="pct"/>
            <w:tcBorders>
              <w:top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25,99</w:t>
            </w:r>
          </w:p>
        </w:tc>
        <w:tc>
          <w:tcPr>
            <w:tcW w:w="906" w:type="pct"/>
            <w:tcBorders>
              <w:top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3.531,05</w:t>
            </w:r>
          </w:p>
        </w:tc>
      </w:tr>
      <w:tr w:rsidR="00E018D6" w:rsidRPr="00E018D6" w:rsidTr="00F36DAB">
        <w:trPr>
          <w:trHeight w:val="240"/>
        </w:trPr>
        <w:tc>
          <w:tcPr>
            <w:tcW w:w="469" w:type="pct"/>
            <w:shd w:val="clear" w:color="auto" w:fill="auto"/>
            <w:noWrap/>
          </w:tcPr>
          <w:p w:rsidR="00384375" w:rsidRPr="00E018D6" w:rsidRDefault="00384375">
            <w:pPr>
              <w:spacing w:before="40" w:after="40" w:line="220" w:lineRule="exact"/>
              <w:rPr>
                <w:rFonts w:eastAsia="Calibri"/>
                <w:sz w:val="18"/>
              </w:rPr>
            </w:pPr>
            <w:r w:rsidRPr="00E018D6">
              <w:rPr>
                <w:rFonts w:eastAsia="Calibri"/>
                <w:sz w:val="18"/>
              </w:rPr>
              <w:t>2012</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2.137,58</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1.010,51</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34,21</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18,46</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3.200,76</w:t>
            </w:r>
          </w:p>
        </w:tc>
      </w:tr>
      <w:tr w:rsidR="00E018D6" w:rsidRPr="00E018D6" w:rsidTr="00F36DAB">
        <w:trPr>
          <w:trHeight w:val="240"/>
        </w:trPr>
        <w:tc>
          <w:tcPr>
            <w:tcW w:w="469" w:type="pct"/>
            <w:shd w:val="clear" w:color="auto" w:fill="auto"/>
            <w:noWrap/>
          </w:tcPr>
          <w:p w:rsidR="00384375" w:rsidRPr="00E018D6" w:rsidRDefault="00384375">
            <w:pPr>
              <w:spacing w:before="40" w:after="40" w:line="220" w:lineRule="exact"/>
              <w:rPr>
                <w:rFonts w:eastAsia="Calibri"/>
                <w:sz w:val="18"/>
              </w:rPr>
            </w:pPr>
            <w:r w:rsidRPr="00E018D6">
              <w:rPr>
                <w:rFonts w:eastAsia="Calibri"/>
                <w:sz w:val="18"/>
              </w:rPr>
              <w:t>2013</w:t>
            </w:r>
            <w:r w:rsidR="00A445FC">
              <w:rPr>
                <w:rFonts w:eastAsia="Calibri"/>
                <w:i/>
                <w:sz w:val="18"/>
                <w:vertAlign w:val="superscript"/>
              </w:rPr>
              <w:t>a</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2.677,33</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1.377,97</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29,50</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14,57</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4.099,37</w:t>
            </w:r>
          </w:p>
        </w:tc>
      </w:tr>
      <w:tr w:rsidR="00E018D6" w:rsidRPr="00E018D6" w:rsidTr="00F36DAB">
        <w:trPr>
          <w:trHeight w:val="240"/>
        </w:trPr>
        <w:tc>
          <w:tcPr>
            <w:tcW w:w="469" w:type="pct"/>
            <w:shd w:val="clear" w:color="auto" w:fill="auto"/>
            <w:noWrap/>
          </w:tcPr>
          <w:p w:rsidR="00384375" w:rsidRPr="00E018D6" w:rsidRDefault="00384375">
            <w:pPr>
              <w:spacing w:before="40" w:after="40" w:line="220" w:lineRule="exact"/>
              <w:rPr>
                <w:rFonts w:eastAsia="Calibri"/>
                <w:sz w:val="18"/>
              </w:rPr>
            </w:pPr>
            <w:r w:rsidRPr="00E018D6">
              <w:rPr>
                <w:rFonts w:eastAsia="Calibri"/>
                <w:sz w:val="18"/>
              </w:rPr>
              <w:t>2014</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2.395,84</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1.764,27</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25,34</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12,02</w:t>
            </w:r>
          </w:p>
        </w:tc>
        <w:tc>
          <w:tcPr>
            <w:tcW w:w="906" w:type="pct"/>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4.197,47</w:t>
            </w:r>
          </w:p>
        </w:tc>
      </w:tr>
      <w:tr w:rsidR="00E018D6" w:rsidRPr="00E018D6" w:rsidTr="00F36DAB">
        <w:trPr>
          <w:trHeight w:val="240"/>
        </w:trPr>
        <w:tc>
          <w:tcPr>
            <w:tcW w:w="469" w:type="pct"/>
            <w:tcBorders>
              <w:bottom w:val="nil"/>
            </w:tcBorders>
            <w:shd w:val="clear" w:color="auto" w:fill="auto"/>
            <w:noWrap/>
          </w:tcPr>
          <w:p w:rsidR="00384375" w:rsidRPr="00E018D6" w:rsidRDefault="00384375">
            <w:pPr>
              <w:spacing w:before="40" w:after="40" w:line="220" w:lineRule="exact"/>
              <w:rPr>
                <w:rFonts w:eastAsia="Calibri"/>
                <w:sz w:val="18"/>
              </w:rPr>
            </w:pPr>
            <w:r w:rsidRPr="00E018D6">
              <w:rPr>
                <w:rFonts w:eastAsia="Calibri"/>
                <w:sz w:val="18"/>
              </w:rPr>
              <w:lastRenderedPageBreak/>
              <w:t xml:space="preserve">2015 </w:t>
            </w:r>
          </w:p>
        </w:tc>
        <w:tc>
          <w:tcPr>
            <w:tcW w:w="906" w:type="pct"/>
            <w:tcBorders>
              <w:bottom w:val="nil"/>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2.417,71</w:t>
            </w:r>
          </w:p>
        </w:tc>
        <w:tc>
          <w:tcPr>
            <w:tcW w:w="906" w:type="pct"/>
            <w:tcBorders>
              <w:bottom w:val="nil"/>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1.481,02</w:t>
            </w:r>
          </w:p>
        </w:tc>
        <w:tc>
          <w:tcPr>
            <w:tcW w:w="906" w:type="pct"/>
            <w:tcBorders>
              <w:bottom w:val="nil"/>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21,74</w:t>
            </w:r>
          </w:p>
        </w:tc>
        <w:tc>
          <w:tcPr>
            <w:tcW w:w="906" w:type="pct"/>
            <w:tcBorders>
              <w:bottom w:val="nil"/>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10,48</w:t>
            </w:r>
          </w:p>
        </w:tc>
        <w:tc>
          <w:tcPr>
            <w:tcW w:w="906" w:type="pct"/>
            <w:tcBorders>
              <w:bottom w:val="nil"/>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3.930,95</w:t>
            </w:r>
          </w:p>
        </w:tc>
      </w:tr>
      <w:tr w:rsidR="00E018D6" w:rsidRPr="00E018D6" w:rsidTr="00F36DAB">
        <w:trPr>
          <w:trHeight w:val="240"/>
        </w:trPr>
        <w:tc>
          <w:tcPr>
            <w:tcW w:w="469" w:type="pct"/>
            <w:tcBorders>
              <w:top w:val="nil"/>
              <w:bottom w:val="single" w:sz="12" w:space="0" w:color="auto"/>
            </w:tcBorders>
            <w:shd w:val="clear" w:color="auto" w:fill="auto"/>
            <w:noWrap/>
          </w:tcPr>
          <w:p w:rsidR="00384375" w:rsidRPr="00E018D6" w:rsidRDefault="00384375">
            <w:pPr>
              <w:spacing w:before="40" w:after="40" w:line="220" w:lineRule="exact"/>
              <w:rPr>
                <w:rFonts w:eastAsia="Calibri"/>
                <w:sz w:val="18"/>
              </w:rPr>
            </w:pPr>
            <w:r w:rsidRPr="00E018D6">
              <w:rPr>
                <w:rFonts w:eastAsia="Calibri"/>
                <w:sz w:val="18"/>
              </w:rPr>
              <w:t>2016 Pto.</w:t>
            </w:r>
          </w:p>
        </w:tc>
        <w:tc>
          <w:tcPr>
            <w:tcW w:w="906" w:type="pct"/>
            <w:tcBorders>
              <w:top w:val="nil"/>
              <w:bottom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2.454,56</w:t>
            </w:r>
          </w:p>
        </w:tc>
        <w:tc>
          <w:tcPr>
            <w:tcW w:w="906" w:type="pct"/>
            <w:tcBorders>
              <w:top w:val="nil"/>
              <w:bottom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1.547,54</w:t>
            </w:r>
          </w:p>
        </w:tc>
        <w:tc>
          <w:tcPr>
            <w:tcW w:w="906" w:type="pct"/>
            <w:tcBorders>
              <w:top w:val="nil"/>
              <w:bottom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19,18</w:t>
            </w:r>
          </w:p>
        </w:tc>
        <w:tc>
          <w:tcPr>
            <w:tcW w:w="906" w:type="pct"/>
            <w:tcBorders>
              <w:top w:val="nil"/>
              <w:bottom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10,19</w:t>
            </w:r>
          </w:p>
        </w:tc>
        <w:tc>
          <w:tcPr>
            <w:tcW w:w="906" w:type="pct"/>
            <w:tcBorders>
              <w:top w:val="nil"/>
              <w:bottom w:val="single" w:sz="12" w:space="0" w:color="auto"/>
            </w:tcBorders>
            <w:shd w:val="clear" w:color="auto" w:fill="auto"/>
            <w:noWrap/>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4.031,47</w:t>
            </w:r>
          </w:p>
        </w:tc>
      </w:tr>
    </w:tbl>
    <w:p w:rsidR="00384375" w:rsidRPr="00F36DAB" w:rsidRDefault="00E018D6" w:rsidP="00F36DAB">
      <w:pPr>
        <w:pStyle w:val="SingleTxtG"/>
        <w:spacing w:before="120" w:after="0"/>
        <w:ind w:firstLine="170"/>
        <w:jc w:val="left"/>
        <w:rPr>
          <w:rFonts w:eastAsia="Calibri"/>
          <w:sz w:val="18"/>
        </w:rPr>
      </w:pPr>
      <w:r>
        <w:rPr>
          <w:rFonts w:eastAsia="Calibri"/>
          <w:sz w:val="18"/>
        </w:rPr>
        <w:t xml:space="preserve">*  </w:t>
      </w:r>
      <w:r w:rsidR="00384375" w:rsidRPr="00F36DAB">
        <w:rPr>
          <w:rFonts w:eastAsia="Calibri"/>
          <w:sz w:val="18"/>
        </w:rPr>
        <w:t>Incluye Cupo País Vasco y Navarra.</w:t>
      </w:r>
    </w:p>
    <w:p w:rsidR="00384375" w:rsidRPr="00F36DAB" w:rsidRDefault="00A445FC" w:rsidP="00F36DAB">
      <w:pPr>
        <w:pStyle w:val="SingleTxtG"/>
        <w:spacing w:after="240"/>
        <w:ind w:firstLine="170"/>
        <w:jc w:val="left"/>
        <w:rPr>
          <w:rFonts w:eastAsia="Calibri"/>
          <w:sz w:val="18"/>
        </w:rPr>
      </w:pPr>
      <w:r w:rsidRPr="00F36DAB">
        <w:rPr>
          <w:rFonts w:eastAsia="Calibri"/>
          <w:i/>
          <w:sz w:val="18"/>
          <w:vertAlign w:val="superscript"/>
        </w:rPr>
        <w:t>a</w:t>
      </w:r>
      <w:r w:rsidR="00E018D6">
        <w:rPr>
          <w:rFonts w:eastAsia="Calibri"/>
          <w:sz w:val="18"/>
        </w:rPr>
        <w:t xml:space="preserve">  </w:t>
      </w:r>
      <w:r w:rsidR="00384375" w:rsidRPr="00F36DAB">
        <w:rPr>
          <w:rFonts w:eastAsia="Calibri"/>
          <w:sz w:val="18"/>
        </w:rPr>
        <w:t>A partir de 2013 el Estado transfiere el crédito total de las pensiones no contributivas y las prestaciones por hijo a cargo.</w:t>
      </w:r>
    </w:p>
    <w:p w:rsidR="00580985" w:rsidRPr="00F36DAB" w:rsidRDefault="00BD4D4A" w:rsidP="00F36DAB">
      <w:pPr>
        <w:pStyle w:val="SingleTxtG"/>
      </w:pPr>
      <w:r w:rsidRPr="009D3089">
        <w:t>83.</w:t>
      </w:r>
      <w:r w:rsidRPr="009D3089">
        <w:tab/>
      </w:r>
      <w:r w:rsidR="00384375" w:rsidRPr="009D3089">
        <w:t xml:space="preserve">La cuantía de las pensiones por vejez e </w:t>
      </w:r>
      <w:r w:rsidR="00384375" w:rsidRPr="00F36DAB">
        <w:t>invalidez es uniforme y se fija en las correspondientes leyes de Presupuestos Generales del Estado. En caso de que el grado de minusvalía sea igual o superior al 75% y se necesite la concurrencia de otra persona para realizar los actos más esenciales de la vida, la cantidad a percibir se incrementa en un 50%. En el supuesto de que el beneficiario disponga de rentas o ingresos propios, el importe de la pensión se reducirá en cuantía igual a aquellas. No obstante la reducción, la pensión a reconocer será como mínimo el 25% de la establecida.</w:t>
      </w:r>
    </w:p>
    <w:p w:rsidR="00384375" w:rsidRPr="00F36DAB" w:rsidRDefault="00BD4D4A" w:rsidP="00F36DAB">
      <w:pPr>
        <w:pStyle w:val="SingleTxtG"/>
      </w:pPr>
      <w:r w:rsidRPr="00F36DAB">
        <w:t>84.</w:t>
      </w:r>
      <w:r w:rsidRPr="00F36DAB">
        <w:tab/>
      </w:r>
      <w:r w:rsidR="00384375" w:rsidRPr="00F36DAB">
        <w:t>La evolución de los importes anuales de pensión se muestra en el cuadro siguiente</w:t>
      </w:r>
      <w:r w:rsidR="00F50157">
        <w:t>.</w:t>
      </w:r>
    </w:p>
    <w:p w:rsidR="00384375" w:rsidRPr="00F36DAB" w:rsidRDefault="00E018D6" w:rsidP="00F36DAB">
      <w:pPr>
        <w:pStyle w:val="H23G"/>
        <w:rPr>
          <w:sz w:val="16"/>
        </w:rPr>
      </w:pPr>
      <w:bookmarkStart w:id="8" w:name="_Toc399590832"/>
      <w:bookmarkStart w:id="9" w:name="_Toc399591308"/>
      <w:bookmarkStart w:id="10" w:name="_Toc399607416"/>
      <w:bookmarkStart w:id="11" w:name="_Toc399699648"/>
      <w:bookmarkStart w:id="12" w:name="_Toc401049317"/>
      <w:bookmarkStart w:id="13" w:name="_Toc426011786"/>
      <w:bookmarkStart w:id="14" w:name="_Toc426366937"/>
      <w:r>
        <w:tab/>
      </w:r>
      <w:r>
        <w:tab/>
      </w:r>
      <w:r w:rsidR="00843D1E" w:rsidRPr="007458C5">
        <w:t>Cuantías anuales de las pensiones no contributivas de vejez e invalidez</w:t>
      </w:r>
      <w:bookmarkEnd w:id="8"/>
      <w:bookmarkEnd w:id="9"/>
      <w:bookmarkEnd w:id="10"/>
      <w:bookmarkEnd w:id="11"/>
      <w:bookmarkEnd w:id="12"/>
      <w:r>
        <w:t xml:space="preserve">, </w:t>
      </w:r>
      <w:r w:rsidR="00AC39C9">
        <w:t>a</w:t>
      </w:r>
      <w:r w:rsidR="00384375" w:rsidRPr="007458C5">
        <w:t>ños</w:t>
      </w:r>
      <w:r>
        <w:t> </w:t>
      </w:r>
      <w:r w:rsidR="00384375" w:rsidRPr="007458C5">
        <w:t>2011</w:t>
      </w:r>
      <w:r>
        <w:noBreakHyphen/>
      </w:r>
      <w:r w:rsidR="00384375" w:rsidRPr="007458C5">
        <w:t>2016</w:t>
      </w:r>
      <w:bookmarkEnd w:id="13"/>
      <w:bookmarkEnd w:id="14"/>
      <w:r>
        <w:br/>
      </w:r>
      <w:r w:rsidRPr="00F36DAB">
        <w:rPr>
          <w:sz w:val="16"/>
        </w:rPr>
        <w:t>(</w:t>
      </w:r>
      <w:r w:rsidR="00384375" w:rsidRPr="00F36DAB">
        <w:rPr>
          <w:b w:val="0"/>
          <w:sz w:val="16"/>
        </w:rPr>
        <w:t>En euros</w:t>
      </w:r>
      <w:r w:rsidRPr="00F36DAB">
        <w:rPr>
          <w:b w:val="0"/>
          <w:sz w:val="16"/>
        </w:rPr>
        <w:t>)</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910"/>
        <w:gridCol w:w="1492"/>
        <w:gridCol w:w="1492"/>
        <w:gridCol w:w="1493"/>
        <w:gridCol w:w="1983"/>
      </w:tblGrid>
      <w:tr w:rsidR="00FB37F5" w:rsidRPr="00E018D6" w:rsidTr="00F36DAB">
        <w:trPr>
          <w:trHeight w:val="240"/>
          <w:tblHeader/>
        </w:trPr>
        <w:tc>
          <w:tcPr>
            <w:tcW w:w="617" w:type="pct"/>
            <w:tcBorders>
              <w:top w:val="single" w:sz="4" w:space="0" w:color="auto"/>
              <w:bottom w:val="single" w:sz="12" w:space="0" w:color="auto"/>
            </w:tcBorders>
            <w:shd w:val="clear" w:color="auto" w:fill="auto"/>
            <w:vAlign w:val="bottom"/>
          </w:tcPr>
          <w:p w:rsidR="00384375" w:rsidRPr="00E018D6" w:rsidRDefault="00384375">
            <w:pPr>
              <w:spacing w:before="80" w:after="80" w:line="200" w:lineRule="exact"/>
              <w:rPr>
                <w:rFonts w:eastAsia="Calibri"/>
                <w:i/>
                <w:sz w:val="16"/>
              </w:rPr>
            </w:pPr>
            <w:r w:rsidRPr="00E018D6">
              <w:rPr>
                <w:rFonts w:eastAsia="Calibri"/>
                <w:i/>
                <w:sz w:val="16"/>
              </w:rPr>
              <w:t>Año</w:t>
            </w:r>
          </w:p>
        </w:tc>
        <w:tc>
          <w:tcPr>
            <w:tcW w:w="1012"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1 beneficiario</w:t>
            </w:r>
          </w:p>
        </w:tc>
        <w:tc>
          <w:tcPr>
            <w:tcW w:w="1012"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2 beneficiarios</w:t>
            </w:r>
          </w:p>
        </w:tc>
        <w:tc>
          <w:tcPr>
            <w:tcW w:w="1013"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3 beneficiarios</w:t>
            </w:r>
          </w:p>
        </w:tc>
        <w:tc>
          <w:tcPr>
            <w:tcW w:w="1345" w:type="pct"/>
            <w:tcBorders>
              <w:top w:val="single" w:sz="4" w:space="0" w:color="auto"/>
              <w:bottom w:val="single" w:sz="12" w:space="0" w:color="auto"/>
            </w:tcBorders>
            <w:shd w:val="clear" w:color="auto" w:fill="auto"/>
            <w:vAlign w:val="bottom"/>
          </w:tcPr>
          <w:p w:rsidR="00384375" w:rsidRPr="00E018D6" w:rsidRDefault="00384375" w:rsidP="00F36DAB">
            <w:pPr>
              <w:spacing w:before="80" w:after="80" w:line="200" w:lineRule="exact"/>
              <w:ind w:left="85" w:right="28"/>
              <w:jc w:val="right"/>
              <w:rPr>
                <w:rFonts w:eastAsia="Calibri"/>
                <w:i/>
                <w:sz w:val="16"/>
              </w:rPr>
            </w:pPr>
            <w:r w:rsidRPr="00E018D6">
              <w:rPr>
                <w:rFonts w:eastAsia="Calibri"/>
                <w:i/>
                <w:sz w:val="16"/>
              </w:rPr>
              <w:t>Variación (</w:t>
            </w:r>
            <w:r w:rsidR="00FB37F5">
              <w:rPr>
                <w:rFonts w:eastAsia="Calibri"/>
                <w:i/>
                <w:sz w:val="16"/>
              </w:rPr>
              <w:t>porcentaje</w:t>
            </w:r>
            <w:r w:rsidRPr="00E018D6">
              <w:rPr>
                <w:rFonts w:eastAsia="Calibri"/>
                <w:i/>
                <w:sz w:val="16"/>
              </w:rPr>
              <w:t>)</w:t>
            </w:r>
          </w:p>
        </w:tc>
      </w:tr>
      <w:tr w:rsidR="00FB37F5" w:rsidRPr="00E018D6" w:rsidTr="00F36DAB">
        <w:trPr>
          <w:trHeight w:val="240"/>
        </w:trPr>
        <w:tc>
          <w:tcPr>
            <w:tcW w:w="617" w:type="pct"/>
            <w:tcBorders>
              <w:top w:val="single" w:sz="12" w:space="0" w:color="auto"/>
            </w:tcBorders>
            <w:shd w:val="clear" w:color="auto" w:fill="auto"/>
          </w:tcPr>
          <w:p w:rsidR="00384375" w:rsidRPr="00E018D6" w:rsidRDefault="00384375">
            <w:pPr>
              <w:spacing w:before="40" w:after="40" w:line="220" w:lineRule="exact"/>
              <w:rPr>
                <w:rFonts w:eastAsia="Calibri"/>
                <w:sz w:val="18"/>
              </w:rPr>
            </w:pPr>
            <w:r w:rsidRPr="00E018D6">
              <w:rPr>
                <w:rFonts w:eastAsia="Calibri"/>
                <w:sz w:val="18"/>
              </w:rPr>
              <w:t>2011</w:t>
            </w:r>
          </w:p>
        </w:tc>
        <w:tc>
          <w:tcPr>
            <w:tcW w:w="1012" w:type="pct"/>
            <w:tcBorders>
              <w:top w:val="single" w:sz="12" w:space="0" w:color="auto"/>
            </w:tcBorders>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4.866,40</w:t>
            </w:r>
          </w:p>
        </w:tc>
        <w:tc>
          <w:tcPr>
            <w:tcW w:w="1012" w:type="pct"/>
            <w:tcBorders>
              <w:top w:val="single" w:sz="12" w:space="0" w:color="auto"/>
            </w:tcBorders>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8.272,88</w:t>
            </w:r>
          </w:p>
        </w:tc>
        <w:tc>
          <w:tcPr>
            <w:tcW w:w="1013" w:type="pct"/>
            <w:tcBorders>
              <w:top w:val="single" w:sz="12" w:space="0" w:color="auto"/>
            </w:tcBorders>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11.679,36</w:t>
            </w:r>
          </w:p>
        </w:tc>
        <w:tc>
          <w:tcPr>
            <w:tcW w:w="1345" w:type="pct"/>
            <w:tcBorders>
              <w:top w:val="single" w:sz="12" w:space="0" w:color="auto"/>
            </w:tcBorders>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2,30</w:t>
            </w:r>
          </w:p>
        </w:tc>
      </w:tr>
      <w:tr w:rsidR="00FB37F5" w:rsidRPr="00E018D6" w:rsidTr="00F36DAB">
        <w:trPr>
          <w:trHeight w:val="240"/>
        </w:trPr>
        <w:tc>
          <w:tcPr>
            <w:tcW w:w="617" w:type="pct"/>
            <w:shd w:val="clear" w:color="auto" w:fill="auto"/>
          </w:tcPr>
          <w:p w:rsidR="00384375" w:rsidRPr="00E018D6" w:rsidRDefault="00384375">
            <w:pPr>
              <w:spacing w:before="40" w:after="40" w:line="220" w:lineRule="exact"/>
              <w:rPr>
                <w:rFonts w:eastAsia="Calibri"/>
                <w:sz w:val="18"/>
              </w:rPr>
            </w:pPr>
            <w:r w:rsidRPr="00E018D6">
              <w:rPr>
                <w:rFonts w:eastAsia="Calibri"/>
                <w:sz w:val="18"/>
              </w:rPr>
              <w:t>2012</w:t>
            </w:r>
          </w:p>
        </w:tc>
        <w:tc>
          <w:tcPr>
            <w:tcW w:w="1012"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5.007,80</w:t>
            </w:r>
          </w:p>
        </w:tc>
        <w:tc>
          <w:tcPr>
            <w:tcW w:w="1012"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8.513,26</w:t>
            </w:r>
          </w:p>
        </w:tc>
        <w:tc>
          <w:tcPr>
            <w:tcW w:w="1013"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12.018,72</w:t>
            </w:r>
          </w:p>
        </w:tc>
        <w:tc>
          <w:tcPr>
            <w:tcW w:w="1345"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2,90</w:t>
            </w:r>
          </w:p>
        </w:tc>
      </w:tr>
      <w:tr w:rsidR="00FB37F5" w:rsidRPr="00E018D6" w:rsidTr="00F36DAB">
        <w:trPr>
          <w:trHeight w:val="240"/>
        </w:trPr>
        <w:tc>
          <w:tcPr>
            <w:tcW w:w="617" w:type="pct"/>
            <w:shd w:val="clear" w:color="auto" w:fill="auto"/>
          </w:tcPr>
          <w:p w:rsidR="00384375" w:rsidRPr="00E018D6" w:rsidRDefault="00384375">
            <w:pPr>
              <w:spacing w:before="40" w:after="40" w:line="220" w:lineRule="exact"/>
              <w:rPr>
                <w:rFonts w:eastAsia="Calibri"/>
                <w:sz w:val="18"/>
              </w:rPr>
            </w:pPr>
            <w:r w:rsidRPr="00E018D6">
              <w:rPr>
                <w:rFonts w:eastAsia="Calibri"/>
                <w:sz w:val="18"/>
              </w:rPr>
              <w:t>2013</w:t>
            </w:r>
          </w:p>
        </w:tc>
        <w:tc>
          <w:tcPr>
            <w:tcW w:w="1012"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5.108,60</w:t>
            </w:r>
          </w:p>
        </w:tc>
        <w:tc>
          <w:tcPr>
            <w:tcW w:w="1012"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8.684,62</w:t>
            </w:r>
          </w:p>
        </w:tc>
        <w:tc>
          <w:tcPr>
            <w:tcW w:w="1013"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12.260,64</w:t>
            </w:r>
          </w:p>
        </w:tc>
        <w:tc>
          <w:tcPr>
            <w:tcW w:w="1345"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2,00</w:t>
            </w:r>
          </w:p>
        </w:tc>
      </w:tr>
      <w:tr w:rsidR="00FB37F5" w:rsidRPr="00E018D6" w:rsidTr="00F36DAB">
        <w:trPr>
          <w:trHeight w:val="240"/>
        </w:trPr>
        <w:tc>
          <w:tcPr>
            <w:tcW w:w="617" w:type="pct"/>
            <w:shd w:val="clear" w:color="auto" w:fill="auto"/>
          </w:tcPr>
          <w:p w:rsidR="00384375" w:rsidRPr="00E018D6" w:rsidRDefault="00384375">
            <w:pPr>
              <w:spacing w:before="40" w:after="40" w:line="220" w:lineRule="exact"/>
              <w:rPr>
                <w:rFonts w:eastAsia="Calibri"/>
                <w:sz w:val="18"/>
              </w:rPr>
            </w:pPr>
            <w:r w:rsidRPr="00E018D6">
              <w:rPr>
                <w:rFonts w:eastAsia="Calibri"/>
                <w:sz w:val="18"/>
              </w:rPr>
              <w:t>2014</w:t>
            </w:r>
          </w:p>
        </w:tc>
        <w:tc>
          <w:tcPr>
            <w:tcW w:w="1012"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5.122,60</w:t>
            </w:r>
          </w:p>
        </w:tc>
        <w:tc>
          <w:tcPr>
            <w:tcW w:w="1012"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8.708,42</w:t>
            </w:r>
          </w:p>
        </w:tc>
        <w:tc>
          <w:tcPr>
            <w:tcW w:w="1013"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12.294,24</w:t>
            </w:r>
          </w:p>
        </w:tc>
        <w:tc>
          <w:tcPr>
            <w:tcW w:w="1345"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0,25</w:t>
            </w:r>
          </w:p>
        </w:tc>
      </w:tr>
      <w:tr w:rsidR="00FB37F5" w:rsidRPr="00E018D6" w:rsidTr="00F36DAB">
        <w:trPr>
          <w:trHeight w:val="240"/>
        </w:trPr>
        <w:tc>
          <w:tcPr>
            <w:tcW w:w="617" w:type="pct"/>
            <w:shd w:val="clear" w:color="auto" w:fill="auto"/>
          </w:tcPr>
          <w:p w:rsidR="00384375" w:rsidRPr="00E018D6" w:rsidRDefault="00384375">
            <w:pPr>
              <w:spacing w:before="40" w:after="40" w:line="220" w:lineRule="exact"/>
              <w:rPr>
                <w:rFonts w:eastAsia="Calibri"/>
                <w:sz w:val="18"/>
              </w:rPr>
            </w:pPr>
            <w:r w:rsidRPr="00E018D6">
              <w:rPr>
                <w:rFonts w:eastAsia="Calibri"/>
                <w:sz w:val="18"/>
              </w:rPr>
              <w:t>2015</w:t>
            </w:r>
          </w:p>
        </w:tc>
        <w:tc>
          <w:tcPr>
            <w:tcW w:w="1012"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5.136,60</w:t>
            </w:r>
          </w:p>
        </w:tc>
        <w:tc>
          <w:tcPr>
            <w:tcW w:w="1012"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8.732,22</w:t>
            </w:r>
          </w:p>
        </w:tc>
        <w:tc>
          <w:tcPr>
            <w:tcW w:w="1013"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12.327,84</w:t>
            </w:r>
          </w:p>
        </w:tc>
        <w:tc>
          <w:tcPr>
            <w:tcW w:w="1345" w:type="pct"/>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0,25</w:t>
            </w:r>
          </w:p>
        </w:tc>
      </w:tr>
      <w:tr w:rsidR="00FB37F5" w:rsidRPr="00E018D6" w:rsidTr="00F36DAB">
        <w:trPr>
          <w:trHeight w:val="240"/>
        </w:trPr>
        <w:tc>
          <w:tcPr>
            <w:tcW w:w="617" w:type="pct"/>
            <w:tcBorders>
              <w:bottom w:val="single" w:sz="12" w:space="0" w:color="auto"/>
            </w:tcBorders>
            <w:shd w:val="clear" w:color="auto" w:fill="auto"/>
          </w:tcPr>
          <w:p w:rsidR="00384375" w:rsidRPr="00E018D6" w:rsidRDefault="00384375">
            <w:pPr>
              <w:spacing w:before="40" w:after="40" w:line="220" w:lineRule="exact"/>
              <w:rPr>
                <w:rFonts w:eastAsia="Calibri"/>
                <w:sz w:val="18"/>
              </w:rPr>
            </w:pPr>
            <w:r w:rsidRPr="00E018D6">
              <w:rPr>
                <w:rFonts w:eastAsia="Calibri"/>
                <w:sz w:val="18"/>
              </w:rPr>
              <w:t>2016</w:t>
            </w:r>
          </w:p>
        </w:tc>
        <w:tc>
          <w:tcPr>
            <w:tcW w:w="1012" w:type="pct"/>
            <w:tcBorders>
              <w:bottom w:val="single" w:sz="12" w:space="0" w:color="auto"/>
            </w:tcBorders>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5.150,60</w:t>
            </w:r>
          </w:p>
        </w:tc>
        <w:tc>
          <w:tcPr>
            <w:tcW w:w="1012" w:type="pct"/>
            <w:tcBorders>
              <w:bottom w:val="single" w:sz="12" w:space="0" w:color="auto"/>
            </w:tcBorders>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8.756,02</w:t>
            </w:r>
          </w:p>
        </w:tc>
        <w:tc>
          <w:tcPr>
            <w:tcW w:w="1013" w:type="pct"/>
            <w:tcBorders>
              <w:bottom w:val="single" w:sz="12" w:space="0" w:color="auto"/>
            </w:tcBorders>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12.361,44</w:t>
            </w:r>
          </w:p>
        </w:tc>
        <w:tc>
          <w:tcPr>
            <w:tcW w:w="1345" w:type="pct"/>
            <w:tcBorders>
              <w:bottom w:val="single" w:sz="12" w:space="0" w:color="auto"/>
            </w:tcBorders>
            <w:shd w:val="clear" w:color="auto" w:fill="auto"/>
            <w:vAlign w:val="bottom"/>
          </w:tcPr>
          <w:p w:rsidR="00384375" w:rsidRPr="00E018D6" w:rsidRDefault="00384375" w:rsidP="00F36DAB">
            <w:pPr>
              <w:spacing w:before="40" w:after="40" w:line="220" w:lineRule="exact"/>
              <w:ind w:left="85" w:right="28"/>
              <w:jc w:val="right"/>
              <w:rPr>
                <w:rFonts w:eastAsia="Calibri"/>
                <w:sz w:val="18"/>
              </w:rPr>
            </w:pPr>
            <w:r w:rsidRPr="00E018D6">
              <w:rPr>
                <w:rFonts w:eastAsia="Calibri"/>
                <w:sz w:val="18"/>
              </w:rPr>
              <w:t>0,25</w:t>
            </w:r>
          </w:p>
        </w:tc>
      </w:tr>
    </w:tbl>
    <w:p w:rsidR="00384375" w:rsidRPr="00F36DAB" w:rsidRDefault="00BD4D4A" w:rsidP="00F36DAB">
      <w:pPr>
        <w:pStyle w:val="SingleTxtG"/>
        <w:spacing w:before="240"/>
      </w:pPr>
      <w:r w:rsidRPr="009D3089">
        <w:t>85.</w:t>
      </w:r>
      <w:r w:rsidRPr="009D3089">
        <w:tab/>
      </w:r>
      <w:r w:rsidR="00384375" w:rsidRPr="009D3089">
        <w:t xml:space="preserve">Si el beneficiario está integrado en una unidad de convivencia, se considera que existe insuficiencia de recursos cuando la suma de los ingresos de todos sus miembros no supera el denominado límite de acumulación de recursos. </w:t>
      </w:r>
    </w:p>
    <w:p w:rsidR="00384375" w:rsidRPr="00580985" w:rsidRDefault="00E018D6" w:rsidP="00F36DAB">
      <w:pPr>
        <w:pStyle w:val="H23G"/>
      </w:pPr>
      <w:r>
        <w:tab/>
      </w:r>
      <w:r>
        <w:tab/>
      </w:r>
      <w:r w:rsidR="005E1A6B" w:rsidRPr="00580985">
        <w:t xml:space="preserve">Límite de acumulación de recursos de la unidad económica a </w:t>
      </w:r>
      <w:r w:rsidR="00F50157" w:rsidRPr="00580985">
        <w:t>efectos</w:t>
      </w:r>
      <w:r w:rsidR="00F50157">
        <w:br/>
      </w:r>
      <w:r w:rsidR="005E1A6B" w:rsidRPr="00580985">
        <w:t>de pnc en 2016</w:t>
      </w:r>
    </w:p>
    <w:tbl>
      <w:tblPr>
        <w:tblW w:w="7370" w:type="dxa"/>
        <w:tblInd w:w="1134" w:type="dxa"/>
        <w:tblBorders>
          <w:top w:val="single" w:sz="4" w:space="0" w:color="auto"/>
        </w:tblBorders>
        <w:tblCellMar>
          <w:left w:w="0" w:type="dxa"/>
          <w:right w:w="0" w:type="dxa"/>
        </w:tblCellMar>
        <w:tblLook w:val="0420" w:firstRow="1" w:lastRow="0" w:firstColumn="0" w:lastColumn="0" w:noHBand="0" w:noVBand="1"/>
      </w:tblPr>
      <w:tblGrid>
        <w:gridCol w:w="1512"/>
        <w:gridCol w:w="2969"/>
        <w:gridCol w:w="2889"/>
      </w:tblGrid>
      <w:tr w:rsidR="00AC39C9" w:rsidRPr="00AC39C9" w:rsidTr="00F36DAB">
        <w:trPr>
          <w:trHeight w:val="240"/>
          <w:tblHeader/>
        </w:trPr>
        <w:tc>
          <w:tcPr>
            <w:tcW w:w="1026" w:type="pct"/>
            <w:tcBorders>
              <w:top w:val="single" w:sz="4" w:space="0" w:color="auto"/>
              <w:bottom w:val="single" w:sz="12" w:space="0" w:color="auto"/>
            </w:tcBorders>
            <w:shd w:val="clear" w:color="auto" w:fill="auto"/>
            <w:vAlign w:val="bottom"/>
          </w:tcPr>
          <w:p w:rsidR="00384375" w:rsidRPr="00AC39C9" w:rsidRDefault="00AC39C9">
            <w:pPr>
              <w:spacing w:before="80" w:after="80" w:line="200" w:lineRule="exact"/>
              <w:rPr>
                <w:rFonts w:eastAsia="Calibri"/>
                <w:i/>
                <w:sz w:val="16"/>
              </w:rPr>
            </w:pPr>
            <w:r w:rsidRPr="00AC39C9">
              <w:rPr>
                <w:rFonts w:eastAsia="Calibri"/>
                <w:i/>
                <w:sz w:val="16"/>
              </w:rPr>
              <w:t xml:space="preserve">Núm. </w:t>
            </w:r>
            <w:r w:rsidR="00384375" w:rsidRPr="00AC39C9">
              <w:rPr>
                <w:rFonts w:eastAsia="Calibri"/>
                <w:i/>
                <w:sz w:val="16"/>
              </w:rPr>
              <w:t>de convivientes</w:t>
            </w:r>
            <w:r w:rsidR="00F50157">
              <w:rPr>
                <w:rFonts w:eastAsia="Calibri"/>
                <w:i/>
                <w:sz w:val="16"/>
              </w:rPr>
              <w:br/>
            </w:r>
            <w:r w:rsidR="00F50157" w:rsidRPr="00E86788">
              <w:rPr>
                <w:rFonts w:eastAsia="Calibri"/>
                <w:i/>
                <w:sz w:val="16"/>
              </w:rPr>
              <w:t>(m)</w:t>
            </w:r>
          </w:p>
        </w:tc>
        <w:tc>
          <w:tcPr>
            <w:tcW w:w="2014" w:type="pct"/>
            <w:tcBorders>
              <w:top w:val="single" w:sz="4" w:space="0" w:color="auto"/>
              <w:bottom w:val="single" w:sz="12" w:space="0" w:color="auto"/>
            </w:tcBorders>
            <w:shd w:val="clear" w:color="auto" w:fill="auto"/>
            <w:vAlign w:val="bottom"/>
          </w:tcPr>
          <w:p w:rsidR="00384375" w:rsidRPr="00AC39C9" w:rsidRDefault="00384375" w:rsidP="00F36DAB">
            <w:pPr>
              <w:spacing w:before="80" w:after="80" w:line="200" w:lineRule="exact"/>
              <w:ind w:left="85" w:right="28"/>
              <w:jc w:val="right"/>
              <w:rPr>
                <w:rFonts w:eastAsia="Calibri"/>
                <w:i/>
                <w:sz w:val="16"/>
              </w:rPr>
            </w:pPr>
            <w:r w:rsidRPr="00AC39C9">
              <w:rPr>
                <w:rFonts w:eastAsia="Calibri"/>
                <w:i/>
                <w:sz w:val="16"/>
              </w:rPr>
              <w:t xml:space="preserve">Sin descendientes ni ascendientes en primer grado del </w:t>
            </w:r>
            <w:r w:rsidR="00AC39C9" w:rsidRPr="00AC39C9">
              <w:rPr>
                <w:rFonts w:eastAsia="Calibri"/>
                <w:i/>
                <w:sz w:val="16"/>
              </w:rPr>
              <w:t>beneficiario</w:t>
            </w:r>
            <w:r w:rsidR="00F50157">
              <w:rPr>
                <w:rFonts w:eastAsia="Calibri"/>
                <w:i/>
                <w:sz w:val="16"/>
              </w:rPr>
              <w:t xml:space="preserve"> </w:t>
            </w:r>
            <w:r w:rsidRPr="00AC39C9">
              <w:rPr>
                <w:rFonts w:eastAsia="Calibri"/>
                <w:i/>
                <w:sz w:val="16"/>
              </w:rPr>
              <w:t>(euros/año)</w:t>
            </w:r>
            <w:r w:rsidR="00F50157">
              <w:rPr>
                <w:rFonts w:eastAsia="Calibri"/>
                <w:i/>
                <w:sz w:val="16"/>
              </w:rPr>
              <w:br/>
            </w:r>
            <w:r w:rsidR="00F50157" w:rsidRPr="00E86788">
              <w:rPr>
                <w:rFonts w:eastAsia="Calibri"/>
                <w:i/>
                <w:sz w:val="16"/>
              </w:rPr>
              <w:t>L=C+0,7</w:t>
            </w:r>
            <w:r w:rsidR="00F50157" w:rsidRPr="00E86788">
              <w:rPr>
                <w:rFonts w:eastAsia="Calibri"/>
                <w:i/>
                <w:sz w:val="16"/>
              </w:rPr>
              <w:sym w:font="Symbol" w:char="F02A"/>
            </w:r>
            <w:r w:rsidR="00F50157" w:rsidRPr="00E86788">
              <w:rPr>
                <w:rFonts w:eastAsia="Calibri"/>
                <w:i/>
                <w:sz w:val="16"/>
              </w:rPr>
              <w:t>C</w:t>
            </w:r>
            <w:r w:rsidR="00F50157" w:rsidRPr="00E86788">
              <w:rPr>
                <w:rFonts w:eastAsia="Calibri"/>
                <w:i/>
                <w:sz w:val="16"/>
              </w:rPr>
              <w:sym w:font="Symbol" w:char="F02A"/>
            </w:r>
            <w:r w:rsidR="00F50157" w:rsidRPr="00E86788">
              <w:rPr>
                <w:rFonts w:eastAsia="Calibri"/>
                <w:i/>
                <w:sz w:val="16"/>
              </w:rPr>
              <w:t>(m-1)</w:t>
            </w:r>
          </w:p>
        </w:tc>
        <w:tc>
          <w:tcPr>
            <w:tcW w:w="1961" w:type="pct"/>
            <w:tcBorders>
              <w:top w:val="single" w:sz="4" w:space="0" w:color="auto"/>
              <w:bottom w:val="single" w:sz="12" w:space="0" w:color="auto"/>
            </w:tcBorders>
            <w:shd w:val="clear" w:color="auto" w:fill="auto"/>
            <w:vAlign w:val="bottom"/>
          </w:tcPr>
          <w:p w:rsidR="00F50157" w:rsidRPr="00AC39C9" w:rsidRDefault="00384375" w:rsidP="00F36DAB">
            <w:pPr>
              <w:spacing w:before="80" w:after="80" w:line="200" w:lineRule="exact"/>
              <w:ind w:left="85" w:right="28"/>
              <w:jc w:val="right"/>
              <w:rPr>
                <w:rFonts w:eastAsia="Calibri"/>
                <w:i/>
                <w:sz w:val="16"/>
              </w:rPr>
            </w:pPr>
            <w:r w:rsidRPr="00AC39C9">
              <w:rPr>
                <w:rFonts w:eastAsia="Calibri"/>
                <w:i/>
                <w:sz w:val="16"/>
              </w:rPr>
              <w:t>Con descendientes o ascendientes en primer grado del beneficiario</w:t>
            </w:r>
            <w:r w:rsidR="00F50157">
              <w:rPr>
                <w:rFonts w:eastAsia="Calibri"/>
                <w:i/>
                <w:sz w:val="16"/>
              </w:rPr>
              <w:t xml:space="preserve"> </w:t>
            </w:r>
            <w:r w:rsidRPr="00AC39C9">
              <w:rPr>
                <w:rFonts w:eastAsia="Calibri"/>
                <w:i/>
                <w:sz w:val="16"/>
              </w:rPr>
              <w:t>(euros/año)</w:t>
            </w:r>
            <w:r w:rsidR="00F50157">
              <w:rPr>
                <w:rFonts w:eastAsia="Calibri"/>
                <w:i/>
                <w:sz w:val="16"/>
              </w:rPr>
              <w:br/>
            </w:r>
            <w:r w:rsidR="00F50157" w:rsidRPr="00E86788">
              <w:rPr>
                <w:rFonts w:eastAsia="Calibri"/>
                <w:i/>
                <w:sz w:val="16"/>
              </w:rPr>
              <w:t>L = 2,5*(C+0,7*C*(m-1))</w:t>
            </w:r>
          </w:p>
        </w:tc>
      </w:tr>
      <w:tr w:rsidR="00AC39C9" w:rsidRPr="00AC39C9" w:rsidTr="00F36DAB">
        <w:trPr>
          <w:trHeight w:val="240"/>
        </w:trPr>
        <w:tc>
          <w:tcPr>
            <w:tcW w:w="1026" w:type="pct"/>
            <w:tcBorders>
              <w:top w:val="single" w:sz="12" w:space="0" w:color="auto"/>
            </w:tcBorders>
            <w:shd w:val="clear" w:color="auto" w:fill="auto"/>
          </w:tcPr>
          <w:p w:rsidR="00384375" w:rsidRPr="00AC39C9" w:rsidRDefault="00384375">
            <w:pPr>
              <w:spacing w:before="40" w:after="40" w:line="220" w:lineRule="exact"/>
              <w:rPr>
                <w:rFonts w:eastAsia="Calibri"/>
                <w:sz w:val="18"/>
              </w:rPr>
            </w:pPr>
            <w:r w:rsidRPr="00AC39C9">
              <w:rPr>
                <w:rFonts w:eastAsia="Calibri"/>
                <w:sz w:val="18"/>
              </w:rPr>
              <w:t>2</w:t>
            </w:r>
          </w:p>
        </w:tc>
        <w:tc>
          <w:tcPr>
            <w:tcW w:w="2014" w:type="pct"/>
            <w:tcBorders>
              <w:top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8.756,02</w:t>
            </w:r>
          </w:p>
        </w:tc>
        <w:tc>
          <w:tcPr>
            <w:tcW w:w="1961" w:type="pct"/>
            <w:tcBorders>
              <w:top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21.890,05</w:t>
            </w:r>
          </w:p>
        </w:tc>
      </w:tr>
      <w:tr w:rsidR="00AC39C9" w:rsidRPr="00AC39C9" w:rsidTr="00F36DAB">
        <w:trPr>
          <w:trHeight w:val="240"/>
        </w:trPr>
        <w:tc>
          <w:tcPr>
            <w:tcW w:w="1026" w:type="pct"/>
            <w:tcBorders>
              <w:bottom w:val="nil"/>
            </w:tcBorders>
            <w:shd w:val="clear" w:color="auto" w:fill="auto"/>
          </w:tcPr>
          <w:p w:rsidR="00384375" w:rsidRPr="00AC39C9" w:rsidRDefault="00384375">
            <w:pPr>
              <w:spacing w:before="40" w:after="40" w:line="220" w:lineRule="exact"/>
              <w:rPr>
                <w:rFonts w:eastAsia="Calibri"/>
                <w:sz w:val="18"/>
              </w:rPr>
            </w:pPr>
            <w:r w:rsidRPr="00AC39C9">
              <w:rPr>
                <w:rFonts w:eastAsia="Calibri"/>
                <w:sz w:val="18"/>
              </w:rPr>
              <w:t>3</w:t>
            </w:r>
          </w:p>
        </w:tc>
        <w:tc>
          <w:tcPr>
            <w:tcW w:w="2014" w:type="pct"/>
            <w:tcBorders>
              <w:bottom w:val="nil"/>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12.361,44</w:t>
            </w:r>
          </w:p>
        </w:tc>
        <w:tc>
          <w:tcPr>
            <w:tcW w:w="1961" w:type="pct"/>
            <w:tcBorders>
              <w:bottom w:val="nil"/>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30.903,60</w:t>
            </w:r>
          </w:p>
        </w:tc>
      </w:tr>
      <w:tr w:rsidR="00AC39C9" w:rsidRPr="00AC39C9" w:rsidTr="00F36DAB">
        <w:trPr>
          <w:trHeight w:val="240"/>
        </w:trPr>
        <w:tc>
          <w:tcPr>
            <w:tcW w:w="1026" w:type="pct"/>
            <w:tcBorders>
              <w:top w:val="nil"/>
              <w:bottom w:val="single" w:sz="12" w:space="0" w:color="auto"/>
            </w:tcBorders>
            <w:shd w:val="clear" w:color="auto" w:fill="auto"/>
          </w:tcPr>
          <w:p w:rsidR="00384375" w:rsidRPr="00AC39C9" w:rsidRDefault="00384375">
            <w:pPr>
              <w:spacing w:before="40" w:after="40" w:line="220" w:lineRule="exact"/>
              <w:rPr>
                <w:rFonts w:eastAsia="Calibri"/>
                <w:sz w:val="18"/>
              </w:rPr>
            </w:pPr>
            <w:r w:rsidRPr="00AC39C9">
              <w:rPr>
                <w:rFonts w:eastAsia="Calibri"/>
                <w:sz w:val="18"/>
              </w:rPr>
              <w:t>4</w:t>
            </w:r>
          </w:p>
        </w:tc>
        <w:tc>
          <w:tcPr>
            <w:tcW w:w="2014" w:type="pct"/>
            <w:tcBorders>
              <w:top w:val="nil"/>
              <w:bottom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15.966,86</w:t>
            </w:r>
          </w:p>
        </w:tc>
        <w:tc>
          <w:tcPr>
            <w:tcW w:w="1961" w:type="pct"/>
            <w:tcBorders>
              <w:top w:val="nil"/>
              <w:bottom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39.917,15</w:t>
            </w:r>
          </w:p>
        </w:tc>
      </w:tr>
    </w:tbl>
    <w:p w:rsidR="00AC39C9" w:rsidRPr="00F36DAB" w:rsidRDefault="00AC39C9" w:rsidP="00F36DAB">
      <w:pPr>
        <w:pStyle w:val="SingleTxtG"/>
        <w:spacing w:before="120" w:after="240"/>
        <w:ind w:firstLine="170"/>
        <w:jc w:val="left"/>
        <w:rPr>
          <w:sz w:val="18"/>
        </w:rPr>
      </w:pPr>
      <w:r w:rsidRPr="00F36DAB">
        <w:rPr>
          <w:rFonts w:eastAsia="Calibri"/>
          <w:sz w:val="18"/>
        </w:rPr>
        <w:t>m = número de convivientes;</w:t>
      </w:r>
      <w:r>
        <w:rPr>
          <w:rFonts w:eastAsia="Calibri"/>
          <w:sz w:val="18"/>
        </w:rPr>
        <w:t xml:space="preserve"> </w:t>
      </w:r>
      <w:r w:rsidRPr="00F36DAB">
        <w:rPr>
          <w:rFonts w:eastAsia="Calibri"/>
          <w:sz w:val="18"/>
        </w:rPr>
        <w:t>C = cuantía de la prestación para un beneficiario;</w:t>
      </w:r>
      <w:r>
        <w:rPr>
          <w:rFonts w:eastAsia="Calibri"/>
          <w:sz w:val="18"/>
        </w:rPr>
        <w:t xml:space="preserve"> </w:t>
      </w:r>
      <w:r w:rsidRPr="00F36DAB">
        <w:rPr>
          <w:rFonts w:eastAsia="Calibri"/>
          <w:sz w:val="18"/>
        </w:rPr>
        <w:t>L = límite de recursos.</w:t>
      </w:r>
    </w:p>
    <w:p w:rsidR="00384375" w:rsidRPr="00F36DAB" w:rsidRDefault="00BD4D4A" w:rsidP="00F36DAB">
      <w:pPr>
        <w:pStyle w:val="SingleTxtG"/>
      </w:pPr>
      <w:r w:rsidRPr="009D3089">
        <w:t>86.</w:t>
      </w:r>
      <w:r w:rsidRPr="009D3089">
        <w:tab/>
      </w:r>
      <w:r w:rsidR="00384375" w:rsidRPr="009D3089">
        <w:t>La evolución del número de perceptores y el gasto en pensiones no contributivas se recoge en los cuadros siguientes</w:t>
      </w:r>
      <w:r w:rsidR="00F50157">
        <w:t>.</w:t>
      </w:r>
    </w:p>
    <w:p w:rsidR="00384375" w:rsidRPr="00F36DAB" w:rsidRDefault="00AC39C9" w:rsidP="00F36DAB">
      <w:pPr>
        <w:pStyle w:val="H23G"/>
        <w:rPr>
          <w:sz w:val="16"/>
        </w:rPr>
      </w:pPr>
      <w:bookmarkStart w:id="15" w:name="_Toc399590833"/>
      <w:bookmarkStart w:id="16" w:name="_Toc399591309"/>
      <w:bookmarkStart w:id="17" w:name="_Toc399607417"/>
      <w:bookmarkStart w:id="18" w:name="_Toc399699649"/>
      <w:bookmarkStart w:id="19" w:name="_Toc401049318"/>
      <w:bookmarkStart w:id="20" w:name="_Toc426011787"/>
      <w:bookmarkStart w:id="21" w:name="_Toc426366938"/>
      <w:r>
        <w:tab/>
      </w:r>
      <w:r>
        <w:tab/>
      </w:r>
      <w:r w:rsidR="005E1A6B" w:rsidRPr="00580985">
        <w:t>Número de pensiones no contributivas en vigor</w:t>
      </w:r>
      <w:bookmarkEnd w:id="15"/>
      <w:bookmarkEnd w:id="16"/>
      <w:bookmarkEnd w:id="17"/>
      <w:bookmarkEnd w:id="18"/>
      <w:bookmarkEnd w:id="19"/>
      <w:r>
        <w:t>,</w:t>
      </w:r>
      <w:r w:rsidR="008E6CFF" w:rsidRPr="00580985">
        <w:t xml:space="preserve"> </w:t>
      </w:r>
      <w:r w:rsidR="005E1A6B" w:rsidRPr="00580985">
        <w:t>años 2011-201</w:t>
      </w:r>
      <w:bookmarkEnd w:id="20"/>
      <w:bookmarkEnd w:id="21"/>
      <w:r w:rsidR="005E1A6B" w:rsidRPr="00580985">
        <w:t>6</w:t>
      </w:r>
      <w:r>
        <w:br/>
      </w:r>
      <w:r w:rsidRPr="00F36DAB">
        <w:rPr>
          <w:sz w:val="16"/>
        </w:rPr>
        <w:t>(</w:t>
      </w:r>
      <w:r w:rsidR="00384375" w:rsidRPr="00F36DAB">
        <w:rPr>
          <w:b w:val="0"/>
          <w:sz w:val="16"/>
        </w:rPr>
        <w:t>Datos a diciembre</w:t>
      </w:r>
      <w:r w:rsidRPr="00F36DAB">
        <w:rPr>
          <w:b w:val="0"/>
          <w:sz w:val="16"/>
        </w:rPr>
        <w:t>)</w:t>
      </w:r>
    </w:p>
    <w:tbl>
      <w:tblPr>
        <w:tblW w:w="7370" w:type="dxa"/>
        <w:tblInd w:w="1134" w:type="dxa"/>
        <w:tblBorders>
          <w:top w:val="single" w:sz="4" w:space="0" w:color="auto"/>
        </w:tblBorders>
        <w:tblCellMar>
          <w:left w:w="0" w:type="dxa"/>
          <w:right w:w="0" w:type="dxa"/>
        </w:tblCellMar>
        <w:tblLook w:val="0520" w:firstRow="1" w:lastRow="0" w:firstColumn="0" w:lastColumn="1" w:noHBand="0" w:noVBand="1"/>
      </w:tblPr>
      <w:tblGrid>
        <w:gridCol w:w="1842"/>
        <w:gridCol w:w="1842"/>
        <w:gridCol w:w="1843"/>
        <w:gridCol w:w="1843"/>
      </w:tblGrid>
      <w:tr w:rsidR="00AC39C9" w:rsidRPr="00AC39C9" w:rsidTr="00F36DAB">
        <w:trPr>
          <w:trHeight w:val="240"/>
          <w:tblHeader/>
        </w:trPr>
        <w:tc>
          <w:tcPr>
            <w:tcW w:w="1250" w:type="pct"/>
            <w:tcBorders>
              <w:top w:val="single" w:sz="4" w:space="0" w:color="auto"/>
              <w:bottom w:val="single" w:sz="12" w:space="0" w:color="auto"/>
            </w:tcBorders>
            <w:shd w:val="clear" w:color="auto" w:fill="auto"/>
            <w:vAlign w:val="bottom"/>
          </w:tcPr>
          <w:p w:rsidR="00384375" w:rsidRPr="00AC39C9" w:rsidRDefault="00384375">
            <w:pPr>
              <w:spacing w:before="80" w:after="80" w:line="200" w:lineRule="exact"/>
              <w:rPr>
                <w:rFonts w:eastAsia="Calibri"/>
                <w:i/>
                <w:sz w:val="16"/>
              </w:rPr>
            </w:pPr>
            <w:r w:rsidRPr="00AC39C9">
              <w:rPr>
                <w:rFonts w:eastAsia="Calibri"/>
                <w:i/>
                <w:sz w:val="16"/>
              </w:rPr>
              <w:t>Año</w:t>
            </w:r>
          </w:p>
        </w:tc>
        <w:tc>
          <w:tcPr>
            <w:tcW w:w="1250" w:type="pct"/>
            <w:tcBorders>
              <w:top w:val="single" w:sz="4" w:space="0" w:color="auto"/>
              <w:bottom w:val="single" w:sz="12" w:space="0" w:color="auto"/>
            </w:tcBorders>
            <w:shd w:val="clear" w:color="auto" w:fill="auto"/>
            <w:vAlign w:val="bottom"/>
          </w:tcPr>
          <w:p w:rsidR="00384375" w:rsidRPr="00AC39C9" w:rsidRDefault="00384375" w:rsidP="00F36DAB">
            <w:pPr>
              <w:spacing w:before="80" w:after="80" w:line="200" w:lineRule="exact"/>
              <w:ind w:left="85" w:right="28"/>
              <w:jc w:val="right"/>
              <w:rPr>
                <w:rFonts w:eastAsia="Calibri"/>
                <w:i/>
                <w:sz w:val="16"/>
              </w:rPr>
            </w:pPr>
            <w:r w:rsidRPr="00AC39C9">
              <w:rPr>
                <w:rFonts w:eastAsia="Calibri"/>
                <w:i/>
                <w:sz w:val="16"/>
              </w:rPr>
              <w:t>Invalidez</w:t>
            </w:r>
          </w:p>
        </w:tc>
        <w:tc>
          <w:tcPr>
            <w:tcW w:w="1250" w:type="pct"/>
            <w:tcBorders>
              <w:top w:val="single" w:sz="4" w:space="0" w:color="auto"/>
              <w:bottom w:val="single" w:sz="12" w:space="0" w:color="auto"/>
            </w:tcBorders>
            <w:shd w:val="clear" w:color="auto" w:fill="auto"/>
            <w:vAlign w:val="bottom"/>
          </w:tcPr>
          <w:p w:rsidR="00384375" w:rsidRPr="00AC39C9" w:rsidRDefault="00384375" w:rsidP="00F36DAB">
            <w:pPr>
              <w:spacing w:before="80" w:after="80" w:line="200" w:lineRule="exact"/>
              <w:ind w:left="85" w:right="28"/>
              <w:jc w:val="right"/>
              <w:rPr>
                <w:rFonts w:eastAsia="Calibri"/>
                <w:i/>
                <w:sz w:val="16"/>
              </w:rPr>
            </w:pPr>
            <w:r w:rsidRPr="00AC39C9">
              <w:rPr>
                <w:rFonts w:eastAsia="Calibri"/>
                <w:i/>
                <w:sz w:val="16"/>
              </w:rPr>
              <w:t>Jubilación</w:t>
            </w:r>
          </w:p>
        </w:tc>
        <w:tc>
          <w:tcPr>
            <w:tcW w:w="1250" w:type="pct"/>
            <w:tcBorders>
              <w:top w:val="single" w:sz="4" w:space="0" w:color="auto"/>
              <w:bottom w:val="single" w:sz="12" w:space="0" w:color="auto"/>
            </w:tcBorders>
            <w:shd w:val="clear" w:color="auto" w:fill="auto"/>
            <w:vAlign w:val="bottom"/>
          </w:tcPr>
          <w:p w:rsidR="00384375" w:rsidRPr="00AC39C9" w:rsidRDefault="00384375" w:rsidP="00F36DAB">
            <w:pPr>
              <w:spacing w:before="80" w:after="80" w:line="200" w:lineRule="exact"/>
              <w:ind w:left="85" w:right="28"/>
              <w:jc w:val="right"/>
              <w:rPr>
                <w:rFonts w:eastAsia="Calibri"/>
                <w:i/>
                <w:sz w:val="16"/>
              </w:rPr>
            </w:pPr>
            <w:r w:rsidRPr="00AC39C9">
              <w:rPr>
                <w:rFonts w:eastAsia="Calibri"/>
                <w:i/>
                <w:sz w:val="16"/>
              </w:rPr>
              <w:t>Total</w:t>
            </w:r>
          </w:p>
        </w:tc>
      </w:tr>
      <w:tr w:rsidR="00AC39C9" w:rsidRPr="00AC39C9" w:rsidTr="00F36DAB">
        <w:trPr>
          <w:trHeight w:val="240"/>
        </w:trPr>
        <w:tc>
          <w:tcPr>
            <w:tcW w:w="1250" w:type="pct"/>
            <w:tcBorders>
              <w:top w:val="single" w:sz="12" w:space="0" w:color="auto"/>
            </w:tcBorders>
            <w:shd w:val="clear" w:color="auto" w:fill="auto"/>
          </w:tcPr>
          <w:p w:rsidR="00384375" w:rsidRPr="00AC39C9" w:rsidRDefault="00384375">
            <w:pPr>
              <w:spacing w:before="40" w:after="40" w:line="220" w:lineRule="exact"/>
              <w:rPr>
                <w:rFonts w:eastAsia="Calibri"/>
                <w:sz w:val="18"/>
              </w:rPr>
            </w:pPr>
            <w:r w:rsidRPr="00AC39C9">
              <w:rPr>
                <w:rFonts w:eastAsia="Calibri"/>
                <w:sz w:val="18"/>
              </w:rPr>
              <w:t>2011</w:t>
            </w:r>
          </w:p>
        </w:tc>
        <w:tc>
          <w:tcPr>
            <w:tcW w:w="1250" w:type="pct"/>
            <w:tcBorders>
              <w:top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194.704</w:t>
            </w:r>
          </w:p>
        </w:tc>
        <w:tc>
          <w:tcPr>
            <w:tcW w:w="1250" w:type="pct"/>
            <w:tcBorders>
              <w:top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253.259</w:t>
            </w:r>
          </w:p>
        </w:tc>
        <w:tc>
          <w:tcPr>
            <w:tcW w:w="1250" w:type="pct"/>
            <w:tcBorders>
              <w:top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447.963</w:t>
            </w:r>
          </w:p>
        </w:tc>
      </w:tr>
      <w:tr w:rsidR="00AC39C9" w:rsidRPr="00AC39C9" w:rsidTr="00F36DAB">
        <w:trPr>
          <w:trHeight w:val="240"/>
        </w:trPr>
        <w:tc>
          <w:tcPr>
            <w:tcW w:w="1250" w:type="pct"/>
            <w:shd w:val="clear" w:color="auto" w:fill="auto"/>
          </w:tcPr>
          <w:p w:rsidR="00384375" w:rsidRPr="00AC39C9" w:rsidRDefault="00384375">
            <w:pPr>
              <w:spacing w:before="40" w:after="40" w:line="220" w:lineRule="exact"/>
              <w:rPr>
                <w:rFonts w:eastAsia="Calibri"/>
                <w:sz w:val="18"/>
              </w:rPr>
            </w:pPr>
            <w:r w:rsidRPr="00AC39C9">
              <w:rPr>
                <w:rFonts w:eastAsia="Calibri"/>
                <w:sz w:val="18"/>
              </w:rPr>
              <w:lastRenderedPageBreak/>
              <w:t>2012</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194.896</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250.382</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445.278</w:t>
            </w:r>
          </w:p>
        </w:tc>
      </w:tr>
      <w:tr w:rsidR="00AC39C9" w:rsidRPr="00AC39C9" w:rsidTr="00F36DAB">
        <w:trPr>
          <w:trHeight w:val="240"/>
        </w:trPr>
        <w:tc>
          <w:tcPr>
            <w:tcW w:w="1250" w:type="pct"/>
            <w:shd w:val="clear" w:color="auto" w:fill="auto"/>
          </w:tcPr>
          <w:p w:rsidR="00384375" w:rsidRPr="00AC39C9" w:rsidRDefault="00384375">
            <w:pPr>
              <w:spacing w:before="40" w:after="40" w:line="220" w:lineRule="exact"/>
              <w:rPr>
                <w:rFonts w:eastAsia="Calibri"/>
                <w:sz w:val="18"/>
              </w:rPr>
            </w:pPr>
            <w:r w:rsidRPr="00AC39C9">
              <w:rPr>
                <w:rFonts w:eastAsia="Calibri"/>
                <w:sz w:val="18"/>
              </w:rPr>
              <w:t>2013</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196.626</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250.527</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447.153</w:t>
            </w:r>
          </w:p>
        </w:tc>
      </w:tr>
      <w:tr w:rsidR="00AC39C9" w:rsidRPr="00AC39C9" w:rsidTr="00F36DAB">
        <w:trPr>
          <w:trHeight w:val="240"/>
        </w:trPr>
        <w:tc>
          <w:tcPr>
            <w:tcW w:w="1250" w:type="pct"/>
            <w:shd w:val="clear" w:color="auto" w:fill="auto"/>
          </w:tcPr>
          <w:p w:rsidR="00384375" w:rsidRPr="00AC39C9" w:rsidRDefault="00384375">
            <w:pPr>
              <w:spacing w:before="40" w:after="40" w:line="220" w:lineRule="exact"/>
              <w:rPr>
                <w:rFonts w:eastAsia="Calibri"/>
                <w:sz w:val="18"/>
              </w:rPr>
            </w:pPr>
            <w:r w:rsidRPr="00AC39C9">
              <w:rPr>
                <w:rFonts w:eastAsia="Calibri"/>
                <w:sz w:val="18"/>
              </w:rPr>
              <w:t>2014</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198.366</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253.450</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451.816</w:t>
            </w:r>
          </w:p>
        </w:tc>
      </w:tr>
      <w:tr w:rsidR="00AC39C9" w:rsidRPr="00AC39C9" w:rsidTr="00F36DAB">
        <w:trPr>
          <w:trHeight w:val="240"/>
        </w:trPr>
        <w:tc>
          <w:tcPr>
            <w:tcW w:w="1250" w:type="pct"/>
            <w:shd w:val="clear" w:color="auto" w:fill="auto"/>
          </w:tcPr>
          <w:p w:rsidR="00384375" w:rsidRPr="00AC39C9" w:rsidRDefault="00384375">
            <w:pPr>
              <w:spacing w:before="40" w:after="40" w:line="220" w:lineRule="exact"/>
              <w:rPr>
                <w:rFonts w:eastAsia="Calibri"/>
                <w:sz w:val="18"/>
              </w:rPr>
            </w:pPr>
            <w:r w:rsidRPr="00AC39C9">
              <w:rPr>
                <w:rFonts w:eastAsia="Calibri"/>
                <w:sz w:val="18"/>
              </w:rPr>
              <w:t>2015</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199.518</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254.029</w:t>
            </w:r>
          </w:p>
        </w:tc>
        <w:tc>
          <w:tcPr>
            <w:tcW w:w="1250"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453.547</w:t>
            </w:r>
          </w:p>
        </w:tc>
      </w:tr>
      <w:tr w:rsidR="00AC39C9" w:rsidRPr="00AC39C9" w:rsidTr="00F36DAB">
        <w:trPr>
          <w:trHeight w:val="240"/>
        </w:trPr>
        <w:tc>
          <w:tcPr>
            <w:tcW w:w="1250" w:type="pct"/>
            <w:tcBorders>
              <w:bottom w:val="single" w:sz="12" w:space="0" w:color="auto"/>
            </w:tcBorders>
            <w:shd w:val="clear" w:color="auto" w:fill="auto"/>
          </w:tcPr>
          <w:p w:rsidR="00384375" w:rsidRPr="00AC39C9" w:rsidRDefault="00384375">
            <w:pPr>
              <w:spacing w:before="40" w:after="40" w:line="220" w:lineRule="exact"/>
              <w:rPr>
                <w:rFonts w:eastAsia="Calibri"/>
                <w:sz w:val="18"/>
              </w:rPr>
            </w:pPr>
            <w:r w:rsidRPr="00AC39C9">
              <w:rPr>
                <w:rFonts w:eastAsia="Calibri"/>
                <w:sz w:val="18"/>
              </w:rPr>
              <w:t>2016</w:t>
            </w:r>
          </w:p>
        </w:tc>
        <w:tc>
          <w:tcPr>
            <w:tcW w:w="1250" w:type="pct"/>
            <w:tcBorders>
              <w:bottom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199.912</w:t>
            </w:r>
          </w:p>
        </w:tc>
        <w:tc>
          <w:tcPr>
            <w:tcW w:w="1250" w:type="pct"/>
            <w:tcBorders>
              <w:bottom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255.165</w:t>
            </w:r>
          </w:p>
        </w:tc>
        <w:tc>
          <w:tcPr>
            <w:tcW w:w="1250" w:type="pct"/>
            <w:tcBorders>
              <w:bottom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rFonts w:eastAsia="Calibri"/>
                <w:sz w:val="18"/>
              </w:rPr>
              <w:t>455.077</w:t>
            </w:r>
          </w:p>
        </w:tc>
      </w:tr>
    </w:tbl>
    <w:p w:rsidR="00384375" w:rsidRPr="009D3089" w:rsidRDefault="00384375" w:rsidP="00F36DAB">
      <w:pPr>
        <w:pStyle w:val="SingleTxtG"/>
        <w:spacing w:before="120" w:after="240"/>
        <w:ind w:firstLine="170"/>
        <w:jc w:val="left"/>
        <w:rPr>
          <w:rFonts w:eastAsia="Calibri"/>
          <w:sz w:val="18"/>
        </w:rPr>
      </w:pPr>
      <w:r w:rsidRPr="00F36DAB">
        <w:rPr>
          <w:rFonts w:eastAsia="Calibri"/>
          <w:i/>
          <w:sz w:val="18"/>
        </w:rPr>
        <w:t>Fuente:</w:t>
      </w:r>
      <w:r w:rsidRPr="009D3089">
        <w:rPr>
          <w:rFonts w:eastAsia="Calibri"/>
          <w:sz w:val="18"/>
        </w:rPr>
        <w:t xml:space="preserve"> Imserso</w:t>
      </w:r>
      <w:r w:rsidR="00AC39C9">
        <w:rPr>
          <w:rFonts w:eastAsia="Calibri"/>
          <w:sz w:val="18"/>
        </w:rPr>
        <w:t>.</w:t>
      </w:r>
    </w:p>
    <w:p w:rsidR="00384375" w:rsidRPr="003E0B97" w:rsidRDefault="00AC39C9" w:rsidP="00F36DAB">
      <w:pPr>
        <w:pStyle w:val="H23G"/>
      </w:pPr>
      <w:r>
        <w:tab/>
      </w:r>
      <w:r>
        <w:tab/>
      </w:r>
      <w:r w:rsidR="005E1A6B" w:rsidRPr="00025681">
        <w:t>Gastos en pensiones no contributivas</w:t>
      </w:r>
      <w:r>
        <w:t>, a</w:t>
      </w:r>
      <w:r w:rsidR="00384375" w:rsidRPr="003E0B97">
        <w:t>ños 2013-2017</w:t>
      </w:r>
    </w:p>
    <w:tbl>
      <w:tblPr>
        <w:tblW w:w="7370" w:type="dxa"/>
        <w:tblInd w:w="1134" w:type="dxa"/>
        <w:tblBorders>
          <w:top w:val="single" w:sz="4" w:space="0" w:color="auto"/>
        </w:tblBorders>
        <w:tblCellMar>
          <w:left w:w="0" w:type="dxa"/>
          <w:right w:w="0" w:type="dxa"/>
        </w:tblCellMar>
        <w:tblLook w:val="0520" w:firstRow="1" w:lastRow="0" w:firstColumn="0" w:lastColumn="1" w:noHBand="0" w:noVBand="1"/>
      </w:tblPr>
      <w:tblGrid>
        <w:gridCol w:w="1947"/>
        <w:gridCol w:w="5423"/>
      </w:tblGrid>
      <w:tr w:rsidR="00AC39C9" w:rsidRPr="00AC39C9" w:rsidTr="00F36DAB">
        <w:trPr>
          <w:trHeight w:val="240"/>
          <w:tblHeader/>
        </w:trPr>
        <w:tc>
          <w:tcPr>
            <w:tcW w:w="1321" w:type="pct"/>
            <w:tcBorders>
              <w:top w:val="single" w:sz="4" w:space="0" w:color="auto"/>
              <w:bottom w:val="single" w:sz="12" w:space="0" w:color="auto"/>
            </w:tcBorders>
            <w:shd w:val="clear" w:color="auto" w:fill="auto"/>
            <w:vAlign w:val="bottom"/>
          </w:tcPr>
          <w:p w:rsidR="00384375" w:rsidRPr="00AC39C9" w:rsidRDefault="00384375" w:rsidP="00F36DAB">
            <w:pPr>
              <w:spacing w:before="80" w:after="80" w:line="200" w:lineRule="exact"/>
              <w:rPr>
                <w:rFonts w:eastAsia="Calibri"/>
                <w:i/>
                <w:sz w:val="16"/>
              </w:rPr>
            </w:pPr>
            <w:r w:rsidRPr="00AC39C9">
              <w:rPr>
                <w:rFonts w:eastAsia="Calibri"/>
                <w:i/>
                <w:sz w:val="16"/>
              </w:rPr>
              <w:t>Año</w:t>
            </w:r>
          </w:p>
        </w:tc>
        <w:tc>
          <w:tcPr>
            <w:tcW w:w="3679" w:type="pct"/>
            <w:tcBorders>
              <w:top w:val="single" w:sz="4" w:space="0" w:color="auto"/>
              <w:bottom w:val="single" w:sz="12" w:space="0" w:color="auto"/>
            </w:tcBorders>
            <w:shd w:val="clear" w:color="auto" w:fill="auto"/>
            <w:vAlign w:val="bottom"/>
          </w:tcPr>
          <w:p w:rsidR="00384375" w:rsidRPr="00AC39C9" w:rsidRDefault="00384375" w:rsidP="00F36DAB">
            <w:pPr>
              <w:spacing w:before="80" w:after="80" w:line="200" w:lineRule="exact"/>
              <w:ind w:left="85" w:right="28"/>
              <w:jc w:val="right"/>
              <w:rPr>
                <w:rFonts w:eastAsia="Calibri"/>
                <w:i/>
                <w:sz w:val="16"/>
              </w:rPr>
            </w:pPr>
            <w:r w:rsidRPr="00AC39C9">
              <w:rPr>
                <w:rFonts w:eastAsia="Calibri"/>
                <w:i/>
                <w:sz w:val="16"/>
              </w:rPr>
              <w:t>M</w:t>
            </w:r>
            <w:r w:rsidR="00AC39C9" w:rsidRPr="00AC39C9">
              <w:rPr>
                <w:rFonts w:eastAsia="Calibri"/>
                <w:i/>
                <w:sz w:val="16"/>
              </w:rPr>
              <w:t>illones de euros</w:t>
            </w:r>
          </w:p>
        </w:tc>
      </w:tr>
      <w:tr w:rsidR="00AC39C9" w:rsidRPr="00AC39C9" w:rsidTr="00F36DAB">
        <w:trPr>
          <w:trHeight w:val="240"/>
        </w:trPr>
        <w:tc>
          <w:tcPr>
            <w:tcW w:w="1321" w:type="pct"/>
            <w:tcBorders>
              <w:top w:val="single" w:sz="12" w:space="0" w:color="auto"/>
            </w:tcBorders>
            <w:shd w:val="clear" w:color="auto" w:fill="auto"/>
          </w:tcPr>
          <w:p w:rsidR="00384375" w:rsidRPr="00AC39C9" w:rsidRDefault="00384375" w:rsidP="00F36DAB">
            <w:pPr>
              <w:spacing w:before="40" w:after="40" w:line="220" w:lineRule="exact"/>
              <w:rPr>
                <w:rFonts w:eastAsia="Calibri"/>
                <w:sz w:val="18"/>
              </w:rPr>
            </w:pPr>
            <w:r w:rsidRPr="00AC39C9">
              <w:rPr>
                <w:rFonts w:eastAsia="Calibri"/>
                <w:sz w:val="18"/>
              </w:rPr>
              <w:t>2013</w:t>
            </w:r>
          </w:p>
        </w:tc>
        <w:tc>
          <w:tcPr>
            <w:tcW w:w="3679" w:type="pct"/>
            <w:tcBorders>
              <w:top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sz w:val="18"/>
              </w:rPr>
              <w:t>2.677,33</w:t>
            </w:r>
          </w:p>
        </w:tc>
      </w:tr>
      <w:tr w:rsidR="00AC39C9" w:rsidRPr="00AC39C9" w:rsidTr="00F36DAB">
        <w:trPr>
          <w:trHeight w:val="240"/>
        </w:trPr>
        <w:tc>
          <w:tcPr>
            <w:tcW w:w="1321" w:type="pct"/>
            <w:shd w:val="clear" w:color="auto" w:fill="auto"/>
          </w:tcPr>
          <w:p w:rsidR="00384375" w:rsidRPr="00AC39C9" w:rsidRDefault="00384375" w:rsidP="00F36DAB">
            <w:pPr>
              <w:spacing w:before="40" w:after="40" w:line="220" w:lineRule="exact"/>
              <w:rPr>
                <w:rFonts w:eastAsia="Calibri"/>
                <w:sz w:val="18"/>
              </w:rPr>
            </w:pPr>
            <w:r w:rsidRPr="00AC39C9">
              <w:rPr>
                <w:rFonts w:eastAsia="Calibri"/>
                <w:sz w:val="18"/>
              </w:rPr>
              <w:t>2014</w:t>
            </w:r>
          </w:p>
        </w:tc>
        <w:tc>
          <w:tcPr>
            <w:tcW w:w="3679"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sz w:val="18"/>
              </w:rPr>
              <w:t>2.395,84</w:t>
            </w:r>
          </w:p>
        </w:tc>
      </w:tr>
      <w:tr w:rsidR="00AC39C9" w:rsidRPr="00AC39C9" w:rsidTr="00F36DAB">
        <w:trPr>
          <w:trHeight w:val="240"/>
        </w:trPr>
        <w:tc>
          <w:tcPr>
            <w:tcW w:w="1321" w:type="pct"/>
            <w:shd w:val="clear" w:color="auto" w:fill="auto"/>
          </w:tcPr>
          <w:p w:rsidR="00384375" w:rsidRPr="00AC39C9" w:rsidRDefault="00384375" w:rsidP="00F36DAB">
            <w:pPr>
              <w:spacing w:before="40" w:after="40" w:line="220" w:lineRule="exact"/>
              <w:rPr>
                <w:rFonts w:eastAsia="Calibri"/>
                <w:sz w:val="18"/>
              </w:rPr>
            </w:pPr>
            <w:r w:rsidRPr="00AC39C9">
              <w:rPr>
                <w:rFonts w:eastAsia="Calibri"/>
                <w:sz w:val="18"/>
              </w:rPr>
              <w:t>2015</w:t>
            </w:r>
          </w:p>
        </w:tc>
        <w:tc>
          <w:tcPr>
            <w:tcW w:w="3679"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sz w:val="18"/>
              </w:rPr>
              <w:t>2.417,71</w:t>
            </w:r>
          </w:p>
        </w:tc>
      </w:tr>
      <w:tr w:rsidR="00AC39C9" w:rsidRPr="00AC39C9" w:rsidTr="00F36DAB">
        <w:trPr>
          <w:trHeight w:val="240"/>
        </w:trPr>
        <w:tc>
          <w:tcPr>
            <w:tcW w:w="1321" w:type="pct"/>
            <w:shd w:val="clear" w:color="auto" w:fill="auto"/>
          </w:tcPr>
          <w:p w:rsidR="00384375" w:rsidRPr="00AC39C9" w:rsidRDefault="00384375">
            <w:pPr>
              <w:spacing w:before="40" w:after="40" w:line="220" w:lineRule="exact"/>
              <w:rPr>
                <w:rFonts w:eastAsia="Calibri"/>
                <w:sz w:val="18"/>
              </w:rPr>
            </w:pPr>
            <w:r w:rsidRPr="00AC39C9">
              <w:rPr>
                <w:rFonts w:eastAsia="Calibri"/>
                <w:sz w:val="18"/>
              </w:rPr>
              <w:t>2016</w:t>
            </w:r>
          </w:p>
        </w:tc>
        <w:tc>
          <w:tcPr>
            <w:tcW w:w="3679" w:type="pct"/>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sz w:val="18"/>
              </w:rPr>
              <w:t>2.440,34</w:t>
            </w:r>
          </w:p>
        </w:tc>
      </w:tr>
      <w:tr w:rsidR="00AC39C9" w:rsidRPr="00AC39C9" w:rsidTr="00F36DAB">
        <w:trPr>
          <w:trHeight w:val="240"/>
        </w:trPr>
        <w:tc>
          <w:tcPr>
            <w:tcW w:w="1321" w:type="pct"/>
            <w:tcBorders>
              <w:bottom w:val="single" w:sz="12" w:space="0" w:color="auto"/>
            </w:tcBorders>
            <w:shd w:val="clear" w:color="auto" w:fill="auto"/>
          </w:tcPr>
          <w:p w:rsidR="00384375" w:rsidRPr="00AC39C9" w:rsidRDefault="00384375">
            <w:pPr>
              <w:spacing w:before="40" w:after="40" w:line="220" w:lineRule="exact"/>
              <w:rPr>
                <w:rFonts w:eastAsia="Calibri"/>
                <w:sz w:val="18"/>
              </w:rPr>
            </w:pPr>
            <w:r w:rsidRPr="00AC39C9">
              <w:rPr>
                <w:rFonts w:eastAsia="Calibri"/>
                <w:sz w:val="18"/>
              </w:rPr>
              <w:t>2017</w:t>
            </w:r>
          </w:p>
        </w:tc>
        <w:tc>
          <w:tcPr>
            <w:tcW w:w="3679" w:type="pct"/>
            <w:tcBorders>
              <w:bottom w:val="single" w:sz="12" w:space="0" w:color="auto"/>
            </w:tcBorders>
            <w:shd w:val="clear" w:color="auto" w:fill="auto"/>
            <w:vAlign w:val="bottom"/>
          </w:tcPr>
          <w:p w:rsidR="00384375" w:rsidRPr="00AC39C9" w:rsidRDefault="00384375" w:rsidP="00F36DAB">
            <w:pPr>
              <w:spacing w:before="40" w:after="40" w:line="220" w:lineRule="exact"/>
              <w:ind w:left="85" w:right="28"/>
              <w:jc w:val="right"/>
              <w:rPr>
                <w:rFonts w:eastAsia="Calibri"/>
                <w:sz w:val="18"/>
              </w:rPr>
            </w:pPr>
            <w:r w:rsidRPr="00AC39C9">
              <w:rPr>
                <w:sz w:val="18"/>
              </w:rPr>
              <w:t>2.486,05</w:t>
            </w:r>
          </w:p>
        </w:tc>
      </w:tr>
    </w:tbl>
    <w:p w:rsidR="00384375" w:rsidRPr="00F36DAB" w:rsidRDefault="00384375" w:rsidP="00F36DAB">
      <w:pPr>
        <w:pStyle w:val="SingleTxtG"/>
        <w:spacing w:before="120" w:after="240"/>
        <w:ind w:firstLine="170"/>
        <w:jc w:val="left"/>
        <w:rPr>
          <w:rFonts w:eastAsia="Calibri"/>
          <w:sz w:val="18"/>
        </w:rPr>
      </w:pPr>
      <w:r w:rsidRPr="00F36DAB">
        <w:rPr>
          <w:rFonts w:eastAsia="Calibri"/>
          <w:i/>
          <w:sz w:val="18"/>
        </w:rPr>
        <w:t>Fuente:</w:t>
      </w:r>
      <w:r w:rsidR="00AC39C9">
        <w:rPr>
          <w:rFonts w:eastAsia="Calibri"/>
          <w:sz w:val="18"/>
        </w:rPr>
        <w:t xml:space="preserve"> </w:t>
      </w:r>
      <w:r w:rsidRPr="00F36DAB">
        <w:rPr>
          <w:rFonts w:eastAsia="Calibri"/>
          <w:sz w:val="18"/>
        </w:rPr>
        <w:t>Cuentas y Balances de la Seguridad Social 2013-2015. Previsión de liquidación 2016 y Presupuesto 2017.</w:t>
      </w:r>
    </w:p>
    <w:p w:rsidR="00384375" w:rsidRPr="00F36DAB" w:rsidRDefault="00BD4D4A" w:rsidP="00F36DAB">
      <w:pPr>
        <w:pStyle w:val="SingleTxtG"/>
      </w:pPr>
      <w:r w:rsidRPr="00F36DAB">
        <w:t>87.</w:t>
      </w:r>
      <w:r w:rsidRPr="00F36DAB">
        <w:tab/>
      </w:r>
      <w:r w:rsidR="00384375" w:rsidRPr="00F36DAB">
        <w:t xml:space="preserve">Por otro lado, la suficiencia de las prestaciones contributivas de la Seguridad Social está garantizada con el establecimiento del denominado </w:t>
      </w:r>
      <w:r w:rsidR="00BB5656" w:rsidRPr="00F36DAB">
        <w:t>“</w:t>
      </w:r>
      <w:r w:rsidR="00384375" w:rsidRPr="00F36DAB">
        <w:t>complemento por mínimos</w:t>
      </w:r>
      <w:r w:rsidR="00BB5656" w:rsidRPr="00F36DAB">
        <w:t>”</w:t>
      </w:r>
      <w:r w:rsidR="00384375" w:rsidRPr="00F36DAB">
        <w:t>. Las sucesivas leyes de presupuestos generales del Estado aprueban anualmente la cuantía mínima correspondiente a cada una de dichas prestaciones (incrementando su cuantía cuando el interesado tenga, según los casos, cónyuge a cargo u otro tipo de cargas familiares). Dado que ninguna pensión puede situarse por debajo de la cuantía mínima prevista para su categoría, en caso de que la prestación efectiva del beneficiario resulte inferior a dicha cifra, se le otorgará un complemento por la diferencia que corresponda hasta alcanzar el importe mínimo previsto por la Ley.</w:t>
      </w:r>
    </w:p>
    <w:p w:rsidR="00384375" w:rsidRPr="00F36DAB" w:rsidRDefault="00BD4D4A" w:rsidP="00F36DAB">
      <w:pPr>
        <w:pStyle w:val="SingleTxtG"/>
      </w:pPr>
      <w:r w:rsidRPr="00F36DAB">
        <w:t>88.</w:t>
      </w:r>
      <w:r w:rsidRPr="00F36DAB">
        <w:tab/>
      </w:r>
      <w:r w:rsidR="00384375" w:rsidRPr="00F36DAB">
        <w:t>En lo que afecta en concreto a las pensiones de viudedad, ha de tenerse en cuenta que las mismas son compatibles, tanto con el trabajo del o la beneficiaria, como con el percibo de cualquier otra prestación de la Seguridad Social. Además, se ve incrementada en caso de concurrir determinados factores.</w:t>
      </w:r>
    </w:p>
    <w:p w:rsidR="00384375" w:rsidRPr="003E0B97" w:rsidRDefault="00384375" w:rsidP="00F36DAB">
      <w:pPr>
        <w:pStyle w:val="H1G"/>
      </w:pPr>
      <w:r w:rsidRPr="003E0B97">
        <w:tab/>
      </w:r>
      <w:r w:rsidR="00580985">
        <w:t>5.</w:t>
      </w:r>
      <w:r w:rsidRPr="003E0B97">
        <w:tab/>
        <w:t>Pobreza</w:t>
      </w:r>
    </w:p>
    <w:p w:rsidR="00E062C6" w:rsidRPr="00F36DAB" w:rsidRDefault="00BD4D4A" w:rsidP="00F36DAB">
      <w:pPr>
        <w:pStyle w:val="SingleTxtG"/>
      </w:pPr>
      <w:r w:rsidRPr="009D3089">
        <w:t>89.</w:t>
      </w:r>
      <w:r w:rsidRPr="009D3089">
        <w:tab/>
      </w:r>
      <w:r w:rsidR="00384375" w:rsidRPr="009D3089">
        <w:t xml:space="preserve">La situación de la pobreza y la exclusión social, la tasa AROPE, se ha incrementado en el periodo 2013-2016 en 0,6 puntos, lo que representa en número de personas una </w:t>
      </w:r>
      <w:r w:rsidR="00384375" w:rsidRPr="00F36DAB">
        <w:t>variación de 197.000 personas más. Sin embargo, desde 2015 se ha producido un punto de inflexión en la tendencia de los indicadores que empiezan a ofrecer datos positivos. En ese año la tasa se redujo por primera vez desde el inicio de la crisis en 0,6 puntos y esa reducción continúa en 2016 cuando se ha vuelto a reducir en 0,7 puntos, lo que corresponde a 348.000 personas.</w:t>
      </w:r>
      <w:r w:rsidR="00E062C6" w:rsidRPr="00F36DAB">
        <w:t xml:space="preserve"> </w:t>
      </w:r>
    </w:p>
    <w:p w:rsidR="00851CE6" w:rsidRPr="00851CE6" w:rsidRDefault="00AC39C9" w:rsidP="00F36DAB">
      <w:pPr>
        <w:pStyle w:val="H23G"/>
      </w:pPr>
      <w:r>
        <w:rPr>
          <w:rFonts w:eastAsia="Calibri"/>
        </w:rPr>
        <w:tab/>
      </w:r>
      <w:r>
        <w:rPr>
          <w:rFonts w:eastAsia="Calibri"/>
        </w:rPr>
        <w:tab/>
      </w:r>
      <w:r w:rsidR="00851CE6" w:rsidRPr="00851CE6">
        <w:rPr>
          <w:rFonts w:eastAsia="Calibri"/>
        </w:rPr>
        <w:t>Evolución del indicador AROPE 2013-2016 incluyendo sus 3 componentes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48"/>
        <w:gridCol w:w="1125"/>
        <w:gridCol w:w="1126"/>
        <w:gridCol w:w="1085"/>
        <w:gridCol w:w="1086"/>
      </w:tblGrid>
      <w:tr w:rsidR="00AC39C9" w:rsidRPr="00AC39C9" w:rsidTr="00F36DAB">
        <w:trPr>
          <w:trHeight w:val="240"/>
          <w:tblHeader/>
        </w:trPr>
        <w:tc>
          <w:tcPr>
            <w:tcW w:w="2932" w:type="dxa"/>
            <w:tcBorders>
              <w:top w:val="single" w:sz="4" w:space="0" w:color="auto"/>
              <w:bottom w:val="single" w:sz="12" w:space="0" w:color="auto"/>
            </w:tcBorders>
            <w:shd w:val="clear" w:color="auto" w:fill="auto"/>
            <w:noWrap/>
            <w:vAlign w:val="bottom"/>
            <w:hideMark/>
          </w:tcPr>
          <w:p w:rsidR="00E062C6" w:rsidRPr="00AC39C9" w:rsidRDefault="00E062C6">
            <w:pPr>
              <w:spacing w:before="80" w:after="80" w:line="200" w:lineRule="exact"/>
              <w:rPr>
                <w:rFonts w:eastAsia="Calibri"/>
                <w:i/>
                <w:sz w:val="16"/>
              </w:rPr>
            </w:pPr>
          </w:p>
        </w:tc>
        <w:tc>
          <w:tcPr>
            <w:tcW w:w="1109" w:type="dxa"/>
            <w:tcBorders>
              <w:top w:val="single" w:sz="4" w:space="0" w:color="auto"/>
              <w:bottom w:val="single" w:sz="12" w:space="0" w:color="auto"/>
            </w:tcBorders>
            <w:shd w:val="clear" w:color="auto" w:fill="auto"/>
            <w:noWrap/>
            <w:vAlign w:val="bottom"/>
            <w:hideMark/>
          </w:tcPr>
          <w:p w:rsidR="00E062C6" w:rsidRPr="00AC39C9" w:rsidRDefault="00E062C6" w:rsidP="00F36DAB">
            <w:pPr>
              <w:spacing w:before="80" w:after="80" w:line="200" w:lineRule="exact"/>
              <w:ind w:left="85" w:right="28"/>
              <w:jc w:val="right"/>
              <w:rPr>
                <w:rFonts w:eastAsia="Calibri"/>
                <w:i/>
                <w:sz w:val="16"/>
              </w:rPr>
            </w:pPr>
            <w:r w:rsidRPr="00AC39C9">
              <w:rPr>
                <w:rFonts w:eastAsia="Calibri"/>
                <w:i/>
                <w:sz w:val="16"/>
              </w:rPr>
              <w:t>2013</w:t>
            </w:r>
          </w:p>
        </w:tc>
        <w:tc>
          <w:tcPr>
            <w:tcW w:w="1110" w:type="dxa"/>
            <w:tcBorders>
              <w:top w:val="single" w:sz="4" w:space="0" w:color="auto"/>
              <w:bottom w:val="single" w:sz="12" w:space="0" w:color="auto"/>
            </w:tcBorders>
            <w:shd w:val="clear" w:color="auto" w:fill="auto"/>
            <w:noWrap/>
            <w:vAlign w:val="bottom"/>
            <w:hideMark/>
          </w:tcPr>
          <w:p w:rsidR="00E062C6" w:rsidRPr="00AC39C9" w:rsidRDefault="00E062C6" w:rsidP="00F36DAB">
            <w:pPr>
              <w:spacing w:before="80" w:after="80" w:line="200" w:lineRule="exact"/>
              <w:ind w:left="85" w:right="28"/>
              <w:jc w:val="right"/>
              <w:rPr>
                <w:rFonts w:eastAsia="Calibri"/>
                <w:i/>
                <w:sz w:val="16"/>
              </w:rPr>
            </w:pPr>
            <w:r w:rsidRPr="00AC39C9">
              <w:rPr>
                <w:rFonts w:eastAsia="Calibri"/>
                <w:i/>
                <w:sz w:val="16"/>
              </w:rPr>
              <w:t>2014</w:t>
            </w:r>
          </w:p>
        </w:tc>
        <w:tc>
          <w:tcPr>
            <w:tcW w:w="1109" w:type="dxa"/>
            <w:tcBorders>
              <w:top w:val="single" w:sz="4" w:space="0" w:color="auto"/>
              <w:bottom w:val="single" w:sz="12" w:space="0" w:color="auto"/>
            </w:tcBorders>
            <w:shd w:val="clear" w:color="auto" w:fill="auto"/>
            <w:vAlign w:val="bottom"/>
            <w:hideMark/>
          </w:tcPr>
          <w:p w:rsidR="00E062C6" w:rsidRPr="00AC39C9" w:rsidRDefault="00E062C6" w:rsidP="00F36DAB">
            <w:pPr>
              <w:spacing w:before="80" w:after="80" w:line="200" w:lineRule="exact"/>
              <w:ind w:left="85" w:right="28"/>
              <w:jc w:val="right"/>
              <w:rPr>
                <w:rFonts w:eastAsia="Calibri"/>
                <w:i/>
                <w:sz w:val="16"/>
              </w:rPr>
            </w:pPr>
            <w:r w:rsidRPr="00AC39C9">
              <w:rPr>
                <w:rFonts w:eastAsia="Calibri"/>
                <w:i/>
                <w:sz w:val="16"/>
              </w:rPr>
              <w:t>2015</w:t>
            </w:r>
          </w:p>
        </w:tc>
        <w:tc>
          <w:tcPr>
            <w:tcW w:w="1110" w:type="dxa"/>
            <w:tcBorders>
              <w:top w:val="single" w:sz="4" w:space="0" w:color="auto"/>
              <w:bottom w:val="single" w:sz="12" w:space="0" w:color="auto"/>
            </w:tcBorders>
            <w:shd w:val="clear" w:color="auto" w:fill="auto"/>
            <w:vAlign w:val="bottom"/>
            <w:hideMark/>
          </w:tcPr>
          <w:p w:rsidR="00E062C6" w:rsidRPr="00AC39C9" w:rsidRDefault="00E062C6" w:rsidP="00F36DAB">
            <w:pPr>
              <w:spacing w:before="80" w:after="80" w:line="200" w:lineRule="exact"/>
              <w:ind w:left="85" w:right="28"/>
              <w:jc w:val="right"/>
              <w:rPr>
                <w:rFonts w:eastAsia="Calibri"/>
                <w:i/>
                <w:sz w:val="16"/>
              </w:rPr>
            </w:pPr>
            <w:r w:rsidRPr="00AC39C9">
              <w:rPr>
                <w:rFonts w:eastAsia="Calibri"/>
                <w:i/>
                <w:sz w:val="16"/>
              </w:rPr>
              <w:t>2016</w:t>
            </w:r>
          </w:p>
        </w:tc>
      </w:tr>
      <w:tr w:rsidR="00AC39C9" w:rsidRPr="00AC39C9" w:rsidTr="00F36DAB">
        <w:trPr>
          <w:trHeight w:val="240"/>
        </w:trPr>
        <w:tc>
          <w:tcPr>
            <w:tcW w:w="2932" w:type="dxa"/>
            <w:tcBorders>
              <w:top w:val="single" w:sz="12" w:space="0" w:color="auto"/>
            </w:tcBorders>
            <w:shd w:val="clear" w:color="auto" w:fill="auto"/>
            <w:noWrap/>
            <w:hideMark/>
          </w:tcPr>
          <w:p w:rsidR="00E062C6" w:rsidRPr="00AC39C9" w:rsidRDefault="00E062C6">
            <w:pPr>
              <w:spacing w:before="40" w:after="40" w:line="220" w:lineRule="exact"/>
              <w:rPr>
                <w:rFonts w:eastAsia="Calibri"/>
                <w:sz w:val="18"/>
              </w:rPr>
            </w:pPr>
            <w:r w:rsidRPr="00AC39C9">
              <w:rPr>
                <w:rFonts w:eastAsia="Calibri"/>
                <w:sz w:val="18"/>
              </w:rPr>
              <w:t>Tasa de riesgo de pobreza</w:t>
            </w:r>
          </w:p>
        </w:tc>
        <w:tc>
          <w:tcPr>
            <w:tcW w:w="1109" w:type="dxa"/>
            <w:tcBorders>
              <w:top w:val="single" w:sz="12" w:space="0" w:color="auto"/>
            </w:tcBorders>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20,4</w:t>
            </w:r>
          </w:p>
        </w:tc>
        <w:tc>
          <w:tcPr>
            <w:tcW w:w="1110" w:type="dxa"/>
            <w:tcBorders>
              <w:top w:val="single" w:sz="12" w:space="0" w:color="auto"/>
            </w:tcBorders>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22,2</w:t>
            </w:r>
          </w:p>
        </w:tc>
        <w:tc>
          <w:tcPr>
            <w:tcW w:w="1109" w:type="dxa"/>
            <w:tcBorders>
              <w:top w:val="single" w:sz="12" w:space="0" w:color="auto"/>
            </w:tcBorders>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22,1</w:t>
            </w:r>
          </w:p>
        </w:tc>
        <w:tc>
          <w:tcPr>
            <w:tcW w:w="1110" w:type="dxa"/>
            <w:tcBorders>
              <w:top w:val="single" w:sz="12" w:space="0" w:color="auto"/>
            </w:tcBorders>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22,3</w:t>
            </w:r>
          </w:p>
        </w:tc>
      </w:tr>
      <w:tr w:rsidR="00AC39C9" w:rsidRPr="00AC39C9" w:rsidTr="00F36DAB">
        <w:trPr>
          <w:trHeight w:val="240"/>
        </w:trPr>
        <w:tc>
          <w:tcPr>
            <w:tcW w:w="2932" w:type="dxa"/>
            <w:shd w:val="clear" w:color="auto" w:fill="auto"/>
            <w:noWrap/>
            <w:hideMark/>
          </w:tcPr>
          <w:p w:rsidR="00E062C6" w:rsidRPr="00AC39C9" w:rsidRDefault="00E062C6">
            <w:pPr>
              <w:spacing w:before="40" w:after="40" w:line="220" w:lineRule="exact"/>
              <w:rPr>
                <w:rFonts w:eastAsia="Calibri"/>
                <w:sz w:val="18"/>
              </w:rPr>
            </w:pPr>
            <w:r w:rsidRPr="00AC39C9">
              <w:rPr>
                <w:rFonts w:eastAsia="Calibri"/>
                <w:sz w:val="18"/>
              </w:rPr>
              <w:t>Personas viviendo en hogares con baja intensidad laboral</w:t>
            </w:r>
          </w:p>
        </w:tc>
        <w:tc>
          <w:tcPr>
            <w:tcW w:w="1109" w:type="dxa"/>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15,7</w:t>
            </w:r>
          </w:p>
        </w:tc>
        <w:tc>
          <w:tcPr>
            <w:tcW w:w="1110" w:type="dxa"/>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17,1</w:t>
            </w:r>
          </w:p>
        </w:tc>
        <w:tc>
          <w:tcPr>
            <w:tcW w:w="1109" w:type="dxa"/>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15,4</w:t>
            </w:r>
          </w:p>
        </w:tc>
        <w:tc>
          <w:tcPr>
            <w:tcW w:w="1110" w:type="dxa"/>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14,9</w:t>
            </w:r>
          </w:p>
        </w:tc>
      </w:tr>
      <w:tr w:rsidR="00AC39C9" w:rsidRPr="00AC39C9" w:rsidTr="00F36DAB">
        <w:trPr>
          <w:trHeight w:val="240"/>
        </w:trPr>
        <w:tc>
          <w:tcPr>
            <w:tcW w:w="2932" w:type="dxa"/>
            <w:shd w:val="clear" w:color="auto" w:fill="auto"/>
            <w:noWrap/>
            <w:hideMark/>
          </w:tcPr>
          <w:p w:rsidR="00E062C6" w:rsidRPr="00AC39C9" w:rsidRDefault="00E062C6">
            <w:pPr>
              <w:spacing w:before="40" w:after="40" w:line="220" w:lineRule="exact"/>
              <w:rPr>
                <w:rFonts w:eastAsia="Calibri"/>
                <w:sz w:val="18"/>
              </w:rPr>
            </w:pPr>
            <w:r w:rsidRPr="00AC39C9">
              <w:rPr>
                <w:rFonts w:eastAsia="Calibri"/>
                <w:sz w:val="18"/>
              </w:rPr>
              <w:t>Personas viviendo en hogares con privación material severa</w:t>
            </w:r>
          </w:p>
        </w:tc>
        <w:tc>
          <w:tcPr>
            <w:tcW w:w="1109" w:type="dxa"/>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6,2</w:t>
            </w:r>
          </w:p>
        </w:tc>
        <w:tc>
          <w:tcPr>
            <w:tcW w:w="1110" w:type="dxa"/>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7,1</w:t>
            </w:r>
          </w:p>
        </w:tc>
        <w:tc>
          <w:tcPr>
            <w:tcW w:w="1109" w:type="dxa"/>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6,4</w:t>
            </w:r>
          </w:p>
        </w:tc>
        <w:tc>
          <w:tcPr>
            <w:tcW w:w="1110" w:type="dxa"/>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5,8</w:t>
            </w:r>
          </w:p>
        </w:tc>
      </w:tr>
      <w:tr w:rsidR="00AC39C9" w:rsidRPr="00AC39C9" w:rsidTr="00F36DAB">
        <w:trPr>
          <w:trHeight w:val="240"/>
        </w:trPr>
        <w:tc>
          <w:tcPr>
            <w:tcW w:w="2932" w:type="dxa"/>
            <w:shd w:val="clear" w:color="auto" w:fill="auto"/>
            <w:noWrap/>
            <w:hideMark/>
          </w:tcPr>
          <w:p w:rsidR="00E062C6" w:rsidRPr="00AC39C9" w:rsidRDefault="00E062C6">
            <w:pPr>
              <w:spacing w:before="40" w:after="40" w:line="220" w:lineRule="exact"/>
              <w:rPr>
                <w:rFonts w:eastAsia="Calibri"/>
                <w:sz w:val="18"/>
              </w:rPr>
            </w:pPr>
            <w:r w:rsidRPr="00AC39C9">
              <w:rPr>
                <w:rFonts w:eastAsia="Calibri"/>
                <w:sz w:val="18"/>
              </w:rPr>
              <w:t>Tasa AROPE</w:t>
            </w:r>
          </w:p>
        </w:tc>
        <w:tc>
          <w:tcPr>
            <w:tcW w:w="1109" w:type="dxa"/>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27,3</w:t>
            </w:r>
          </w:p>
        </w:tc>
        <w:tc>
          <w:tcPr>
            <w:tcW w:w="1110" w:type="dxa"/>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29,2</w:t>
            </w:r>
          </w:p>
        </w:tc>
        <w:tc>
          <w:tcPr>
            <w:tcW w:w="1109" w:type="dxa"/>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28,6</w:t>
            </w:r>
          </w:p>
        </w:tc>
        <w:tc>
          <w:tcPr>
            <w:tcW w:w="1110" w:type="dxa"/>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27,9</w:t>
            </w:r>
          </w:p>
        </w:tc>
      </w:tr>
      <w:tr w:rsidR="00AC39C9" w:rsidRPr="00AC39C9" w:rsidTr="00F36DAB">
        <w:trPr>
          <w:trHeight w:val="240"/>
        </w:trPr>
        <w:tc>
          <w:tcPr>
            <w:tcW w:w="2932" w:type="dxa"/>
            <w:tcBorders>
              <w:bottom w:val="single" w:sz="12" w:space="0" w:color="auto"/>
            </w:tcBorders>
            <w:shd w:val="clear" w:color="auto" w:fill="auto"/>
            <w:noWrap/>
            <w:hideMark/>
          </w:tcPr>
          <w:p w:rsidR="00E062C6" w:rsidRPr="00AC39C9" w:rsidRDefault="00E062C6">
            <w:pPr>
              <w:spacing w:before="40" w:after="40" w:line="220" w:lineRule="exact"/>
              <w:rPr>
                <w:rFonts w:eastAsia="Calibri"/>
                <w:sz w:val="18"/>
              </w:rPr>
            </w:pPr>
            <w:r w:rsidRPr="00AC39C9">
              <w:rPr>
                <w:rFonts w:eastAsia="Calibri"/>
                <w:sz w:val="18"/>
              </w:rPr>
              <w:lastRenderedPageBreak/>
              <w:t>N</w:t>
            </w:r>
            <w:r w:rsidR="00B0035A">
              <w:rPr>
                <w:rFonts w:eastAsia="Calibri"/>
                <w:sz w:val="18"/>
              </w:rPr>
              <w:t>úmero de</w:t>
            </w:r>
            <w:r w:rsidRPr="00AC39C9">
              <w:rPr>
                <w:rFonts w:eastAsia="Calibri"/>
                <w:sz w:val="18"/>
              </w:rPr>
              <w:t xml:space="preserve"> personas en AROPE</w:t>
            </w:r>
          </w:p>
        </w:tc>
        <w:tc>
          <w:tcPr>
            <w:tcW w:w="1109" w:type="dxa"/>
            <w:tcBorders>
              <w:bottom w:val="single" w:sz="12" w:space="0" w:color="auto"/>
            </w:tcBorders>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12.630.000</w:t>
            </w:r>
          </w:p>
        </w:tc>
        <w:tc>
          <w:tcPr>
            <w:tcW w:w="1110" w:type="dxa"/>
            <w:tcBorders>
              <w:bottom w:val="single" w:sz="12" w:space="0" w:color="auto"/>
            </w:tcBorders>
            <w:shd w:val="clear" w:color="auto" w:fill="auto"/>
            <w:noWrap/>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13.402.000</w:t>
            </w:r>
          </w:p>
        </w:tc>
        <w:tc>
          <w:tcPr>
            <w:tcW w:w="1109" w:type="dxa"/>
            <w:tcBorders>
              <w:bottom w:val="single" w:sz="12" w:space="0" w:color="auto"/>
            </w:tcBorders>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13.175.000</w:t>
            </w:r>
          </w:p>
        </w:tc>
        <w:tc>
          <w:tcPr>
            <w:tcW w:w="1110" w:type="dxa"/>
            <w:tcBorders>
              <w:bottom w:val="single" w:sz="12" w:space="0" w:color="auto"/>
            </w:tcBorders>
            <w:shd w:val="clear" w:color="auto" w:fill="auto"/>
            <w:vAlign w:val="bottom"/>
            <w:hideMark/>
          </w:tcPr>
          <w:p w:rsidR="00E062C6" w:rsidRPr="00AC39C9" w:rsidRDefault="00E062C6" w:rsidP="00F36DAB">
            <w:pPr>
              <w:spacing w:before="40" w:after="40" w:line="220" w:lineRule="exact"/>
              <w:ind w:left="85" w:right="28"/>
              <w:jc w:val="right"/>
              <w:rPr>
                <w:rFonts w:eastAsia="Calibri"/>
                <w:sz w:val="18"/>
              </w:rPr>
            </w:pPr>
            <w:r w:rsidRPr="00AC39C9">
              <w:rPr>
                <w:rFonts w:eastAsia="Calibri"/>
                <w:sz w:val="18"/>
              </w:rPr>
              <w:t>12.827.000</w:t>
            </w:r>
          </w:p>
        </w:tc>
      </w:tr>
    </w:tbl>
    <w:p w:rsidR="00384375" w:rsidRPr="00F36DAB" w:rsidRDefault="00BD4D4A" w:rsidP="00F36DAB">
      <w:pPr>
        <w:pStyle w:val="SingleTxtG"/>
        <w:spacing w:before="240"/>
      </w:pPr>
      <w:r w:rsidRPr="009D3089">
        <w:t>90.</w:t>
      </w:r>
      <w:r w:rsidRPr="009D3089">
        <w:tab/>
      </w:r>
      <w:r w:rsidR="00384375" w:rsidRPr="009D3089">
        <w:t>No todos los componentes que constituyen la tasa han variado de igual forma. El único que se ha deteriorado es el correspondiente a la tasa de riesgo de pobreza, que se eleva en 1,9 puntos en el periodo. Se incrementó hasta 22,2% en 2014, p</w:t>
      </w:r>
      <w:r w:rsidR="00384375" w:rsidRPr="00F36DAB">
        <w:t xml:space="preserve">ara estabilizarse en torno a esa cifra, siendo el 22,1% en 2015 y 22,3% en 2016. Los otros dos componentes del AROPE han tenido un buen comportamiento. Las personas viviendo en hogares con baja intensidad laboral se han reducido en el periodo 2013-2016 en 0,8 puntos, 1,7 puntos en 2015 y 0,5 puntos en 2016, lo que denota el apuntado cambio de tendencia. </w:t>
      </w:r>
    </w:p>
    <w:p w:rsidR="00384375" w:rsidRPr="00F36DAB" w:rsidRDefault="00BD4D4A" w:rsidP="00F36DAB">
      <w:pPr>
        <w:pStyle w:val="SingleTxtG"/>
      </w:pPr>
      <w:r w:rsidRPr="00F36DAB">
        <w:t>91.</w:t>
      </w:r>
      <w:r w:rsidRPr="00F36DAB">
        <w:tab/>
      </w:r>
      <w:r w:rsidR="00384375" w:rsidRPr="00F36DAB">
        <w:t>Por su parte, las personas viviendo en hogares con privación material severa se han reducido 0,4 puntos en el periodo 2013-2016. Aquí también, en 2015, empezó el cambio de tendencia que continua en 2016, descendiendo 0,7 puntos y 0,6 puntos respectivamente.</w:t>
      </w:r>
    </w:p>
    <w:p w:rsidR="00384375" w:rsidRPr="00F36DAB" w:rsidRDefault="00BD4D4A" w:rsidP="00F36DAB">
      <w:pPr>
        <w:pStyle w:val="SingleTxtG"/>
      </w:pPr>
      <w:r w:rsidRPr="00F36DAB">
        <w:t>92.</w:t>
      </w:r>
      <w:r w:rsidRPr="00F36DAB">
        <w:tab/>
      </w:r>
      <w:r w:rsidR="00384375" w:rsidRPr="00F36DAB">
        <w:t xml:space="preserve">El análisis del indicador AROPE por comunidades autónomas aporta información relevante sobre la gran disparidad que existe entre éstas ya que, entre la mejor situada y la peor, hay una diferencia de 31,6 puntos. Partiendo de la media nacional, y ordenándolas por su valor en 2016, podemos comprobar que Melilla, Comunidad Valenciana, Murcia, Extremadura, Castilla-La Mancha, Andalucía, Ceuta y Canarias están por debajo de ese valor, alcanzando ésta última el 44,6% en tasa AROPE. </w:t>
      </w:r>
    </w:p>
    <w:p w:rsidR="00384375" w:rsidRPr="00F36DAB" w:rsidRDefault="00BD4D4A" w:rsidP="00F36DAB">
      <w:pPr>
        <w:pStyle w:val="SingleTxtG"/>
      </w:pPr>
      <w:r w:rsidRPr="00F36DAB">
        <w:t>93.</w:t>
      </w:r>
      <w:r w:rsidRPr="00F36DAB">
        <w:tab/>
      </w:r>
      <w:r w:rsidR="00384375" w:rsidRPr="00F36DAB">
        <w:t>Si analizamos su evolución en el periodo 2013-2016 podemos ver que las comunidades en las que más se ha deteriorado la situación son Canarias con 9,1, Andalucía con 3,4 y Castilla y León con 2,4 puntos y las que mejor comportamiento han tenido han sido Illes Balears que ha reducido su AROPE en 8,7 puntos, Ceuta en 5,1 y La Rioja que lo ha hecho en 4,8 puntos.</w:t>
      </w:r>
    </w:p>
    <w:p w:rsidR="00384375" w:rsidRPr="00F36DAB" w:rsidRDefault="00BD4D4A" w:rsidP="00F36DAB">
      <w:pPr>
        <w:pStyle w:val="SingleTxtG"/>
      </w:pPr>
      <w:r w:rsidRPr="00F36DAB">
        <w:t>94.</w:t>
      </w:r>
      <w:r w:rsidRPr="00F36DAB">
        <w:tab/>
      </w:r>
      <w:r w:rsidR="00384375" w:rsidRPr="00F36DAB">
        <w:t>Si examinamos la evolución en el último año vemos que Canarias es la comunidad autónoma que ha tenido peor comportamiento ya que su tasa AROPE ha crecido en 6,7 puntos seguida de Cantabria, donde se ha incrementado 4,2 puntos. Aragón, Madrid, Extremadura, Castilla-La Mancha y Ceuta también incrementan su Tasa AROPE pero muy ligeramente.</w:t>
      </w:r>
    </w:p>
    <w:p w:rsidR="00384375" w:rsidRPr="00F36DAB" w:rsidRDefault="00BD4D4A" w:rsidP="00F36DAB">
      <w:pPr>
        <w:pStyle w:val="SingleTxtG"/>
      </w:pPr>
      <w:r w:rsidRPr="00F36DAB">
        <w:t>95.</w:t>
      </w:r>
      <w:r w:rsidRPr="00F36DAB">
        <w:tab/>
      </w:r>
      <w:r w:rsidR="00384375" w:rsidRPr="00F36DAB">
        <w:t>Las comunidades autónomas que mejor comportamiento han tenido en el último año son Baleares que ha rebajado 7,2 puntos, Asturias que lo hace en 5,7 puntos y La Rioja que desciende 4,7 puntos.</w:t>
      </w:r>
    </w:p>
    <w:p w:rsidR="00384375" w:rsidRPr="00F36DAB" w:rsidRDefault="00BD4D4A" w:rsidP="00F36DAB">
      <w:pPr>
        <w:pStyle w:val="SingleTxtG"/>
      </w:pPr>
      <w:r w:rsidRPr="00F36DAB">
        <w:t>96.</w:t>
      </w:r>
      <w:r w:rsidRPr="00F36DAB">
        <w:tab/>
      </w:r>
      <w:r w:rsidR="00384375" w:rsidRPr="00F36DAB">
        <w:t>En 2016 se aprecia que de las 19 ciudades y comunidades autónomas, 12 consiguen reducir su tasa AROPE, como se puede comprobar en la tabla siguiente</w:t>
      </w:r>
      <w:r w:rsidR="00F50157">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86"/>
        <w:gridCol w:w="1221"/>
        <w:gridCol w:w="1221"/>
        <w:gridCol w:w="1221"/>
        <w:gridCol w:w="1221"/>
      </w:tblGrid>
      <w:tr w:rsidR="00B0035A" w:rsidRPr="00B0035A" w:rsidTr="00B0035A">
        <w:trPr>
          <w:trHeight w:val="240"/>
          <w:tblHeader/>
        </w:trPr>
        <w:tc>
          <w:tcPr>
            <w:tcW w:w="2486" w:type="dxa"/>
            <w:tcBorders>
              <w:top w:val="single" w:sz="4" w:space="0" w:color="auto"/>
              <w:bottom w:val="single" w:sz="12" w:space="0" w:color="auto"/>
            </w:tcBorders>
            <w:shd w:val="clear" w:color="auto" w:fill="auto"/>
            <w:vAlign w:val="bottom"/>
            <w:hideMark/>
          </w:tcPr>
          <w:p w:rsidR="00384375" w:rsidRPr="00B0035A" w:rsidRDefault="00384375">
            <w:pPr>
              <w:spacing w:before="80" w:after="80" w:line="200" w:lineRule="exact"/>
              <w:rPr>
                <w:rFonts w:eastAsia="Calibri"/>
                <w:i/>
                <w:sz w:val="16"/>
              </w:rPr>
            </w:pPr>
          </w:p>
        </w:tc>
        <w:tc>
          <w:tcPr>
            <w:tcW w:w="1221" w:type="dxa"/>
            <w:tcBorders>
              <w:top w:val="single" w:sz="4" w:space="0" w:color="auto"/>
              <w:bottom w:val="single" w:sz="12" w:space="0" w:color="auto"/>
            </w:tcBorders>
            <w:shd w:val="clear" w:color="auto" w:fill="auto"/>
            <w:vAlign w:val="bottom"/>
            <w:hideMark/>
          </w:tcPr>
          <w:p w:rsidR="00384375" w:rsidRPr="00B0035A" w:rsidRDefault="00384375" w:rsidP="00F36DAB">
            <w:pPr>
              <w:spacing w:before="80" w:after="80" w:line="200" w:lineRule="exact"/>
              <w:ind w:left="85" w:right="28"/>
              <w:jc w:val="right"/>
              <w:rPr>
                <w:rFonts w:eastAsia="Calibri"/>
                <w:i/>
                <w:sz w:val="16"/>
              </w:rPr>
            </w:pPr>
            <w:r w:rsidRPr="00B0035A">
              <w:rPr>
                <w:rFonts w:eastAsia="Calibri"/>
                <w:i/>
                <w:sz w:val="16"/>
              </w:rPr>
              <w:t>2013</w:t>
            </w:r>
          </w:p>
        </w:tc>
        <w:tc>
          <w:tcPr>
            <w:tcW w:w="1221" w:type="dxa"/>
            <w:tcBorders>
              <w:top w:val="single" w:sz="4" w:space="0" w:color="auto"/>
              <w:bottom w:val="single" w:sz="12" w:space="0" w:color="auto"/>
            </w:tcBorders>
            <w:shd w:val="clear" w:color="auto" w:fill="auto"/>
            <w:vAlign w:val="bottom"/>
            <w:hideMark/>
          </w:tcPr>
          <w:p w:rsidR="00384375" w:rsidRPr="00B0035A" w:rsidRDefault="00384375" w:rsidP="00F36DAB">
            <w:pPr>
              <w:spacing w:before="80" w:after="80" w:line="200" w:lineRule="exact"/>
              <w:ind w:left="85" w:right="28"/>
              <w:jc w:val="right"/>
              <w:rPr>
                <w:rFonts w:eastAsia="Calibri"/>
                <w:i/>
                <w:sz w:val="16"/>
              </w:rPr>
            </w:pPr>
            <w:r w:rsidRPr="00B0035A">
              <w:rPr>
                <w:rFonts w:eastAsia="Calibri"/>
                <w:i/>
                <w:sz w:val="16"/>
              </w:rPr>
              <w:t>2014</w:t>
            </w:r>
          </w:p>
        </w:tc>
        <w:tc>
          <w:tcPr>
            <w:tcW w:w="1221" w:type="dxa"/>
            <w:tcBorders>
              <w:top w:val="single" w:sz="4" w:space="0" w:color="auto"/>
              <w:bottom w:val="single" w:sz="12" w:space="0" w:color="auto"/>
            </w:tcBorders>
            <w:shd w:val="clear" w:color="auto" w:fill="auto"/>
            <w:vAlign w:val="bottom"/>
            <w:hideMark/>
          </w:tcPr>
          <w:p w:rsidR="00384375" w:rsidRPr="00B0035A" w:rsidRDefault="00384375" w:rsidP="00F36DAB">
            <w:pPr>
              <w:spacing w:before="80" w:after="80" w:line="200" w:lineRule="exact"/>
              <w:ind w:left="85" w:right="28"/>
              <w:jc w:val="right"/>
              <w:rPr>
                <w:rFonts w:eastAsia="Calibri"/>
                <w:i/>
                <w:sz w:val="16"/>
              </w:rPr>
            </w:pPr>
            <w:r w:rsidRPr="00B0035A">
              <w:rPr>
                <w:rFonts w:eastAsia="Calibri"/>
                <w:i/>
                <w:sz w:val="16"/>
              </w:rPr>
              <w:t>2015</w:t>
            </w:r>
          </w:p>
        </w:tc>
        <w:tc>
          <w:tcPr>
            <w:tcW w:w="1221" w:type="dxa"/>
            <w:tcBorders>
              <w:top w:val="single" w:sz="4" w:space="0" w:color="auto"/>
              <w:bottom w:val="single" w:sz="12" w:space="0" w:color="auto"/>
            </w:tcBorders>
            <w:shd w:val="clear" w:color="auto" w:fill="auto"/>
            <w:vAlign w:val="bottom"/>
            <w:hideMark/>
          </w:tcPr>
          <w:p w:rsidR="00384375" w:rsidRPr="00B0035A" w:rsidRDefault="00384375" w:rsidP="00F36DAB">
            <w:pPr>
              <w:spacing w:before="80" w:after="80" w:line="200" w:lineRule="exact"/>
              <w:ind w:left="85" w:right="28"/>
              <w:jc w:val="right"/>
              <w:rPr>
                <w:rFonts w:eastAsia="Calibri"/>
                <w:i/>
                <w:sz w:val="16"/>
              </w:rPr>
            </w:pPr>
            <w:r w:rsidRPr="00B0035A">
              <w:rPr>
                <w:rFonts w:eastAsia="Calibri"/>
                <w:i/>
                <w:sz w:val="16"/>
              </w:rPr>
              <w:t>2016</w:t>
            </w:r>
          </w:p>
        </w:tc>
      </w:tr>
      <w:tr w:rsidR="00B0035A" w:rsidRPr="00B0035A" w:rsidTr="00F36DAB">
        <w:trPr>
          <w:trHeight w:val="240"/>
        </w:trPr>
        <w:tc>
          <w:tcPr>
            <w:tcW w:w="2486" w:type="dxa"/>
            <w:tcBorders>
              <w:top w:val="single" w:sz="12" w:space="0" w:color="auto"/>
            </w:tcBorders>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Navarra, Comunidad</w:t>
            </w:r>
          </w:p>
        </w:tc>
        <w:tc>
          <w:tcPr>
            <w:tcW w:w="1221" w:type="dxa"/>
            <w:tcBorders>
              <w:top w:val="single" w:sz="12" w:space="0" w:color="auto"/>
            </w:tcBorders>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14,5</w:t>
            </w:r>
          </w:p>
        </w:tc>
        <w:tc>
          <w:tcPr>
            <w:tcW w:w="1221" w:type="dxa"/>
            <w:tcBorders>
              <w:top w:val="single" w:sz="12" w:space="0" w:color="auto"/>
            </w:tcBorders>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14,5</w:t>
            </w:r>
          </w:p>
        </w:tc>
        <w:tc>
          <w:tcPr>
            <w:tcW w:w="1221" w:type="dxa"/>
            <w:tcBorders>
              <w:top w:val="single" w:sz="12" w:space="0" w:color="auto"/>
            </w:tcBorders>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13,0</w:t>
            </w:r>
          </w:p>
        </w:tc>
        <w:tc>
          <w:tcPr>
            <w:tcW w:w="1221" w:type="dxa"/>
            <w:tcBorders>
              <w:top w:val="single" w:sz="12" w:space="0" w:color="auto"/>
            </w:tcBorders>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13,0</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País Vasco</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16,8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15,3</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17,6</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15,9</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Rioja, La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22,2</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20,1</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22,1</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17,4</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Cataluña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20,1</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21,8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19,8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17,9</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Asturias, Principado de</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21,8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23,4</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24,2</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18,5</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Aragón</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19,8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20,7</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17,7</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18,7</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Balears, Illes</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27,8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23,8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26,3</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19,1</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Madrid, Comunidad de</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20,1</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19,2</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20,5</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21,7</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Castilla y León</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20,8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26,1</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23,3</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23,2</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Cantabria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25,3</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27,4</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20,4</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24,6</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Galicia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24,3</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23,8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25,7</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25,4</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Nacional</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27,3</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29,2</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28,6</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27,9</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Melilla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31,4</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25,8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31,8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29,3</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Comunitat Valenciana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31,7</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34,7</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32,9</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30,5</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Murcia, Región de</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34,1</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44,9</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38,8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34,8</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lastRenderedPageBreak/>
              <w:t>Extremadura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36,1</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39,8</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35,2</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35,8</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Castilla</w:t>
            </w:r>
            <w:r w:rsidR="00B0035A" w:rsidRPr="00B0035A">
              <w:rPr>
                <w:rFonts w:eastAsia="Calibri"/>
                <w:sz w:val="18"/>
              </w:rPr>
              <w:t>-</w:t>
            </w:r>
            <w:r w:rsidRPr="00B0035A">
              <w:rPr>
                <w:rFonts w:eastAsia="Calibri"/>
                <w:sz w:val="18"/>
              </w:rPr>
              <w:t>La Mancha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36,7</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36,9</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36,7</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37,9</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Andalucía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38,3</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42,3</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43,2</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41,7</w:t>
            </w:r>
          </w:p>
        </w:tc>
      </w:tr>
      <w:tr w:rsidR="00B0035A" w:rsidRPr="00B0035A" w:rsidTr="00F36DAB">
        <w:trPr>
          <w:trHeight w:val="240"/>
        </w:trPr>
        <w:tc>
          <w:tcPr>
            <w:tcW w:w="2486" w:type="dxa"/>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Ceuta</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47,0</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47,9</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41,7</w:t>
            </w:r>
          </w:p>
        </w:tc>
        <w:tc>
          <w:tcPr>
            <w:tcW w:w="1221" w:type="dxa"/>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41,9</w:t>
            </w:r>
          </w:p>
        </w:tc>
      </w:tr>
      <w:tr w:rsidR="00B0035A" w:rsidRPr="00B0035A" w:rsidTr="00F36DAB">
        <w:trPr>
          <w:trHeight w:val="240"/>
        </w:trPr>
        <w:tc>
          <w:tcPr>
            <w:tcW w:w="2486" w:type="dxa"/>
            <w:tcBorders>
              <w:bottom w:val="single" w:sz="12" w:space="0" w:color="auto"/>
            </w:tcBorders>
            <w:shd w:val="clear" w:color="auto" w:fill="auto"/>
            <w:hideMark/>
          </w:tcPr>
          <w:p w:rsidR="00384375" w:rsidRPr="00B0035A" w:rsidRDefault="00384375">
            <w:pPr>
              <w:spacing w:before="40" w:after="40" w:line="220" w:lineRule="exact"/>
              <w:rPr>
                <w:rFonts w:eastAsia="Calibri"/>
                <w:sz w:val="18"/>
              </w:rPr>
            </w:pPr>
            <w:r w:rsidRPr="00B0035A">
              <w:rPr>
                <w:rFonts w:eastAsia="Calibri"/>
                <w:sz w:val="18"/>
              </w:rPr>
              <w:t>Canarias</w:t>
            </w:r>
          </w:p>
        </w:tc>
        <w:tc>
          <w:tcPr>
            <w:tcW w:w="1221" w:type="dxa"/>
            <w:tcBorders>
              <w:bottom w:val="single" w:sz="12" w:space="0" w:color="auto"/>
            </w:tcBorders>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35,5</w:t>
            </w:r>
          </w:p>
        </w:tc>
        <w:tc>
          <w:tcPr>
            <w:tcW w:w="1221" w:type="dxa"/>
            <w:tcBorders>
              <w:bottom w:val="single" w:sz="12" w:space="0" w:color="auto"/>
            </w:tcBorders>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37,0</w:t>
            </w:r>
          </w:p>
        </w:tc>
        <w:tc>
          <w:tcPr>
            <w:tcW w:w="1221" w:type="dxa"/>
            <w:tcBorders>
              <w:bottom w:val="single" w:sz="12" w:space="0" w:color="auto"/>
            </w:tcBorders>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37,9</w:t>
            </w:r>
          </w:p>
        </w:tc>
        <w:tc>
          <w:tcPr>
            <w:tcW w:w="1221" w:type="dxa"/>
            <w:tcBorders>
              <w:bottom w:val="single" w:sz="12" w:space="0" w:color="auto"/>
            </w:tcBorders>
            <w:shd w:val="clear" w:color="auto" w:fill="auto"/>
            <w:vAlign w:val="bottom"/>
            <w:hideMark/>
          </w:tcPr>
          <w:p w:rsidR="00384375" w:rsidRPr="00B0035A" w:rsidRDefault="00384375" w:rsidP="00F36DAB">
            <w:pPr>
              <w:spacing w:before="40" w:after="40" w:line="220" w:lineRule="exact"/>
              <w:ind w:left="85" w:right="28"/>
              <w:jc w:val="right"/>
              <w:rPr>
                <w:rFonts w:eastAsia="Calibri"/>
                <w:sz w:val="18"/>
              </w:rPr>
            </w:pPr>
            <w:r w:rsidRPr="00B0035A">
              <w:rPr>
                <w:rFonts w:eastAsia="Calibri"/>
                <w:sz w:val="18"/>
              </w:rPr>
              <w:t>44,6</w:t>
            </w:r>
          </w:p>
        </w:tc>
      </w:tr>
    </w:tbl>
    <w:p w:rsidR="00384375" w:rsidRPr="00F36DAB" w:rsidRDefault="00BD4D4A" w:rsidP="00F36DAB">
      <w:pPr>
        <w:pStyle w:val="SingleTxtG"/>
        <w:spacing w:before="240"/>
      </w:pPr>
      <w:r w:rsidRPr="009D3089">
        <w:t>97.</w:t>
      </w:r>
      <w:r w:rsidRPr="009D3089">
        <w:tab/>
      </w:r>
      <w:r w:rsidR="00384375" w:rsidRPr="009D3089">
        <w:t>Respecto a las medidas adoptadas en aplicación del Plan Nacional de Acción para la Inclusión Social (PNAIN) 2013-2016, éste cuenta con 240 actuaciones específicas contra la pobreza y la exclusión social y ha sido dotado con más de 136.000 millones de euros</w:t>
      </w:r>
      <w:r w:rsidR="00384375" w:rsidRPr="00F36DAB">
        <w:t xml:space="preserve">. El Plan ha sido sometido a una </w:t>
      </w:r>
      <w:hyperlink r:id="rId9" w:history="1">
        <w:r w:rsidR="00384375" w:rsidRPr="00F36DAB">
          <w:rPr>
            <w:rStyle w:val="Hipervnculo"/>
            <w:rFonts w:eastAsia="Calibri"/>
            <w:color w:val="auto"/>
          </w:rPr>
          <w:t>evaluación intermedia en diciembre de 2015 para los años 2013-2015</w:t>
        </w:r>
      </w:hyperlink>
      <w:r w:rsidR="00384375" w:rsidRPr="00F36DAB">
        <w:t>. En estos momentos se elabora una evaluación final que se conocerá en el segundo semestre de 2017.</w:t>
      </w:r>
    </w:p>
    <w:p w:rsidR="00384375" w:rsidRPr="00F36DAB" w:rsidRDefault="00BD4D4A" w:rsidP="00F36DAB">
      <w:pPr>
        <w:pStyle w:val="SingleTxtG"/>
      </w:pPr>
      <w:r w:rsidRPr="00F36DAB">
        <w:t>98.</w:t>
      </w:r>
      <w:r w:rsidRPr="00F36DAB">
        <w:tab/>
      </w:r>
      <w:r w:rsidR="00384375" w:rsidRPr="00F36DAB">
        <w:t xml:space="preserve">El PNAIN está basado en el enfoque de la inclusión activa, adoptado por la Recomendación de la Comisión </w:t>
      </w:r>
      <w:r w:rsidR="00666B89">
        <w:t xml:space="preserve">núm. </w:t>
      </w:r>
      <w:r w:rsidR="00384375" w:rsidRPr="00F36DAB">
        <w:t>2008/867/CE, sobre la base de los tres objetivos estratégicos del PNAIN: unos mercados de trabajo inclusivos, un apoyo a la renta adecuado y el acceso a unos servicios de calidad, como los servicios sociales, de empleo, educación y formación, sanidad y vivienda. A estos objetivos se suma el de reducir la pobreza infantil, como objetivo transversal. Estos objetivos se combinan y ponen en práctica a través de la coordinación de las políticas entre las diferentes administraciones, incluyendo a todos los actores pertinentes, como las empresas y el Tercer Sector de Acción Social (al que se concede gran valor por estar sus organizaciones especializadas en la atención a ciertos colectivos).</w:t>
      </w:r>
    </w:p>
    <w:p w:rsidR="00384375" w:rsidRPr="00F36DAB" w:rsidRDefault="00BD4D4A" w:rsidP="00F36DAB">
      <w:pPr>
        <w:pStyle w:val="SingleTxtG"/>
      </w:pPr>
      <w:r w:rsidRPr="00F36DAB">
        <w:t>99.</w:t>
      </w:r>
      <w:r w:rsidRPr="00F36DAB">
        <w:tab/>
      </w:r>
      <w:r w:rsidR="00384375" w:rsidRPr="00F36DAB">
        <w:t xml:space="preserve">En este contexto, las grandes reformas que se han aplicado son coherentes con los tres objetivos del PNAIN y su finalidad última que es luchar contra la pobreza. En el caso de la reforma laboral, a través de nuevas tarifas planas o nuevos tipos de contratos. En cuanto a la reforma sanitaria, garantizando la sostenibilidad de una asistencia sanitaria universal, pública, gratuita. En lo que se refiere a la reforma educativa, para reducir el abandono escolar. Respecto a las de las ayudas a la dependencia, al agilizarlas y dar prioridad a los grandes dependientes. En el caso de la reforma fiscal, al tener un impacto significativo en beneficio de las familias con menos ingresos. Finalmente, en cuanto al sistema de pensiones, al garantizar por ley su subida. </w:t>
      </w:r>
    </w:p>
    <w:p w:rsidR="00384375" w:rsidRPr="00F36DAB" w:rsidRDefault="00BD4D4A" w:rsidP="00F36DAB">
      <w:pPr>
        <w:pStyle w:val="SingleTxtG"/>
      </w:pPr>
      <w:r w:rsidRPr="00F36DAB">
        <w:t>100.</w:t>
      </w:r>
      <w:r w:rsidRPr="00F36DAB">
        <w:tab/>
      </w:r>
      <w:r w:rsidR="00384375" w:rsidRPr="00F36DAB">
        <w:t>Los tres objetivos estratégicos del PNAIN tienen muy en cuenta la situación de los grupos más vulnerables, que sufren un mayor riesgo de pobreza y exclusión. La atención a estos grupos vulnerables se articula a menudo a través de conjuntos de medidas que les benefician de manera integral para su inclusión social.</w:t>
      </w:r>
    </w:p>
    <w:p w:rsidR="00384375" w:rsidRPr="00F36DAB" w:rsidRDefault="00BD4D4A" w:rsidP="00F36DAB">
      <w:pPr>
        <w:pStyle w:val="SingleTxtG"/>
      </w:pPr>
      <w:r w:rsidRPr="00F36DAB">
        <w:t>101.</w:t>
      </w:r>
      <w:r w:rsidRPr="00F36DAB">
        <w:tab/>
      </w:r>
      <w:r w:rsidR="00384375" w:rsidRPr="00F36DAB">
        <w:t>En detalle, el objetivo estratégico 1 del PNAIN es disponer mercados de trabajo inclusivos. Se ha reforzado la capacidad de activación de las políticas activas de empleo y se ha mejorado su eficacia y eficiencia. Estos esfuerzos se han traducido en la Estrategia Española de Activación para el Empleo 2014-2016, desarrollada a su vez por los Planes Anuales de Política de Empleo (PAPE), que dan prioridad a los colectivos más vulnerables en las políticas activas, como los parados de larga duración, los de mayor edad, o los jóvenes. Además se ha mejorado la calidad de la formación, se ha impulsado el emprendimiento y la contratación mediante incentivos fiscales y se ha vinculado políticas activas y pasivas de empleo con compromisos de activación dentro de itinerarios individuales y personalizados con apoyo de los Servicios Públicos de Empleo. Es el caso del programa PREPARA, vigente y prorrogable automáticamente mientras la tasa de desempleo sea superior al 18%, o del Programa de Activación para el Empleo, para parados de la larga duración con extremas necesidades y acompañado por una prestación económica por importe del 80% del indicador público de rentas de efectos múltiples mensual vigente (426 euros), que además se puede compaginar con la remuneración recibida al trabajar por cuenta ajena. Gracias a este último programa, un 16% de los beneficiarios de la prestación han sido insertados en el mercado laboral (15.212) (dato de febrero de 2016).</w:t>
      </w:r>
    </w:p>
    <w:p w:rsidR="00384375" w:rsidRPr="00F36DAB" w:rsidRDefault="00BD4D4A" w:rsidP="00F36DAB">
      <w:pPr>
        <w:pStyle w:val="SingleTxtG"/>
      </w:pPr>
      <w:r w:rsidRPr="00F36DAB">
        <w:lastRenderedPageBreak/>
        <w:t>102.</w:t>
      </w:r>
      <w:r w:rsidRPr="00F36DAB">
        <w:tab/>
      </w:r>
      <w:r w:rsidR="00384375" w:rsidRPr="00F36DAB">
        <w:t xml:space="preserve">El objetivo estratégico 2 del PNAIN consiste en la garantía de ingresos mínimos. En este sentido, se considera clave reforzar el sistema de garantía de rentas, ampliando subsidios por desempleo, manteniendo las pensiones no contributivas y apoyando en particular a las personas en desempleo de larga duración. También se da la posibilidad de que las personas perceptoras de una renta mínima puedan compaginarla con un empleo parcial y mejorar su empleabilidad. </w:t>
      </w:r>
    </w:p>
    <w:p w:rsidR="00384375" w:rsidRPr="00F36DAB" w:rsidRDefault="00BD4D4A" w:rsidP="00F36DAB">
      <w:pPr>
        <w:pStyle w:val="SingleTxtG"/>
      </w:pPr>
      <w:r w:rsidRPr="00F36DAB">
        <w:t>103.</w:t>
      </w:r>
      <w:r w:rsidRPr="00F36DAB">
        <w:tab/>
      </w:r>
      <w:r w:rsidR="00384375" w:rsidRPr="00F36DAB">
        <w:t>Destaca el proyecto de revisión de los sistemas de ingresos mínimos en España desde la perspectiva 2015-2017 que dispondrá una hoja de ruta para mejorar el sistema de ingresos mínimos y hacerlo más efectivo y solidario.</w:t>
      </w:r>
    </w:p>
    <w:p w:rsidR="00384375" w:rsidRPr="00F36DAB" w:rsidRDefault="00BD4D4A" w:rsidP="00F36DAB">
      <w:pPr>
        <w:pStyle w:val="SingleTxtG"/>
      </w:pPr>
      <w:r w:rsidRPr="00F36DAB">
        <w:t>104.</w:t>
      </w:r>
      <w:r w:rsidRPr="00F36DAB">
        <w:tab/>
      </w:r>
      <w:r w:rsidR="00384375" w:rsidRPr="00F36DAB">
        <w:t>Por otro lado, el Fondo de Ayuda Europea para las personas más desfavorecidas (FEAD) 2014-2020 está dirigido a financiar el suministro de alimentos para personas en necesidad, y su presupuesto para España para el período 2014-2020 asciende a más de 563 millones de euros, cifra a la que se añadirá la cofinanciación nacional, sumando un importe total de casi 663 millones de euros. El 5% de estos fondos se destinan a la realización de medidas de acompañamiento orientadas a facilitar la inserción sociolaboral de las personas más desfavorecidas.</w:t>
      </w:r>
    </w:p>
    <w:p w:rsidR="00384375" w:rsidRPr="00F36DAB" w:rsidRDefault="00BD4D4A" w:rsidP="00F36DAB">
      <w:pPr>
        <w:pStyle w:val="SingleTxtG"/>
      </w:pPr>
      <w:r w:rsidRPr="00F36DAB">
        <w:t>105.</w:t>
      </w:r>
      <w:r w:rsidRPr="00F36DAB">
        <w:tab/>
      </w:r>
      <w:r w:rsidR="00384375" w:rsidRPr="00F36DAB">
        <w:t>El programa de urgencia social también es relevante porque cuenta entre sus prioridades la cobertura de necesidades básicas (alimentos, ropa, higiene, suministros, transporte y gastos sanitarios). A través de él se han concedido subvenciones a ONG por importe de 19.799.370 euros en 2013, 23.878.149 euros en 2014, 23.928.149 euros en 2015 y 25.556.103</w:t>
      </w:r>
      <w:r w:rsidR="00666B89">
        <w:t xml:space="preserve"> euros</w:t>
      </w:r>
      <w:r w:rsidR="00666B89" w:rsidRPr="00F36DAB">
        <w:t xml:space="preserve"> </w:t>
      </w:r>
      <w:r w:rsidR="00384375" w:rsidRPr="00F36DAB">
        <w:t>en 2016.</w:t>
      </w:r>
    </w:p>
    <w:p w:rsidR="00384375" w:rsidRPr="00F36DAB" w:rsidRDefault="00BD4D4A" w:rsidP="00F36DAB">
      <w:pPr>
        <w:pStyle w:val="SingleTxtG"/>
      </w:pPr>
      <w:r w:rsidRPr="00F36DAB">
        <w:t>106.</w:t>
      </w:r>
      <w:r w:rsidRPr="00F36DAB">
        <w:tab/>
      </w:r>
      <w:r w:rsidR="00384375" w:rsidRPr="00F36DAB">
        <w:t xml:space="preserve">Otras medidas destacables son la reforma en 2014 del Impuesto sobre la Renta de las Personas Físicas, para reducir la carga impositiva y aumentar la renta de los contribuyentes, la introducción del derecho a recibir una deducción de 1.200 anuales en determinados casos de dependencia familiar según la </w:t>
      </w:r>
      <w:r w:rsidR="003D3899">
        <w:t>Ley</w:t>
      </w:r>
      <w:r w:rsidR="00384375" w:rsidRPr="00F36DAB">
        <w:t xml:space="preserve"> </w:t>
      </w:r>
      <w:r w:rsidR="003D3899">
        <w:t xml:space="preserve">núm. </w:t>
      </w:r>
      <w:r w:rsidR="00384375" w:rsidRPr="00F36DAB">
        <w:t>25/2015, o la garantía de exención tributaria y no embargo de toda una serie de prestaciones y ayudas públicas de conformidad con el Real</w:t>
      </w:r>
      <w:r w:rsidR="00C142E0">
        <w:t xml:space="preserve"> </w:t>
      </w:r>
      <w:r w:rsidR="00384375" w:rsidRPr="00F36DAB">
        <w:t>Decreto-</w:t>
      </w:r>
      <w:r w:rsidR="003D3899">
        <w:t>Ley</w:t>
      </w:r>
      <w:r w:rsidR="00384375" w:rsidRPr="00F36DAB">
        <w:t xml:space="preserve"> </w:t>
      </w:r>
      <w:r w:rsidR="00C142E0">
        <w:t xml:space="preserve">núm. </w:t>
      </w:r>
      <w:r w:rsidR="00384375" w:rsidRPr="00F36DAB">
        <w:t>9/2015.</w:t>
      </w:r>
    </w:p>
    <w:p w:rsidR="00384375" w:rsidRPr="00F36DAB" w:rsidRDefault="00BD4D4A" w:rsidP="00F36DAB">
      <w:pPr>
        <w:pStyle w:val="SingleTxtG"/>
      </w:pPr>
      <w:r w:rsidRPr="00F36DAB">
        <w:t>107.</w:t>
      </w:r>
      <w:r w:rsidRPr="00F36DAB">
        <w:tab/>
      </w:r>
      <w:r w:rsidR="00384375" w:rsidRPr="00F36DAB">
        <w:t>El objetivo estratégico 3 del PNAIN, sobre acceso a servicios públicos de calidad, asegurando y mejorando el Estado del bienestar, se ha desarrollado mediante un plan de pago a proveedores de servicios sanitarios, educativos y sociales y asegurando las transferencias de las administraciones a las entidades sociales sin fines de lucro que desarrollan proyectos. Este plan se ha aplicado entre 2012 y 2014 y ha contado con 41.814 millones de euros, de los cuales 30.219 millones de euros han sido destinados a pagar a proveedores de las Comunidades Autónomas y 11.595 millones de euros a proveedores de las Entidades Locales. Gracias a él ha sido posible mantener más de 400.000 puestos de trabajo.</w:t>
      </w:r>
    </w:p>
    <w:p w:rsidR="00384375" w:rsidRPr="00F36DAB" w:rsidRDefault="00BD4D4A" w:rsidP="00F36DAB">
      <w:pPr>
        <w:pStyle w:val="SingleTxtG"/>
      </w:pPr>
      <w:r w:rsidRPr="00F36DAB">
        <w:t>108.</w:t>
      </w:r>
      <w:r w:rsidRPr="00F36DAB">
        <w:tab/>
      </w:r>
      <w:r w:rsidR="00384375" w:rsidRPr="00F36DAB">
        <w:t>A este apoyo hay que sumar el Plan Concertado para el Desarrollo de Prestaciones Básicas de Servicios Sociales de las Corporaciones Locales, que está dirigido a mantener la red de servicios sociales de atención primaria y a la provisión a la ciudadanía de servicios básicos. En 2013, el Gobierno aprobó una aportación estatal al Plan de 27.413.730 euros. Este crédito se ha mantenido en todo el periodo del plan hasta 2016 y, por prórroga de presupuestos, hasta 2017. Además, hay un compromiso de cofinanciación que establece que las Comunidades Autónomas (con plenas competencias en materia de servicios sociales) aporten al menos la misma cantidad que la Administración central. Al mismo tiempo se determina la aportación económica de las Corporaciones Locales gestoras de los proyectos.</w:t>
      </w:r>
    </w:p>
    <w:p w:rsidR="00384375" w:rsidRPr="00F36DAB" w:rsidRDefault="00BD4D4A" w:rsidP="00F36DAB">
      <w:pPr>
        <w:pStyle w:val="SingleTxtG"/>
      </w:pPr>
      <w:r w:rsidRPr="00F36DAB">
        <w:t>109.</w:t>
      </w:r>
      <w:r w:rsidRPr="00F36DAB">
        <w:tab/>
      </w:r>
      <w:r w:rsidR="00384375" w:rsidRPr="00F36DAB">
        <w:t>Otra iniciativa reseñable en este ámbito es la creación en 2014 de un nuevo fondo extraordinario para la lucha contra la pobreza infantil (dotado con 32 millones en 2015 y 48 millones en 2016).</w:t>
      </w:r>
    </w:p>
    <w:p w:rsidR="00384375" w:rsidRPr="00F36DAB" w:rsidRDefault="00BD4D4A" w:rsidP="00F36DAB">
      <w:pPr>
        <w:pStyle w:val="SingleTxtG"/>
      </w:pPr>
      <w:r w:rsidRPr="00F36DAB">
        <w:t>110.</w:t>
      </w:r>
      <w:r w:rsidRPr="00F36DAB">
        <w:tab/>
      </w:r>
      <w:r w:rsidR="00384375" w:rsidRPr="00F36DAB">
        <w:t>En el campo de la educación, el Programa Juventud en Acción 2007-2013 que financió proyectos creados a menudo por jóvenes y para jóvenes, activando a las personas y desarrollando competencias, ha sido reemplazado por el Programa Erasmus+ para el período 2014-2020.</w:t>
      </w:r>
    </w:p>
    <w:p w:rsidR="00384375" w:rsidRPr="00F36DAB" w:rsidRDefault="00BD4D4A" w:rsidP="00F36DAB">
      <w:pPr>
        <w:pStyle w:val="SingleTxtG"/>
      </w:pPr>
      <w:r w:rsidRPr="00F36DAB">
        <w:t>111.</w:t>
      </w:r>
      <w:r w:rsidRPr="00F36DAB">
        <w:tab/>
      </w:r>
      <w:r w:rsidR="00384375" w:rsidRPr="00F36DAB">
        <w:t xml:space="preserve">En el ámbito de la salud, España cuenta con un Sistema Nacional de Salud con cobertura universal, reforzado desde la reforma de 2012 para garantizar la viabilidad del sistema y preservar su calidad. Los extranjeros en situación administrativa irregular tendrán </w:t>
      </w:r>
      <w:r w:rsidR="00384375" w:rsidRPr="00F36DAB">
        <w:lastRenderedPageBreak/>
        <w:t>derecho a la asistencia sanitaria en casos de urgenc</w:t>
      </w:r>
      <w:r w:rsidR="00B0035A">
        <w:t>i</w:t>
      </w:r>
      <w:r w:rsidR="00384375" w:rsidRPr="009D3089">
        <w:t>a. Además, los extranjeros menores de 18 años y las mujeres extran</w:t>
      </w:r>
      <w:r w:rsidR="00B0035A">
        <w:t>j</w:t>
      </w:r>
      <w:r w:rsidR="00384375" w:rsidRPr="009D3089">
        <w:t>e</w:t>
      </w:r>
      <w:r w:rsidR="00384375" w:rsidRPr="00F36DAB">
        <w:t xml:space="preserve">ras embarazadas para la asistencia sanitaria durante el embarazo, parto y postparto quedan equiparados a los españoles. Por otro lado, el Real Decreto </w:t>
      </w:r>
      <w:r w:rsidR="003D3899">
        <w:t xml:space="preserve">núm. </w:t>
      </w:r>
      <w:r w:rsidR="00384375" w:rsidRPr="00F36DAB">
        <w:t>1192/2012, de 3 de agosto, por el que se regula la condición de asegurado y de beneficiario a efectos de la asistencia sanitaria en España, con cargo a fondos públicos, a través del Sistema Nacional de Salud, en su Disposición adicional cuarta, establece que los solicitantes de protección internacional cuya permanencia en España haya sido autorizada por ese motivo recibirán, mientras permanezcan en esta situación, la asistencia sanitaria necesaria que incluirá los cuidados de urgencia y el tratamiento básico de enfermedades. Asimismo, se proporcionará la atención necesaria, médica o de otro tipo, a los solicitantes de protección internacional con necesidades particulares. La Disposición adicional quinta prevé lo mismo para las víctimas de trata de seres humanos cuya estancia temporal en España haya sido autorizada durante el período de restablecimiento y reflexión. A fin de mantener la universalidad de la cobertura, ésta ha sido ampliada a las personas desempleadas</w:t>
      </w:r>
      <w:r w:rsidR="00B0035A">
        <w:t xml:space="preserve"> </w:t>
      </w:r>
      <w:r w:rsidR="00384375" w:rsidRPr="009D3089">
        <w:t>y se ha derogado la disposición que consideraba como no residentes a quienes hubieran residido en el exterior más de 90 días por año. Además, la gratuidad de los medicamentos para los grupos más vulnerables está reconocida por el Real Decreto-</w:t>
      </w:r>
      <w:r w:rsidR="003D3899">
        <w:t>Ley</w:t>
      </w:r>
      <w:r w:rsidR="00384375" w:rsidRPr="009D3089">
        <w:t xml:space="preserve"> </w:t>
      </w:r>
      <w:r w:rsidR="00C142E0">
        <w:t xml:space="preserve">núm. </w:t>
      </w:r>
      <w:r w:rsidR="00384375" w:rsidRPr="009D3089">
        <w:t>16/2012.</w:t>
      </w:r>
    </w:p>
    <w:p w:rsidR="00384375" w:rsidRPr="00F36DAB" w:rsidRDefault="00BD4D4A" w:rsidP="00F36DAB">
      <w:pPr>
        <w:pStyle w:val="SingleTxtG"/>
      </w:pPr>
      <w:r w:rsidRPr="00F36DAB">
        <w:t>112.</w:t>
      </w:r>
      <w:r w:rsidRPr="00F36DAB">
        <w:tab/>
      </w:r>
      <w:r w:rsidR="00384375" w:rsidRPr="00F36DAB">
        <w:t>Mención aparte merece la Estrategia Nacional Integral para Personas sin Hogar (2015-2020), en la en la que han participado diferentes ministerios y centros directivos, el tercer sector de acción social, las administraciones territoriales y otros agentes relevantes. Se trabaja sobre prevención, la sensibilización, seguridad, restauración del proyecto de vida y mejora de la información. Entre las principales medidas que contiene, destacan favorecer el acceso a sistemas de rentas mínimas, el fomento de la mediación familiar, el apoyo en situaciones de pérdida de vivienda, la mejora de la empleabilidad, el favorecimiento de contrataciones por las empresas de inserción o la creación de una Red de Recursos para estas personas a efectos informativos.</w:t>
      </w:r>
    </w:p>
    <w:p w:rsidR="00384375" w:rsidRPr="003E0B97" w:rsidRDefault="00384375" w:rsidP="00F36DAB">
      <w:pPr>
        <w:pStyle w:val="H1G"/>
      </w:pPr>
      <w:r w:rsidRPr="003E0B97">
        <w:tab/>
      </w:r>
      <w:r w:rsidR="00580985">
        <w:t>6.</w:t>
      </w:r>
      <w:r w:rsidRPr="003E0B97">
        <w:tab/>
        <w:t>Derecho a la vivienda</w:t>
      </w:r>
    </w:p>
    <w:p w:rsidR="00384375" w:rsidRPr="00F36DAB" w:rsidRDefault="00BD4D4A" w:rsidP="00F36DAB">
      <w:pPr>
        <w:pStyle w:val="SingleTxtG"/>
      </w:pPr>
      <w:r w:rsidRPr="009D3089">
        <w:t>113.</w:t>
      </w:r>
      <w:r w:rsidRPr="009D3089">
        <w:tab/>
      </w:r>
      <w:r w:rsidR="00384375" w:rsidRPr="009D3089">
        <w:t>En estos últimos años se han adoptado medidas excepcionales para proteger a las personas que como consecuencia de la crisis han dejado de poder atender el cumplimiento de las obligaciones deriv</w:t>
      </w:r>
      <w:r w:rsidR="00384375" w:rsidRPr="00F36DAB">
        <w:t>adas de sus préstamos hipotecarios para la adquisición de su vivienda y se encuentran en situación de especial vulnerabilidad.</w:t>
      </w:r>
    </w:p>
    <w:p w:rsidR="00384375" w:rsidRPr="00F36DAB" w:rsidRDefault="00BD4D4A" w:rsidP="00F36DAB">
      <w:pPr>
        <w:pStyle w:val="SingleTxtG"/>
      </w:pPr>
      <w:r w:rsidRPr="00F36DAB">
        <w:t>114.</w:t>
      </w:r>
      <w:r w:rsidRPr="00F36DAB">
        <w:tab/>
      </w:r>
      <w:r w:rsidR="00384375" w:rsidRPr="00F36DAB">
        <w:t xml:space="preserve">El marco jurídico de referencia es el artículo 47 de la Constitución Española, donde se reconoce el derecho a una vivienda digna. Se trata de un derecho incardinado en el Capítulo III, de la Sección 2ª del Título I de la Constitución, el derecho a una vivienda digna disfruta de protección por parte del Defensor del Pueblo, y su reconocimiento, respeto y protección informan la legislación, la práctica judicial y la actuación de los poderes públicos. </w:t>
      </w:r>
    </w:p>
    <w:p w:rsidR="00384375" w:rsidRPr="00F36DAB" w:rsidRDefault="00BD4D4A" w:rsidP="00F36DAB">
      <w:pPr>
        <w:pStyle w:val="SingleTxtG"/>
      </w:pPr>
      <w:r w:rsidRPr="00F36DAB">
        <w:t>115.</w:t>
      </w:r>
      <w:r w:rsidRPr="00F36DAB">
        <w:tab/>
      </w:r>
      <w:r w:rsidR="00384375" w:rsidRPr="00F36DAB">
        <w:t>En consonancia con ese marco jurídico se han promulgado diversas normas, como el Real Decreto-</w:t>
      </w:r>
      <w:r w:rsidR="003D3899">
        <w:t>Ley</w:t>
      </w:r>
      <w:r w:rsidR="00384375" w:rsidRPr="00F36DAB">
        <w:t xml:space="preserve"> </w:t>
      </w:r>
      <w:r w:rsidR="00C142E0">
        <w:t xml:space="preserve">núm. </w:t>
      </w:r>
      <w:r w:rsidR="00384375" w:rsidRPr="00F36DAB">
        <w:t>6/2012, el Real Decreto-</w:t>
      </w:r>
      <w:r w:rsidR="003D3899">
        <w:t>Ley</w:t>
      </w:r>
      <w:r w:rsidR="00384375" w:rsidRPr="00F36DAB">
        <w:t xml:space="preserve"> </w:t>
      </w:r>
      <w:r w:rsidR="00C142E0">
        <w:t xml:space="preserve">núm. </w:t>
      </w:r>
      <w:r w:rsidR="00384375" w:rsidRPr="00F36DAB">
        <w:t xml:space="preserve">27/2012, la Ley </w:t>
      </w:r>
      <w:r w:rsidR="003D3899">
        <w:t xml:space="preserve">núm. </w:t>
      </w:r>
      <w:r w:rsidR="00384375" w:rsidRPr="00F36DAB">
        <w:t xml:space="preserve">1/2013, la Ley </w:t>
      </w:r>
      <w:r w:rsidR="003D3899">
        <w:t xml:space="preserve">núm. </w:t>
      </w:r>
      <w:r w:rsidR="00384375" w:rsidRPr="00F36DAB">
        <w:t>25/2015 y el Real Decreto-</w:t>
      </w:r>
      <w:r w:rsidR="003D3899">
        <w:t>Ley</w:t>
      </w:r>
      <w:r w:rsidR="00384375" w:rsidRPr="00F36DAB">
        <w:t xml:space="preserve"> </w:t>
      </w:r>
      <w:r w:rsidR="00C142E0">
        <w:t xml:space="preserve">núm. </w:t>
      </w:r>
      <w:r w:rsidR="00384375" w:rsidRPr="00F36DAB">
        <w:t>5/2017, que modifica las dos primeras normas citadas.</w:t>
      </w:r>
    </w:p>
    <w:p w:rsidR="00384375" w:rsidRPr="00F36DAB" w:rsidRDefault="00BD4D4A" w:rsidP="00F36DAB">
      <w:pPr>
        <w:pStyle w:val="SingleTxtG"/>
      </w:pPr>
      <w:r w:rsidRPr="00F36DAB">
        <w:t>116.</w:t>
      </w:r>
      <w:r w:rsidRPr="00F36DAB">
        <w:tab/>
      </w:r>
      <w:r w:rsidR="00384375" w:rsidRPr="00F36DAB">
        <w:t>El primero de los instrumentos legales, el Real Decreto-</w:t>
      </w:r>
      <w:r w:rsidR="003D3899">
        <w:t>Ley</w:t>
      </w:r>
      <w:r w:rsidR="00384375" w:rsidRPr="00F36DAB">
        <w:t xml:space="preserve"> </w:t>
      </w:r>
      <w:r w:rsidR="00C142E0">
        <w:t xml:space="preserve">núm. </w:t>
      </w:r>
      <w:r w:rsidR="00384375" w:rsidRPr="00F36DAB">
        <w:t>6/2012, estableció el contenido de un Código de Buenas Prácticas para deudores hipotecarios al que, voluntariamente, se pueden adherir las entidades de crédito. En la práctica, la casi totalidad de las entidades financieras lo aplican. El Código se divide en tres fases, que se van aplicando subsidiariamente. La primera está dirigida a procurar la reestructuración de forma viable de la deuda hipotecaria. La segunda, consiste en que las entidades pueden ofertar a los deudores una quita cuando la reestructuración anterior no resulte viable. La tercera y última, se refiere a que, en caso de que ninguna de las dos medidas anteriores sea viable, la entidades deberán aceptar la dación en pago como medio liberatorio definitivo de la deuda. En este último supuesto, las familias podrán permanecer en su vivienda durante un plazo de dos años satisfaciendo una renta reducida. Además, a través del Real Decreto-</w:t>
      </w:r>
      <w:r w:rsidR="003D3899">
        <w:t>Ley</w:t>
      </w:r>
      <w:r w:rsidR="00384375" w:rsidRPr="00F36DAB">
        <w:t xml:space="preserve"> </w:t>
      </w:r>
      <w:r w:rsidR="003D3899">
        <w:t xml:space="preserve">núm. </w:t>
      </w:r>
      <w:r w:rsidR="00384375" w:rsidRPr="00F36DAB">
        <w:lastRenderedPageBreak/>
        <w:t>5/2017 se ha introducido el derecho de alquiler en caso de ejecución de la vivienda habitual.</w:t>
      </w:r>
    </w:p>
    <w:p w:rsidR="00384375" w:rsidRPr="00F36DAB" w:rsidRDefault="00BD4D4A" w:rsidP="00F36DAB">
      <w:pPr>
        <w:pStyle w:val="SingleTxtG"/>
      </w:pPr>
      <w:r w:rsidRPr="00F36DAB">
        <w:t>117.</w:t>
      </w:r>
      <w:r w:rsidRPr="00F36DAB">
        <w:tab/>
      </w:r>
      <w:r w:rsidR="00384375" w:rsidRPr="00F36DAB">
        <w:t xml:space="preserve">Adicionalmente, se moderan los tipos de interés moratorios aplicables a los contratos de crédito o préstamo hipotecario de las personas que se encuentran en situación de especial vulnerabilidad. Esta reducción pretende disminuir la carga financiera generada en casos de impago. </w:t>
      </w:r>
    </w:p>
    <w:p w:rsidR="00384375" w:rsidRPr="00F36DAB" w:rsidRDefault="00BD4D4A" w:rsidP="00F36DAB">
      <w:pPr>
        <w:pStyle w:val="SingleTxtG"/>
      </w:pPr>
      <w:r w:rsidRPr="00F36DAB">
        <w:t>118.</w:t>
      </w:r>
      <w:r w:rsidRPr="00F36DAB">
        <w:tab/>
      </w:r>
      <w:r w:rsidR="00384375" w:rsidRPr="00F36DAB">
        <w:t>Desde el establecimiento del Código de Buenas Prácticas hasta diciembre de 2016 se han realizado un total de 46.266 operaciones, de las cuales 38.571 finalizaron con una reestructuración de la deuda pendiente, 7 con una quita y en 7.091 casos se acordó la dación en pago.</w:t>
      </w:r>
    </w:p>
    <w:p w:rsidR="00384375" w:rsidRPr="00F36DAB" w:rsidRDefault="00BD4D4A" w:rsidP="00F36DAB">
      <w:pPr>
        <w:pStyle w:val="SingleTxtG"/>
      </w:pPr>
      <w:r w:rsidRPr="00F36DAB">
        <w:t>119.</w:t>
      </w:r>
      <w:r w:rsidRPr="00F36DAB">
        <w:tab/>
      </w:r>
      <w:r w:rsidR="00384375" w:rsidRPr="00F36DAB">
        <w:t>Por su parte, desde la entrada en vigor del Real Decreto-</w:t>
      </w:r>
      <w:r w:rsidR="003D3899">
        <w:t>Ley</w:t>
      </w:r>
      <w:r w:rsidR="00384375" w:rsidRPr="00F36DAB">
        <w:t xml:space="preserve"> </w:t>
      </w:r>
      <w:r w:rsidR="00C142E0">
        <w:t xml:space="preserve">núm. </w:t>
      </w:r>
      <w:r w:rsidR="00384375" w:rsidRPr="00F36DAB">
        <w:t xml:space="preserve">27/2012 (hasta el 15 de mayo de 2020) se encuentran suspendidos los lanzamientos de las familias que se encuentren en situación de especial vulnerabilidad. Además, la </w:t>
      </w:r>
      <w:r w:rsidR="003D3899">
        <w:t>Ley</w:t>
      </w:r>
      <w:r w:rsidR="00384375" w:rsidRPr="00F36DAB">
        <w:t xml:space="preserve"> </w:t>
      </w:r>
      <w:r w:rsidR="003D3899">
        <w:t xml:space="preserve">núm. </w:t>
      </w:r>
      <w:r w:rsidR="00384375" w:rsidRPr="00F36DAB">
        <w:t>1/2013 establece un sistema objetivo de quitas si aún queda deuda pendiente tras la subasta de la vivienda hipotecada e introduce la posibilidad de oponer en el procedimiento de ejecución la existencia de cláusulas abusivas.</w:t>
      </w:r>
    </w:p>
    <w:p w:rsidR="00384375" w:rsidRPr="00F36DAB" w:rsidRDefault="00BD4D4A" w:rsidP="00F36DAB">
      <w:pPr>
        <w:pStyle w:val="SingleTxtG"/>
      </w:pPr>
      <w:r w:rsidRPr="00F36DAB">
        <w:t>120.</w:t>
      </w:r>
      <w:r w:rsidRPr="00F36DAB">
        <w:tab/>
      </w:r>
      <w:r w:rsidR="00384375" w:rsidRPr="00F36DAB">
        <w:t xml:space="preserve">Finalmente, en lo que se refiere a la Ley </w:t>
      </w:r>
      <w:r w:rsidR="003D3899">
        <w:t xml:space="preserve">núm. </w:t>
      </w:r>
      <w:r w:rsidR="00384375" w:rsidRPr="00F36DAB">
        <w:t xml:space="preserve">25/2015, se facilita una segunda oportunidad y la salida a los deudores de una situación de iliquidez y sobreendeudamiento así como su vuelta al círculo económico y social. Además, se refuerza el Código de Buenas Prácticas, ampliando su ámbito subjetivo. </w:t>
      </w:r>
    </w:p>
    <w:p w:rsidR="00384375" w:rsidRPr="00F36DAB" w:rsidRDefault="00BD4D4A" w:rsidP="00F36DAB">
      <w:pPr>
        <w:pStyle w:val="SingleTxtG"/>
      </w:pPr>
      <w:r w:rsidRPr="00F36DAB">
        <w:t>121.</w:t>
      </w:r>
      <w:r w:rsidRPr="00F36DAB">
        <w:tab/>
      </w:r>
      <w:r w:rsidR="00384375" w:rsidRPr="00F36DAB">
        <w:t>Por otra parte, hay que mencionar la celebración de convenios de colaboración, entre el Consejo General del Poder Judicial y la Administración local y regional encargada de los servicios sociales para detectar situaciones de vulnerabilidad y evitar situaciones de desamparo. A través de estos convenios se establecen protocolos de actuación que van a facilitar, cuando se observen situaciones de especial vulnerabilidad o de riesgo de exclusión, la comunicación entre las autoridades judiciales y los servicios sociales en los supuestos de lanzamiento derivados de procedimientos de ejecución hipotecaria o de desahucio arrendaticio. De esta manera, los servicios sociales, conocedores de la situación de vulnerabilidad, van a poder incluir a los afectados en los programas de vivienda social que correspondan.</w:t>
      </w:r>
    </w:p>
    <w:p w:rsidR="00384375" w:rsidRPr="00F36DAB" w:rsidRDefault="00BD4D4A" w:rsidP="00F36DAB">
      <w:pPr>
        <w:pStyle w:val="SingleTxtG"/>
      </w:pPr>
      <w:r w:rsidRPr="00F36DAB">
        <w:t>122.</w:t>
      </w:r>
      <w:r w:rsidRPr="00F36DAB">
        <w:tab/>
      </w:r>
      <w:r w:rsidR="00384375" w:rsidRPr="00F36DAB">
        <w:t xml:space="preserve">Adicionalmente, y para las personas que ya fueron desalojadas de su vivienda, se ha creado el Fondo Social de Vivienda, cuya naturaleza se detalla en la el apartado B.19. </w:t>
      </w:r>
    </w:p>
    <w:p w:rsidR="00384375" w:rsidRPr="003E0B97" w:rsidRDefault="00BB6E20" w:rsidP="00F36DAB">
      <w:pPr>
        <w:pStyle w:val="HChG"/>
      </w:pPr>
      <w:r>
        <w:tab/>
      </w:r>
      <w:r w:rsidR="00580985">
        <w:t>B.</w:t>
      </w:r>
      <w:r>
        <w:tab/>
      </w:r>
      <w:r w:rsidR="00384375" w:rsidRPr="003E0B97">
        <w:t>Aplicación en curso del Pacto Internacional de Derechos Económicos, Sociales y Culturales (</w:t>
      </w:r>
      <w:r w:rsidR="00384375" w:rsidRPr="00580985">
        <w:t>PIDESC</w:t>
      </w:r>
      <w:r w:rsidR="00384375" w:rsidRPr="003E0B97">
        <w:t>)</w:t>
      </w:r>
    </w:p>
    <w:p w:rsidR="00384375" w:rsidRPr="003E0B97" w:rsidRDefault="00384375" w:rsidP="00F36DAB">
      <w:pPr>
        <w:pStyle w:val="H1G"/>
      </w:pPr>
      <w:r w:rsidRPr="003E0B97">
        <w:tab/>
      </w:r>
      <w:r w:rsidR="00580985">
        <w:t>7.</w:t>
      </w:r>
      <w:r w:rsidRPr="003E0B97">
        <w:tab/>
        <w:t>Aplicabilidad directa del PIDESC</w:t>
      </w:r>
    </w:p>
    <w:p w:rsidR="00384375" w:rsidRPr="00F36DAB" w:rsidRDefault="00BD4D4A" w:rsidP="00F36DAB">
      <w:pPr>
        <w:pStyle w:val="SingleTxtG"/>
      </w:pPr>
      <w:r w:rsidRPr="009D3089">
        <w:t>123.</w:t>
      </w:r>
      <w:r w:rsidRPr="009D3089">
        <w:tab/>
      </w:r>
      <w:r w:rsidR="00384375" w:rsidRPr="009D3089">
        <w:t>Los derechos económicos, sociales y culturales están reconocidos en la norma suprema, la Constitución (</w:t>
      </w:r>
      <w:r w:rsidR="00B03578">
        <w:t>c</w:t>
      </w:r>
      <w:r w:rsidR="00B03578" w:rsidRPr="009D3089">
        <w:t>aps</w:t>
      </w:r>
      <w:r w:rsidR="00B03578">
        <w:t>.</w:t>
      </w:r>
      <w:r w:rsidR="00B03578" w:rsidRPr="009D3089">
        <w:t xml:space="preserve"> </w:t>
      </w:r>
      <w:r w:rsidR="00384375" w:rsidRPr="009D3089">
        <w:t>II y III del Título I). En su Capítulo IV se contempla asimismo el sistema de garantías, en el sentido de que todos los podere</w:t>
      </w:r>
      <w:r w:rsidR="00384375" w:rsidRPr="00F36DAB">
        <w:t>s públicos están vinculados por los derechos y libertades reconocidos en el Capítulo II del Título I y a su ejercicio se le aplica reserva de ley. Además todos los derechos están protegidos por la jurisdicción ordinaria en virtud del derecho a la tutela judicial efectiva. En el caso de los derechos y libertades fundamentales (</w:t>
      </w:r>
      <w:r w:rsidR="00B03578">
        <w:t>s</w:t>
      </w:r>
      <w:r w:rsidR="00B03578" w:rsidRPr="00F36DAB">
        <w:t>ecc</w:t>
      </w:r>
      <w:r w:rsidR="00B03578">
        <w:t>.</w:t>
      </w:r>
      <w:r w:rsidR="00B03578" w:rsidRPr="00F36DAB">
        <w:t xml:space="preserve"> </w:t>
      </w:r>
      <w:r w:rsidR="00384375" w:rsidRPr="00F36DAB">
        <w:t>1ª</w:t>
      </w:r>
      <w:r w:rsidR="00B03578">
        <w:t>,</w:t>
      </w:r>
      <w:r w:rsidR="00384375" w:rsidRPr="00F36DAB">
        <w:t xml:space="preserve"> </w:t>
      </w:r>
      <w:r w:rsidR="00B03578">
        <w:t>c</w:t>
      </w:r>
      <w:r w:rsidR="00B03578" w:rsidRPr="00F36DAB">
        <w:t>ap</w:t>
      </w:r>
      <w:r w:rsidR="00B03578">
        <w:t>.</w:t>
      </w:r>
      <w:r w:rsidR="00B03578" w:rsidRPr="00F36DAB">
        <w:t xml:space="preserve"> </w:t>
      </w:r>
      <w:r w:rsidR="00384375" w:rsidRPr="00F36DAB">
        <w:t xml:space="preserve">II del Título I) se prevé una vía preferente y sumaria (con reducción de plazos, trámites y formalidades). Una vez agotada cualquiera de estas dos vías, ordinaria o preferente y sumaria, se puede acudir al Tribunal Constitucional. El propio Tribunal Constitucional ha señalado el valor normativo inmediato de los artículos 39 a 52 (principios rectores de la política social y económica) de la Constitución (STC </w:t>
      </w:r>
      <w:r w:rsidR="00903790">
        <w:t xml:space="preserve">núm. </w:t>
      </w:r>
      <w:r w:rsidR="00384375" w:rsidRPr="00F36DAB">
        <w:t xml:space="preserve">80/1982), sin que quepa considerarlos como normas sin contenido (STC </w:t>
      </w:r>
      <w:r w:rsidR="00903790">
        <w:t xml:space="preserve">núm. </w:t>
      </w:r>
      <w:r w:rsidR="00384375" w:rsidRPr="00F36DAB">
        <w:t>14/1992, entre otras). Adicionalmente, el Defensor del Pueblo controla la actuación de la Administración respecto de los derechos contemplados en el Título I y está legitimado para recurrir al Tribunal Constitucional en amparo para los derechos y libertades comprendidos entre los artículos 14 y 29 de la Constitución.</w:t>
      </w:r>
    </w:p>
    <w:p w:rsidR="00384375" w:rsidRPr="00F36DAB" w:rsidRDefault="00BD4D4A" w:rsidP="00F36DAB">
      <w:pPr>
        <w:pStyle w:val="SingleTxtG"/>
      </w:pPr>
      <w:r w:rsidRPr="00F36DAB">
        <w:lastRenderedPageBreak/>
        <w:t>124.</w:t>
      </w:r>
      <w:r w:rsidRPr="00F36DAB">
        <w:tab/>
      </w:r>
      <w:r w:rsidR="00384375" w:rsidRPr="00F36DAB">
        <w:t xml:space="preserve">El PIDESC ha sido invocado en numerosas ocasiones ante los tribunales nacionales tanto por las partes como por los propios jueces y tribunales para la fundamentación jurídica de la defensa y protección de tales derechos. </w:t>
      </w:r>
    </w:p>
    <w:p w:rsidR="00384375" w:rsidRPr="00F36DAB" w:rsidRDefault="00BD4D4A" w:rsidP="00F36DAB">
      <w:pPr>
        <w:pStyle w:val="SingleTxtG"/>
      </w:pPr>
      <w:r w:rsidRPr="00F36DAB">
        <w:t>125.</w:t>
      </w:r>
      <w:r w:rsidRPr="00F36DAB">
        <w:tab/>
      </w:r>
      <w:r w:rsidR="00384375" w:rsidRPr="00F36DAB">
        <w:t>Sin ánimo de exhaustividad, a continuación se reseñan algunos casos:</w:t>
      </w:r>
    </w:p>
    <w:p w:rsidR="00384375" w:rsidRPr="00F850F2" w:rsidRDefault="00384375" w:rsidP="00F36DAB">
      <w:pPr>
        <w:pStyle w:val="Bullet1G"/>
      </w:pPr>
      <w:r w:rsidRPr="00F850F2">
        <w:t xml:space="preserve">Sentencia Tribunal Superior de Justicia de Madrid </w:t>
      </w:r>
      <w:r w:rsidR="00666B89">
        <w:t xml:space="preserve">núm. </w:t>
      </w:r>
      <w:r w:rsidRPr="00F850F2">
        <w:t>2012/229189. Sala de lo Social de 21</w:t>
      </w:r>
      <w:r w:rsidR="00903790">
        <w:t xml:space="preserve"> de</w:t>
      </w:r>
      <w:r w:rsidRPr="00F850F2">
        <w:t xml:space="preserve"> septiembre </w:t>
      </w:r>
      <w:r w:rsidR="00903790">
        <w:t xml:space="preserve">de </w:t>
      </w:r>
      <w:r w:rsidRPr="00F850F2">
        <w:t xml:space="preserve">2012. Se trataba de un caso de modificación de condiciones de trabajo en el que una de las partes aduce discriminación por razón de sexo. En los fundamentos jurídicos de la sentencia, el Tribunal invocó el artículo 10.2 del PIDESC, que reconoce una </w:t>
      </w:r>
      <w:r w:rsidR="00BB5656" w:rsidRPr="00F850F2">
        <w:t>“</w:t>
      </w:r>
      <w:r w:rsidRPr="00F850F2">
        <w:t>especial protección</w:t>
      </w:r>
      <w:r w:rsidR="00BB5656" w:rsidRPr="00F850F2">
        <w:t>”</w:t>
      </w:r>
      <w:r w:rsidRPr="00F850F2">
        <w:t xml:space="preserve"> a las madres durante un período de tiempo razonable antes y después del parto, con concesión de licencia remunerada o con prestaciones adecuadas de Seguridad Social. </w:t>
      </w:r>
    </w:p>
    <w:p w:rsidR="00384375" w:rsidRPr="00F850F2" w:rsidRDefault="00384375" w:rsidP="00F36DAB">
      <w:pPr>
        <w:pStyle w:val="Bullet1G"/>
      </w:pPr>
      <w:r w:rsidRPr="00F850F2">
        <w:t xml:space="preserve">Sentencia Tribunal Constitucional </w:t>
      </w:r>
      <w:r w:rsidR="00666B89">
        <w:t xml:space="preserve">núm. </w:t>
      </w:r>
      <w:r w:rsidRPr="00F850F2">
        <w:t xml:space="preserve">10/2014, de 27 de enero. En este proceso se acudía en amparo al Tribunal Constitucional por entender que se había vulnerado el derecho a la educación al haberse denegado el ingreso de un menor con discapacidad. En la fundamentación jurídica de la sentencia se alude al artículo 13.3. del PIDESC que establece </w:t>
      </w:r>
      <w:r w:rsidR="00BB5656" w:rsidRPr="00F850F2">
        <w:t>“</w:t>
      </w:r>
      <w:r w:rsidRPr="00F850F2">
        <w:t>la libertad de los padres y, en su caso, de los tutores legales, de escoger para sus hijos o pupilos escuelas distintas de las creadas por las autoridades públicas, siempre que aquellas satisfagan las normas mínimas que el Estado prescriba o apruebe en materia de enseñanza</w:t>
      </w:r>
      <w:r w:rsidR="00BB5656" w:rsidRPr="00F850F2">
        <w:t>”</w:t>
      </w:r>
      <w:r w:rsidRPr="00F850F2">
        <w:t>.</w:t>
      </w:r>
    </w:p>
    <w:p w:rsidR="00384375" w:rsidRPr="00F850F2" w:rsidRDefault="00384375" w:rsidP="00F36DAB">
      <w:pPr>
        <w:pStyle w:val="Bullet1G"/>
      </w:pPr>
      <w:r w:rsidRPr="00F850F2">
        <w:t xml:space="preserve">Sentencia Audiencia Provincial de Córdoba de 13 </w:t>
      </w:r>
      <w:r w:rsidR="00666B89">
        <w:t xml:space="preserve">de </w:t>
      </w:r>
      <w:r w:rsidRPr="00F850F2">
        <w:t xml:space="preserve">febrero </w:t>
      </w:r>
      <w:r w:rsidR="00666B89">
        <w:t xml:space="preserve">de </w:t>
      </w:r>
      <w:r w:rsidRPr="00F850F2">
        <w:t>2014. En este proceso se recurría una sentencia previa en la que se denegaba la pretensión de nulidad de una adopción internacional por parte de los padres adoptivos. En la sentencia, se acude, entre otros fundamentos jurídicos, al artículo 10 del PIDESC para fundamentar su decisión de denegación de la devolución del niño.</w:t>
      </w:r>
    </w:p>
    <w:p w:rsidR="00384375" w:rsidRPr="00F850F2" w:rsidRDefault="00384375" w:rsidP="00F36DAB">
      <w:pPr>
        <w:pStyle w:val="Bullet1G"/>
      </w:pPr>
      <w:r w:rsidRPr="00F850F2">
        <w:t xml:space="preserve">Sentencia de la Audiencia Nacional </w:t>
      </w:r>
      <w:r w:rsidR="00666B89">
        <w:t xml:space="preserve">núm. </w:t>
      </w:r>
      <w:r w:rsidRPr="00F850F2">
        <w:t xml:space="preserve">2016/53501, Sala de lo Contencioso-Administrativo de 28 </w:t>
      </w:r>
      <w:r w:rsidR="00666B89">
        <w:t xml:space="preserve">de </w:t>
      </w:r>
      <w:r w:rsidRPr="00F850F2">
        <w:t xml:space="preserve">abril </w:t>
      </w:r>
      <w:r w:rsidR="00666B89">
        <w:t xml:space="preserve">de </w:t>
      </w:r>
      <w:r w:rsidRPr="00F850F2">
        <w:t>2016. En este proceso se recurría una resolución de la Secretaria General de Universidades del Ministerio de Educación, Cultura y Deporte por la que se denegaba a la recurrente la beca solicitada para realizar estudios postobligatorios y superiores no universitarios. La parte recurrente invocó el artículo 13 del PIDESC, que establece el compromiso de establecimiento de la gratuidad en la enseñanza, incluida la superior, compromiso en cuyo marco entendía la recurrente que debe integrarse el sistema de becas establecido para posibilitar el acceso a los estudios de quien carece de recursos económicos.</w:t>
      </w:r>
    </w:p>
    <w:p w:rsidR="00384375" w:rsidRPr="003E0B97" w:rsidRDefault="00384375" w:rsidP="00F36DAB">
      <w:pPr>
        <w:pStyle w:val="H1G"/>
      </w:pPr>
      <w:r w:rsidRPr="003E0B97">
        <w:tab/>
      </w:r>
      <w:r w:rsidR="00E17986">
        <w:t>8.</w:t>
      </w:r>
      <w:r w:rsidRPr="003E0B97">
        <w:tab/>
        <w:t>Acceso a la justicia y asistencia jurídica</w:t>
      </w:r>
    </w:p>
    <w:p w:rsidR="00384375" w:rsidRPr="00F36DAB" w:rsidRDefault="00BD4D4A" w:rsidP="00F36DAB">
      <w:pPr>
        <w:pStyle w:val="SingleTxtG"/>
      </w:pPr>
      <w:r w:rsidRPr="009D3089">
        <w:t>126.</w:t>
      </w:r>
      <w:r w:rsidRPr="009D3089">
        <w:tab/>
      </w:r>
      <w:r w:rsidR="00384375" w:rsidRPr="00F36DAB">
        <w:t xml:space="preserve">La Constitución Española reconoce el derecho a la asistencia jurídica gratuita en su artículo 119, cuyo contenido ha sido desarrollado por la Ley </w:t>
      </w:r>
      <w:r w:rsidR="003D3899">
        <w:t xml:space="preserve">núm. </w:t>
      </w:r>
      <w:r w:rsidR="00384375" w:rsidRPr="00F36DAB">
        <w:t xml:space="preserve">1/1996. Dicha </w:t>
      </w:r>
      <w:r w:rsidR="003D3899">
        <w:t>Ley</w:t>
      </w:r>
      <w:r w:rsidR="00384375" w:rsidRPr="00F36DAB">
        <w:t xml:space="preserve"> ha sido además revisada recientemente con el propósito de garantizar su viabilidad y adecuada prestación. Las principales modificaciones han sido introducidas por la disposición final 3ª de la Ley </w:t>
      </w:r>
      <w:r w:rsidR="003D3899">
        <w:t xml:space="preserve">núm. </w:t>
      </w:r>
      <w:r w:rsidR="00384375" w:rsidRPr="00F36DAB">
        <w:t>42/2015.</w:t>
      </w:r>
    </w:p>
    <w:p w:rsidR="00384375" w:rsidRPr="00F36DAB" w:rsidRDefault="00BD4D4A" w:rsidP="00F36DAB">
      <w:pPr>
        <w:pStyle w:val="SingleTxtG"/>
      </w:pPr>
      <w:r w:rsidRPr="00F36DAB">
        <w:t>127.</w:t>
      </w:r>
      <w:r w:rsidRPr="00F36DAB">
        <w:tab/>
      </w:r>
      <w:r w:rsidR="00384375" w:rsidRPr="00F36DAB">
        <w:t xml:space="preserve">Cabe destacar el amplio ámbito subjetivo de aplicación. Entre los beneficiarios se incluyen, independientemente de sus recursos económicos, las víctimas de violencia de género, de terrorismo y de trata de seres humanos (en aquellos procesos que tengan vinculación, deriven o sean consecuencia de su condición de víctimas), los menores de edad y las personas con discapacidad intelectual o enfermedad mental cuando sean víctimas de situaciones de abuso o maltrato, así como los causahabientes de la víctima en caso de fallecimiento, siempre que no fueren partícipes en los hechos. </w:t>
      </w:r>
    </w:p>
    <w:p w:rsidR="00384375" w:rsidRPr="00F36DAB" w:rsidRDefault="00BD4D4A" w:rsidP="00F36DAB">
      <w:pPr>
        <w:pStyle w:val="SingleTxtG"/>
      </w:pPr>
      <w:r w:rsidRPr="00F36DAB">
        <w:t>128.</w:t>
      </w:r>
      <w:r w:rsidRPr="00F36DAB">
        <w:tab/>
      </w:r>
      <w:r w:rsidR="00384375" w:rsidRPr="00F36DAB">
        <w:t xml:space="preserve">La Ley </w:t>
      </w:r>
      <w:r w:rsidR="003D3899">
        <w:t xml:space="preserve">núm. </w:t>
      </w:r>
      <w:r w:rsidR="00384375" w:rsidRPr="00F36DAB">
        <w:t>42/2015 precisa además que en procesos que se inicien como consecuencia de la condición de víctima de los delitos referidos en el punto anterior y, en especial, en los de violencia de género, deberá ser el mismo abogado el que asista a ésta, siempre que con ello se garantice debidamente su derecho de defensa.</w:t>
      </w:r>
    </w:p>
    <w:p w:rsidR="00384375" w:rsidRPr="00F36DAB" w:rsidRDefault="00BD4D4A" w:rsidP="00F36DAB">
      <w:pPr>
        <w:pStyle w:val="SingleTxtG"/>
      </w:pPr>
      <w:r w:rsidRPr="00F36DAB">
        <w:t>129.</w:t>
      </w:r>
      <w:r w:rsidRPr="00F36DAB">
        <w:tab/>
      </w:r>
      <w:r w:rsidR="00384375" w:rsidRPr="00F36DAB">
        <w:t xml:space="preserve">Por otro lado, los umbrales de acceso al beneficio son lo suficientemente amplios para dar cobertura a un número amplio de beneficiarios. En este sentido, ya en 2013 se </w:t>
      </w:r>
      <w:r w:rsidR="00384375" w:rsidRPr="00F36DAB">
        <w:lastRenderedPageBreak/>
        <w:t>modificó la referencia al salario mínimo interprofesional en favor del índice indicador público de renta de efectos múltiples (IPREM). Por otra parte, estos umbrales varían y aumentan progresivamente en función del número de miembros y cargas de la familia.</w:t>
      </w:r>
    </w:p>
    <w:p w:rsidR="00384375" w:rsidRPr="00F36DAB" w:rsidRDefault="00BD4D4A" w:rsidP="00F36DAB">
      <w:pPr>
        <w:pStyle w:val="SingleTxtG"/>
      </w:pPr>
      <w:r w:rsidRPr="00F36DAB">
        <w:t>130.</w:t>
      </w:r>
      <w:r w:rsidRPr="00F36DAB">
        <w:tab/>
      </w:r>
      <w:r w:rsidR="00384375" w:rsidRPr="00F36DAB">
        <w:t>En lo que se refiere al ámbito objetivo de aplicación, se incluye de forma expresa la información sobre la mediación y otros medios extrajudiciales de resolución de conflictos dentro de la prestación de asesoramiento y orientación gratuitos previos al proceso.</w:t>
      </w:r>
    </w:p>
    <w:p w:rsidR="00384375" w:rsidRPr="00F36DAB" w:rsidRDefault="00BD4D4A" w:rsidP="00F36DAB">
      <w:pPr>
        <w:pStyle w:val="SingleTxtG"/>
      </w:pPr>
      <w:r w:rsidRPr="00F36DAB">
        <w:t>131.</w:t>
      </w:r>
      <w:r w:rsidRPr="00F36DAB">
        <w:tab/>
      </w:r>
      <w:r w:rsidR="00384375" w:rsidRPr="00F36DAB">
        <w:t>En el caso de víctimas de violencia de género, de terrorismo y de trata de seres humanos, así como de menores de edad y las personas con discapacidad intelectual o enfermedad mental, la asistencia jurídica gratuita comprenderá, además, asesoramiento y orientación gratuitos en el momento inmediatamente previo a la interposición de denuncia o querella.</w:t>
      </w:r>
    </w:p>
    <w:p w:rsidR="00384375" w:rsidRPr="003E0B97" w:rsidRDefault="00AB37BF" w:rsidP="00F36DAB">
      <w:pPr>
        <w:pStyle w:val="H1G"/>
      </w:pPr>
      <w:r>
        <w:tab/>
      </w:r>
      <w:r w:rsidR="00E17986">
        <w:t>9.</w:t>
      </w:r>
      <w:r>
        <w:tab/>
      </w:r>
      <w:r w:rsidR="00384375" w:rsidRPr="003E0B97">
        <w:t>Asignaciones presupuestarias por sectores sociales y asignación geográfica (2012-2016)</w:t>
      </w:r>
    </w:p>
    <w:p w:rsidR="00384375" w:rsidRPr="00F36DAB" w:rsidRDefault="00BD4D4A" w:rsidP="00F36DAB">
      <w:pPr>
        <w:pStyle w:val="SingleTxtG"/>
      </w:pPr>
      <w:r w:rsidRPr="009D3089">
        <w:t>132.</w:t>
      </w:r>
      <w:r w:rsidRPr="009D3089">
        <w:tab/>
      </w:r>
      <w:r w:rsidR="00384375" w:rsidRPr="00F36DAB">
        <w:t>Se ofrece a continuación información correspondiente a las magnitudes presupuestarias de las prestaciones económicas de la Seguridad Social, para el período solicitado.</w:t>
      </w:r>
    </w:p>
    <w:p w:rsidR="00F875FF" w:rsidRPr="00F36DAB" w:rsidRDefault="00F850F2" w:rsidP="00F36DAB">
      <w:pPr>
        <w:pStyle w:val="H23G"/>
        <w:rPr>
          <w:sz w:val="16"/>
        </w:rPr>
      </w:pPr>
      <w:r>
        <w:tab/>
      </w:r>
      <w:r>
        <w:tab/>
      </w:r>
      <w:r w:rsidR="00E17986" w:rsidRPr="00E17986">
        <w:t>Evolución del gasto en prestaciones económicas del sistema de seguridad social</w:t>
      </w:r>
      <w:r>
        <w:br/>
      </w:r>
      <w:r w:rsidRPr="00F36DAB">
        <w:rPr>
          <w:sz w:val="16"/>
        </w:rPr>
        <w:t>(En m</w:t>
      </w:r>
      <w:r w:rsidR="00F875FF" w:rsidRPr="00F36DAB">
        <w:rPr>
          <w:b w:val="0"/>
          <w:sz w:val="16"/>
        </w:rPr>
        <w:t>illones de euros</w:t>
      </w:r>
      <w:r w:rsidRPr="00F36DAB">
        <w:rPr>
          <w:b w:val="0"/>
          <w:sz w:val="16"/>
        </w:rPr>
        <w:t>)</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0"/>
        <w:gridCol w:w="994"/>
        <w:gridCol w:w="970"/>
        <w:gridCol w:w="938"/>
        <w:gridCol w:w="952"/>
        <w:gridCol w:w="1245"/>
        <w:gridCol w:w="980"/>
        <w:gridCol w:w="1078"/>
        <w:gridCol w:w="987"/>
      </w:tblGrid>
      <w:tr w:rsidR="0001143A" w:rsidRPr="0001143A" w:rsidTr="00F36DAB">
        <w:trPr>
          <w:trHeight w:val="240"/>
          <w:tblHeader/>
        </w:trPr>
        <w:tc>
          <w:tcPr>
            <w:tcW w:w="360" w:type="dxa"/>
            <w:vMerge w:val="restart"/>
            <w:tcBorders>
              <w:top w:val="single" w:sz="4" w:space="0" w:color="auto"/>
              <w:bottom w:val="single" w:sz="12" w:space="0" w:color="auto"/>
            </w:tcBorders>
            <w:shd w:val="clear" w:color="auto" w:fill="auto"/>
            <w:vAlign w:val="bottom"/>
          </w:tcPr>
          <w:p w:rsidR="002045BD" w:rsidRPr="0001143A" w:rsidRDefault="002045BD" w:rsidP="00F36DAB">
            <w:pPr>
              <w:spacing w:before="80" w:after="80" w:line="200" w:lineRule="exact"/>
              <w:rPr>
                <w:i/>
                <w:sz w:val="16"/>
              </w:rPr>
            </w:pPr>
            <w:r w:rsidRPr="00F36DAB">
              <w:rPr>
                <w:bCs/>
                <w:i/>
                <w:sz w:val="16"/>
              </w:rPr>
              <w:t>A</w:t>
            </w:r>
            <w:r w:rsidR="0001143A" w:rsidRPr="0001143A">
              <w:rPr>
                <w:bCs/>
                <w:i/>
                <w:sz w:val="16"/>
              </w:rPr>
              <w:t>ño</w:t>
            </w:r>
          </w:p>
        </w:tc>
        <w:tc>
          <w:tcPr>
            <w:tcW w:w="2902" w:type="dxa"/>
            <w:gridSpan w:val="3"/>
            <w:tcBorders>
              <w:top w:val="single" w:sz="4" w:space="0" w:color="auto"/>
              <w:bottom w:val="single" w:sz="4" w:space="0" w:color="auto"/>
              <w:right w:val="single" w:sz="24" w:space="0" w:color="FFFFFF"/>
            </w:tcBorders>
            <w:shd w:val="clear" w:color="auto" w:fill="auto"/>
            <w:vAlign w:val="bottom"/>
          </w:tcPr>
          <w:p w:rsidR="002045BD" w:rsidRPr="0001143A" w:rsidRDefault="002045BD" w:rsidP="00F36DAB">
            <w:pPr>
              <w:spacing w:before="80" w:after="80" w:line="200" w:lineRule="exact"/>
              <w:ind w:left="113"/>
              <w:jc w:val="center"/>
              <w:rPr>
                <w:i/>
                <w:sz w:val="16"/>
              </w:rPr>
            </w:pPr>
            <w:r w:rsidRPr="0001143A">
              <w:rPr>
                <w:bCs/>
                <w:i/>
                <w:sz w:val="16"/>
              </w:rPr>
              <w:t>Pensiones</w:t>
            </w:r>
          </w:p>
        </w:tc>
        <w:tc>
          <w:tcPr>
            <w:tcW w:w="3177" w:type="dxa"/>
            <w:gridSpan w:val="3"/>
            <w:tcBorders>
              <w:top w:val="single" w:sz="4" w:space="0" w:color="auto"/>
              <w:left w:val="single" w:sz="24" w:space="0" w:color="FFFFFF"/>
              <w:bottom w:val="single" w:sz="4" w:space="0" w:color="auto"/>
            </w:tcBorders>
            <w:shd w:val="clear" w:color="auto" w:fill="auto"/>
            <w:vAlign w:val="bottom"/>
          </w:tcPr>
          <w:p w:rsidR="002045BD" w:rsidRPr="0001143A" w:rsidRDefault="002045BD" w:rsidP="00F36DAB">
            <w:pPr>
              <w:spacing w:before="80" w:after="80" w:line="200" w:lineRule="exact"/>
              <w:ind w:left="113"/>
              <w:jc w:val="center"/>
              <w:rPr>
                <w:i/>
                <w:sz w:val="16"/>
              </w:rPr>
            </w:pPr>
            <w:r w:rsidRPr="00F36DAB">
              <w:rPr>
                <w:i/>
                <w:sz w:val="16"/>
              </w:rPr>
              <w:t>Incapacidad Temporal y otras prestaciones</w:t>
            </w:r>
          </w:p>
        </w:tc>
        <w:tc>
          <w:tcPr>
            <w:tcW w:w="1078" w:type="dxa"/>
            <w:vMerge w:val="restart"/>
            <w:tcBorders>
              <w:top w:val="single" w:sz="4" w:space="0" w:color="auto"/>
              <w:bottom w:val="single" w:sz="12" w:space="0" w:color="auto"/>
            </w:tcBorders>
            <w:shd w:val="clear" w:color="auto" w:fill="auto"/>
            <w:vAlign w:val="bottom"/>
          </w:tcPr>
          <w:p w:rsidR="002045BD" w:rsidRPr="0001143A" w:rsidRDefault="002045BD" w:rsidP="00F36DAB">
            <w:pPr>
              <w:spacing w:before="80" w:after="80" w:line="200" w:lineRule="exact"/>
              <w:ind w:left="85" w:right="28"/>
              <w:jc w:val="right"/>
              <w:rPr>
                <w:bCs/>
                <w:i/>
                <w:sz w:val="16"/>
              </w:rPr>
            </w:pPr>
            <w:r w:rsidRPr="0001143A">
              <w:rPr>
                <w:bCs/>
                <w:i/>
                <w:sz w:val="16"/>
                <w:szCs w:val="18"/>
              </w:rPr>
              <w:t>Prestación familiar y maternidad no contributivas</w:t>
            </w:r>
          </w:p>
        </w:tc>
        <w:tc>
          <w:tcPr>
            <w:tcW w:w="987" w:type="dxa"/>
            <w:vMerge w:val="restart"/>
            <w:tcBorders>
              <w:top w:val="single" w:sz="4" w:space="0" w:color="auto"/>
              <w:bottom w:val="single" w:sz="12" w:space="0" w:color="auto"/>
            </w:tcBorders>
            <w:shd w:val="clear" w:color="auto" w:fill="auto"/>
            <w:vAlign w:val="bottom"/>
          </w:tcPr>
          <w:p w:rsidR="002045BD" w:rsidRPr="0001143A" w:rsidRDefault="002045BD" w:rsidP="00F36DAB">
            <w:pPr>
              <w:spacing w:before="80" w:after="80" w:line="200" w:lineRule="exact"/>
              <w:ind w:left="85" w:right="28"/>
              <w:jc w:val="right"/>
              <w:rPr>
                <w:i/>
                <w:sz w:val="16"/>
              </w:rPr>
            </w:pPr>
            <w:r w:rsidRPr="0001143A">
              <w:rPr>
                <w:bCs/>
                <w:i/>
                <w:sz w:val="16"/>
                <w:szCs w:val="18"/>
              </w:rPr>
              <w:t>T</w:t>
            </w:r>
            <w:r w:rsidR="0001143A" w:rsidRPr="0001143A">
              <w:rPr>
                <w:bCs/>
                <w:i/>
                <w:sz w:val="16"/>
                <w:szCs w:val="18"/>
              </w:rPr>
              <w:t>otal</w:t>
            </w:r>
          </w:p>
        </w:tc>
      </w:tr>
      <w:tr w:rsidR="000E06B7" w:rsidRPr="0001143A" w:rsidTr="00F36DAB">
        <w:trPr>
          <w:trHeight w:val="240"/>
          <w:tblHeader/>
        </w:trPr>
        <w:tc>
          <w:tcPr>
            <w:tcW w:w="360" w:type="dxa"/>
            <w:vMerge/>
            <w:tcBorders>
              <w:top w:val="single" w:sz="12" w:space="0" w:color="auto"/>
              <w:bottom w:val="single" w:sz="12" w:space="0" w:color="auto"/>
            </w:tcBorders>
            <w:shd w:val="clear" w:color="auto" w:fill="auto"/>
            <w:vAlign w:val="bottom"/>
          </w:tcPr>
          <w:p w:rsidR="00B96466" w:rsidRPr="0001143A" w:rsidRDefault="00B96466" w:rsidP="00F36DAB">
            <w:pPr>
              <w:spacing w:before="40" w:after="40" w:line="220" w:lineRule="exact"/>
              <w:rPr>
                <w:sz w:val="18"/>
              </w:rPr>
            </w:pPr>
          </w:p>
        </w:tc>
        <w:tc>
          <w:tcPr>
            <w:tcW w:w="994" w:type="dxa"/>
            <w:tcBorders>
              <w:top w:val="single" w:sz="4" w:space="0" w:color="auto"/>
              <w:bottom w:val="single" w:sz="12" w:space="0" w:color="auto"/>
            </w:tcBorders>
            <w:shd w:val="clear" w:color="auto" w:fill="auto"/>
            <w:vAlign w:val="bottom"/>
          </w:tcPr>
          <w:p w:rsidR="00B96466" w:rsidRPr="00F36DAB" w:rsidRDefault="00B96466" w:rsidP="00F36DAB">
            <w:pPr>
              <w:spacing w:before="80" w:after="80" w:line="200" w:lineRule="exact"/>
              <w:ind w:left="85" w:right="28"/>
              <w:jc w:val="right"/>
              <w:rPr>
                <w:bCs/>
                <w:i/>
                <w:sz w:val="16"/>
                <w:szCs w:val="18"/>
              </w:rPr>
            </w:pPr>
            <w:r w:rsidRPr="00F36DAB">
              <w:rPr>
                <w:bCs/>
                <w:i/>
                <w:sz w:val="16"/>
                <w:szCs w:val="18"/>
              </w:rPr>
              <w:t>Contributivas</w:t>
            </w:r>
          </w:p>
        </w:tc>
        <w:tc>
          <w:tcPr>
            <w:tcW w:w="970" w:type="dxa"/>
            <w:tcBorders>
              <w:top w:val="single" w:sz="4" w:space="0" w:color="auto"/>
              <w:bottom w:val="single" w:sz="12" w:space="0" w:color="auto"/>
            </w:tcBorders>
            <w:shd w:val="clear" w:color="auto" w:fill="auto"/>
            <w:vAlign w:val="bottom"/>
          </w:tcPr>
          <w:p w:rsidR="00B96466" w:rsidRPr="00F36DAB" w:rsidRDefault="00B96466" w:rsidP="00F36DAB">
            <w:pPr>
              <w:spacing w:before="80" w:after="80" w:line="200" w:lineRule="exact"/>
              <w:ind w:left="85" w:right="28"/>
              <w:jc w:val="right"/>
              <w:rPr>
                <w:bCs/>
                <w:i/>
                <w:sz w:val="16"/>
                <w:szCs w:val="18"/>
              </w:rPr>
            </w:pPr>
            <w:r w:rsidRPr="00F36DAB">
              <w:rPr>
                <w:bCs/>
                <w:i/>
                <w:sz w:val="16"/>
                <w:szCs w:val="18"/>
              </w:rPr>
              <w:t>No contributivas</w:t>
            </w:r>
          </w:p>
        </w:tc>
        <w:tc>
          <w:tcPr>
            <w:tcW w:w="938" w:type="dxa"/>
            <w:tcBorders>
              <w:top w:val="single" w:sz="4" w:space="0" w:color="auto"/>
              <w:bottom w:val="single" w:sz="12" w:space="0" w:color="auto"/>
              <w:right w:val="single" w:sz="24" w:space="0" w:color="FFFFFF"/>
            </w:tcBorders>
            <w:shd w:val="clear" w:color="auto" w:fill="auto"/>
            <w:vAlign w:val="bottom"/>
          </w:tcPr>
          <w:p w:rsidR="00B96466" w:rsidRPr="00F36DAB" w:rsidRDefault="00B96466" w:rsidP="00F36DAB">
            <w:pPr>
              <w:spacing w:before="80" w:after="80" w:line="200" w:lineRule="exact"/>
              <w:ind w:left="85" w:right="28"/>
              <w:jc w:val="right"/>
              <w:rPr>
                <w:bCs/>
                <w:i/>
                <w:sz w:val="16"/>
                <w:szCs w:val="18"/>
              </w:rPr>
            </w:pPr>
            <w:r w:rsidRPr="00F36DAB">
              <w:rPr>
                <w:bCs/>
                <w:i/>
                <w:sz w:val="16"/>
                <w:szCs w:val="18"/>
              </w:rPr>
              <w:t>Total</w:t>
            </w:r>
          </w:p>
        </w:tc>
        <w:tc>
          <w:tcPr>
            <w:tcW w:w="952" w:type="dxa"/>
            <w:tcBorders>
              <w:top w:val="single" w:sz="4" w:space="0" w:color="auto"/>
              <w:left w:val="single" w:sz="24" w:space="0" w:color="FFFFFF"/>
              <w:bottom w:val="single" w:sz="12" w:space="0" w:color="auto"/>
            </w:tcBorders>
            <w:shd w:val="clear" w:color="auto" w:fill="auto"/>
            <w:vAlign w:val="bottom"/>
          </w:tcPr>
          <w:p w:rsidR="00B96466" w:rsidRPr="00F36DAB" w:rsidRDefault="00B96466" w:rsidP="00F36DAB">
            <w:pPr>
              <w:spacing w:before="80" w:after="80" w:line="200" w:lineRule="exact"/>
              <w:ind w:left="85" w:right="28"/>
              <w:jc w:val="right"/>
              <w:rPr>
                <w:bCs/>
                <w:i/>
                <w:sz w:val="16"/>
                <w:szCs w:val="18"/>
              </w:rPr>
            </w:pPr>
            <w:r w:rsidRPr="00F36DAB">
              <w:rPr>
                <w:bCs/>
                <w:i/>
                <w:sz w:val="16"/>
                <w:szCs w:val="18"/>
              </w:rPr>
              <w:t>Incapacidad Temporal</w:t>
            </w:r>
          </w:p>
        </w:tc>
        <w:tc>
          <w:tcPr>
            <w:tcW w:w="1245" w:type="dxa"/>
            <w:tcBorders>
              <w:top w:val="single" w:sz="4" w:space="0" w:color="auto"/>
              <w:bottom w:val="single" w:sz="12" w:space="0" w:color="auto"/>
            </w:tcBorders>
            <w:shd w:val="clear" w:color="auto" w:fill="auto"/>
            <w:vAlign w:val="bottom"/>
          </w:tcPr>
          <w:p w:rsidR="00B96466" w:rsidRPr="00F36DAB" w:rsidRDefault="00B96466" w:rsidP="00F36DAB">
            <w:pPr>
              <w:spacing w:before="80" w:after="80" w:line="200" w:lineRule="exact"/>
              <w:ind w:left="85" w:right="28"/>
              <w:jc w:val="right"/>
              <w:rPr>
                <w:bCs/>
                <w:i/>
                <w:sz w:val="16"/>
                <w:szCs w:val="18"/>
              </w:rPr>
            </w:pPr>
            <w:r w:rsidRPr="00F36DAB">
              <w:rPr>
                <w:bCs/>
                <w:i/>
                <w:sz w:val="16"/>
                <w:szCs w:val="18"/>
              </w:rPr>
              <w:t>Maternidad, paternidad, riesgos y cuidado menores</w:t>
            </w:r>
            <w:r w:rsidR="00A445FC">
              <w:rPr>
                <w:bCs/>
                <w:i/>
                <w:sz w:val="18"/>
                <w:szCs w:val="18"/>
                <w:vertAlign w:val="superscript"/>
              </w:rPr>
              <w:t>a</w:t>
            </w:r>
            <w:r w:rsidRPr="00F36DAB">
              <w:rPr>
                <w:bCs/>
                <w:i/>
                <w:sz w:val="16"/>
                <w:szCs w:val="18"/>
              </w:rPr>
              <w:t xml:space="preserve"> </w:t>
            </w:r>
          </w:p>
        </w:tc>
        <w:tc>
          <w:tcPr>
            <w:tcW w:w="980" w:type="dxa"/>
            <w:tcBorders>
              <w:top w:val="single" w:sz="4" w:space="0" w:color="auto"/>
              <w:bottom w:val="single" w:sz="12" w:space="0" w:color="auto"/>
            </w:tcBorders>
            <w:shd w:val="clear" w:color="auto" w:fill="auto"/>
            <w:vAlign w:val="bottom"/>
          </w:tcPr>
          <w:p w:rsidR="00B96466" w:rsidRPr="00F36DAB" w:rsidRDefault="00B96466" w:rsidP="00F36DAB">
            <w:pPr>
              <w:spacing w:before="80" w:after="80" w:line="200" w:lineRule="exact"/>
              <w:ind w:left="85" w:right="28"/>
              <w:jc w:val="right"/>
              <w:rPr>
                <w:bCs/>
                <w:i/>
                <w:sz w:val="16"/>
                <w:szCs w:val="18"/>
              </w:rPr>
            </w:pPr>
            <w:r w:rsidRPr="00F36DAB">
              <w:rPr>
                <w:bCs/>
                <w:i/>
                <w:sz w:val="16"/>
                <w:szCs w:val="18"/>
              </w:rPr>
              <w:t>Otras prestaciones</w:t>
            </w:r>
          </w:p>
        </w:tc>
        <w:tc>
          <w:tcPr>
            <w:tcW w:w="1078" w:type="dxa"/>
            <w:vMerge/>
            <w:tcBorders>
              <w:top w:val="nil"/>
              <w:bottom w:val="single" w:sz="12" w:space="0" w:color="auto"/>
            </w:tcBorders>
            <w:shd w:val="clear" w:color="auto" w:fill="auto"/>
            <w:vAlign w:val="bottom"/>
          </w:tcPr>
          <w:p w:rsidR="00B96466" w:rsidRPr="0001143A" w:rsidRDefault="00B96466" w:rsidP="00F36DAB">
            <w:pPr>
              <w:spacing w:before="40" w:after="40" w:line="220" w:lineRule="exact"/>
              <w:ind w:left="85" w:right="28"/>
              <w:jc w:val="right"/>
              <w:rPr>
                <w:sz w:val="18"/>
              </w:rPr>
            </w:pPr>
          </w:p>
        </w:tc>
        <w:tc>
          <w:tcPr>
            <w:tcW w:w="987" w:type="dxa"/>
            <w:vMerge/>
            <w:tcBorders>
              <w:top w:val="nil"/>
              <w:bottom w:val="single" w:sz="12" w:space="0" w:color="auto"/>
            </w:tcBorders>
            <w:shd w:val="clear" w:color="auto" w:fill="auto"/>
            <w:vAlign w:val="bottom"/>
          </w:tcPr>
          <w:p w:rsidR="00B96466" w:rsidRPr="0001143A" w:rsidRDefault="00B96466" w:rsidP="00F36DAB">
            <w:pPr>
              <w:spacing w:before="40" w:after="40" w:line="220" w:lineRule="exact"/>
              <w:ind w:left="85" w:right="28"/>
              <w:jc w:val="right"/>
              <w:rPr>
                <w:sz w:val="18"/>
              </w:rPr>
            </w:pPr>
          </w:p>
        </w:tc>
      </w:tr>
      <w:tr w:rsidR="0001143A" w:rsidRPr="0001143A" w:rsidTr="00F36DAB">
        <w:trPr>
          <w:trHeight w:val="240"/>
        </w:trPr>
        <w:tc>
          <w:tcPr>
            <w:tcW w:w="360" w:type="dxa"/>
            <w:tcBorders>
              <w:top w:val="single" w:sz="12" w:space="0" w:color="auto"/>
            </w:tcBorders>
            <w:shd w:val="clear" w:color="auto" w:fill="auto"/>
          </w:tcPr>
          <w:p w:rsidR="00B96466" w:rsidRPr="00F36DAB" w:rsidRDefault="00B96466" w:rsidP="00F36DAB">
            <w:pPr>
              <w:spacing w:before="40" w:after="40" w:line="220" w:lineRule="exact"/>
              <w:rPr>
                <w:sz w:val="18"/>
                <w:szCs w:val="16"/>
                <w:lang w:val="es-ES_tradnl"/>
              </w:rPr>
            </w:pPr>
            <w:r w:rsidRPr="0001143A">
              <w:rPr>
                <w:sz w:val="18"/>
                <w:szCs w:val="16"/>
              </w:rPr>
              <w:t>2012</w:t>
            </w:r>
          </w:p>
        </w:tc>
        <w:tc>
          <w:tcPr>
            <w:tcW w:w="994" w:type="dxa"/>
            <w:tcBorders>
              <w:top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103.503,79</w:t>
            </w:r>
          </w:p>
        </w:tc>
        <w:tc>
          <w:tcPr>
            <w:tcW w:w="970" w:type="dxa"/>
            <w:tcBorders>
              <w:top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1.995,01</w:t>
            </w:r>
          </w:p>
        </w:tc>
        <w:tc>
          <w:tcPr>
            <w:tcW w:w="938" w:type="dxa"/>
            <w:tcBorders>
              <w:top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105.498,80</w:t>
            </w:r>
          </w:p>
        </w:tc>
        <w:tc>
          <w:tcPr>
            <w:tcW w:w="952" w:type="dxa"/>
            <w:tcBorders>
              <w:top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5.360,16</w:t>
            </w:r>
          </w:p>
        </w:tc>
        <w:tc>
          <w:tcPr>
            <w:tcW w:w="1245" w:type="dxa"/>
            <w:tcBorders>
              <w:top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2.264,05</w:t>
            </w:r>
          </w:p>
        </w:tc>
        <w:tc>
          <w:tcPr>
            <w:tcW w:w="980" w:type="dxa"/>
            <w:tcBorders>
              <w:top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399,16</w:t>
            </w:r>
          </w:p>
        </w:tc>
        <w:tc>
          <w:tcPr>
            <w:tcW w:w="1078" w:type="dxa"/>
            <w:tcBorders>
              <w:top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1.010,51</w:t>
            </w:r>
          </w:p>
        </w:tc>
        <w:tc>
          <w:tcPr>
            <w:tcW w:w="987" w:type="dxa"/>
            <w:tcBorders>
              <w:top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114.532,69</w:t>
            </w:r>
          </w:p>
        </w:tc>
      </w:tr>
      <w:tr w:rsidR="0001143A" w:rsidRPr="0001143A" w:rsidTr="00F36DAB">
        <w:trPr>
          <w:trHeight w:val="240"/>
        </w:trPr>
        <w:tc>
          <w:tcPr>
            <w:tcW w:w="360" w:type="dxa"/>
            <w:shd w:val="clear" w:color="auto" w:fill="auto"/>
          </w:tcPr>
          <w:p w:rsidR="00B96466" w:rsidRPr="00F36DAB" w:rsidRDefault="00B96466">
            <w:pPr>
              <w:spacing w:before="40" w:after="40" w:line="220" w:lineRule="exact"/>
              <w:rPr>
                <w:sz w:val="18"/>
                <w:szCs w:val="16"/>
                <w:lang w:val="es-ES_tradnl"/>
              </w:rPr>
            </w:pPr>
            <w:r w:rsidRPr="0001143A">
              <w:rPr>
                <w:sz w:val="18"/>
                <w:szCs w:val="16"/>
              </w:rPr>
              <w:t>2013</w:t>
            </w:r>
          </w:p>
        </w:tc>
        <w:tc>
          <w:tcPr>
            <w:tcW w:w="994"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108.564,30</w:t>
            </w:r>
          </w:p>
        </w:tc>
        <w:tc>
          <w:tcPr>
            <w:tcW w:w="970"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2.524,31</w:t>
            </w:r>
          </w:p>
        </w:tc>
        <w:tc>
          <w:tcPr>
            <w:tcW w:w="938"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111.088,62</w:t>
            </w:r>
          </w:p>
        </w:tc>
        <w:tc>
          <w:tcPr>
            <w:tcW w:w="952"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5.014,65</w:t>
            </w:r>
          </w:p>
        </w:tc>
        <w:tc>
          <w:tcPr>
            <w:tcW w:w="1245"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2.128,49</w:t>
            </w:r>
          </w:p>
        </w:tc>
        <w:tc>
          <w:tcPr>
            <w:tcW w:w="980"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371,07</w:t>
            </w:r>
          </w:p>
        </w:tc>
        <w:tc>
          <w:tcPr>
            <w:tcW w:w="1078"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1.377,97</w:t>
            </w:r>
          </w:p>
        </w:tc>
        <w:tc>
          <w:tcPr>
            <w:tcW w:w="987"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119.980,81</w:t>
            </w:r>
          </w:p>
        </w:tc>
      </w:tr>
      <w:tr w:rsidR="0001143A" w:rsidRPr="0001143A" w:rsidTr="00F36DAB">
        <w:trPr>
          <w:trHeight w:val="240"/>
        </w:trPr>
        <w:tc>
          <w:tcPr>
            <w:tcW w:w="360" w:type="dxa"/>
            <w:shd w:val="clear" w:color="auto" w:fill="auto"/>
          </w:tcPr>
          <w:p w:rsidR="00B96466" w:rsidRPr="00F36DAB" w:rsidRDefault="00B96466">
            <w:pPr>
              <w:spacing w:before="40" w:after="40" w:line="220" w:lineRule="exact"/>
              <w:rPr>
                <w:sz w:val="18"/>
                <w:szCs w:val="16"/>
                <w:lang w:val="es-ES_tradnl"/>
              </w:rPr>
            </w:pPr>
            <w:r w:rsidRPr="0001143A">
              <w:rPr>
                <w:sz w:val="18"/>
                <w:szCs w:val="16"/>
              </w:rPr>
              <w:t>2014</w:t>
            </w:r>
          </w:p>
        </w:tc>
        <w:tc>
          <w:tcPr>
            <w:tcW w:w="994"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112.170,40</w:t>
            </w:r>
          </w:p>
        </w:tc>
        <w:tc>
          <w:tcPr>
            <w:tcW w:w="970"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2.241,03</w:t>
            </w:r>
          </w:p>
        </w:tc>
        <w:tc>
          <w:tcPr>
            <w:tcW w:w="938"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114.411,44</w:t>
            </w:r>
          </w:p>
        </w:tc>
        <w:tc>
          <w:tcPr>
            <w:tcW w:w="952"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5.472,71</w:t>
            </w:r>
          </w:p>
        </w:tc>
        <w:tc>
          <w:tcPr>
            <w:tcW w:w="1245"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2.141,23</w:t>
            </w:r>
          </w:p>
        </w:tc>
        <w:tc>
          <w:tcPr>
            <w:tcW w:w="980"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332,73</w:t>
            </w:r>
          </w:p>
        </w:tc>
        <w:tc>
          <w:tcPr>
            <w:tcW w:w="1078"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1.764,27</w:t>
            </w:r>
          </w:p>
        </w:tc>
        <w:tc>
          <w:tcPr>
            <w:tcW w:w="987"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124.122,37</w:t>
            </w:r>
          </w:p>
        </w:tc>
      </w:tr>
      <w:tr w:rsidR="0001143A" w:rsidRPr="0001143A" w:rsidTr="00F36DAB">
        <w:trPr>
          <w:trHeight w:val="240"/>
        </w:trPr>
        <w:tc>
          <w:tcPr>
            <w:tcW w:w="360" w:type="dxa"/>
            <w:shd w:val="clear" w:color="auto" w:fill="auto"/>
          </w:tcPr>
          <w:p w:rsidR="00B96466" w:rsidRPr="00F36DAB" w:rsidRDefault="00B96466">
            <w:pPr>
              <w:spacing w:before="40" w:after="40" w:line="220" w:lineRule="exact"/>
              <w:rPr>
                <w:sz w:val="18"/>
                <w:szCs w:val="16"/>
                <w:lang w:val="es-ES_tradnl"/>
              </w:rPr>
            </w:pPr>
            <w:r w:rsidRPr="0001143A">
              <w:rPr>
                <w:sz w:val="18"/>
                <w:szCs w:val="16"/>
              </w:rPr>
              <w:t>2015</w:t>
            </w:r>
          </w:p>
        </w:tc>
        <w:tc>
          <w:tcPr>
            <w:tcW w:w="994"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115.515,50</w:t>
            </w:r>
          </w:p>
        </w:tc>
        <w:tc>
          <w:tcPr>
            <w:tcW w:w="970"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2.257,44</w:t>
            </w:r>
          </w:p>
        </w:tc>
        <w:tc>
          <w:tcPr>
            <w:tcW w:w="938"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117.772,94</w:t>
            </w:r>
          </w:p>
        </w:tc>
        <w:tc>
          <w:tcPr>
            <w:tcW w:w="952"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6.149,45</w:t>
            </w:r>
          </w:p>
        </w:tc>
        <w:tc>
          <w:tcPr>
            <w:tcW w:w="1245"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2.166,25</w:t>
            </w:r>
          </w:p>
        </w:tc>
        <w:tc>
          <w:tcPr>
            <w:tcW w:w="980"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326,56</w:t>
            </w:r>
          </w:p>
        </w:tc>
        <w:tc>
          <w:tcPr>
            <w:tcW w:w="1078"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1.481,02</w:t>
            </w:r>
          </w:p>
        </w:tc>
        <w:tc>
          <w:tcPr>
            <w:tcW w:w="987" w:type="dxa"/>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127.896,22</w:t>
            </w:r>
          </w:p>
        </w:tc>
      </w:tr>
      <w:tr w:rsidR="0001143A" w:rsidRPr="0001143A" w:rsidTr="00F36DAB">
        <w:trPr>
          <w:trHeight w:val="240"/>
        </w:trPr>
        <w:tc>
          <w:tcPr>
            <w:tcW w:w="360" w:type="dxa"/>
            <w:tcBorders>
              <w:bottom w:val="single" w:sz="12" w:space="0" w:color="auto"/>
            </w:tcBorders>
            <w:shd w:val="clear" w:color="auto" w:fill="auto"/>
          </w:tcPr>
          <w:p w:rsidR="00B96466" w:rsidRPr="00F36DAB" w:rsidRDefault="00B96466">
            <w:pPr>
              <w:spacing w:before="40" w:after="40" w:line="220" w:lineRule="exact"/>
              <w:rPr>
                <w:sz w:val="18"/>
                <w:szCs w:val="16"/>
                <w:lang w:val="es-ES_tradnl"/>
              </w:rPr>
            </w:pPr>
            <w:r w:rsidRPr="0001143A">
              <w:rPr>
                <w:sz w:val="18"/>
                <w:szCs w:val="16"/>
              </w:rPr>
              <w:t>2016</w:t>
            </w:r>
          </w:p>
        </w:tc>
        <w:tc>
          <w:tcPr>
            <w:tcW w:w="994" w:type="dxa"/>
            <w:tcBorders>
              <w:bottom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118.941,72</w:t>
            </w:r>
          </w:p>
        </w:tc>
        <w:tc>
          <w:tcPr>
            <w:tcW w:w="970" w:type="dxa"/>
            <w:tcBorders>
              <w:bottom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2.290,85</w:t>
            </w:r>
          </w:p>
        </w:tc>
        <w:tc>
          <w:tcPr>
            <w:tcW w:w="938" w:type="dxa"/>
            <w:tcBorders>
              <w:bottom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121.232,57</w:t>
            </w:r>
          </w:p>
        </w:tc>
        <w:tc>
          <w:tcPr>
            <w:tcW w:w="952" w:type="dxa"/>
            <w:tcBorders>
              <w:bottom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5.397,96</w:t>
            </w:r>
          </w:p>
        </w:tc>
        <w:tc>
          <w:tcPr>
            <w:tcW w:w="1245" w:type="dxa"/>
            <w:tcBorders>
              <w:bottom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2.203,37</w:t>
            </w:r>
          </w:p>
        </w:tc>
        <w:tc>
          <w:tcPr>
            <w:tcW w:w="980" w:type="dxa"/>
            <w:tcBorders>
              <w:bottom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348,39</w:t>
            </w:r>
          </w:p>
        </w:tc>
        <w:tc>
          <w:tcPr>
            <w:tcW w:w="1078" w:type="dxa"/>
            <w:tcBorders>
              <w:bottom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1.547,54</w:t>
            </w:r>
          </w:p>
        </w:tc>
        <w:tc>
          <w:tcPr>
            <w:tcW w:w="987" w:type="dxa"/>
            <w:tcBorders>
              <w:bottom w:val="single" w:sz="12" w:space="0" w:color="auto"/>
            </w:tcBorders>
            <w:shd w:val="clear" w:color="auto" w:fill="auto"/>
            <w:vAlign w:val="bottom"/>
          </w:tcPr>
          <w:p w:rsidR="00B96466" w:rsidRPr="00F36DAB" w:rsidRDefault="00B96466" w:rsidP="00F36DAB">
            <w:pPr>
              <w:spacing w:before="40" w:after="40" w:line="220" w:lineRule="exact"/>
              <w:ind w:left="85" w:right="28"/>
              <w:jc w:val="right"/>
              <w:rPr>
                <w:sz w:val="18"/>
                <w:szCs w:val="16"/>
                <w:lang w:val="es-ES_tradnl"/>
              </w:rPr>
            </w:pPr>
            <w:r w:rsidRPr="0001143A">
              <w:rPr>
                <w:sz w:val="18"/>
                <w:szCs w:val="16"/>
              </w:rPr>
              <w:t>130.729,82</w:t>
            </w:r>
          </w:p>
        </w:tc>
      </w:tr>
    </w:tbl>
    <w:p w:rsidR="00B96466" w:rsidRPr="00F36DAB" w:rsidRDefault="00B96466" w:rsidP="00F36DAB">
      <w:pPr>
        <w:pStyle w:val="SingleTxtG"/>
        <w:spacing w:before="120" w:after="0"/>
        <w:ind w:right="0" w:firstLine="170"/>
        <w:jc w:val="left"/>
        <w:rPr>
          <w:i/>
          <w:sz w:val="18"/>
          <w:lang w:val="es-ES_tradnl"/>
        </w:rPr>
      </w:pPr>
      <w:r w:rsidRPr="00F36DAB">
        <w:rPr>
          <w:i/>
          <w:sz w:val="18"/>
        </w:rPr>
        <w:t>Fuente:</w:t>
      </w:r>
      <w:r w:rsidRPr="00F36DAB">
        <w:rPr>
          <w:sz w:val="18"/>
        </w:rPr>
        <w:t xml:space="preserve"> Cuentas y Balances del Sistema de la Seguridad Social 2011</w:t>
      </w:r>
      <w:r w:rsidR="0001143A">
        <w:rPr>
          <w:sz w:val="18"/>
        </w:rPr>
        <w:t>-</w:t>
      </w:r>
      <w:r w:rsidRPr="00F36DAB">
        <w:rPr>
          <w:sz w:val="18"/>
        </w:rPr>
        <w:t>2015. Presupuesto 2016.</w:t>
      </w:r>
    </w:p>
    <w:p w:rsidR="00B96466" w:rsidRPr="00F36DAB" w:rsidRDefault="00A445FC" w:rsidP="00F36DAB">
      <w:pPr>
        <w:pStyle w:val="SingleTxtG"/>
        <w:spacing w:after="240"/>
        <w:ind w:right="0" w:firstLine="170"/>
        <w:jc w:val="left"/>
        <w:rPr>
          <w:sz w:val="18"/>
        </w:rPr>
      </w:pPr>
      <w:r>
        <w:rPr>
          <w:i/>
          <w:sz w:val="18"/>
          <w:vertAlign w:val="superscript"/>
        </w:rPr>
        <w:t>a</w:t>
      </w:r>
      <w:r w:rsidR="0001143A">
        <w:rPr>
          <w:sz w:val="18"/>
        </w:rPr>
        <w:t xml:space="preserve"> </w:t>
      </w:r>
      <w:r w:rsidR="00B96466" w:rsidRPr="00F36DAB">
        <w:rPr>
          <w:sz w:val="18"/>
        </w:rPr>
        <w:t xml:space="preserve"> Incluye las prestaciones por maternidad, paternidad, riesgos durante el embarazo y la lactancia natural y cuidado menores</w:t>
      </w:r>
      <w:r w:rsidR="00BB5656" w:rsidRPr="00F36DAB">
        <w:rPr>
          <w:sz w:val="18"/>
        </w:rPr>
        <w:t xml:space="preserve"> </w:t>
      </w:r>
      <w:r w:rsidR="00B96466" w:rsidRPr="00F36DAB">
        <w:rPr>
          <w:sz w:val="18"/>
        </w:rPr>
        <w:t>afectados por cáncer</w:t>
      </w:r>
      <w:r w:rsidR="0001143A">
        <w:rPr>
          <w:sz w:val="18"/>
        </w:rPr>
        <w:t>.</w:t>
      </w:r>
    </w:p>
    <w:p w:rsidR="00B96466" w:rsidRPr="00F36DAB" w:rsidRDefault="0001143A" w:rsidP="00F36DAB">
      <w:pPr>
        <w:pStyle w:val="H23G"/>
        <w:rPr>
          <w:sz w:val="16"/>
        </w:rPr>
      </w:pPr>
      <w:r>
        <w:tab/>
      </w:r>
      <w:r>
        <w:tab/>
      </w:r>
      <w:r w:rsidR="00B96466" w:rsidRPr="00B96466">
        <w:t>Evolución del gasto en pensiones contributivas por clases</w:t>
      </w:r>
      <w:r w:rsidR="00B96466">
        <w:br/>
      </w:r>
      <w:r w:rsidRPr="00F36DAB">
        <w:rPr>
          <w:b w:val="0"/>
          <w:sz w:val="16"/>
        </w:rPr>
        <w:t>(En m</w:t>
      </w:r>
      <w:r w:rsidR="00B96466" w:rsidRPr="00F36DAB">
        <w:rPr>
          <w:b w:val="0"/>
          <w:sz w:val="16"/>
        </w:rPr>
        <w:t>illones de euros</w:t>
      </w:r>
      <w:r w:rsidRPr="00F36DAB">
        <w:rPr>
          <w:b w:val="0"/>
          <w:sz w:val="16"/>
        </w:rPr>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546"/>
        <w:gridCol w:w="1137"/>
        <w:gridCol w:w="1137"/>
        <w:gridCol w:w="1139"/>
        <w:gridCol w:w="1137"/>
        <w:gridCol w:w="1136"/>
        <w:gridCol w:w="1138"/>
      </w:tblGrid>
      <w:tr w:rsidR="002C2077" w:rsidRPr="002C2077" w:rsidTr="00F36DAB">
        <w:trPr>
          <w:trHeight w:val="240"/>
          <w:tblHeader/>
        </w:trPr>
        <w:tc>
          <w:tcPr>
            <w:tcW w:w="370" w:type="pct"/>
            <w:tcBorders>
              <w:top w:val="single" w:sz="4" w:space="0" w:color="auto"/>
              <w:bottom w:val="single" w:sz="12" w:space="0" w:color="auto"/>
            </w:tcBorders>
            <w:shd w:val="clear" w:color="auto" w:fill="auto"/>
            <w:noWrap/>
            <w:vAlign w:val="bottom"/>
            <w:hideMark/>
          </w:tcPr>
          <w:p w:rsidR="00384375" w:rsidRPr="002C2077" w:rsidRDefault="00CB2D68">
            <w:pPr>
              <w:spacing w:before="80" w:after="80" w:line="200" w:lineRule="exact"/>
              <w:rPr>
                <w:i/>
                <w:sz w:val="16"/>
              </w:rPr>
            </w:pPr>
            <w:r w:rsidRPr="002C2077">
              <w:rPr>
                <w:i/>
                <w:sz w:val="16"/>
              </w:rPr>
              <w:t>Años</w:t>
            </w:r>
          </w:p>
        </w:tc>
        <w:tc>
          <w:tcPr>
            <w:tcW w:w="771" w:type="pct"/>
            <w:tcBorders>
              <w:top w:val="single" w:sz="4" w:space="0" w:color="auto"/>
              <w:bottom w:val="single" w:sz="12" w:space="0" w:color="auto"/>
            </w:tcBorders>
            <w:shd w:val="clear" w:color="auto" w:fill="auto"/>
            <w:noWrap/>
            <w:vAlign w:val="bottom"/>
            <w:hideMark/>
          </w:tcPr>
          <w:p w:rsidR="00384375" w:rsidRPr="002C2077" w:rsidRDefault="00CB2D68" w:rsidP="00F36DAB">
            <w:pPr>
              <w:spacing w:before="80" w:after="80" w:line="200" w:lineRule="exact"/>
              <w:ind w:left="85" w:right="28"/>
              <w:jc w:val="right"/>
              <w:rPr>
                <w:i/>
                <w:sz w:val="16"/>
              </w:rPr>
            </w:pPr>
            <w:r w:rsidRPr="002C2077">
              <w:rPr>
                <w:i/>
                <w:sz w:val="16"/>
              </w:rPr>
              <w:t>Incapacidad</w:t>
            </w:r>
          </w:p>
        </w:tc>
        <w:tc>
          <w:tcPr>
            <w:tcW w:w="771" w:type="pct"/>
            <w:tcBorders>
              <w:top w:val="single" w:sz="4" w:space="0" w:color="auto"/>
              <w:bottom w:val="single" w:sz="12" w:space="0" w:color="auto"/>
            </w:tcBorders>
            <w:shd w:val="clear" w:color="auto" w:fill="auto"/>
            <w:noWrap/>
            <w:vAlign w:val="bottom"/>
            <w:hideMark/>
          </w:tcPr>
          <w:p w:rsidR="00384375" w:rsidRPr="002C2077" w:rsidRDefault="00CB2D68" w:rsidP="00F36DAB">
            <w:pPr>
              <w:spacing w:before="80" w:after="80" w:line="200" w:lineRule="exact"/>
              <w:ind w:left="85" w:right="28"/>
              <w:jc w:val="right"/>
              <w:rPr>
                <w:i/>
                <w:sz w:val="16"/>
              </w:rPr>
            </w:pPr>
            <w:r w:rsidRPr="002C2077">
              <w:rPr>
                <w:i/>
                <w:sz w:val="16"/>
              </w:rPr>
              <w:t>Jubilación</w:t>
            </w:r>
          </w:p>
        </w:tc>
        <w:tc>
          <w:tcPr>
            <w:tcW w:w="772" w:type="pct"/>
            <w:tcBorders>
              <w:top w:val="single" w:sz="4" w:space="0" w:color="auto"/>
              <w:bottom w:val="single" w:sz="12" w:space="0" w:color="auto"/>
            </w:tcBorders>
            <w:shd w:val="clear" w:color="auto" w:fill="auto"/>
            <w:noWrap/>
            <w:vAlign w:val="bottom"/>
            <w:hideMark/>
          </w:tcPr>
          <w:p w:rsidR="00384375" w:rsidRPr="002C2077" w:rsidRDefault="00CB2D68" w:rsidP="00F36DAB">
            <w:pPr>
              <w:spacing w:before="80" w:after="80" w:line="200" w:lineRule="exact"/>
              <w:ind w:left="85" w:right="28"/>
              <w:jc w:val="right"/>
              <w:rPr>
                <w:i/>
                <w:sz w:val="16"/>
              </w:rPr>
            </w:pPr>
            <w:r w:rsidRPr="002C2077">
              <w:rPr>
                <w:i/>
                <w:sz w:val="16"/>
              </w:rPr>
              <w:t>Viudedad</w:t>
            </w:r>
          </w:p>
        </w:tc>
        <w:tc>
          <w:tcPr>
            <w:tcW w:w="771" w:type="pct"/>
            <w:tcBorders>
              <w:top w:val="single" w:sz="4" w:space="0" w:color="auto"/>
              <w:bottom w:val="single" w:sz="12" w:space="0" w:color="auto"/>
            </w:tcBorders>
            <w:shd w:val="clear" w:color="auto" w:fill="auto"/>
            <w:noWrap/>
            <w:vAlign w:val="bottom"/>
            <w:hideMark/>
          </w:tcPr>
          <w:p w:rsidR="00384375" w:rsidRPr="002C2077" w:rsidRDefault="00CB2D68" w:rsidP="00F36DAB">
            <w:pPr>
              <w:spacing w:before="80" w:after="80" w:line="200" w:lineRule="exact"/>
              <w:ind w:left="85" w:right="28"/>
              <w:jc w:val="right"/>
              <w:rPr>
                <w:i/>
                <w:sz w:val="16"/>
              </w:rPr>
            </w:pPr>
            <w:r w:rsidRPr="002C2077">
              <w:rPr>
                <w:i/>
                <w:sz w:val="16"/>
              </w:rPr>
              <w:t>Orfandad</w:t>
            </w:r>
          </w:p>
        </w:tc>
        <w:tc>
          <w:tcPr>
            <w:tcW w:w="771" w:type="pct"/>
            <w:tcBorders>
              <w:top w:val="single" w:sz="4" w:space="0" w:color="auto"/>
              <w:bottom w:val="single" w:sz="12" w:space="0" w:color="auto"/>
            </w:tcBorders>
            <w:shd w:val="clear" w:color="auto" w:fill="auto"/>
            <w:noWrap/>
            <w:vAlign w:val="bottom"/>
            <w:hideMark/>
          </w:tcPr>
          <w:p w:rsidR="00384375" w:rsidRPr="002C2077" w:rsidRDefault="00CB2D68" w:rsidP="00F36DAB">
            <w:pPr>
              <w:spacing w:before="80" w:after="80" w:line="200" w:lineRule="exact"/>
              <w:ind w:left="85" w:right="28"/>
              <w:jc w:val="right"/>
              <w:rPr>
                <w:i/>
                <w:sz w:val="16"/>
              </w:rPr>
            </w:pPr>
            <w:r w:rsidRPr="002C2077">
              <w:rPr>
                <w:i/>
                <w:sz w:val="16"/>
              </w:rPr>
              <w:t>Familiar</w:t>
            </w:r>
          </w:p>
        </w:tc>
        <w:tc>
          <w:tcPr>
            <w:tcW w:w="772" w:type="pct"/>
            <w:tcBorders>
              <w:top w:val="single" w:sz="4" w:space="0" w:color="auto"/>
              <w:bottom w:val="single" w:sz="12" w:space="0" w:color="auto"/>
            </w:tcBorders>
            <w:shd w:val="clear" w:color="auto" w:fill="auto"/>
            <w:noWrap/>
            <w:vAlign w:val="bottom"/>
            <w:hideMark/>
          </w:tcPr>
          <w:p w:rsidR="00384375" w:rsidRPr="002C2077" w:rsidRDefault="00CB2D68" w:rsidP="00F36DAB">
            <w:pPr>
              <w:spacing w:before="80" w:after="80" w:line="200" w:lineRule="exact"/>
              <w:ind w:left="85" w:right="28"/>
              <w:jc w:val="right"/>
              <w:rPr>
                <w:i/>
                <w:sz w:val="16"/>
              </w:rPr>
            </w:pPr>
            <w:r w:rsidRPr="002C2077">
              <w:rPr>
                <w:i/>
                <w:sz w:val="16"/>
              </w:rPr>
              <w:t>Total</w:t>
            </w:r>
          </w:p>
        </w:tc>
      </w:tr>
      <w:tr w:rsidR="002C2077" w:rsidRPr="002C2077" w:rsidTr="002C2077">
        <w:trPr>
          <w:trHeight w:val="240"/>
        </w:trPr>
        <w:tc>
          <w:tcPr>
            <w:tcW w:w="370" w:type="pct"/>
            <w:tcBorders>
              <w:top w:val="single" w:sz="12" w:space="0" w:color="auto"/>
            </w:tcBorders>
            <w:shd w:val="clear" w:color="auto" w:fill="auto"/>
            <w:noWrap/>
            <w:hideMark/>
          </w:tcPr>
          <w:p w:rsidR="00384375" w:rsidRPr="002C2077" w:rsidRDefault="00384375">
            <w:pPr>
              <w:spacing w:before="40" w:after="40" w:line="220" w:lineRule="exact"/>
              <w:rPr>
                <w:sz w:val="18"/>
              </w:rPr>
            </w:pPr>
            <w:r w:rsidRPr="002C2077">
              <w:rPr>
                <w:sz w:val="18"/>
              </w:rPr>
              <w:t>2012</w:t>
            </w:r>
          </w:p>
        </w:tc>
        <w:tc>
          <w:tcPr>
            <w:tcW w:w="771" w:type="pct"/>
            <w:tcBorders>
              <w:top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11.732,03</w:t>
            </w:r>
          </w:p>
        </w:tc>
        <w:tc>
          <w:tcPr>
            <w:tcW w:w="771" w:type="pct"/>
            <w:tcBorders>
              <w:top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70.528,50</w:t>
            </w:r>
          </w:p>
        </w:tc>
        <w:tc>
          <w:tcPr>
            <w:tcW w:w="772" w:type="pct"/>
            <w:tcBorders>
              <w:top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19.516,86</w:t>
            </w:r>
          </w:p>
        </w:tc>
        <w:tc>
          <w:tcPr>
            <w:tcW w:w="771" w:type="pct"/>
            <w:tcBorders>
              <w:top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1.464,92</w:t>
            </w:r>
          </w:p>
        </w:tc>
        <w:tc>
          <w:tcPr>
            <w:tcW w:w="771" w:type="pct"/>
            <w:tcBorders>
              <w:top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261,48</w:t>
            </w:r>
          </w:p>
        </w:tc>
        <w:tc>
          <w:tcPr>
            <w:tcW w:w="772" w:type="pct"/>
            <w:tcBorders>
              <w:top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103.503,79</w:t>
            </w:r>
          </w:p>
        </w:tc>
      </w:tr>
      <w:tr w:rsidR="002C2077" w:rsidRPr="002C2077" w:rsidTr="00F36DAB">
        <w:trPr>
          <w:trHeight w:val="240"/>
        </w:trPr>
        <w:tc>
          <w:tcPr>
            <w:tcW w:w="370" w:type="pct"/>
            <w:shd w:val="clear" w:color="auto" w:fill="auto"/>
            <w:noWrap/>
            <w:hideMark/>
          </w:tcPr>
          <w:p w:rsidR="00384375" w:rsidRPr="002C2077" w:rsidRDefault="00384375">
            <w:pPr>
              <w:spacing w:before="40" w:after="40" w:line="220" w:lineRule="exact"/>
              <w:rPr>
                <w:sz w:val="18"/>
              </w:rPr>
            </w:pPr>
            <w:r w:rsidRPr="002C2077">
              <w:rPr>
                <w:sz w:val="18"/>
              </w:rPr>
              <w:t>2013</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11.905,33</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74.663,99</w:t>
            </w:r>
          </w:p>
        </w:tc>
        <w:tc>
          <w:tcPr>
            <w:tcW w:w="772"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20.144,84</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1.585,42</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264,72</w:t>
            </w:r>
          </w:p>
        </w:tc>
        <w:tc>
          <w:tcPr>
            <w:tcW w:w="772"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108.564,30</w:t>
            </w:r>
          </w:p>
        </w:tc>
      </w:tr>
      <w:tr w:rsidR="002C2077" w:rsidRPr="002C2077" w:rsidTr="00F36DAB">
        <w:trPr>
          <w:trHeight w:val="240"/>
        </w:trPr>
        <w:tc>
          <w:tcPr>
            <w:tcW w:w="370" w:type="pct"/>
            <w:shd w:val="clear" w:color="auto" w:fill="auto"/>
            <w:noWrap/>
            <w:hideMark/>
          </w:tcPr>
          <w:p w:rsidR="00384375" w:rsidRPr="002C2077" w:rsidRDefault="00384375">
            <w:pPr>
              <w:spacing w:before="40" w:after="40" w:line="220" w:lineRule="exact"/>
              <w:rPr>
                <w:sz w:val="18"/>
              </w:rPr>
            </w:pPr>
            <w:r w:rsidRPr="002C2077">
              <w:rPr>
                <w:sz w:val="18"/>
              </w:rPr>
              <w:t>2014</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11.958,24</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77.767,05</w:t>
            </w:r>
          </w:p>
        </w:tc>
        <w:tc>
          <w:tcPr>
            <w:tcW w:w="772"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20.483,51</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1.687,50</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274,10</w:t>
            </w:r>
          </w:p>
        </w:tc>
        <w:tc>
          <w:tcPr>
            <w:tcW w:w="772"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112.170,40</w:t>
            </w:r>
          </w:p>
        </w:tc>
      </w:tr>
      <w:tr w:rsidR="002C2077" w:rsidRPr="002C2077" w:rsidTr="00F36DAB">
        <w:trPr>
          <w:trHeight w:val="240"/>
        </w:trPr>
        <w:tc>
          <w:tcPr>
            <w:tcW w:w="370" w:type="pct"/>
            <w:shd w:val="clear" w:color="auto" w:fill="auto"/>
            <w:noWrap/>
            <w:hideMark/>
          </w:tcPr>
          <w:p w:rsidR="00384375" w:rsidRPr="002C2077" w:rsidRDefault="00384375">
            <w:pPr>
              <w:spacing w:before="40" w:after="40" w:line="220" w:lineRule="exact"/>
              <w:rPr>
                <w:sz w:val="18"/>
              </w:rPr>
            </w:pPr>
            <w:r w:rsidRPr="002C2077">
              <w:rPr>
                <w:sz w:val="18"/>
              </w:rPr>
              <w:t>2015</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12.099,41</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80.613,94</w:t>
            </w:r>
          </w:p>
        </w:tc>
        <w:tc>
          <w:tcPr>
            <w:tcW w:w="772"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20.754,54</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1.763,23</w:t>
            </w:r>
          </w:p>
        </w:tc>
        <w:tc>
          <w:tcPr>
            <w:tcW w:w="771"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284,38</w:t>
            </w:r>
          </w:p>
        </w:tc>
        <w:tc>
          <w:tcPr>
            <w:tcW w:w="772" w:type="pct"/>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115.515,50</w:t>
            </w:r>
          </w:p>
        </w:tc>
      </w:tr>
      <w:tr w:rsidR="002C2077" w:rsidRPr="002C2077" w:rsidTr="002C2077">
        <w:trPr>
          <w:trHeight w:val="240"/>
        </w:trPr>
        <w:tc>
          <w:tcPr>
            <w:tcW w:w="370" w:type="pct"/>
            <w:tcBorders>
              <w:bottom w:val="single" w:sz="12" w:space="0" w:color="auto"/>
            </w:tcBorders>
            <w:shd w:val="clear" w:color="auto" w:fill="auto"/>
            <w:noWrap/>
            <w:hideMark/>
          </w:tcPr>
          <w:p w:rsidR="00384375" w:rsidRPr="002C2077" w:rsidRDefault="00384375">
            <w:pPr>
              <w:spacing w:before="40" w:after="40" w:line="220" w:lineRule="exact"/>
              <w:rPr>
                <w:sz w:val="18"/>
              </w:rPr>
            </w:pPr>
            <w:r w:rsidRPr="002C2077">
              <w:rPr>
                <w:sz w:val="18"/>
              </w:rPr>
              <w:t>2016</w:t>
            </w:r>
          </w:p>
        </w:tc>
        <w:tc>
          <w:tcPr>
            <w:tcW w:w="771" w:type="pct"/>
            <w:tcBorders>
              <w:bottom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12.235,45</w:t>
            </w:r>
          </w:p>
        </w:tc>
        <w:tc>
          <w:tcPr>
            <w:tcW w:w="771" w:type="pct"/>
            <w:tcBorders>
              <w:bottom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83.561,51</w:t>
            </w:r>
          </w:p>
        </w:tc>
        <w:tc>
          <w:tcPr>
            <w:tcW w:w="772" w:type="pct"/>
            <w:tcBorders>
              <w:bottom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21.040,87</w:t>
            </w:r>
          </w:p>
        </w:tc>
        <w:tc>
          <w:tcPr>
            <w:tcW w:w="771" w:type="pct"/>
            <w:tcBorders>
              <w:bottom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1.810,73</w:t>
            </w:r>
          </w:p>
        </w:tc>
        <w:tc>
          <w:tcPr>
            <w:tcW w:w="771" w:type="pct"/>
            <w:tcBorders>
              <w:bottom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293,16</w:t>
            </w:r>
          </w:p>
        </w:tc>
        <w:tc>
          <w:tcPr>
            <w:tcW w:w="772" w:type="pct"/>
            <w:tcBorders>
              <w:bottom w:val="single" w:sz="12" w:space="0" w:color="auto"/>
            </w:tcBorders>
            <w:shd w:val="clear" w:color="auto" w:fill="auto"/>
            <w:noWrap/>
            <w:vAlign w:val="bottom"/>
            <w:hideMark/>
          </w:tcPr>
          <w:p w:rsidR="00384375" w:rsidRPr="002C2077" w:rsidRDefault="00384375" w:rsidP="00F36DAB">
            <w:pPr>
              <w:spacing w:before="40" w:after="40" w:line="220" w:lineRule="exact"/>
              <w:ind w:left="85" w:right="28"/>
              <w:jc w:val="right"/>
              <w:rPr>
                <w:sz w:val="18"/>
              </w:rPr>
            </w:pPr>
            <w:r w:rsidRPr="002C2077">
              <w:rPr>
                <w:sz w:val="18"/>
              </w:rPr>
              <w:t>118.941,72</w:t>
            </w:r>
          </w:p>
        </w:tc>
      </w:tr>
    </w:tbl>
    <w:p w:rsidR="00B96466" w:rsidRPr="00F36DAB" w:rsidRDefault="00B96466" w:rsidP="00F36DAB">
      <w:pPr>
        <w:pStyle w:val="SingleTxtG"/>
        <w:spacing w:before="120" w:after="240"/>
        <w:ind w:right="0" w:firstLine="170"/>
        <w:jc w:val="left"/>
        <w:rPr>
          <w:sz w:val="18"/>
        </w:rPr>
      </w:pPr>
      <w:r w:rsidRPr="00F36DAB">
        <w:rPr>
          <w:i/>
          <w:sz w:val="18"/>
        </w:rPr>
        <w:t>Fuente:</w:t>
      </w:r>
      <w:r w:rsidRPr="00B96466">
        <w:rPr>
          <w:sz w:val="18"/>
        </w:rPr>
        <w:t xml:space="preserve"> Cuentas y Balances del Sistema de la </w:t>
      </w:r>
      <w:r w:rsidRPr="009D3089">
        <w:rPr>
          <w:sz w:val="18"/>
        </w:rPr>
        <w:t xml:space="preserve">Seguridad Social </w:t>
      </w:r>
      <w:r w:rsidRPr="00F36DAB">
        <w:rPr>
          <w:sz w:val="18"/>
        </w:rPr>
        <w:t>2011-2015. Presupuesto 2016133.</w:t>
      </w:r>
    </w:p>
    <w:p w:rsidR="00384375" w:rsidRPr="00F36DAB" w:rsidRDefault="00B96466" w:rsidP="00F36DAB">
      <w:pPr>
        <w:pStyle w:val="SingleTxtG"/>
      </w:pPr>
      <w:r w:rsidRPr="009D3089">
        <w:t>133.</w:t>
      </w:r>
      <w:r w:rsidRPr="009D3089">
        <w:tab/>
      </w:r>
      <w:r w:rsidR="00384375" w:rsidRPr="00F36DAB">
        <w:t>En relación con el Producto Interior Bruto, la distribución porcentual de las prestaciones económicas con respecto al total, y de las pensiones contributivas por clases son los siguientes</w:t>
      </w:r>
      <w:r w:rsidR="00DE42F3">
        <w:t>.</w:t>
      </w:r>
    </w:p>
    <w:p w:rsidR="002045BD" w:rsidRPr="002045BD" w:rsidRDefault="002C2077" w:rsidP="00F36DAB">
      <w:pPr>
        <w:pStyle w:val="H23G"/>
      </w:pPr>
      <w:r>
        <w:lastRenderedPageBreak/>
        <w:tab/>
      </w:r>
      <w:r>
        <w:tab/>
      </w:r>
      <w:r w:rsidR="002045BD">
        <w:t>P</w:t>
      </w:r>
      <w:r w:rsidR="002045BD" w:rsidRPr="002045BD">
        <w:t>orcentaje del gasto en prestaciones económ</w:t>
      </w:r>
      <w:r w:rsidR="002045BD">
        <w:t>icas respecto del PIB</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60"/>
        <w:gridCol w:w="1124"/>
        <w:gridCol w:w="1078"/>
        <w:gridCol w:w="742"/>
        <w:gridCol w:w="952"/>
        <w:gridCol w:w="1511"/>
        <w:gridCol w:w="994"/>
        <w:gridCol w:w="1120"/>
        <w:gridCol w:w="623"/>
      </w:tblGrid>
      <w:tr w:rsidR="005F316A" w:rsidRPr="005F316A" w:rsidTr="00F36DAB">
        <w:trPr>
          <w:trHeight w:val="240"/>
          <w:tblHeader/>
        </w:trPr>
        <w:tc>
          <w:tcPr>
            <w:tcW w:w="360" w:type="dxa"/>
            <w:vMerge w:val="restart"/>
            <w:tcBorders>
              <w:top w:val="single" w:sz="4" w:space="0" w:color="auto"/>
              <w:bottom w:val="single" w:sz="12" w:space="0" w:color="auto"/>
            </w:tcBorders>
            <w:shd w:val="clear" w:color="auto" w:fill="auto"/>
            <w:vAlign w:val="bottom"/>
          </w:tcPr>
          <w:p w:rsidR="002045BD" w:rsidRPr="005F316A" w:rsidRDefault="002045BD" w:rsidP="00F36DAB">
            <w:pPr>
              <w:spacing w:before="80" w:after="80" w:line="200" w:lineRule="exact"/>
              <w:rPr>
                <w:i/>
                <w:sz w:val="16"/>
              </w:rPr>
            </w:pPr>
            <w:r w:rsidRPr="00F36DAB">
              <w:rPr>
                <w:bCs/>
                <w:i/>
                <w:sz w:val="16"/>
              </w:rPr>
              <w:t>A</w:t>
            </w:r>
            <w:r w:rsidR="005F316A" w:rsidRPr="005F316A">
              <w:rPr>
                <w:bCs/>
                <w:i/>
                <w:sz w:val="16"/>
              </w:rPr>
              <w:t>ño</w:t>
            </w:r>
          </w:p>
        </w:tc>
        <w:tc>
          <w:tcPr>
            <w:tcW w:w="2944" w:type="dxa"/>
            <w:gridSpan w:val="3"/>
            <w:tcBorders>
              <w:top w:val="single" w:sz="4" w:space="0" w:color="auto"/>
              <w:bottom w:val="single" w:sz="4" w:space="0" w:color="auto"/>
              <w:right w:val="single" w:sz="24" w:space="0" w:color="FFFFFF"/>
            </w:tcBorders>
            <w:shd w:val="clear" w:color="auto" w:fill="auto"/>
            <w:vAlign w:val="bottom"/>
          </w:tcPr>
          <w:p w:rsidR="002045BD" w:rsidRPr="005F316A" w:rsidRDefault="002045BD" w:rsidP="00F36DAB">
            <w:pPr>
              <w:spacing w:before="80" w:after="80" w:line="200" w:lineRule="exact"/>
              <w:ind w:left="85" w:right="28"/>
              <w:jc w:val="center"/>
              <w:rPr>
                <w:i/>
                <w:sz w:val="16"/>
              </w:rPr>
            </w:pPr>
            <w:r w:rsidRPr="005F316A">
              <w:rPr>
                <w:bCs/>
                <w:i/>
                <w:sz w:val="16"/>
              </w:rPr>
              <w:t>Pensiones</w:t>
            </w:r>
          </w:p>
        </w:tc>
        <w:tc>
          <w:tcPr>
            <w:tcW w:w="3457" w:type="dxa"/>
            <w:gridSpan w:val="3"/>
            <w:tcBorders>
              <w:top w:val="single" w:sz="4" w:space="0" w:color="auto"/>
              <w:left w:val="single" w:sz="24" w:space="0" w:color="FFFFFF"/>
              <w:bottom w:val="single" w:sz="4" w:space="0" w:color="auto"/>
            </w:tcBorders>
            <w:shd w:val="clear" w:color="auto" w:fill="auto"/>
            <w:vAlign w:val="bottom"/>
          </w:tcPr>
          <w:p w:rsidR="002045BD" w:rsidRPr="005F316A" w:rsidRDefault="002045BD" w:rsidP="00F36DAB">
            <w:pPr>
              <w:spacing w:before="80" w:after="80" w:line="200" w:lineRule="exact"/>
              <w:ind w:left="85" w:right="28"/>
              <w:jc w:val="center"/>
              <w:rPr>
                <w:i/>
                <w:sz w:val="16"/>
              </w:rPr>
            </w:pPr>
            <w:r w:rsidRPr="00F36DAB">
              <w:rPr>
                <w:i/>
                <w:sz w:val="16"/>
              </w:rPr>
              <w:t>Incapacidad Temporal y otras prestaciones</w:t>
            </w:r>
          </w:p>
        </w:tc>
        <w:tc>
          <w:tcPr>
            <w:tcW w:w="1120" w:type="dxa"/>
            <w:vMerge w:val="restart"/>
            <w:tcBorders>
              <w:top w:val="single" w:sz="4" w:space="0" w:color="auto"/>
              <w:bottom w:val="single" w:sz="12" w:space="0" w:color="auto"/>
            </w:tcBorders>
            <w:shd w:val="clear" w:color="auto" w:fill="auto"/>
            <w:vAlign w:val="bottom"/>
          </w:tcPr>
          <w:p w:rsidR="002045BD" w:rsidRPr="005F316A" w:rsidRDefault="002045BD" w:rsidP="00F36DAB">
            <w:pPr>
              <w:spacing w:before="80" w:after="80" w:line="200" w:lineRule="exact"/>
              <w:ind w:left="85" w:right="28"/>
              <w:jc w:val="right"/>
              <w:rPr>
                <w:bCs/>
                <w:i/>
                <w:sz w:val="16"/>
              </w:rPr>
            </w:pPr>
            <w:r w:rsidRPr="005F316A">
              <w:rPr>
                <w:bCs/>
                <w:i/>
                <w:sz w:val="16"/>
                <w:szCs w:val="18"/>
              </w:rPr>
              <w:t>Prestación familiar y maternidad no contributivas</w:t>
            </w:r>
          </w:p>
        </w:tc>
        <w:tc>
          <w:tcPr>
            <w:tcW w:w="623" w:type="dxa"/>
            <w:vMerge w:val="restart"/>
            <w:tcBorders>
              <w:top w:val="single" w:sz="4" w:space="0" w:color="auto"/>
              <w:bottom w:val="single" w:sz="12" w:space="0" w:color="auto"/>
            </w:tcBorders>
            <w:shd w:val="clear" w:color="auto" w:fill="auto"/>
            <w:vAlign w:val="bottom"/>
          </w:tcPr>
          <w:p w:rsidR="002045BD" w:rsidRPr="005F316A" w:rsidRDefault="002045BD" w:rsidP="00F36DAB">
            <w:pPr>
              <w:spacing w:before="80" w:after="80" w:line="200" w:lineRule="exact"/>
              <w:ind w:left="85" w:right="28"/>
              <w:jc w:val="right"/>
              <w:rPr>
                <w:i/>
                <w:sz w:val="16"/>
              </w:rPr>
            </w:pPr>
            <w:r w:rsidRPr="005F316A">
              <w:rPr>
                <w:bCs/>
                <w:i/>
                <w:sz w:val="16"/>
                <w:szCs w:val="18"/>
              </w:rPr>
              <w:t>T</w:t>
            </w:r>
            <w:r w:rsidR="005F316A" w:rsidRPr="005F316A">
              <w:rPr>
                <w:bCs/>
                <w:i/>
                <w:sz w:val="16"/>
                <w:szCs w:val="18"/>
              </w:rPr>
              <w:t>otal</w:t>
            </w:r>
          </w:p>
        </w:tc>
      </w:tr>
      <w:tr w:rsidR="000E06B7" w:rsidRPr="005F316A" w:rsidTr="00F36DAB">
        <w:trPr>
          <w:trHeight w:val="240"/>
          <w:tblHeader/>
        </w:trPr>
        <w:tc>
          <w:tcPr>
            <w:tcW w:w="360" w:type="dxa"/>
            <w:vMerge/>
            <w:tcBorders>
              <w:top w:val="single" w:sz="12" w:space="0" w:color="auto"/>
              <w:bottom w:val="single" w:sz="12" w:space="0" w:color="auto"/>
            </w:tcBorders>
            <w:shd w:val="clear" w:color="auto" w:fill="auto"/>
            <w:vAlign w:val="bottom"/>
          </w:tcPr>
          <w:p w:rsidR="002045BD" w:rsidRPr="005F316A" w:rsidRDefault="002045BD">
            <w:pPr>
              <w:spacing w:before="40" w:after="40" w:line="220" w:lineRule="exact"/>
              <w:rPr>
                <w:sz w:val="18"/>
              </w:rPr>
            </w:pPr>
          </w:p>
        </w:tc>
        <w:tc>
          <w:tcPr>
            <w:tcW w:w="1124" w:type="dxa"/>
            <w:tcBorders>
              <w:top w:val="single" w:sz="4" w:space="0" w:color="auto"/>
              <w:bottom w:val="single" w:sz="12" w:space="0" w:color="auto"/>
            </w:tcBorders>
            <w:shd w:val="clear" w:color="auto" w:fill="auto"/>
            <w:vAlign w:val="bottom"/>
          </w:tcPr>
          <w:p w:rsidR="002045BD" w:rsidRPr="00F36DAB" w:rsidRDefault="002045BD" w:rsidP="00F36DAB">
            <w:pPr>
              <w:spacing w:before="80" w:after="80" w:line="200" w:lineRule="exact"/>
              <w:ind w:left="85" w:right="28"/>
              <w:jc w:val="right"/>
              <w:rPr>
                <w:bCs/>
                <w:i/>
                <w:sz w:val="16"/>
              </w:rPr>
            </w:pPr>
            <w:r w:rsidRPr="00F36DAB">
              <w:rPr>
                <w:bCs/>
                <w:i/>
                <w:sz w:val="16"/>
              </w:rPr>
              <w:t>Contributivas</w:t>
            </w:r>
          </w:p>
        </w:tc>
        <w:tc>
          <w:tcPr>
            <w:tcW w:w="1078" w:type="dxa"/>
            <w:tcBorders>
              <w:top w:val="single" w:sz="4" w:space="0" w:color="auto"/>
              <w:bottom w:val="single" w:sz="12" w:space="0" w:color="auto"/>
            </w:tcBorders>
            <w:shd w:val="clear" w:color="auto" w:fill="auto"/>
            <w:vAlign w:val="bottom"/>
          </w:tcPr>
          <w:p w:rsidR="002045BD" w:rsidRPr="00F36DAB" w:rsidRDefault="002045BD" w:rsidP="00F36DAB">
            <w:pPr>
              <w:spacing w:before="80" w:after="80" w:line="200" w:lineRule="exact"/>
              <w:ind w:left="85" w:right="28"/>
              <w:jc w:val="right"/>
              <w:rPr>
                <w:bCs/>
                <w:i/>
                <w:sz w:val="16"/>
              </w:rPr>
            </w:pPr>
            <w:r w:rsidRPr="00F36DAB">
              <w:rPr>
                <w:bCs/>
                <w:i/>
                <w:sz w:val="16"/>
              </w:rPr>
              <w:t>No contributivas</w:t>
            </w:r>
          </w:p>
        </w:tc>
        <w:tc>
          <w:tcPr>
            <w:tcW w:w="742" w:type="dxa"/>
            <w:tcBorders>
              <w:top w:val="single" w:sz="4" w:space="0" w:color="auto"/>
              <w:bottom w:val="single" w:sz="12" w:space="0" w:color="auto"/>
              <w:right w:val="single" w:sz="24" w:space="0" w:color="FFFFFF"/>
            </w:tcBorders>
            <w:shd w:val="clear" w:color="auto" w:fill="auto"/>
            <w:vAlign w:val="bottom"/>
          </w:tcPr>
          <w:p w:rsidR="002045BD" w:rsidRPr="00F36DAB" w:rsidRDefault="002045BD" w:rsidP="00F36DAB">
            <w:pPr>
              <w:spacing w:before="80" w:after="80" w:line="200" w:lineRule="exact"/>
              <w:ind w:left="85" w:right="28"/>
              <w:jc w:val="right"/>
              <w:rPr>
                <w:bCs/>
                <w:i/>
                <w:sz w:val="16"/>
              </w:rPr>
            </w:pPr>
            <w:r w:rsidRPr="00F36DAB">
              <w:rPr>
                <w:bCs/>
                <w:i/>
                <w:sz w:val="16"/>
              </w:rPr>
              <w:t>Total</w:t>
            </w:r>
          </w:p>
        </w:tc>
        <w:tc>
          <w:tcPr>
            <w:tcW w:w="952" w:type="dxa"/>
            <w:tcBorders>
              <w:top w:val="single" w:sz="4" w:space="0" w:color="auto"/>
              <w:left w:val="single" w:sz="24" w:space="0" w:color="FFFFFF"/>
              <w:bottom w:val="single" w:sz="12" w:space="0" w:color="auto"/>
            </w:tcBorders>
            <w:shd w:val="clear" w:color="auto" w:fill="auto"/>
            <w:vAlign w:val="bottom"/>
          </w:tcPr>
          <w:p w:rsidR="002045BD" w:rsidRPr="00F36DAB" w:rsidRDefault="002045BD" w:rsidP="00F36DAB">
            <w:pPr>
              <w:spacing w:before="80" w:after="80" w:line="200" w:lineRule="exact"/>
              <w:ind w:left="85" w:right="28"/>
              <w:jc w:val="right"/>
              <w:rPr>
                <w:bCs/>
                <w:i/>
                <w:sz w:val="16"/>
              </w:rPr>
            </w:pPr>
            <w:r w:rsidRPr="00F36DAB">
              <w:rPr>
                <w:bCs/>
                <w:i/>
                <w:sz w:val="16"/>
              </w:rPr>
              <w:t>Incapacidad Temporal</w:t>
            </w:r>
          </w:p>
        </w:tc>
        <w:tc>
          <w:tcPr>
            <w:tcW w:w="1511" w:type="dxa"/>
            <w:tcBorders>
              <w:top w:val="single" w:sz="4" w:space="0" w:color="auto"/>
              <w:bottom w:val="single" w:sz="12" w:space="0" w:color="auto"/>
            </w:tcBorders>
            <w:shd w:val="clear" w:color="auto" w:fill="auto"/>
            <w:vAlign w:val="bottom"/>
          </w:tcPr>
          <w:p w:rsidR="002045BD" w:rsidRPr="00F36DAB" w:rsidRDefault="002045BD" w:rsidP="00F36DAB">
            <w:pPr>
              <w:spacing w:before="80" w:after="80" w:line="200" w:lineRule="exact"/>
              <w:ind w:left="85" w:right="28"/>
              <w:jc w:val="right"/>
              <w:rPr>
                <w:bCs/>
                <w:i/>
                <w:sz w:val="16"/>
              </w:rPr>
            </w:pPr>
            <w:r w:rsidRPr="00F36DAB">
              <w:rPr>
                <w:bCs/>
                <w:i/>
                <w:sz w:val="16"/>
              </w:rPr>
              <w:t>Maternidad, paternidad, riesgos y cuidado menores</w:t>
            </w:r>
            <w:r w:rsidR="00A445FC">
              <w:rPr>
                <w:bCs/>
                <w:i/>
                <w:sz w:val="18"/>
                <w:vertAlign w:val="superscript"/>
              </w:rPr>
              <w:t>a</w:t>
            </w:r>
            <w:r w:rsidRPr="00F36DAB">
              <w:rPr>
                <w:bCs/>
                <w:i/>
                <w:sz w:val="16"/>
              </w:rPr>
              <w:t xml:space="preserve"> </w:t>
            </w:r>
          </w:p>
        </w:tc>
        <w:tc>
          <w:tcPr>
            <w:tcW w:w="994" w:type="dxa"/>
            <w:tcBorders>
              <w:top w:val="single" w:sz="4" w:space="0" w:color="auto"/>
              <w:bottom w:val="single" w:sz="12" w:space="0" w:color="auto"/>
            </w:tcBorders>
            <w:shd w:val="clear" w:color="auto" w:fill="auto"/>
            <w:vAlign w:val="bottom"/>
          </w:tcPr>
          <w:p w:rsidR="002045BD" w:rsidRPr="00F36DAB" w:rsidRDefault="002045BD" w:rsidP="00F36DAB">
            <w:pPr>
              <w:spacing w:before="80" w:after="80" w:line="200" w:lineRule="exact"/>
              <w:ind w:left="85" w:right="28"/>
              <w:jc w:val="right"/>
              <w:rPr>
                <w:bCs/>
                <w:i/>
                <w:sz w:val="16"/>
              </w:rPr>
            </w:pPr>
            <w:r w:rsidRPr="00F36DAB">
              <w:rPr>
                <w:bCs/>
                <w:i/>
                <w:sz w:val="16"/>
              </w:rPr>
              <w:t>Otras prestaciones</w:t>
            </w:r>
          </w:p>
        </w:tc>
        <w:tc>
          <w:tcPr>
            <w:tcW w:w="1120" w:type="dxa"/>
            <w:vMerge/>
            <w:tcBorders>
              <w:top w:val="nil"/>
              <w:bottom w:val="single" w:sz="12" w:space="0" w:color="auto"/>
            </w:tcBorders>
            <w:shd w:val="clear" w:color="auto" w:fill="auto"/>
            <w:vAlign w:val="bottom"/>
          </w:tcPr>
          <w:p w:rsidR="002045BD" w:rsidRPr="005F316A" w:rsidRDefault="002045BD" w:rsidP="00F36DAB">
            <w:pPr>
              <w:spacing w:before="40" w:after="40" w:line="220" w:lineRule="exact"/>
              <w:ind w:left="85" w:right="28"/>
              <w:jc w:val="right"/>
              <w:rPr>
                <w:sz w:val="18"/>
              </w:rPr>
            </w:pPr>
          </w:p>
        </w:tc>
        <w:tc>
          <w:tcPr>
            <w:tcW w:w="623" w:type="dxa"/>
            <w:vMerge/>
            <w:tcBorders>
              <w:top w:val="nil"/>
              <w:bottom w:val="single" w:sz="12" w:space="0" w:color="auto"/>
            </w:tcBorders>
            <w:shd w:val="clear" w:color="auto" w:fill="auto"/>
            <w:vAlign w:val="bottom"/>
          </w:tcPr>
          <w:p w:rsidR="002045BD" w:rsidRPr="005F316A" w:rsidRDefault="002045BD" w:rsidP="00F36DAB">
            <w:pPr>
              <w:spacing w:before="40" w:after="40" w:line="220" w:lineRule="exact"/>
              <w:ind w:left="85" w:right="28"/>
              <w:jc w:val="right"/>
              <w:rPr>
                <w:sz w:val="18"/>
              </w:rPr>
            </w:pPr>
          </w:p>
        </w:tc>
      </w:tr>
      <w:tr w:rsidR="005F316A" w:rsidRPr="005F316A" w:rsidTr="00F36DAB">
        <w:trPr>
          <w:trHeight w:val="240"/>
        </w:trPr>
        <w:tc>
          <w:tcPr>
            <w:tcW w:w="360" w:type="dxa"/>
            <w:tcBorders>
              <w:top w:val="single" w:sz="12" w:space="0" w:color="auto"/>
            </w:tcBorders>
            <w:shd w:val="clear" w:color="auto" w:fill="auto"/>
          </w:tcPr>
          <w:p w:rsidR="002045BD" w:rsidRPr="00F36DAB" w:rsidRDefault="002045BD" w:rsidP="00F36DAB">
            <w:pPr>
              <w:spacing w:before="40" w:after="40" w:line="220" w:lineRule="exact"/>
              <w:rPr>
                <w:sz w:val="18"/>
              </w:rPr>
            </w:pPr>
            <w:r w:rsidRPr="00F36DAB">
              <w:rPr>
                <w:sz w:val="18"/>
              </w:rPr>
              <w:t>2012</w:t>
            </w:r>
          </w:p>
        </w:tc>
        <w:tc>
          <w:tcPr>
            <w:tcW w:w="1124" w:type="dxa"/>
            <w:tcBorders>
              <w:top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9,95</w:t>
            </w:r>
          </w:p>
        </w:tc>
        <w:tc>
          <w:tcPr>
            <w:tcW w:w="1078" w:type="dxa"/>
            <w:tcBorders>
              <w:top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0,19</w:t>
            </w:r>
          </w:p>
        </w:tc>
        <w:tc>
          <w:tcPr>
            <w:tcW w:w="742" w:type="dxa"/>
            <w:tcBorders>
              <w:top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10,15</w:t>
            </w:r>
          </w:p>
        </w:tc>
        <w:tc>
          <w:tcPr>
            <w:tcW w:w="952" w:type="dxa"/>
            <w:tcBorders>
              <w:top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0,52</w:t>
            </w:r>
          </w:p>
        </w:tc>
        <w:tc>
          <w:tcPr>
            <w:tcW w:w="1511" w:type="dxa"/>
            <w:tcBorders>
              <w:top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0,22</w:t>
            </w:r>
          </w:p>
        </w:tc>
        <w:tc>
          <w:tcPr>
            <w:tcW w:w="994" w:type="dxa"/>
            <w:tcBorders>
              <w:top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0,04</w:t>
            </w:r>
          </w:p>
        </w:tc>
        <w:tc>
          <w:tcPr>
            <w:tcW w:w="1120" w:type="dxa"/>
            <w:tcBorders>
              <w:top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0,10</w:t>
            </w:r>
          </w:p>
        </w:tc>
        <w:tc>
          <w:tcPr>
            <w:tcW w:w="623" w:type="dxa"/>
            <w:tcBorders>
              <w:top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11,02</w:t>
            </w:r>
          </w:p>
        </w:tc>
      </w:tr>
      <w:tr w:rsidR="005F316A" w:rsidRPr="005F316A" w:rsidTr="00F36DAB">
        <w:trPr>
          <w:trHeight w:val="240"/>
        </w:trPr>
        <w:tc>
          <w:tcPr>
            <w:tcW w:w="360" w:type="dxa"/>
            <w:shd w:val="clear" w:color="auto" w:fill="auto"/>
          </w:tcPr>
          <w:p w:rsidR="002045BD" w:rsidRPr="00F36DAB" w:rsidRDefault="002045BD" w:rsidP="00F36DAB">
            <w:pPr>
              <w:spacing w:before="40" w:after="40" w:line="220" w:lineRule="exact"/>
              <w:rPr>
                <w:sz w:val="18"/>
              </w:rPr>
            </w:pPr>
            <w:r w:rsidRPr="00F36DAB">
              <w:rPr>
                <w:sz w:val="18"/>
              </w:rPr>
              <w:t>2013</w:t>
            </w:r>
          </w:p>
        </w:tc>
        <w:tc>
          <w:tcPr>
            <w:tcW w:w="1124"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10,59</w:t>
            </w:r>
          </w:p>
        </w:tc>
        <w:tc>
          <w:tcPr>
            <w:tcW w:w="1078"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0,25</w:t>
            </w:r>
          </w:p>
        </w:tc>
        <w:tc>
          <w:tcPr>
            <w:tcW w:w="742"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10,83</w:t>
            </w:r>
          </w:p>
        </w:tc>
        <w:tc>
          <w:tcPr>
            <w:tcW w:w="952"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0,49</w:t>
            </w:r>
          </w:p>
        </w:tc>
        <w:tc>
          <w:tcPr>
            <w:tcW w:w="1511"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0,21</w:t>
            </w:r>
          </w:p>
        </w:tc>
        <w:tc>
          <w:tcPr>
            <w:tcW w:w="994"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0,04</w:t>
            </w:r>
          </w:p>
        </w:tc>
        <w:tc>
          <w:tcPr>
            <w:tcW w:w="1120"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0,13</w:t>
            </w:r>
          </w:p>
        </w:tc>
        <w:tc>
          <w:tcPr>
            <w:tcW w:w="623"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11,70</w:t>
            </w:r>
          </w:p>
        </w:tc>
      </w:tr>
      <w:tr w:rsidR="005F316A" w:rsidRPr="005F316A" w:rsidTr="00F36DAB">
        <w:trPr>
          <w:trHeight w:val="240"/>
        </w:trPr>
        <w:tc>
          <w:tcPr>
            <w:tcW w:w="360" w:type="dxa"/>
            <w:shd w:val="clear" w:color="auto" w:fill="auto"/>
          </w:tcPr>
          <w:p w:rsidR="002045BD" w:rsidRPr="00F36DAB" w:rsidRDefault="002045BD" w:rsidP="00F36DAB">
            <w:pPr>
              <w:spacing w:before="40" w:after="40" w:line="220" w:lineRule="exact"/>
              <w:rPr>
                <w:sz w:val="18"/>
              </w:rPr>
            </w:pPr>
            <w:r w:rsidRPr="00F36DAB">
              <w:rPr>
                <w:sz w:val="18"/>
              </w:rPr>
              <w:t>2014</w:t>
            </w:r>
          </w:p>
        </w:tc>
        <w:tc>
          <w:tcPr>
            <w:tcW w:w="1124"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10,82</w:t>
            </w:r>
          </w:p>
        </w:tc>
        <w:tc>
          <w:tcPr>
            <w:tcW w:w="1078"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0,22</w:t>
            </w:r>
          </w:p>
        </w:tc>
        <w:tc>
          <w:tcPr>
            <w:tcW w:w="742"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11,03</w:t>
            </w:r>
          </w:p>
        </w:tc>
        <w:tc>
          <w:tcPr>
            <w:tcW w:w="952"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0,53</w:t>
            </w:r>
          </w:p>
        </w:tc>
        <w:tc>
          <w:tcPr>
            <w:tcW w:w="1511"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0,21</w:t>
            </w:r>
          </w:p>
        </w:tc>
        <w:tc>
          <w:tcPr>
            <w:tcW w:w="994"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0,03</w:t>
            </w:r>
          </w:p>
        </w:tc>
        <w:tc>
          <w:tcPr>
            <w:tcW w:w="1120"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0,17</w:t>
            </w:r>
          </w:p>
        </w:tc>
        <w:tc>
          <w:tcPr>
            <w:tcW w:w="623"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11,97</w:t>
            </w:r>
          </w:p>
        </w:tc>
      </w:tr>
      <w:tr w:rsidR="005F316A" w:rsidRPr="005F316A" w:rsidTr="00F36DAB">
        <w:trPr>
          <w:trHeight w:val="240"/>
        </w:trPr>
        <w:tc>
          <w:tcPr>
            <w:tcW w:w="360" w:type="dxa"/>
            <w:shd w:val="clear" w:color="auto" w:fill="auto"/>
          </w:tcPr>
          <w:p w:rsidR="002045BD" w:rsidRPr="00F36DAB" w:rsidRDefault="002045BD" w:rsidP="00F36DAB">
            <w:pPr>
              <w:spacing w:before="40" w:after="40" w:line="220" w:lineRule="exact"/>
              <w:rPr>
                <w:sz w:val="18"/>
              </w:rPr>
            </w:pPr>
            <w:r w:rsidRPr="00F36DAB">
              <w:rPr>
                <w:sz w:val="18"/>
              </w:rPr>
              <w:t>2015</w:t>
            </w:r>
          </w:p>
        </w:tc>
        <w:tc>
          <w:tcPr>
            <w:tcW w:w="1124"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10,74</w:t>
            </w:r>
          </w:p>
        </w:tc>
        <w:tc>
          <w:tcPr>
            <w:tcW w:w="1078"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0,21</w:t>
            </w:r>
          </w:p>
        </w:tc>
        <w:tc>
          <w:tcPr>
            <w:tcW w:w="742"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10,95</w:t>
            </w:r>
          </w:p>
        </w:tc>
        <w:tc>
          <w:tcPr>
            <w:tcW w:w="952"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0,57</w:t>
            </w:r>
          </w:p>
        </w:tc>
        <w:tc>
          <w:tcPr>
            <w:tcW w:w="1511"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0,20</w:t>
            </w:r>
          </w:p>
        </w:tc>
        <w:tc>
          <w:tcPr>
            <w:tcW w:w="994"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0,03</w:t>
            </w:r>
          </w:p>
        </w:tc>
        <w:tc>
          <w:tcPr>
            <w:tcW w:w="1120"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0,14</w:t>
            </w:r>
          </w:p>
        </w:tc>
        <w:tc>
          <w:tcPr>
            <w:tcW w:w="623" w:type="dxa"/>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11,89</w:t>
            </w:r>
          </w:p>
        </w:tc>
      </w:tr>
      <w:tr w:rsidR="005F316A" w:rsidRPr="005F316A" w:rsidTr="00F36DAB">
        <w:trPr>
          <w:trHeight w:val="240"/>
        </w:trPr>
        <w:tc>
          <w:tcPr>
            <w:tcW w:w="360" w:type="dxa"/>
            <w:tcBorders>
              <w:bottom w:val="single" w:sz="12" w:space="0" w:color="auto"/>
            </w:tcBorders>
            <w:shd w:val="clear" w:color="auto" w:fill="auto"/>
          </w:tcPr>
          <w:p w:rsidR="002045BD" w:rsidRPr="00F36DAB" w:rsidRDefault="002045BD" w:rsidP="00F36DAB">
            <w:pPr>
              <w:spacing w:before="40" w:after="40" w:line="220" w:lineRule="exact"/>
              <w:rPr>
                <w:sz w:val="18"/>
              </w:rPr>
            </w:pPr>
            <w:r w:rsidRPr="00F36DAB">
              <w:rPr>
                <w:sz w:val="18"/>
              </w:rPr>
              <w:t>2016</w:t>
            </w:r>
          </w:p>
        </w:tc>
        <w:tc>
          <w:tcPr>
            <w:tcW w:w="1124" w:type="dxa"/>
            <w:tcBorders>
              <w:bottom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10,65</w:t>
            </w:r>
          </w:p>
        </w:tc>
        <w:tc>
          <w:tcPr>
            <w:tcW w:w="1078" w:type="dxa"/>
            <w:tcBorders>
              <w:bottom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0,21</w:t>
            </w:r>
          </w:p>
        </w:tc>
        <w:tc>
          <w:tcPr>
            <w:tcW w:w="742" w:type="dxa"/>
            <w:tcBorders>
              <w:bottom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10,85</w:t>
            </w:r>
          </w:p>
        </w:tc>
        <w:tc>
          <w:tcPr>
            <w:tcW w:w="952" w:type="dxa"/>
            <w:tcBorders>
              <w:bottom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0,48</w:t>
            </w:r>
          </w:p>
        </w:tc>
        <w:tc>
          <w:tcPr>
            <w:tcW w:w="1511" w:type="dxa"/>
            <w:tcBorders>
              <w:bottom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0,20</w:t>
            </w:r>
          </w:p>
        </w:tc>
        <w:tc>
          <w:tcPr>
            <w:tcW w:w="994" w:type="dxa"/>
            <w:tcBorders>
              <w:bottom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0,03</w:t>
            </w:r>
          </w:p>
        </w:tc>
        <w:tc>
          <w:tcPr>
            <w:tcW w:w="1120" w:type="dxa"/>
            <w:tcBorders>
              <w:bottom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0,14</w:t>
            </w:r>
          </w:p>
        </w:tc>
        <w:tc>
          <w:tcPr>
            <w:tcW w:w="623" w:type="dxa"/>
            <w:tcBorders>
              <w:bottom w:val="single" w:sz="12" w:space="0" w:color="auto"/>
            </w:tcBorders>
            <w:shd w:val="clear" w:color="auto" w:fill="auto"/>
            <w:vAlign w:val="bottom"/>
          </w:tcPr>
          <w:p w:rsidR="002045BD" w:rsidRPr="00F36DAB" w:rsidRDefault="002045BD" w:rsidP="00F36DAB">
            <w:pPr>
              <w:spacing w:before="40" w:after="40" w:line="220" w:lineRule="exact"/>
              <w:ind w:left="85" w:right="28"/>
              <w:jc w:val="right"/>
              <w:rPr>
                <w:sz w:val="18"/>
              </w:rPr>
            </w:pPr>
            <w:r w:rsidRPr="00F36DAB">
              <w:rPr>
                <w:sz w:val="18"/>
              </w:rPr>
              <w:t>11,70</w:t>
            </w:r>
          </w:p>
        </w:tc>
      </w:tr>
    </w:tbl>
    <w:p w:rsidR="002045BD" w:rsidRPr="00F36DAB" w:rsidRDefault="002045BD" w:rsidP="00F36DAB">
      <w:pPr>
        <w:pStyle w:val="SingleTxtG"/>
        <w:spacing w:before="120" w:after="0"/>
        <w:ind w:right="0" w:firstLine="170"/>
        <w:jc w:val="left"/>
        <w:rPr>
          <w:sz w:val="18"/>
        </w:rPr>
      </w:pPr>
      <w:r w:rsidRPr="00F36DAB">
        <w:rPr>
          <w:i/>
          <w:sz w:val="18"/>
        </w:rPr>
        <w:t>Fuente:</w:t>
      </w:r>
      <w:r w:rsidRPr="00F36DAB">
        <w:rPr>
          <w:sz w:val="18"/>
        </w:rPr>
        <w:t xml:space="preserve"> Cuentas y Balances del Sistema de la Seguridad Social 2011</w:t>
      </w:r>
      <w:r w:rsidR="00C142E0">
        <w:rPr>
          <w:sz w:val="18"/>
        </w:rPr>
        <w:t>-</w:t>
      </w:r>
      <w:r w:rsidRPr="00F36DAB">
        <w:rPr>
          <w:sz w:val="18"/>
        </w:rPr>
        <w:t>2015. Presupuesto 2016. I.N.E.</w:t>
      </w:r>
    </w:p>
    <w:p w:rsidR="002045BD" w:rsidRPr="00F36DAB" w:rsidRDefault="00A445FC" w:rsidP="00F36DAB">
      <w:pPr>
        <w:pStyle w:val="SingleTxtG"/>
        <w:ind w:right="0" w:firstLine="170"/>
        <w:jc w:val="left"/>
        <w:rPr>
          <w:sz w:val="18"/>
        </w:rPr>
      </w:pPr>
      <w:r w:rsidRPr="00F36DAB">
        <w:rPr>
          <w:i/>
          <w:sz w:val="18"/>
          <w:vertAlign w:val="superscript"/>
        </w:rPr>
        <w:t>a</w:t>
      </w:r>
      <w:r w:rsidR="002045BD" w:rsidRPr="00F36DAB">
        <w:rPr>
          <w:sz w:val="18"/>
        </w:rPr>
        <w:t xml:space="preserve"> </w:t>
      </w:r>
      <w:r w:rsidR="005F316A">
        <w:rPr>
          <w:sz w:val="18"/>
        </w:rPr>
        <w:t xml:space="preserve"> </w:t>
      </w:r>
      <w:r w:rsidR="002045BD" w:rsidRPr="00F36DAB">
        <w:rPr>
          <w:sz w:val="18"/>
        </w:rPr>
        <w:t>Incluye las prestaciones por maternidad, paternidad, riesgos durante el embarazo y la lactancia natural y cuidado menores afectados por cáncer</w:t>
      </w:r>
      <w:r w:rsidR="005F316A">
        <w:rPr>
          <w:sz w:val="18"/>
        </w:rPr>
        <w:t>.</w:t>
      </w:r>
    </w:p>
    <w:p w:rsidR="002045BD" w:rsidRPr="002045BD" w:rsidRDefault="005F316A" w:rsidP="00F36DAB">
      <w:pPr>
        <w:pStyle w:val="H23G"/>
      </w:pPr>
      <w:r>
        <w:rPr>
          <w:lang w:eastAsia="en-GB"/>
        </w:rPr>
        <w:tab/>
      </w:r>
      <w:r>
        <w:rPr>
          <w:lang w:eastAsia="en-GB"/>
        </w:rPr>
        <w:tab/>
      </w:r>
      <w:r w:rsidR="002045BD">
        <w:rPr>
          <w:lang w:eastAsia="en-GB"/>
        </w:rPr>
        <w:t>P</w:t>
      </w:r>
      <w:r w:rsidR="002045BD" w:rsidRPr="002045BD">
        <w:rPr>
          <w:lang w:eastAsia="en-GB"/>
        </w:rPr>
        <w:t>orcentaje del gasto en pensione</w:t>
      </w:r>
      <w:r w:rsidR="002045BD">
        <w:rPr>
          <w:lang w:eastAsia="en-GB"/>
        </w:rPr>
        <w:t>s contributivas respecto del PIB</w:t>
      </w:r>
      <w:r w:rsidR="002045BD" w:rsidRPr="002045BD">
        <w:rPr>
          <w:lang w:eastAsia="en-GB"/>
        </w:rPr>
        <w:t>, por clases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25"/>
        <w:gridCol w:w="1106"/>
        <w:gridCol w:w="1106"/>
        <w:gridCol w:w="1107"/>
        <w:gridCol w:w="1106"/>
        <w:gridCol w:w="1106"/>
        <w:gridCol w:w="1107"/>
      </w:tblGrid>
      <w:tr w:rsidR="005F316A" w:rsidRPr="005F316A" w:rsidTr="00F36DAB">
        <w:trPr>
          <w:trHeight w:val="240"/>
          <w:tblHeader/>
        </w:trPr>
        <w:tc>
          <w:tcPr>
            <w:tcW w:w="725" w:type="dxa"/>
            <w:tcBorders>
              <w:top w:val="single" w:sz="4" w:space="0" w:color="auto"/>
              <w:bottom w:val="single" w:sz="12" w:space="0" w:color="auto"/>
            </w:tcBorders>
            <w:shd w:val="clear" w:color="auto" w:fill="auto"/>
            <w:noWrap/>
            <w:vAlign w:val="bottom"/>
            <w:hideMark/>
          </w:tcPr>
          <w:p w:rsidR="00107DA7" w:rsidRPr="005F316A" w:rsidRDefault="00107DA7">
            <w:pPr>
              <w:spacing w:before="80" w:after="80" w:line="200" w:lineRule="exact"/>
              <w:rPr>
                <w:i/>
                <w:sz w:val="16"/>
                <w:szCs w:val="24"/>
                <w:lang w:val="en-GB" w:eastAsia="en-GB"/>
              </w:rPr>
            </w:pPr>
            <w:r w:rsidRPr="005F316A">
              <w:rPr>
                <w:i/>
                <w:sz w:val="16"/>
                <w:szCs w:val="24"/>
                <w:lang w:val="en-GB" w:eastAsia="en-GB"/>
              </w:rPr>
              <w:t>Años</w:t>
            </w:r>
          </w:p>
        </w:tc>
        <w:tc>
          <w:tcPr>
            <w:tcW w:w="1106" w:type="dxa"/>
            <w:tcBorders>
              <w:top w:val="single" w:sz="4" w:space="0" w:color="auto"/>
              <w:bottom w:val="single" w:sz="12" w:space="0" w:color="auto"/>
            </w:tcBorders>
            <w:shd w:val="clear" w:color="auto" w:fill="auto"/>
            <w:noWrap/>
            <w:vAlign w:val="bottom"/>
            <w:hideMark/>
          </w:tcPr>
          <w:p w:rsidR="00107DA7" w:rsidRPr="005F316A" w:rsidRDefault="00107DA7" w:rsidP="00F36DAB">
            <w:pPr>
              <w:spacing w:before="80" w:after="80" w:line="200" w:lineRule="exact"/>
              <w:ind w:left="85" w:right="28"/>
              <w:jc w:val="right"/>
              <w:rPr>
                <w:i/>
                <w:sz w:val="16"/>
                <w:szCs w:val="24"/>
                <w:lang w:val="en-GB" w:eastAsia="en-GB"/>
              </w:rPr>
            </w:pPr>
            <w:r w:rsidRPr="005F316A">
              <w:rPr>
                <w:i/>
                <w:sz w:val="16"/>
                <w:szCs w:val="24"/>
                <w:lang w:val="en-GB" w:eastAsia="en-GB"/>
              </w:rPr>
              <w:t>Incapacidad</w:t>
            </w:r>
          </w:p>
        </w:tc>
        <w:tc>
          <w:tcPr>
            <w:tcW w:w="1106" w:type="dxa"/>
            <w:tcBorders>
              <w:top w:val="single" w:sz="4" w:space="0" w:color="auto"/>
              <w:bottom w:val="single" w:sz="12" w:space="0" w:color="auto"/>
            </w:tcBorders>
            <w:shd w:val="clear" w:color="auto" w:fill="auto"/>
            <w:noWrap/>
            <w:vAlign w:val="bottom"/>
            <w:hideMark/>
          </w:tcPr>
          <w:p w:rsidR="00107DA7" w:rsidRPr="005F316A" w:rsidRDefault="00107DA7" w:rsidP="00F36DAB">
            <w:pPr>
              <w:spacing w:before="80" w:after="80" w:line="200" w:lineRule="exact"/>
              <w:ind w:left="85" w:right="28"/>
              <w:jc w:val="right"/>
              <w:rPr>
                <w:i/>
                <w:sz w:val="16"/>
                <w:szCs w:val="24"/>
                <w:lang w:val="en-GB" w:eastAsia="en-GB"/>
              </w:rPr>
            </w:pPr>
            <w:r w:rsidRPr="005F316A">
              <w:rPr>
                <w:i/>
                <w:sz w:val="16"/>
                <w:szCs w:val="24"/>
                <w:lang w:val="en-GB" w:eastAsia="en-GB"/>
              </w:rPr>
              <w:t>Jubilación</w:t>
            </w:r>
          </w:p>
        </w:tc>
        <w:tc>
          <w:tcPr>
            <w:tcW w:w="1107" w:type="dxa"/>
            <w:tcBorders>
              <w:top w:val="single" w:sz="4" w:space="0" w:color="auto"/>
              <w:bottom w:val="single" w:sz="12" w:space="0" w:color="auto"/>
            </w:tcBorders>
            <w:shd w:val="clear" w:color="auto" w:fill="auto"/>
            <w:noWrap/>
            <w:vAlign w:val="bottom"/>
            <w:hideMark/>
          </w:tcPr>
          <w:p w:rsidR="00107DA7" w:rsidRPr="005F316A" w:rsidRDefault="00107DA7" w:rsidP="00F36DAB">
            <w:pPr>
              <w:spacing w:before="80" w:after="80" w:line="200" w:lineRule="exact"/>
              <w:ind w:left="85" w:right="28"/>
              <w:jc w:val="right"/>
              <w:rPr>
                <w:i/>
                <w:sz w:val="16"/>
                <w:szCs w:val="24"/>
                <w:lang w:val="en-GB" w:eastAsia="en-GB"/>
              </w:rPr>
            </w:pPr>
            <w:r w:rsidRPr="005F316A">
              <w:rPr>
                <w:i/>
                <w:sz w:val="16"/>
                <w:szCs w:val="24"/>
                <w:lang w:val="en-GB" w:eastAsia="en-GB"/>
              </w:rPr>
              <w:t>Viudedad</w:t>
            </w:r>
          </w:p>
        </w:tc>
        <w:tc>
          <w:tcPr>
            <w:tcW w:w="1106" w:type="dxa"/>
            <w:tcBorders>
              <w:top w:val="single" w:sz="4" w:space="0" w:color="auto"/>
              <w:bottom w:val="single" w:sz="12" w:space="0" w:color="auto"/>
            </w:tcBorders>
            <w:shd w:val="clear" w:color="auto" w:fill="auto"/>
            <w:noWrap/>
            <w:vAlign w:val="bottom"/>
            <w:hideMark/>
          </w:tcPr>
          <w:p w:rsidR="00107DA7" w:rsidRPr="005F316A" w:rsidRDefault="00107DA7" w:rsidP="00F36DAB">
            <w:pPr>
              <w:spacing w:before="80" w:after="80" w:line="200" w:lineRule="exact"/>
              <w:ind w:left="85" w:right="28"/>
              <w:jc w:val="right"/>
              <w:rPr>
                <w:i/>
                <w:sz w:val="16"/>
                <w:szCs w:val="24"/>
                <w:lang w:val="en-GB" w:eastAsia="en-GB"/>
              </w:rPr>
            </w:pPr>
            <w:r w:rsidRPr="005F316A">
              <w:rPr>
                <w:i/>
                <w:sz w:val="16"/>
                <w:szCs w:val="24"/>
                <w:lang w:val="en-GB" w:eastAsia="en-GB"/>
              </w:rPr>
              <w:t>Orfandad</w:t>
            </w:r>
          </w:p>
        </w:tc>
        <w:tc>
          <w:tcPr>
            <w:tcW w:w="1106" w:type="dxa"/>
            <w:tcBorders>
              <w:top w:val="single" w:sz="4" w:space="0" w:color="auto"/>
              <w:bottom w:val="single" w:sz="12" w:space="0" w:color="auto"/>
            </w:tcBorders>
            <w:shd w:val="clear" w:color="auto" w:fill="auto"/>
            <w:noWrap/>
            <w:vAlign w:val="bottom"/>
            <w:hideMark/>
          </w:tcPr>
          <w:p w:rsidR="00107DA7" w:rsidRPr="005F316A" w:rsidRDefault="00107DA7" w:rsidP="00F36DAB">
            <w:pPr>
              <w:spacing w:before="80" w:after="80" w:line="200" w:lineRule="exact"/>
              <w:ind w:left="85" w:right="28"/>
              <w:jc w:val="right"/>
              <w:rPr>
                <w:i/>
                <w:sz w:val="16"/>
                <w:szCs w:val="24"/>
                <w:lang w:val="en-GB" w:eastAsia="en-GB"/>
              </w:rPr>
            </w:pPr>
            <w:r w:rsidRPr="005F316A">
              <w:rPr>
                <w:i/>
                <w:sz w:val="16"/>
                <w:szCs w:val="24"/>
                <w:lang w:val="en-GB" w:eastAsia="en-GB"/>
              </w:rPr>
              <w:t>Familiar</w:t>
            </w:r>
          </w:p>
        </w:tc>
        <w:tc>
          <w:tcPr>
            <w:tcW w:w="1107" w:type="dxa"/>
            <w:tcBorders>
              <w:top w:val="single" w:sz="4" w:space="0" w:color="auto"/>
              <w:bottom w:val="single" w:sz="12" w:space="0" w:color="auto"/>
            </w:tcBorders>
            <w:shd w:val="clear" w:color="auto" w:fill="auto"/>
            <w:noWrap/>
            <w:vAlign w:val="bottom"/>
            <w:hideMark/>
          </w:tcPr>
          <w:p w:rsidR="00107DA7" w:rsidRPr="005F316A" w:rsidRDefault="00107DA7" w:rsidP="00F36DAB">
            <w:pPr>
              <w:spacing w:before="80" w:after="80" w:line="200" w:lineRule="exact"/>
              <w:ind w:left="85" w:right="28"/>
              <w:jc w:val="right"/>
              <w:rPr>
                <w:i/>
                <w:sz w:val="16"/>
                <w:szCs w:val="24"/>
                <w:lang w:val="en-GB" w:eastAsia="en-GB"/>
              </w:rPr>
            </w:pPr>
            <w:r w:rsidRPr="005F316A">
              <w:rPr>
                <w:i/>
                <w:sz w:val="16"/>
                <w:szCs w:val="24"/>
                <w:lang w:val="en-GB" w:eastAsia="en-GB"/>
              </w:rPr>
              <w:t>Total</w:t>
            </w:r>
          </w:p>
        </w:tc>
      </w:tr>
      <w:tr w:rsidR="005F316A" w:rsidRPr="005F316A" w:rsidTr="00F36DAB">
        <w:trPr>
          <w:trHeight w:val="240"/>
        </w:trPr>
        <w:tc>
          <w:tcPr>
            <w:tcW w:w="725" w:type="dxa"/>
            <w:tcBorders>
              <w:top w:val="single" w:sz="12" w:space="0" w:color="auto"/>
            </w:tcBorders>
            <w:shd w:val="clear" w:color="auto" w:fill="auto"/>
            <w:noWrap/>
            <w:hideMark/>
          </w:tcPr>
          <w:p w:rsidR="00107DA7" w:rsidRPr="005F316A" w:rsidRDefault="00107DA7">
            <w:pPr>
              <w:spacing w:before="40" w:after="40" w:line="220" w:lineRule="exact"/>
              <w:rPr>
                <w:sz w:val="18"/>
                <w:szCs w:val="24"/>
                <w:lang w:val="en-GB" w:eastAsia="en-GB"/>
              </w:rPr>
            </w:pPr>
            <w:r w:rsidRPr="005F316A">
              <w:rPr>
                <w:sz w:val="18"/>
                <w:szCs w:val="24"/>
                <w:lang w:val="en-GB" w:eastAsia="en-GB"/>
              </w:rPr>
              <w:t>2012</w:t>
            </w:r>
          </w:p>
        </w:tc>
        <w:tc>
          <w:tcPr>
            <w:tcW w:w="1106" w:type="dxa"/>
            <w:tcBorders>
              <w:top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1,13</w:t>
            </w:r>
          </w:p>
        </w:tc>
        <w:tc>
          <w:tcPr>
            <w:tcW w:w="1106" w:type="dxa"/>
            <w:tcBorders>
              <w:top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6,78</w:t>
            </w:r>
          </w:p>
        </w:tc>
        <w:tc>
          <w:tcPr>
            <w:tcW w:w="1107" w:type="dxa"/>
            <w:tcBorders>
              <w:top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1,88</w:t>
            </w:r>
          </w:p>
        </w:tc>
        <w:tc>
          <w:tcPr>
            <w:tcW w:w="1106" w:type="dxa"/>
            <w:tcBorders>
              <w:top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0,14</w:t>
            </w:r>
          </w:p>
        </w:tc>
        <w:tc>
          <w:tcPr>
            <w:tcW w:w="1106" w:type="dxa"/>
            <w:tcBorders>
              <w:top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0,03</w:t>
            </w:r>
          </w:p>
        </w:tc>
        <w:tc>
          <w:tcPr>
            <w:tcW w:w="1107" w:type="dxa"/>
            <w:tcBorders>
              <w:top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9,95</w:t>
            </w:r>
          </w:p>
        </w:tc>
      </w:tr>
      <w:tr w:rsidR="005F316A" w:rsidRPr="005F316A" w:rsidTr="00F36DAB">
        <w:trPr>
          <w:trHeight w:val="240"/>
        </w:trPr>
        <w:tc>
          <w:tcPr>
            <w:tcW w:w="725" w:type="dxa"/>
            <w:shd w:val="clear" w:color="auto" w:fill="auto"/>
            <w:noWrap/>
            <w:hideMark/>
          </w:tcPr>
          <w:p w:rsidR="00107DA7" w:rsidRPr="005F316A" w:rsidRDefault="00107DA7">
            <w:pPr>
              <w:spacing w:before="40" w:after="40" w:line="220" w:lineRule="exact"/>
              <w:rPr>
                <w:sz w:val="18"/>
                <w:szCs w:val="24"/>
                <w:lang w:val="en-GB" w:eastAsia="en-GB"/>
              </w:rPr>
            </w:pPr>
            <w:r w:rsidRPr="005F316A">
              <w:rPr>
                <w:sz w:val="18"/>
                <w:szCs w:val="24"/>
                <w:lang w:val="en-GB" w:eastAsia="en-GB"/>
              </w:rPr>
              <w:t>2013</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1,16</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7,28</w:t>
            </w:r>
          </w:p>
        </w:tc>
        <w:tc>
          <w:tcPr>
            <w:tcW w:w="1107"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1,96</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0,15</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0,03</w:t>
            </w:r>
          </w:p>
        </w:tc>
        <w:tc>
          <w:tcPr>
            <w:tcW w:w="1107"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10,59</w:t>
            </w:r>
          </w:p>
        </w:tc>
      </w:tr>
      <w:tr w:rsidR="005F316A" w:rsidRPr="005F316A" w:rsidTr="00F36DAB">
        <w:trPr>
          <w:trHeight w:val="240"/>
        </w:trPr>
        <w:tc>
          <w:tcPr>
            <w:tcW w:w="725" w:type="dxa"/>
            <w:shd w:val="clear" w:color="auto" w:fill="auto"/>
            <w:noWrap/>
            <w:hideMark/>
          </w:tcPr>
          <w:p w:rsidR="00107DA7" w:rsidRPr="005F316A" w:rsidRDefault="00107DA7">
            <w:pPr>
              <w:spacing w:before="40" w:after="40" w:line="220" w:lineRule="exact"/>
              <w:rPr>
                <w:sz w:val="18"/>
                <w:szCs w:val="24"/>
                <w:lang w:val="en-GB" w:eastAsia="en-GB"/>
              </w:rPr>
            </w:pPr>
            <w:r w:rsidRPr="005F316A">
              <w:rPr>
                <w:sz w:val="18"/>
                <w:szCs w:val="24"/>
                <w:lang w:val="en-GB" w:eastAsia="en-GB"/>
              </w:rPr>
              <w:t>2014</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1,15</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7,50</w:t>
            </w:r>
          </w:p>
        </w:tc>
        <w:tc>
          <w:tcPr>
            <w:tcW w:w="1107"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1,98</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0,16</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0,03</w:t>
            </w:r>
          </w:p>
        </w:tc>
        <w:tc>
          <w:tcPr>
            <w:tcW w:w="1107"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10,82</w:t>
            </w:r>
          </w:p>
        </w:tc>
      </w:tr>
      <w:tr w:rsidR="005F316A" w:rsidRPr="005F316A" w:rsidTr="00F36DAB">
        <w:trPr>
          <w:trHeight w:val="240"/>
        </w:trPr>
        <w:tc>
          <w:tcPr>
            <w:tcW w:w="725" w:type="dxa"/>
            <w:shd w:val="clear" w:color="auto" w:fill="auto"/>
            <w:noWrap/>
            <w:hideMark/>
          </w:tcPr>
          <w:p w:rsidR="00107DA7" w:rsidRPr="005F316A" w:rsidRDefault="00107DA7">
            <w:pPr>
              <w:spacing w:before="40" w:after="40" w:line="220" w:lineRule="exact"/>
              <w:rPr>
                <w:sz w:val="18"/>
                <w:szCs w:val="24"/>
                <w:lang w:val="en-GB" w:eastAsia="en-GB"/>
              </w:rPr>
            </w:pPr>
            <w:r w:rsidRPr="005F316A">
              <w:rPr>
                <w:sz w:val="18"/>
                <w:szCs w:val="24"/>
                <w:lang w:val="en-GB" w:eastAsia="en-GB"/>
              </w:rPr>
              <w:t>2015</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1,12</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7,49</w:t>
            </w:r>
          </w:p>
        </w:tc>
        <w:tc>
          <w:tcPr>
            <w:tcW w:w="1107"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1,93</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0,16</w:t>
            </w:r>
          </w:p>
        </w:tc>
        <w:tc>
          <w:tcPr>
            <w:tcW w:w="1106"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0,03</w:t>
            </w:r>
          </w:p>
        </w:tc>
        <w:tc>
          <w:tcPr>
            <w:tcW w:w="1107" w:type="dxa"/>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10,74</w:t>
            </w:r>
          </w:p>
        </w:tc>
      </w:tr>
      <w:tr w:rsidR="005F316A" w:rsidRPr="005F316A" w:rsidTr="00F36DAB">
        <w:trPr>
          <w:trHeight w:val="240"/>
        </w:trPr>
        <w:tc>
          <w:tcPr>
            <w:tcW w:w="725" w:type="dxa"/>
            <w:tcBorders>
              <w:bottom w:val="single" w:sz="12" w:space="0" w:color="auto"/>
            </w:tcBorders>
            <w:shd w:val="clear" w:color="auto" w:fill="auto"/>
            <w:noWrap/>
            <w:hideMark/>
          </w:tcPr>
          <w:p w:rsidR="00107DA7" w:rsidRPr="005F316A" w:rsidRDefault="00107DA7">
            <w:pPr>
              <w:spacing w:before="40" w:after="40" w:line="220" w:lineRule="exact"/>
              <w:rPr>
                <w:sz w:val="18"/>
                <w:szCs w:val="24"/>
                <w:lang w:val="en-GB" w:eastAsia="en-GB"/>
              </w:rPr>
            </w:pPr>
            <w:r w:rsidRPr="005F316A">
              <w:rPr>
                <w:sz w:val="18"/>
                <w:szCs w:val="24"/>
                <w:lang w:val="en-GB" w:eastAsia="en-GB"/>
              </w:rPr>
              <w:t>2016</w:t>
            </w:r>
          </w:p>
        </w:tc>
        <w:tc>
          <w:tcPr>
            <w:tcW w:w="1106" w:type="dxa"/>
            <w:tcBorders>
              <w:bottom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1,10</w:t>
            </w:r>
          </w:p>
        </w:tc>
        <w:tc>
          <w:tcPr>
            <w:tcW w:w="1106" w:type="dxa"/>
            <w:tcBorders>
              <w:bottom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7,48</w:t>
            </w:r>
          </w:p>
        </w:tc>
        <w:tc>
          <w:tcPr>
            <w:tcW w:w="1107" w:type="dxa"/>
            <w:tcBorders>
              <w:bottom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1,88</w:t>
            </w:r>
          </w:p>
        </w:tc>
        <w:tc>
          <w:tcPr>
            <w:tcW w:w="1106" w:type="dxa"/>
            <w:tcBorders>
              <w:bottom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0,16</w:t>
            </w:r>
          </w:p>
        </w:tc>
        <w:tc>
          <w:tcPr>
            <w:tcW w:w="1106" w:type="dxa"/>
            <w:tcBorders>
              <w:bottom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0,03</w:t>
            </w:r>
          </w:p>
        </w:tc>
        <w:tc>
          <w:tcPr>
            <w:tcW w:w="1107" w:type="dxa"/>
            <w:tcBorders>
              <w:bottom w:val="single" w:sz="12" w:space="0" w:color="auto"/>
            </w:tcBorders>
            <w:shd w:val="clear" w:color="auto" w:fill="auto"/>
            <w:noWrap/>
            <w:vAlign w:val="bottom"/>
            <w:hideMark/>
          </w:tcPr>
          <w:p w:rsidR="00107DA7" w:rsidRPr="005F316A" w:rsidRDefault="00107DA7" w:rsidP="00F36DAB">
            <w:pPr>
              <w:spacing w:before="40" w:after="40" w:line="220" w:lineRule="exact"/>
              <w:ind w:left="85" w:right="28"/>
              <w:jc w:val="right"/>
              <w:rPr>
                <w:sz w:val="18"/>
                <w:szCs w:val="24"/>
                <w:lang w:val="en-GB" w:eastAsia="en-GB"/>
              </w:rPr>
            </w:pPr>
            <w:r w:rsidRPr="005F316A">
              <w:rPr>
                <w:sz w:val="18"/>
                <w:szCs w:val="24"/>
                <w:lang w:val="en-GB" w:eastAsia="en-GB"/>
              </w:rPr>
              <w:t>10,65</w:t>
            </w:r>
          </w:p>
        </w:tc>
      </w:tr>
    </w:tbl>
    <w:p w:rsidR="00107DA7" w:rsidRPr="002045BD" w:rsidRDefault="00107DA7" w:rsidP="00F36DAB">
      <w:pPr>
        <w:pStyle w:val="SingleTxtG"/>
        <w:spacing w:before="120" w:after="240"/>
        <w:ind w:firstLine="170"/>
        <w:rPr>
          <w:rFonts w:eastAsia="Calibri"/>
          <w:sz w:val="18"/>
          <w:szCs w:val="18"/>
        </w:rPr>
      </w:pPr>
      <w:r w:rsidRPr="00F36DAB">
        <w:rPr>
          <w:rFonts w:eastAsia="Calibri"/>
          <w:i/>
          <w:sz w:val="18"/>
          <w:szCs w:val="18"/>
        </w:rPr>
        <w:t>Fuente:</w:t>
      </w:r>
      <w:r w:rsidRPr="002045BD">
        <w:rPr>
          <w:rFonts w:eastAsia="Calibri"/>
          <w:sz w:val="18"/>
          <w:szCs w:val="18"/>
        </w:rPr>
        <w:t xml:space="preserve"> Cuentas y Balances del Sistema de la Seguridad Social 2011-2015. Presupuesto 2016. I.N.E.</w:t>
      </w:r>
    </w:p>
    <w:p w:rsidR="00CB2D68" w:rsidRPr="005F316A" w:rsidRDefault="002045BD">
      <w:pPr>
        <w:pStyle w:val="SingleTxtG"/>
        <w:rPr>
          <w:rFonts w:eastAsia="Calibri"/>
        </w:rPr>
      </w:pPr>
      <w:r w:rsidRPr="005F316A">
        <w:rPr>
          <w:rFonts w:eastAsia="Calibri"/>
        </w:rPr>
        <w:t>134.</w:t>
      </w:r>
      <w:r w:rsidRPr="005F316A">
        <w:rPr>
          <w:rFonts w:eastAsia="Calibri"/>
        </w:rPr>
        <w:tab/>
      </w:r>
      <w:r w:rsidR="00CB2D68" w:rsidRPr="005F316A">
        <w:rPr>
          <w:rFonts w:eastAsia="Calibri"/>
        </w:rPr>
        <w:t>La información que ofrece la agencia estadística europea EUROSTAT del gasto de protección social por funciones en relación con el Producto Interior Bruto, según los últimos datos disponibles, es la siguiente</w:t>
      </w:r>
      <w:r w:rsidR="00DE42F3">
        <w:rPr>
          <w:rFonts w:eastAsia="Calibri"/>
        </w:rPr>
        <w:t>.</w:t>
      </w:r>
    </w:p>
    <w:p w:rsidR="002045BD" w:rsidRPr="002045BD" w:rsidRDefault="005F316A" w:rsidP="00F36DAB">
      <w:pPr>
        <w:pStyle w:val="H23G"/>
        <w:rPr>
          <w:rFonts w:eastAsia="Calibri"/>
        </w:rPr>
      </w:pPr>
      <w:r>
        <w:tab/>
      </w:r>
      <w:r>
        <w:tab/>
      </w:r>
      <w:r w:rsidR="002045BD" w:rsidRPr="002045BD">
        <w:t xml:space="preserve">Total gasto de </w:t>
      </w:r>
      <w:r w:rsidR="002045BD">
        <w:t xml:space="preserve">protección social en </w:t>
      </w:r>
      <w:r>
        <w:t>porcentaje</w:t>
      </w:r>
      <w:r w:rsidR="002045BD">
        <w:t xml:space="preserve"> sobre PIB</w:t>
      </w:r>
      <w:r w:rsidR="002045BD" w:rsidRPr="002045BD">
        <w:t xml:space="preserve"> en </w:t>
      </w:r>
      <w:r w:rsidR="002045BD">
        <w:t>E</w:t>
      </w:r>
      <w:r w:rsidR="002045BD" w:rsidRPr="002045BD">
        <w:t>spaña</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870"/>
        <w:gridCol w:w="1167"/>
        <w:gridCol w:w="1167"/>
        <w:gridCol w:w="1167"/>
      </w:tblGrid>
      <w:tr w:rsidR="005F316A" w:rsidRPr="005F316A" w:rsidTr="00F36DAB">
        <w:trPr>
          <w:trHeight w:val="240"/>
          <w:tblHeader/>
        </w:trPr>
        <w:tc>
          <w:tcPr>
            <w:tcW w:w="3870" w:type="dxa"/>
            <w:tcBorders>
              <w:top w:val="single" w:sz="4" w:space="0" w:color="auto"/>
              <w:bottom w:val="single" w:sz="12" w:space="0" w:color="auto"/>
            </w:tcBorders>
            <w:shd w:val="clear" w:color="auto" w:fill="auto"/>
            <w:noWrap/>
            <w:vAlign w:val="bottom"/>
            <w:hideMark/>
          </w:tcPr>
          <w:p w:rsidR="003A4C9D" w:rsidRPr="005F316A" w:rsidRDefault="005F316A">
            <w:pPr>
              <w:spacing w:before="80" w:after="80" w:line="200" w:lineRule="exact"/>
              <w:rPr>
                <w:i/>
                <w:sz w:val="16"/>
                <w:szCs w:val="24"/>
                <w:lang w:val="en-GB" w:eastAsia="en-GB"/>
              </w:rPr>
            </w:pPr>
            <w:r w:rsidRPr="005F316A">
              <w:rPr>
                <w:i/>
                <w:sz w:val="16"/>
                <w:szCs w:val="24"/>
                <w:lang w:val="en-GB" w:eastAsia="en-GB"/>
              </w:rPr>
              <w:t>Funciones</w:t>
            </w:r>
          </w:p>
        </w:tc>
        <w:tc>
          <w:tcPr>
            <w:tcW w:w="1167" w:type="dxa"/>
            <w:tcBorders>
              <w:top w:val="single" w:sz="4" w:space="0" w:color="auto"/>
              <w:bottom w:val="single" w:sz="12" w:space="0" w:color="auto"/>
            </w:tcBorders>
            <w:shd w:val="clear" w:color="auto" w:fill="auto"/>
            <w:noWrap/>
            <w:vAlign w:val="bottom"/>
            <w:hideMark/>
          </w:tcPr>
          <w:p w:rsidR="003A4C9D" w:rsidRPr="005F316A" w:rsidRDefault="003A4C9D" w:rsidP="00F36DAB">
            <w:pPr>
              <w:spacing w:before="80" w:after="80" w:line="200" w:lineRule="exact"/>
              <w:ind w:left="85" w:right="28"/>
              <w:jc w:val="right"/>
              <w:rPr>
                <w:i/>
                <w:sz w:val="16"/>
                <w:szCs w:val="24"/>
                <w:lang w:val="en-GB" w:eastAsia="en-GB"/>
              </w:rPr>
            </w:pPr>
            <w:r w:rsidRPr="005F316A">
              <w:rPr>
                <w:i/>
                <w:sz w:val="16"/>
                <w:szCs w:val="24"/>
                <w:lang w:val="en-GB" w:eastAsia="en-GB"/>
              </w:rPr>
              <w:t>2012</w:t>
            </w:r>
          </w:p>
        </w:tc>
        <w:tc>
          <w:tcPr>
            <w:tcW w:w="1167" w:type="dxa"/>
            <w:tcBorders>
              <w:top w:val="single" w:sz="4" w:space="0" w:color="auto"/>
              <w:bottom w:val="single" w:sz="12" w:space="0" w:color="auto"/>
            </w:tcBorders>
            <w:shd w:val="clear" w:color="auto" w:fill="auto"/>
            <w:noWrap/>
            <w:vAlign w:val="bottom"/>
            <w:hideMark/>
          </w:tcPr>
          <w:p w:rsidR="003A4C9D" w:rsidRPr="005F316A" w:rsidRDefault="003A4C9D" w:rsidP="00F36DAB">
            <w:pPr>
              <w:spacing w:before="80" w:after="80" w:line="200" w:lineRule="exact"/>
              <w:ind w:left="85" w:right="28"/>
              <w:jc w:val="right"/>
              <w:rPr>
                <w:i/>
                <w:sz w:val="16"/>
                <w:szCs w:val="24"/>
                <w:lang w:val="en-GB" w:eastAsia="en-GB"/>
              </w:rPr>
            </w:pPr>
            <w:r w:rsidRPr="005F316A">
              <w:rPr>
                <w:i/>
                <w:sz w:val="16"/>
                <w:szCs w:val="24"/>
                <w:lang w:val="en-GB" w:eastAsia="en-GB"/>
              </w:rPr>
              <w:t>2013</w:t>
            </w:r>
          </w:p>
        </w:tc>
        <w:tc>
          <w:tcPr>
            <w:tcW w:w="1167" w:type="dxa"/>
            <w:tcBorders>
              <w:top w:val="single" w:sz="4" w:space="0" w:color="auto"/>
              <w:bottom w:val="single" w:sz="12" w:space="0" w:color="auto"/>
            </w:tcBorders>
            <w:shd w:val="clear" w:color="auto" w:fill="auto"/>
            <w:noWrap/>
            <w:vAlign w:val="bottom"/>
            <w:hideMark/>
          </w:tcPr>
          <w:p w:rsidR="003A4C9D" w:rsidRPr="005F316A" w:rsidRDefault="003A4C9D" w:rsidP="00F36DAB">
            <w:pPr>
              <w:spacing w:before="80" w:after="80" w:line="200" w:lineRule="exact"/>
              <w:ind w:left="85" w:right="28"/>
              <w:jc w:val="right"/>
              <w:rPr>
                <w:i/>
                <w:sz w:val="16"/>
                <w:szCs w:val="24"/>
                <w:lang w:val="en-GB" w:eastAsia="en-GB"/>
              </w:rPr>
            </w:pPr>
            <w:r w:rsidRPr="005F316A">
              <w:rPr>
                <w:i/>
                <w:sz w:val="16"/>
                <w:szCs w:val="24"/>
                <w:lang w:val="en-GB" w:eastAsia="en-GB"/>
              </w:rPr>
              <w:t>2014</w:t>
            </w:r>
          </w:p>
        </w:tc>
      </w:tr>
      <w:tr w:rsidR="005F316A" w:rsidRPr="005F316A" w:rsidTr="00F36DAB">
        <w:trPr>
          <w:trHeight w:val="240"/>
        </w:trPr>
        <w:tc>
          <w:tcPr>
            <w:tcW w:w="3870" w:type="dxa"/>
            <w:tcBorders>
              <w:top w:val="single" w:sz="12" w:space="0" w:color="auto"/>
            </w:tcBorders>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Enfermedad</w:t>
            </w:r>
          </w:p>
        </w:tc>
        <w:tc>
          <w:tcPr>
            <w:tcW w:w="1167" w:type="dxa"/>
            <w:tcBorders>
              <w:top w:val="single" w:sz="12"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6,6</w:t>
            </w:r>
          </w:p>
        </w:tc>
        <w:tc>
          <w:tcPr>
            <w:tcW w:w="1167" w:type="dxa"/>
            <w:tcBorders>
              <w:top w:val="single" w:sz="12"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6,5</w:t>
            </w:r>
          </w:p>
        </w:tc>
        <w:tc>
          <w:tcPr>
            <w:tcW w:w="1167" w:type="dxa"/>
            <w:tcBorders>
              <w:top w:val="single" w:sz="12"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6,5</w:t>
            </w:r>
          </w:p>
        </w:tc>
      </w:tr>
      <w:tr w:rsidR="005F316A" w:rsidRPr="005F316A" w:rsidTr="00F36DAB">
        <w:trPr>
          <w:trHeight w:val="240"/>
        </w:trPr>
        <w:tc>
          <w:tcPr>
            <w:tcW w:w="3870" w:type="dxa"/>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Invalidez</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1,8</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1,9</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1,8</w:t>
            </w:r>
          </w:p>
        </w:tc>
      </w:tr>
      <w:tr w:rsidR="005F316A" w:rsidRPr="005F316A" w:rsidTr="00F36DAB">
        <w:trPr>
          <w:trHeight w:val="240"/>
        </w:trPr>
        <w:tc>
          <w:tcPr>
            <w:tcW w:w="3870" w:type="dxa"/>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Vejez</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9,1</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9,6</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9,8</w:t>
            </w:r>
          </w:p>
        </w:tc>
      </w:tr>
      <w:tr w:rsidR="005F316A" w:rsidRPr="005F316A" w:rsidTr="00F36DAB">
        <w:trPr>
          <w:trHeight w:val="240"/>
        </w:trPr>
        <w:tc>
          <w:tcPr>
            <w:tcW w:w="3870" w:type="dxa"/>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Supervivencia</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2,3</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2,4</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2,5</w:t>
            </w:r>
          </w:p>
        </w:tc>
      </w:tr>
      <w:tr w:rsidR="005F316A" w:rsidRPr="005F316A" w:rsidTr="00F36DAB">
        <w:trPr>
          <w:trHeight w:val="240"/>
        </w:trPr>
        <w:tc>
          <w:tcPr>
            <w:tcW w:w="3870" w:type="dxa"/>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Familia</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1,3</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1,4</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1,3</w:t>
            </w:r>
          </w:p>
        </w:tc>
      </w:tr>
      <w:tr w:rsidR="005F316A" w:rsidRPr="005F316A" w:rsidTr="00F36DAB">
        <w:trPr>
          <w:trHeight w:val="240"/>
        </w:trPr>
        <w:tc>
          <w:tcPr>
            <w:tcW w:w="3870" w:type="dxa"/>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Desempleo</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3,4</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3,3</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2,7</w:t>
            </w:r>
          </w:p>
        </w:tc>
      </w:tr>
      <w:tr w:rsidR="005F316A" w:rsidRPr="005F316A" w:rsidTr="00F36DAB">
        <w:trPr>
          <w:trHeight w:val="240"/>
        </w:trPr>
        <w:tc>
          <w:tcPr>
            <w:tcW w:w="3870" w:type="dxa"/>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Vivienda</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0,1</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0,1</w:t>
            </w:r>
          </w:p>
        </w:tc>
        <w:tc>
          <w:tcPr>
            <w:tcW w:w="1167" w:type="dxa"/>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0,1</w:t>
            </w:r>
          </w:p>
        </w:tc>
      </w:tr>
      <w:tr w:rsidR="005F316A" w:rsidRPr="005F316A" w:rsidTr="00F36DAB">
        <w:trPr>
          <w:trHeight w:val="240"/>
        </w:trPr>
        <w:tc>
          <w:tcPr>
            <w:tcW w:w="3870" w:type="dxa"/>
            <w:tcBorders>
              <w:bottom w:val="single" w:sz="4" w:space="0" w:color="auto"/>
            </w:tcBorders>
            <w:shd w:val="clear" w:color="auto" w:fill="auto"/>
            <w:noWrap/>
            <w:hideMark/>
          </w:tcPr>
          <w:p w:rsidR="003A4C9D" w:rsidRPr="005F316A" w:rsidRDefault="00475BFC">
            <w:pPr>
              <w:spacing w:before="40" w:after="40" w:line="220" w:lineRule="exact"/>
              <w:rPr>
                <w:sz w:val="18"/>
                <w:szCs w:val="24"/>
                <w:lang w:val="en-GB" w:eastAsia="en-GB"/>
              </w:rPr>
            </w:pPr>
            <w:r w:rsidRPr="005F316A">
              <w:rPr>
                <w:sz w:val="18"/>
                <w:szCs w:val="24"/>
                <w:lang w:val="en-GB" w:eastAsia="en-GB"/>
              </w:rPr>
              <w:t>Exclusi</w:t>
            </w:r>
            <w:r>
              <w:rPr>
                <w:sz w:val="18"/>
                <w:szCs w:val="24"/>
                <w:lang w:val="en-GB" w:eastAsia="en-GB"/>
              </w:rPr>
              <w:t>ó</w:t>
            </w:r>
            <w:r w:rsidRPr="005F316A">
              <w:rPr>
                <w:sz w:val="18"/>
                <w:szCs w:val="24"/>
                <w:lang w:val="en-GB" w:eastAsia="en-GB"/>
              </w:rPr>
              <w:t xml:space="preserve">n </w:t>
            </w:r>
            <w:r w:rsidR="005F316A" w:rsidRPr="005F316A">
              <w:rPr>
                <w:sz w:val="18"/>
                <w:szCs w:val="24"/>
                <w:lang w:val="en-GB" w:eastAsia="en-GB"/>
              </w:rPr>
              <w:t>social</w:t>
            </w:r>
          </w:p>
        </w:tc>
        <w:tc>
          <w:tcPr>
            <w:tcW w:w="1167" w:type="dxa"/>
            <w:tcBorders>
              <w:bottom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0,2</w:t>
            </w:r>
          </w:p>
        </w:tc>
        <w:tc>
          <w:tcPr>
            <w:tcW w:w="1167" w:type="dxa"/>
            <w:tcBorders>
              <w:bottom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0,2</w:t>
            </w:r>
          </w:p>
        </w:tc>
        <w:tc>
          <w:tcPr>
            <w:tcW w:w="1167" w:type="dxa"/>
            <w:tcBorders>
              <w:bottom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0,3</w:t>
            </w:r>
          </w:p>
        </w:tc>
      </w:tr>
      <w:tr w:rsidR="005F316A" w:rsidRPr="00475BFC" w:rsidTr="00F36DAB">
        <w:trPr>
          <w:trHeight w:val="240"/>
        </w:trPr>
        <w:tc>
          <w:tcPr>
            <w:tcW w:w="3870" w:type="dxa"/>
            <w:tcBorders>
              <w:top w:val="single" w:sz="4" w:space="0" w:color="auto"/>
              <w:bottom w:val="single" w:sz="4" w:space="0" w:color="auto"/>
            </w:tcBorders>
            <w:shd w:val="clear" w:color="auto" w:fill="auto"/>
            <w:noWrap/>
            <w:hideMark/>
          </w:tcPr>
          <w:p w:rsidR="003A4C9D" w:rsidRPr="00475BFC" w:rsidRDefault="005F316A" w:rsidP="00F36DAB">
            <w:pPr>
              <w:spacing w:before="80" w:after="80" w:line="220" w:lineRule="exact"/>
              <w:ind w:left="283"/>
              <w:rPr>
                <w:b/>
                <w:sz w:val="18"/>
                <w:szCs w:val="24"/>
                <w:lang w:val="en-GB" w:eastAsia="en-GB"/>
              </w:rPr>
            </w:pPr>
            <w:r w:rsidRPr="00F36DAB">
              <w:rPr>
                <w:b/>
                <w:sz w:val="18"/>
                <w:szCs w:val="24"/>
                <w:lang w:val="en-GB" w:eastAsia="en-GB"/>
              </w:rPr>
              <w:t>Total funciones</w:t>
            </w:r>
          </w:p>
        </w:tc>
        <w:tc>
          <w:tcPr>
            <w:tcW w:w="1167" w:type="dxa"/>
            <w:tcBorders>
              <w:top w:val="single" w:sz="4" w:space="0" w:color="auto"/>
              <w:bottom w:val="single" w:sz="4" w:space="0" w:color="auto"/>
            </w:tcBorders>
            <w:shd w:val="clear" w:color="auto" w:fill="auto"/>
            <w:noWrap/>
            <w:vAlign w:val="bottom"/>
            <w:hideMark/>
          </w:tcPr>
          <w:p w:rsidR="003A4C9D" w:rsidRPr="00475BFC" w:rsidRDefault="003A4C9D" w:rsidP="00F36DAB">
            <w:pPr>
              <w:spacing w:before="80" w:after="80" w:line="220" w:lineRule="exact"/>
              <w:ind w:left="85" w:right="28"/>
              <w:jc w:val="right"/>
              <w:rPr>
                <w:b/>
                <w:sz w:val="18"/>
                <w:szCs w:val="24"/>
                <w:lang w:val="en-GB" w:eastAsia="en-GB"/>
              </w:rPr>
            </w:pPr>
            <w:r w:rsidRPr="00475BFC">
              <w:rPr>
                <w:b/>
                <w:sz w:val="18"/>
                <w:szCs w:val="24"/>
                <w:lang w:val="en-GB" w:eastAsia="en-GB"/>
              </w:rPr>
              <w:t>25,0</w:t>
            </w:r>
          </w:p>
        </w:tc>
        <w:tc>
          <w:tcPr>
            <w:tcW w:w="1167" w:type="dxa"/>
            <w:tcBorders>
              <w:top w:val="single" w:sz="4" w:space="0" w:color="auto"/>
              <w:bottom w:val="single" w:sz="4" w:space="0" w:color="auto"/>
            </w:tcBorders>
            <w:shd w:val="clear" w:color="auto" w:fill="auto"/>
            <w:noWrap/>
            <w:vAlign w:val="bottom"/>
            <w:hideMark/>
          </w:tcPr>
          <w:p w:rsidR="003A4C9D" w:rsidRPr="00475BFC" w:rsidRDefault="003A4C9D" w:rsidP="00F36DAB">
            <w:pPr>
              <w:spacing w:before="80" w:after="80" w:line="220" w:lineRule="exact"/>
              <w:ind w:left="85" w:right="28"/>
              <w:jc w:val="right"/>
              <w:rPr>
                <w:b/>
                <w:sz w:val="18"/>
                <w:szCs w:val="24"/>
                <w:lang w:val="en-GB" w:eastAsia="en-GB"/>
              </w:rPr>
            </w:pPr>
            <w:r w:rsidRPr="00475BFC">
              <w:rPr>
                <w:b/>
                <w:sz w:val="18"/>
                <w:szCs w:val="24"/>
                <w:lang w:val="en-GB" w:eastAsia="en-GB"/>
              </w:rPr>
              <w:t>25,3</w:t>
            </w:r>
          </w:p>
        </w:tc>
        <w:tc>
          <w:tcPr>
            <w:tcW w:w="1167" w:type="dxa"/>
            <w:tcBorders>
              <w:top w:val="single" w:sz="4" w:space="0" w:color="auto"/>
              <w:bottom w:val="single" w:sz="4" w:space="0" w:color="auto"/>
            </w:tcBorders>
            <w:shd w:val="clear" w:color="auto" w:fill="auto"/>
            <w:noWrap/>
            <w:vAlign w:val="bottom"/>
            <w:hideMark/>
          </w:tcPr>
          <w:p w:rsidR="003A4C9D" w:rsidRPr="00475BFC" w:rsidRDefault="003A4C9D" w:rsidP="00F36DAB">
            <w:pPr>
              <w:spacing w:before="80" w:after="80" w:line="220" w:lineRule="exact"/>
              <w:ind w:left="85" w:right="28"/>
              <w:jc w:val="right"/>
              <w:rPr>
                <w:b/>
                <w:sz w:val="18"/>
                <w:szCs w:val="24"/>
                <w:lang w:val="en-GB" w:eastAsia="en-GB"/>
              </w:rPr>
            </w:pPr>
            <w:r w:rsidRPr="00475BFC">
              <w:rPr>
                <w:b/>
                <w:sz w:val="18"/>
                <w:szCs w:val="24"/>
                <w:lang w:val="en-GB" w:eastAsia="en-GB"/>
              </w:rPr>
              <w:t>24,9</w:t>
            </w:r>
          </w:p>
        </w:tc>
      </w:tr>
      <w:tr w:rsidR="005F316A" w:rsidRPr="005F316A" w:rsidTr="00F36DAB">
        <w:trPr>
          <w:trHeight w:val="240"/>
        </w:trPr>
        <w:tc>
          <w:tcPr>
            <w:tcW w:w="3870" w:type="dxa"/>
            <w:tcBorders>
              <w:top w:val="single" w:sz="4" w:space="0" w:color="auto"/>
            </w:tcBorders>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Gastos funcionamiento</w:t>
            </w:r>
          </w:p>
        </w:tc>
        <w:tc>
          <w:tcPr>
            <w:tcW w:w="1167" w:type="dxa"/>
            <w:tcBorders>
              <w:top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0,5</w:t>
            </w:r>
          </w:p>
        </w:tc>
        <w:tc>
          <w:tcPr>
            <w:tcW w:w="1167" w:type="dxa"/>
            <w:tcBorders>
              <w:top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0,5</w:t>
            </w:r>
          </w:p>
        </w:tc>
        <w:tc>
          <w:tcPr>
            <w:tcW w:w="1167" w:type="dxa"/>
            <w:tcBorders>
              <w:top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0,5</w:t>
            </w:r>
          </w:p>
        </w:tc>
      </w:tr>
      <w:tr w:rsidR="005F316A" w:rsidRPr="005F316A" w:rsidTr="00F36DAB">
        <w:trPr>
          <w:trHeight w:val="240"/>
        </w:trPr>
        <w:tc>
          <w:tcPr>
            <w:tcW w:w="3870" w:type="dxa"/>
            <w:tcBorders>
              <w:bottom w:val="single" w:sz="4" w:space="0" w:color="auto"/>
            </w:tcBorders>
            <w:shd w:val="clear" w:color="auto" w:fill="auto"/>
            <w:noWrap/>
            <w:hideMark/>
          </w:tcPr>
          <w:p w:rsidR="003A4C9D" w:rsidRPr="005F316A" w:rsidRDefault="005F316A">
            <w:pPr>
              <w:spacing w:before="40" w:after="40" w:line="220" w:lineRule="exact"/>
              <w:rPr>
                <w:sz w:val="18"/>
                <w:szCs w:val="24"/>
                <w:lang w:val="en-GB" w:eastAsia="en-GB"/>
              </w:rPr>
            </w:pPr>
            <w:r w:rsidRPr="005F316A">
              <w:rPr>
                <w:sz w:val="18"/>
                <w:szCs w:val="24"/>
                <w:lang w:val="en-GB" w:eastAsia="en-GB"/>
              </w:rPr>
              <w:t xml:space="preserve">Otros gastos </w:t>
            </w:r>
          </w:p>
        </w:tc>
        <w:tc>
          <w:tcPr>
            <w:tcW w:w="1167" w:type="dxa"/>
            <w:tcBorders>
              <w:bottom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0,0</w:t>
            </w:r>
          </w:p>
        </w:tc>
        <w:tc>
          <w:tcPr>
            <w:tcW w:w="1167" w:type="dxa"/>
            <w:tcBorders>
              <w:bottom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0,0</w:t>
            </w:r>
          </w:p>
        </w:tc>
        <w:tc>
          <w:tcPr>
            <w:tcW w:w="1167" w:type="dxa"/>
            <w:tcBorders>
              <w:bottom w:val="single" w:sz="4" w:space="0" w:color="auto"/>
            </w:tcBorders>
            <w:shd w:val="clear" w:color="auto" w:fill="auto"/>
            <w:noWrap/>
            <w:vAlign w:val="bottom"/>
            <w:hideMark/>
          </w:tcPr>
          <w:p w:rsidR="003A4C9D" w:rsidRPr="005F316A" w:rsidRDefault="003A4C9D" w:rsidP="00F36DAB">
            <w:pPr>
              <w:spacing w:before="40" w:after="40" w:line="220" w:lineRule="exact"/>
              <w:ind w:left="85" w:right="28"/>
              <w:jc w:val="right"/>
              <w:rPr>
                <w:sz w:val="18"/>
                <w:szCs w:val="24"/>
                <w:lang w:val="en-GB" w:eastAsia="en-GB"/>
              </w:rPr>
            </w:pPr>
            <w:r w:rsidRPr="005F316A">
              <w:rPr>
                <w:sz w:val="18"/>
                <w:szCs w:val="24"/>
                <w:lang w:val="en-GB" w:eastAsia="en-GB"/>
              </w:rPr>
              <w:t>0,0</w:t>
            </w:r>
          </w:p>
        </w:tc>
      </w:tr>
      <w:tr w:rsidR="005F316A" w:rsidRPr="00475BFC" w:rsidTr="00F36DAB">
        <w:trPr>
          <w:trHeight w:val="240"/>
        </w:trPr>
        <w:tc>
          <w:tcPr>
            <w:tcW w:w="3870" w:type="dxa"/>
            <w:tcBorders>
              <w:top w:val="single" w:sz="4" w:space="0" w:color="auto"/>
              <w:bottom w:val="single" w:sz="12" w:space="0" w:color="auto"/>
            </w:tcBorders>
            <w:shd w:val="clear" w:color="auto" w:fill="auto"/>
            <w:noWrap/>
            <w:hideMark/>
          </w:tcPr>
          <w:p w:rsidR="003A4C9D" w:rsidRPr="00475BFC" w:rsidRDefault="005F316A" w:rsidP="00F36DAB">
            <w:pPr>
              <w:spacing w:before="80" w:after="80" w:line="220" w:lineRule="exact"/>
              <w:ind w:left="283"/>
              <w:rPr>
                <w:b/>
                <w:sz w:val="18"/>
                <w:szCs w:val="24"/>
                <w:lang w:val="en-GB" w:eastAsia="en-GB"/>
              </w:rPr>
            </w:pPr>
            <w:r w:rsidRPr="00F36DAB">
              <w:rPr>
                <w:b/>
                <w:sz w:val="18"/>
                <w:szCs w:val="24"/>
                <w:lang w:val="en-GB" w:eastAsia="en-GB"/>
              </w:rPr>
              <w:t xml:space="preserve">Total gastos </w:t>
            </w:r>
            <w:r w:rsidR="00475BFC" w:rsidRPr="00F36DAB">
              <w:rPr>
                <w:b/>
                <w:sz w:val="18"/>
                <w:szCs w:val="24"/>
                <w:lang w:val="en-GB" w:eastAsia="en-GB"/>
              </w:rPr>
              <w:t>España</w:t>
            </w:r>
          </w:p>
        </w:tc>
        <w:tc>
          <w:tcPr>
            <w:tcW w:w="1167" w:type="dxa"/>
            <w:tcBorders>
              <w:top w:val="single" w:sz="4" w:space="0" w:color="auto"/>
              <w:bottom w:val="single" w:sz="12" w:space="0" w:color="auto"/>
            </w:tcBorders>
            <w:shd w:val="clear" w:color="auto" w:fill="auto"/>
            <w:noWrap/>
            <w:vAlign w:val="bottom"/>
            <w:hideMark/>
          </w:tcPr>
          <w:p w:rsidR="003A4C9D" w:rsidRPr="00475BFC" w:rsidRDefault="003A4C9D" w:rsidP="00F36DAB">
            <w:pPr>
              <w:spacing w:before="80" w:after="80" w:line="220" w:lineRule="exact"/>
              <w:ind w:left="85" w:right="28"/>
              <w:jc w:val="right"/>
              <w:rPr>
                <w:b/>
                <w:sz w:val="18"/>
                <w:szCs w:val="24"/>
                <w:lang w:val="en-GB" w:eastAsia="en-GB"/>
              </w:rPr>
            </w:pPr>
            <w:r w:rsidRPr="00475BFC">
              <w:rPr>
                <w:b/>
                <w:sz w:val="18"/>
                <w:szCs w:val="24"/>
                <w:lang w:val="en-GB" w:eastAsia="en-GB"/>
              </w:rPr>
              <w:t>25,5</w:t>
            </w:r>
          </w:p>
        </w:tc>
        <w:tc>
          <w:tcPr>
            <w:tcW w:w="1167" w:type="dxa"/>
            <w:tcBorders>
              <w:top w:val="single" w:sz="4" w:space="0" w:color="auto"/>
              <w:bottom w:val="single" w:sz="12" w:space="0" w:color="auto"/>
            </w:tcBorders>
            <w:shd w:val="clear" w:color="auto" w:fill="auto"/>
            <w:noWrap/>
            <w:vAlign w:val="bottom"/>
            <w:hideMark/>
          </w:tcPr>
          <w:p w:rsidR="003A4C9D" w:rsidRPr="00475BFC" w:rsidRDefault="003A4C9D" w:rsidP="00F36DAB">
            <w:pPr>
              <w:spacing w:before="80" w:after="80" w:line="220" w:lineRule="exact"/>
              <w:ind w:left="85" w:right="28"/>
              <w:jc w:val="right"/>
              <w:rPr>
                <w:b/>
                <w:sz w:val="18"/>
                <w:szCs w:val="24"/>
                <w:lang w:val="en-GB" w:eastAsia="en-GB"/>
              </w:rPr>
            </w:pPr>
            <w:r w:rsidRPr="00475BFC">
              <w:rPr>
                <w:b/>
                <w:sz w:val="18"/>
                <w:szCs w:val="24"/>
                <w:lang w:val="en-GB" w:eastAsia="en-GB"/>
              </w:rPr>
              <w:t>25,8</w:t>
            </w:r>
          </w:p>
        </w:tc>
        <w:tc>
          <w:tcPr>
            <w:tcW w:w="1167" w:type="dxa"/>
            <w:tcBorders>
              <w:top w:val="single" w:sz="4" w:space="0" w:color="auto"/>
              <w:bottom w:val="single" w:sz="12" w:space="0" w:color="auto"/>
            </w:tcBorders>
            <w:shd w:val="clear" w:color="auto" w:fill="auto"/>
            <w:noWrap/>
            <w:vAlign w:val="bottom"/>
            <w:hideMark/>
          </w:tcPr>
          <w:p w:rsidR="003A4C9D" w:rsidRPr="00475BFC" w:rsidRDefault="003A4C9D" w:rsidP="00F36DAB">
            <w:pPr>
              <w:spacing w:before="80" w:after="80" w:line="220" w:lineRule="exact"/>
              <w:ind w:left="85" w:right="28"/>
              <w:jc w:val="right"/>
              <w:rPr>
                <w:b/>
                <w:sz w:val="18"/>
                <w:szCs w:val="24"/>
                <w:lang w:val="en-GB" w:eastAsia="en-GB"/>
              </w:rPr>
            </w:pPr>
            <w:r w:rsidRPr="00475BFC">
              <w:rPr>
                <w:b/>
                <w:sz w:val="18"/>
                <w:szCs w:val="24"/>
                <w:lang w:val="en-GB" w:eastAsia="en-GB"/>
              </w:rPr>
              <w:t>25,4</w:t>
            </w:r>
          </w:p>
        </w:tc>
      </w:tr>
    </w:tbl>
    <w:p w:rsidR="00107DA7" w:rsidRPr="00F36DAB" w:rsidRDefault="002045BD" w:rsidP="00F36DAB">
      <w:pPr>
        <w:pStyle w:val="SingleTxtG"/>
        <w:spacing w:before="120" w:after="240"/>
        <w:ind w:firstLine="170"/>
        <w:rPr>
          <w:rFonts w:eastAsia="Calibri"/>
          <w:sz w:val="18"/>
          <w:szCs w:val="18"/>
        </w:rPr>
      </w:pPr>
      <w:r w:rsidRPr="00F36DAB">
        <w:rPr>
          <w:rFonts w:eastAsia="Calibri"/>
          <w:i/>
          <w:sz w:val="18"/>
          <w:szCs w:val="18"/>
        </w:rPr>
        <w:t>Fuente:</w:t>
      </w:r>
      <w:r w:rsidRPr="00F36DAB">
        <w:rPr>
          <w:rFonts w:eastAsia="Calibri"/>
          <w:sz w:val="18"/>
          <w:szCs w:val="18"/>
        </w:rPr>
        <w:t xml:space="preserve"> Eurostat</w:t>
      </w:r>
      <w:r w:rsidR="00475BFC">
        <w:rPr>
          <w:rFonts w:eastAsia="Calibri"/>
          <w:sz w:val="18"/>
          <w:szCs w:val="18"/>
        </w:rPr>
        <w:t>.</w:t>
      </w:r>
    </w:p>
    <w:p w:rsidR="002045BD" w:rsidRPr="00F36DAB" w:rsidRDefault="00475BFC" w:rsidP="00F36DAB">
      <w:pPr>
        <w:pStyle w:val="H23G"/>
        <w:rPr>
          <w:sz w:val="16"/>
        </w:rPr>
      </w:pPr>
      <w:r>
        <w:lastRenderedPageBreak/>
        <w:tab/>
      </w:r>
      <w:r>
        <w:tab/>
      </w:r>
      <w:r w:rsidR="002045BD" w:rsidRPr="002045BD">
        <w:t xml:space="preserve">Total gasto de protección social en </w:t>
      </w:r>
      <w:r w:rsidR="00FB37F5">
        <w:t>porcentaje</w:t>
      </w:r>
      <w:r w:rsidR="002045BD" w:rsidRPr="002045BD">
        <w:t xml:space="preserve"> sobre PIB en España</w:t>
      </w:r>
      <w:r w:rsidR="002045BD">
        <w:br/>
      </w:r>
      <w:r w:rsidR="002045BD" w:rsidRPr="00F36DAB">
        <w:rPr>
          <w:b w:val="0"/>
          <w:bCs/>
          <w:sz w:val="16"/>
        </w:rPr>
        <w:t>(Distribución Porcentual)</w:t>
      </w:r>
    </w:p>
    <w:tbl>
      <w:tblPr>
        <w:tblW w:w="7370" w:type="dxa"/>
        <w:tblInd w:w="1134" w:type="dxa"/>
        <w:tblLayout w:type="fixed"/>
        <w:tblCellMar>
          <w:left w:w="0" w:type="dxa"/>
          <w:right w:w="0" w:type="dxa"/>
        </w:tblCellMar>
        <w:tblLook w:val="04A0" w:firstRow="1" w:lastRow="0" w:firstColumn="1" w:lastColumn="0" w:noHBand="0" w:noVBand="1"/>
      </w:tblPr>
      <w:tblGrid>
        <w:gridCol w:w="4585"/>
        <w:gridCol w:w="914"/>
        <w:gridCol w:w="934"/>
        <w:gridCol w:w="937"/>
      </w:tblGrid>
      <w:tr w:rsidR="00F81017" w:rsidRPr="002045BD" w:rsidTr="002045BD">
        <w:trPr>
          <w:tblHeader/>
        </w:trPr>
        <w:tc>
          <w:tcPr>
            <w:tcW w:w="4585" w:type="dxa"/>
            <w:tcBorders>
              <w:top w:val="single" w:sz="4" w:space="0" w:color="auto"/>
              <w:bottom w:val="single" w:sz="12" w:space="0" w:color="auto"/>
            </w:tcBorders>
            <w:shd w:val="clear" w:color="auto" w:fill="auto"/>
            <w:noWrap/>
            <w:vAlign w:val="bottom"/>
            <w:hideMark/>
          </w:tcPr>
          <w:p w:rsidR="00384375" w:rsidRPr="002045BD" w:rsidRDefault="00475BFC" w:rsidP="002045BD">
            <w:pPr>
              <w:spacing w:before="80" w:after="80" w:line="200" w:lineRule="exact"/>
              <w:rPr>
                <w:i/>
                <w:sz w:val="16"/>
              </w:rPr>
            </w:pPr>
            <w:r w:rsidRPr="002045BD">
              <w:rPr>
                <w:i/>
                <w:sz w:val="16"/>
              </w:rPr>
              <w:t>Funciones</w:t>
            </w:r>
          </w:p>
        </w:tc>
        <w:tc>
          <w:tcPr>
            <w:tcW w:w="914" w:type="dxa"/>
            <w:tcBorders>
              <w:top w:val="single" w:sz="4" w:space="0" w:color="auto"/>
              <w:bottom w:val="single" w:sz="12" w:space="0" w:color="auto"/>
            </w:tcBorders>
            <w:shd w:val="clear" w:color="auto" w:fill="auto"/>
            <w:noWrap/>
            <w:vAlign w:val="bottom"/>
            <w:hideMark/>
          </w:tcPr>
          <w:p w:rsidR="00384375" w:rsidRPr="002045BD" w:rsidRDefault="00384375" w:rsidP="00F36DAB">
            <w:pPr>
              <w:spacing w:before="80" w:after="80" w:line="200" w:lineRule="exact"/>
              <w:ind w:left="85" w:right="28"/>
              <w:jc w:val="right"/>
              <w:rPr>
                <w:i/>
                <w:sz w:val="16"/>
              </w:rPr>
            </w:pPr>
            <w:r w:rsidRPr="002045BD">
              <w:rPr>
                <w:i/>
                <w:sz w:val="16"/>
              </w:rPr>
              <w:t>2012</w:t>
            </w:r>
          </w:p>
        </w:tc>
        <w:tc>
          <w:tcPr>
            <w:tcW w:w="934" w:type="dxa"/>
            <w:tcBorders>
              <w:top w:val="single" w:sz="4" w:space="0" w:color="auto"/>
              <w:bottom w:val="single" w:sz="12" w:space="0" w:color="auto"/>
            </w:tcBorders>
            <w:shd w:val="clear" w:color="auto" w:fill="auto"/>
            <w:noWrap/>
            <w:vAlign w:val="bottom"/>
            <w:hideMark/>
          </w:tcPr>
          <w:p w:rsidR="00384375" w:rsidRPr="002045BD" w:rsidRDefault="00384375" w:rsidP="00F36DAB">
            <w:pPr>
              <w:spacing w:before="80" w:after="80" w:line="200" w:lineRule="exact"/>
              <w:ind w:left="85" w:right="28"/>
              <w:jc w:val="right"/>
              <w:rPr>
                <w:i/>
                <w:sz w:val="16"/>
              </w:rPr>
            </w:pPr>
            <w:r w:rsidRPr="002045BD">
              <w:rPr>
                <w:i/>
                <w:sz w:val="16"/>
              </w:rPr>
              <w:t>2013</w:t>
            </w:r>
          </w:p>
        </w:tc>
        <w:tc>
          <w:tcPr>
            <w:tcW w:w="937" w:type="dxa"/>
            <w:tcBorders>
              <w:top w:val="single" w:sz="4" w:space="0" w:color="auto"/>
              <w:bottom w:val="single" w:sz="12" w:space="0" w:color="auto"/>
            </w:tcBorders>
            <w:shd w:val="clear" w:color="auto" w:fill="auto"/>
            <w:noWrap/>
            <w:vAlign w:val="bottom"/>
            <w:hideMark/>
          </w:tcPr>
          <w:p w:rsidR="00384375" w:rsidRPr="002045BD" w:rsidRDefault="00384375" w:rsidP="00F36DAB">
            <w:pPr>
              <w:spacing w:before="80" w:after="80" w:line="200" w:lineRule="exact"/>
              <w:ind w:left="85" w:right="28"/>
              <w:jc w:val="right"/>
              <w:rPr>
                <w:i/>
                <w:sz w:val="16"/>
              </w:rPr>
            </w:pPr>
            <w:r w:rsidRPr="002045BD">
              <w:rPr>
                <w:i/>
                <w:sz w:val="16"/>
              </w:rPr>
              <w:t>2014</w:t>
            </w:r>
          </w:p>
        </w:tc>
      </w:tr>
      <w:tr w:rsidR="00F81017" w:rsidRPr="002045BD" w:rsidTr="002045BD">
        <w:tc>
          <w:tcPr>
            <w:tcW w:w="4585" w:type="dxa"/>
            <w:tcBorders>
              <w:top w:val="single" w:sz="12" w:space="0" w:color="auto"/>
            </w:tcBorders>
            <w:shd w:val="clear" w:color="auto" w:fill="auto"/>
            <w:noWrap/>
            <w:hideMark/>
          </w:tcPr>
          <w:p w:rsidR="00384375" w:rsidRPr="002045BD" w:rsidRDefault="00475BFC" w:rsidP="002045BD">
            <w:pPr>
              <w:spacing w:before="40" w:after="40" w:line="220" w:lineRule="exact"/>
              <w:rPr>
                <w:sz w:val="18"/>
              </w:rPr>
            </w:pPr>
            <w:r w:rsidRPr="002045BD">
              <w:rPr>
                <w:sz w:val="18"/>
              </w:rPr>
              <w:t>Enfermedad</w:t>
            </w:r>
          </w:p>
        </w:tc>
        <w:tc>
          <w:tcPr>
            <w:tcW w:w="914" w:type="dxa"/>
            <w:tcBorders>
              <w:top w:val="single" w:sz="12"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26,0</w:t>
            </w:r>
          </w:p>
        </w:tc>
        <w:tc>
          <w:tcPr>
            <w:tcW w:w="934" w:type="dxa"/>
            <w:tcBorders>
              <w:top w:val="single" w:sz="12"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25,0</w:t>
            </w:r>
          </w:p>
        </w:tc>
        <w:tc>
          <w:tcPr>
            <w:tcW w:w="937" w:type="dxa"/>
            <w:tcBorders>
              <w:top w:val="single" w:sz="12"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25,6</w:t>
            </w:r>
          </w:p>
        </w:tc>
      </w:tr>
      <w:tr w:rsidR="00F81017" w:rsidRPr="002045BD" w:rsidTr="002045BD">
        <w:tc>
          <w:tcPr>
            <w:tcW w:w="4585" w:type="dxa"/>
            <w:shd w:val="clear" w:color="auto" w:fill="auto"/>
            <w:noWrap/>
            <w:hideMark/>
          </w:tcPr>
          <w:p w:rsidR="00384375" w:rsidRPr="002045BD" w:rsidRDefault="00475BFC" w:rsidP="002045BD">
            <w:pPr>
              <w:spacing w:before="40" w:after="40" w:line="220" w:lineRule="exact"/>
              <w:rPr>
                <w:sz w:val="18"/>
              </w:rPr>
            </w:pPr>
            <w:r w:rsidRPr="002045BD">
              <w:rPr>
                <w:sz w:val="18"/>
              </w:rPr>
              <w:t>Invalidez</w:t>
            </w:r>
          </w:p>
        </w:tc>
        <w:tc>
          <w:tcPr>
            <w:tcW w:w="91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7,1</w:t>
            </w:r>
          </w:p>
        </w:tc>
        <w:tc>
          <w:tcPr>
            <w:tcW w:w="93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7,2</w:t>
            </w:r>
          </w:p>
        </w:tc>
        <w:tc>
          <w:tcPr>
            <w:tcW w:w="937"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7,2</w:t>
            </w:r>
          </w:p>
        </w:tc>
      </w:tr>
      <w:tr w:rsidR="00F81017" w:rsidRPr="002045BD" w:rsidTr="002045BD">
        <w:tc>
          <w:tcPr>
            <w:tcW w:w="4585" w:type="dxa"/>
            <w:shd w:val="clear" w:color="auto" w:fill="auto"/>
            <w:noWrap/>
            <w:hideMark/>
          </w:tcPr>
          <w:p w:rsidR="00384375" w:rsidRPr="002045BD" w:rsidRDefault="00475BFC" w:rsidP="002045BD">
            <w:pPr>
              <w:spacing w:before="40" w:after="40" w:line="220" w:lineRule="exact"/>
              <w:rPr>
                <w:sz w:val="18"/>
              </w:rPr>
            </w:pPr>
            <w:r w:rsidRPr="002045BD">
              <w:rPr>
                <w:sz w:val="18"/>
              </w:rPr>
              <w:t>Vejez</w:t>
            </w:r>
          </w:p>
        </w:tc>
        <w:tc>
          <w:tcPr>
            <w:tcW w:w="91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35,6</w:t>
            </w:r>
          </w:p>
        </w:tc>
        <w:tc>
          <w:tcPr>
            <w:tcW w:w="93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37,1</w:t>
            </w:r>
          </w:p>
        </w:tc>
        <w:tc>
          <w:tcPr>
            <w:tcW w:w="937"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38,5</w:t>
            </w:r>
          </w:p>
        </w:tc>
      </w:tr>
      <w:tr w:rsidR="00F81017" w:rsidRPr="002045BD" w:rsidTr="002045BD">
        <w:tc>
          <w:tcPr>
            <w:tcW w:w="4585" w:type="dxa"/>
            <w:shd w:val="clear" w:color="auto" w:fill="auto"/>
            <w:noWrap/>
            <w:hideMark/>
          </w:tcPr>
          <w:p w:rsidR="00384375" w:rsidRPr="002045BD" w:rsidRDefault="00475BFC" w:rsidP="002045BD">
            <w:pPr>
              <w:spacing w:before="40" w:after="40" w:line="220" w:lineRule="exact"/>
              <w:rPr>
                <w:sz w:val="18"/>
              </w:rPr>
            </w:pPr>
            <w:r w:rsidRPr="002045BD">
              <w:rPr>
                <w:sz w:val="18"/>
              </w:rPr>
              <w:t>Supervivencia</w:t>
            </w:r>
          </w:p>
        </w:tc>
        <w:tc>
          <w:tcPr>
            <w:tcW w:w="91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9,2</w:t>
            </w:r>
          </w:p>
        </w:tc>
        <w:tc>
          <w:tcPr>
            <w:tcW w:w="93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9,5</w:t>
            </w:r>
          </w:p>
        </w:tc>
        <w:tc>
          <w:tcPr>
            <w:tcW w:w="937"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9,7</w:t>
            </w:r>
          </w:p>
        </w:tc>
      </w:tr>
      <w:tr w:rsidR="00F81017" w:rsidRPr="002045BD" w:rsidTr="002045BD">
        <w:tc>
          <w:tcPr>
            <w:tcW w:w="4585" w:type="dxa"/>
            <w:shd w:val="clear" w:color="auto" w:fill="auto"/>
            <w:noWrap/>
            <w:hideMark/>
          </w:tcPr>
          <w:p w:rsidR="00384375" w:rsidRPr="002045BD" w:rsidRDefault="00475BFC" w:rsidP="002045BD">
            <w:pPr>
              <w:spacing w:before="40" w:after="40" w:line="220" w:lineRule="exact"/>
              <w:rPr>
                <w:sz w:val="18"/>
              </w:rPr>
            </w:pPr>
            <w:r w:rsidRPr="002045BD">
              <w:rPr>
                <w:sz w:val="18"/>
              </w:rPr>
              <w:t>Familia</w:t>
            </w:r>
          </w:p>
        </w:tc>
        <w:tc>
          <w:tcPr>
            <w:tcW w:w="91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5,3</w:t>
            </w:r>
          </w:p>
        </w:tc>
        <w:tc>
          <w:tcPr>
            <w:tcW w:w="93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5,3</w:t>
            </w:r>
          </w:p>
        </w:tc>
        <w:tc>
          <w:tcPr>
            <w:tcW w:w="937"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5,2</w:t>
            </w:r>
          </w:p>
        </w:tc>
      </w:tr>
      <w:tr w:rsidR="00F81017" w:rsidRPr="002045BD" w:rsidTr="002045BD">
        <w:tc>
          <w:tcPr>
            <w:tcW w:w="4585" w:type="dxa"/>
            <w:shd w:val="clear" w:color="auto" w:fill="auto"/>
            <w:noWrap/>
            <w:hideMark/>
          </w:tcPr>
          <w:p w:rsidR="00384375" w:rsidRPr="002045BD" w:rsidRDefault="00475BFC" w:rsidP="002045BD">
            <w:pPr>
              <w:spacing w:before="40" w:after="40" w:line="220" w:lineRule="exact"/>
              <w:rPr>
                <w:sz w:val="18"/>
              </w:rPr>
            </w:pPr>
            <w:r w:rsidRPr="002045BD">
              <w:rPr>
                <w:sz w:val="18"/>
              </w:rPr>
              <w:t>Desempleo</w:t>
            </w:r>
          </w:p>
        </w:tc>
        <w:tc>
          <w:tcPr>
            <w:tcW w:w="91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13,5</w:t>
            </w:r>
          </w:p>
        </w:tc>
        <w:tc>
          <w:tcPr>
            <w:tcW w:w="93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12,7</w:t>
            </w:r>
          </w:p>
        </w:tc>
        <w:tc>
          <w:tcPr>
            <w:tcW w:w="937"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10,6</w:t>
            </w:r>
          </w:p>
        </w:tc>
      </w:tr>
      <w:tr w:rsidR="00F81017" w:rsidRPr="002045BD" w:rsidTr="002045BD">
        <w:tc>
          <w:tcPr>
            <w:tcW w:w="4585" w:type="dxa"/>
            <w:shd w:val="clear" w:color="auto" w:fill="auto"/>
            <w:noWrap/>
            <w:hideMark/>
          </w:tcPr>
          <w:p w:rsidR="00384375" w:rsidRPr="002045BD" w:rsidRDefault="00475BFC" w:rsidP="002045BD">
            <w:pPr>
              <w:spacing w:before="40" w:after="40" w:line="220" w:lineRule="exact"/>
              <w:rPr>
                <w:sz w:val="18"/>
              </w:rPr>
            </w:pPr>
            <w:r w:rsidRPr="002045BD">
              <w:rPr>
                <w:sz w:val="18"/>
              </w:rPr>
              <w:t>Vivienda</w:t>
            </w:r>
          </w:p>
        </w:tc>
        <w:tc>
          <w:tcPr>
            <w:tcW w:w="91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0,6</w:t>
            </w:r>
          </w:p>
        </w:tc>
        <w:tc>
          <w:tcPr>
            <w:tcW w:w="934"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0,4</w:t>
            </w:r>
          </w:p>
        </w:tc>
        <w:tc>
          <w:tcPr>
            <w:tcW w:w="937" w:type="dxa"/>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0,4</w:t>
            </w:r>
          </w:p>
        </w:tc>
      </w:tr>
      <w:tr w:rsidR="00F81017" w:rsidRPr="002045BD" w:rsidTr="00F36DAB">
        <w:tc>
          <w:tcPr>
            <w:tcW w:w="4585" w:type="dxa"/>
            <w:tcBorders>
              <w:bottom w:val="single" w:sz="4" w:space="0" w:color="auto"/>
            </w:tcBorders>
            <w:shd w:val="clear" w:color="auto" w:fill="auto"/>
            <w:noWrap/>
            <w:hideMark/>
          </w:tcPr>
          <w:p w:rsidR="00384375" w:rsidRPr="002045BD" w:rsidRDefault="00475BFC">
            <w:pPr>
              <w:spacing w:before="40" w:after="40" w:line="220" w:lineRule="exact"/>
              <w:rPr>
                <w:sz w:val="18"/>
              </w:rPr>
            </w:pPr>
            <w:r w:rsidRPr="002045BD">
              <w:rPr>
                <w:sz w:val="18"/>
              </w:rPr>
              <w:t>Exclusi</w:t>
            </w:r>
            <w:r>
              <w:rPr>
                <w:sz w:val="18"/>
              </w:rPr>
              <w:t>ó</w:t>
            </w:r>
            <w:r w:rsidRPr="002045BD">
              <w:rPr>
                <w:sz w:val="18"/>
              </w:rPr>
              <w:t>n social</w:t>
            </w:r>
          </w:p>
        </w:tc>
        <w:tc>
          <w:tcPr>
            <w:tcW w:w="914" w:type="dxa"/>
            <w:tcBorders>
              <w:bottom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0,9</w:t>
            </w:r>
          </w:p>
        </w:tc>
        <w:tc>
          <w:tcPr>
            <w:tcW w:w="934" w:type="dxa"/>
            <w:tcBorders>
              <w:bottom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0,9</w:t>
            </w:r>
          </w:p>
        </w:tc>
        <w:tc>
          <w:tcPr>
            <w:tcW w:w="937" w:type="dxa"/>
            <w:tcBorders>
              <w:bottom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1,0</w:t>
            </w:r>
          </w:p>
        </w:tc>
      </w:tr>
      <w:tr w:rsidR="00F81017" w:rsidRPr="00475BFC" w:rsidTr="00F36DAB">
        <w:tc>
          <w:tcPr>
            <w:tcW w:w="4585" w:type="dxa"/>
            <w:tcBorders>
              <w:top w:val="single" w:sz="4" w:space="0" w:color="auto"/>
              <w:bottom w:val="single" w:sz="4" w:space="0" w:color="auto"/>
            </w:tcBorders>
            <w:shd w:val="clear" w:color="auto" w:fill="auto"/>
            <w:noWrap/>
            <w:hideMark/>
          </w:tcPr>
          <w:p w:rsidR="00384375" w:rsidRPr="00475BFC" w:rsidRDefault="00475BFC" w:rsidP="00F36DAB">
            <w:pPr>
              <w:spacing w:before="80" w:after="80" w:line="220" w:lineRule="exact"/>
              <w:ind w:left="283"/>
              <w:rPr>
                <w:b/>
                <w:sz w:val="18"/>
              </w:rPr>
            </w:pPr>
            <w:r w:rsidRPr="00475BFC">
              <w:rPr>
                <w:b/>
                <w:sz w:val="18"/>
              </w:rPr>
              <w:t>Total funciones</w:t>
            </w:r>
          </w:p>
        </w:tc>
        <w:tc>
          <w:tcPr>
            <w:tcW w:w="914" w:type="dxa"/>
            <w:tcBorders>
              <w:top w:val="single" w:sz="4" w:space="0" w:color="auto"/>
              <w:bottom w:val="single" w:sz="4" w:space="0" w:color="auto"/>
            </w:tcBorders>
            <w:shd w:val="clear" w:color="auto" w:fill="auto"/>
            <w:noWrap/>
            <w:vAlign w:val="bottom"/>
            <w:hideMark/>
          </w:tcPr>
          <w:p w:rsidR="00384375" w:rsidRPr="00475BFC" w:rsidRDefault="00384375" w:rsidP="00F36DAB">
            <w:pPr>
              <w:spacing w:before="80" w:after="80" w:line="220" w:lineRule="exact"/>
              <w:ind w:left="85" w:right="28"/>
              <w:jc w:val="right"/>
              <w:rPr>
                <w:b/>
                <w:sz w:val="18"/>
              </w:rPr>
            </w:pPr>
            <w:r w:rsidRPr="00475BFC">
              <w:rPr>
                <w:b/>
                <w:sz w:val="18"/>
              </w:rPr>
              <w:t>98,1</w:t>
            </w:r>
          </w:p>
        </w:tc>
        <w:tc>
          <w:tcPr>
            <w:tcW w:w="934" w:type="dxa"/>
            <w:tcBorders>
              <w:top w:val="single" w:sz="4" w:space="0" w:color="auto"/>
              <w:bottom w:val="single" w:sz="4" w:space="0" w:color="auto"/>
            </w:tcBorders>
            <w:shd w:val="clear" w:color="auto" w:fill="auto"/>
            <w:noWrap/>
            <w:vAlign w:val="bottom"/>
            <w:hideMark/>
          </w:tcPr>
          <w:p w:rsidR="00384375" w:rsidRPr="00475BFC" w:rsidRDefault="00384375" w:rsidP="00F36DAB">
            <w:pPr>
              <w:spacing w:before="80" w:after="80" w:line="220" w:lineRule="exact"/>
              <w:ind w:left="85" w:right="28"/>
              <w:jc w:val="right"/>
              <w:rPr>
                <w:b/>
                <w:sz w:val="18"/>
              </w:rPr>
            </w:pPr>
            <w:r w:rsidRPr="00475BFC">
              <w:rPr>
                <w:b/>
                <w:sz w:val="18"/>
              </w:rPr>
              <w:t>98,1</w:t>
            </w:r>
          </w:p>
        </w:tc>
        <w:tc>
          <w:tcPr>
            <w:tcW w:w="937" w:type="dxa"/>
            <w:tcBorders>
              <w:top w:val="single" w:sz="4" w:space="0" w:color="auto"/>
              <w:bottom w:val="single" w:sz="4" w:space="0" w:color="auto"/>
            </w:tcBorders>
            <w:shd w:val="clear" w:color="auto" w:fill="auto"/>
            <w:noWrap/>
            <w:vAlign w:val="bottom"/>
            <w:hideMark/>
          </w:tcPr>
          <w:p w:rsidR="00384375" w:rsidRPr="00475BFC" w:rsidRDefault="00384375" w:rsidP="00F36DAB">
            <w:pPr>
              <w:spacing w:before="80" w:after="80" w:line="220" w:lineRule="exact"/>
              <w:ind w:left="85" w:right="28"/>
              <w:jc w:val="right"/>
              <w:rPr>
                <w:b/>
                <w:sz w:val="18"/>
              </w:rPr>
            </w:pPr>
            <w:r w:rsidRPr="00475BFC">
              <w:rPr>
                <w:b/>
                <w:sz w:val="18"/>
              </w:rPr>
              <w:t>98,2</w:t>
            </w:r>
          </w:p>
        </w:tc>
      </w:tr>
      <w:tr w:rsidR="00F81017" w:rsidRPr="002045BD" w:rsidTr="00F36DAB">
        <w:tc>
          <w:tcPr>
            <w:tcW w:w="4585" w:type="dxa"/>
            <w:tcBorders>
              <w:top w:val="single" w:sz="4" w:space="0" w:color="auto"/>
            </w:tcBorders>
            <w:shd w:val="clear" w:color="auto" w:fill="auto"/>
            <w:noWrap/>
            <w:hideMark/>
          </w:tcPr>
          <w:p w:rsidR="00384375" w:rsidRPr="002045BD" w:rsidRDefault="00475BFC" w:rsidP="002045BD">
            <w:pPr>
              <w:spacing w:before="40" w:after="40" w:line="220" w:lineRule="exact"/>
              <w:rPr>
                <w:sz w:val="18"/>
              </w:rPr>
            </w:pPr>
            <w:r w:rsidRPr="002045BD">
              <w:rPr>
                <w:sz w:val="18"/>
              </w:rPr>
              <w:t>Gastos funcionamiento</w:t>
            </w:r>
          </w:p>
        </w:tc>
        <w:tc>
          <w:tcPr>
            <w:tcW w:w="914" w:type="dxa"/>
            <w:tcBorders>
              <w:top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1,9</w:t>
            </w:r>
          </w:p>
        </w:tc>
        <w:tc>
          <w:tcPr>
            <w:tcW w:w="934" w:type="dxa"/>
            <w:tcBorders>
              <w:top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1,9</w:t>
            </w:r>
          </w:p>
        </w:tc>
        <w:tc>
          <w:tcPr>
            <w:tcW w:w="937" w:type="dxa"/>
            <w:tcBorders>
              <w:top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1,8</w:t>
            </w:r>
          </w:p>
        </w:tc>
      </w:tr>
      <w:tr w:rsidR="00F81017" w:rsidRPr="002045BD" w:rsidTr="00F36DAB">
        <w:tc>
          <w:tcPr>
            <w:tcW w:w="4585" w:type="dxa"/>
            <w:tcBorders>
              <w:bottom w:val="single" w:sz="4" w:space="0" w:color="auto"/>
            </w:tcBorders>
            <w:shd w:val="clear" w:color="auto" w:fill="auto"/>
            <w:noWrap/>
            <w:hideMark/>
          </w:tcPr>
          <w:p w:rsidR="00384375" w:rsidRPr="002045BD" w:rsidRDefault="00475BFC" w:rsidP="002045BD">
            <w:pPr>
              <w:spacing w:before="40" w:after="40" w:line="220" w:lineRule="exact"/>
              <w:rPr>
                <w:sz w:val="18"/>
              </w:rPr>
            </w:pPr>
            <w:r w:rsidRPr="002045BD">
              <w:rPr>
                <w:sz w:val="18"/>
              </w:rPr>
              <w:t xml:space="preserve">Otros gastos </w:t>
            </w:r>
          </w:p>
        </w:tc>
        <w:tc>
          <w:tcPr>
            <w:tcW w:w="914" w:type="dxa"/>
            <w:tcBorders>
              <w:bottom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0,0</w:t>
            </w:r>
          </w:p>
        </w:tc>
        <w:tc>
          <w:tcPr>
            <w:tcW w:w="934" w:type="dxa"/>
            <w:tcBorders>
              <w:bottom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0,0</w:t>
            </w:r>
          </w:p>
        </w:tc>
        <w:tc>
          <w:tcPr>
            <w:tcW w:w="937" w:type="dxa"/>
            <w:tcBorders>
              <w:bottom w:val="single" w:sz="4" w:space="0" w:color="auto"/>
            </w:tcBorders>
            <w:shd w:val="clear" w:color="auto" w:fill="auto"/>
            <w:noWrap/>
            <w:vAlign w:val="bottom"/>
            <w:hideMark/>
          </w:tcPr>
          <w:p w:rsidR="00384375" w:rsidRPr="002045BD" w:rsidRDefault="00384375" w:rsidP="00F36DAB">
            <w:pPr>
              <w:spacing w:before="40" w:after="40" w:line="220" w:lineRule="exact"/>
              <w:ind w:left="85" w:right="28"/>
              <w:jc w:val="right"/>
              <w:rPr>
                <w:sz w:val="18"/>
              </w:rPr>
            </w:pPr>
            <w:r w:rsidRPr="002045BD">
              <w:rPr>
                <w:sz w:val="18"/>
              </w:rPr>
              <w:t>0,0</w:t>
            </w:r>
          </w:p>
        </w:tc>
      </w:tr>
      <w:tr w:rsidR="00F81017" w:rsidRPr="00475BFC" w:rsidTr="00F36DAB">
        <w:tc>
          <w:tcPr>
            <w:tcW w:w="4585" w:type="dxa"/>
            <w:tcBorders>
              <w:top w:val="single" w:sz="4" w:space="0" w:color="auto"/>
              <w:bottom w:val="single" w:sz="12" w:space="0" w:color="auto"/>
            </w:tcBorders>
            <w:shd w:val="clear" w:color="auto" w:fill="auto"/>
            <w:noWrap/>
            <w:hideMark/>
          </w:tcPr>
          <w:p w:rsidR="00384375" w:rsidRPr="00475BFC" w:rsidRDefault="00475BFC" w:rsidP="00F36DAB">
            <w:pPr>
              <w:spacing w:before="80" w:after="80" w:line="220" w:lineRule="exact"/>
              <w:ind w:left="283"/>
              <w:rPr>
                <w:b/>
                <w:sz w:val="18"/>
              </w:rPr>
            </w:pPr>
            <w:r w:rsidRPr="00475BFC">
              <w:rPr>
                <w:b/>
                <w:sz w:val="18"/>
              </w:rPr>
              <w:t>Total gastos España</w:t>
            </w:r>
          </w:p>
        </w:tc>
        <w:tc>
          <w:tcPr>
            <w:tcW w:w="914" w:type="dxa"/>
            <w:tcBorders>
              <w:top w:val="single" w:sz="4" w:space="0" w:color="auto"/>
              <w:bottom w:val="single" w:sz="12" w:space="0" w:color="auto"/>
            </w:tcBorders>
            <w:shd w:val="clear" w:color="auto" w:fill="auto"/>
            <w:noWrap/>
            <w:vAlign w:val="bottom"/>
            <w:hideMark/>
          </w:tcPr>
          <w:p w:rsidR="00384375" w:rsidRPr="00475BFC" w:rsidRDefault="00384375" w:rsidP="00F36DAB">
            <w:pPr>
              <w:spacing w:before="80" w:after="80" w:line="220" w:lineRule="exact"/>
              <w:ind w:left="85" w:right="28"/>
              <w:jc w:val="right"/>
              <w:rPr>
                <w:b/>
                <w:sz w:val="18"/>
              </w:rPr>
            </w:pPr>
            <w:r w:rsidRPr="00475BFC">
              <w:rPr>
                <w:b/>
                <w:sz w:val="18"/>
              </w:rPr>
              <w:t>100,0</w:t>
            </w:r>
          </w:p>
        </w:tc>
        <w:tc>
          <w:tcPr>
            <w:tcW w:w="934" w:type="dxa"/>
            <w:tcBorders>
              <w:top w:val="single" w:sz="4" w:space="0" w:color="auto"/>
              <w:bottom w:val="single" w:sz="12" w:space="0" w:color="auto"/>
            </w:tcBorders>
            <w:shd w:val="clear" w:color="auto" w:fill="auto"/>
            <w:noWrap/>
            <w:vAlign w:val="bottom"/>
            <w:hideMark/>
          </w:tcPr>
          <w:p w:rsidR="00384375" w:rsidRPr="00475BFC" w:rsidRDefault="00384375" w:rsidP="00F36DAB">
            <w:pPr>
              <w:spacing w:before="80" w:after="80" w:line="220" w:lineRule="exact"/>
              <w:ind w:left="85" w:right="28"/>
              <w:jc w:val="right"/>
              <w:rPr>
                <w:b/>
                <w:sz w:val="18"/>
              </w:rPr>
            </w:pPr>
            <w:r w:rsidRPr="00475BFC">
              <w:rPr>
                <w:b/>
                <w:sz w:val="18"/>
              </w:rPr>
              <w:t>100,0</w:t>
            </w:r>
          </w:p>
        </w:tc>
        <w:tc>
          <w:tcPr>
            <w:tcW w:w="937" w:type="dxa"/>
            <w:tcBorders>
              <w:top w:val="single" w:sz="4" w:space="0" w:color="auto"/>
              <w:bottom w:val="single" w:sz="12" w:space="0" w:color="auto"/>
            </w:tcBorders>
            <w:shd w:val="clear" w:color="auto" w:fill="auto"/>
            <w:noWrap/>
            <w:vAlign w:val="bottom"/>
            <w:hideMark/>
          </w:tcPr>
          <w:p w:rsidR="00384375" w:rsidRPr="00475BFC" w:rsidRDefault="00384375" w:rsidP="00F36DAB">
            <w:pPr>
              <w:spacing w:before="80" w:after="80" w:line="220" w:lineRule="exact"/>
              <w:ind w:left="85" w:right="28"/>
              <w:jc w:val="right"/>
              <w:rPr>
                <w:b/>
                <w:sz w:val="18"/>
              </w:rPr>
            </w:pPr>
            <w:r w:rsidRPr="00475BFC">
              <w:rPr>
                <w:b/>
                <w:sz w:val="18"/>
              </w:rPr>
              <w:t>100,0</w:t>
            </w:r>
          </w:p>
        </w:tc>
      </w:tr>
    </w:tbl>
    <w:p w:rsidR="002045BD" w:rsidRPr="00F36DAB" w:rsidRDefault="002045BD" w:rsidP="00F36DAB">
      <w:pPr>
        <w:pStyle w:val="SingleTxtG"/>
        <w:spacing w:before="120" w:after="240"/>
        <w:ind w:firstLine="170"/>
        <w:rPr>
          <w:rFonts w:eastAsia="Calibri"/>
          <w:sz w:val="18"/>
          <w:szCs w:val="18"/>
        </w:rPr>
      </w:pPr>
      <w:r w:rsidRPr="00F36DAB">
        <w:rPr>
          <w:rFonts w:eastAsia="Calibri"/>
          <w:i/>
          <w:sz w:val="18"/>
          <w:szCs w:val="18"/>
        </w:rPr>
        <w:t>Fuente:</w:t>
      </w:r>
      <w:r w:rsidRPr="00F36DAB">
        <w:rPr>
          <w:rFonts w:eastAsia="Calibri"/>
          <w:sz w:val="18"/>
          <w:szCs w:val="18"/>
        </w:rPr>
        <w:t xml:space="preserve"> Eurostat</w:t>
      </w:r>
      <w:r w:rsidR="00475BFC">
        <w:rPr>
          <w:rFonts w:eastAsia="Calibri"/>
          <w:sz w:val="18"/>
          <w:szCs w:val="18"/>
        </w:rPr>
        <w:t>.</w:t>
      </w:r>
    </w:p>
    <w:p w:rsidR="00384375" w:rsidRPr="00475BFC" w:rsidRDefault="002045BD">
      <w:pPr>
        <w:pStyle w:val="SingleTxtG"/>
      </w:pPr>
      <w:r w:rsidRPr="00475BFC">
        <w:t>135.</w:t>
      </w:r>
      <w:r w:rsidRPr="00475BFC">
        <w:tab/>
      </w:r>
      <w:r w:rsidR="00384375" w:rsidRPr="00475BFC">
        <w:t>En cuanto a los importes transferidos entre los ejercicios 2012 a 2016 en concepto de prestaciones por dependencia, los datos son los siguientes</w:t>
      </w:r>
      <w:r w:rsidR="00DE42F3">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71"/>
        <w:gridCol w:w="2478"/>
        <w:gridCol w:w="1980"/>
        <w:gridCol w:w="1741"/>
      </w:tblGrid>
      <w:tr w:rsidR="00475BFC" w:rsidRPr="00475BFC" w:rsidTr="00F36DAB">
        <w:trPr>
          <w:trHeight w:val="240"/>
          <w:tblHeader/>
        </w:trPr>
        <w:tc>
          <w:tcPr>
            <w:tcW w:w="794" w:type="pct"/>
            <w:tcBorders>
              <w:top w:val="single" w:sz="4" w:space="0" w:color="auto"/>
              <w:bottom w:val="single" w:sz="12" w:space="0" w:color="auto"/>
            </w:tcBorders>
            <w:shd w:val="clear" w:color="auto" w:fill="auto"/>
            <w:vAlign w:val="bottom"/>
          </w:tcPr>
          <w:p w:rsidR="00384375" w:rsidRPr="00475BFC" w:rsidRDefault="00384375">
            <w:pPr>
              <w:spacing w:before="80" w:after="80" w:line="200" w:lineRule="exact"/>
              <w:rPr>
                <w:i/>
                <w:sz w:val="16"/>
              </w:rPr>
            </w:pPr>
          </w:p>
        </w:tc>
        <w:tc>
          <w:tcPr>
            <w:tcW w:w="1681" w:type="pct"/>
            <w:tcBorders>
              <w:top w:val="single" w:sz="4" w:space="0" w:color="auto"/>
              <w:bottom w:val="single" w:sz="12" w:space="0" w:color="auto"/>
            </w:tcBorders>
            <w:shd w:val="clear" w:color="auto" w:fill="auto"/>
            <w:vAlign w:val="bottom"/>
          </w:tcPr>
          <w:p w:rsidR="00384375" w:rsidRPr="00475BFC" w:rsidRDefault="00384375" w:rsidP="00F36DAB">
            <w:pPr>
              <w:spacing w:before="80" w:after="80" w:line="200" w:lineRule="exact"/>
              <w:ind w:left="85" w:right="28"/>
              <w:jc w:val="right"/>
              <w:rPr>
                <w:i/>
                <w:sz w:val="16"/>
              </w:rPr>
            </w:pPr>
            <w:r w:rsidRPr="00475BFC">
              <w:rPr>
                <w:i/>
                <w:sz w:val="16"/>
              </w:rPr>
              <w:t>Nivel mínimo</w:t>
            </w:r>
            <w:r w:rsidR="00475BFC" w:rsidRPr="00475BFC">
              <w:rPr>
                <w:i/>
                <w:sz w:val="16"/>
              </w:rPr>
              <w:br/>
              <w:t>(</w:t>
            </w:r>
            <w:r w:rsidRPr="00475BFC">
              <w:rPr>
                <w:i/>
                <w:sz w:val="16"/>
              </w:rPr>
              <w:t>millones de euros</w:t>
            </w:r>
            <w:r w:rsidR="00475BFC" w:rsidRPr="00475BFC">
              <w:rPr>
                <w:i/>
                <w:sz w:val="16"/>
              </w:rPr>
              <w:t>)</w:t>
            </w:r>
          </w:p>
        </w:tc>
        <w:tc>
          <w:tcPr>
            <w:tcW w:w="1343" w:type="pct"/>
            <w:tcBorders>
              <w:top w:val="single" w:sz="4" w:space="0" w:color="auto"/>
              <w:bottom w:val="single" w:sz="12" w:space="0" w:color="auto"/>
            </w:tcBorders>
            <w:shd w:val="clear" w:color="auto" w:fill="auto"/>
            <w:vAlign w:val="bottom"/>
          </w:tcPr>
          <w:p w:rsidR="00384375" w:rsidRPr="00475BFC" w:rsidRDefault="00384375" w:rsidP="00F36DAB">
            <w:pPr>
              <w:spacing w:before="80" w:after="80" w:line="200" w:lineRule="exact"/>
              <w:ind w:left="85" w:right="28"/>
              <w:jc w:val="right"/>
              <w:rPr>
                <w:i/>
                <w:sz w:val="16"/>
              </w:rPr>
            </w:pPr>
            <w:r w:rsidRPr="00475BFC">
              <w:rPr>
                <w:i/>
                <w:sz w:val="16"/>
              </w:rPr>
              <w:t>Fondos adicionales</w:t>
            </w:r>
            <w:r w:rsidR="00475BFC" w:rsidRPr="00475BFC">
              <w:rPr>
                <w:i/>
                <w:sz w:val="16"/>
              </w:rPr>
              <w:br/>
              <w:t>(m</w:t>
            </w:r>
            <w:r w:rsidRPr="00475BFC">
              <w:rPr>
                <w:i/>
                <w:sz w:val="16"/>
              </w:rPr>
              <w:t>illones de euros</w:t>
            </w:r>
            <w:r w:rsidR="00475BFC" w:rsidRPr="00475BFC">
              <w:rPr>
                <w:i/>
                <w:sz w:val="16"/>
              </w:rPr>
              <w:t>)</w:t>
            </w:r>
          </w:p>
        </w:tc>
        <w:tc>
          <w:tcPr>
            <w:tcW w:w="1181" w:type="pct"/>
            <w:tcBorders>
              <w:top w:val="single" w:sz="4" w:space="0" w:color="auto"/>
              <w:bottom w:val="single" w:sz="12" w:space="0" w:color="auto"/>
            </w:tcBorders>
            <w:shd w:val="clear" w:color="auto" w:fill="auto"/>
            <w:vAlign w:val="bottom"/>
          </w:tcPr>
          <w:p w:rsidR="00384375" w:rsidRPr="00475BFC" w:rsidRDefault="00384375" w:rsidP="00F36DAB">
            <w:pPr>
              <w:spacing w:before="80" w:after="80" w:line="200" w:lineRule="exact"/>
              <w:ind w:left="85" w:right="28"/>
              <w:jc w:val="right"/>
              <w:rPr>
                <w:i/>
                <w:sz w:val="16"/>
              </w:rPr>
            </w:pPr>
            <w:r w:rsidRPr="00475BFC">
              <w:rPr>
                <w:i/>
                <w:sz w:val="16"/>
              </w:rPr>
              <w:t>Total</w:t>
            </w:r>
            <w:r w:rsidR="00475BFC" w:rsidRPr="00475BFC">
              <w:rPr>
                <w:i/>
                <w:sz w:val="16"/>
              </w:rPr>
              <w:br/>
              <w:t>(m</w:t>
            </w:r>
            <w:r w:rsidRPr="00475BFC">
              <w:rPr>
                <w:i/>
                <w:sz w:val="16"/>
              </w:rPr>
              <w:t>illones de euros</w:t>
            </w:r>
            <w:r w:rsidR="00475BFC" w:rsidRPr="00475BFC">
              <w:rPr>
                <w:i/>
                <w:sz w:val="16"/>
              </w:rPr>
              <w:t>)</w:t>
            </w:r>
          </w:p>
        </w:tc>
      </w:tr>
      <w:tr w:rsidR="00475BFC" w:rsidRPr="00475BFC" w:rsidTr="00F36DAB">
        <w:trPr>
          <w:trHeight w:val="240"/>
        </w:trPr>
        <w:tc>
          <w:tcPr>
            <w:tcW w:w="794" w:type="pct"/>
            <w:tcBorders>
              <w:top w:val="single" w:sz="12" w:space="0" w:color="auto"/>
            </w:tcBorders>
            <w:shd w:val="clear" w:color="auto" w:fill="auto"/>
          </w:tcPr>
          <w:p w:rsidR="00384375" w:rsidRPr="00475BFC" w:rsidRDefault="00384375">
            <w:pPr>
              <w:spacing w:before="40" w:after="40" w:line="220" w:lineRule="exact"/>
              <w:rPr>
                <w:sz w:val="18"/>
              </w:rPr>
            </w:pPr>
            <w:r w:rsidRPr="00475BFC">
              <w:rPr>
                <w:sz w:val="18"/>
              </w:rPr>
              <w:t>Año 2012</w:t>
            </w:r>
          </w:p>
        </w:tc>
        <w:tc>
          <w:tcPr>
            <w:tcW w:w="1681" w:type="pct"/>
            <w:tcBorders>
              <w:top w:val="single" w:sz="12" w:space="0" w:color="auto"/>
            </w:tcBorders>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1.406</w:t>
            </w:r>
          </w:p>
        </w:tc>
        <w:tc>
          <w:tcPr>
            <w:tcW w:w="1343" w:type="pct"/>
            <w:tcBorders>
              <w:top w:val="single" w:sz="12" w:space="0" w:color="auto"/>
            </w:tcBorders>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1.960</w:t>
            </w:r>
          </w:p>
        </w:tc>
        <w:tc>
          <w:tcPr>
            <w:tcW w:w="1181" w:type="pct"/>
            <w:tcBorders>
              <w:top w:val="single" w:sz="12" w:space="0" w:color="auto"/>
            </w:tcBorders>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3.366</w:t>
            </w:r>
          </w:p>
        </w:tc>
      </w:tr>
      <w:tr w:rsidR="00475BFC" w:rsidRPr="00475BFC" w:rsidTr="00F36DAB">
        <w:trPr>
          <w:trHeight w:val="240"/>
        </w:trPr>
        <w:tc>
          <w:tcPr>
            <w:tcW w:w="794" w:type="pct"/>
            <w:shd w:val="clear" w:color="auto" w:fill="auto"/>
          </w:tcPr>
          <w:p w:rsidR="00384375" w:rsidRPr="00475BFC" w:rsidRDefault="00384375">
            <w:pPr>
              <w:spacing w:before="40" w:after="40" w:line="220" w:lineRule="exact"/>
              <w:rPr>
                <w:sz w:val="18"/>
              </w:rPr>
            </w:pPr>
            <w:r w:rsidRPr="00475BFC">
              <w:rPr>
                <w:sz w:val="18"/>
              </w:rPr>
              <w:t>Año 2013</w:t>
            </w:r>
          </w:p>
        </w:tc>
        <w:tc>
          <w:tcPr>
            <w:tcW w:w="1681"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1.207</w:t>
            </w:r>
          </w:p>
        </w:tc>
        <w:tc>
          <w:tcPr>
            <w:tcW w:w="1343"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2.225</w:t>
            </w:r>
          </w:p>
        </w:tc>
        <w:tc>
          <w:tcPr>
            <w:tcW w:w="1181"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3.432</w:t>
            </w:r>
          </w:p>
        </w:tc>
      </w:tr>
      <w:tr w:rsidR="00475BFC" w:rsidRPr="00475BFC" w:rsidTr="00F36DAB">
        <w:trPr>
          <w:trHeight w:val="240"/>
        </w:trPr>
        <w:tc>
          <w:tcPr>
            <w:tcW w:w="794" w:type="pct"/>
            <w:shd w:val="clear" w:color="auto" w:fill="auto"/>
          </w:tcPr>
          <w:p w:rsidR="00384375" w:rsidRPr="00475BFC" w:rsidRDefault="00384375">
            <w:pPr>
              <w:spacing w:before="40" w:after="40" w:line="220" w:lineRule="exact"/>
              <w:rPr>
                <w:sz w:val="18"/>
              </w:rPr>
            </w:pPr>
            <w:r w:rsidRPr="00475BFC">
              <w:rPr>
                <w:sz w:val="18"/>
              </w:rPr>
              <w:t>Año 2014</w:t>
            </w:r>
          </w:p>
        </w:tc>
        <w:tc>
          <w:tcPr>
            <w:tcW w:w="1681"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1.140</w:t>
            </w:r>
          </w:p>
        </w:tc>
        <w:tc>
          <w:tcPr>
            <w:tcW w:w="1343"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2.402</w:t>
            </w:r>
          </w:p>
        </w:tc>
        <w:tc>
          <w:tcPr>
            <w:tcW w:w="1181"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3.542</w:t>
            </w:r>
          </w:p>
        </w:tc>
      </w:tr>
      <w:tr w:rsidR="00475BFC" w:rsidRPr="00475BFC" w:rsidTr="00F36DAB">
        <w:trPr>
          <w:trHeight w:val="240"/>
        </w:trPr>
        <w:tc>
          <w:tcPr>
            <w:tcW w:w="794" w:type="pct"/>
            <w:shd w:val="clear" w:color="auto" w:fill="auto"/>
          </w:tcPr>
          <w:p w:rsidR="00384375" w:rsidRPr="00475BFC" w:rsidRDefault="00384375">
            <w:pPr>
              <w:spacing w:before="40" w:after="40" w:line="220" w:lineRule="exact"/>
              <w:rPr>
                <w:sz w:val="18"/>
              </w:rPr>
            </w:pPr>
            <w:r w:rsidRPr="00475BFC">
              <w:rPr>
                <w:sz w:val="18"/>
              </w:rPr>
              <w:t>Año 2015</w:t>
            </w:r>
          </w:p>
        </w:tc>
        <w:tc>
          <w:tcPr>
            <w:tcW w:w="1681"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1.189</w:t>
            </w:r>
          </w:p>
        </w:tc>
        <w:tc>
          <w:tcPr>
            <w:tcW w:w="1343"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2.483</w:t>
            </w:r>
          </w:p>
        </w:tc>
        <w:tc>
          <w:tcPr>
            <w:tcW w:w="1181" w:type="pct"/>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3.672</w:t>
            </w:r>
          </w:p>
        </w:tc>
      </w:tr>
      <w:tr w:rsidR="00475BFC" w:rsidRPr="00475BFC" w:rsidTr="00F36DAB">
        <w:trPr>
          <w:trHeight w:val="240"/>
        </w:trPr>
        <w:tc>
          <w:tcPr>
            <w:tcW w:w="794" w:type="pct"/>
            <w:tcBorders>
              <w:bottom w:val="single" w:sz="4" w:space="0" w:color="auto"/>
            </w:tcBorders>
            <w:shd w:val="clear" w:color="auto" w:fill="auto"/>
          </w:tcPr>
          <w:p w:rsidR="00384375" w:rsidRPr="00475BFC" w:rsidRDefault="00384375">
            <w:pPr>
              <w:spacing w:before="40" w:after="40" w:line="220" w:lineRule="exact"/>
              <w:rPr>
                <w:sz w:val="18"/>
              </w:rPr>
            </w:pPr>
            <w:r w:rsidRPr="00475BFC">
              <w:rPr>
                <w:sz w:val="18"/>
              </w:rPr>
              <w:t>Año 2016</w:t>
            </w:r>
          </w:p>
        </w:tc>
        <w:tc>
          <w:tcPr>
            <w:tcW w:w="1681" w:type="pct"/>
            <w:tcBorders>
              <w:bottom w:val="single" w:sz="4" w:space="0" w:color="auto"/>
            </w:tcBorders>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1.190</w:t>
            </w:r>
          </w:p>
        </w:tc>
        <w:tc>
          <w:tcPr>
            <w:tcW w:w="1343" w:type="pct"/>
            <w:tcBorders>
              <w:bottom w:val="single" w:sz="4" w:space="0" w:color="auto"/>
            </w:tcBorders>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2.479</w:t>
            </w:r>
          </w:p>
        </w:tc>
        <w:tc>
          <w:tcPr>
            <w:tcW w:w="1181" w:type="pct"/>
            <w:tcBorders>
              <w:bottom w:val="single" w:sz="4" w:space="0" w:color="auto"/>
            </w:tcBorders>
            <w:shd w:val="clear" w:color="auto" w:fill="auto"/>
            <w:vAlign w:val="bottom"/>
          </w:tcPr>
          <w:p w:rsidR="00384375" w:rsidRPr="00475BFC" w:rsidRDefault="00384375" w:rsidP="00F36DAB">
            <w:pPr>
              <w:spacing w:before="40" w:after="40" w:line="220" w:lineRule="exact"/>
              <w:ind w:left="85" w:right="28"/>
              <w:jc w:val="right"/>
              <w:rPr>
                <w:sz w:val="18"/>
              </w:rPr>
            </w:pPr>
            <w:r w:rsidRPr="00475BFC">
              <w:rPr>
                <w:sz w:val="18"/>
              </w:rPr>
              <w:t>3.669</w:t>
            </w:r>
          </w:p>
        </w:tc>
      </w:tr>
      <w:tr w:rsidR="00475BFC" w:rsidRPr="00475BFC" w:rsidTr="00F36DAB">
        <w:trPr>
          <w:trHeight w:val="240"/>
        </w:trPr>
        <w:tc>
          <w:tcPr>
            <w:tcW w:w="794" w:type="pct"/>
            <w:tcBorders>
              <w:top w:val="single" w:sz="4" w:space="0" w:color="auto"/>
              <w:bottom w:val="single" w:sz="12" w:space="0" w:color="auto"/>
            </w:tcBorders>
            <w:shd w:val="clear" w:color="auto" w:fill="auto"/>
          </w:tcPr>
          <w:p w:rsidR="00384375" w:rsidRPr="00475BFC" w:rsidRDefault="00384375" w:rsidP="00F36DAB">
            <w:pPr>
              <w:spacing w:before="80" w:after="80" w:line="220" w:lineRule="exact"/>
              <w:ind w:left="283"/>
              <w:rPr>
                <w:b/>
                <w:sz w:val="18"/>
              </w:rPr>
            </w:pPr>
            <w:r w:rsidRPr="00475BFC">
              <w:rPr>
                <w:b/>
                <w:sz w:val="18"/>
              </w:rPr>
              <w:t>T</w:t>
            </w:r>
            <w:r w:rsidR="00475BFC" w:rsidRPr="00F36DAB">
              <w:rPr>
                <w:b/>
                <w:sz w:val="18"/>
              </w:rPr>
              <w:t>otal</w:t>
            </w:r>
          </w:p>
        </w:tc>
        <w:tc>
          <w:tcPr>
            <w:tcW w:w="1681" w:type="pct"/>
            <w:tcBorders>
              <w:top w:val="single" w:sz="4" w:space="0" w:color="auto"/>
              <w:bottom w:val="single" w:sz="12" w:space="0" w:color="auto"/>
            </w:tcBorders>
            <w:shd w:val="clear" w:color="auto" w:fill="auto"/>
            <w:vAlign w:val="bottom"/>
          </w:tcPr>
          <w:p w:rsidR="00384375" w:rsidRPr="00475BFC" w:rsidRDefault="00384375" w:rsidP="00F36DAB">
            <w:pPr>
              <w:spacing w:before="80" w:after="80" w:line="220" w:lineRule="exact"/>
              <w:ind w:left="85" w:right="28"/>
              <w:jc w:val="right"/>
              <w:rPr>
                <w:b/>
                <w:sz w:val="18"/>
              </w:rPr>
            </w:pPr>
            <w:r w:rsidRPr="00475BFC">
              <w:rPr>
                <w:b/>
                <w:sz w:val="18"/>
              </w:rPr>
              <w:t>6.132</w:t>
            </w:r>
          </w:p>
        </w:tc>
        <w:tc>
          <w:tcPr>
            <w:tcW w:w="1343" w:type="pct"/>
            <w:tcBorders>
              <w:top w:val="single" w:sz="4" w:space="0" w:color="auto"/>
              <w:bottom w:val="single" w:sz="12" w:space="0" w:color="auto"/>
            </w:tcBorders>
            <w:shd w:val="clear" w:color="auto" w:fill="auto"/>
            <w:vAlign w:val="bottom"/>
          </w:tcPr>
          <w:p w:rsidR="00384375" w:rsidRPr="00475BFC" w:rsidRDefault="00384375" w:rsidP="00F36DAB">
            <w:pPr>
              <w:spacing w:before="80" w:after="80" w:line="220" w:lineRule="exact"/>
              <w:ind w:left="85" w:right="28"/>
              <w:jc w:val="right"/>
              <w:rPr>
                <w:b/>
                <w:sz w:val="18"/>
              </w:rPr>
            </w:pPr>
            <w:r w:rsidRPr="00475BFC">
              <w:rPr>
                <w:b/>
                <w:sz w:val="18"/>
              </w:rPr>
              <w:t>11.549</w:t>
            </w:r>
          </w:p>
        </w:tc>
        <w:tc>
          <w:tcPr>
            <w:tcW w:w="1181" w:type="pct"/>
            <w:tcBorders>
              <w:top w:val="single" w:sz="4" w:space="0" w:color="auto"/>
              <w:bottom w:val="single" w:sz="12" w:space="0" w:color="auto"/>
            </w:tcBorders>
            <w:shd w:val="clear" w:color="auto" w:fill="auto"/>
            <w:vAlign w:val="bottom"/>
          </w:tcPr>
          <w:p w:rsidR="00384375" w:rsidRPr="00475BFC" w:rsidRDefault="00384375" w:rsidP="00F36DAB">
            <w:pPr>
              <w:spacing w:before="80" w:after="80" w:line="220" w:lineRule="exact"/>
              <w:ind w:left="85" w:right="28"/>
              <w:jc w:val="right"/>
              <w:rPr>
                <w:b/>
                <w:sz w:val="18"/>
              </w:rPr>
            </w:pPr>
            <w:r w:rsidRPr="00475BFC">
              <w:rPr>
                <w:b/>
                <w:sz w:val="18"/>
              </w:rPr>
              <w:t>17.681</w:t>
            </w:r>
          </w:p>
        </w:tc>
      </w:tr>
    </w:tbl>
    <w:p w:rsidR="00384375" w:rsidRPr="00475BFC" w:rsidRDefault="00F06D48">
      <w:pPr>
        <w:pStyle w:val="SingleTxtG"/>
        <w:spacing w:before="240"/>
      </w:pPr>
      <w:r w:rsidRPr="00475BFC">
        <w:t>136.</w:t>
      </w:r>
      <w:r w:rsidRPr="00475BFC">
        <w:tab/>
      </w:r>
      <w:r w:rsidR="00384375" w:rsidRPr="00475BFC">
        <w:t>Los anteriores importes se desglosan además por años y Comunidades Autónomas</w:t>
      </w:r>
      <w:r w:rsidR="00DE42F3">
        <w:t>.</w:t>
      </w:r>
    </w:p>
    <w:p w:rsidR="00384375" w:rsidRPr="00F36DAB" w:rsidRDefault="00CA6868">
      <w:pPr>
        <w:pStyle w:val="H23G"/>
        <w:rPr>
          <w:b w:val="0"/>
          <w:sz w:val="16"/>
        </w:rPr>
      </w:pPr>
      <w:r>
        <w:tab/>
      </w:r>
      <w:r w:rsidR="00F06D48">
        <w:tab/>
        <w:t>A</w:t>
      </w:r>
      <w:r w:rsidR="00F06D48" w:rsidRPr="003E0B97">
        <w:t>ño 2012</w:t>
      </w:r>
      <w:r w:rsidR="00475BFC">
        <w:br/>
      </w:r>
      <w:r w:rsidR="00475BFC" w:rsidRPr="00F36DAB">
        <w:rPr>
          <w:b w:val="0"/>
          <w:sz w:val="16"/>
        </w:rPr>
        <w:t>(En euros)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68"/>
        <w:gridCol w:w="1393"/>
        <w:gridCol w:w="2660"/>
        <w:gridCol w:w="1456"/>
      </w:tblGrid>
      <w:tr w:rsidR="005A67BF" w:rsidRPr="00475BFC" w:rsidTr="00F36DAB">
        <w:trPr>
          <w:trHeight w:val="240"/>
          <w:tblHeader/>
        </w:trPr>
        <w:tc>
          <w:tcPr>
            <w:tcW w:w="1868" w:type="dxa"/>
            <w:tcBorders>
              <w:top w:val="single" w:sz="4" w:space="0" w:color="auto"/>
              <w:bottom w:val="single" w:sz="12" w:space="0" w:color="auto"/>
            </w:tcBorders>
            <w:shd w:val="clear" w:color="auto" w:fill="auto"/>
            <w:noWrap/>
            <w:vAlign w:val="bottom"/>
            <w:hideMark/>
          </w:tcPr>
          <w:p w:rsidR="00756976" w:rsidRPr="00475BFC" w:rsidRDefault="00756976">
            <w:pPr>
              <w:spacing w:before="80" w:after="80" w:line="200" w:lineRule="exact"/>
              <w:rPr>
                <w:i/>
                <w:sz w:val="16"/>
              </w:rPr>
            </w:pPr>
            <w:r w:rsidRPr="00475BFC">
              <w:rPr>
                <w:i/>
                <w:sz w:val="16"/>
              </w:rPr>
              <w:t>CC.AA.</w:t>
            </w:r>
          </w:p>
        </w:tc>
        <w:tc>
          <w:tcPr>
            <w:tcW w:w="1393" w:type="dxa"/>
            <w:tcBorders>
              <w:top w:val="single" w:sz="4" w:space="0" w:color="auto"/>
              <w:bottom w:val="single" w:sz="12" w:space="0" w:color="auto"/>
            </w:tcBorders>
            <w:shd w:val="clear" w:color="auto" w:fill="auto"/>
            <w:noWrap/>
            <w:vAlign w:val="bottom"/>
            <w:hideMark/>
          </w:tcPr>
          <w:p w:rsidR="00756976" w:rsidRPr="00475BFC" w:rsidRDefault="00756976" w:rsidP="00F36DAB">
            <w:pPr>
              <w:spacing w:before="80" w:after="80" w:line="200" w:lineRule="exact"/>
              <w:ind w:left="85" w:right="28"/>
              <w:jc w:val="right"/>
              <w:rPr>
                <w:i/>
                <w:sz w:val="16"/>
              </w:rPr>
            </w:pPr>
            <w:r w:rsidRPr="00475BFC">
              <w:rPr>
                <w:i/>
                <w:sz w:val="16"/>
              </w:rPr>
              <w:t>Nivel Mínimo 2012</w:t>
            </w:r>
          </w:p>
        </w:tc>
        <w:tc>
          <w:tcPr>
            <w:tcW w:w="2660" w:type="dxa"/>
            <w:tcBorders>
              <w:top w:val="single" w:sz="4" w:space="0" w:color="auto"/>
              <w:bottom w:val="single" w:sz="12" w:space="0" w:color="auto"/>
            </w:tcBorders>
            <w:shd w:val="clear" w:color="auto" w:fill="auto"/>
            <w:noWrap/>
            <w:vAlign w:val="bottom"/>
            <w:hideMark/>
          </w:tcPr>
          <w:p w:rsidR="00756976" w:rsidRPr="00475BFC" w:rsidRDefault="00756976" w:rsidP="00F36DAB">
            <w:pPr>
              <w:spacing w:before="80" w:after="80" w:line="200" w:lineRule="exact"/>
              <w:ind w:left="85" w:right="28"/>
              <w:jc w:val="right"/>
              <w:rPr>
                <w:i/>
                <w:sz w:val="16"/>
              </w:rPr>
            </w:pPr>
            <w:r w:rsidRPr="00475BFC">
              <w:rPr>
                <w:i/>
                <w:sz w:val="16"/>
              </w:rPr>
              <w:t>R. Adic.</w:t>
            </w:r>
            <w:r w:rsidR="005A67BF">
              <w:rPr>
                <w:i/>
                <w:sz w:val="16"/>
              </w:rPr>
              <w:t xml:space="preserve"> </w:t>
            </w:r>
            <w:r w:rsidR="00475BFC" w:rsidRPr="00475BFC">
              <w:rPr>
                <w:i/>
                <w:sz w:val="16"/>
              </w:rPr>
              <w:t>(</w:t>
            </w:r>
            <w:r w:rsidR="00B03578">
              <w:rPr>
                <w:bCs/>
                <w:i/>
                <w:sz w:val="16"/>
                <w:szCs w:val="22"/>
              </w:rPr>
              <w:t>a</w:t>
            </w:r>
            <w:r w:rsidRPr="00475BFC">
              <w:rPr>
                <w:bCs/>
                <w:i/>
                <w:sz w:val="16"/>
                <w:szCs w:val="22"/>
              </w:rPr>
              <w:t xml:space="preserve">rt. 5 y 6 Ley </w:t>
            </w:r>
            <w:r w:rsidR="00B03578">
              <w:rPr>
                <w:bCs/>
                <w:i/>
                <w:sz w:val="16"/>
                <w:szCs w:val="22"/>
              </w:rPr>
              <w:t xml:space="preserve">núm. </w:t>
            </w:r>
            <w:r w:rsidRPr="00475BFC">
              <w:rPr>
                <w:bCs/>
                <w:i/>
                <w:sz w:val="16"/>
                <w:szCs w:val="22"/>
              </w:rPr>
              <w:t>22/2009</w:t>
            </w:r>
          </w:p>
        </w:tc>
        <w:tc>
          <w:tcPr>
            <w:tcW w:w="1456" w:type="dxa"/>
            <w:tcBorders>
              <w:top w:val="single" w:sz="4" w:space="0" w:color="auto"/>
              <w:bottom w:val="single" w:sz="12" w:space="0" w:color="auto"/>
            </w:tcBorders>
            <w:shd w:val="clear" w:color="auto" w:fill="auto"/>
            <w:noWrap/>
            <w:vAlign w:val="bottom"/>
            <w:hideMark/>
          </w:tcPr>
          <w:p w:rsidR="00756976" w:rsidRPr="00475BFC" w:rsidRDefault="00756976" w:rsidP="00F36DAB">
            <w:pPr>
              <w:spacing w:before="80" w:after="80" w:line="200" w:lineRule="exact"/>
              <w:ind w:left="85" w:right="28"/>
              <w:jc w:val="right"/>
              <w:rPr>
                <w:i/>
                <w:sz w:val="16"/>
              </w:rPr>
            </w:pPr>
            <w:r w:rsidRPr="00475BFC">
              <w:rPr>
                <w:i/>
                <w:sz w:val="16"/>
              </w:rPr>
              <w:t>Total 2012</w:t>
            </w:r>
          </w:p>
        </w:tc>
      </w:tr>
      <w:tr w:rsidR="005A67BF" w:rsidRPr="00475BFC" w:rsidTr="00F36DAB">
        <w:trPr>
          <w:trHeight w:val="240"/>
        </w:trPr>
        <w:tc>
          <w:tcPr>
            <w:tcW w:w="1868" w:type="dxa"/>
            <w:tcBorders>
              <w:top w:val="single" w:sz="12" w:space="0" w:color="auto"/>
            </w:tcBorders>
            <w:shd w:val="clear" w:color="auto" w:fill="auto"/>
            <w:noWrap/>
            <w:hideMark/>
          </w:tcPr>
          <w:p w:rsidR="00475BFC" w:rsidRPr="00475BFC" w:rsidRDefault="00475BFC">
            <w:pPr>
              <w:spacing w:before="40" w:after="40" w:line="220" w:lineRule="exact"/>
              <w:rPr>
                <w:sz w:val="18"/>
              </w:rPr>
            </w:pPr>
            <w:r w:rsidRPr="00475BFC">
              <w:rPr>
                <w:sz w:val="18"/>
              </w:rPr>
              <w:t>Andalucía</w:t>
            </w:r>
          </w:p>
        </w:tc>
        <w:tc>
          <w:tcPr>
            <w:tcW w:w="1393" w:type="dxa"/>
            <w:tcBorders>
              <w:top w:val="single" w:sz="12" w:space="0" w:color="auto"/>
            </w:tcBorders>
            <w:shd w:val="clear" w:color="auto" w:fill="auto"/>
            <w:noWrap/>
            <w:vAlign w:val="bottom"/>
            <w:hideMark/>
          </w:tcPr>
          <w:p w:rsidR="00475BFC" w:rsidRPr="00475BFC" w:rsidRDefault="00475BFC" w:rsidP="00F36DAB">
            <w:pPr>
              <w:spacing w:before="40" w:after="40" w:line="220" w:lineRule="exact"/>
              <w:ind w:left="85" w:right="28"/>
              <w:jc w:val="right"/>
              <w:rPr>
                <w:sz w:val="18"/>
              </w:rPr>
            </w:pPr>
            <w:r w:rsidRPr="00475BFC">
              <w:rPr>
                <w:sz w:val="18"/>
              </w:rPr>
              <w:t>345.892.408,71</w:t>
            </w:r>
          </w:p>
        </w:tc>
        <w:tc>
          <w:tcPr>
            <w:tcW w:w="2660" w:type="dxa"/>
            <w:tcBorders>
              <w:top w:val="single" w:sz="12" w:space="0" w:color="auto"/>
            </w:tcBorders>
            <w:shd w:val="clear" w:color="auto" w:fill="auto"/>
            <w:noWrap/>
            <w:vAlign w:val="bottom"/>
            <w:hideMark/>
          </w:tcPr>
          <w:p w:rsidR="00475BFC" w:rsidRPr="00475BFC" w:rsidRDefault="00475BFC" w:rsidP="00F36DAB">
            <w:pPr>
              <w:spacing w:before="40" w:after="40" w:line="220" w:lineRule="exact"/>
              <w:ind w:left="85" w:right="28"/>
              <w:jc w:val="right"/>
              <w:rPr>
                <w:sz w:val="18"/>
              </w:rPr>
            </w:pPr>
            <w:r w:rsidRPr="00475BFC">
              <w:rPr>
                <w:sz w:val="18"/>
              </w:rPr>
              <w:t>483.178.498,27</w:t>
            </w:r>
          </w:p>
        </w:tc>
        <w:tc>
          <w:tcPr>
            <w:tcW w:w="1456" w:type="dxa"/>
            <w:tcBorders>
              <w:top w:val="single" w:sz="12" w:space="0" w:color="auto"/>
            </w:tcBorders>
            <w:shd w:val="clear" w:color="auto" w:fill="auto"/>
            <w:noWrap/>
            <w:vAlign w:val="bottom"/>
            <w:hideMark/>
          </w:tcPr>
          <w:p w:rsidR="00475BFC" w:rsidRPr="00475BFC" w:rsidRDefault="00475BFC" w:rsidP="00F36DAB">
            <w:pPr>
              <w:spacing w:before="40" w:after="40" w:line="220" w:lineRule="exact"/>
              <w:ind w:left="85" w:right="28"/>
              <w:jc w:val="right"/>
              <w:rPr>
                <w:sz w:val="18"/>
              </w:rPr>
            </w:pPr>
            <w:r w:rsidRPr="00475BFC">
              <w:rPr>
                <w:sz w:val="18"/>
              </w:rPr>
              <w:t>829.070.906,98</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Aragón</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41.041.370,81</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80.612.766,65</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121.654.137,46</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Asturias (Principado de)</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26.347.842,38</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59.871.815,07</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86.219.657,45</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Balears (Illes)</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18.762.188,15</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41.551.637,38</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60.313.825,53</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Canarias</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28.867.225,94</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49.909.782,61</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78.777.008,55</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Cantabria</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19.458.152,89</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35.006.582,06</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54.464.734,95</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Castilla y León</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103.176.153,89</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131.349.397,96</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234.525.551,85</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Castilla-La Mancha</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67.171.409,43</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117.940.502,27</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185.111.911,70</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Cataluña</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243.543.171,76</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348.521.705,54</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592.064.877,30</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Comunidad Valenciana</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82.549.700,62</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148.464.169,72</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231.013.870,34</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Extremadura</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36.417.845,72</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58.626.561,01</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95.044.406,73</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Galicia</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78.937.818,06</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143.014.937,97</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221.952.756,03</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Madrid (Comunidad de)</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141.977.218,65</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168.517.741,06</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310.494.959,71</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lastRenderedPageBreak/>
              <w:t>Murcia (Región de)</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54.143.208,72</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70.102.822,41</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124.246.031,13</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Navarra (Com. Foral de)</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12.569.027,71</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0,00</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12.569.027,71</w:t>
            </w:r>
          </w:p>
        </w:tc>
      </w:tr>
      <w:tr w:rsidR="005A67BF" w:rsidRPr="00475BFC" w:rsidTr="00F36DAB">
        <w:trPr>
          <w:trHeight w:val="240"/>
        </w:trPr>
        <w:tc>
          <w:tcPr>
            <w:tcW w:w="1868" w:type="dxa"/>
            <w:shd w:val="clear" w:color="auto" w:fill="auto"/>
            <w:noWrap/>
            <w:hideMark/>
          </w:tcPr>
          <w:p w:rsidR="00756976" w:rsidRPr="00475BFC" w:rsidRDefault="00756976">
            <w:pPr>
              <w:spacing w:before="40" w:after="40" w:line="220" w:lineRule="exact"/>
              <w:rPr>
                <w:sz w:val="18"/>
              </w:rPr>
            </w:pPr>
            <w:r w:rsidRPr="00475BFC">
              <w:rPr>
                <w:sz w:val="18"/>
              </w:rPr>
              <w:t>País Vasco</w:t>
            </w:r>
          </w:p>
        </w:tc>
        <w:tc>
          <w:tcPr>
            <w:tcW w:w="1393"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92.006.000,00</w:t>
            </w:r>
          </w:p>
        </w:tc>
        <w:tc>
          <w:tcPr>
            <w:tcW w:w="2660"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0,00</w:t>
            </w:r>
          </w:p>
        </w:tc>
        <w:tc>
          <w:tcPr>
            <w:tcW w:w="1456" w:type="dxa"/>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92.006.000,00</w:t>
            </w:r>
          </w:p>
        </w:tc>
      </w:tr>
      <w:tr w:rsidR="005A67BF" w:rsidRPr="00475BFC" w:rsidTr="00F36DAB">
        <w:trPr>
          <w:trHeight w:val="240"/>
        </w:trPr>
        <w:tc>
          <w:tcPr>
            <w:tcW w:w="1868" w:type="dxa"/>
            <w:tcBorders>
              <w:bottom w:val="single" w:sz="4" w:space="0" w:color="auto"/>
            </w:tcBorders>
            <w:shd w:val="clear" w:color="auto" w:fill="auto"/>
            <w:noWrap/>
            <w:hideMark/>
          </w:tcPr>
          <w:p w:rsidR="00756976" w:rsidRPr="00475BFC" w:rsidRDefault="00756976">
            <w:pPr>
              <w:spacing w:before="40" w:after="40" w:line="220" w:lineRule="exact"/>
              <w:rPr>
                <w:sz w:val="18"/>
              </w:rPr>
            </w:pPr>
            <w:r w:rsidRPr="00475BFC">
              <w:rPr>
                <w:sz w:val="18"/>
              </w:rPr>
              <w:t>Rioja (La)</w:t>
            </w:r>
          </w:p>
        </w:tc>
        <w:tc>
          <w:tcPr>
            <w:tcW w:w="1393" w:type="dxa"/>
            <w:tcBorders>
              <w:bottom w:val="single" w:sz="4" w:space="0" w:color="auto"/>
            </w:tcBorders>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13.420.430,30</w:t>
            </w:r>
          </w:p>
        </w:tc>
        <w:tc>
          <w:tcPr>
            <w:tcW w:w="2660" w:type="dxa"/>
            <w:tcBorders>
              <w:bottom w:val="single" w:sz="4" w:space="0" w:color="auto"/>
            </w:tcBorders>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23.331.080,02</w:t>
            </w:r>
          </w:p>
        </w:tc>
        <w:tc>
          <w:tcPr>
            <w:tcW w:w="1456" w:type="dxa"/>
            <w:tcBorders>
              <w:bottom w:val="single" w:sz="4" w:space="0" w:color="auto"/>
            </w:tcBorders>
            <w:shd w:val="clear" w:color="auto" w:fill="auto"/>
            <w:noWrap/>
            <w:vAlign w:val="bottom"/>
            <w:hideMark/>
          </w:tcPr>
          <w:p w:rsidR="00756976" w:rsidRPr="00475BFC" w:rsidRDefault="00756976" w:rsidP="00F36DAB">
            <w:pPr>
              <w:spacing w:before="40" w:after="40" w:line="220" w:lineRule="exact"/>
              <w:ind w:left="85" w:right="28"/>
              <w:jc w:val="right"/>
              <w:rPr>
                <w:sz w:val="18"/>
              </w:rPr>
            </w:pPr>
            <w:r w:rsidRPr="00475BFC">
              <w:rPr>
                <w:sz w:val="18"/>
              </w:rPr>
              <w:t>36.751.510,32</w:t>
            </w:r>
          </w:p>
        </w:tc>
      </w:tr>
      <w:tr w:rsidR="005A67BF" w:rsidRPr="005A67BF" w:rsidTr="00F36DAB">
        <w:trPr>
          <w:trHeight w:val="240"/>
        </w:trPr>
        <w:tc>
          <w:tcPr>
            <w:tcW w:w="1868" w:type="dxa"/>
            <w:tcBorders>
              <w:top w:val="single" w:sz="4" w:space="0" w:color="auto"/>
              <w:bottom w:val="single" w:sz="12" w:space="0" w:color="auto"/>
            </w:tcBorders>
            <w:shd w:val="clear" w:color="auto" w:fill="auto"/>
            <w:noWrap/>
            <w:hideMark/>
          </w:tcPr>
          <w:p w:rsidR="00756976" w:rsidRPr="005A67BF" w:rsidRDefault="0039544E" w:rsidP="00F36DAB">
            <w:pPr>
              <w:spacing w:before="80" w:after="80" w:line="220" w:lineRule="exact"/>
              <w:ind w:left="283"/>
              <w:rPr>
                <w:b/>
                <w:sz w:val="18"/>
              </w:rPr>
            </w:pPr>
            <w:r w:rsidRPr="005A67BF">
              <w:rPr>
                <w:b/>
                <w:sz w:val="18"/>
              </w:rPr>
              <w:t>T</w:t>
            </w:r>
            <w:r>
              <w:rPr>
                <w:b/>
                <w:sz w:val="18"/>
              </w:rPr>
              <w:t>otal</w:t>
            </w:r>
            <w:r w:rsidRPr="005A67BF">
              <w:rPr>
                <w:b/>
                <w:sz w:val="18"/>
              </w:rPr>
              <w:t xml:space="preserve"> </w:t>
            </w:r>
          </w:p>
        </w:tc>
        <w:tc>
          <w:tcPr>
            <w:tcW w:w="1393" w:type="dxa"/>
            <w:tcBorders>
              <w:top w:val="single" w:sz="4" w:space="0" w:color="auto"/>
              <w:bottom w:val="single" w:sz="12" w:space="0" w:color="auto"/>
            </w:tcBorders>
            <w:shd w:val="clear" w:color="auto" w:fill="auto"/>
            <w:noWrap/>
            <w:vAlign w:val="bottom"/>
            <w:hideMark/>
          </w:tcPr>
          <w:p w:rsidR="00756976" w:rsidRPr="005A67BF" w:rsidRDefault="00756976" w:rsidP="00F36DAB">
            <w:pPr>
              <w:spacing w:before="80" w:after="80" w:line="220" w:lineRule="exact"/>
              <w:ind w:left="85" w:right="28"/>
              <w:jc w:val="right"/>
              <w:rPr>
                <w:b/>
                <w:sz w:val="18"/>
              </w:rPr>
            </w:pPr>
            <w:r w:rsidRPr="005A67BF">
              <w:rPr>
                <w:b/>
                <w:sz w:val="18"/>
              </w:rPr>
              <w:t>1.406.281.173,74</w:t>
            </w:r>
          </w:p>
        </w:tc>
        <w:tc>
          <w:tcPr>
            <w:tcW w:w="2660" w:type="dxa"/>
            <w:tcBorders>
              <w:top w:val="single" w:sz="4" w:space="0" w:color="auto"/>
              <w:bottom w:val="single" w:sz="12" w:space="0" w:color="auto"/>
            </w:tcBorders>
            <w:shd w:val="clear" w:color="auto" w:fill="auto"/>
            <w:noWrap/>
            <w:vAlign w:val="bottom"/>
            <w:hideMark/>
          </w:tcPr>
          <w:p w:rsidR="00756976" w:rsidRPr="005A67BF" w:rsidRDefault="00756976" w:rsidP="00F36DAB">
            <w:pPr>
              <w:spacing w:before="80" w:after="80" w:line="220" w:lineRule="exact"/>
              <w:ind w:left="85" w:right="28"/>
              <w:jc w:val="right"/>
              <w:rPr>
                <w:b/>
                <w:sz w:val="18"/>
              </w:rPr>
            </w:pPr>
            <w:r w:rsidRPr="005A67BF">
              <w:rPr>
                <w:b/>
                <w:sz w:val="18"/>
              </w:rPr>
              <w:t>1.960.000.000,00</w:t>
            </w:r>
          </w:p>
        </w:tc>
        <w:tc>
          <w:tcPr>
            <w:tcW w:w="1456" w:type="dxa"/>
            <w:tcBorders>
              <w:top w:val="single" w:sz="4" w:space="0" w:color="auto"/>
              <w:bottom w:val="single" w:sz="12" w:space="0" w:color="auto"/>
            </w:tcBorders>
            <w:shd w:val="clear" w:color="auto" w:fill="auto"/>
            <w:noWrap/>
            <w:vAlign w:val="bottom"/>
            <w:hideMark/>
          </w:tcPr>
          <w:p w:rsidR="00756976" w:rsidRPr="005A67BF" w:rsidRDefault="00756976" w:rsidP="00F36DAB">
            <w:pPr>
              <w:spacing w:before="80" w:after="80" w:line="220" w:lineRule="exact"/>
              <w:ind w:left="85" w:right="28"/>
              <w:jc w:val="right"/>
              <w:rPr>
                <w:b/>
                <w:sz w:val="18"/>
              </w:rPr>
            </w:pPr>
            <w:r w:rsidRPr="005A67BF">
              <w:rPr>
                <w:b/>
                <w:sz w:val="18"/>
              </w:rPr>
              <w:t>3.366.281.173,74</w:t>
            </w:r>
          </w:p>
        </w:tc>
      </w:tr>
    </w:tbl>
    <w:p w:rsidR="00384375" w:rsidRPr="00F36DAB" w:rsidRDefault="00CA6868">
      <w:pPr>
        <w:pStyle w:val="H23G"/>
        <w:rPr>
          <w:b w:val="0"/>
          <w:sz w:val="16"/>
        </w:rPr>
      </w:pPr>
      <w:r>
        <w:tab/>
      </w:r>
      <w:r>
        <w:tab/>
      </w:r>
      <w:r w:rsidR="00985267" w:rsidRPr="003E0B97">
        <w:t xml:space="preserve">Año </w:t>
      </w:r>
      <w:r w:rsidR="00384375" w:rsidRPr="003E0B97">
        <w:t>2013</w:t>
      </w:r>
      <w:r w:rsidR="00E21368">
        <w:br/>
      </w:r>
      <w:r w:rsidR="00E21368" w:rsidRPr="00F36DAB">
        <w:rPr>
          <w:b w:val="0"/>
          <w:sz w:val="16"/>
        </w:rPr>
        <w:t>(En euros)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76"/>
        <w:gridCol w:w="1414"/>
        <w:gridCol w:w="2645"/>
        <w:gridCol w:w="1442"/>
      </w:tblGrid>
      <w:tr w:rsidR="00E21368" w:rsidRPr="00E21368" w:rsidTr="00F36DAB">
        <w:trPr>
          <w:trHeight w:val="240"/>
          <w:tblHeader/>
        </w:trPr>
        <w:tc>
          <w:tcPr>
            <w:tcW w:w="1876" w:type="dxa"/>
            <w:tcBorders>
              <w:top w:val="single" w:sz="4" w:space="0" w:color="auto"/>
              <w:bottom w:val="nil"/>
            </w:tcBorders>
            <w:shd w:val="clear" w:color="auto" w:fill="auto"/>
            <w:noWrap/>
            <w:vAlign w:val="bottom"/>
            <w:hideMark/>
          </w:tcPr>
          <w:p w:rsidR="00D23B3F" w:rsidRPr="00E21368" w:rsidRDefault="00D23B3F">
            <w:pPr>
              <w:spacing w:before="80" w:after="80" w:line="200" w:lineRule="exact"/>
              <w:rPr>
                <w:i/>
                <w:sz w:val="16"/>
                <w:szCs w:val="24"/>
                <w:lang w:val="en-GB" w:eastAsia="en-GB"/>
              </w:rPr>
            </w:pPr>
            <w:r w:rsidRPr="00E21368">
              <w:rPr>
                <w:i/>
                <w:sz w:val="16"/>
                <w:szCs w:val="24"/>
                <w:lang w:val="en-GB" w:eastAsia="en-GB"/>
              </w:rPr>
              <w:t>CC.AA.</w:t>
            </w:r>
          </w:p>
        </w:tc>
        <w:tc>
          <w:tcPr>
            <w:tcW w:w="1414" w:type="dxa"/>
            <w:tcBorders>
              <w:top w:val="single" w:sz="4" w:space="0" w:color="auto"/>
              <w:bottom w:val="single" w:sz="12" w:space="0" w:color="auto"/>
            </w:tcBorders>
            <w:shd w:val="clear" w:color="auto" w:fill="auto"/>
            <w:noWrap/>
            <w:vAlign w:val="bottom"/>
            <w:hideMark/>
          </w:tcPr>
          <w:p w:rsidR="00D23B3F" w:rsidRPr="00E21368" w:rsidRDefault="00D23B3F" w:rsidP="00F36DAB">
            <w:pPr>
              <w:spacing w:before="80" w:after="80" w:line="200" w:lineRule="exact"/>
              <w:ind w:left="85" w:right="28"/>
              <w:jc w:val="right"/>
              <w:rPr>
                <w:i/>
                <w:sz w:val="16"/>
                <w:szCs w:val="24"/>
                <w:lang w:val="en-GB" w:eastAsia="en-GB"/>
              </w:rPr>
            </w:pPr>
            <w:r w:rsidRPr="00E21368">
              <w:rPr>
                <w:i/>
                <w:sz w:val="16"/>
                <w:szCs w:val="24"/>
                <w:lang w:val="en-GB" w:eastAsia="en-GB"/>
              </w:rPr>
              <w:t>Nivel Mínimo 2013</w:t>
            </w:r>
          </w:p>
        </w:tc>
        <w:tc>
          <w:tcPr>
            <w:tcW w:w="2645" w:type="dxa"/>
            <w:tcBorders>
              <w:top w:val="single" w:sz="4" w:space="0" w:color="auto"/>
              <w:bottom w:val="single" w:sz="12" w:space="0" w:color="auto"/>
            </w:tcBorders>
            <w:shd w:val="clear" w:color="auto" w:fill="auto"/>
            <w:noWrap/>
            <w:vAlign w:val="bottom"/>
            <w:hideMark/>
          </w:tcPr>
          <w:p w:rsidR="00D23B3F" w:rsidRPr="00C3111D" w:rsidRDefault="00D23B3F" w:rsidP="00F36DAB">
            <w:pPr>
              <w:spacing w:before="80" w:after="80" w:line="200" w:lineRule="exact"/>
              <w:ind w:left="85" w:right="28"/>
              <w:jc w:val="right"/>
              <w:rPr>
                <w:i/>
                <w:sz w:val="16"/>
                <w:szCs w:val="24"/>
                <w:lang w:eastAsia="en-GB"/>
              </w:rPr>
            </w:pPr>
            <w:r w:rsidRPr="00C3111D">
              <w:rPr>
                <w:i/>
                <w:sz w:val="16"/>
                <w:szCs w:val="24"/>
                <w:lang w:eastAsia="en-GB"/>
              </w:rPr>
              <w:t>R. Adic</w:t>
            </w:r>
            <w:r w:rsidR="00BB411A" w:rsidRPr="00C3111D">
              <w:rPr>
                <w:i/>
                <w:sz w:val="16"/>
                <w:szCs w:val="24"/>
                <w:lang w:eastAsia="en-GB"/>
              </w:rPr>
              <w:t>.</w:t>
            </w:r>
            <w:r w:rsidR="00E21368" w:rsidRPr="00C3111D">
              <w:rPr>
                <w:i/>
                <w:sz w:val="16"/>
                <w:szCs w:val="24"/>
                <w:lang w:eastAsia="en-GB"/>
              </w:rPr>
              <w:t xml:space="preserve"> (</w:t>
            </w:r>
            <w:r w:rsidR="00B03578">
              <w:rPr>
                <w:bCs/>
                <w:i/>
                <w:sz w:val="16"/>
                <w:szCs w:val="22"/>
              </w:rPr>
              <w:t>a</w:t>
            </w:r>
            <w:r w:rsidR="00756976" w:rsidRPr="00E21368">
              <w:rPr>
                <w:bCs/>
                <w:i/>
                <w:sz w:val="16"/>
                <w:szCs w:val="22"/>
              </w:rPr>
              <w:t xml:space="preserve">rt. 5 y 6 Ley </w:t>
            </w:r>
            <w:r w:rsidR="00B03578">
              <w:rPr>
                <w:bCs/>
                <w:i/>
                <w:sz w:val="16"/>
                <w:szCs w:val="22"/>
              </w:rPr>
              <w:t xml:space="preserve">núm. </w:t>
            </w:r>
            <w:r w:rsidR="00756976" w:rsidRPr="00E21368">
              <w:rPr>
                <w:bCs/>
                <w:i/>
                <w:sz w:val="16"/>
                <w:szCs w:val="22"/>
              </w:rPr>
              <w:t>22/2009</w:t>
            </w:r>
            <w:r w:rsidR="00E21368" w:rsidRPr="00C3111D">
              <w:rPr>
                <w:i/>
                <w:sz w:val="16"/>
                <w:szCs w:val="24"/>
                <w:lang w:eastAsia="en-GB"/>
              </w:rPr>
              <w:t>)</w:t>
            </w:r>
          </w:p>
        </w:tc>
        <w:tc>
          <w:tcPr>
            <w:tcW w:w="1442" w:type="dxa"/>
            <w:tcBorders>
              <w:top w:val="single" w:sz="4" w:space="0" w:color="auto"/>
              <w:bottom w:val="single" w:sz="12" w:space="0" w:color="auto"/>
            </w:tcBorders>
            <w:shd w:val="clear" w:color="auto" w:fill="auto"/>
            <w:noWrap/>
            <w:vAlign w:val="bottom"/>
            <w:hideMark/>
          </w:tcPr>
          <w:p w:rsidR="00D23B3F" w:rsidRPr="00E21368" w:rsidRDefault="00D23B3F" w:rsidP="00F36DAB">
            <w:pPr>
              <w:spacing w:before="80" w:after="80" w:line="200" w:lineRule="exact"/>
              <w:ind w:left="85" w:right="28"/>
              <w:jc w:val="right"/>
              <w:rPr>
                <w:i/>
                <w:sz w:val="16"/>
                <w:szCs w:val="24"/>
                <w:lang w:val="en-GB" w:eastAsia="en-GB"/>
              </w:rPr>
            </w:pPr>
            <w:r w:rsidRPr="00E21368">
              <w:rPr>
                <w:i/>
                <w:sz w:val="16"/>
                <w:szCs w:val="24"/>
                <w:lang w:val="en-GB" w:eastAsia="en-GB"/>
              </w:rPr>
              <w:t>Total 2013</w:t>
            </w:r>
          </w:p>
        </w:tc>
      </w:tr>
      <w:tr w:rsidR="00E21368" w:rsidRPr="00E21368" w:rsidTr="00F36DAB">
        <w:trPr>
          <w:trHeight w:val="240"/>
        </w:trPr>
        <w:tc>
          <w:tcPr>
            <w:tcW w:w="1876" w:type="dxa"/>
            <w:tcBorders>
              <w:top w:val="single" w:sz="12" w:space="0" w:color="auto"/>
            </w:tcBorders>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Andalucía</w:t>
            </w:r>
          </w:p>
        </w:tc>
        <w:tc>
          <w:tcPr>
            <w:tcW w:w="1414" w:type="dxa"/>
            <w:tcBorders>
              <w:top w:val="single" w:sz="12" w:space="0" w:color="auto"/>
            </w:tcBorders>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272.126.850,44</w:t>
            </w:r>
          </w:p>
        </w:tc>
        <w:tc>
          <w:tcPr>
            <w:tcW w:w="2645" w:type="dxa"/>
            <w:tcBorders>
              <w:top w:val="single" w:sz="12" w:space="0" w:color="auto"/>
            </w:tcBorders>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548.504.903,45</w:t>
            </w:r>
          </w:p>
        </w:tc>
        <w:tc>
          <w:tcPr>
            <w:tcW w:w="1442" w:type="dxa"/>
            <w:tcBorders>
              <w:top w:val="single" w:sz="12" w:space="0" w:color="auto"/>
            </w:tcBorders>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820.631.753,89</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Aragón</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25.627.087,01</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91.510.464,06</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117.137.551,07</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Asturias (Principado de)</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23.351.967,01</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67.962.491,15</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91.314.458,16</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Balears (Illes)</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20.494.124,55</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47.167.930,44</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67.662.054,99</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Canarias</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23.124.406,78</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56.660.903,85</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79.785.310,63</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Cantabria</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24.136.277,41</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39.744.515,22</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63.880.792,63</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Castilla y León</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86.786.099,76</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149.116.166,21</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235.902.265,97</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Castilla-La Mancha</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59.678.324,37</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133.891.416,44</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193.569.740,81</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Cataluña</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212.008.756,35</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395.645.536,35</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607.654.292,70</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Comunidad Valenciana</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59.957.951,67</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168.534.020,83</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228.491.972,50</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Extremadura</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37.909.804,44</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66.549.792,74</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104.459.597,18</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Galicia</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67.106.498,01</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162.352.340,51</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229.458.838,52</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Madrid (Comunidad de)</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143.254.551,14</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191.299.160,85</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334.553.711,99</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Murcia (Región de)</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50.140.646,05</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79.579.011,22</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129.719.657,27</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Navarra (Com. Foral de)</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11.554.465,78</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0</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11.554.465,78</w:t>
            </w:r>
          </w:p>
        </w:tc>
      </w:tr>
      <w:tr w:rsidR="00E21368" w:rsidRPr="00E21368" w:rsidTr="00F36DAB">
        <w:trPr>
          <w:trHeight w:val="240"/>
        </w:trPr>
        <w:tc>
          <w:tcPr>
            <w:tcW w:w="1876" w:type="dxa"/>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País Vasco</w:t>
            </w:r>
          </w:p>
        </w:tc>
        <w:tc>
          <w:tcPr>
            <w:tcW w:w="1414"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78.891.805,72</w:t>
            </w:r>
          </w:p>
        </w:tc>
        <w:tc>
          <w:tcPr>
            <w:tcW w:w="2645"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0</w:t>
            </w:r>
          </w:p>
        </w:tc>
        <w:tc>
          <w:tcPr>
            <w:tcW w:w="1442" w:type="dxa"/>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78.891.805,72</w:t>
            </w:r>
          </w:p>
        </w:tc>
      </w:tr>
      <w:tr w:rsidR="00E21368" w:rsidRPr="00E21368" w:rsidTr="00F36DAB">
        <w:trPr>
          <w:trHeight w:val="240"/>
        </w:trPr>
        <w:tc>
          <w:tcPr>
            <w:tcW w:w="1876" w:type="dxa"/>
            <w:tcBorders>
              <w:bottom w:val="single" w:sz="4" w:space="0" w:color="auto"/>
            </w:tcBorders>
            <w:shd w:val="clear" w:color="auto" w:fill="auto"/>
            <w:noWrap/>
            <w:hideMark/>
          </w:tcPr>
          <w:p w:rsidR="00D23B3F" w:rsidRPr="00E21368" w:rsidRDefault="00D23B3F">
            <w:pPr>
              <w:spacing w:before="40" w:after="40" w:line="220" w:lineRule="exact"/>
              <w:rPr>
                <w:sz w:val="18"/>
                <w:szCs w:val="24"/>
                <w:lang w:val="en-GB" w:eastAsia="en-GB"/>
              </w:rPr>
            </w:pPr>
            <w:r w:rsidRPr="00E21368">
              <w:rPr>
                <w:sz w:val="18"/>
                <w:szCs w:val="24"/>
                <w:lang w:val="en-GB" w:eastAsia="en-GB"/>
              </w:rPr>
              <w:t>Rioja (La)</w:t>
            </w:r>
          </w:p>
        </w:tc>
        <w:tc>
          <w:tcPr>
            <w:tcW w:w="1414" w:type="dxa"/>
            <w:tcBorders>
              <w:bottom w:val="single" w:sz="4" w:space="0" w:color="auto"/>
            </w:tcBorders>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10.639.517,15</w:t>
            </w:r>
          </w:p>
        </w:tc>
        <w:tc>
          <w:tcPr>
            <w:tcW w:w="2645" w:type="dxa"/>
            <w:tcBorders>
              <w:bottom w:val="single" w:sz="4" w:space="0" w:color="auto"/>
            </w:tcBorders>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26.481.346,68</w:t>
            </w:r>
          </w:p>
        </w:tc>
        <w:tc>
          <w:tcPr>
            <w:tcW w:w="1442" w:type="dxa"/>
            <w:tcBorders>
              <w:bottom w:val="single" w:sz="4" w:space="0" w:color="auto"/>
            </w:tcBorders>
            <w:shd w:val="clear" w:color="auto" w:fill="auto"/>
            <w:noWrap/>
            <w:vAlign w:val="bottom"/>
            <w:hideMark/>
          </w:tcPr>
          <w:p w:rsidR="00D23B3F" w:rsidRPr="00E21368" w:rsidRDefault="00D23B3F" w:rsidP="00F36DAB">
            <w:pPr>
              <w:spacing w:before="40" w:after="40" w:line="220" w:lineRule="exact"/>
              <w:ind w:left="85" w:right="28"/>
              <w:jc w:val="right"/>
              <w:rPr>
                <w:sz w:val="18"/>
                <w:szCs w:val="24"/>
                <w:lang w:val="en-GB" w:eastAsia="en-GB"/>
              </w:rPr>
            </w:pPr>
            <w:r w:rsidRPr="00E21368">
              <w:rPr>
                <w:sz w:val="18"/>
                <w:szCs w:val="24"/>
                <w:lang w:val="en-GB" w:eastAsia="en-GB"/>
              </w:rPr>
              <w:t>37.120.863,83</w:t>
            </w:r>
          </w:p>
        </w:tc>
      </w:tr>
      <w:tr w:rsidR="00E21368" w:rsidRPr="00E21368" w:rsidTr="00F36DAB">
        <w:trPr>
          <w:trHeight w:val="240"/>
        </w:trPr>
        <w:tc>
          <w:tcPr>
            <w:tcW w:w="1876" w:type="dxa"/>
            <w:tcBorders>
              <w:top w:val="single" w:sz="4" w:space="0" w:color="auto"/>
              <w:bottom w:val="single" w:sz="12" w:space="0" w:color="auto"/>
            </w:tcBorders>
            <w:shd w:val="clear" w:color="auto" w:fill="auto"/>
            <w:noWrap/>
            <w:hideMark/>
          </w:tcPr>
          <w:p w:rsidR="00D23B3F" w:rsidRPr="00E21368" w:rsidRDefault="00D23B3F" w:rsidP="00F36DAB">
            <w:pPr>
              <w:spacing w:before="80" w:after="80" w:line="220" w:lineRule="exact"/>
              <w:ind w:left="283"/>
              <w:rPr>
                <w:b/>
                <w:sz w:val="18"/>
                <w:szCs w:val="24"/>
                <w:lang w:val="en-GB" w:eastAsia="en-GB"/>
              </w:rPr>
            </w:pPr>
            <w:r w:rsidRPr="00E21368">
              <w:rPr>
                <w:b/>
                <w:sz w:val="18"/>
                <w:szCs w:val="24"/>
                <w:lang w:val="en-GB" w:eastAsia="en-GB"/>
              </w:rPr>
              <w:t>T</w:t>
            </w:r>
            <w:r w:rsidR="00E21368" w:rsidRPr="00E21368">
              <w:rPr>
                <w:b/>
                <w:sz w:val="18"/>
                <w:szCs w:val="24"/>
                <w:lang w:val="en-GB" w:eastAsia="en-GB"/>
              </w:rPr>
              <w:t xml:space="preserve">otal </w:t>
            </w:r>
          </w:p>
        </w:tc>
        <w:tc>
          <w:tcPr>
            <w:tcW w:w="1414" w:type="dxa"/>
            <w:tcBorders>
              <w:top w:val="single" w:sz="4" w:space="0" w:color="auto"/>
              <w:bottom w:val="single" w:sz="12" w:space="0" w:color="auto"/>
            </w:tcBorders>
            <w:shd w:val="clear" w:color="auto" w:fill="auto"/>
            <w:noWrap/>
            <w:vAlign w:val="bottom"/>
            <w:hideMark/>
          </w:tcPr>
          <w:p w:rsidR="00D23B3F" w:rsidRPr="00E21368" w:rsidRDefault="00D23B3F" w:rsidP="00F36DAB">
            <w:pPr>
              <w:spacing w:before="80" w:after="80" w:line="220" w:lineRule="exact"/>
              <w:ind w:left="85" w:right="28"/>
              <w:jc w:val="right"/>
              <w:rPr>
                <w:b/>
                <w:sz w:val="18"/>
                <w:szCs w:val="24"/>
                <w:lang w:val="en-GB" w:eastAsia="en-GB"/>
              </w:rPr>
            </w:pPr>
            <w:r w:rsidRPr="00E21368">
              <w:rPr>
                <w:b/>
                <w:sz w:val="18"/>
                <w:szCs w:val="24"/>
                <w:lang w:val="en-GB" w:eastAsia="en-GB"/>
              </w:rPr>
              <w:t>1.206.789.133,64</w:t>
            </w:r>
          </w:p>
        </w:tc>
        <w:tc>
          <w:tcPr>
            <w:tcW w:w="2645" w:type="dxa"/>
            <w:tcBorders>
              <w:top w:val="single" w:sz="4" w:space="0" w:color="auto"/>
              <w:bottom w:val="single" w:sz="12" w:space="0" w:color="auto"/>
            </w:tcBorders>
            <w:shd w:val="clear" w:color="auto" w:fill="auto"/>
            <w:noWrap/>
            <w:vAlign w:val="bottom"/>
            <w:hideMark/>
          </w:tcPr>
          <w:p w:rsidR="00D23B3F" w:rsidRPr="00E21368" w:rsidRDefault="00D23B3F" w:rsidP="00F36DAB">
            <w:pPr>
              <w:spacing w:before="80" w:after="80" w:line="220" w:lineRule="exact"/>
              <w:ind w:left="85" w:right="28"/>
              <w:jc w:val="right"/>
              <w:rPr>
                <w:b/>
                <w:sz w:val="18"/>
                <w:szCs w:val="24"/>
                <w:lang w:val="en-GB" w:eastAsia="en-GB"/>
              </w:rPr>
            </w:pPr>
            <w:r w:rsidRPr="00E21368">
              <w:rPr>
                <w:b/>
                <w:sz w:val="18"/>
                <w:szCs w:val="24"/>
                <w:lang w:val="en-GB" w:eastAsia="en-GB"/>
              </w:rPr>
              <w:t>2.225.000.000,00</w:t>
            </w:r>
          </w:p>
        </w:tc>
        <w:tc>
          <w:tcPr>
            <w:tcW w:w="1442" w:type="dxa"/>
            <w:tcBorders>
              <w:top w:val="single" w:sz="4" w:space="0" w:color="auto"/>
              <w:bottom w:val="single" w:sz="12" w:space="0" w:color="auto"/>
            </w:tcBorders>
            <w:shd w:val="clear" w:color="auto" w:fill="auto"/>
            <w:noWrap/>
            <w:vAlign w:val="bottom"/>
            <w:hideMark/>
          </w:tcPr>
          <w:p w:rsidR="00D23B3F" w:rsidRPr="00E21368" w:rsidRDefault="00D23B3F" w:rsidP="00F36DAB">
            <w:pPr>
              <w:spacing w:before="80" w:after="80" w:line="220" w:lineRule="exact"/>
              <w:ind w:left="85" w:right="28"/>
              <w:jc w:val="right"/>
              <w:rPr>
                <w:b/>
                <w:sz w:val="18"/>
                <w:szCs w:val="24"/>
                <w:lang w:val="en-GB" w:eastAsia="en-GB"/>
              </w:rPr>
            </w:pPr>
            <w:r w:rsidRPr="00E21368">
              <w:rPr>
                <w:b/>
                <w:sz w:val="18"/>
                <w:szCs w:val="24"/>
                <w:lang w:val="en-GB" w:eastAsia="en-GB"/>
              </w:rPr>
              <w:t>3.431.789.133,64</w:t>
            </w:r>
          </w:p>
        </w:tc>
      </w:tr>
    </w:tbl>
    <w:p w:rsidR="00384375" w:rsidRPr="00F36DAB" w:rsidRDefault="00CA6868">
      <w:pPr>
        <w:pStyle w:val="H23G"/>
        <w:rPr>
          <w:b w:val="0"/>
          <w:sz w:val="16"/>
        </w:rPr>
      </w:pPr>
      <w:r>
        <w:tab/>
      </w:r>
      <w:r>
        <w:tab/>
      </w:r>
      <w:r w:rsidR="00985267" w:rsidRPr="003E0B97">
        <w:t xml:space="preserve">Año </w:t>
      </w:r>
      <w:r w:rsidR="00384375" w:rsidRPr="003E0B97">
        <w:t>2014</w:t>
      </w:r>
      <w:r w:rsidR="003A40DD">
        <w:br/>
      </w:r>
      <w:r w:rsidR="003A40DD" w:rsidRPr="00F36DAB">
        <w:rPr>
          <w:b w:val="0"/>
          <w:sz w:val="16"/>
        </w:rPr>
        <w:t>(En euros)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90"/>
        <w:gridCol w:w="1400"/>
        <w:gridCol w:w="2645"/>
        <w:gridCol w:w="1435"/>
      </w:tblGrid>
      <w:tr w:rsidR="003A40DD" w:rsidRPr="003A40DD" w:rsidTr="00F36DAB">
        <w:trPr>
          <w:trHeight w:val="240"/>
          <w:tblHeader/>
        </w:trPr>
        <w:tc>
          <w:tcPr>
            <w:tcW w:w="1890" w:type="dxa"/>
            <w:tcBorders>
              <w:top w:val="single" w:sz="4" w:space="0" w:color="auto"/>
              <w:bottom w:val="single" w:sz="12" w:space="0" w:color="auto"/>
            </w:tcBorders>
            <w:shd w:val="clear" w:color="auto" w:fill="auto"/>
            <w:noWrap/>
            <w:vAlign w:val="bottom"/>
            <w:hideMark/>
          </w:tcPr>
          <w:p w:rsidR="00D23B3F" w:rsidRPr="003A40DD" w:rsidRDefault="00D23B3F">
            <w:pPr>
              <w:spacing w:before="80" w:after="80" w:line="200" w:lineRule="exact"/>
              <w:rPr>
                <w:i/>
                <w:sz w:val="16"/>
                <w:szCs w:val="24"/>
                <w:lang w:val="en-GB" w:eastAsia="en-GB"/>
              </w:rPr>
            </w:pPr>
            <w:r w:rsidRPr="003A40DD">
              <w:rPr>
                <w:i/>
                <w:sz w:val="16"/>
                <w:szCs w:val="24"/>
                <w:lang w:val="en-GB" w:eastAsia="en-GB"/>
              </w:rPr>
              <w:t>CC.AA.</w:t>
            </w:r>
          </w:p>
        </w:tc>
        <w:tc>
          <w:tcPr>
            <w:tcW w:w="1400" w:type="dxa"/>
            <w:tcBorders>
              <w:top w:val="single" w:sz="4" w:space="0" w:color="auto"/>
              <w:bottom w:val="single" w:sz="12" w:space="0" w:color="auto"/>
            </w:tcBorders>
            <w:shd w:val="clear" w:color="auto" w:fill="auto"/>
            <w:noWrap/>
            <w:vAlign w:val="bottom"/>
            <w:hideMark/>
          </w:tcPr>
          <w:p w:rsidR="00D23B3F" w:rsidRPr="003A40DD" w:rsidRDefault="00D23B3F" w:rsidP="00F36DAB">
            <w:pPr>
              <w:spacing w:before="80" w:after="80" w:line="200" w:lineRule="exact"/>
              <w:ind w:left="85" w:right="28"/>
              <w:jc w:val="right"/>
              <w:rPr>
                <w:i/>
                <w:sz w:val="16"/>
                <w:szCs w:val="24"/>
                <w:lang w:val="en-GB" w:eastAsia="en-GB"/>
              </w:rPr>
            </w:pPr>
            <w:r w:rsidRPr="003A40DD">
              <w:rPr>
                <w:i/>
                <w:sz w:val="16"/>
                <w:szCs w:val="24"/>
                <w:lang w:val="en-GB" w:eastAsia="en-GB"/>
              </w:rPr>
              <w:t>Nivel Mínimo 2014</w:t>
            </w:r>
          </w:p>
        </w:tc>
        <w:tc>
          <w:tcPr>
            <w:tcW w:w="2645" w:type="dxa"/>
            <w:tcBorders>
              <w:top w:val="single" w:sz="4" w:space="0" w:color="auto"/>
              <w:bottom w:val="single" w:sz="12" w:space="0" w:color="auto"/>
            </w:tcBorders>
            <w:shd w:val="clear" w:color="auto" w:fill="auto"/>
            <w:noWrap/>
            <w:vAlign w:val="bottom"/>
            <w:hideMark/>
          </w:tcPr>
          <w:p w:rsidR="00D23B3F" w:rsidRPr="00C3111D" w:rsidRDefault="00D23B3F" w:rsidP="00F36DAB">
            <w:pPr>
              <w:spacing w:before="80" w:after="80" w:line="200" w:lineRule="exact"/>
              <w:ind w:left="85" w:right="28"/>
              <w:jc w:val="right"/>
              <w:rPr>
                <w:i/>
                <w:sz w:val="16"/>
                <w:szCs w:val="24"/>
                <w:lang w:eastAsia="en-GB"/>
              </w:rPr>
            </w:pPr>
            <w:r w:rsidRPr="00C3111D">
              <w:rPr>
                <w:i/>
                <w:sz w:val="16"/>
                <w:szCs w:val="24"/>
                <w:lang w:eastAsia="en-GB"/>
              </w:rPr>
              <w:t>R. Adic</w:t>
            </w:r>
            <w:r w:rsidR="00BB411A" w:rsidRPr="00C3111D">
              <w:rPr>
                <w:i/>
                <w:sz w:val="16"/>
                <w:szCs w:val="24"/>
                <w:lang w:eastAsia="en-GB"/>
              </w:rPr>
              <w:t>.</w:t>
            </w:r>
            <w:r w:rsidR="003A40DD" w:rsidRPr="00C3111D">
              <w:rPr>
                <w:i/>
                <w:sz w:val="16"/>
                <w:szCs w:val="24"/>
                <w:lang w:eastAsia="en-GB"/>
              </w:rPr>
              <w:t xml:space="preserve"> (</w:t>
            </w:r>
            <w:r w:rsidR="00B03578">
              <w:rPr>
                <w:bCs/>
                <w:i/>
                <w:sz w:val="16"/>
                <w:szCs w:val="22"/>
              </w:rPr>
              <w:t>a</w:t>
            </w:r>
            <w:r w:rsidR="00756976" w:rsidRPr="003A40DD">
              <w:rPr>
                <w:bCs/>
                <w:i/>
                <w:sz w:val="16"/>
                <w:szCs w:val="22"/>
              </w:rPr>
              <w:t xml:space="preserve">rt. 5 y 6 Ley </w:t>
            </w:r>
            <w:r w:rsidR="00B03578">
              <w:rPr>
                <w:bCs/>
                <w:i/>
                <w:sz w:val="16"/>
                <w:szCs w:val="22"/>
              </w:rPr>
              <w:t xml:space="preserve">núm. </w:t>
            </w:r>
            <w:r w:rsidR="00756976" w:rsidRPr="003A40DD">
              <w:rPr>
                <w:bCs/>
                <w:i/>
                <w:sz w:val="16"/>
                <w:szCs w:val="22"/>
              </w:rPr>
              <w:t>22/2009</w:t>
            </w:r>
            <w:r w:rsidR="003A40DD" w:rsidRPr="00C3111D">
              <w:rPr>
                <w:i/>
                <w:sz w:val="16"/>
                <w:szCs w:val="24"/>
                <w:lang w:eastAsia="en-GB"/>
              </w:rPr>
              <w:t>)</w:t>
            </w:r>
          </w:p>
        </w:tc>
        <w:tc>
          <w:tcPr>
            <w:tcW w:w="1435" w:type="dxa"/>
            <w:tcBorders>
              <w:top w:val="single" w:sz="4" w:space="0" w:color="auto"/>
              <w:bottom w:val="single" w:sz="12" w:space="0" w:color="auto"/>
            </w:tcBorders>
            <w:shd w:val="clear" w:color="auto" w:fill="auto"/>
            <w:noWrap/>
            <w:vAlign w:val="bottom"/>
            <w:hideMark/>
          </w:tcPr>
          <w:p w:rsidR="00D23B3F" w:rsidRPr="003A40DD" w:rsidRDefault="00D23B3F" w:rsidP="00F36DAB">
            <w:pPr>
              <w:spacing w:before="80" w:after="80" w:line="200" w:lineRule="exact"/>
              <w:ind w:left="85" w:right="28"/>
              <w:jc w:val="right"/>
              <w:rPr>
                <w:i/>
                <w:sz w:val="16"/>
                <w:szCs w:val="24"/>
                <w:lang w:val="en-GB" w:eastAsia="en-GB"/>
              </w:rPr>
            </w:pPr>
            <w:r w:rsidRPr="003A40DD">
              <w:rPr>
                <w:i/>
                <w:sz w:val="16"/>
                <w:szCs w:val="24"/>
                <w:lang w:val="en-GB" w:eastAsia="en-GB"/>
              </w:rPr>
              <w:t>Total 2014</w:t>
            </w:r>
          </w:p>
        </w:tc>
      </w:tr>
      <w:tr w:rsidR="003A40DD" w:rsidRPr="003A40DD" w:rsidTr="00F36DAB">
        <w:trPr>
          <w:trHeight w:val="240"/>
        </w:trPr>
        <w:tc>
          <w:tcPr>
            <w:tcW w:w="1890" w:type="dxa"/>
            <w:tcBorders>
              <w:top w:val="single" w:sz="12" w:space="0" w:color="auto"/>
            </w:tcBorders>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Andalucía</w:t>
            </w:r>
          </w:p>
        </w:tc>
        <w:tc>
          <w:tcPr>
            <w:tcW w:w="1400" w:type="dxa"/>
            <w:tcBorders>
              <w:top w:val="single" w:sz="12" w:space="0" w:color="auto"/>
            </w:tcBorders>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252.156.059,85</w:t>
            </w:r>
          </w:p>
        </w:tc>
        <w:tc>
          <w:tcPr>
            <w:tcW w:w="2645" w:type="dxa"/>
            <w:tcBorders>
              <w:top w:val="single" w:sz="12" w:space="0" w:color="auto"/>
            </w:tcBorders>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592.090.000,00</w:t>
            </w:r>
          </w:p>
        </w:tc>
        <w:tc>
          <w:tcPr>
            <w:tcW w:w="1435" w:type="dxa"/>
            <w:tcBorders>
              <w:top w:val="single" w:sz="12" w:space="0" w:color="auto"/>
            </w:tcBorders>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844.246.059,85</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Aragón</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28.290.674,43</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98.780.000,00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127.070.674,43</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Asturias (Principado de)</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24.902.549,12</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73.360.000,00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98.262.549,12</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Balears (Illes)</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19.236.454,33</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50.920.000,00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70.156.454,33</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Canarias</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25.085.447,74</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61.160.000,00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86.245.447,74</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Cantabria</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18.064.835,67</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42.900.000,00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60.964.835,67</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Castilla y León</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89.678.069,78</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160.960.000,00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250.638.069,78</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Castilla-La Mancha</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60.452.635,31</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144.530.000,00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204.982.635,31</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Cataluña</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185.527.439,78</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427.090.000,00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612.617.439,78</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Comunidad Valenciana</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60.265.258,69</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181.920.000,00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242.185.258,69</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Extremadura</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36.976.378,43</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71.840.000,00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108.816.378,43</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Galicia</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64.767.341,27</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175.260.000,00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240.027.341,27</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Madrid (Comunidad de)</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144.231.135,86</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206.500.000,00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350.731.135,86</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Murcia (Región de)</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53.425.460,08</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85.900.000,00</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139.325.460,08</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lastRenderedPageBreak/>
              <w:t>Navarra (Com. Foral de)</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12.219.324,99</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 xml:space="preserve"> </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12.219.324,99</w:t>
            </w:r>
          </w:p>
        </w:tc>
      </w:tr>
      <w:tr w:rsidR="003A40DD" w:rsidRPr="003A40DD" w:rsidTr="00F36DAB">
        <w:trPr>
          <w:trHeight w:val="240"/>
        </w:trPr>
        <w:tc>
          <w:tcPr>
            <w:tcW w:w="1890" w:type="dxa"/>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País Vasco</w:t>
            </w:r>
          </w:p>
        </w:tc>
        <w:tc>
          <w:tcPr>
            <w:tcW w:w="1400"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54.663.569,30</w:t>
            </w:r>
          </w:p>
        </w:tc>
        <w:tc>
          <w:tcPr>
            <w:tcW w:w="264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 xml:space="preserve"> </w:t>
            </w:r>
          </w:p>
        </w:tc>
        <w:tc>
          <w:tcPr>
            <w:tcW w:w="1435" w:type="dxa"/>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54.663.569,30</w:t>
            </w:r>
          </w:p>
        </w:tc>
      </w:tr>
      <w:tr w:rsidR="003A40DD" w:rsidRPr="003A40DD" w:rsidTr="00F36DAB">
        <w:trPr>
          <w:trHeight w:val="240"/>
        </w:trPr>
        <w:tc>
          <w:tcPr>
            <w:tcW w:w="1890" w:type="dxa"/>
            <w:tcBorders>
              <w:bottom w:val="single" w:sz="4" w:space="0" w:color="auto"/>
            </w:tcBorders>
            <w:shd w:val="clear" w:color="auto" w:fill="auto"/>
            <w:noWrap/>
            <w:hideMark/>
          </w:tcPr>
          <w:p w:rsidR="00D23B3F" w:rsidRPr="003A40DD" w:rsidRDefault="00D23B3F">
            <w:pPr>
              <w:spacing w:before="40" w:after="40" w:line="220" w:lineRule="exact"/>
              <w:rPr>
                <w:sz w:val="18"/>
                <w:szCs w:val="24"/>
                <w:lang w:val="en-GB" w:eastAsia="en-GB"/>
              </w:rPr>
            </w:pPr>
            <w:r w:rsidRPr="003A40DD">
              <w:rPr>
                <w:sz w:val="18"/>
                <w:szCs w:val="24"/>
                <w:lang w:val="en-GB" w:eastAsia="en-GB"/>
              </w:rPr>
              <w:t>Rioja (La)</w:t>
            </w:r>
          </w:p>
        </w:tc>
        <w:tc>
          <w:tcPr>
            <w:tcW w:w="1400" w:type="dxa"/>
            <w:tcBorders>
              <w:bottom w:val="single" w:sz="4" w:space="0" w:color="auto"/>
            </w:tcBorders>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10.125.823,19</w:t>
            </w:r>
          </w:p>
        </w:tc>
        <w:tc>
          <w:tcPr>
            <w:tcW w:w="2645" w:type="dxa"/>
            <w:tcBorders>
              <w:bottom w:val="single" w:sz="4" w:space="0" w:color="auto"/>
            </w:tcBorders>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28.590.000,00</w:t>
            </w:r>
          </w:p>
        </w:tc>
        <w:tc>
          <w:tcPr>
            <w:tcW w:w="1435" w:type="dxa"/>
            <w:tcBorders>
              <w:bottom w:val="single" w:sz="4" w:space="0" w:color="auto"/>
            </w:tcBorders>
            <w:shd w:val="clear" w:color="auto" w:fill="auto"/>
            <w:noWrap/>
            <w:vAlign w:val="bottom"/>
            <w:hideMark/>
          </w:tcPr>
          <w:p w:rsidR="00D23B3F" w:rsidRPr="003A40DD" w:rsidRDefault="00D23B3F" w:rsidP="00F36DAB">
            <w:pPr>
              <w:spacing w:before="40" w:after="40" w:line="220" w:lineRule="exact"/>
              <w:ind w:left="85" w:right="28"/>
              <w:jc w:val="right"/>
              <w:rPr>
                <w:sz w:val="18"/>
                <w:szCs w:val="24"/>
                <w:lang w:val="en-GB" w:eastAsia="en-GB"/>
              </w:rPr>
            </w:pPr>
            <w:r w:rsidRPr="003A40DD">
              <w:rPr>
                <w:sz w:val="18"/>
                <w:szCs w:val="24"/>
                <w:lang w:val="en-GB" w:eastAsia="en-GB"/>
              </w:rPr>
              <w:t>38.715.823,19</w:t>
            </w:r>
          </w:p>
        </w:tc>
      </w:tr>
      <w:tr w:rsidR="003A40DD" w:rsidRPr="003A40DD" w:rsidTr="00F36DAB">
        <w:trPr>
          <w:trHeight w:val="240"/>
        </w:trPr>
        <w:tc>
          <w:tcPr>
            <w:tcW w:w="1890" w:type="dxa"/>
            <w:tcBorders>
              <w:top w:val="single" w:sz="4" w:space="0" w:color="auto"/>
              <w:bottom w:val="single" w:sz="12" w:space="0" w:color="auto"/>
            </w:tcBorders>
            <w:shd w:val="clear" w:color="auto" w:fill="auto"/>
            <w:noWrap/>
            <w:hideMark/>
          </w:tcPr>
          <w:p w:rsidR="00D23B3F" w:rsidRPr="00F36DAB" w:rsidRDefault="00D23B3F" w:rsidP="00F36DAB">
            <w:pPr>
              <w:spacing w:before="80" w:after="80" w:line="220" w:lineRule="exact"/>
              <w:ind w:left="283"/>
              <w:rPr>
                <w:b/>
                <w:sz w:val="18"/>
              </w:rPr>
            </w:pPr>
            <w:r w:rsidRPr="00F36DAB">
              <w:rPr>
                <w:b/>
                <w:sz w:val="18"/>
              </w:rPr>
              <w:t>T</w:t>
            </w:r>
            <w:r w:rsidR="00CF7323" w:rsidRPr="0039544E">
              <w:rPr>
                <w:b/>
                <w:sz w:val="18"/>
              </w:rPr>
              <w:t>otal</w:t>
            </w:r>
            <w:r w:rsidRPr="00F36DAB">
              <w:rPr>
                <w:b/>
                <w:sz w:val="18"/>
              </w:rPr>
              <w:t xml:space="preserve"> </w:t>
            </w:r>
          </w:p>
        </w:tc>
        <w:tc>
          <w:tcPr>
            <w:tcW w:w="1400" w:type="dxa"/>
            <w:tcBorders>
              <w:top w:val="single" w:sz="4" w:space="0" w:color="auto"/>
              <w:bottom w:val="single" w:sz="12" w:space="0" w:color="auto"/>
            </w:tcBorders>
            <w:shd w:val="clear" w:color="auto" w:fill="auto"/>
            <w:noWrap/>
            <w:vAlign w:val="bottom"/>
            <w:hideMark/>
          </w:tcPr>
          <w:p w:rsidR="00D23B3F" w:rsidRPr="00CF7323" w:rsidRDefault="00D23B3F" w:rsidP="00F36DAB">
            <w:pPr>
              <w:spacing w:before="80" w:after="80" w:line="220" w:lineRule="exact"/>
              <w:ind w:left="85" w:right="28"/>
              <w:jc w:val="right"/>
              <w:rPr>
                <w:b/>
                <w:sz w:val="18"/>
                <w:szCs w:val="24"/>
                <w:lang w:val="en-GB" w:eastAsia="en-GB"/>
              </w:rPr>
            </w:pPr>
            <w:r w:rsidRPr="00CF7323">
              <w:rPr>
                <w:b/>
                <w:sz w:val="18"/>
                <w:szCs w:val="24"/>
                <w:lang w:val="en-GB" w:eastAsia="en-GB"/>
              </w:rPr>
              <w:t>1.140.068.457,82</w:t>
            </w:r>
          </w:p>
        </w:tc>
        <w:tc>
          <w:tcPr>
            <w:tcW w:w="2645" w:type="dxa"/>
            <w:tcBorders>
              <w:top w:val="single" w:sz="4" w:space="0" w:color="auto"/>
              <w:bottom w:val="single" w:sz="12" w:space="0" w:color="auto"/>
            </w:tcBorders>
            <w:shd w:val="clear" w:color="auto" w:fill="auto"/>
            <w:noWrap/>
            <w:vAlign w:val="bottom"/>
            <w:hideMark/>
          </w:tcPr>
          <w:p w:rsidR="00D23B3F" w:rsidRPr="00CF7323" w:rsidRDefault="00D23B3F" w:rsidP="00F36DAB">
            <w:pPr>
              <w:spacing w:before="80" w:after="80" w:line="220" w:lineRule="exact"/>
              <w:ind w:left="85" w:right="28"/>
              <w:jc w:val="right"/>
              <w:rPr>
                <w:b/>
                <w:sz w:val="18"/>
                <w:szCs w:val="24"/>
                <w:lang w:val="en-GB" w:eastAsia="en-GB"/>
              </w:rPr>
            </w:pPr>
            <w:r w:rsidRPr="00CF7323">
              <w:rPr>
                <w:b/>
                <w:sz w:val="18"/>
                <w:szCs w:val="24"/>
                <w:lang w:val="en-GB" w:eastAsia="en-GB"/>
              </w:rPr>
              <w:t>2.401.800.000,00</w:t>
            </w:r>
          </w:p>
        </w:tc>
        <w:tc>
          <w:tcPr>
            <w:tcW w:w="1435" w:type="dxa"/>
            <w:tcBorders>
              <w:top w:val="single" w:sz="4" w:space="0" w:color="auto"/>
              <w:bottom w:val="single" w:sz="12" w:space="0" w:color="auto"/>
            </w:tcBorders>
            <w:shd w:val="clear" w:color="auto" w:fill="auto"/>
            <w:noWrap/>
            <w:vAlign w:val="bottom"/>
            <w:hideMark/>
          </w:tcPr>
          <w:p w:rsidR="00D23B3F" w:rsidRPr="00CF7323" w:rsidRDefault="00D23B3F" w:rsidP="00F36DAB">
            <w:pPr>
              <w:spacing w:before="80" w:after="80" w:line="220" w:lineRule="exact"/>
              <w:ind w:left="85" w:right="28"/>
              <w:jc w:val="right"/>
              <w:rPr>
                <w:b/>
                <w:sz w:val="18"/>
                <w:szCs w:val="24"/>
                <w:lang w:val="en-GB" w:eastAsia="en-GB"/>
              </w:rPr>
            </w:pPr>
            <w:r w:rsidRPr="00CF7323">
              <w:rPr>
                <w:b/>
                <w:sz w:val="18"/>
                <w:szCs w:val="24"/>
                <w:lang w:val="en-GB" w:eastAsia="en-GB"/>
              </w:rPr>
              <w:t>3.541.868.457,82</w:t>
            </w:r>
          </w:p>
        </w:tc>
      </w:tr>
    </w:tbl>
    <w:p w:rsidR="00384375" w:rsidRPr="00F36DAB" w:rsidRDefault="00CA6868">
      <w:pPr>
        <w:pStyle w:val="H23G"/>
        <w:rPr>
          <w:b w:val="0"/>
          <w:sz w:val="16"/>
        </w:rPr>
      </w:pPr>
      <w:r>
        <w:tab/>
      </w:r>
      <w:r>
        <w:tab/>
      </w:r>
      <w:r w:rsidR="00985267" w:rsidRPr="003E0B97">
        <w:t xml:space="preserve">Año </w:t>
      </w:r>
      <w:r w:rsidR="00384375" w:rsidRPr="003E0B97">
        <w:t>2015</w:t>
      </w:r>
      <w:r w:rsidR="003A40DD">
        <w:br/>
      </w:r>
      <w:r w:rsidR="003A40DD" w:rsidRPr="00F36DAB">
        <w:rPr>
          <w:b w:val="0"/>
          <w:sz w:val="16"/>
        </w:rPr>
        <w:t>(En euros)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90"/>
        <w:gridCol w:w="1400"/>
        <w:gridCol w:w="2645"/>
        <w:gridCol w:w="1442"/>
      </w:tblGrid>
      <w:tr w:rsidR="003A40DD" w:rsidRPr="003A40DD" w:rsidTr="00F36DAB">
        <w:trPr>
          <w:trHeight w:val="240"/>
          <w:tblHeader/>
        </w:trPr>
        <w:tc>
          <w:tcPr>
            <w:tcW w:w="1890" w:type="dxa"/>
            <w:tcBorders>
              <w:top w:val="single" w:sz="4" w:space="0" w:color="auto"/>
              <w:bottom w:val="single" w:sz="12" w:space="0" w:color="auto"/>
            </w:tcBorders>
            <w:shd w:val="clear" w:color="auto" w:fill="auto"/>
            <w:noWrap/>
            <w:vAlign w:val="bottom"/>
            <w:hideMark/>
          </w:tcPr>
          <w:p w:rsidR="00DB7E27" w:rsidRPr="003A40DD" w:rsidRDefault="00DB7E27">
            <w:pPr>
              <w:spacing w:before="80" w:after="80" w:line="200" w:lineRule="exact"/>
              <w:rPr>
                <w:i/>
                <w:sz w:val="16"/>
                <w:szCs w:val="24"/>
                <w:lang w:val="en-GB" w:eastAsia="en-GB"/>
              </w:rPr>
            </w:pPr>
            <w:r w:rsidRPr="003A40DD">
              <w:rPr>
                <w:i/>
                <w:sz w:val="16"/>
                <w:szCs w:val="24"/>
                <w:lang w:val="en-GB" w:eastAsia="en-GB"/>
              </w:rPr>
              <w:t>CC.AA.</w:t>
            </w:r>
          </w:p>
        </w:tc>
        <w:tc>
          <w:tcPr>
            <w:tcW w:w="1400" w:type="dxa"/>
            <w:tcBorders>
              <w:top w:val="single" w:sz="4" w:space="0" w:color="auto"/>
              <w:bottom w:val="single" w:sz="12" w:space="0" w:color="auto"/>
            </w:tcBorders>
            <w:shd w:val="clear" w:color="auto" w:fill="auto"/>
            <w:noWrap/>
            <w:vAlign w:val="bottom"/>
            <w:hideMark/>
          </w:tcPr>
          <w:p w:rsidR="00DB7E27" w:rsidRPr="003A40DD" w:rsidRDefault="00DB7E27" w:rsidP="00F36DAB">
            <w:pPr>
              <w:spacing w:before="80" w:after="80" w:line="200" w:lineRule="exact"/>
              <w:ind w:left="85" w:right="28"/>
              <w:jc w:val="right"/>
              <w:rPr>
                <w:i/>
                <w:sz w:val="16"/>
                <w:szCs w:val="24"/>
                <w:lang w:val="en-GB" w:eastAsia="en-GB"/>
              </w:rPr>
            </w:pPr>
            <w:r w:rsidRPr="003A40DD">
              <w:rPr>
                <w:i/>
                <w:sz w:val="16"/>
                <w:szCs w:val="24"/>
                <w:lang w:val="en-GB" w:eastAsia="en-GB"/>
              </w:rPr>
              <w:t>Nivel Mínimo 2015</w:t>
            </w:r>
          </w:p>
        </w:tc>
        <w:tc>
          <w:tcPr>
            <w:tcW w:w="2645" w:type="dxa"/>
            <w:tcBorders>
              <w:top w:val="single" w:sz="4" w:space="0" w:color="auto"/>
              <w:bottom w:val="single" w:sz="12" w:space="0" w:color="auto"/>
            </w:tcBorders>
            <w:shd w:val="clear" w:color="auto" w:fill="auto"/>
            <w:noWrap/>
            <w:vAlign w:val="bottom"/>
            <w:hideMark/>
          </w:tcPr>
          <w:p w:rsidR="00DB7E27" w:rsidRPr="00C3111D" w:rsidRDefault="00DB7E27" w:rsidP="00F36DAB">
            <w:pPr>
              <w:spacing w:before="80" w:after="80" w:line="200" w:lineRule="exact"/>
              <w:ind w:left="85" w:right="28"/>
              <w:jc w:val="right"/>
              <w:rPr>
                <w:i/>
                <w:sz w:val="16"/>
                <w:szCs w:val="24"/>
                <w:lang w:eastAsia="en-GB"/>
              </w:rPr>
            </w:pPr>
            <w:r w:rsidRPr="00C3111D">
              <w:rPr>
                <w:i/>
                <w:sz w:val="16"/>
                <w:szCs w:val="24"/>
                <w:lang w:eastAsia="en-GB"/>
              </w:rPr>
              <w:t>R. Adic</w:t>
            </w:r>
            <w:r w:rsidR="00BB411A" w:rsidRPr="00C3111D">
              <w:rPr>
                <w:i/>
                <w:sz w:val="16"/>
                <w:szCs w:val="24"/>
                <w:lang w:eastAsia="en-GB"/>
              </w:rPr>
              <w:t>.</w:t>
            </w:r>
            <w:r w:rsidR="003A40DD" w:rsidRPr="00C3111D">
              <w:rPr>
                <w:i/>
                <w:sz w:val="16"/>
                <w:szCs w:val="24"/>
                <w:lang w:eastAsia="en-GB"/>
              </w:rPr>
              <w:t xml:space="preserve"> (</w:t>
            </w:r>
            <w:r w:rsidR="003A40DD">
              <w:rPr>
                <w:bCs/>
                <w:i/>
                <w:sz w:val="16"/>
                <w:szCs w:val="22"/>
              </w:rPr>
              <w:t>a</w:t>
            </w:r>
            <w:r w:rsidR="00756976" w:rsidRPr="003A40DD">
              <w:rPr>
                <w:bCs/>
                <w:i/>
                <w:sz w:val="16"/>
                <w:szCs w:val="22"/>
              </w:rPr>
              <w:t xml:space="preserve">rt. 5 y 6 Ley </w:t>
            </w:r>
            <w:r w:rsidR="00B03578">
              <w:rPr>
                <w:bCs/>
                <w:i/>
                <w:sz w:val="16"/>
                <w:szCs w:val="22"/>
              </w:rPr>
              <w:t xml:space="preserve">núm. </w:t>
            </w:r>
            <w:r w:rsidR="00756976" w:rsidRPr="003A40DD">
              <w:rPr>
                <w:bCs/>
                <w:i/>
                <w:sz w:val="16"/>
                <w:szCs w:val="22"/>
              </w:rPr>
              <w:t>22/2009</w:t>
            </w:r>
            <w:r w:rsidR="003A40DD" w:rsidRPr="00C3111D">
              <w:rPr>
                <w:i/>
                <w:sz w:val="16"/>
                <w:szCs w:val="24"/>
                <w:lang w:eastAsia="en-GB"/>
              </w:rPr>
              <w:t>)</w:t>
            </w:r>
          </w:p>
        </w:tc>
        <w:tc>
          <w:tcPr>
            <w:tcW w:w="1442" w:type="dxa"/>
            <w:tcBorders>
              <w:top w:val="single" w:sz="4" w:space="0" w:color="auto"/>
              <w:bottom w:val="single" w:sz="12" w:space="0" w:color="auto"/>
            </w:tcBorders>
            <w:shd w:val="clear" w:color="auto" w:fill="auto"/>
            <w:noWrap/>
            <w:vAlign w:val="bottom"/>
            <w:hideMark/>
          </w:tcPr>
          <w:p w:rsidR="00DB7E27" w:rsidRPr="003A40DD" w:rsidRDefault="00DB7E27" w:rsidP="00F36DAB">
            <w:pPr>
              <w:spacing w:before="80" w:after="80" w:line="200" w:lineRule="exact"/>
              <w:ind w:left="85" w:right="28"/>
              <w:jc w:val="right"/>
              <w:rPr>
                <w:i/>
                <w:sz w:val="16"/>
                <w:szCs w:val="24"/>
                <w:lang w:val="en-GB" w:eastAsia="en-GB"/>
              </w:rPr>
            </w:pPr>
            <w:r w:rsidRPr="003A40DD">
              <w:rPr>
                <w:i/>
                <w:sz w:val="16"/>
                <w:szCs w:val="24"/>
                <w:lang w:val="en-GB" w:eastAsia="en-GB"/>
              </w:rPr>
              <w:t>Total 2015</w:t>
            </w:r>
          </w:p>
        </w:tc>
      </w:tr>
      <w:tr w:rsidR="003A40DD" w:rsidRPr="003A40DD" w:rsidTr="00F36DAB">
        <w:trPr>
          <w:trHeight w:val="240"/>
        </w:trPr>
        <w:tc>
          <w:tcPr>
            <w:tcW w:w="1890" w:type="dxa"/>
            <w:tcBorders>
              <w:top w:val="single" w:sz="12" w:space="0" w:color="auto"/>
            </w:tcBorders>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Andalucía</w:t>
            </w:r>
          </w:p>
        </w:tc>
        <w:tc>
          <w:tcPr>
            <w:tcW w:w="1400" w:type="dxa"/>
            <w:tcBorders>
              <w:top w:val="single" w:sz="12"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243.311.194,36</w:t>
            </w:r>
          </w:p>
        </w:tc>
        <w:tc>
          <w:tcPr>
            <w:tcW w:w="2645" w:type="dxa"/>
            <w:tcBorders>
              <w:top w:val="single" w:sz="12"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612.100.918,48</w:t>
            </w:r>
          </w:p>
        </w:tc>
        <w:tc>
          <w:tcPr>
            <w:tcW w:w="1442" w:type="dxa"/>
            <w:tcBorders>
              <w:top w:val="single" w:sz="12"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855.412.112,84</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Aragón</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30.887.937,88</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102.121.449,03</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133.009.386,91</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Asturias (Principado de)</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22.493.969,62</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75.843.150,89</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98.337.120,51</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Balears (Illes)</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16.709.317,03</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52.644.877,24</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69.354.194,27</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Canarias</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27.827.720,61</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63.228.783,06</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91.056.503,67</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Cantabria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18.157.874,32</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44.356.276,30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62.514.150,62</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Castilla y León</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95.083.629,10</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166.399.794,58</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261.483.423,68</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Castilla-La Mancha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57.712.049,71</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149.410.614,89</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207.122.664,60</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Cataluña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210.395.256,57</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441.522.491,95</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651.917.748,52</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Comunidad Valenciana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63.376.779,32</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188.077.673,97</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251.454.453,29</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Extremadura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35.596.639,31</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74.273.711,66</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109.870.350,97</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Galicia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73.086.225,94</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181.181.950,34</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254.268.176,28</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Madrid (Comunidad de)</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160.915.335,09</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213.482.971,54</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374.398.306,63</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Murcia (Región de)</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50.980.136,60</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88.800.833,55</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139.780.970,15</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Navarra (Com. Foral de)</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11.310.099,72</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11.310.099,72</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País Vasco</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62.366.453,57</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62.366.453,57</w:t>
            </w:r>
          </w:p>
        </w:tc>
      </w:tr>
      <w:tr w:rsidR="003A40DD" w:rsidRPr="003A40DD" w:rsidTr="00F36DAB">
        <w:trPr>
          <w:trHeight w:val="240"/>
        </w:trPr>
        <w:tc>
          <w:tcPr>
            <w:tcW w:w="1890" w:type="dxa"/>
            <w:tcBorders>
              <w:bottom w:val="single" w:sz="4" w:space="0" w:color="auto"/>
            </w:tcBorders>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Rioja (La)</w:t>
            </w:r>
          </w:p>
        </w:tc>
        <w:tc>
          <w:tcPr>
            <w:tcW w:w="1400" w:type="dxa"/>
            <w:tcBorders>
              <w:bottom w:val="single" w:sz="4"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9.184.560,69</w:t>
            </w:r>
          </w:p>
        </w:tc>
        <w:tc>
          <w:tcPr>
            <w:tcW w:w="2645" w:type="dxa"/>
            <w:tcBorders>
              <w:bottom w:val="single" w:sz="4"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29.554.502,54</w:t>
            </w:r>
          </w:p>
        </w:tc>
        <w:tc>
          <w:tcPr>
            <w:tcW w:w="1442" w:type="dxa"/>
            <w:tcBorders>
              <w:bottom w:val="single" w:sz="4"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38.739.063,23</w:t>
            </w:r>
          </w:p>
        </w:tc>
      </w:tr>
      <w:tr w:rsidR="003A40DD" w:rsidRPr="003A40DD" w:rsidTr="00F36DAB">
        <w:trPr>
          <w:trHeight w:val="240"/>
        </w:trPr>
        <w:tc>
          <w:tcPr>
            <w:tcW w:w="1890" w:type="dxa"/>
            <w:tcBorders>
              <w:top w:val="single" w:sz="4" w:space="0" w:color="auto"/>
              <w:bottom w:val="single" w:sz="12" w:space="0" w:color="auto"/>
            </w:tcBorders>
            <w:shd w:val="clear" w:color="auto" w:fill="auto"/>
            <w:noWrap/>
            <w:hideMark/>
          </w:tcPr>
          <w:p w:rsidR="00DB7E27" w:rsidRPr="00F36DAB" w:rsidRDefault="00DB7E27" w:rsidP="00F36DAB">
            <w:pPr>
              <w:spacing w:before="80" w:after="80" w:line="220" w:lineRule="exact"/>
              <w:ind w:left="283"/>
              <w:rPr>
                <w:sz w:val="18"/>
                <w:szCs w:val="24"/>
                <w:lang w:val="en-GB" w:eastAsia="en-GB"/>
              </w:rPr>
            </w:pPr>
            <w:r w:rsidRPr="00F36DAB">
              <w:rPr>
                <w:b/>
                <w:sz w:val="18"/>
              </w:rPr>
              <w:t>T</w:t>
            </w:r>
            <w:r w:rsidR="00CF7323" w:rsidRPr="0039544E">
              <w:rPr>
                <w:b/>
                <w:sz w:val="18"/>
              </w:rPr>
              <w:t>otal</w:t>
            </w:r>
            <w:r w:rsidRPr="00F36DAB">
              <w:rPr>
                <w:b/>
                <w:sz w:val="18"/>
              </w:rPr>
              <w:t xml:space="preserve"> </w:t>
            </w:r>
          </w:p>
        </w:tc>
        <w:tc>
          <w:tcPr>
            <w:tcW w:w="1400" w:type="dxa"/>
            <w:tcBorders>
              <w:top w:val="single" w:sz="4" w:space="0" w:color="auto"/>
              <w:bottom w:val="single" w:sz="12" w:space="0" w:color="auto"/>
            </w:tcBorders>
            <w:shd w:val="clear" w:color="auto" w:fill="auto"/>
            <w:noWrap/>
            <w:vAlign w:val="bottom"/>
            <w:hideMark/>
          </w:tcPr>
          <w:p w:rsidR="00DB7E27" w:rsidRPr="00CF7323" w:rsidRDefault="00DB7E27" w:rsidP="00F36DAB">
            <w:pPr>
              <w:spacing w:before="80" w:after="80" w:line="220" w:lineRule="exact"/>
              <w:ind w:left="85" w:right="28"/>
              <w:jc w:val="right"/>
              <w:rPr>
                <w:b/>
                <w:sz w:val="18"/>
                <w:szCs w:val="24"/>
                <w:lang w:val="en-GB" w:eastAsia="en-GB"/>
              </w:rPr>
            </w:pPr>
            <w:r w:rsidRPr="00CF7323">
              <w:rPr>
                <w:b/>
                <w:sz w:val="18"/>
                <w:szCs w:val="24"/>
                <w:lang w:val="en-GB" w:eastAsia="en-GB"/>
              </w:rPr>
              <w:t>1.189.395.179,44</w:t>
            </w:r>
          </w:p>
        </w:tc>
        <w:tc>
          <w:tcPr>
            <w:tcW w:w="2645" w:type="dxa"/>
            <w:tcBorders>
              <w:top w:val="single" w:sz="4" w:space="0" w:color="auto"/>
              <w:bottom w:val="single" w:sz="12" w:space="0" w:color="auto"/>
            </w:tcBorders>
            <w:shd w:val="clear" w:color="auto" w:fill="auto"/>
            <w:noWrap/>
            <w:vAlign w:val="bottom"/>
            <w:hideMark/>
          </w:tcPr>
          <w:p w:rsidR="00DB7E27" w:rsidRPr="00CF7323" w:rsidRDefault="00DB7E27" w:rsidP="00F36DAB">
            <w:pPr>
              <w:spacing w:before="80" w:after="80" w:line="220" w:lineRule="exact"/>
              <w:ind w:left="85" w:right="28"/>
              <w:jc w:val="right"/>
              <w:rPr>
                <w:b/>
                <w:sz w:val="18"/>
                <w:szCs w:val="24"/>
                <w:lang w:val="en-GB" w:eastAsia="en-GB"/>
              </w:rPr>
            </w:pPr>
            <w:r w:rsidRPr="00CF7323">
              <w:rPr>
                <w:b/>
                <w:sz w:val="18"/>
                <w:szCs w:val="24"/>
                <w:lang w:val="en-GB" w:eastAsia="en-GB"/>
              </w:rPr>
              <w:t>2.483.000.000,00</w:t>
            </w:r>
          </w:p>
        </w:tc>
        <w:tc>
          <w:tcPr>
            <w:tcW w:w="1442" w:type="dxa"/>
            <w:tcBorders>
              <w:top w:val="single" w:sz="4" w:space="0" w:color="auto"/>
              <w:bottom w:val="single" w:sz="12" w:space="0" w:color="auto"/>
            </w:tcBorders>
            <w:shd w:val="clear" w:color="auto" w:fill="auto"/>
            <w:noWrap/>
            <w:vAlign w:val="bottom"/>
            <w:hideMark/>
          </w:tcPr>
          <w:p w:rsidR="00DB7E27" w:rsidRPr="00CF7323" w:rsidRDefault="00DB7E27" w:rsidP="00F36DAB">
            <w:pPr>
              <w:spacing w:before="80" w:after="80" w:line="220" w:lineRule="exact"/>
              <w:ind w:left="85" w:right="28"/>
              <w:jc w:val="right"/>
              <w:rPr>
                <w:b/>
                <w:sz w:val="18"/>
                <w:szCs w:val="24"/>
                <w:lang w:val="en-GB" w:eastAsia="en-GB"/>
              </w:rPr>
            </w:pPr>
            <w:r w:rsidRPr="00CF7323">
              <w:rPr>
                <w:b/>
                <w:sz w:val="18"/>
                <w:szCs w:val="24"/>
                <w:lang w:val="en-GB" w:eastAsia="en-GB"/>
              </w:rPr>
              <w:t>3.672.395.179,44</w:t>
            </w:r>
          </w:p>
        </w:tc>
      </w:tr>
    </w:tbl>
    <w:p w:rsidR="00384375" w:rsidRPr="00F36DAB" w:rsidRDefault="00CA6868">
      <w:pPr>
        <w:pStyle w:val="H23G"/>
        <w:rPr>
          <w:b w:val="0"/>
          <w:sz w:val="16"/>
        </w:rPr>
      </w:pPr>
      <w:r>
        <w:tab/>
      </w:r>
      <w:r>
        <w:tab/>
      </w:r>
      <w:r w:rsidR="00985267" w:rsidRPr="003E0B97">
        <w:t xml:space="preserve">Año </w:t>
      </w:r>
      <w:r w:rsidR="00384375" w:rsidRPr="003E0B97">
        <w:t>2016</w:t>
      </w:r>
      <w:r w:rsidR="003A40DD">
        <w:br/>
      </w:r>
      <w:r w:rsidR="003A40DD" w:rsidRPr="00F36DAB">
        <w:rPr>
          <w:b w:val="0"/>
          <w:sz w:val="16"/>
        </w:rPr>
        <w:t>(En euros)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90"/>
        <w:gridCol w:w="1400"/>
        <w:gridCol w:w="2645"/>
        <w:gridCol w:w="1442"/>
      </w:tblGrid>
      <w:tr w:rsidR="003A40DD" w:rsidRPr="003A40DD" w:rsidTr="00F36DAB">
        <w:trPr>
          <w:trHeight w:val="240"/>
          <w:tblHeader/>
        </w:trPr>
        <w:tc>
          <w:tcPr>
            <w:tcW w:w="1890" w:type="dxa"/>
            <w:tcBorders>
              <w:top w:val="single" w:sz="4" w:space="0" w:color="auto"/>
              <w:bottom w:val="single" w:sz="12" w:space="0" w:color="auto"/>
            </w:tcBorders>
            <w:shd w:val="clear" w:color="auto" w:fill="auto"/>
            <w:noWrap/>
            <w:vAlign w:val="bottom"/>
            <w:hideMark/>
          </w:tcPr>
          <w:p w:rsidR="00DB7E27" w:rsidRPr="003A40DD" w:rsidRDefault="00DB7E27">
            <w:pPr>
              <w:spacing w:before="80" w:after="80" w:line="200" w:lineRule="exact"/>
              <w:rPr>
                <w:i/>
                <w:sz w:val="16"/>
                <w:szCs w:val="24"/>
                <w:lang w:val="en-GB" w:eastAsia="en-GB"/>
              </w:rPr>
            </w:pPr>
            <w:r w:rsidRPr="003A40DD">
              <w:rPr>
                <w:i/>
                <w:sz w:val="16"/>
                <w:szCs w:val="24"/>
                <w:lang w:val="en-GB" w:eastAsia="en-GB"/>
              </w:rPr>
              <w:t>CC.AA.</w:t>
            </w:r>
          </w:p>
        </w:tc>
        <w:tc>
          <w:tcPr>
            <w:tcW w:w="1400" w:type="dxa"/>
            <w:tcBorders>
              <w:top w:val="single" w:sz="4" w:space="0" w:color="auto"/>
              <w:bottom w:val="single" w:sz="12" w:space="0" w:color="auto"/>
            </w:tcBorders>
            <w:shd w:val="clear" w:color="auto" w:fill="auto"/>
            <w:noWrap/>
            <w:vAlign w:val="bottom"/>
            <w:hideMark/>
          </w:tcPr>
          <w:p w:rsidR="00DB7E27" w:rsidRPr="003A40DD" w:rsidRDefault="00DB7E27" w:rsidP="00F36DAB">
            <w:pPr>
              <w:spacing w:before="80" w:after="80" w:line="200" w:lineRule="exact"/>
              <w:ind w:left="85" w:right="28"/>
              <w:jc w:val="right"/>
              <w:rPr>
                <w:i/>
                <w:sz w:val="16"/>
                <w:szCs w:val="24"/>
                <w:lang w:val="en-GB" w:eastAsia="en-GB"/>
              </w:rPr>
            </w:pPr>
            <w:r w:rsidRPr="003A40DD">
              <w:rPr>
                <w:i/>
                <w:sz w:val="16"/>
                <w:szCs w:val="24"/>
                <w:lang w:val="en-GB" w:eastAsia="en-GB"/>
              </w:rPr>
              <w:t>Nivel Mínimo 2016</w:t>
            </w:r>
          </w:p>
        </w:tc>
        <w:tc>
          <w:tcPr>
            <w:tcW w:w="2645" w:type="dxa"/>
            <w:tcBorders>
              <w:top w:val="single" w:sz="4" w:space="0" w:color="auto"/>
              <w:bottom w:val="single" w:sz="12" w:space="0" w:color="auto"/>
            </w:tcBorders>
            <w:shd w:val="clear" w:color="auto" w:fill="auto"/>
            <w:noWrap/>
            <w:vAlign w:val="bottom"/>
            <w:hideMark/>
          </w:tcPr>
          <w:p w:rsidR="00DB7E27" w:rsidRPr="00C3111D" w:rsidRDefault="00DB7E27" w:rsidP="00F36DAB">
            <w:pPr>
              <w:spacing w:before="80" w:after="80" w:line="200" w:lineRule="exact"/>
              <w:ind w:left="85" w:right="28"/>
              <w:jc w:val="right"/>
              <w:rPr>
                <w:i/>
                <w:sz w:val="16"/>
                <w:szCs w:val="24"/>
                <w:lang w:eastAsia="en-GB"/>
              </w:rPr>
            </w:pPr>
            <w:r w:rsidRPr="00C3111D">
              <w:rPr>
                <w:i/>
                <w:sz w:val="16"/>
                <w:szCs w:val="24"/>
                <w:lang w:eastAsia="en-GB"/>
              </w:rPr>
              <w:t>R. Adic</w:t>
            </w:r>
            <w:r w:rsidR="00BB411A" w:rsidRPr="00C3111D">
              <w:rPr>
                <w:i/>
                <w:sz w:val="16"/>
                <w:szCs w:val="24"/>
                <w:lang w:eastAsia="en-GB"/>
              </w:rPr>
              <w:t>.</w:t>
            </w:r>
            <w:r w:rsidR="003A40DD" w:rsidRPr="00C3111D">
              <w:rPr>
                <w:i/>
                <w:sz w:val="16"/>
                <w:szCs w:val="24"/>
                <w:lang w:eastAsia="en-GB"/>
              </w:rPr>
              <w:t xml:space="preserve"> (a</w:t>
            </w:r>
            <w:r w:rsidR="00756976" w:rsidRPr="003A40DD">
              <w:rPr>
                <w:bCs/>
                <w:i/>
                <w:sz w:val="16"/>
                <w:szCs w:val="22"/>
              </w:rPr>
              <w:t xml:space="preserve">rt. 5 y 6 Ley </w:t>
            </w:r>
            <w:r w:rsidR="00B03578">
              <w:rPr>
                <w:bCs/>
                <w:i/>
                <w:sz w:val="16"/>
                <w:szCs w:val="22"/>
              </w:rPr>
              <w:t xml:space="preserve">núm. </w:t>
            </w:r>
            <w:r w:rsidR="00756976" w:rsidRPr="003A40DD">
              <w:rPr>
                <w:bCs/>
                <w:i/>
                <w:sz w:val="16"/>
                <w:szCs w:val="22"/>
              </w:rPr>
              <w:t>22/2009</w:t>
            </w:r>
            <w:r w:rsidR="003A40DD" w:rsidRPr="00C3111D">
              <w:rPr>
                <w:i/>
                <w:sz w:val="16"/>
                <w:szCs w:val="24"/>
                <w:lang w:eastAsia="en-GB"/>
              </w:rPr>
              <w:t>)</w:t>
            </w:r>
          </w:p>
        </w:tc>
        <w:tc>
          <w:tcPr>
            <w:tcW w:w="1442" w:type="dxa"/>
            <w:tcBorders>
              <w:top w:val="single" w:sz="4" w:space="0" w:color="auto"/>
              <w:bottom w:val="single" w:sz="12" w:space="0" w:color="auto"/>
            </w:tcBorders>
            <w:shd w:val="clear" w:color="auto" w:fill="auto"/>
            <w:noWrap/>
            <w:vAlign w:val="bottom"/>
            <w:hideMark/>
          </w:tcPr>
          <w:p w:rsidR="00DB7E27" w:rsidRPr="003A40DD" w:rsidRDefault="00DB7E27" w:rsidP="00F36DAB">
            <w:pPr>
              <w:spacing w:before="80" w:after="80" w:line="200" w:lineRule="exact"/>
              <w:ind w:left="85" w:right="28"/>
              <w:jc w:val="right"/>
              <w:rPr>
                <w:i/>
                <w:sz w:val="16"/>
                <w:szCs w:val="24"/>
                <w:lang w:val="en-GB" w:eastAsia="en-GB"/>
              </w:rPr>
            </w:pPr>
            <w:r w:rsidRPr="003A40DD">
              <w:rPr>
                <w:i/>
                <w:sz w:val="16"/>
                <w:szCs w:val="24"/>
                <w:lang w:val="en-GB" w:eastAsia="en-GB"/>
              </w:rPr>
              <w:t>Total 2016</w:t>
            </w:r>
          </w:p>
        </w:tc>
      </w:tr>
      <w:tr w:rsidR="003A40DD" w:rsidRPr="003A40DD" w:rsidTr="00F36DAB">
        <w:trPr>
          <w:trHeight w:val="240"/>
        </w:trPr>
        <w:tc>
          <w:tcPr>
            <w:tcW w:w="1890" w:type="dxa"/>
            <w:tcBorders>
              <w:top w:val="single" w:sz="12" w:space="0" w:color="auto"/>
            </w:tcBorders>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Andalucía</w:t>
            </w:r>
          </w:p>
        </w:tc>
        <w:tc>
          <w:tcPr>
            <w:tcW w:w="1400" w:type="dxa"/>
            <w:tcBorders>
              <w:top w:val="single" w:sz="12"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233.756.109,46</w:t>
            </w:r>
          </w:p>
        </w:tc>
        <w:tc>
          <w:tcPr>
            <w:tcW w:w="2645" w:type="dxa"/>
            <w:tcBorders>
              <w:top w:val="single" w:sz="12"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611.120.000,00</w:t>
            </w:r>
          </w:p>
        </w:tc>
        <w:tc>
          <w:tcPr>
            <w:tcW w:w="1442" w:type="dxa"/>
            <w:tcBorders>
              <w:top w:val="single" w:sz="12"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844.876.109,46</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Aragón</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31.018.666,00</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101.960.000,00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132.978.666,00</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Asturias (Principado de)</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25.050.641,64</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75.720.000,00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100.770.641,64</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Balears (Illes)</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19.671.284,03</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52.560.000,00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72.231.284,03</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Canarias</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26.650.466,62</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63.130.000,00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89.780.466,62</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Cantabria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16.648.269,71</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44.280.000,00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60.928.269,71</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Castilla y León</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104.716.005,17</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166.130.000,00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270.846.005,17</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Castilla-La Mancha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57.131.802,90</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149.170.000,00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206.301.802,90</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Cataluña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181.326.692,57</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440.810.000,00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622.136.692,57</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Comunidad Valenciana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79.601.934,24</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187.770.000,00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267.371.934,24</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Extremadura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35.474.066,42</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74.150.000,00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109.624.066,42</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Galicia</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85.992.635,20</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180.890.000,00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266.882.635,20</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Madrid (Comunidad de)</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158.906.900,96</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213.140.000,00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372.046.900,96</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Murcia (Región de)</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47.120.681,02</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88.660.000,00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135.780.681,02</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Navarra (Com. Foral de)</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11.626.335,00</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11.626.335,00</w:t>
            </w:r>
          </w:p>
        </w:tc>
      </w:tr>
      <w:tr w:rsidR="003A40DD" w:rsidRPr="003A40DD" w:rsidTr="00F36DAB">
        <w:trPr>
          <w:trHeight w:val="240"/>
        </w:trPr>
        <w:tc>
          <w:tcPr>
            <w:tcW w:w="1890" w:type="dxa"/>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lastRenderedPageBreak/>
              <w:t>País Vasco</w:t>
            </w:r>
          </w:p>
        </w:tc>
        <w:tc>
          <w:tcPr>
            <w:tcW w:w="1400"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66.237.827,25</w:t>
            </w:r>
          </w:p>
        </w:tc>
        <w:tc>
          <w:tcPr>
            <w:tcW w:w="2645"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0</w:t>
            </w:r>
          </w:p>
        </w:tc>
        <w:tc>
          <w:tcPr>
            <w:tcW w:w="1442" w:type="dxa"/>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66.237.827,25</w:t>
            </w:r>
          </w:p>
        </w:tc>
      </w:tr>
      <w:tr w:rsidR="00AB5ADC" w:rsidRPr="003A40DD" w:rsidTr="00F36DAB">
        <w:trPr>
          <w:trHeight w:val="240"/>
        </w:trPr>
        <w:tc>
          <w:tcPr>
            <w:tcW w:w="1890" w:type="dxa"/>
            <w:tcBorders>
              <w:bottom w:val="single" w:sz="4" w:space="0" w:color="auto"/>
            </w:tcBorders>
            <w:shd w:val="clear" w:color="auto" w:fill="auto"/>
            <w:noWrap/>
            <w:hideMark/>
          </w:tcPr>
          <w:p w:rsidR="00DB7E27" w:rsidRPr="003A40DD" w:rsidRDefault="00DB7E27">
            <w:pPr>
              <w:spacing w:before="40" w:after="40" w:line="220" w:lineRule="exact"/>
              <w:rPr>
                <w:sz w:val="18"/>
                <w:szCs w:val="24"/>
                <w:lang w:val="en-GB" w:eastAsia="en-GB"/>
              </w:rPr>
            </w:pPr>
            <w:r w:rsidRPr="003A40DD">
              <w:rPr>
                <w:sz w:val="18"/>
                <w:szCs w:val="24"/>
                <w:lang w:val="en-GB" w:eastAsia="en-GB"/>
              </w:rPr>
              <w:t>Rioja (La)</w:t>
            </w:r>
          </w:p>
        </w:tc>
        <w:tc>
          <w:tcPr>
            <w:tcW w:w="1400" w:type="dxa"/>
            <w:tcBorders>
              <w:bottom w:val="single" w:sz="4"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9.105.312,18</w:t>
            </w:r>
          </w:p>
        </w:tc>
        <w:tc>
          <w:tcPr>
            <w:tcW w:w="2645" w:type="dxa"/>
            <w:tcBorders>
              <w:bottom w:val="single" w:sz="4"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29.510.000,00</w:t>
            </w:r>
          </w:p>
        </w:tc>
        <w:tc>
          <w:tcPr>
            <w:tcW w:w="1442" w:type="dxa"/>
            <w:tcBorders>
              <w:bottom w:val="single" w:sz="4" w:space="0" w:color="auto"/>
            </w:tcBorders>
            <w:shd w:val="clear" w:color="auto" w:fill="auto"/>
            <w:noWrap/>
            <w:vAlign w:val="bottom"/>
            <w:hideMark/>
          </w:tcPr>
          <w:p w:rsidR="00DB7E27" w:rsidRPr="003A40DD" w:rsidRDefault="00DB7E27" w:rsidP="00F36DAB">
            <w:pPr>
              <w:spacing w:before="40" w:after="40" w:line="220" w:lineRule="exact"/>
              <w:ind w:left="85" w:right="28"/>
              <w:jc w:val="right"/>
              <w:rPr>
                <w:sz w:val="18"/>
                <w:szCs w:val="24"/>
                <w:lang w:val="en-GB" w:eastAsia="en-GB"/>
              </w:rPr>
            </w:pPr>
            <w:r w:rsidRPr="003A40DD">
              <w:rPr>
                <w:sz w:val="18"/>
                <w:szCs w:val="24"/>
                <w:lang w:val="en-GB" w:eastAsia="en-GB"/>
              </w:rPr>
              <w:t>38.615.312,18</w:t>
            </w:r>
          </w:p>
        </w:tc>
      </w:tr>
      <w:tr w:rsidR="00AB5ADC" w:rsidRPr="00CF7323" w:rsidTr="00F36DAB">
        <w:trPr>
          <w:trHeight w:val="240"/>
        </w:trPr>
        <w:tc>
          <w:tcPr>
            <w:tcW w:w="1890" w:type="dxa"/>
            <w:tcBorders>
              <w:top w:val="single" w:sz="4" w:space="0" w:color="auto"/>
              <w:bottom w:val="single" w:sz="12" w:space="0" w:color="auto"/>
            </w:tcBorders>
            <w:shd w:val="clear" w:color="auto" w:fill="auto"/>
            <w:noWrap/>
            <w:hideMark/>
          </w:tcPr>
          <w:p w:rsidR="00DB7E27" w:rsidRPr="00CF7323" w:rsidRDefault="00DB7E27" w:rsidP="00F36DAB">
            <w:pPr>
              <w:spacing w:before="80" w:after="80" w:line="220" w:lineRule="exact"/>
              <w:ind w:left="283"/>
              <w:rPr>
                <w:b/>
                <w:sz w:val="18"/>
                <w:szCs w:val="24"/>
                <w:lang w:val="en-GB" w:eastAsia="en-GB"/>
              </w:rPr>
            </w:pPr>
            <w:r w:rsidRPr="00CF7323">
              <w:rPr>
                <w:b/>
                <w:sz w:val="18"/>
                <w:szCs w:val="24"/>
                <w:lang w:val="en-GB" w:eastAsia="en-GB"/>
              </w:rPr>
              <w:t>T</w:t>
            </w:r>
            <w:r w:rsidR="00CF7323" w:rsidRPr="00CF7323">
              <w:rPr>
                <w:b/>
                <w:sz w:val="18"/>
                <w:szCs w:val="24"/>
                <w:lang w:val="en-GB" w:eastAsia="en-GB"/>
              </w:rPr>
              <w:t>otal</w:t>
            </w:r>
            <w:r w:rsidRPr="00CF7323">
              <w:rPr>
                <w:b/>
                <w:sz w:val="18"/>
                <w:szCs w:val="24"/>
                <w:lang w:val="en-GB" w:eastAsia="en-GB"/>
              </w:rPr>
              <w:t xml:space="preserve"> </w:t>
            </w:r>
          </w:p>
        </w:tc>
        <w:tc>
          <w:tcPr>
            <w:tcW w:w="1400" w:type="dxa"/>
            <w:tcBorders>
              <w:top w:val="single" w:sz="4" w:space="0" w:color="auto"/>
              <w:bottom w:val="single" w:sz="12" w:space="0" w:color="auto"/>
            </w:tcBorders>
            <w:shd w:val="clear" w:color="auto" w:fill="auto"/>
            <w:noWrap/>
            <w:vAlign w:val="bottom"/>
            <w:hideMark/>
          </w:tcPr>
          <w:p w:rsidR="00DB7E27" w:rsidRPr="00CF7323" w:rsidRDefault="00DB7E27" w:rsidP="00F36DAB">
            <w:pPr>
              <w:spacing w:before="80" w:after="80" w:line="220" w:lineRule="exact"/>
              <w:ind w:left="85" w:right="28"/>
              <w:jc w:val="right"/>
              <w:rPr>
                <w:b/>
                <w:sz w:val="18"/>
                <w:szCs w:val="24"/>
                <w:lang w:val="en-GB" w:eastAsia="en-GB"/>
              </w:rPr>
            </w:pPr>
            <w:r w:rsidRPr="00CF7323">
              <w:rPr>
                <w:b/>
                <w:sz w:val="18"/>
                <w:szCs w:val="24"/>
                <w:lang w:val="en-GB" w:eastAsia="en-GB"/>
              </w:rPr>
              <w:t>1.190.035.630,37</w:t>
            </w:r>
          </w:p>
        </w:tc>
        <w:tc>
          <w:tcPr>
            <w:tcW w:w="2645" w:type="dxa"/>
            <w:tcBorders>
              <w:top w:val="single" w:sz="4" w:space="0" w:color="auto"/>
              <w:bottom w:val="single" w:sz="12" w:space="0" w:color="auto"/>
            </w:tcBorders>
            <w:shd w:val="clear" w:color="auto" w:fill="auto"/>
            <w:noWrap/>
            <w:vAlign w:val="bottom"/>
            <w:hideMark/>
          </w:tcPr>
          <w:p w:rsidR="00DB7E27" w:rsidRPr="00CF7323" w:rsidRDefault="00DB7E27" w:rsidP="00F36DAB">
            <w:pPr>
              <w:spacing w:before="80" w:after="80" w:line="220" w:lineRule="exact"/>
              <w:ind w:left="85" w:right="28"/>
              <w:jc w:val="right"/>
              <w:rPr>
                <w:b/>
                <w:sz w:val="18"/>
                <w:szCs w:val="24"/>
                <w:lang w:val="en-GB" w:eastAsia="en-GB"/>
              </w:rPr>
            </w:pPr>
            <w:r w:rsidRPr="00CF7323">
              <w:rPr>
                <w:b/>
                <w:sz w:val="18"/>
                <w:szCs w:val="24"/>
                <w:lang w:val="en-GB" w:eastAsia="en-GB"/>
              </w:rPr>
              <w:t>2.479.000.000,00</w:t>
            </w:r>
          </w:p>
        </w:tc>
        <w:tc>
          <w:tcPr>
            <w:tcW w:w="1442" w:type="dxa"/>
            <w:tcBorders>
              <w:top w:val="single" w:sz="4" w:space="0" w:color="auto"/>
              <w:bottom w:val="single" w:sz="12" w:space="0" w:color="auto"/>
            </w:tcBorders>
            <w:shd w:val="clear" w:color="auto" w:fill="auto"/>
            <w:noWrap/>
            <w:vAlign w:val="bottom"/>
            <w:hideMark/>
          </w:tcPr>
          <w:p w:rsidR="00DB7E27" w:rsidRPr="00CF7323" w:rsidRDefault="00DB7E27" w:rsidP="00F36DAB">
            <w:pPr>
              <w:spacing w:before="80" w:after="80" w:line="220" w:lineRule="exact"/>
              <w:ind w:left="85" w:right="28"/>
              <w:jc w:val="right"/>
              <w:rPr>
                <w:b/>
                <w:sz w:val="18"/>
                <w:szCs w:val="24"/>
                <w:lang w:val="en-GB" w:eastAsia="en-GB"/>
              </w:rPr>
            </w:pPr>
            <w:r w:rsidRPr="00CF7323">
              <w:rPr>
                <w:b/>
                <w:sz w:val="18"/>
                <w:szCs w:val="24"/>
                <w:lang w:val="en-GB" w:eastAsia="en-GB"/>
              </w:rPr>
              <w:t>3.669.035.630,37</w:t>
            </w:r>
          </w:p>
        </w:tc>
      </w:tr>
    </w:tbl>
    <w:p w:rsidR="00384375" w:rsidRPr="00F36DAB" w:rsidRDefault="00CA6868">
      <w:pPr>
        <w:pStyle w:val="H23G"/>
        <w:rPr>
          <w:b w:val="0"/>
          <w:sz w:val="16"/>
        </w:rPr>
      </w:pPr>
      <w:r>
        <w:tab/>
      </w:r>
      <w:r>
        <w:tab/>
      </w:r>
      <w:r w:rsidR="00985267" w:rsidRPr="003E0B97">
        <w:t xml:space="preserve">Total </w:t>
      </w:r>
      <w:r w:rsidR="00985267">
        <w:t>d</w:t>
      </w:r>
      <w:r w:rsidR="00985267" w:rsidRPr="003E0B97">
        <w:t xml:space="preserve">e 2012 </w:t>
      </w:r>
      <w:r w:rsidR="009F0B46">
        <w:t>a</w:t>
      </w:r>
      <w:r w:rsidR="009F0B46" w:rsidRPr="003E0B97">
        <w:t xml:space="preserve"> </w:t>
      </w:r>
      <w:r w:rsidR="00985267" w:rsidRPr="003E0B97">
        <w:t>2016</w:t>
      </w:r>
      <w:r w:rsidR="009F0B46">
        <w:br/>
      </w:r>
      <w:r w:rsidR="009F0B46" w:rsidRPr="00F36DAB">
        <w:rPr>
          <w:b w:val="0"/>
          <w:sz w:val="16"/>
        </w:rPr>
        <w:t>(En euros)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93"/>
        <w:gridCol w:w="4170"/>
      </w:tblGrid>
      <w:tr w:rsidR="009F0B46" w:rsidRPr="009F0B46" w:rsidTr="00F36DAB">
        <w:trPr>
          <w:trHeight w:val="240"/>
          <w:tblHeader/>
        </w:trPr>
        <w:tc>
          <w:tcPr>
            <w:tcW w:w="3193" w:type="dxa"/>
            <w:tcBorders>
              <w:top w:val="single" w:sz="4" w:space="0" w:color="auto"/>
              <w:bottom w:val="single" w:sz="12" w:space="0" w:color="auto"/>
            </w:tcBorders>
            <w:shd w:val="clear" w:color="auto" w:fill="auto"/>
            <w:noWrap/>
            <w:vAlign w:val="bottom"/>
            <w:hideMark/>
          </w:tcPr>
          <w:p w:rsidR="00DB7E27" w:rsidRPr="009F0B46" w:rsidRDefault="00DB7E27">
            <w:pPr>
              <w:spacing w:before="80" w:after="80" w:line="200" w:lineRule="exact"/>
              <w:rPr>
                <w:i/>
                <w:sz w:val="16"/>
                <w:szCs w:val="24"/>
                <w:lang w:val="en-GB" w:eastAsia="en-GB"/>
              </w:rPr>
            </w:pPr>
            <w:r w:rsidRPr="009F0B46">
              <w:rPr>
                <w:i/>
                <w:sz w:val="16"/>
                <w:szCs w:val="24"/>
                <w:lang w:val="en-GB" w:eastAsia="en-GB"/>
              </w:rPr>
              <w:t>CC.AA.</w:t>
            </w:r>
          </w:p>
        </w:tc>
        <w:tc>
          <w:tcPr>
            <w:tcW w:w="4170" w:type="dxa"/>
            <w:tcBorders>
              <w:top w:val="single" w:sz="4" w:space="0" w:color="auto"/>
              <w:bottom w:val="single" w:sz="12" w:space="0" w:color="auto"/>
            </w:tcBorders>
            <w:shd w:val="clear" w:color="auto" w:fill="auto"/>
            <w:noWrap/>
            <w:vAlign w:val="bottom"/>
            <w:hideMark/>
          </w:tcPr>
          <w:p w:rsidR="00DB7E27" w:rsidRPr="009F0B46" w:rsidRDefault="00DB7E27" w:rsidP="00F36DAB">
            <w:pPr>
              <w:spacing w:before="80" w:after="80" w:line="200" w:lineRule="exact"/>
              <w:ind w:left="85" w:right="28"/>
              <w:jc w:val="right"/>
              <w:rPr>
                <w:i/>
                <w:sz w:val="16"/>
                <w:szCs w:val="24"/>
                <w:lang w:val="en-GB" w:eastAsia="en-GB"/>
              </w:rPr>
            </w:pPr>
            <w:r w:rsidRPr="009F0B46">
              <w:rPr>
                <w:i/>
                <w:sz w:val="16"/>
                <w:szCs w:val="24"/>
                <w:lang w:val="en-GB" w:eastAsia="en-GB"/>
              </w:rPr>
              <w:t>T</w:t>
            </w:r>
            <w:r w:rsidR="009F0B46" w:rsidRPr="009F0B46">
              <w:rPr>
                <w:i/>
                <w:sz w:val="16"/>
                <w:szCs w:val="24"/>
                <w:lang w:val="en-GB" w:eastAsia="en-GB"/>
              </w:rPr>
              <w:t>otal general 2012-2016</w:t>
            </w:r>
          </w:p>
        </w:tc>
      </w:tr>
      <w:tr w:rsidR="009F0B46" w:rsidRPr="009F0B46" w:rsidTr="00F36DAB">
        <w:trPr>
          <w:trHeight w:val="240"/>
        </w:trPr>
        <w:tc>
          <w:tcPr>
            <w:tcW w:w="3193" w:type="dxa"/>
            <w:tcBorders>
              <w:top w:val="single" w:sz="12" w:space="0" w:color="auto"/>
            </w:tcBorders>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Andalucía</w:t>
            </w:r>
          </w:p>
        </w:tc>
        <w:tc>
          <w:tcPr>
            <w:tcW w:w="4170" w:type="dxa"/>
            <w:tcBorders>
              <w:top w:val="single" w:sz="12" w:space="0" w:color="auto"/>
            </w:tcBorders>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4.194.236.943,02</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Aragón</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631.850.415,87</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Asturias (Principado de)</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474.904.426,88</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Balears (Illes)</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339.717.813,15</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Canarias</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425.644.737,22</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Cantabria</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302.752.783,57</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Castilla y León</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1.253.395.316,45</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Castilla-La Mancha</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997.088.755,32</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Cataluña</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3.086.391.050,87</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Comunidad Valenciana</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1.220.517.489,06</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Extremadura</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527.814.799,73</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Galicia</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1.212.589.747,30</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Madrid (Comunidad de)</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1.742.225.015,15</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Murcia (Región de)</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668.852.799,65</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Navarra (Com. Foral de)</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59.279.253,20</w:t>
            </w:r>
          </w:p>
        </w:tc>
      </w:tr>
      <w:tr w:rsidR="009F0B46" w:rsidRPr="009F0B46" w:rsidTr="00F36DAB">
        <w:trPr>
          <w:trHeight w:val="240"/>
        </w:trPr>
        <w:tc>
          <w:tcPr>
            <w:tcW w:w="3193" w:type="dxa"/>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País Vasco</w:t>
            </w:r>
          </w:p>
        </w:tc>
        <w:tc>
          <w:tcPr>
            <w:tcW w:w="4170" w:type="dxa"/>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354.165.655,84</w:t>
            </w:r>
          </w:p>
        </w:tc>
      </w:tr>
      <w:tr w:rsidR="009F0B46" w:rsidRPr="009F0B46" w:rsidTr="00F36DAB">
        <w:trPr>
          <w:trHeight w:val="240"/>
        </w:trPr>
        <w:tc>
          <w:tcPr>
            <w:tcW w:w="3193" w:type="dxa"/>
            <w:tcBorders>
              <w:bottom w:val="single" w:sz="4" w:space="0" w:color="auto"/>
            </w:tcBorders>
            <w:shd w:val="clear" w:color="auto" w:fill="auto"/>
            <w:noWrap/>
            <w:hideMark/>
          </w:tcPr>
          <w:p w:rsidR="00DB7E27" w:rsidRPr="009F0B46" w:rsidRDefault="00DB7E27">
            <w:pPr>
              <w:spacing w:before="40" w:after="40" w:line="220" w:lineRule="exact"/>
              <w:rPr>
                <w:sz w:val="18"/>
                <w:szCs w:val="24"/>
                <w:lang w:val="en-GB" w:eastAsia="en-GB"/>
              </w:rPr>
            </w:pPr>
            <w:r w:rsidRPr="009F0B46">
              <w:rPr>
                <w:sz w:val="18"/>
                <w:szCs w:val="24"/>
                <w:lang w:val="en-GB" w:eastAsia="en-GB"/>
              </w:rPr>
              <w:t>Rioja (La)</w:t>
            </w:r>
          </w:p>
        </w:tc>
        <w:tc>
          <w:tcPr>
            <w:tcW w:w="4170" w:type="dxa"/>
            <w:tcBorders>
              <w:bottom w:val="single" w:sz="4" w:space="0" w:color="auto"/>
            </w:tcBorders>
            <w:shd w:val="clear" w:color="auto" w:fill="auto"/>
            <w:noWrap/>
            <w:vAlign w:val="bottom"/>
            <w:hideMark/>
          </w:tcPr>
          <w:p w:rsidR="00DB7E27" w:rsidRPr="009F0B46" w:rsidRDefault="00DB7E27" w:rsidP="00F36DAB">
            <w:pPr>
              <w:spacing w:before="40" w:after="40" w:line="220" w:lineRule="exact"/>
              <w:ind w:left="85" w:right="28"/>
              <w:jc w:val="right"/>
              <w:rPr>
                <w:sz w:val="18"/>
                <w:szCs w:val="24"/>
                <w:lang w:val="en-GB" w:eastAsia="en-GB"/>
              </w:rPr>
            </w:pPr>
            <w:r w:rsidRPr="009F0B46">
              <w:rPr>
                <w:sz w:val="18"/>
                <w:szCs w:val="24"/>
                <w:lang w:val="en-GB" w:eastAsia="en-GB"/>
              </w:rPr>
              <w:t>189.942.572,74</w:t>
            </w:r>
          </w:p>
        </w:tc>
      </w:tr>
      <w:tr w:rsidR="009F0B46" w:rsidRPr="009F0B46" w:rsidTr="00F36DAB">
        <w:trPr>
          <w:trHeight w:val="240"/>
        </w:trPr>
        <w:tc>
          <w:tcPr>
            <w:tcW w:w="3193" w:type="dxa"/>
            <w:tcBorders>
              <w:top w:val="single" w:sz="4" w:space="0" w:color="auto"/>
              <w:bottom w:val="single" w:sz="12" w:space="0" w:color="auto"/>
            </w:tcBorders>
            <w:shd w:val="clear" w:color="auto" w:fill="auto"/>
            <w:noWrap/>
            <w:hideMark/>
          </w:tcPr>
          <w:p w:rsidR="00DB7E27" w:rsidRPr="009F0B46" w:rsidRDefault="00DB7E27" w:rsidP="00F36DAB">
            <w:pPr>
              <w:spacing w:before="80" w:after="80" w:line="220" w:lineRule="exact"/>
              <w:ind w:left="283"/>
              <w:rPr>
                <w:b/>
                <w:sz w:val="18"/>
                <w:szCs w:val="24"/>
                <w:lang w:val="en-GB" w:eastAsia="en-GB"/>
              </w:rPr>
            </w:pPr>
            <w:r w:rsidRPr="009F0B46">
              <w:rPr>
                <w:b/>
                <w:sz w:val="18"/>
                <w:szCs w:val="24"/>
                <w:lang w:val="en-GB" w:eastAsia="en-GB"/>
              </w:rPr>
              <w:t>T</w:t>
            </w:r>
            <w:r w:rsidR="009F0B46" w:rsidRPr="009F0B46">
              <w:rPr>
                <w:b/>
                <w:sz w:val="18"/>
                <w:szCs w:val="24"/>
                <w:lang w:val="en-GB" w:eastAsia="en-GB"/>
              </w:rPr>
              <w:t>otal</w:t>
            </w:r>
            <w:r w:rsidRPr="009F0B46">
              <w:rPr>
                <w:b/>
                <w:sz w:val="18"/>
                <w:szCs w:val="24"/>
                <w:lang w:val="en-GB" w:eastAsia="en-GB"/>
              </w:rPr>
              <w:t xml:space="preserve"> </w:t>
            </w:r>
          </w:p>
        </w:tc>
        <w:tc>
          <w:tcPr>
            <w:tcW w:w="4170" w:type="dxa"/>
            <w:tcBorders>
              <w:top w:val="single" w:sz="4" w:space="0" w:color="auto"/>
              <w:bottom w:val="single" w:sz="12" w:space="0" w:color="auto"/>
            </w:tcBorders>
            <w:shd w:val="clear" w:color="auto" w:fill="auto"/>
            <w:noWrap/>
            <w:vAlign w:val="bottom"/>
            <w:hideMark/>
          </w:tcPr>
          <w:p w:rsidR="00DB7E27" w:rsidRPr="009F0B46" w:rsidRDefault="00DB7E27" w:rsidP="00F36DAB">
            <w:pPr>
              <w:spacing w:before="80" w:after="80" w:line="220" w:lineRule="exact"/>
              <w:ind w:left="85" w:right="28"/>
              <w:jc w:val="right"/>
              <w:rPr>
                <w:b/>
                <w:sz w:val="18"/>
                <w:szCs w:val="24"/>
                <w:lang w:val="en-GB" w:eastAsia="en-GB"/>
              </w:rPr>
            </w:pPr>
            <w:r w:rsidRPr="009F0B46">
              <w:rPr>
                <w:b/>
                <w:sz w:val="18"/>
                <w:szCs w:val="24"/>
                <w:lang w:val="en-GB" w:eastAsia="en-GB"/>
              </w:rPr>
              <w:t>17.681.369.575,01</w:t>
            </w:r>
          </w:p>
        </w:tc>
      </w:tr>
    </w:tbl>
    <w:p w:rsidR="00BD4D4A" w:rsidRPr="00BD4D4A" w:rsidRDefault="009F0B46" w:rsidP="00F36DAB">
      <w:pPr>
        <w:pStyle w:val="H23G"/>
      </w:pPr>
      <w:r>
        <w:tab/>
      </w:r>
      <w:r>
        <w:tab/>
      </w:r>
      <w:r w:rsidR="00BD4D4A" w:rsidRPr="00BD4D4A">
        <w:t>Gasto público en educación en España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30"/>
        <w:gridCol w:w="3280"/>
        <w:gridCol w:w="1960"/>
      </w:tblGrid>
      <w:tr w:rsidR="009F0B46" w:rsidRPr="009F0B46" w:rsidTr="00F36DAB">
        <w:trPr>
          <w:trHeight w:val="240"/>
          <w:tblHeader/>
        </w:trPr>
        <w:tc>
          <w:tcPr>
            <w:tcW w:w="2130" w:type="dxa"/>
            <w:tcBorders>
              <w:top w:val="single" w:sz="4" w:space="0" w:color="auto"/>
              <w:bottom w:val="single" w:sz="12" w:space="0" w:color="auto"/>
            </w:tcBorders>
            <w:shd w:val="clear" w:color="auto" w:fill="auto"/>
            <w:noWrap/>
            <w:vAlign w:val="bottom"/>
            <w:hideMark/>
          </w:tcPr>
          <w:p w:rsidR="00BD4D4A" w:rsidRPr="009F0B46" w:rsidRDefault="00BD4D4A">
            <w:pPr>
              <w:spacing w:before="80" w:after="80" w:line="200" w:lineRule="exact"/>
              <w:rPr>
                <w:i/>
                <w:sz w:val="16"/>
                <w:szCs w:val="16"/>
              </w:rPr>
            </w:pPr>
          </w:p>
        </w:tc>
        <w:tc>
          <w:tcPr>
            <w:tcW w:w="3280" w:type="dxa"/>
            <w:tcBorders>
              <w:top w:val="single" w:sz="4" w:space="0" w:color="auto"/>
              <w:bottom w:val="single" w:sz="12" w:space="0" w:color="auto"/>
            </w:tcBorders>
            <w:shd w:val="clear" w:color="auto" w:fill="auto"/>
            <w:noWrap/>
            <w:vAlign w:val="bottom"/>
            <w:hideMark/>
          </w:tcPr>
          <w:p w:rsidR="00BD4D4A" w:rsidRPr="009F0B46" w:rsidRDefault="00BD4D4A" w:rsidP="00F36DAB">
            <w:pPr>
              <w:spacing w:before="80" w:after="80" w:line="200" w:lineRule="exact"/>
              <w:ind w:left="85" w:right="28"/>
              <w:jc w:val="right"/>
              <w:rPr>
                <w:bCs/>
                <w:i/>
                <w:sz w:val="16"/>
                <w:szCs w:val="16"/>
              </w:rPr>
            </w:pPr>
            <w:r w:rsidRPr="009F0B46">
              <w:rPr>
                <w:bCs/>
                <w:i/>
                <w:sz w:val="16"/>
                <w:szCs w:val="16"/>
              </w:rPr>
              <w:t xml:space="preserve">Millones de </w:t>
            </w:r>
            <w:r w:rsidR="009F0B46">
              <w:rPr>
                <w:bCs/>
                <w:i/>
                <w:sz w:val="16"/>
                <w:szCs w:val="16"/>
              </w:rPr>
              <w:t>euros</w:t>
            </w:r>
          </w:p>
        </w:tc>
        <w:tc>
          <w:tcPr>
            <w:tcW w:w="1960" w:type="dxa"/>
            <w:tcBorders>
              <w:top w:val="single" w:sz="4" w:space="0" w:color="auto"/>
              <w:bottom w:val="single" w:sz="12" w:space="0" w:color="auto"/>
            </w:tcBorders>
            <w:shd w:val="clear" w:color="auto" w:fill="auto"/>
            <w:noWrap/>
            <w:vAlign w:val="bottom"/>
            <w:hideMark/>
          </w:tcPr>
          <w:p w:rsidR="00BD4D4A" w:rsidRPr="009F0B46" w:rsidRDefault="009F0B46" w:rsidP="00F36DAB">
            <w:pPr>
              <w:spacing w:before="80" w:after="80" w:line="200" w:lineRule="exact"/>
              <w:ind w:left="85" w:right="28"/>
              <w:jc w:val="right"/>
              <w:rPr>
                <w:bCs/>
                <w:i/>
                <w:sz w:val="16"/>
                <w:szCs w:val="16"/>
              </w:rPr>
            </w:pPr>
            <w:r>
              <w:rPr>
                <w:bCs/>
                <w:i/>
                <w:sz w:val="16"/>
                <w:szCs w:val="16"/>
              </w:rPr>
              <w:t xml:space="preserve">Porcentaje del </w:t>
            </w:r>
            <w:r w:rsidR="00BD4D4A" w:rsidRPr="009F0B46">
              <w:rPr>
                <w:bCs/>
                <w:i/>
                <w:sz w:val="16"/>
                <w:szCs w:val="16"/>
              </w:rPr>
              <w:t>PIB</w:t>
            </w:r>
          </w:p>
        </w:tc>
      </w:tr>
      <w:tr w:rsidR="009F0B46" w:rsidRPr="009F0B46" w:rsidTr="00F36DAB">
        <w:trPr>
          <w:trHeight w:val="240"/>
        </w:trPr>
        <w:tc>
          <w:tcPr>
            <w:tcW w:w="2130" w:type="dxa"/>
            <w:tcBorders>
              <w:top w:val="single" w:sz="12" w:space="0" w:color="auto"/>
            </w:tcBorders>
            <w:shd w:val="clear" w:color="auto" w:fill="auto"/>
            <w:noWrap/>
            <w:hideMark/>
          </w:tcPr>
          <w:p w:rsidR="00BD4D4A" w:rsidRPr="009F0B46" w:rsidRDefault="00BD4D4A">
            <w:pPr>
              <w:spacing w:before="40" w:after="40" w:line="220" w:lineRule="exact"/>
              <w:rPr>
                <w:sz w:val="18"/>
                <w:szCs w:val="16"/>
              </w:rPr>
            </w:pPr>
            <w:r w:rsidRPr="009F0B46">
              <w:rPr>
                <w:sz w:val="18"/>
                <w:szCs w:val="16"/>
              </w:rPr>
              <w:t>2012</w:t>
            </w:r>
          </w:p>
        </w:tc>
        <w:tc>
          <w:tcPr>
            <w:tcW w:w="3280" w:type="dxa"/>
            <w:tcBorders>
              <w:top w:val="single" w:sz="12" w:space="0" w:color="auto"/>
            </w:tcBorders>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46.476,4</w:t>
            </w:r>
          </w:p>
        </w:tc>
        <w:tc>
          <w:tcPr>
            <w:tcW w:w="1960" w:type="dxa"/>
            <w:tcBorders>
              <w:top w:val="single" w:sz="12" w:space="0" w:color="auto"/>
            </w:tcBorders>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4,47</w:t>
            </w:r>
            <w:r w:rsidR="00BB5656" w:rsidRPr="009F0B46">
              <w:rPr>
                <w:sz w:val="18"/>
                <w:szCs w:val="16"/>
              </w:rPr>
              <w:t xml:space="preserve"> </w:t>
            </w:r>
          </w:p>
        </w:tc>
      </w:tr>
      <w:tr w:rsidR="009F0B46" w:rsidRPr="009F0B46" w:rsidTr="00F36DAB">
        <w:trPr>
          <w:trHeight w:val="240"/>
        </w:trPr>
        <w:tc>
          <w:tcPr>
            <w:tcW w:w="2130" w:type="dxa"/>
            <w:shd w:val="clear" w:color="auto" w:fill="auto"/>
            <w:noWrap/>
            <w:hideMark/>
          </w:tcPr>
          <w:p w:rsidR="00BD4D4A" w:rsidRPr="009F0B46" w:rsidRDefault="00BD4D4A">
            <w:pPr>
              <w:spacing w:before="40" w:after="40" w:line="220" w:lineRule="exact"/>
              <w:rPr>
                <w:sz w:val="18"/>
                <w:szCs w:val="16"/>
              </w:rPr>
            </w:pPr>
            <w:r w:rsidRPr="009F0B46">
              <w:rPr>
                <w:sz w:val="18"/>
                <w:szCs w:val="16"/>
              </w:rPr>
              <w:t>2013</w:t>
            </w:r>
          </w:p>
        </w:tc>
        <w:tc>
          <w:tcPr>
            <w:tcW w:w="3280" w:type="dxa"/>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44.974,6</w:t>
            </w:r>
          </w:p>
        </w:tc>
        <w:tc>
          <w:tcPr>
            <w:tcW w:w="1960" w:type="dxa"/>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4,39</w:t>
            </w:r>
            <w:r w:rsidR="00BB5656" w:rsidRPr="009F0B46">
              <w:rPr>
                <w:sz w:val="18"/>
                <w:szCs w:val="16"/>
              </w:rPr>
              <w:t xml:space="preserve"> </w:t>
            </w:r>
          </w:p>
        </w:tc>
      </w:tr>
      <w:tr w:rsidR="009F0B46" w:rsidRPr="009F0B46" w:rsidTr="00F36DAB">
        <w:trPr>
          <w:trHeight w:val="240"/>
        </w:trPr>
        <w:tc>
          <w:tcPr>
            <w:tcW w:w="2130" w:type="dxa"/>
            <w:shd w:val="clear" w:color="auto" w:fill="auto"/>
            <w:noWrap/>
            <w:hideMark/>
          </w:tcPr>
          <w:p w:rsidR="00BD4D4A" w:rsidRPr="009F0B46" w:rsidRDefault="00BD4D4A">
            <w:pPr>
              <w:spacing w:before="40" w:after="40" w:line="220" w:lineRule="exact"/>
              <w:rPr>
                <w:sz w:val="18"/>
                <w:szCs w:val="16"/>
              </w:rPr>
            </w:pPr>
            <w:r w:rsidRPr="009F0B46">
              <w:rPr>
                <w:sz w:val="18"/>
                <w:szCs w:val="16"/>
              </w:rPr>
              <w:t>2014</w:t>
            </w:r>
          </w:p>
        </w:tc>
        <w:tc>
          <w:tcPr>
            <w:tcW w:w="3280" w:type="dxa"/>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44.846,8</w:t>
            </w:r>
          </w:p>
        </w:tc>
        <w:tc>
          <w:tcPr>
            <w:tcW w:w="1960" w:type="dxa"/>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4,32</w:t>
            </w:r>
            <w:r w:rsidR="00BB5656" w:rsidRPr="009F0B46">
              <w:rPr>
                <w:sz w:val="18"/>
                <w:szCs w:val="16"/>
              </w:rPr>
              <w:t xml:space="preserve"> </w:t>
            </w:r>
          </w:p>
        </w:tc>
      </w:tr>
      <w:tr w:rsidR="009F0B46" w:rsidRPr="009F0B46" w:rsidTr="00F36DAB">
        <w:trPr>
          <w:trHeight w:val="240"/>
        </w:trPr>
        <w:tc>
          <w:tcPr>
            <w:tcW w:w="2130" w:type="dxa"/>
            <w:shd w:val="clear" w:color="auto" w:fill="auto"/>
            <w:noWrap/>
            <w:hideMark/>
          </w:tcPr>
          <w:p w:rsidR="00BD4D4A" w:rsidRPr="009F0B46" w:rsidRDefault="00BD4D4A">
            <w:pPr>
              <w:spacing w:before="40" w:after="40" w:line="220" w:lineRule="exact"/>
              <w:rPr>
                <w:sz w:val="18"/>
                <w:szCs w:val="16"/>
              </w:rPr>
            </w:pPr>
            <w:r w:rsidRPr="009F0B46">
              <w:rPr>
                <w:sz w:val="18"/>
                <w:szCs w:val="16"/>
              </w:rPr>
              <w:t>2015</w:t>
            </w:r>
            <w:r w:rsidRPr="00F36DAB">
              <w:rPr>
                <w:i/>
                <w:sz w:val="18"/>
                <w:szCs w:val="16"/>
                <w:vertAlign w:val="superscript"/>
              </w:rPr>
              <w:t>p</w:t>
            </w:r>
          </w:p>
        </w:tc>
        <w:tc>
          <w:tcPr>
            <w:tcW w:w="3280" w:type="dxa"/>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46.648,8</w:t>
            </w:r>
          </w:p>
        </w:tc>
        <w:tc>
          <w:tcPr>
            <w:tcW w:w="1960" w:type="dxa"/>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4,34</w:t>
            </w:r>
            <w:r w:rsidR="00BB5656" w:rsidRPr="009F0B46">
              <w:rPr>
                <w:sz w:val="18"/>
                <w:szCs w:val="16"/>
              </w:rPr>
              <w:t xml:space="preserve"> </w:t>
            </w:r>
          </w:p>
        </w:tc>
      </w:tr>
      <w:tr w:rsidR="009F0B46" w:rsidRPr="009F0B46" w:rsidTr="00F36DAB">
        <w:trPr>
          <w:trHeight w:val="240"/>
        </w:trPr>
        <w:tc>
          <w:tcPr>
            <w:tcW w:w="2130" w:type="dxa"/>
            <w:tcBorders>
              <w:bottom w:val="single" w:sz="12" w:space="0" w:color="auto"/>
            </w:tcBorders>
            <w:shd w:val="clear" w:color="auto" w:fill="auto"/>
            <w:noWrap/>
            <w:hideMark/>
          </w:tcPr>
          <w:p w:rsidR="00BD4D4A" w:rsidRPr="009F0B46" w:rsidRDefault="00BD4D4A">
            <w:pPr>
              <w:spacing w:before="40" w:after="40" w:line="220" w:lineRule="exact"/>
              <w:rPr>
                <w:sz w:val="18"/>
                <w:szCs w:val="16"/>
              </w:rPr>
            </w:pPr>
            <w:r w:rsidRPr="009F0B46">
              <w:rPr>
                <w:sz w:val="18"/>
                <w:szCs w:val="16"/>
              </w:rPr>
              <w:t>2016</w:t>
            </w:r>
            <w:r w:rsidRPr="00F36DAB">
              <w:rPr>
                <w:i/>
                <w:sz w:val="18"/>
                <w:szCs w:val="16"/>
                <w:vertAlign w:val="superscript"/>
              </w:rPr>
              <w:t>e</w:t>
            </w:r>
          </w:p>
        </w:tc>
        <w:tc>
          <w:tcPr>
            <w:tcW w:w="3280" w:type="dxa"/>
            <w:tcBorders>
              <w:bottom w:val="single" w:sz="12" w:space="0" w:color="auto"/>
            </w:tcBorders>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47.883,1</w:t>
            </w:r>
          </w:p>
        </w:tc>
        <w:tc>
          <w:tcPr>
            <w:tcW w:w="1960" w:type="dxa"/>
            <w:tcBorders>
              <w:bottom w:val="single" w:sz="12" w:space="0" w:color="auto"/>
            </w:tcBorders>
            <w:shd w:val="clear" w:color="auto" w:fill="auto"/>
            <w:noWrap/>
            <w:vAlign w:val="bottom"/>
            <w:hideMark/>
          </w:tcPr>
          <w:p w:rsidR="00BD4D4A" w:rsidRPr="009F0B46" w:rsidRDefault="00BD4D4A" w:rsidP="00F36DAB">
            <w:pPr>
              <w:spacing w:before="40" w:after="40" w:line="220" w:lineRule="exact"/>
              <w:ind w:left="85" w:right="28"/>
              <w:jc w:val="right"/>
              <w:rPr>
                <w:sz w:val="18"/>
                <w:szCs w:val="16"/>
              </w:rPr>
            </w:pPr>
            <w:r w:rsidRPr="009F0B46">
              <w:rPr>
                <w:sz w:val="18"/>
                <w:szCs w:val="16"/>
              </w:rPr>
              <w:t>4,30</w:t>
            </w:r>
            <w:r w:rsidR="00BB5656" w:rsidRPr="009F0B46">
              <w:rPr>
                <w:sz w:val="18"/>
                <w:szCs w:val="16"/>
              </w:rPr>
              <w:t xml:space="preserve"> </w:t>
            </w:r>
          </w:p>
        </w:tc>
      </w:tr>
    </w:tbl>
    <w:p w:rsidR="009F0B46" w:rsidRPr="00F36DAB" w:rsidRDefault="009F0B46" w:rsidP="00F36DAB">
      <w:pPr>
        <w:pStyle w:val="SingleTxtG"/>
        <w:spacing w:before="120" w:after="0"/>
        <w:ind w:firstLine="170"/>
        <w:jc w:val="left"/>
        <w:rPr>
          <w:sz w:val="18"/>
        </w:rPr>
      </w:pPr>
      <w:r w:rsidRPr="00F36DAB">
        <w:rPr>
          <w:i/>
          <w:sz w:val="18"/>
        </w:rPr>
        <w:t>Fuente:</w:t>
      </w:r>
      <w:r w:rsidRPr="00F36DAB">
        <w:rPr>
          <w:sz w:val="18"/>
        </w:rPr>
        <w:t xml:space="preserve"> Estadística del Gasto Público en Educación. MECD</w:t>
      </w:r>
      <w:r>
        <w:rPr>
          <w:sz w:val="18"/>
        </w:rPr>
        <w:t>.</w:t>
      </w:r>
    </w:p>
    <w:p w:rsidR="00BD4D4A" w:rsidRPr="00F36DAB" w:rsidRDefault="00BD4D4A" w:rsidP="00F36DAB">
      <w:pPr>
        <w:pStyle w:val="SingleTxtG"/>
        <w:spacing w:after="0"/>
        <w:ind w:firstLine="170"/>
        <w:jc w:val="left"/>
        <w:rPr>
          <w:sz w:val="18"/>
        </w:rPr>
      </w:pPr>
      <w:r w:rsidRPr="00F36DAB">
        <w:rPr>
          <w:i/>
          <w:sz w:val="18"/>
          <w:vertAlign w:val="superscript"/>
        </w:rPr>
        <w:t>p</w:t>
      </w:r>
      <w:r w:rsidR="009F0B46">
        <w:rPr>
          <w:sz w:val="18"/>
        </w:rPr>
        <w:t xml:space="preserve"> </w:t>
      </w:r>
      <w:r w:rsidR="009F0B46" w:rsidRPr="00F36DAB">
        <w:rPr>
          <w:sz w:val="18"/>
        </w:rPr>
        <w:t xml:space="preserve"> </w:t>
      </w:r>
      <w:r w:rsidRPr="00F36DAB">
        <w:rPr>
          <w:sz w:val="18"/>
        </w:rPr>
        <w:t>Dato provisional.</w:t>
      </w:r>
    </w:p>
    <w:p w:rsidR="00BD4D4A" w:rsidRPr="00C3111D" w:rsidRDefault="00BD4D4A" w:rsidP="00F36DAB">
      <w:pPr>
        <w:pStyle w:val="SingleTxtG"/>
        <w:spacing w:after="240"/>
        <w:ind w:firstLine="170"/>
        <w:jc w:val="left"/>
        <w:rPr>
          <w:rFonts w:eastAsia="SimSun"/>
          <w:iCs/>
          <w:sz w:val="18"/>
          <w:szCs w:val="18"/>
          <w:lang w:eastAsia="zh-CN"/>
        </w:rPr>
      </w:pPr>
      <w:r w:rsidRPr="00F36DAB">
        <w:rPr>
          <w:i/>
          <w:sz w:val="18"/>
          <w:vertAlign w:val="superscript"/>
        </w:rPr>
        <w:t>e</w:t>
      </w:r>
      <w:r w:rsidR="009F0B46">
        <w:rPr>
          <w:sz w:val="18"/>
        </w:rPr>
        <w:t xml:space="preserve"> </w:t>
      </w:r>
      <w:r w:rsidR="009F0B46" w:rsidRPr="00F36DAB">
        <w:rPr>
          <w:sz w:val="18"/>
        </w:rPr>
        <w:t xml:space="preserve"> </w:t>
      </w:r>
      <w:r w:rsidRPr="00F36DAB">
        <w:rPr>
          <w:sz w:val="18"/>
        </w:rPr>
        <w:t>Dato estimado en base a los presupuestos iniciales.</w:t>
      </w:r>
    </w:p>
    <w:p w:rsidR="00384375" w:rsidRPr="00F36DAB" w:rsidRDefault="00BD4D4A" w:rsidP="00F36DAB">
      <w:pPr>
        <w:pStyle w:val="SingleTxtG"/>
      </w:pPr>
      <w:r w:rsidRPr="00F36DAB">
        <w:t>137.</w:t>
      </w:r>
      <w:r w:rsidRPr="00F36DAB">
        <w:tab/>
      </w:r>
      <w:r w:rsidR="00384375" w:rsidRPr="00F36DAB">
        <w:t>Respecto a la manera en que las políticas fiscales y tributarias han contribuido a aumentar la disponibilidad de recursos para hacer efectivos los derechos económicos, sociales y culturales, la reforma tributaria operada en 2014 pretende mejorar la eficiencia en la asignación de recursos.</w:t>
      </w:r>
    </w:p>
    <w:p w:rsidR="00384375" w:rsidRPr="00F36DAB" w:rsidRDefault="00BD4D4A" w:rsidP="00F36DAB">
      <w:pPr>
        <w:pStyle w:val="SingleTxtG"/>
      </w:pPr>
      <w:r w:rsidRPr="00F36DAB">
        <w:t>138.</w:t>
      </w:r>
      <w:r w:rsidRPr="00F36DAB">
        <w:tab/>
      </w:r>
      <w:r w:rsidR="00384375" w:rsidRPr="00F36DAB">
        <w:t xml:space="preserve">Sin ánimo de exhaustividad, en cuanto al Impuesto sobre la Renta de las Personas Físicas, se redujo la carga impositiva, en especial en los rendimientos del trabajo o de actividades económicas de menores rentas y para quienes soportan mayores cargas familiares. Además, se introdujeron nuevas deducciones en materia de discapacidad y para familias numerosas o monoparentales. </w:t>
      </w:r>
    </w:p>
    <w:p w:rsidR="00384375" w:rsidRPr="00F36DAB" w:rsidRDefault="00BD4D4A" w:rsidP="00F36DAB">
      <w:pPr>
        <w:pStyle w:val="SingleTxtG"/>
      </w:pPr>
      <w:r w:rsidRPr="00F36DAB">
        <w:lastRenderedPageBreak/>
        <w:t>139.</w:t>
      </w:r>
      <w:r w:rsidRPr="00F36DAB">
        <w:tab/>
      </w:r>
      <w:r w:rsidR="00384375" w:rsidRPr="00F36DAB">
        <w:t>De acuerdo con la Actualización del Programa de Estabilidad del Reino de España para 2016-2019, el impacto positivo de la reforma fiscal en el crecimiento del PIB y del empleo en 2015 se ha estimado en 0,34 y 0,24 puntos porcentuales, respectivamente. Son cálculos realizados con el Modelo REMS (acrónimo en inglés del Modelo de Expectativas Racionales para Simulación de la Economía Española), desarrollado por el Ministerio de Hacienda y Administraciones Públicas.</w:t>
      </w:r>
    </w:p>
    <w:p w:rsidR="00384375" w:rsidRPr="00F36DAB" w:rsidRDefault="00BD4D4A" w:rsidP="00F36DAB">
      <w:pPr>
        <w:pStyle w:val="SingleTxtG"/>
      </w:pPr>
      <w:r w:rsidRPr="00F36DAB">
        <w:t>140.</w:t>
      </w:r>
      <w:r w:rsidRPr="00F36DAB">
        <w:tab/>
      </w:r>
      <w:r w:rsidR="00384375" w:rsidRPr="00F36DAB">
        <w:t>Por otra parte, el Real Decreto-</w:t>
      </w:r>
      <w:r w:rsidR="003D3899">
        <w:t>Ley</w:t>
      </w:r>
      <w:r w:rsidR="00384375" w:rsidRPr="00F36DAB">
        <w:t xml:space="preserve"> </w:t>
      </w:r>
      <w:r w:rsidR="00C142E0">
        <w:t xml:space="preserve">núm. </w:t>
      </w:r>
      <w:r w:rsidR="00384375" w:rsidRPr="00F36DAB">
        <w:t>9/2015 incrementó la rebaja impositiva del Impuesto sobre la Renta de las Personas Físicas correspondiente al ejercicio 2015, mediante la aprobación de una nueva tarifa del impuesto. Además, dicho Real Decreto-</w:t>
      </w:r>
      <w:r w:rsidR="003D3899">
        <w:t>Ley</w:t>
      </w:r>
      <w:r w:rsidR="00384375" w:rsidRPr="00F36DAB">
        <w:t xml:space="preserve"> </w:t>
      </w:r>
      <w:r w:rsidR="00C142E0">
        <w:t xml:space="preserve">núm. </w:t>
      </w:r>
      <w:r w:rsidR="00384375" w:rsidRPr="00F36DAB">
        <w:t>9/2015 estableció una exención en el Impuesto sobre la Renta de las Personas Físicas de las ayudas públicas concedidas por las Comunidades Autónomas o entidades locales para atender a colectivos en riesgos de exclusión social.</w:t>
      </w:r>
    </w:p>
    <w:p w:rsidR="00384375" w:rsidRPr="003E0B97" w:rsidRDefault="00823A26" w:rsidP="00F36DAB">
      <w:pPr>
        <w:pStyle w:val="H1G"/>
      </w:pPr>
      <w:r>
        <w:tab/>
      </w:r>
      <w:r w:rsidR="0003139A">
        <w:t>10.</w:t>
      </w:r>
      <w:r>
        <w:tab/>
      </w:r>
      <w:r w:rsidR="00384375" w:rsidRPr="003E0B97">
        <w:t xml:space="preserve">Datos estadísticos sobre el disfrute de derechos económicos, </w:t>
      </w:r>
      <w:r w:rsidR="009F0B46" w:rsidRPr="003E0B97">
        <w:t>sociales</w:t>
      </w:r>
      <w:r w:rsidR="009F0B46">
        <w:t> </w:t>
      </w:r>
      <w:r w:rsidR="009F0B46" w:rsidRPr="003E0B97">
        <w:t>y</w:t>
      </w:r>
      <w:r w:rsidR="009F0B46">
        <w:t> </w:t>
      </w:r>
      <w:r w:rsidR="00384375" w:rsidRPr="003E0B97">
        <w:t>culturales</w:t>
      </w:r>
    </w:p>
    <w:p w:rsidR="00384375" w:rsidRPr="00F36DAB" w:rsidRDefault="00BD4D4A" w:rsidP="00F36DAB">
      <w:pPr>
        <w:pStyle w:val="SingleTxtG"/>
      </w:pPr>
      <w:r w:rsidRPr="00F36DAB">
        <w:t>141.</w:t>
      </w:r>
      <w:r w:rsidRPr="00F36DAB">
        <w:tab/>
      </w:r>
      <w:r w:rsidR="00384375" w:rsidRPr="00F36DAB">
        <w:t>Se ofrece a continuación la información estadística solicitada del número de beneficiarios de prestaciones económicas de la Seguridad Social, así como del gasto y de la cuantía media, desglosados por Comunidades Autónomas, sexo y edad.</w:t>
      </w:r>
    </w:p>
    <w:p w:rsidR="0003139A" w:rsidRPr="00F36DAB" w:rsidRDefault="0003139A" w:rsidP="00F36DAB">
      <w:pPr>
        <w:pStyle w:val="H23G"/>
        <w:tabs>
          <w:tab w:val="clear" w:pos="851"/>
        </w:tabs>
        <w:ind w:left="0" w:firstLine="0"/>
        <w:rPr>
          <w:sz w:val="16"/>
        </w:rPr>
      </w:pPr>
      <w:r w:rsidRPr="0003139A">
        <w:t>Gasto en pensiones por comunidades autónomas</w:t>
      </w:r>
      <w:r>
        <w:br/>
      </w:r>
      <w:r w:rsidRPr="00F36DAB">
        <w:rPr>
          <w:b w:val="0"/>
          <w:sz w:val="16"/>
        </w:rPr>
        <w:t>(</w:t>
      </w:r>
      <w:r w:rsidR="009F0B46" w:rsidRPr="00F36DAB">
        <w:rPr>
          <w:b w:val="0"/>
          <w:sz w:val="16"/>
        </w:rPr>
        <w:t xml:space="preserve">En </w:t>
      </w:r>
      <w:r w:rsidRPr="00F36DAB">
        <w:rPr>
          <w:b w:val="0"/>
          <w:sz w:val="16"/>
        </w:rPr>
        <w:t>euros)</w:t>
      </w:r>
    </w:p>
    <w:tbl>
      <w:tblPr>
        <w:tblW w:w="0" w:type="auto"/>
        <w:tblBorders>
          <w:top w:val="single" w:sz="4" w:space="0" w:color="auto"/>
        </w:tblBorders>
        <w:tblLayout w:type="fixed"/>
        <w:tblCellMar>
          <w:left w:w="0" w:type="dxa"/>
          <w:right w:w="0" w:type="dxa"/>
        </w:tblCellMar>
        <w:tblLook w:val="04A0" w:firstRow="1" w:lastRow="0" w:firstColumn="1" w:lastColumn="0" w:noHBand="0" w:noVBand="1"/>
      </w:tblPr>
      <w:tblGrid>
        <w:gridCol w:w="1277"/>
        <w:gridCol w:w="1672"/>
        <w:gridCol w:w="1672"/>
        <w:gridCol w:w="1672"/>
        <w:gridCol w:w="1672"/>
        <w:gridCol w:w="1672"/>
      </w:tblGrid>
      <w:tr w:rsidR="003E6288" w:rsidRPr="003E6288" w:rsidTr="00F36DAB">
        <w:trPr>
          <w:trHeight w:val="240"/>
          <w:tblHeader/>
        </w:trPr>
        <w:tc>
          <w:tcPr>
            <w:tcW w:w="1277" w:type="dxa"/>
            <w:tcBorders>
              <w:top w:val="single" w:sz="4" w:space="0" w:color="auto"/>
              <w:bottom w:val="single" w:sz="12" w:space="0" w:color="auto"/>
            </w:tcBorders>
            <w:shd w:val="clear" w:color="auto" w:fill="auto"/>
            <w:noWrap/>
            <w:vAlign w:val="bottom"/>
            <w:hideMark/>
          </w:tcPr>
          <w:p w:rsidR="00305609" w:rsidRPr="003E6288" w:rsidRDefault="00305609">
            <w:pPr>
              <w:spacing w:before="80" w:after="80" w:line="200" w:lineRule="exact"/>
              <w:rPr>
                <w:i/>
                <w:sz w:val="16"/>
                <w:lang w:val="en-GB" w:eastAsia="en-GB"/>
              </w:rPr>
            </w:pPr>
            <w:r w:rsidRPr="003E6288">
              <w:rPr>
                <w:i/>
                <w:sz w:val="16"/>
                <w:lang w:eastAsia="en-GB"/>
              </w:rPr>
              <w:t xml:space="preserve">CC.AA. </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00" w:lineRule="exact"/>
              <w:ind w:left="85" w:right="28"/>
              <w:jc w:val="right"/>
              <w:rPr>
                <w:i/>
                <w:sz w:val="16"/>
                <w:lang w:val="en-GB" w:eastAsia="en-GB"/>
              </w:rPr>
            </w:pPr>
            <w:r w:rsidRPr="003E6288">
              <w:rPr>
                <w:i/>
                <w:sz w:val="16"/>
                <w:lang w:eastAsia="en-GB"/>
              </w:rPr>
              <w:t>2011</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00" w:lineRule="exact"/>
              <w:ind w:left="85" w:right="28"/>
              <w:jc w:val="right"/>
              <w:rPr>
                <w:i/>
                <w:sz w:val="16"/>
                <w:lang w:val="en-GB" w:eastAsia="en-GB"/>
              </w:rPr>
            </w:pPr>
            <w:r w:rsidRPr="003E6288">
              <w:rPr>
                <w:i/>
                <w:sz w:val="16"/>
                <w:lang w:eastAsia="en-GB"/>
              </w:rPr>
              <w:t>2012</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00" w:lineRule="exact"/>
              <w:ind w:left="85" w:right="28"/>
              <w:jc w:val="right"/>
              <w:rPr>
                <w:i/>
                <w:sz w:val="16"/>
                <w:lang w:val="en-GB" w:eastAsia="en-GB"/>
              </w:rPr>
            </w:pPr>
            <w:r w:rsidRPr="003E6288">
              <w:rPr>
                <w:i/>
                <w:sz w:val="16"/>
                <w:lang w:eastAsia="en-GB"/>
              </w:rPr>
              <w:t>2013</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00" w:lineRule="exact"/>
              <w:ind w:left="85" w:right="28"/>
              <w:jc w:val="right"/>
              <w:rPr>
                <w:i/>
                <w:sz w:val="16"/>
                <w:lang w:val="en-GB" w:eastAsia="en-GB"/>
              </w:rPr>
            </w:pPr>
            <w:r w:rsidRPr="003E6288">
              <w:rPr>
                <w:i/>
                <w:sz w:val="16"/>
                <w:lang w:eastAsia="en-GB"/>
              </w:rPr>
              <w:t>2014</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00" w:lineRule="exact"/>
              <w:ind w:left="85" w:right="28"/>
              <w:jc w:val="right"/>
              <w:rPr>
                <w:i/>
                <w:sz w:val="16"/>
                <w:lang w:val="en-GB" w:eastAsia="en-GB"/>
              </w:rPr>
            </w:pPr>
            <w:r w:rsidRPr="003E6288">
              <w:rPr>
                <w:i/>
                <w:sz w:val="16"/>
                <w:lang w:eastAsia="en-GB"/>
              </w:rPr>
              <w:t>2015</w:t>
            </w:r>
          </w:p>
        </w:tc>
      </w:tr>
      <w:tr w:rsidR="003E6288" w:rsidRPr="003E6288" w:rsidTr="00F36DAB">
        <w:trPr>
          <w:trHeight w:val="240"/>
        </w:trPr>
        <w:tc>
          <w:tcPr>
            <w:tcW w:w="1277" w:type="dxa"/>
            <w:tcBorders>
              <w:top w:val="single" w:sz="12" w:space="0" w:color="auto"/>
            </w:tcBorders>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Andaluc</w:t>
            </w:r>
            <w:r>
              <w:rPr>
                <w:sz w:val="18"/>
                <w:szCs w:val="16"/>
                <w:lang w:eastAsia="en-GB"/>
              </w:rPr>
              <w:t>í</w:t>
            </w:r>
            <w:r w:rsidRPr="003E6288">
              <w:rPr>
                <w:sz w:val="18"/>
                <w:szCs w:val="16"/>
                <w:lang w:eastAsia="en-GB"/>
              </w:rPr>
              <w:t>a</w:t>
            </w:r>
          </w:p>
        </w:tc>
        <w:tc>
          <w:tcPr>
            <w:tcW w:w="1672" w:type="dxa"/>
            <w:tcBorders>
              <w:top w:val="single" w:sz="12"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14.509.243.022,22</w:t>
            </w:r>
          </w:p>
        </w:tc>
        <w:tc>
          <w:tcPr>
            <w:tcW w:w="1672" w:type="dxa"/>
            <w:tcBorders>
              <w:top w:val="single" w:sz="12"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15.021.275.291,22</w:t>
            </w:r>
          </w:p>
        </w:tc>
        <w:tc>
          <w:tcPr>
            <w:tcW w:w="1672" w:type="dxa"/>
            <w:tcBorders>
              <w:top w:val="single" w:sz="12"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15.718.124.329,01</w:t>
            </w:r>
          </w:p>
        </w:tc>
        <w:tc>
          <w:tcPr>
            <w:tcW w:w="1672" w:type="dxa"/>
            <w:tcBorders>
              <w:top w:val="single" w:sz="12"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16.222.931.459,24</w:t>
            </w:r>
          </w:p>
        </w:tc>
        <w:tc>
          <w:tcPr>
            <w:tcW w:w="1672" w:type="dxa"/>
            <w:tcBorders>
              <w:top w:val="single" w:sz="12"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16.657.027.424,60</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Arag</w:t>
            </w:r>
            <w:r>
              <w:rPr>
                <w:sz w:val="18"/>
                <w:szCs w:val="16"/>
                <w:lang w:eastAsia="en-GB"/>
              </w:rPr>
              <w:t>ó</w:t>
            </w:r>
            <w:r w:rsidRPr="003E6288">
              <w:rPr>
                <w:sz w:val="18"/>
                <w:szCs w:val="16"/>
                <w:lang w:eastAsia="en-GB"/>
              </w:rPr>
              <w:t>n</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3.326.438.425,68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3.453.295.273,67</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3.612.070.394,89</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3.722.524.767,35</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3.821.909.935,09</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Asturias</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3.968.746.182,02</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4.081.787.634,72</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4.210.326.896,82</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4.301.175.798,40</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4.393.875.120,15</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Baleares</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1.744.057.152,82</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1.827.440.059,68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1.927.182.056,71</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2.000.033.048,63</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2.073.381.048,00</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Canarias</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2.774.821.971,74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2.918.919.354,60</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3.095.940.058,76</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3.232.379.728,78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3.368.504.151,19</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Cantabria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1.551.216.159,08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1.605.745.335,26</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1.673.547.734,96</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1.722.903.519,30</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1.767.855.413,77</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Castilla-</w:t>
            </w:r>
            <w:r>
              <w:rPr>
                <w:sz w:val="18"/>
                <w:szCs w:val="16"/>
                <w:lang w:eastAsia="en-GB"/>
              </w:rPr>
              <w:t>M</w:t>
            </w:r>
            <w:r w:rsidRPr="003E6288">
              <w:rPr>
                <w:sz w:val="18"/>
                <w:szCs w:val="16"/>
                <w:lang w:eastAsia="en-GB"/>
              </w:rPr>
              <w:t>ancha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3.637.714.702,66</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3.762.814.663,83</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3.931.426.747,54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4.042.679.112,23</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4.143.298.029,10</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Castilla-</w:t>
            </w:r>
            <w:r>
              <w:rPr>
                <w:sz w:val="18"/>
                <w:szCs w:val="16"/>
                <w:lang w:eastAsia="en-GB"/>
              </w:rPr>
              <w:t>L</w:t>
            </w:r>
            <w:r w:rsidRPr="003E6288">
              <w:rPr>
                <w:sz w:val="18"/>
                <w:szCs w:val="16"/>
                <w:lang w:eastAsia="en-GB"/>
              </w:rPr>
              <w:t>e</w:t>
            </w:r>
            <w:r>
              <w:rPr>
                <w:sz w:val="18"/>
                <w:szCs w:val="16"/>
                <w:lang w:eastAsia="en-GB"/>
              </w:rPr>
              <w:t>ó</w:t>
            </w:r>
            <w:r w:rsidRPr="003E6288">
              <w:rPr>
                <w:sz w:val="18"/>
                <w:szCs w:val="16"/>
                <w:lang w:eastAsia="en-GB"/>
              </w:rPr>
              <w:t>n</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6.465.812.211,47</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6.669.994.246,87</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6.947.000.113,24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7.136.677.571,58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7.314.129.672,45</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Cataluña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18.407.393.670,81</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19.206.317.348,52</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20.187.048.182,89</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20.848.579.810,18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21.465.210.491,66</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Extremadura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2.008.669.744,35</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2.066.035.431,44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2.155.594.742,79</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2.215.612.472,09</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2.266.693.939,48</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Galicia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6.898.986.281,55</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7.132.662.585,85</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7.443.005.237,66</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7.658.250.329,16</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7.859.283.025,14</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 xml:space="preserve">La </w:t>
            </w:r>
            <w:r w:rsidR="00C671FF">
              <w:rPr>
                <w:sz w:val="18"/>
                <w:szCs w:val="16"/>
                <w:lang w:eastAsia="en-GB"/>
              </w:rPr>
              <w:t>R</w:t>
            </w:r>
            <w:r w:rsidR="00C671FF" w:rsidRPr="003E6288">
              <w:rPr>
                <w:sz w:val="18"/>
                <w:szCs w:val="16"/>
                <w:lang w:eastAsia="en-GB"/>
              </w:rPr>
              <w:t>ioja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694.146.825,60</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718.881.081,34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752.987.876,45</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778.743.677,24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802.444.123,26</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Madrid</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13.264.847.099,88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13.919.599.582,45</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14.744.780.241,34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15.367.122.739,12</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15.955.256.146,65</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Murcia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2.256.035.145,67</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2.341.049.258,40</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2.459.721.765,27</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2.540.234.161,28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2.613.243.997,02</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Navarra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1.546.682.577,42</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1.618.121.775,84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1.704.794.712,91</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1.769.486.640,03</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1.832.642.118,61</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C.</w:t>
            </w:r>
            <w:r>
              <w:rPr>
                <w:sz w:val="18"/>
                <w:szCs w:val="16"/>
                <w:lang w:eastAsia="en-GB"/>
              </w:rPr>
              <w:t xml:space="preserve"> V</w:t>
            </w:r>
            <w:r w:rsidRPr="003E6288">
              <w:rPr>
                <w:sz w:val="18"/>
                <w:szCs w:val="16"/>
                <w:lang w:eastAsia="en-GB"/>
              </w:rPr>
              <w:t>alenciana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9.305.300.202,26</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9.702.569.662,06</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10.184.941.474,99</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10.534.404.042,13</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10.841.656.337,82</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Pa</w:t>
            </w:r>
            <w:r>
              <w:rPr>
                <w:sz w:val="18"/>
                <w:szCs w:val="16"/>
                <w:lang w:eastAsia="en-GB"/>
              </w:rPr>
              <w:t>í</w:t>
            </w:r>
            <w:r w:rsidRPr="003E6288">
              <w:rPr>
                <w:sz w:val="18"/>
                <w:szCs w:val="16"/>
                <w:lang w:eastAsia="en-GB"/>
              </w:rPr>
              <w:t xml:space="preserve">s </w:t>
            </w:r>
            <w:r>
              <w:rPr>
                <w:sz w:val="18"/>
                <w:szCs w:val="16"/>
                <w:lang w:eastAsia="en-GB"/>
              </w:rPr>
              <w:t>V</w:t>
            </w:r>
            <w:r w:rsidRPr="003E6288">
              <w:rPr>
                <w:sz w:val="18"/>
                <w:szCs w:val="16"/>
                <w:lang w:eastAsia="en-GB"/>
              </w:rPr>
              <w:t>asco</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7.001.114.734,33</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7.279.451.717,90</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7.631.633.384,90</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7.887.969.569,68</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8.145.617.845,71</w:t>
            </w:r>
          </w:p>
        </w:tc>
      </w:tr>
      <w:tr w:rsidR="003E6288" w:rsidRPr="003E6288" w:rsidTr="00F36DAB">
        <w:trPr>
          <w:trHeight w:val="240"/>
        </w:trPr>
        <w:tc>
          <w:tcPr>
            <w:tcW w:w="1277" w:type="dxa"/>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Ceuta</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93.251.505,01</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95.998.026,77</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99.621.605,44</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101.919.207,05</w:t>
            </w:r>
          </w:p>
        </w:tc>
        <w:tc>
          <w:tcPr>
            <w:tcW w:w="1672" w:type="dxa"/>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104.726.336,80</w:t>
            </w:r>
          </w:p>
        </w:tc>
      </w:tr>
      <w:tr w:rsidR="003E6288" w:rsidRPr="003E6288" w:rsidTr="00F36DAB">
        <w:trPr>
          <w:trHeight w:val="240"/>
        </w:trPr>
        <w:tc>
          <w:tcPr>
            <w:tcW w:w="1277" w:type="dxa"/>
            <w:tcBorders>
              <w:bottom w:val="single" w:sz="4" w:space="0" w:color="auto"/>
            </w:tcBorders>
            <w:shd w:val="clear" w:color="auto" w:fill="auto"/>
            <w:noWrap/>
            <w:hideMark/>
          </w:tcPr>
          <w:p w:rsidR="00305609" w:rsidRPr="00F36DAB" w:rsidRDefault="003E6288">
            <w:pPr>
              <w:spacing w:before="40" w:after="40" w:line="220" w:lineRule="exact"/>
              <w:rPr>
                <w:sz w:val="18"/>
                <w:szCs w:val="16"/>
                <w:lang w:val="en-GB" w:eastAsia="en-GB"/>
              </w:rPr>
            </w:pPr>
            <w:r w:rsidRPr="003E6288">
              <w:rPr>
                <w:sz w:val="18"/>
                <w:szCs w:val="16"/>
                <w:lang w:eastAsia="en-GB"/>
              </w:rPr>
              <w:t>Melilla</w:t>
            </w:r>
          </w:p>
        </w:tc>
        <w:tc>
          <w:tcPr>
            <w:tcW w:w="1672" w:type="dxa"/>
            <w:tcBorders>
              <w:bottom w:val="single" w:sz="4"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79.227.771,36</w:t>
            </w:r>
          </w:p>
        </w:tc>
        <w:tc>
          <w:tcPr>
            <w:tcW w:w="1672" w:type="dxa"/>
            <w:tcBorders>
              <w:bottom w:val="single" w:sz="4"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81.834.189,99</w:t>
            </w:r>
          </w:p>
        </w:tc>
        <w:tc>
          <w:tcPr>
            <w:tcW w:w="1672" w:type="dxa"/>
            <w:tcBorders>
              <w:bottom w:val="single" w:sz="4"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84.557.329,64</w:t>
            </w:r>
          </w:p>
        </w:tc>
        <w:tc>
          <w:tcPr>
            <w:tcW w:w="1672" w:type="dxa"/>
            <w:tcBorders>
              <w:bottom w:val="single" w:sz="4"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86.774.263,25</w:t>
            </w:r>
          </w:p>
        </w:tc>
        <w:tc>
          <w:tcPr>
            <w:tcW w:w="1672" w:type="dxa"/>
            <w:tcBorders>
              <w:bottom w:val="single" w:sz="4" w:space="0" w:color="auto"/>
            </w:tcBorders>
            <w:shd w:val="clear" w:color="auto" w:fill="auto"/>
            <w:noWrap/>
            <w:vAlign w:val="bottom"/>
            <w:hideMark/>
          </w:tcPr>
          <w:p w:rsidR="00305609" w:rsidRPr="003E6288" w:rsidRDefault="00305609" w:rsidP="00F36DAB">
            <w:pPr>
              <w:spacing w:before="40" w:after="40" w:line="220" w:lineRule="exact"/>
              <w:ind w:left="85" w:right="28"/>
              <w:jc w:val="right"/>
              <w:rPr>
                <w:sz w:val="18"/>
                <w:lang w:val="en-GB" w:eastAsia="en-GB"/>
              </w:rPr>
            </w:pPr>
            <w:r w:rsidRPr="003E6288">
              <w:rPr>
                <w:sz w:val="18"/>
                <w:lang w:eastAsia="en-GB"/>
              </w:rPr>
              <w:t>88.746.858,06</w:t>
            </w:r>
          </w:p>
        </w:tc>
      </w:tr>
      <w:tr w:rsidR="003E6288" w:rsidRPr="003E6288" w:rsidTr="00F36DAB">
        <w:trPr>
          <w:trHeight w:val="240"/>
        </w:trPr>
        <w:tc>
          <w:tcPr>
            <w:tcW w:w="1277" w:type="dxa"/>
            <w:tcBorders>
              <w:top w:val="single" w:sz="4" w:space="0" w:color="auto"/>
              <w:bottom w:val="single" w:sz="12" w:space="0" w:color="auto"/>
            </w:tcBorders>
            <w:shd w:val="clear" w:color="auto" w:fill="auto"/>
            <w:noWrap/>
            <w:hideMark/>
          </w:tcPr>
          <w:p w:rsidR="00305609" w:rsidRPr="00F36DAB" w:rsidRDefault="003E6288" w:rsidP="00F36DAB">
            <w:pPr>
              <w:spacing w:before="80" w:after="80" w:line="220" w:lineRule="exact"/>
              <w:ind w:left="283"/>
              <w:rPr>
                <w:b/>
                <w:sz w:val="18"/>
                <w:szCs w:val="16"/>
                <w:lang w:val="en-GB" w:eastAsia="en-GB"/>
              </w:rPr>
            </w:pPr>
            <w:r w:rsidRPr="00F36DAB">
              <w:rPr>
                <w:b/>
                <w:sz w:val="18"/>
                <w:szCs w:val="16"/>
                <w:lang w:eastAsia="en-GB"/>
              </w:rPr>
              <w:t>Total</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20" w:lineRule="exact"/>
              <w:ind w:left="85" w:right="28"/>
              <w:jc w:val="right"/>
              <w:rPr>
                <w:b/>
                <w:sz w:val="18"/>
                <w:lang w:val="en-GB" w:eastAsia="en-GB"/>
              </w:rPr>
            </w:pPr>
            <w:r w:rsidRPr="003E6288">
              <w:rPr>
                <w:b/>
                <w:sz w:val="18"/>
                <w:lang w:eastAsia="en-GB"/>
              </w:rPr>
              <w:t>99.533.705.385,93</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20" w:lineRule="exact"/>
              <w:ind w:left="85" w:right="28"/>
              <w:jc w:val="right"/>
              <w:rPr>
                <w:b/>
                <w:sz w:val="18"/>
                <w:lang w:val="en-GB" w:eastAsia="en-GB"/>
              </w:rPr>
            </w:pPr>
            <w:r w:rsidRPr="003E6288">
              <w:rPr>
                <w:b/>
                <w:sz w:val="18"/>
                <w:lang w:eastAsia="en-GB"/>
              </w:rPr>
              <w:t>103.503.792.520,41</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20" w:lineRule="exact"/>
              <w:ind w:left="85" w:right="28"/>
              <w:jc w:val="right"/>
              <w:rPr>
                <w:b/>
                <w:sz w:val="18"/>
                <w:lang w:val="en-GB" w:eastAsia="en-GB"/>
              </w:rPr>
            </w:pPr>
            <w:r w:rsidRPr="003E6288">
              <w:rPr>
                <w:b/>
                <w:sz w:val="18"/>
                <w:lang w:eastAsia="en-GB"/>
              </w:rPr>
              <w:t>108.564.304.886,21</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20" w:lineRule="exact"/>
              <w:ind w:left="85" w:right="28"/>
              <w:jc w:val="right"/>
              <w:rPr>
                <w:b/>
                <w:sz w:val="18"/>
                <w:lang w:val="en-GB" w:eastAsia="en-GB"/>
              </w:rPr>
            </w:pPr>
            <w:r w:rsidRPr="003E6288">
              <w:rPr>
                <w:b/>
                <w:sz w:val="18"/>
                <w:lang w:eastAsia="en-GB"/>
              </w:rPr>
              <w:t>112.170.401.916,72</w:t>
            </w:r>
          </w:p>
        </w:tc>
        <w:tc>
          <w:tcPr>
            <w:tcW w:w="1672" w:type="dxa"/>
            <w:tcBorders>
              <w:top w:val="single" w:sz="4" w:space="0" w:color="auto"/>
              <w:bottom w:val="single" w:sz="12" w:space="0" w:color="auto"/>
            </w:tcBorders>
            <w:shd w:val="clear" w:color="auto" w:fill="auto"/>
            <w:noWrap/>
            <w:vAlign w:val="bottom"/>
            <w:hideMark/>
          </w:tcPr>
          <w:p w:rsidR="00305609" w:rsidRPr="003E6288" w:rsidRDefault="00305609" w:rsidP="00F36DAB">
            <w:pPr>
              <w:spacing w:before="80" w:after="80" w:line="220" w:lineRule="exact"/>
              <w:ind w:left="85" w:right="28"/>
              <w:jc w:val="right"/>
              <w:rPr>
                <w:b/>
                <w:sz w:val="18"/>
                <w:lang w:val="en-GB" w:eastAsia="en-GB"/>
              </w:rPr>
            </w:pPr>
            <w:r w:rsidRPr="003E6288">
              <w:rPr>
                <w:b/>
                <w:sz w:val="18"/>
                <w:lang w:eastAsia="en-GB"/>
              </w:rPr>
              <w:t>115.515.502.014,56</w:t>
            </w:r>
          </w:p>
        </w:tc>
      </w:tr>
    </w:tbl>
    <w:p w:rsidR="00305609" w:rsidRPr="00F36DAB" w:rsidRDefault="000515EA" w:rsidP="00F36DAB">
      <w:pPr>
        <w:pStyle w:val="SingleTxtG"/>
        <w:spacing w:before="120" w:after="240"/>
        <w:ind w:left="0" w:right="0" w:firstLine="170"/>
        <w:jc w:val="left"/>
        <w:rPr>
          <w:sz w:val="18"/>
        </w:rPr>
      </w:pPr>
      <w:r w:rsidRPr="00F36DAB">
        <w:rPr>
          <w:i/>
          <w:sz w:val="18"/>
        </w:rPr>
        <w:t>Fuente:</w:t>
      </w:r>
      <w:r w:rsidRPr="00F36DAB">
        <w:rPr>
          <w:sz w:val="18"/>
        </w:rPr>
        <w:t xml:space="preserve"> Cuentas y Balances de la Seguridad Social.</w:t>
      </w:r>
    </w:p>
    <w:p w:rsidR="0003139A" w:rsidRPr="00F36DAB" w:rsidRDefault="00C57180" w:rsidP="00F36DAB">
      <w:pPr>
        <w:pStyle w:val="H23G"/>
        <w:rPr>
          <w:b w:val="0"/>
          <w:sz w:val="18"/>
        </w:rPr>
      </w:pPr>
      <w:r>
        <w:tab/>
      </w:r>
      <w:r>
        <w:tab/>
      </w:r>
      <w:r w:rsidRPr="0003139A">
        <w:t>Pensi</w:t>
      </w:r>
      <w:r>
        <w:t>ó</w:t>
      </w:r>
      <w:r w:rsidRPr="0003139A">
        <w:t xml:space="preserve">n </w:t>
      </w:r>
      <w:r w:rsidR="0003139A" w:rsidRPr="0003139A">
        <w:t>media mensual en vigor por comunidades autónomas en 1 de enero</w:t>
      </w:r>
      <w:r w:rsidR="0003139A">
        <w:br/>
      </w:r>
      <w:r w:rsidR="0003139A" w:rsidRPr="00C3111D">
        <w:rPr>
          <w:b w:val="0"/>
          <w:sz w:val="16"/>
          <w:szCs w:val="24"/>
          <w:lang w:eastAsia="en-GB"/>
        </w:rPr>
        <w:t>(</w:t>
      </w:r>
      <w:r w:rsidRPr="00C3111D">
        <w:rPr>
          <w:b w:val="0"/>
          <w:sz w:val="16"/>
          <w:szCs w:val="24"/>
          <w:lang w:eastAsia="en-GB"/>
        </w:rPr>
        <w:t xml:space="preserve">En </w:t>
      </w:r>
      <w:r w:rsidR="0003139A" w:rsidRPr="00C3111D">
        <w:rPr>
          <w:b w:val="0"/>
          <w:sz w:val="16"/>
          <w:szCs w:val="24"/>
          <w:lang w:eastAsia="en-GB"/>
        </w:rPr>
        <w:t>euros/mes)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119"/>
        <w:gridCol w:w="850"/>
        <w:gridCol w:w="850"/>
        <w:gridCol w:w="850"/>
        <w:gridCol w:w="850"/>
        <w:gridCol w:w="851"/>
      </w:tblGrid>
      <w:tr w:rsidR="00C57180" w:rsidRPr="00C57180" w:rsidTr="00F36DAB">
        <w:trPr>
          <w:trHeight w:val="240"/>
          <w:tblHeader/>
        </w:trPr>
        <w:tc>
          <w:tcPr>
            <w:tcW w:w="3119" w:type="dxa"/>
            <w:tcBorders>
              <w:top w:val="single" w:sz="4" w:space="0" w:color="auto"/>
              <w:bottom w:val="single" w:sz="12" w:space="0" w:color="auto"/>
            </w:tcBorders>
            <w:shd w:val="clear" w:color="auto" w:fill="auto"/>
            <w:noWrap/>
            <w:vAlign w:val="bottom"/>
            <w:hideMark/>
          </w:tcPr>
          <w:p w:rsidR="000515EA" w:rsidRPr="00C57180" w:rsidRDefault="000515EA">
            <w:pPr>
              <w:spacing w:before="80" w:after="80" w:line="200" w:lineRule="exact"/>
              <w:rPr>
                <w:i/>
                <w:sz w:val="16"/>
                <w:szCs w:val="24"/>
                <w:lang w:val="en-GB" w:eastAsia="en-GB"/>
              </w:rPr>
            </w:pPr>
            <w:r w:rsidRPr="00C57180">
              <w:rPr>
                <w:i/>
                <w:sz w:val="16"/>
                <w:szCs w:val="24"/>
                <w:lang w:val="en-GB" w:eastAsia="en-GB"/>
              </w:rPr>
              <w:t xml:space="preserve">CC.AA. </w:t>
            </w:r>
          </w:p>
        </w:tc>
        <w:tc>
          <w:tcPr>
            <w:tcW w:w="850"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00" w:lineRule="exact"/>
              <w:ind w:left="85" w:right="28"/>
              <w:jc w:val="right"/>
              <w:rPr>
                <w:i/>
                <w:sz w:val="16"/>
                <w:szCs w:val="24"/>
                <w:lang w:val="en-GB" w:eastAsia="en-GB"/>
              </w:rPr>
            </w:pPr>
            <w:r w:rsidRPr="00C57180">
              <w:rPr>
                <w:i/>
                <w:sz w:val="16"/>
                <w:szCs w:val="24"/>
                <w:lang w:val="en-GB" w:eastAsia="en-GB"/>
              </w:rPr>
              <w:t>2012</w:t>
            </w:r>
          </w:p>
        </w:tc>
        <w:tc>
          <w:tcPr>
            <w:tcW w:w="850"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00" w:lineRule="exact"/>
              <w:ind w:left="85" w:right="28"/>
              <w:jc w:val="right"/>
              <w:rPr>
                <w:i/>
                <w:sz w:val="16"/>
                <w:szCs w:val="24"/>
                <w:lang w:val="en-GB" w:eastAsia="en-GB"/>
              </w:rPr>
            </w:pPr>
            <w:r w:rsidRPr="00C57180">
              <w:rPr>
                <w:i/>
                <w:sz w:val="16"/>
                <w:szCs w:val="24"/>
                <w:lang w:val="en-GB" w:eastAsia="en-GB"/>
              </w:rPr>
              <w:t>2013</w:t>
            </w:r>
          </w:p>
        </w:tc>
        <w:tc>
          <w:tcPr>
            <w:tcW w:w="850"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00" w:lineRule="exact"/>
              <w:ind w:left="85" w:right="28"/>
              <w:jc w:val="right"/>
              <w:rPr>
                <w:i/>
                <w:sz w:val="16"/>
                <w:szCs w:val="24"/>
                <w:lang w:val="en-GB" w:eastAsia="en-GB"/>
              </w:rPr>
            </w:pPr>
            <w:r w:rsidRPr="00C57180">
              <w:rPr>
                <w:i/>
                <w:sz w:val="16"/>
                <w:szCs w:val="24"/>
                <w:lang w:val="en-GB" w:eastAsia="en-GB"/>
              </w:rPr>
              <w:t>2014</w:t>
            </w:r>
          </w:p>
        </w:tc>
        <w:tc>
          <w:tcPr>
            <w:tcW w:w="850"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00" w:lineRule="exact"/>
              <w:ind w:left="85" w:right="28"/>
              <w:jc w:val="right"/>
              <w:rPr>
                <w:i/>
                <w:sz w:val="16"/>
                <w:szCs w:val="24"/>
                <w:lang w:val="en-GB" w:eastAsia="en-GB"/>
              </w:rPr>
            </w:pPr>
            <w:r w:rsidRPr="00C57180">
              <w:rPr>
                <w:i/>
                <w:sz w:val="16"/>
                <w:szCs w:val="24"/>
                <w:lang w:val="en-GB" w:eastAsia="en-GB"/>
              </w:rPr>
              <w:t>2015</w:t>
            </w:r>
          </w:p>
        </w:tc>
        <w:tc>
          <w:tcPr>
            <w:tcW w:w="851"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00" w:lineRule="exact"/>
              <w:ind w:left="85" w:right="28"/>
              <w:jc w:val="right"/>
              <w:rPr>
                <w:i/>
                <w:sz w:val="16"/>
                <w:szCs w:val="24"/>
                <w:lang w:val="en-GB" w:eastAsia="en-GB"/>
              </w:rPr>
            </w:pPr>
            <w:r w:rsidRPr="00C57180">
              <w:rPr>
                <w:i/>
                <w:sz w:val="16"/>
                <w:szCs w:val="24"/>
                <w:lang w:val="en-GB" w:eastAsia="en-GB"/>
              </w:rPr>
              <w:t>2016</w:t>
            </w:r>
          </w:p>
        </w:tc>
      </w:tr>
      <w:tr w:rsidR="00C57180" w:rsidRPr="00C57180" w:rsidTr="00F36DAB">
        <w:trPr>
          <w:trHeight w:val="240"/>
        </w:trPr>
        <w:tc>
          <w:tcPr>
            <w:tcW w:w="3119" w:type="dxa"/>
            <w:tcBorders>
              <w:top w:val="single" w:sz="12" w:space="0" w:color="auto"/>
            </w:tcBorders>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Andalucia</w:t>
            </w:r>
          </w:p>
        </w:tc>
        <w:tc>
          <w:tcPr>
            <w:tcW w:w="850" w:type="dxa"/>
            <w:tcBorders>
              <w:top w:val="single" w:sz="12"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752,77</w:t>
            </w:r>
          </w:p>
        </w:tc>
        <w:tc>
          <w:tcPr>
            <w:tcW w:w="850" w:type="dxa"/>
            <w:tcBorders>
              <w:top w:val="single" w:sz="12"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774,29</w:t>
            </w:r>
          </w:p>
        </w:tc>
        <w:tc>
          <w:tcPr>
            <w:tcW w:w="850" w:type="dxa"/>
            <w:tcBorders>
              <w:top w:val="single" w:sz="12"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785,26</w:t>
            </w:r>
          </w:p>
        </w:tc>
        <w:tc>
          <w:tcPr>
            <w:tcW w:w="850" w:type="dxa"/>
            <w:tcBorders>
              <w:top w:val="single" w:sz="12"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795,34</w:t>
            </w:r>
          </w:p>
        </w:tc>
        <w:tc>
          <w:tcPr>
            <w:tcW w:w="851" w:type="dxa"/>
            <w:tcBorders>
              <w:top w:val="single" w:sz="12"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807,73</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lastRenderedPageBreak/>
              <w:t>Arag</w:t>
            </w:r>
            <w:r>
              <w:rPr>
                <w:sz w:val="18"/>
                <w:szCs w:val="24"/>
                <w:lang w:val="en-GB" w:eastAsia="en-GB"/>
              </w:rPr>
              <w:t>ó</w:t>
            </w:r>
            <w:r w:rsidRPr="00C57180">
              <w:rPr>
                <w:sz w:val="18"/>
                <w:szCs w:val="24"/>
                <w:lang w:val="en-GB" w:eastAsia="en-GB"/>
              </w:rPr>
              <w:t>n</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855,09</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885,05</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902,98</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919,65</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939,51</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Asturias</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977,50</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1.005,19</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1.021,34</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1.039,22</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1.058,72</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Baleares</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751,19</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777,72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792,96</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808,40</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825,30</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Canarias</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771,72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795,82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807,58</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817,34</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830,47</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Cantabria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855,71</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884,02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901,57</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919,02</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938,32</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Castilla-</w:t>
            </w:r>
            <w:r>
              <w:rPr>
                <w:sz w:val="18"/>
                <w:szCs w:val="24"/>
                <w:lang w:val="en-GB" w:eastAsia="en-GB"/>
              </w:rPr>
              <w:t>M</w:t>
            </w:r>
            <w:r w:rsidRPr="00C57180">
              <w:rPr>
                <w:sz w:val="18"/>
                <w:szCs w:val="24"/>
                <w:lang w:val="en-GB" w:eastAsia="en-GB"/>
              </w:rPr>
              <w:t>ancha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769,08</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794,04</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805,28</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816,15</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829,34</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Castilla-</w:t>
            </w:r>
            <w:r>
              <w:rPr>
                <w:sz w:val="18"/>
                <w:szCs w:val="24"/>
                <w:lang w:val="en-GB" w:eastAsia="en-GB"/>
              </w:rPr>
              <w:t>L</w:t>
            </w:r>
            <w:r w:rsidRPr="00C57180">
              <w:rPr>
                <w:sz w:val="18"/>
                <w:szCs w:val="24"/>
                <w:lang w:val="en-GB" w:eastAsia="en-GB"/>
              </w:rPr>
              <w:t>e</w:t>
            </w:r>
            <w:r>
              <w:rPr>
                <w:sz w:val="18"/>
                <w:szCs w:val="24"/>
                <w:lang w:val="en-GB" w:eastAsia="en-GB"/>
              </w:rPr>
              <w:t>ó</w:t>
            </w:r>
            <w:r w:rsidRPr="00C57180">
              <w:rPr>
                <w:sz w:val="18"/>
                <w:szCs w:val="24"/>
                <w:lang w:val="en-GB" w:eastAsia="en-GB"/>
              </w:rPr>
              <w:t>n</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801,57</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828,63</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845,37</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861,45</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878,93</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Cataluña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849,07</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877,85</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894,18</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910,31</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928,65</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Extremadura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700,83</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720,14</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729,52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737,98</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749,07</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Galicia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690,12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714,06</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728,22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741,49</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756,24</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 xml:space="preserve">La </w:t>
            </w:r>
            <w:r w:rsidR="00C671FF">
              <w:rPr>
                <w:sz w:val="18"/>
                <w:szCs w:val="24"/>
                <w:lang w:val="en-GB" w:eastAsia="en-GB"/>
              </w:rPr>
              <w:t>R</w:t>
            </w:r>
            <w:r w:rsidR="00C671FF" w:rsidRPr="00C57180">
              <w:rPr>
                <w:sz w:val="18"/>
                <w:szCs w:val="24"/>
                <w:lang w:val="en-GB" w:eastAsia="en-GB"/>
              </w:rPr>
              <w:t>ioja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787,02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814,42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832,31</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849,63</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868,06</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Madrid</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973,47</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1.004,62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1.023,77</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1.040,77</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1.060,23</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Murcia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725,65</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749,47</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763,01</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775,02</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788,85</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Navarra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931,71</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964,89</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984,21</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1.003,10</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1.025,71</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C.</w:t>
            </w:r>
            <w:r>
              <w:rPr>
                <w:sz w:val="18"/>
                <w:szCs w:val="24"/>
                <w:lang w:val="en-GB" w:eastAsia="en-GB"/>
              </w:rPr>
              <w:t xml:space="preserve"> V</w:t>
            </w:r>
            <w:r w:rsidRPr="00C57180">
              <w:rPr>
                <w:sz w:val="18"/>
                <w:szCs w:val="24"/>
                <w:lang w:val="en-GB" w:eastAsia="en-GB"/>
              </w:rPr>
              <w:t>alenciana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756,02</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781,30</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796,29</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810,38</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825,82</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Pa</w:t>
            </w:r>
            <w:r>
              <w:rPr>
                <w:sz w:val="18"/>
                <w:szCs w:val="24"/>
                <w:lang w:val="en-GB" w:eastAsia="en-GB"/>
              </w:rPr>
              <w:t>í</w:t>
            </w:r>
            <w:r w:rsidRPr="00C57180">
              <w:rPr>
                <w:sz w:val="18"/>
                <w:szCs w:val="24"/>
                <w:lang w:val="en-GB" w:eastAsia="en-GB"/>
              </w:rPr>
              <w:t xml:space="preserve">s </w:t>
            </w:r>
            <w:r>
              <w:rPr>
                <w:sz w:val="18"/>
                <w:szCs w:val="24"/>
                <w:lang w:val="en-GB" w:eastAsia="en-GB"/>
              </w:rPr>
              <w:t>V</w:t>
            </w:r>
            <w:r w:rsidRPr="00C57180">
              <w:rPr>
                <w:sz w:val="18"/>
                <w:szCs w:val="24"/>
                <w:lang w:val="en-GB" w:eastAsia="en-GB"/>
              </w:rPr>
              <w:t>asco</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1.015,54</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1.048,30</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1.068,10</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1.088,28</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1.110,76</w:t>
            </w:r>
          </w:p>
        </w:tc>
      </w:tr>
      <w:tr w:rsidR="00C57180" w:rsidRPr="00C57180" w:rsidTr="00F36DAB">
        <w:trPr>
          <w:trHeight w:val="240"/>
        </w:trPr>
        <w:tc>
          <w:tcPr>
            <w:tcW w:w="3119" w:type="dxa"/>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Ceuta</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869,37</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886,45</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894,34</w:t>
            </w:r>
          </w:p>
        </w:tc>
        <w:tc>
          <w:tcPr>
            <w:tcW w:w="850"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903,72</w:t>
            </w:r>
          </w:p>
        </w:tc>
        <w:tc>
          <w:tcPr>
            <w:tcW w:w="851" w:type="dxa"/>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917,21</w:t>
            </w:r>
          </w:p>
        </w:tc>
      </w:tr>
      <w:tr w:rsidR="00C57180" w:rsidRPr="00C57180" w:rsidTr="00F36DAB">
        <w:trPr>
          <w:trHeight w:val="240"/>
        </w:trPr>
        <w:tc>
          <w:tcPr>
            <w:tcW w:w="3119" w:type="dxa"/>
            <w:tcBorders>
              <w:bottom w:val="single" w:sz="4" w:space="0" w:color="auto"/>
            </w:tcBorders>
            <w:shd w:val="clear" w:color="auto" w:fill="auto"/>
            <w:noWrap/>
            <w:hideMark/>
          </w:tcPr>
          <w:p w:rsidR="000515EA" w:rsidRPr="00C57180" w:rsidRDefault="00C57180">
            <w:pPr>
              <w:spacing w:before="40" w:after="40" w:line="220" w:lineRule="exact"/>
              <w:rPr>
                <w:sz w:val="18"/>
                <w:szCs w:val="24"/>
                <w:lang w:val="en-GB" w:eastAsia="en-GB"/>
              </w:rPr>
            </w:pPr>
            <w:r w:rsidRPr="00C57180">
              <w:rPr>
                <w:sz w:val="18"/>
                <w:szCs w:val="24"/>
                <w:lang w:val="en-GB" w:eastAsia="en-GB"/>
              </w:rPr>
              <w:t>Melilla</w:t>
            </w:r>
          </w:p>
        </w:tc>
        <w:tc>
          <w:tcPr>
            <w:tcW w:w="850" w:type="dxa"/>
            <w:tcBorders>
              <w:bottom w:val="single" w:sz="4"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799,91</w:t>
            </w:r>
          </w:p>
        </w:tc>
        <w:tc>
          <w:tcPr>
            <w:tcW w:w="850" w:type="dxa"/>
            <w:tcBorders>
              <w:bottom w:val="single" w:sz="4"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816,89</w:t>
            </w:r>
          </w:p>
        </w:tc>
        <w:tc>
          <w:tcPr>
            <w:tcW w:w="850" w:type="dxa"/>
            <w:tcBorders>
              <w:bottom w:val="single" w:sz="4"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825,80</w:t>
            </w:r>
          </w:p>
        </w:tc>
        <w:tc>
          <w:tcPr>
            <w:tcW w:w="850" w:type="dxa"/>
            <w:tcBorders>
              <w:bottom w:val="single" w:sz="4"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830,30</w:t>
            </w:r>
          </w:p>
        </w:tc>
        <w:tc>
          <w:tcPr>
            <w:tcW w:w="851" w:type="dxa"/>
            <w:tcBorders>
              <w:bottom w:val="single" w:sz="4" w:space="0" w:color="auto"/>
            </w:tcBorders>
            <w:shd w:val="clear" w:color="auto" w:fill="auto"/>
            <w:noWrap/>
            <w:vAlign w:val="bottom"/>
            <w:hideMark/>
          </w:tcPr>
          <w:p w:rsidR="000515EA" w:rsidRPr="00C57180" w:rsidRDefault="000515EA" w:rsidP="00F36DAB">
            <w:pPr>
              <w:spacing w:before="40" w:after="40" w:line="220" w:lineRule="exact"/>
              <w:ind w:left="85" w:right="28"/>
              <w:jc w:val="right"/>
              <w:rPr>
                <w:sz w:val="18"/>
                <w:szCs w:val="24"/>
                <w:lang w:val="en-GB" w:eastAsia="en-GB"/>
              </w:rPr>
            </w:pPr>
            <w:r w:rsidRPr="00C57180">
              <w:rPr>
                <w:sz w:val="18"/>
                <w:szCs w:val="24"/>
                <w:lang w:val="en-GB" w:eastAsia="en-GB"/>
              </w:rPr>
              <w:t>844,72</w:t>
            </w:r>
          </w:p>
        </w:tc>
      </w:tr>
      <w:tr w:rsidR="00C57180" w:rsidRPr="00C57180" w:rsidTr="00F36DAB">
        <w:trPr>
          <w:trHeight w:val="240"/>
        </w:trPr>
        <w:tc>
          <w:tcPr>
            <w:tcW w:w="3119" w:type="dxa"/>
            <w:tcBorders>
              <w:top w:val="single" w:sz="4" w:space="0" w:color="auto"/>
              <w:bottom w:val="single" w:sz="12" w:space="0" w:color="auto"/>
            </w:tcBorders>
            <w:shd w:val="clear" w:color="auto" w:fill="auto"/>
            <w:noWrap/>
            <w:hideMark/>
          </w:tcPr>
          <w:p w:rsidR="000515EA" w:rsidRPr="00C57180" w:rsidRDefault="00C57180" w:rsidP="00F36DAB">
            <w:pPr>
              <w:spacing w:before="80" w:after="80" w:line="220" w:lineRule="exact"/>
              <w:ind w:left="283"/>
              <w:rPr>
                <w:b/>
                <w:sz w:val="18"/>
                <w:szCs w:val="24"/>
                <w:lang w:val="en-GB" w:eastAsia="en-GB"/>
              </w:rPr>
            </w:pPr>
            <w:r w:rsidRPr="00C57180">
              <w:rPr>
                <w:b/>
                <w:sz w:val="18"/>
                <w:szCs w:val="24"/>
                <w:lang w:val="en-GB" w:eastAsia="en-GB"/>
              </w:rPr>
              <w:t>Total</w:t>
            </w:r>
          </w:p>
        </w:tc>
        <w:tc>
          <w:tcPr>
            <w:tcW w:w="850"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20" w:lineRule="exact"/>
              <w:ind w:left="85" w:right="28"/>
              <w:jc w:val="right"/>
              <w:rPr>
                <w:b/>
                <w:sz w:val="18"/>
                <w:szCs w:val="24"/>
                <w:lang w:val="en-GB" w:eastAsia="en-GB"/>
              </w:rPr>
            </w:pPr>
            <w:r w:rsidRPr="00C57180">
              <w:rPr>
                <w:b/>
                <w:sz w:val="18"/>
                <w:szCs w:val="24"/>
                <w:lang w:val="en-GB" w:eastAsia="en-GB"/>
              </w:rPr>
              <w:t>822,82</w:t>
            </w:r>
          </w:p>
        </w:tc>
        <w:tc>
          <w:tcPr>
            <w:tcW w:w="850"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20" w:lineRule="exact"/>
              <w:ind w:left="85" w:right="28"/>
              <w:jc w:val="right"/>
              <w:rPr>
                <w:b/>
                <w:sz w:val="18"/>
                <w:szCs w:val="24"/>
                <w:lang w:val="en-GB" w:eastAsia="en-GB"/>
              </w:rPr>
            </w:pPr>
            <w:r w:rsidRPr="00C57180">
              <w:rPr>
                <w:b/>
                <w:sz w:val="18"/>
                <w:szCs w:val="24"/>
                <w:lang w:val="en-GB" w:eastAsia="en-GB"/>
              </w:rPr>
              <w:t>849,60</w:t>
            </w:r>
          </w:p>
        </w:tc>
        <w:tc>
          <w:tcPr>
            <w:tcW w:w="850"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20" w:lineRule="exact"/>
              <w:ind w:left="85" w:right="28"/>
              <w:jc w:val="right"/>
              <w:rPr>
                <w:b/>
                <w:sz w:val="18"/>
                <w:szCs w:val="24"/>
                <w:lang w:val="en-GB" w:eastAsia="en-GB"/>
              </w:rPr>
            </w:pPr>
            <w:r w:rsidRPr="00C57180">
              <w:rPr>
                <w:b/>
                <w:sz w:val="18"/>
                <w:szCs w:val="24"/>
                <w:lang w:val="en-GB" w:eastAsia="en-GB"/>
              </w:rPr>
              <w:t>864,92</w:t>
            </w:r>
          </w:p>
        </w:tc>
        <w:tc>
          <w:tcPr>
            <w:tcW w:w="850"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20" w:lineRule="exact"/>
              <w:ind w:left="85" w:right="28"/>
              <w:jc w:val="right"/>
              <w:rPr>
                <w:b/>
                <w:sz w:val="18"/>
                <w:szCs w:val="24"/>
                <w:lang w:val="en-GB" w:eastAsia="en-GB"/>
              </w:rPr>
            </w:pPr>
            <w:r w:rsidRPr="00C57180">
              <w:rPr>
                <w:b/>
                <w:sz w:val="18"/>
                <w:szCs w:val="24"/>
                <w:lang w:val="en-GB" w:eastAsia="en-GB"/>
              </w:rPr>
              <w:t>879,52</w:t>
            </w:r>
          </w:p>
        </w:tc>
        <w:tc>
          <w:tcPr>
            <w:tcW w:w="851" w:type="dxa"/>
            <w:tcBorders>
              <w:top w:val="single" w:sz="4" w:space="0" w:color="auto"/>
              <w:bottom w:val="single" w:sz="12" w:space="0" w:color="auto"/>
            </w:tcBorders>
            <w:shd w:val="clear" w:color="auto" w:fill="auto"/>
            <w:noWrap/>
            <w:vAlign w:val="bottom"/>
            <w:hideMark/>
          </w:tcPr>
          <w:p w:rsidR="000515EA" w:rsidRPr="00C57180" w:rsidRDefault="000515EA" w:rsidP="00F36DAB">
            <w:pPr>
              <w:spacing w:before="80" w:after="80" w:line="220" w:lineRule="exact"/>
              <w:ind w:left="85" w:right="28"/>
              <w:jc w:val="right"/>
              <w:rPr>
                <w:b/>
                <w:sz w:val="18"/>
                <w:szCs w:val="24"/>
                <w:lang w:val="en-GB" w:eastAsia="en-GB"/>
              </w:rPr>
            </w:pPr>
            <w:r w:rsidRPr="00C57180">
              <w:rPr>
                <w:b/>
                <w:sz w:val="18"/>
                <w:szCs w:val="24"/>
                <w:lang w:val="en-GB" w:eastAsia="en-GB"/>
              </w:rPr>
              <w:t>896,30</w:t>
            </w:r>
          </w:p>
        </w:tc>
      </w:tr>
    </w:tbl>
    <w:p w:rsidR="00DD4D8D" w:rsidRPr="00F36DAB" w:rsidRDefault="00B1211C" w:rsidP="00F36DAB">
      <w:pPr>
        <w:pStyle w:val="SingleTxtG"/>
        <w:spacing w:before="120" w:after="240"/>
        <w:ind w:firstLine="170"/>
        <w:jc w:val="left"/>
        <w:rPr>
          <w:sz w:val="18"/>
          <w:lang w:eastAsia="en-GB"/>
        </w:rPr>
      </w:pPr>
      <w:r w:rsidRPr="00F36DAB">
        <w:rPr>
          <w:i/>
          <w:sz w:val="18"/>
          <w:lang w:eastAsia="en-GB"/>
        </w:rPr>
        <w:t>Fuente:</w:t>
      </w:r>
      <w:r w:rsidRPr="00F36DAB">
        <w:rPr>
          <w:sz w:val="18"/>
          <w:lang w:eastAsia="en-GB"/>
        </w:rPr>
        <w:t xml:space="preserve"> Cuentas y Balances de la Seguridad Social.</w:t>
      </w:r>
    </w:p>
    <w:p w:rsidR="00656DF7" w:rsidRDefault="00656DF7" w:rsidP="00B1211C">
      <w:pPr>
        <w:pStyle w:val="SingleTxtG"/>
        <w:rPr>
          <w:sz w:val="18"/>
          <w:szCs w:val="18"/>
          <w:lang w:eastAsia="en-GB"/>
        </w:rPr>
      </w:pPr>
    </w:p>
    <w:p w:rsidR="003B0CA1" w:rsidRDefault="003B0CA1" w:rsidP="00B1211C">
      <w:pPr>
        <w:pStyle w:val="SingleTxtG"/>
        <w:rPr>
          <w:sz w:val="18"/>
          <w:szCs w:val="18"/>
          <w:lang w:eastAsia="en-GB"/>
        </w:rPr>
        <w:sectPr w:rsidR="003B0CA1" w:rsidSect="003E236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rsidR="00656DF7" w:rsidRPr="00F36DAB" w:rsidRDefault="005063E1" w:rsidP="00F36DAB">
      <w:pPr>
        <w:pStyle w:val="H23G"/>
        <w:tabs>
          <w:tab w:val="clear" w:pos="851"/>
        </w:tabs>
        <w:ind w:left="196" w:firstLine="0"/>
        <w:rPr>
          <w:sz w:val="16"/>
        </w:rPr>
      </w:pPr>
      <w:r w:rsidRPr="005063E1">
        <w:lastRenderedPageBreak/>
        <w:t>Pensiones en vigor por clases a 1 de diciembre de 2016</w:t>
      </w:r>
      <w:r>
        <w:br/>
      </w:r>
      <w:r w:rsidR="00C57180" w:rsidRPr="00F36DAB">
        <w:rPr>
          <w:b w:val="0"/>
          <w:sz w:val="16"/>
        </w:rPr>
        <w:t>(</w:t>
      </w:r>
      <w:r w:rsidRPr="00F36DAB">
        <w:rPr>
          <w:b w:val="0"/>
          <w:sz w:val="16"/>
        </w:rPr>
        <w:t>Total sistema</w:t>
      </w:r>
      <w:r w:rsidR="00C57180" w:rsidRPr="00F36DAB">
        <w:rPr>
          <w:b w:val="0"/>
          <w:sz w:val="16"/>
        </w:rPr>
        <w:t>)</w:t>
      </w:r>
    </w:p>
    <w:tbl>
      <w:tblPr>
        <w:tblW w:w="13891" w:type="dxa"/>
        <w:jc w:val="center"/>
        <w:tblBorders>
          <w:top w:val="single" w:sz="4" w:space="0" w:color="auto"/>
        </w:tblBorders>
        <w:tblLayout w:type="fixed"/>
        <w:tblCellMar>
          <w:left w:w="0" w:type="dxa"/>
          <w:right w:w="0" w:type="dxa"/>
        </w:tblCellMar>
        <w:tblLook w:val="04A0" w:firstRow="1" w:lastRow="0" w:firstColumn="1" w:lastColumn="0" w:noHBand="0" w:noVBand="1"/>
      </w:tblPr>
      <w:tblGrid>
        <w:gridCol w:w="1609"/>
        <w:gridCol w:w="1023"/>
        <w:gridCol w:w="1024"/>
        <w:gridCol w:w="1023"/>
        <w:gridCol w:w="1024"/>
        <w:gridCol w:w="1023"/>
        <w:gridCol w:w="1024"/>
        <w:gridCol w:w="1023"/>
        <w:gridCol w:w="1024"/>
        <w:gridCol w:w="1023"/>
        <w:gridCol w:w="1024"/>
        <w:gridCol w:w="1023"/>
        <w:gridCol w:w="1024"/>
      </w:tblGrid>
      <w:tr w:rsidR="0051540E" w:rsidRPr="0051540E" w:rsidTr="00F36DAB">
        <w:trPr>
          <w:trHeight w:val="240"/>
          <w:tblHeader/>
          <w:jc w:val="center"/>
        </w:trPr>
        <w:tc>
          <w:tcPr>
            <w:tcW w:w="1609" w:type="dxa"/>
            <w:vMerge w:val="restart"/>
            <w:tcBorders>
              <w:top w:val="single" w:sz="4" w:space="0" w:color="auto"/>
              <w:bottom w:val="single" w:sz="12" w:space="0" w:color="auto"/>
            </w:tcBorders>
            <w:shd w:val="clear" w:color="auto" w:fill="auto"/>
            <w:vAlign w:val="bottom"/>
            <w:hideMark/>
          </w:tcPr>
          <w:p w:rsidR="00C57180" w:rsidRPr="0051540E" w:rsidRDefault="0051540E">
            <w:pPr>
              <w:spacing w:before="80" w:after="80" w:line="200" w:lineRule="exact"/>
              <w:rPr>
                <w:i/>
                <w:sz w:val="16"/>
              </w:rPr>
            </w:pPr>
            <w:r w:rsidRPr="0051540E">
              <w:rPr>
                <w:i/>
                <w:sz w:val="16"/>
              </w:rPr>
              <w:t>Comunidad autónoma</w:t>
            </w:r>
          </w:p>
        </w:tc>
        <w:tc>
          <w:tcPr>
            <w:tcW w:w="2047" w:type="dxa"/>
            <w:gridSpan w:val="2"/>
            <w:tcBorders>
              <w:top w:val="single" w:sz="4" w:space="0" w:color="auto"/>
              <w:bottom w:val="single" w:sz="4" w:space="0" w:color="auto"/>
              <w:right w:val="single" w:sz="24" w:space="0" w:color="FFFFFF"/>
            </w:tcBorders>
            <w:shd w:val="clear" w:color="auto" w:fill="auto"/>
            <w:vAlign w:val="bottom"/>
            <w:hideMark/>
          </w:tcPr>
          <w:p w:rsidR="00C57180" w:rsidRPr="0051540E" w:rsidRDefault="0051540E" w:rsidP="00F36DAB">
            <w:pPr>
              <w:spacing w:before="80" w:after="80" w:line="200" w:lineRule="exact"/>
              <w:ind w:left="113"/>
              <w:jc w:val="center"/>
              <w:rPr>
                <w:i/>
                <w:sz w:val="16"/>
              </w:rPr>
            </w:pPr>
            <w:r w:rsidRPr="0051540E">
              <w:rPr>
                <w:i/>
                <w:sz w:val="16"/>
              </w:rPr>
              <w:t>Incapacidad permanente</w:t>
            </w:r>
          </w:p>
        </w:tc>
        <w:tc>
          <w:tcPr>
            <w:tcW w:w="2047" w:type="dxa"/>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rsidR="00C57180" w:rsidRPr="0051540E" w:rsidRDefault="0051540E" w:rsidP="00F36DAB">
            <w:pPr>
              <w:spacing w:before="80" w:after="80" w:line="200" w:lineRule="exact"/>
              <w:ind w:left="113"/>
              <w:jc w:val="center"/>
              <w:rPr>
                <w:i/>
                <w:sz w:val="16"/>
              </w:rPr>
            </w:pPr>
            <w:r w:rsidRPr="0051540E">
              <w:rPr>
                <w:i/>
                <w:sz w:val="16"/>
              </w:rPr>
              <w:t>Jubilación</w:t>
            </w:r>
          </w:p>
        </w:tc>
        <w:tc>
          <w:tcPr>
            <w:tcW w:w="2047" w:type="dxa"/>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rsidR="00C57180" w:rsidRPr="0051540E" w:rsidRDefault="0051540E" w:rsidP="00F36DAB">
            <w:pPr>
              <w:spacing w:before="80" w:after="80" w:line="200" w:lineRule="exact"/>
              <w:ind w:left="113"/>
              <w:jc w:val="center"/>
              <w:rPr>
                <w:i/>
                <w:sz w:val="16"/>
              </w:rPr>
            </w:pPr>
            <w:r w:rsidRPr="0051540E">
              <w:rPr>
                <w:i/>
                <w:sz w:val="16"/>
              </w:rPr>
              <w:t>Viudedad</w:t>
            </w:r>
          </w:p>
        </w:tc>
        <w:tc>
          <w:tcPr>
            <w:tcW w:w="2047" w:type="dxa"/>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rsidR="00C57180" w:rsidRPr="0051540E" w:rsidRDefault="0051540E" w:rsidP="00F36DAB">
            <w:pPr>
              <w:spacing w:before="80" w:after="80" w:line="200" w:lineRule="exact"/>
              <w:ind w:left="113"/>
              <w:jc w:val="center"/>
              <w:rPr>
                <w:i/>
                <w:sz w:val="16"/>
              </w:rPr>
            </w:pPr>
            <w:r w:rsidRPr="0051540E">
              <w:rPr>
                <w:i/>
                <w:sz w:val="16"/>
              </w:rPr>
              <w:t>Orfandad</w:t>
            </w:r>
          </w:p>
        </w:tc>
        <w:tc>
          <w:tcPr>
            <w:tcW w:w="2047" w:type="dxa"/>
            <w:gridSpan w:val="2"/>
            <w:tcBorders>
              <w:top w:val="single" w:sz="4" w:space="0" w:color="auto"/>
              <w:left w:val="single" w:sz="24" w:space="0" w:color="FFFFFF"/>
              <w:bottom w:val="single" w:sz="4" w:space="0" w:color="auto"/>
              <w:right w:val="single" w:sz="24" w:space="0" w:color="FFFFFF"/>
            </w:tcBorders>
            <w:shd w:val="clear" w:color="auto" w:fill="auto"/>
            <w:vAlign w:val="bottom"/>
            <w:hideMark/>
          </w:tcPr>
          <w:p w:rsidR="00C57180" w:rsidRPr="0051540E" w:rsidRDefault="0051540E" w:rsidP="00F36DAB">
            <w:pPr>
              <w:spacing w:before="80" w:after="80" w:line="200" w:lineRule="exact"/>
              <w:ind w:left="113"/>
              <w:jc w:val="center"/>
              <w:rPr>
                <w:i/>
                <w:sz w:val="16"/>
              </w:rPr>
            </w:pPr>
            <w:r w:rsidRPr="0051540E">
              <w:rPr>
                <w:i/>
                <w:sz w:val="16"/>
              </w:rPr>
              <w:t>Favor de familiares</w:t>
            </w:r>
          </w:p>
        </w:tc>
        <w:tc>
          <w:tcPr>
            <w:tcW w:w="2047" w:type="dxa"/>
            <w:gridSpan w:val="2"/>
            <w:tcBorders>
              <w:top w:val="single" w:sz="4" w:space="0" w:color="auto"/>
              <w:left w:val="single" w:sz="24" w:space="0" w:color="FFFFFF"/>
              <w:bottom w:val="single" w:sz="4" w:space="0" w:color="auto"/>
            </w:tcBorders>
            <w:shd w:val="clear" w:color="auto" w:fill="auto"/>
            <w:vAlign w:val="bottom"/>
            <w:hideMark/>
          </w:tcPr>
          <w:p w:rsidR="00C57180" w:rsidRPr="0051540E" w:rsidRDefault="0051540E" w:rsidP="00F36DAB">
            <w:pPr>
              <w:spacing w:before="80" w:after="80" w:line="200" w:lineRule="exact"/>
              <w:ind w:left="113"/>
              <w:jc w:val="center"/>
              <w:rPr>
                <w:i/>
                <w:sz w:val="16"/>
              </w:rPr>
            </w:pPr>
            <w:r w:rsidRPr="0051540E">
              <w:rPr>
                <w:i/>
                <w:sz w:val="16"/>
              </w:rPr>
              <w:t>Total pensiones</w:t>
            </w:r>
          </w:p>
        </w:tc>
      </w:tr>
      <w:tr w:rsidR="000E06B7" w:rsidRPr="0051540E" w:rsidTr="000E06B7">
        <w:trPr>
          <w:trHeight w:val="240"/>
          <w:tblHeader/>
          <w:jc w:val="center"/>
        </w:trPr>
        <w:tc>
          <w:tcPr>
            <w:tcW w:w="1609" w:type="dxa"/>
            <w:vMerge/>
            <w:tcBorders>
              <w:top w:val="single" w:sz="12" w:space="0" w:color="auto"/>
              <w:bottom w:val="single" w:sz="12" w:space="0" w:color="auto"/>
            </w:tcBorders>
            <w:shd w:val="clear" w:color="auto" w:fill="auto"/>
            <w:vAlign w:val="bottom"/>
            <w:hideMark/>
          </w:tcPr>
          <w:p w:rsidR="00C57180" w:rsidRPr="0051540E" w:rsidRDefault="00C57180">
            <w:pPr>
              <w:spacing w:before="40" w:after="40" w:line="220" w:lineRule="exact"/>
              <w:rPr>
                <w:sz w:val="18"/>
              </w:rPr>
            </w:pPr>
          </w:p>
        </w:tc>
        <w:tc>
          <w:tcPr>
            <w:tcW w:w="1023" w:type="dxa"/>
            <w:tcBorders>
              <w:top w:val="single" w:sz="4" w:space="0" w:color="auto"/>
              <w:bottom w:val="single" w:sz="12" w:space="0" w:color="auto"/>
            </w:tcBorders>
            <w:shd w:val="clear" w:color="auto" w:fill="auto"/>
            <w:noWrap/>
            <w:vAlign w:val="bottom"/>
            <w:hideMark/>
          </w:tcPr>
          <w:p w:rsidR="00C57180" w:rsidRPr="00F36DAB" w:rsidRDefault="00C57180" w:rsidP="00F36DAB">
            <w:pPr>
              <w:spacing w:before="80" w:after="80" w:line="200" w:lineRule="exact"/>
              <w:ind w:left="85" w:right="28"/>
              <w:jc w:val="right"/>
              <w:rPr>
                <w:i/>
                <w:sz w:val="16"/>
              </w:rPr>
            </w:pPr>
            <w:r w:rsidRPr="00F36DAB">
              <w:rPr>
                <w:i/>
                <w:sz w:val="16"/>
              </w:rPr>
              <w:t>Número</w:t>
            </w:r>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C57180" w:rsidRPr="00F36DAB" w:rsidRDefault="00C57180" w:rsidP="00F36DAB">
            <w:pPr>
              <w:spacing w:before="80" w:after="80" w:line="200" w:lineRule="exact"/>
              <w:ind w:left="113"/>
              <w:jc w:val="right"/>
              <w:rPr>
                <w:i/>
                <w:sz w:val="16"/>
              </w:rPr>
            </w:pPr>
            <w:r w:rsidRPr="00F36DAB">
              <w:rPr>
                <w:i/>
                <w:sz w:val="16"/>
              </w:rPr>
              <w:t>P.</w:t>
            </w:r>
            <w:r w:rsidR="0051540E">
              <w:rPr>
                <w:i/>
                <w:sz w:val="16"/>
              </w:rPr>
              <w:t xml:space="preserve"> </w:t>
            </w:r>
            <w:r w:rsidRPr="00F36DAB">
              <w:rPr>
                <w:i/>
                <w:sz w:val="16"/>
              </w:rPr>
              <w:t>media</w:t>
            </w:r>
          </w:p>
        </w:tc>
        <w:tc>
          <w:tcPr>
            <w:tcW w:w="1023" w:type="dxa"/>
            <w:tcBorders>
              <w:top w:val="single" w:sz="4" w:space="0" w:color="auto"/>
              <w:left w:val="single" w:sz="24" w:space="0" w:color="FFFFFF"/>
              <w:bottom w:val="single" w:sz="12" w:space="0" w:color="auto"/>
            </w:tcBorders>
            <w:shd w:val="clear" w:color="auto" w:fill="auto"/>
            <w:noWrap/>
            <w:vAlign w:val="bottom"/>
            <w:hideMark/>
          </w:tcPr>
          <w:p w:rsidR="00C57180" w:rsidRPr="00F36DAB" w:rsidRDefault="00C57180" w:rsidP="00F36DAB">
            <w:pPr>
              <w:spacing w:before="80" w:after="80" w:line="200" w:lineRule="exact"/>
              <w:ind w:left="85" w:right="28"/>
              <w:jc w:val="right"/>
              <w:rPr>
                <w:i/>
                <w:sz w:val="16"/>
              </w:rPr>
            </w:pPr>
            <w:r w:rsidRPr="00F36DAB">
              <w:rPr>
                <w:i/>
                <w:sz w:val="16"/>
              </w:rPr>
              <w:t>Número</w:t>
            </w:r>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C57180" w:rsidRPr="00F36DAB" w:rsidRDefault="00C57180" w:rsidP="00F36DAB">
            <w:pPr>
              <w:spacing w:before="80" w:after="80" w:line="200" w:lineRule="exact"/>
              <w:ind w:left="113"/>
              <w:jc w:val="right"/>
              <w:rPr>
                <w:i/>
                <w:sz w:val="16"/>
              </w:rPr>
            </w:pPr>
            <w:r w:rsidRPr="00F36DAB">
              <w:rPr>
                <w:i/>
                <w:sz w:val="16"/>
              </w:rPr>
              <w:t>P.</w:t>
            </w:r>
            <w:r w:rsidR="0051540E">
              <w:rPr>
                <w:i/>
                <w:sz w:val="16"/>
              </w:rPr>
              <w:t xml:space="preserve"> </w:t>
            </w:r>
            <w:r w:rsidRPr="00F36DAB">
              <w:rPr>
                <w:i/>
                <w:sz w:val="16"/>
              </w:rPr>
              <w:t>media</w:t>
            </w:r>
          </w:p>
        </w:tc>
        <w:tc>
          <w:tcPr>
            <w:tcW w:w="1023" w:type="dxa"/>
            <w:tcBorders>
              <w:top w:val="single" w:sz="4" w:space="0" w:color="auto"/>
              <w:left w:val="single" w:sz="24" w:space="0" w:color="FFFFFF"/>
              <w:bottom w:val="single" w:sz="12" w:space="0" w:color="auto"/>
            </w:tcBorders>
            <w:shd w:val="clear" w:color="auto" w:fill="auto"/>
            <w:noWrap/>
            <w:vAlign w:val="bottom"/>
            <w:hideMark/>
          </w:tcPr>
          <w:p w:rsidR="00C57180" w:rsidRPr="00F36DAB" w:rsidRDefault="00C57180" w:rsidP="00F36DAB">
            <w:pPr>
              <w:spacing w:before="80" w:after="80" w:line="200" w:lineRule="exact"/>
              <w:ind w:left="85" w:right="28"/>
              <w:jc w:val="right"/>
              <w:rPr>
                <w:i/>
                <w:sz w:val="16"/>
              </w:rPr>
            </w:pPr>
            <w:r w:rsidRPr="00F36DAB">
              <w:rPr>
                <w:i/>
                <w:sz w:val="16"/>
              </w:rPr>
              <w:t>Número</w:t>
            </w:r>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C57180" w:rsidRPr="00F36DAB" w:rsidRDefault="00C57180" w:rsidP="00F36DAB">
            <w:pPr>
              <w:spacing w:before="80" w:after="80" w:line="200" w:lineRule="exact"/>
              <w:ind w:left="113"/>
              <w:jc w:val="right"/>
              <w:rPr>
                <w:i/>
                <w:sz w:val="16"/>
              </w:rPr>
            </w:pPr>
            <w:r w:rsidRPr="00F36DAB">
              <w:rPr>
                <w:i/>
                <w:sz w:val="16"/>
              </w:rPr>
              <w:t>P.</w:t>
            </w:r>
            <w:r w:rsidR="0051540E">
              <w:rPr>
                <w:i/>
                <w:sz w:val="16"/>
              </w:rPr>
              <w:t xml:space="preserve"> </w:t>
            </w:r>
            <w:r w:rsidRPr="00F36DAB">
              <w:rPr>
                <w:i/>
                <w:sz w:val="16"/>
              </w:rPr>
              <w:t>media</w:t>
            </w:r>
          </w:p>
        </w:tc>
        <w:tc>
          <w:tcPr>
            <w:tcW w:w="1023" w:type="dxa"/>
            <w:tcBorders>
              <w:top w:val="single" w:sz="4" w:space="0" w:color="auto"/>
              <w:left w:val="single" w:sz="24" w:space="0" w:color="FFFFFF"/>
              <w:bottom w:val="single" w:sz="12" w:space="0" w:color="auto"/>
            </w:tcBorders>
            <w:shd w:val="clear" w:color="auto" w:fill="auto"/>
            <w:noWrap/>
            <w:vAlign w:val="bottom"/>
            <w:hideMark/>
          </w:tcPr>
          <w:p w:rsidR="00C57180" w:rsidRPr="00F36DAB" w:rsidRDefault="00C57180" w:rsidP="00F36DAB">
            <w:pPr>
              <w:spacing w:before="80" w:after="80" w:line="200" w:lineRule="exact"/>
              <w:ind w:left="85" w:right="28"/>
              <w:jc w:val="right"/>
              <w:rPr>
                <w:i/>
                <w:sz w:val="16"/>
              </w:rPr>
            </w:pPr>
            <w:r w:rsidRPr="00F36DAB">
              <w:rPr>
                <w:i/>
                <w:sz w:val="16"/>
              </w:rPr>
              <w:t>Número</w:t>
            </w:r>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C57180" w:rsidRPr="00F36DAB" w:rsidRDefault="00C57180" w:rsidP="00F36DAB">
            <w:pPr>
              <w:spacing w:before="80" w:after="80" w:line="200" w:lineRule="exact"/>
              <w:ind w:left="113"/>
              <w:jc w:val="right"/>
              <w:rPr>
                <w:i/>
                <w:sz w:val="16"/>
              </w:rPr>
            </w:pPr>
            <w:r w:rsidRPr="00F36DAB">
              <w:rPr>
                <w:i/>
                <w:sz w:val="16"/>
              </w:rPr>
              <w:t>P.</w:t>
            </w:r>
            <w:r w:rsidR="0051540E">
              <w:rPr>
                <w:i/>
                <w:sz w:val="16"/>
              </w:rPr>
              <w:t xml:space="preserve"> </w:t>
            </w:r>
            <w:r w:rsidRPr="00F36DAB">
              <w:rPr>
                <w:i/>
                <w:sz w:val="16"/>
              </w:rPr>
              <w:t>media</w:t>
            </w:r>
          </w:p>
        </w:tc>
        <w:tc>
          <w:tcPr>
            <w:tcW w:w="1023" w:type="dxa"/>
            <w:tcBorders>
              <w:top w:val="single" w:sz="4" w:space="0" w:color="auto"/>
              <w:left w:val="single" w:sz="24" w:space="0" w:color="FFFFFF"/>
              <w:bottom w:val="single" w:sz="12" w:space="0" w:color="auto"/>
            </w:tcBorders>
            <w:shd w:val="clear" w:color="auto" w:fill="auto"/>
            <w:noWrap/>
            <w:vAlign w:val="bottom"/>
            <w:hideMark/>
          </w:tcPr>
          <w:p w:rsidR="00C57180" w:rsidRPr="00F36DAB" w:rsidRDefault="00C57180" w:rsidP="00F36DAB">
            <w:pPr>
              <w:spacing w:before="80" w:after="80" w:line="200" w:lineRule="exact"/>
              <w:ind w:left="85" w:right="28"/>
              <w:jc w:val="right"/>
              <w:rPr>
                <w:i/>
                <w:sz w:val="16"/>
              </w:rPr>
            </w:pPr>
            <w:r w:rsidRPr="00F36DAB">
              <w:rPr>
                <w:i/>
                <w:sz w:val="16"/>
              </w:rPr>
              <w:t>Número</w:t>
            </w:r>
          </w:p>
        </w:tc>
        <w:tc>
          <w:tcPr>
            <w:tcW w:w="1024" w:type="dxa"/>
            <w:tcBorders>
              <w:top w:val="single" w:sz="4" w:space="0" w:color="auto"/>
              <w:bottom w:val="single" w:sz="12" w:space="0" w:color="auto"/>
              <w:right w:val="single" w:sz="24" w:space="0" w:color="FFFFFF"/>
            </w:tcBorders>
            <w:shd w:val="clear" w:color="auto" w:fill="auto"/>
            <w:noWrap/>
            <w:vAlign w:val="bottom"/>
            <w:hideMark/>
          </w:tcPr>
          <w:p w:rsidR="00C57180" w:rsidRPr="00F36DAB" w:rsidRDefault="00C57180" w:rsidP="00F36DAB">
            <w:pPr>
              <w:spacing w:before="80" w:after="80" w:line="200" w:lineRule="exact"/>
              <w:ind w:left="113"/>
              <w:jc w:val="right"/>
              <w:rPr>
                <w:i/>
                <w:sz w:val="16"/>
              </w:rPr>
            </w:pPr>
            <w:r w:rsidRPr="00F36DAB">
              <w:rPr>
                <w:i/>
                <w:sz w:val="16"/>
              </w:rPr>
              <w:t>P.</w:t>
            </w:r>
            <w:r w:rsidR="0051540E">
              <w:rPr>
                <w:i/>
                <w:sz w:val="16"/>
              </w:rPr>
              <w:t xml:space="preserve"> </w:t>
            </w:r>
            <w:r w:rsidRPr="00F36DAB">
              <w:rPr>
                <w:i/>
                <w:sz w:val="16"/>
              </w:rPr>
              <w:t>media</w:t>
            </w:r>
          </w:p>
        </w:tc>
        <w:tc>
          <w:tcPr>
            <w:tcW w:w="1023" w:type="dxa"/>
            <w:tcBorders>
              <w:top w:val="single" w:sz="4" w:space="0" w:color="auto"/>
              <w:left w:val="single" w:sz="24" w:space="0" w:color="FFFFFF"/>
              <w:bottom w:val="single" w:sz="12" w:space="0" w:color="auto"/>
            </w:tcBorders>
            <w:shd w:val="clear" w:color="auto" w:fill="auto"/>
            <w:noWrap/>
            <w:vAlign w:val="bottom"/>
            <w:hideMark/>
          </w:tcPr>
          <w:p w:rsidR="00C57180" w:rsidRPr="00F36DAB" w:rsidRDefault="00C57180" w:rsidP="00F36DAB">
            <w:pPr>
              <w:spacing w:before="80" w:after="80" w:line="200" w:lineRule="exact"/>
              <w:ind w:left="85" w:right="28"/>
              <w:jc w:val="right"/>
              <w:rPr>
                <w:i/>
                <w:sz w:val="16"/>
              </w:rPr>
            </w:pPr>
            <w:r w:rsidRPr="00F36DAB">
              <w:rPr>
                <w:i/>
                <w:sz w:val="16"/>
              </w:rPr>
              <w:t>Número</w:t>
            </w:r>
          </w:p>
        </w:tc>
        <w:tc>
          <w:tcPr>
            <w:tcW w:w="1024" w:type="dxa"/>
            <w:tcBorders>
              <w:top w:val="single" w:sz="4" w:space="0" w:color="auto"/>
              <w:bottom w:val="single" w:sz="12" w:space="0" w:color="auto"/>
            </w:tcBorders>
            <w:shd w:val="clear" w:color="auto" w:fill="auto"/>
            <w:noWrap/>
            <w:vAlign w:val="bottom"/>
            <w:hideMark/>
          </w:tcPr>
          <w:p w:rsidR="00C57180" w:rsidRPr="00F36DAB" w:rsidRDefault="00C57180" w:rsidP="00F36DAB">
            <w:pPr>
              <w:spacing w:before="80" w:after="80" w:line="200" w:lineRule="exact"/>
              <w:ind w:left="85" w:right="28"/>
              <w:jc w:val="right"/>
              <w:rPr>
                <w:i/>
                <w:sz w:val="16"/>
              </w:rPr>
            </w:pPr>
            <w:r w:rsidRPr="00F36DAB">
              <w:rPr>
                <w:i/>
                <w:sz w:val="16"/>
              </w:rPr>
              <w:t>P.</w:t>
            </w:r>
            <w:r w:rsidR="0051540E">
              <w:rPr>
                <w:i/>
                <w:sz w:val="16"/>
              </w:rPr>
              <w:t xml:space="preserve"> </w:t>
            </w:r>
            <w:r w:rsidRPr="00F36DAB">
              <w:rPr>
                <w:i/>
                <w:sz w:val="16"/>
              </w:rPr>
              <w:t>media</w:t>
            </w:r>
          </w:p>
        </w:tc>
      </w:tr>
      <w:tr w:rsidR="0051540E" w:rsidRPr="0051540E" w:rsidTr="00F36DAB">
        <w:trPr>
          <w:trHeight w:val="240"/>
          <w:jc w:val="center"/>
        </w:trPr>
        <w:tc>
          <w:tcPr>
            <w:tcW w:w="1609" w:type="dxa"/>
            <w:tcBorders>
              <w:top w:val="single" w:sz="12" w:space="0" w:color="auto"/>
            </w:tcBorders>
            <w:shd w:val="clear" w:color="auto" w:fill="auto"/>
            <w:hideMark/>
          </w:tcPr>
          <w:p w:rsidR="00C57180" w:rsidRPr="0051540E" w:rsidRDefault="0051540E">
            <w:pPr>
              <w:spacing w:before="40" w:after="40" w:line="220" w:lineRule="exact"/>
              <w:rPr>
                <w:sz w:val="18"/>
                <w:szCs w:val="14"/>
              </w:rPr>
            </w:pPr>
            <w:r w:rsidRPr="0051540E">
              <w:rPr>
                <w:sz w:val="18"/>
                <w:szCs w:val="14"/>
              </w:rPr>
              <w:t>Andalucía</w:t>
            </w:r>
          </w:p>
        </w:tc>
        <w:tc>
          <w:tcPr>
            <w:tcW w:w="1023"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206.158</w:t>
            </w:r>
          </w:p>
        </w:tc>
        <w:tc>
          <w:tcPr>
            <w:tcW w:w="1024"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860,42</w:t>
            </w:r>
          </w:p>
        </w:tc>
        <w:tc>
          <w:tcPr>
            <w:tcW w:w="1023"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842.683</w:t>
            </w:r>
          </w:p>
        </w:tc>
        <w:tc>
          <w:tcPr>
            <w:tcW w:w="1024"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949,16</w:t>
            </w:r>
          </w:p>
        </w:tc>
        <w:tc>
          <w:tcPr>
            <w:tcW w:w="1023"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389.338</w:t>
            </w:r>
          </w:p>
        </w:tc>
        <w:tc>
          <w:tcPr>
            <w:tcW w:w="1024"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603,31</w:t>
            </w:r>
          </w:p>
        </w:tc>
        <w:tc>
          <w:tcPr>
            <w:tcW w:w="1023"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69.746</w:t>
            </w:r>
          </w:p>
        </w:tc>
        <w:tc>
          <w:tcPr>
            <w:tcW w:w="1024"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356,36</w:t>
            </w:r>
          </w:p>
        </w:tc>
        <w:tc>
          <w:tcPr>
            <w:tcW w:w="1023"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9.402</w:t>
            </w:r>
          </w:p>
        </w:tc>
        <w:tc>
          <w:tcPr>
            <w:tcW w:w="1024"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502,06</w:t>
            </w:r>
          </w:p>
        </w:tc>
        <w:tc>
          <w:tcPr>
            <w:tcW w:w="1023"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1.517.327</w:t>
            </w:r>
          </w:p>
        </w:tc>
        <w:tc>
          <w:tcPr>
            <w:tcW w:w="1024" w:type="dxa"/>
            <w:tcBorders>
              <w:top w:val="single" w:sz="12"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818,34</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Aragón</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23.784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1.008,55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188.236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1.095,02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75.954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666,45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9.364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394,12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918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556,16</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298.256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955,32</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Asturias</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31.115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1.089,54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175.804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1.279,26</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83.802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710,88</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8.959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450,07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1.638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695,81</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301.318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1.073,77</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I. Balears</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17.779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849,14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116.824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964,69</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44.200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582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6.258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330,33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133</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513,81</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185.194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840,5</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Canarias</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37.451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850,75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169.225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991,93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78.805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620,03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16.725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350,27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1.989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522,95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304.195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839,86</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Cantabria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13.459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975,38</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83.432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1.115,11</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35.661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656,15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4.572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405,52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1.193</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573,22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138.317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955,05</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Castilla-</w:t>
            </w:r>
            <w:r>
              <w:rPr>
                <w:sz w:val="18"/>
                <w:szCs w:val="14"/>
              </w:rPr>
              <w:t>L</w:t>
            </w:r>
            <w:r w:rsidRPr="0051540E">
              <w:rPr>
                <w:sz w:val="18"/>
                <w:szCs w:val="14"/>
              </w:rPr>
              <w:t xml:space="preserve">a </w:t>
            </w:r>
            <w:r>
              <w:rPr>
                <w:sz w:val="18"/>
                <w:szCs w:val="14"/>
              </w:rPr>
              <w:t>M</w:t>
            </w:r>
            <w:r w:rsidRPr="0051540E">
              <w:rPr>
                <w:sz w:val="18"/>
                <w:szCs w:val="14"/>
              </w:rPr>
              <w:t>ancha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42.616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855,76</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208.902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968,93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96.938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638,59</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15.100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371,13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2.387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485,85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365.943</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840,42</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 xml:space="preserve">Castilla y </w:t>
            </w:r>
            <w:r>
              <w:rPr>
                <w:sz w:val="18"/>
                <w:szCs w:val="14"/>
              </w:rPr>
              <w:t>L</w:t>
            </w:r>
            <w:r w:rsidRPr="0051540E">
              <w:rPr>
                <w:sz w:val="18"/>
                <w:szCs w:val="14"/>
              </w:rPr>
              <w:t>eón</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45.646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930,9</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381.242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1.027,69</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157.476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630,64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19.680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406,58</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3.718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536,26</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607.762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894,42</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Cataluña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165.637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1.015,36</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1.084.288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1.067,98</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396.258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647,95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48.261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374,87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1.416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554,42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1.695.860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944,54</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Extremadura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25.646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773,37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123.227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867,43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61.691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605,75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10.075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365,99</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1.815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475,08</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222.454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758,1</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Galicia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69.432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827,99</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470.686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873,52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187.409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542,92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23.948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370,3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6.137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477,72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757.612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768,46</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Rioja (</w:t>
            </w:r>
            <w:r w:rsidR="00BB411A">
              <w:rPr>
                <w:sz w:val="18"/>
                <w:szCs w:val="14"/>
              </w:rPr>
              <w:t>L</w:t>
            </w:r>
            <w:r w:rsidRPr="0051540E">
              <w:rPr>
                <w:sz w:val="18"/>
                <w:szCs w:val="14"/>
              </w:rPr>
              <w:t>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4.870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939,94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44.787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993,11</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16.208</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631,04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1.944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374,43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181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533,71</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67.990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884,07</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Madrid</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77.751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1.022,72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732.633</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1.243,67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266.985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727,42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35.474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406,14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2.941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570,37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1.115.784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1.076,35</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Murcia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31.909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826,07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137.007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927,72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61.431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589,98</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11.211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348,06</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1.105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502,05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242.663</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800,13</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Navarra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11.074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1.102,41</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86.867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1.189,24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29.635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692,95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4.190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397,47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401</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570,66</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132.167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1.043,71</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C.</w:t>
            </w:r>
            <w:r>
              <w:rPr>
                <w:sz w:val="18"/>
                <w:szCs w:val="14"/>
              </w:rPr>
              <w:t xml:space="preserve"> V</w:t>
            </w:r>
            <w:r w:rsidRPr="0051540E">
              <w:rPr>
                <w:sz w:val="18"/>
                <w:szCs w:val="14"/>
              </w:rPr>
              <w:t>alenciana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95.562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885,22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587.277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957,78</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242.144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608,07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36.874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354,33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2.522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510,15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964.379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838,54</w:t>
            </w:r>
          </w:p>
        </w:tc>
      </w:tr>
      <w:tr w:rsidR="0051540E" w:rsidRPr="0051540E" w:rsidTr="00F36DAB">
        <w:trPr>
          <w:trHeight w:val="240"/>
          <w:jc w:val="center"/>
        </w:trPr>
        <w:tc>
          <w:tcPr>
            <w:tcW w:w="1609" w:type="dxa"/>
            <w:shd w:val="clear" w:color="auto" w:fill="auto"/>
            <w:hideMark/>
          </w:tcPr>
          <w:p w:rsidR="00C57180" w:rsidRPr="0051540E" w:rsidRDefault="0051540E">
            <w:pPr>
              <w:spacing w:before="40" w:after="40" w:line="220" w:lineRule="exact"/>
              <w:rPr>
                <w:sz w:val="18"/>
                <w:szCs w:val="14"/>
              </w:rPr>
            </w:pPr>
            <w:r w:rsidRPr="0051540E">
              <w:rPr>
                <w:sz w:val="18"/>
                <w:szCs w:val="14"/>
              </w:rPr>
              <w:t xml:space="preserve">País </w:t>
            </w:r>
            <w:r>
              <w:rPr>
                <w:sz w:val="18"/>
                <w:szCs w:val="14"/>
              </w:rPr>
              <w:t>V</w:t>
            </w:r>
            <w:r w:rsidRPr="0051540E">
              <w:rPr>
                <w:sz w:val="18"/>
                <w:szCs w:val="14"/>
              </w:rPr>
              <w:t>asco</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42.566</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1.193,12</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344.269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1.299,01</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135.414</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762,91</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15.570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445,34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2.300</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656,03</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540.119</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1.128,91</w:t>
            </w:r>
          </w:p>
        </w:tc>
      </w:tr>
      <w:tr w:rsidR="0051540E" w:rsidRPr="0051540E" w:rsidTr="00F36DAB">
        <w:trPr>
          <w:trHeight w:val="240"/>
          <w:jc w:val="center"/>
        </w:trPr>
        <w:tc>
          <w:tcPr>
            <w:tcW w:w="1609" w:type="dxa"/>
            <w:shd w:val="clear" w:color="auto" w:fill="auto"/>
            <w:noWrap/>
            <w:hideMark/>
          </w:tcPr>
          <w:p w:rsidR="00C57180" w:rsidRPr="0051540E" w:rsidRDefault="0051540E">
            <w:pPr>
              <w:spacing w:before="40" w:after="40" w:line="220" w:lineRule="exact"/>
              <w:rPr>
                <w:sz w:val="18"/>
                <w:szCs w:val="14"/>
              </w:rPr>
            </w:pPr>
            <w:r w:rsidRPr="0051540E">
              <w:rPr>
                <w:sz w:val="18"/>
                <w:szCs w:val="14"/>
              </w:rPr>
              <w:t>Ceuta</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947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1.079,37</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4.032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1.146,80</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2.657</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693,4</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702</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327,06</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45</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541,45</w:t>
            </w:r>
          </w:p>
        </w:tc>
        <w:tc>
          <w:tcPr>
            <w:tcW w:w="1023"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8.383</w:t>
            </w:r>
          </w:p>
        </w:tc>
        <w:tc>
          <w:tcPr>
            <w:tcW w:w="1024" w:type="dxa"/>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923,58</w:t>
            </w:r>
          </w:p>
        </w:tc>
      </w:tr>
      <w:tr w:rsidR="0051540E" w:rsidRPr="0051540E" w:rsidTr="00F36DAB">
        <w:trPr>
          <w:trHeight w:val="240"/>
          <w:jc w:val="center"/>
        </w:trPr>
        <w:tc>
          <w:tcPr>
            <w:tcW w:w="1609" w:type="dxa"/>
            <w:tcBorders>
              <w:bottom w:val="single" w:sz="4" w:space="0" w:color="auto"/>
            </w:tcBorders>
            <w:shd w:val="clear" w:color="auto" w:fill="auto"/>
            <w:noWrap/>
            <w:hideMark/>
          </w:tcPr>
          <w:p w:rsidR="00C57180" w:rsidRPr="0051540E" w:rsidRDefault="0051540E">
            <w:pPr>
              <w:spacing w:before="40" w:after="40" w:line="220" w:lineRule="exact"/>
              <w:rPr>
                <w:sz w:val="18"/>
                <w:szCs w:val="14"/>
              </w:rPr>
            </w:pPr>
            <w:r w:rsidRPr="0051540E">
              <w:rPr>
                <w:sz w:val="18"/>
                <w:szCs w:val="14"/>
              </w:rPr>
              <w:t>Melilla</w:t>
            </w:r>
          </w:p>
        </w:tc>
        <w:tc>
          <w:tcPr>
            <w:tcW w:w="1023"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1.198</w:t>
            </w:r>
          </w:p>
        </w:tc>
        <w:tc>
          <w:tcPr>
            <w:tcW w:w="1024"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959,75</w:t>
            </w:r>
          </w:p>
        </w:tc>
        <w:tc>
          <w:tcPr>
            <w:tcW w:w="1023"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3.327</w:t>
            </w:r>
          </w:p>
        </w:tc>
        <w:tc>
          <w:tcPr>
            <w:tcW w:w="1024"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1.105,81</w:t>
            </w:r>
          </w:p>
        </w:tc>
        <w:tc>
          <w:tcPr>
            <w:tcW w:w="1023"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2.382</w:t>
            </w:r>
          </w:p>
        </w:tc>
        <w:tc>
          <w:tcPr>
            <w:tcW w:w="1024"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651,76</w:t>
            </w:r>
          </w:p>
        </w:tc>
        <w:tc>
          <w:tcPr>
            <w:tcW w:w="1023"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818</w:t>
            </w:r>
          </w:p>
        </w:tc>
        <w:tc>
          <w:tcPr>
            <w:tcW w:w="1024"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296,87</w:t>
            </w:r>
          </w:p>
        </w:tc>
        <w:tc>
          <w:tcPr>
            <w:tcW w:w="1023"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34</w:t>
            </w:r>
          </w:p>
        </w:tc>
        <w:tc>
          <w:tcPr>
            <w:tcW w:w="1024"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522,88</w:t>
            </w:r>
          </w:p>
        </w:tc>
        <w:tc>
          <w:tcPr>
            <w:tcW w:w="1023"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7.759</w:t>
            </w:r>
          </w:p>
        </w:tc>
        <w:tc>
          <w:tcPr>
            <w:tcW w:w="1024" w:type="dxa"/>
            <w:tcBorders>
              <w:bottom w:val="single" w:sz="4" w:space="0" w:color="auto"/>
            </w:tcBorders>
            <w:shd w:val="clear" w:color="auto" w:fill="auto"/>
            <w:noWrap/>
            <w:vAlign w:val="bottom"/>
            <w:hideMark/>
          </w:tcPr>
          <w:p w:rsidR="00C57180" w:rsidRPr="0051540E" w:rsidRDefault="00C57180" w:rsidP="00F36DAB">
            <w:pPr>
              <w:spacing w:before="40" w:after="40" w:line="220" w:lineRule="exact"/>
              <w:ind w:left="85" w:right="28"/>
              <w:jc w:val="right"/>
              <w:rPr>
                <w:sz w:val="18"/>
                <w:szCs w:val="14"/>
              </w:rPr>
            </w:pPr>
            <w:r w:rsidRPr="0051540E">
              <w:rPr>
                <w:sz w:val="18"/>
                <w:szCs w:val="14"/>
              </w:rPr>
              <w:t>856,03</w:t>
            </w:r>
          </w:p>
        </w:tc>
      </w:tr>
      <w:tr w:rsidR="0051540E" w:rsidRPr="0051540E" w:rsidTr="00F36DAB">
        <w:trPr>
          <w:trHeight w:val="240"/>
          <w:jc w:val="center"/>
        </w:trPr>
        <w:tc>
          <w:tcPr>
            <w:tcW w:w="1609" w:type="dxa"/>
            <w:tcBorders>
              <w:top w:val="single" w:sz="4" w:space="0" w:color="auto"/>
              <w:bottom w:val="single" w:sz="12" w:space="0" w:color="auto"/>
            </w:tcBorders>
            <w:shd w:val="clear" w:color="auto" w:fill="auto"/>
            <w:noWrap/>
            <w:hideMark/>
          </w:tcPr>
          <w:p w:rsidR="00C57180" w:rsidRPr="0051540E" w:rsidRDefault="0051540E" w:rsidP="00F36DAB">
            <w:pPr>
              <w:spacing w:before="80" w:after="80" w:line="220" w:lineRule="exact"/>
              <w:ind w:left="283"/>
              <w:rPr>
                <w:b/>
                <w:sz w:val="18"/>
                <w:szCs w:val="14"/>
              </w:rPr>
            </w:pPr>
            <w:r w:rsidRPr="00F36DAB">
              <w:rPr>
                <w:b/>
                <w:sz w:val="18"/>
                <w:szCs w:val="14"/>
              </w:rPr>
              <w:t>Total</w:t>
            </w:r>
          </w:p>
        </w:tc>
        <w:tc>
          <w:tcPr>
            <w:tcW w:w="1023"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944.600</w:t>
            </w:r>
          </w:p>
        </w:tc>
        <w:tc>
          <w:tcPr>
            <w:tcW w:w="1024"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931,65</w:t>
            </w:r>
          </w:p>
        </w:tc>
        <w:tc>
          <w:tcPr>
            <w:tcW w:w="1023"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5.784.748</w:t>
            </w:r>
          </w:p>
        </w:tc>
        <w:tc>
          <w:tcPr>
            <w:tcW w:w="1024"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1.050,82</w:t>
            </w:r>
          </w:p>
        </w:tc>
        <w:tc>
          <w:tcPr>
            <w:tcW w:w="1023"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2.364.388</w:t>
            </w:r>
          </w:p>
        </w:tc>
        <w:tc>
          <w:tcPr>
            <w:tcW w:w="1024"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640,89</w:t>
            </w:r>
          </w:p>
        </w:tc>
        <w:tc>
          <w:tcPr>
            <w:tcW w:w="1023"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339.471</w:t>
            </w:r>
          </w:p>
        </w:tc>
        <w:tc>
          <w:tcPr>
            <w:tcW w:w="1024"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376,42</w:t>
            </w:r>
          </w:p>
        </w:tc>
        <w:tc>
          <w:tcPr>
            <w:tcW w:w="1023"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40.275</w:t>
            </w:r>
          </w:p>
        </w:tc>
        <w:tc>
          <w:tcPr>
            <w:tcW w:w="1024"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528,64</w:t>
            </w:r>
          </w:p>
        </w:tc>
        <w:tc>
          <w:tcPr>
            <w:tcW w:w="1023"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9.473.482</w:t>
            </w:r>
          </w:p>
        </w:tc>
        <w:tc>
          <w:tcPr>
            <w:tcW w:w="1024" w:type="dxa"/>
            <w:tcBorders>
              <w:top w:val="single" w:sz="4" w:space="0" w:color="auto"/>
              <w:bottom w:val="single" w:sz="12" w:space="0" w:color="auto"/>
            </w:tcBorders>
            <w:shd w:val="clear" w:color="auto" w:fill="auto"/>
            <w:noWrap/>
            <w:vAlign w:val="bottom"/>
            <w:hideMark/>
          </w:tcPr>
          <w:p w:rsidR="00C57180" w:rsidRPr="0051540E" w:rsidRDefault="00C57180" w:rsidP="00F36DAB">
            <w:pPr>
              <w:spacing w:before="80" w:after="80" w:line="220" w:lineRule="exact"/>
              <w:ind w:left="85" w:right="28"/>
              <w:jc w:val="right"/>
              <w:rPr>
                <w:b/>
                <w:sz w:val="18"/>
                <w:szCs w:val="14"/>
              </w:rPr>
            </w:pPr>
            <w:r w:rsidRPr="0051540E">
              <w:rPr>
                <w:b/>
                <w:sz w:val="18"/>
                <w:szCs w:val="14"/>
              </w:rPr>
              <w:t>910,24</w:t>
            </w:r>
          </w:p>
        </w:tc>
      </w:tr>
    </w:tbl>
    <w:p w:rsidR="00C57180" w:rsidRDefault="00C57180" w:rsidP="005063E1">
      <w:pPr>
        <w:pStyle w:val="SingleTxtG"/>
        <w:jc w:val="left"/>
      </w:pPr>
    </w:p>
    <w:p w:rsidR="00C57180" w:rsidRPr="005063E1" w:rsidRDefault="00C57180" w:rsidP="005063E1">
      <w:pPr>
        <w:pStyle w:val="SingleTxtG"/>
        <w:jc w:val="left"/>
      </w:pPr>
    </w:p>
    <w:p w:rsidR="00656DF7" w:rsidRDefault="00656DF7" w:rsidP="00B1211C">
      <w:pPr>
        <w:pStyle w:val="SingleTxtG"/>
        <w:rPr>
          <w:sz w:val="18"/>
          <w:szCs w:val="18"/>
          <w:lang w:eastAsia="en-GB"/>
        </w:rPr>
      </w:pPr>
    </w:p>
    <w:p w:rsidR="005063E1" w:rsidRDefault="005063E1" w:rsidP="00B1211C">
      <w:pPr>
        <w:pStyle w:val="SingleTxtG"/>
        <w:rPr>
          <w:sz w:val="18"/>
          <w:szCs w:val="18"/>
          <w:lang w:eastAsia="en-GB"/>
        </w:rPr>
        <w:sectPr w:rsidR="005063E1" w:rsidSect="005063E1">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rsidR="007E609E" w:rsidRPr="00F36DAB" w:rsidRDefault="00044A44" w:rsidP="00F36DAB">
      <w:pPr>
        <w:pStyle w:val="H23G"/>
        <w:rPr>
          <w:b w:val="0"/>
          <w:sz w:val="16"/>
        </w:rPr>
      </w:pPr>
      <w:r>
        <w:lastRenderedPageBreak/>
        <w:tab/>
      </w:r>
      <w:r>
        <w:tab/>
      </w:r>
      <w:r w:rsidR="007E609E" w:rsidRPr="001302CD">
        <w:t>Pensiones en vigor en 1 de enero de 2017</w:t>
      </w:r>
      <w:r w:rsidR="00030821">
        <w:t>, d</w:t>
      </w:r>
      <w:r w:rsidR="007E609E" w:rsidRPr="00916B76">
        <w:t xml:space="preserve">istribución por </w:t>
      </w:r>
      <w:r w:rsidR="003E619E" w:rsidRPr="00916B76">
        <w:t>clases</w:t>
      </w:r>
      <w:r w:rsidR="003E619E">
        <w:br/>
      </w:r>
      <w:r w:rsidR="007E609E" w:rsidRPr="00916B76">
        <w:t>y grupos de edad</w:t>
      </w:r>
      <w:r w:rsidR="001302CD" w:rsidRPr="001302CD">
        <w:br/>
      </w:r>
      <w:r w:rsidRPr="00F36DAB">
        <w:rPr>
          <w:b w:val="0"/>
          <w:sz w:val="16"/>
        </w:rPr>
        <w:t>(</w:t>
      </w:r>
      <w:r w:rsidR="001302CD" w:rsidRPr="00F36DAB">
        <w:rPr>
          <w:b w:val="0"/>
          <w:sz w:val="16"/>
        </w:rPr>
        <w:t>V</w:t>
      </w:r>
      <w:r w:rsidR="007E609E" w:rsidRPr="00F36DAB">
        <w:rPr>
          <w:b w:val="0"/>
          <w:sz w:val="16"/>
        </w:rPr>
        <w:t>arones</w:t>
      </w:r>
      <w:r w:rsidRPr="00F36DAB">
        <w:rPr>
          <w:b w:val="0"/>
          <w:sz w:val="16"/>
        </w:rP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7"/>
        <w:gridCol w:w="1015"/>
        <w:gridCol w:w="1016"/>
        <w:gridCol w:w="1015"/>
        <w:gridCol w:w="1016"/>
        <w:gridCol w:w="1015"/>
        <w:gridCol w:w="1016"/>
      </w:tblGrid>
      <w:tr w:rsidR="00982E92" w:rsidRPr="00982E92" w:rsidTr="00F36DAB">
        <w:trPr>
          <w:trHeight w:val="240"/>
          <w:tblHeader/>
        </w:trPr>
        <w:tc>
          <w:tcPr>
            <w:tcW w:w="7370" w:type="dxa"/>
            <w:gridSpan w:val="7"/>
            <w:tcBorders>
              <w:top w:val="single" w:sz="4" w:space="0" w:color="auto"/>
              <w:bottom w:val="single" w:sz="4" w:space="0" w:color="auto"/>
            </w:tcBorders>
            <w:shd w:val="clear" w:color="auto" w:fill="auto"/>
            <w:noWrap/>
            <w:vAlign w:val="bottom"/>
            <w:hideMark/>
          </w:tcPr>
          <w:p w:rsidR="007E609E" w:rsidRPr="00982E92" w:rsidRDefault="007E609E" w:rsidP="00F36DAB">
            <w:pPr>
              <w:spacing w:before="80" w:after="80" w:line="200" w:lineRule="exact"/>
              <w:jc w:val="center"/>
              <w:rPr>
                <w:bCs/>
                <w:i/>
                <w:sz w:val="16"/>
                <w:szCs w:val="16"/>
              </w:rPr>
            </w:pPr>
            <w:r w:rsidRPr="00982E92">
              <w:rPr>
                <w:bCs/>
                <w:i/>
                <w:sz w:val="16"/>
                <w:szCs w:val="16"/>
              </w:rPr>
              <w:t>N</w:t>
            </w:r>
            <w:r w:rsidR="00982E92">
              <w:rPr>
                <w:bCs/>
                <w:i/>
                <w:sz w:val="16"/>
                <w:szCs w:val="16"/>
              </w:rPr>
              <w:t>úmero</w:t>
            </w:r>
          </w:p>
        </w:tc>
      </w:tr>
      <w:tr w:rsidR="0015269E" w:rsidRPr="00982E92" w:rsidTr="00F36DAB">
        <w:trPr>
          <w:trHeight w:val="240"/>
          <w:tblHeader/>
        </w:trPr>
        <w:tc>
          <w:tcPr>
            <w:tcW w:w="1277" w:type="dxa"/>
            <w:tcBorders>
              <w:top w:val="single" w:sz="4" w:space="0" w:color="auto"/>
            </w:tcBorders>
            <w:shd w:val="clear" w:color="auto" w:fill="auto"/>
            <w:noWrap/>
            <w:vAlign w:val="bottom"/>
            <w:hideMark/>
          </w:tcPr>
          <w:p w:rsidR="007E609E" w:rsidRPr="00F36DAB" w:rsidRDefault="007E609E" w:rsidP="00F36DAB">
            <w:pPr>
              <w:spacing w:before="80" w:after="80" w:line="200" w:lineRule="exact"/>
              <w:rPr>
                <w:bCs/>
                <w:i/>
                <w:sz w:val="16"/>
                <w:szCs w:val="16"/>
              </w:rPr>
            </w:pPr>
            <w:r w:rsidRPr="00F36DAB">
              <w:rPr>
                <w:bCs/>
                <w:i/>
                <w:sz w:val="16"/>
                <w:szCs w:val="16"/>
              </w:rPr>
              <w:t>Grupos de</w:t>
            </w:r>
            <w:r w:rsidR="00982E92">
              <w:rPr>
                <w:bCs/>
                <w:i/>
                <w:sz w:val="16"/>
                <w:szCs w:val="16"/>
              </w:rPr>
              <w:t xml:space="preserve"> </w:t>
            </w:r>
            <w:r w:rsidRPr="00F36DAB">
              <w:rPr>
                <w:bCs/>
                <w:i/>
                <w:sz w:val="16"/>
                <w:szCs w:val="16"/>
              </w:rPr>
              <w:t>edad</w:t>
            </w:r>
          </w:p>
        </w:tc>
        <w:tc>
          <w:tcPr>
            <w:tcW w:w="1015" w:type="dxa"/>
            <w:tcBorders>
              <w:top w:val="single" w:sz="4" w:space="0" w:color="auto"/>
            </w:tcBorders>
            <w:shd w:val="clear" w:color="auto" w:fill="auto"/>
            <w:noWrap/>
            <w:vAlign w:val="bottom"/>
            <w:hideMark/>
          </w:tcPr>
          <w:p w:rsidR="007E609E" w:rsidRPr="00F36DAB" w:rsidRDefault="007E609E" w:rsidP="00F36DAB">
            <w:pPr>
              <w:spacing w:before="80" w:after="80" w:line="200" w:lineRule="exact"/>
              <w:ind w:left="85" w:right="28"/>
              <w:jc w:val="right"/>
              <w:rPr>
                <w:bCs/>
                <w:i/>
                <w:sz w:val="16"/>
                <w:szCs w:val="16"/>
              </w:rPr>
            </w:pPr>
            <w:r w:rsidRPr="00F36DAB">
              <w:rPr>
                <w:bCs/>
                <w:i/>
                <w:sz w:val="16"/>
                <w:szCs w:val="16"/>
              </w:rPr>
              <w:t>Incapacidad permanente</w:t>
            </w:r>
            <w:r w:rsidR="00982E92">
              <w:rPr>
                <w:bCs/>
                <w:i/>
                <w:sz w:val="16"/>
                <w:szCs w:val="16"/>
              </w:rPr>
              <w:t>*</w:t>
            </w:r>
          </w:p>
        </w:tc>
        <w:tc>
          <w:tcPr>
            <w:tcW w:w="1016" w:type="dxa"/>
            <w:tcBorders>
              <w:top w:val="single" w:sz="4" w:space="0" w:color="auto"/>
            </w:tcBorders>
            <w:shd w:val="clear" w:color="auto" w:fill="auto"/>
            <w:noWrap/>
            <w:vAlign w:val="bottom"/>
            <w:hideMark/>
          </w:tcPr>
          <w:p w:rsidR="007E609E" w:rsidRPr="00F36DAB" w:rsidRDefault="007E609E" w:rsidP="00F36DAB">
            <w:pPr>
              <w:spacing w:before="80" w:after="80" w:line="200" w:lineRule="exact"/>
              <w:ind w:left="85" w:right="28"/>
              <w:jc w:val="right"/>
              <w:rPr>
                <w:bCs/>
                <w:i/>
                <w:sz w:val="16"/>
                <w:szCs w:val="16"/>
              </w:rPr>
            </w:pPr>
            <w:r w:rsidRPr="00F36DAB">
              <w:rPr>
                <w:bCs/>
                <w:i/>
                <w:sz w:val="16"/>
                <w:szCs w:val="16"/>
              </w:rPr>
              <w:t>Jubilación</w:t>
            </w:r>
            <w:r w:rsidR="00982E92">
              <w:rPr>
                <w:bCs/>
                <w:i/>
                <w:sz w:val="16"/>
                <w:szCs w:val="16"/>
              </w:rPr>
              <w:t>*</w:t>
            </w:r>
          </w:p>
        </w:tc>
        <w:tc>
          <w:tcPr>
            <w:tcW w:w="1015" w:type="dxa"/>
            <w:tcBorders>
              <w:top w:val="single" w:sz="4" w:space="0" w:color="auto"/>
            </w:tcBorders>
            <w:shd w:val="clear" w:color="auto" w:fill="auto"/>
            <w:noWrap/>
            <w:vAlign w:val="bottom"/>
            <w:hideMark/>
          </w:tcPr>
          <w:p w:rsidR="007E609E" w:rsidRPr="00F36DAB" w:rsidRDefault="007E609E" w:rsidP="00F36DAB">
            <w:pPr>
              <w:spacing w:before="80" w:after="80" w:line="200" w:lineRule="exact"/>
              <w:ind w:left="85" w:right="28"/>
              <w:jc w:val="right"/>
              <w:rPr>
                <w:bCs/>
                <w:i/>
                <w:sz w:val="16"/>
                <w:szCs w:val="16"/>
              </w:rPr>
            </w:pPr>
            <w:r w:rsidRPr="00F36DAB">
              <w:rPr>
                <w:bCs/>
                <w:i/>
                <w:sz w:val="16"/>
                <w:szCs w:val="16"/>
              </w:rPr>
              <w:t>Viudedad</w:t>
            </w:r>
          </w:p>
        </w:tc>
        <w:tc>
          <w:tcPr>
            <w:tcW w:w="1016" w:type="dxa"/>
            <w:tcBorders>
              <w:top w:val="single" w:sz="4" w:space="0" w:color="auto"/>
            </w:tcBorders>
            <w:shd w:val="clear" w:color="auto" w:fill="auto"/>
            <w:noWrap/>
            <w:vAlign w:val="bottom"/>
            <w:hideMark/>
          </w:tcPr>
          <w:p w:rsidR="007E609E" w:rsidRPr="00F36DAB" w:rsidRDefault="007E609E" w:rsidP="00F36DAB">
            <w:pPr>
              <w:spacing w:before="80" w:after="80" w:line="200" w:lineRule="exact"/>
              <w:ind w:left="85" w:right="28"/>
              <w:jc w:val="right"/>
              <w:rPr>
                <w:bCs/>
                <w:i/>
                <w:sz w:val="16"/>
                <w:szCs w:val="16"/>
              </w:rPr>
            </w:pPr>
            <w:r w:rsidRPr="00F36DAB">
              <w:rPr>
                <w:bCs/>
                <w:i/>
                <w:sz w:val="16"/>
                <w:szCs w:val="16"/>
              </w:rPr>
              <w:t>Orfandad</w:t>
            </w:r>
          </w:p>
        </w:tc>
        <w:tc>
          <w:tcPr>
            <w:tcW w:w="1015" w:type="dxa"/>
            <w:tcBorders>
              <w:top w:val="single" w:sz="4" w:space="0" w:color="auto"/>
            </w:tcBorders>
            <w:shd w:val="clear" w:color="auto" w:fill="auto"/>
            <w:noWrap/>
            <w:vAlign w:val="bottom"/>
            <w:hideMark/>
          </w:tcPr>
          <w:p w:rsidR="007E609E" w:rsidRPr="00F36DAB" w:rsidRDefault="007E609E" w:rsidP="00F36DAB">
            <w:pPr>
              <w:spacing w:before="80" w:after="80" w:line="200" w:lineRule="exact"/>
              <w:ind w:left="85" w:right="28"/>
              <w:jc w:val="right"/>
              <w:rPr>
                <w:bCs/>
                <w:i/>
                <w:sz w:val="16"/>
                <w:szCs w:val="16"/>
              </w:rPr>
            </w:pPr>
            <w:r w:rsidRPr="00F36DAB">
              <w:rPr>
                <w:bCs/>
                <w:i/>
                <w:sz w:val="16"/>
                <w:szCs w:val="16"/>
              </w:rPr>
              <w:t>Favor familiares</w:t>
            </w:r>
          </w:p>
        </w:tc>
        <w:tc>
          <w:tcPr>
            <w:tcW w:w="1016" w:type="dxa"/>
            <w:tcBorders>
              <w:top w:val="single" w:sz="4" w:space="0" w:color="auto"/>
            </w:tcBorders>
            <w:shd w:val="clear" w:color="auto" w:fill="auto"/>
            <w:noWrap/>
            <w:vAlign w:val="bottom"/>
            <w:hideMark/>
          </w:tcPr>
          <w:p w:rsidR="007E609E" w:rsidRPr="00F36DAB" w:rsidRDefault="007E609E" w:rsidP="00F36DAB">
            <w:pPr>
              <w:spacing w:before="80" w:after="80" w:line="200" w:lineRule="exact"/>
              <w:ind w:left="85" w:right="28"/>
              <w:jc w:val="right"/>
              <w:rPr>
                <w:bCs/>
                <w:i/>
                <w:sz w:val="16"/>
                <w:szCs w:val="16"/>
              </w:rPr>
            </w:pPr>
            <w:r w:rsidRPr="00F36DAB">
              <w:rPr>
                <w:bCs/>
                <w:i/>
                <w:sz w:val="16"/>
                <w:szCs w:val="16"/>
              </w:rPr>
              <w:t>Total</w:t>
            </w:r>
          </w:p>
        </w:tc>
      </w:tr>
      <w:tr w:rsidR="00982E92" w:rsidRPr="00982E92" w:rsidTr="00F36DAB">
        <w:trPr>
          <w:trHeight w:val="240"/>
        </w:trPr>
        <w:tc>
          <w:tcPr>
            <w:tcW w:w="1277" w:type="dxa"/>
            <w:tcBorders>
              <w:top w:val="single" w:sz="12" w:space="0" w:color="auto"/>
            </w:tcBorders>
            <w:shd w:val="clear" w:color="auto" w:fill="auto"/>
            <w:hideMark/>
          </w:tcPr>
          <w:p w:rsidR="007E609E" w:rsidRPr="00982E92" w:rsidRDefault="007E609E">
            <w:pPr>
              <w:spacing w:before="40" w:after="40" w:line="220" w:lineRule="exact"/>
              <w:rPr>
                <w:sz w:val="18"/>
                <w:szCs w:val="16"/>
              </w:rPr>
            </w:pPr>
            <w:r w:rsidRPr="00982E92">
              <w:rPr>
                <w:sz w:val="18"/>
                <w:szCs w:val="16"/>
              </w:rPr>
              <w:t>De 0 a 4 años</w:t>
            </w:r>
          </w:p>
        </w:tc>
        <w:tc>
          <w:tcPr>
            <w:tcW w:w="1015" w:type="dxa"/>
            <w:tcBorders>
              <w:top w:val="single" w:sz="12"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tcBorders>
              <w:top w:val="single" w:sz="12"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tcBorders>
              <w:top w:val="single" w:sz="12"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tcBorders>
              <w:top w:val="single" w:sz="12"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1.470</w:t>
            </w:r>
          </w:p>
        </w:tc>
        <w:tc>
          <w:tcPr>
            <w:tcW w:w="1015" w:type="dxa"/>
            <w:tcBorders>
              <w:top w:val="single" w:sz="12"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tcBorders>
              <w:top w:val="single" w:sz="12"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1.470</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5 a 9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7.292</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7.296</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10 a 14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16.644</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16.659</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15 a 19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29.804</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29.850</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20 a 24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266</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44.913</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54</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45.234</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25 a 29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3.205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2.360</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279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5.863</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30 a 34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11.309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227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2.557</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195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14.288</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35 a 39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27.361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935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4.767</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204</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33.267</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40 a 44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48.445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2.489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8.116</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243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59.293</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45 a 49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74.422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67</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4.979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11.319</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879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91.666</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50 a 54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108.299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639</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8.996</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13.653</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2.249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133.836</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55 a 59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150.903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11.185</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14.319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12.287</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2.279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190.973</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60 a 64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183.419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256.630</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17.873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9.056</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1.907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468.885</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65 a 69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1.428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931.740</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19.535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6.080</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1.143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959.926</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70 a 74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46</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833.915</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20.138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3.746</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745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858.590</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75 a 79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600.702</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19.768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1.669</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333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622.532</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De 80 a 84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125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539.640</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26.959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1.000</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312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568.036</w:t>
            </w:r>
          </w:p>
        </w:tc>
      </w:tr>
      <w:tr w:rsidR="00982E92" w:rsidRPr="00982E92" w:rsidTr="00F36DAB">
        <w:trPr>
          <w:trHeight w:val="240"/>
        </w:trPr>
        <w:tc>
          <w:tcPr>
            <w:tcW w:w="1277" w:type="dxa"/>
            <w:shd w:val="clear" w:color="auto" w:fill="auto"/>
            <w:hideMark/>
          </w:tcPr>
          <w:p w:rsidR="007E609E" w:rsidRPr="00982E92" w:rsidRDefault="007E609E">
            <w:pPr>
              <w:spacing w:before="40" w:after="40" w:line="220" w:lineRule="exact"/>
              <w:rPr>
                <w:sz w:val="18"/>
                <w:szCs w:val="16"/>
              </w:rPr>
            </w:pPr>
            <w:r w:rsidRPr="00982E92">
              <w:rPr>
                <w:sz w:val="18"/>
                <w:szCs w:val="16"/>
              </w:rPr>
              <w:t>Más de 85 años</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336</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452.080</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42.147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443</w:t>
            </w:r>
          </w:p>
        </w:tc>
        <w:tc>
          <w:tcPr>
            <w:tcW w:w="1015"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452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495.458</w:t>
            </w:r>
          </w:p>
        </w:tc>
      </w:tr>
      <w:tr w:rsidR="0015269E" w:rsidRPr="00982E92" w:rsidTr="0015269E">
        <w:trPr>
          <w:trHeight w:val="240"/>
        </w:trPr>
        <w:tc>
          <w:tcPr>
            <w:tcW w:w="1277" w:type="dxa"/>
            <w:tcBorders>
              <w:bottom w:val="single" w:sz="4" w:space="0" w:color="auto"/>
            </w:tcBorders>
            <w:shd w:val="clear" w:color="auto" w:fill="auto"/>
            <w:hideMark/>
          </w:tcPr>
          <w:p w:rsidR="007E609E" w:rsidRPr="00982E92" w:rsidRDefault="007E609E">
            <w:pPr>
              <w:spacing w:before="40" w:after="40" w:line="220" w:lineRule="exact"/>
              <w:rPr>
                <w:sz w:val="18"/>
                <w:szCs w:val="16"/>
              </w:rPr>
            </w:pPr>
            <w:r w:rsidRPr="00982E92">
              <w:rPr>
                <w:sz w:val="18"/>
                <w:szCs w:val="16"/>
              </w:rPr>
              <w:t>No consta</w:t>
            </w:r>
          </w:p>
        </w:tc>
        <w:tc>
          <w:tcPr>
            <w:tcW w:w="1015"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w:t>
            </w: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61</w:t>
            </w:r>
          </w:p>
        </w:tc>
        <w:tc>
          <w:tcPr>
            <w:tcW w:w="1015"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w:t>
            </w:r>
          </w:p>
        </w:tc>
        <w:tc>
          <w:tcPr>
            <w:tcW w:w="1015"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65</w:t>
            </w:r>
          </w:p>
        </w:tc>
      </w:tr>
      <w:tr w:rsidR="00982E92" w:rsidRPr="00982E92" w:rsidTr="00F36DAB">
        <w:trPr>
          <w:trHeight w:val="240"/>
        </w:trPr>
        <w:tc>
          <w:tcPr>
            <w:tcW w:w="1277" w:type="dxa"/>
            <w:tcBorders>
              <w:top w:val="single" w:sz="4" w:space="0" w:color="auto"/>
              <w:bottom w:val="single" w:sz="12" w:space="0" w:color="auto"/>
            </w:tcBorders>
            <w:shd w:val="clear" w:color="auto" w:fill="auto"/>
            <w:noWrap/>
            <w:hideMark/>
          </w:tcPr>
          <w:p w:rsidR="007E609E" w:rsidRPr="00982E92" w:rsidRDefault="00916B76" w:rsidP="00F36DAB">
            <w:pPr>
              <w:spacing w:before="80" w:after="80" w:line="220" w:lineRule="exact"/>
              <w:ind w:left="283"/>
              <w:rPr>
                <w:b/>
                <w:sz w:val="18"/>
                <w:szCs w:val="16"/>
              </w:rPr>
            </w:pPr>
            <w:r w:rsidRPr="00982E92">
              <w:rPr>
                <w:b/>
                <w:sz w:val="18"/>
                <w:szCs w:val="16"/>
              </w:rPr>
              <w:t>Total</w:t>
            </w:r>
          </w:p>
        </w:tc>
        <w:tc>
          <w:tcPr>
            <w:tcW w:w="1015"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4"/>
              </w:rPr>
            </w:pPr>
            <w:r w:rsidRPr="00F36DAB">
              <w:rPr>
                <w:b/>
                <w:sz w:val="18"/>
                <w:szCs w:val="14"/>
              </w:rPr>
              <w:t>609.628</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4"/>
              </w:rPr>
            </w:pPr>
            <w:r w:rsidRPr="00F36DAB">
              <w:rPr>
                <w:b/>
                <w:sz w:val="18"/>
                <w:szCs w:val="14"/>
              </w:rPr>
              <w:t>3.626.659</w:t>
            </w:r>
          </w:p>
        </w:tc>
        <w:tc>
          <w:tcPr>
            <w:tcW w:w="1015"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4"/>
              </w:rPr>
            </w:pPr>
            <w:r w:rsidRPr="00F36DAB">
              <w:rPr>
                <w:b/>
                <w:sz w:val="18"/>
                <w:szCs w:val="14"/>
              </w:rPr>
              <w:t>178.385</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4"/>
              </w:rPr>
            </w:pPr>
            <w:r w:rsidRPr="00F36DAB">
              <w:rPr>
                <w:b/>
                <w:sz w:val="18"/>
                <w:szCs w:val="14"/>
              </w:rPr>
              <w:t>177.177</w:t>
            </w:r>
          </w:p>
        </w:tc>
        <w:tc>
          <w:tcPr>
            <w:tcW w:w="1015"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4"/>
              </w:rPr>
            </w:pPr>
            <w:r w:rsidRPr="00F36DAB">
              <w:rPr>
                <w:b/>
                <w:sz w:val="18"/>
                <w:szCs w:val="14"/>
              </w:rPr>
              <w:t>11.338</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4"/>
              </w:rPr>
            </w:pPr>
            <w:r w:rsidRPr="00F36DAB">
              <w:rPr>
                <w:b/>
                <w:sz w:val="18"/>
                <w:szCs w:val="14"/>
              </w:rPr>
              <w:t>4.603.187</w:t>
            </w:r>
          </w:p>
        </w:tc>
      </w:tr>
    </w:tbl>
    <w:p w:rsidR="00982E92" w:rsidRDefault="00982E92" w:rsidP="00F36DAB">
      <w:pPr>
        <w:pStyle w:val="SingleTxtG"/>
      </w:pP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4"/>
        <w:gridCol w:w="1016"/>
        <w:gridCol w:w="1016"/>
        <w:gridCol w:w="1016"/>
        <w:gridCol w:w="1016"/>
        <w:gridCol w:w="1016"/>
        <w:gridCol w:w="1016"/>
      </w:tblGrid>
      <w:tr w:rsidR="0015269E" w:rsidRPr="0015269E" w:rsidTr="00F36DAB">
        <w:trPr>
          <w:trHeight w:val="240"/>
          <w:tblHeader/>
        </w:trPr>
        <w:tc>
          <w:tcPr>
            <w:tcW w:w="7370" w:type="dxa"/>
            <w:gridSpan w:val="7"/>
            <w:tcBorders>
              <w:top w:val="single" w:sz="12" w:space="0" w:color="auto"/>
              <w:bottom w:val="single" w:sz="4" w:space="0" w:color="auto"/>
            </w:tcBorders>
            <w:shd w:val="clear" w:color="auto" w:fill="auto"/>
            <w:noWrap/>
            <w:hideMark/>
          </w:tcPr>
          <w:p w:rsidR="007E609E" w:rsidRPr="00F36DAB" w:rsidRDefault="00982E92" w:rsidP="00F36DAB">
            <w:pPr>
              <w:spacing w:before="80" w:after="80" w:line="200" w:lineRule="exact"/>
              <w:jc w:val="center"/>
              <w:rPr>
                <w:sz w:val="18"/>
                <w:szCs w:val="16"/>
              </w:rPr>
            </w:pPr>
            <w:r w:rsidRPr="00F36DAB">
              <w:rPr>
                <w:bCs/>
                <w:i/>
                <w:sz w:val="16"/>
                <w:szCs w:val="16"/>
              </w:rPr>
              <w:t xml:space="preserve">Pensión </w:t>
            </w:r>
            <w:r w:rsidR="00916B76" w:rsidRPr="00F36DAB">
              <w:rPr>
                <w:bCs/>
                <w:i/>
                <w:sz w:val="16"/>
                <w:szCs w:val="16"/>
              </w:rPr>
              <w:t>media</w:t>
            </w:r>
          </w:p>
        </w:tc>
      </w:tr>
      <w:tr w:rsidR="0015269E" w:rsidRPr="0015269E" w:rsidTr="00F36DAB">
        <w:trPr>
          <w:trHeight w:val="240"/>
          <w:tblHeader/>
        </w:trPr>
        <w:tc>
          <w:tcPr>
            <w:tcW w:w="1274" w:type="dxa"/>
            <w:tcBorders>
              <w:top w:val="single" w:sz="4" w:space="0" w:color="auto"/>
            </w:tcBorders>
            <w:shd w:val="clear" w:color="auto" w:fill="auto"/>
            <w:noWrap/>
            <w:vAlign w:val="bottom"/>
            <w:hideMark/>
          </w:tcPr>
          <w:p w:rsidR="001302CD" w:rsidRPr="00F36DAB" w:rsidRDefault="00916B76" w:rsidP="00F36DAB">
            <w:pPr>
              <w:spacing w:before="80" w:after="80" w:line="200" w:lineRule="exact"/>
              <w:rPr>
                <w:bCs/>
                <w:i/>
                <w:sz w:val="16"/>
                <w:szCs w:val="16"/>
              </w:rPr>
            </w:pPr>
            <w:r w:rsidRPr="00F36DAB">
              <w:rPr>
                <w:bCs/>
                <w:i/>
                <w:sz w:val="16"/>
                <w:szCs w:val="16"/>
              </w:rPr>
              <w:t>Grupos de</w:t>
            </w:r>
            <w:r w:rsidR="00982E92" w:rsidRPr="00F36DAB">
              <w:rPr>
                <w:bCs/>
                <w:i/>
                <w:sz w:val="16"/>
                <w:szCs w:val="16"/>
              </w:rPr>
              <w:t xml:space="preserve"> </w:t>
            </w:r>
            <w:r w:rsidRPr="00F36DAB">
              <w:rPr>
                <w:bCs/>
                <w:i/>
                <w:sz w:val="16"/>
                <w:szCs w:val="16"/>
              </w:rPr>
              <w:t>edad</w:t>
            </w:r>
          </w:p>
        </w:tc>
        <w:tc>
          <w:tcPr>
            <w:tcW w:w="1016" w:type="dxa"/>
            <w:tcBorders>
              <w:top w:val="single" w:sz="4" w:space="0" w:color="auto"/>
            </w:tcBorders>
            <w:shd w:val="clear" w:color="auto" w:fill="auto"/>
            <w:noWrap/>
            <w:vAlign w:val="bottom"/>
            <w:hideMark/>
          </w:tcPr>
          <w:p w:rsidR="007E609E" w:rsidRPr="00F36DAB" w:rsidRDefault="00916B76" w:rsidP="00F36DAB">
            <w:pPr>
              <w:spacing w:before="80" w:after="80" w:line="200" w:lineRule="exact"/>
              <w:ind w:left="85" w:right="28"/>
              <w:jc w:val="right"/>
              <w:rPr>
                <w:bCs/>
                <w:i/>
                <w:sz w:val="16"/>
                <w:szCs w:val="16"/>
              </w:rPr>
            </w:pPr>
            <w:r w:rsidRPr="00F36DAB">
              <w:rPr>
                <w:bCs/>
                <w:i/>
                <w:sz w:val="16"/>
                <w:szCs w:val="16"/>
              </w:rPr>
              <w:t>Incapacidad permanente</w:t>
            </w:r>
            <w:r w:rsidR="00982E92" w:rsidRPr="00F36DAB">
              <w:rPr>
                <w:bCs/>
                <w:i/>
                <w:sz w:val="16"/>
                <w:szCs w:val="16"/>
              </w:rPr>
              <w:t>*</w:t>
            </w:r>
          </w:p>
        </w:tc>
        <w:tc>
          <w:tcPr>
            <w:tcW w:w="1016" w:type="dxa"/>
            <w:tcBorders>
              <w:top w:val="single" w:sz="4" w:space="0" w:color="auto"/>
            </w:tcBorders>
            <w:shd w:val="clear" w:color="auto" w:fill="auto"/>
            <w:noWrap/>
            <w:vAlign w:val="bottom"/>
            <w:hideMark/>
          </w:tcPr>
          <w:p w:rsidR="007E609E" w:rsidRPr="00F36DAB" w:rsidRDefault="00916B76" w:rsidP="00F36DAB">
            <w:pPr>
              <w:spacing w:before="80" w:after="80" w:line="200" w:lineRule="exact"/>
              <w:ind w:left="85" w:right="28"/>
              <w:jc w:val="right"/>
              <w:rPr>
                <w:bCs/>
                <w:i/>
                <w:sz w:val="16"/>
                <w:szCs w:val="16"/>
              </w:rPr>
            </w:pPr>
            <w:r w:rsidRPr="00F36DAB">
              <w:rPr>
                <w:bCs/>
                <w:i/>
                <w:sz w:val="16"/>
                <w:szCs w:val="16"/>
              </w:rPr>
              <w:t>Jubilación</w:t>
            </w:r>
            <w:r w:rsidR="00982E92" w:rsidRPr="00F36DAB">
              <w:rPr>
                <w:bCs/>
                <w:i/>
                <w:sz w:val="16"/>
                <w:szCs w:val="16"/>
              </w:rPr>
              <w:t>*</w:t>
            </w:r>
          </w:p>
        </w:tc>
        <w:tc>
          <w:tcPr>
            <w:tcW w:w="1016" w:type="dxa"/>
            <w:tcBorders>
              <w:top w:val="single" w:sz="4" w:space="0" w:color="auto"/>
            </w:tcBorders>
            <w:shd w:val="clear" w:color="auto" w:fill="auto"/>
            <w:noWrap/>
            <w:vAlign w:val="bottom"/>
            <w:hideMark/>
          </w:tcPr>
          <w:p w:rsidR="007E609E" w:rsidRPr="00F36DAB" w:rsidRDefault="00916B76" w:rsidP="00F36DAB">
            <w:pPr>
              <w:spacing w:before="80" w:after="80" w:line="200" w:lineRule="exact"/>
              <w:ind w:left="85" w:right="28"/>
              <w:jc w:val="right"/>
              <w:rPr>
                <w:bCs/>
                <w:i/>
                <w:sz w:val="16"/>
                <w:szCs w:val="16"/>
              </w:rPr>
            </w:pPr>
            <w:r w:rsidRPr="00F36DAB">
              <w:rPr>
                <w:bCs/>
                <w:i/>
                <w:sz w:val="16"/>
                <w:szCs w:val="16"/>
              </w:rPr>
              <w:t>Viudedad</w:t>
            </w:r>
          </w:p>
        </w:tc>
        <w:tc>
          <w:tcPr>
            <w:tcW w:w="1016" w:type="dxa"/>
            <w:tcBorders>
              <w:top w:val="single" w:sz="4" w:space="0" w:color="auto"/>
            </w:tcBorders>
            <w:shd w:val="clear" w:color="auto" w:fill="auto"/>
            <w:noWrap/>
            <w:vAlign w:val="bottom"/>
            <w:hideMark/>
          </w:tcPr>
          <w:p w:rsidR="007E609E" w:rsidRPr="00F36DAB" w:rsidRDefault="00916B76" w:rsidP="00F36DAB">
            <w:pPr>
              <w:spacing w:before="80" w:after="80" w:line="200" w:lineRule="exact"/>
              <w:ind w:left="85" w:right="28"/>
              <w:jc w:val="right"/>
              <w:rPr>
                <w:bCs/>
                <w:i/>
                <w:sz w:val="16"/>
                <w:szCs w:val="16"/>
              </w:rPr>
            </w:pPr>
            <w:r w:rsidRPr="00F36DAB">
              <w:rPr>
                <w:bCs/>
                <w:i/>
                <w:sz w:val="16"/>
                <w:szCs w:val="16"/>
              </w:rPr>
              <w:t>Orfandad</w:t>
            </w:r>
          </w:p>
        </w:tc>
        <w:tc>
          <w:tcPr>
            <w:tcW w:w="1016" w:type="dxa"/>
            <w:tcBorders>
              <w:top w:val="single" w:sz="4" w:space="0" w:color="auto"/>
            </w:tcBorders>
            <w:shd w:val="clear" w:color="auto" w:fill="auto"/>
            <w:noWrap/>
            <w:vAlign w:val="bottom"/>
            <w:hideMark/>
          </w:tcPr>
          <w:p w:rsidR="007E609E" w:rsidRPr="00F36DAB" w:rsidRDefault="00916B76" w:rsidP="00F36DAB">
            <w:pPr>
              <w:spacing w:before="80" w:after="80" w:line="200" w:lineRule="exact"/>
              <w:ind w:left="85" w:right="28"/>
              <w:jc w:val="right"/>
              <w:rPr>
                <w:bCs/>
                <w:i/>
                <w:sz w:val="16"/>
                <w:szCs w:val="16"/>
              </w:rPr>
            </w:pPr>
            <w:r w:rsidRPr="00F36DAB">
              <w:rPr>
                <w:bCs/>
                <w:i/>
                <w:sz w:val="16"/>
                <w:szCs w:val="16"/>
              </w:rPr>
              <w:t>Favor familiares</w:t>
            </w:r>
          </w:p>
        </w:tc>
        <w:tc>
          <w:tcPr>
            <w:tcW w:w="1016" w:type="dxa"/>
            <w:tcBorders>
              <w:top w:val="single" w:sz="4" w:space="0" w:color="auto"/>
            </w:tcBorders>
            <w:shd w:val="clear" w:color="auto" w:fill="auto"/>
            <w:noWrap/>
            <w:vAlign w:val="bottom"/>
            <w:hideMark/>
          </w:tcPr>
          <w:p w:rsidR="007E609E" w:rsidRPr="00F36DAB" w:rsidRDefault="00916B76" w:rsidP="00F36DAB">
            <w:pPr>
              <w:spacing w:before="80" w:after="80" w:line="200" w:lineRule="exact"/>
              <w:ind w:left="85" w:right="28"/>
              <w:jc w:val="right"/>
              <w:rPr>
                <w:bCs/>
                <w:i/>
                <w:sz w:val="16"/>
                <w:szCs w:val="16"/>
              </w:rPr>
            </w:pPr>
            <w:r w:rsidRPr="00F36DAB">
              <w:rPr>
                <w:bCs/>
                <w:i/>
                <w:sz w:val="16"/>
                <w:szCs w:val="16"/>
              </w:rPr>
              <w:t>Total</w:t>
            </w:r>
          </w:p>
        </w:tc>
      </w:tr>
      <w:tr w:rsidR="0015269E" w:rsidRPr="0015269E" w:rsidTr="0015269E">
        <w:trPr>
          <w:trHeight w:val="240"/>
        </w:trPr>
        <w:tc>
          <w:tcPr>
            <w:tcW w:w="1274" w:type="dxa"/>
            <w:tcBorders>
              <w:top w:val="single" w:sz="12" w:space="0" w:color="auto"/>
            </w:tcBorders>
            <w:shd w:val="clear" w:color="auto" w:fill="auto"/>
            <w:hideMark/>
          </w:tcPr>
          <w:p w:rsidR="007E609E" w:rsidRPr="0015269E" w:rsidRDefault="007E609E">
            <w:pPr>
              <w:spacing w:before="40" w:after="40" w:line="220" w:lineRule="exact"/>
              <w:rPr>
                <w:sz w:val="18"/>
                <w:szCs w:val="16"/>
              </w:rPr>
            </w:pPr>
            <w:r w:rsidRPr="0015269E">
              <w:rPr>
                <w:sz w:val="18"/>
                <w:szCs w:val="16"/>
              </w:rPr>
              <w:t>De 0 a 4 años</w:t>
            </w:r>
          </w:p>
        </w:tc>
        <w:tc>
          <w:tcPr>
            <w:tcW w:w="1016" w:type="dxa"/>
            <w:tcBorders>
              <w:top w:val="single" w:sz="12" w:space="0" w:color="auto"/>
            </w:tcBorders>
            <w:shd w:val="clear" w:color="auto" w:fill="auto"/>
            <w:hideMark/>
          </w:tcPr>
          <w:p w:rsidR="007E609E" w:rsidRPr="00F36DAB" w:rsidRDefault="00BB5656" w:rsidP="00F36DAB">
            <w:pPr>
              <w:spacing w:before="40" w:after="40" w:line="220" w:lineRule="exact"/>
              <w:ind w:left="85" w:right="28"/>
              <w:jc w:val="right"/>
              <w:rPr>
                <w:sz w:val="18"/>
                <w:szCs w:val="14"/>
              </w:rPr>
            </w:pPr>
            <w:r w:rsidRPr="00F36DAB">
              <w:rPr>
                <w:sz w:val="18"/>
                <w:szCs w:val="14"/>
              </w:rPr>
              <w:t xml:space="preserve"> </w:t>
            </w:r>
          </w:p>
        </w:tc>
        <w:tc>
          <w:tcPr>
            <w:tcW w:w="1016" w:type="dxa"/>
            <w:tcBorders>
              <w:top w:val="single" w:sz="12" w:space="0" w:color="auto"/>
            </w:tcBorders>
            <w:shd w:val="clear" w:color="auto" w:fill="auto"/>
            <w:hideMark/>
          </w:tcPr>
          <w:p w:rsidR="007E609E" w:rsidRPr="00F36DAB" w:rsidRDefault="00BB5656" w:rsidP="00F36DAB">
            <w:pPr>
              <w:spacing w:before="40" w:after="40" w:line="220" w:lineRule="exact"/>
              <w:ind w:left="85" w:right="28"/>
              <w:jc w:val="right"/>
              <w:rPr>
                <w:sz w:val="18"/>
                <w:szCs w:val="14"/>
              </w:rPr>
            </w:pPr>
            <w:r w:rsidRPr="00F36DAB">
              <w:rPr>
                <w:sz w:val="18"/>
                <w:szCs w:val="14"/>
              </w:rPr>
              <w:t xml:space="preserve"> </w:t>
            </w:r>
          </w:p>
        </w:tc>
        <w:tc>
          <w:tcPr>
            <w:tcW w:w="1016" w:type="dxa"/>
            <w:tcBorders>
              <w:top w:val="single" w:sz="12" w:space="0" w:color="auto"/>
            </w:tcBorders>
            <w:shd w:val="clear" w:color="auto" w:fill="auto"/>
            <w:hideMark/>
          </w:tcPr>
          <w:p w:rsidR="007E609E" w:rsidRPr="00F36DAB" w:rsidRDefault="00BB5656" w:rsidP="00F36DAB">
            <w:pPr>
              <w:spacing w:before="40" w:after="40" w:line="220" w:lineRule="exact"/>
              <w:ind w:left="85" w:right="28"/>
              <w:jc w:val="right"/>
              <w:rPr>
                <w:sz w:val="18"/>
                <w:szCs w:val="14"/>
              </w:rPr>
            </w:pPr>
            <w:r w:rsidRPr="00F36DAB">
              <w:rPr>
                <w:sz w:val="18"/>
                <w:szCs w:val="14"/>
              </w:rPr>
              <w:t xml:space="preserve"> </w:t>
            </w:r>
          </w:p>
        </w:tc>
        <w:tc>
          <w:tcPr>
            <w:tcW w:w="1016" w:type="dxa"/>
            <w:tcBorders>
              <w:top w:val="single" w:sz="12"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290,88</w:t>
            </w:r>
          </w:p>
        </w:tc>
        <w:tc>
          <w:tcPr>
            <w:tcW w:w="1016" w:type="dxa"/>
            <w:tcBorders>
              <w:top w:val="single" w:sz="12" w:space="0" w:color="auto"/>
            </w:tcBorders>
            <w:shd w:val="clear" w:color="auto" w:fill="auto"/>
            <w:hideMark/>
          </w:tcPr>
          <w:p w:rsidR="007E609E" w:rsidRPr="00F36DAB" w:rsidRDefault="00BB5656" w:rsidP="00F36DAB">
            <w:pPr>
              <w:spacing w:before="40" w:after="40" w:line="220" w:lineRule="exact"/>
              <w:ind w:left="85" w:right="28"/>
              <w:jc w:val="right"/>
              <w:rPr>
                <w:sz w:val="18"/>
                <w:szCs w:val="14"/>
              </w:rPr>
            </w:pPr>
            <w:r w:rsidRPr="00F36DAB">
              <w:rPr>
                <w:sz w:val="18"/>
                <w:szCs w:val="14"/>
              </w:rPr>
              <w:t xml:space="preserve"> </w:t>
            </w:r>
          </w:p>
        </w:tc>
        <w:tc>
          <w:tcPr>
            <w:tcW w:w="1016" w:type="dxa"/>
            <w:tcBorders>
              <w:top w:val="single" w:sz="12"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290,88</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5 a 9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290,36</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293,03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290,37</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10 a 14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286,45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261,30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286,43</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15 a 19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358,47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287,76</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253,58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287,71</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20 a 24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660,30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529,80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296,00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319,41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298,17</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25 a 29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725,45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568,30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327,26</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270,43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543,01</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30 a 34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792,88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612,55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350,75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270,50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703,77</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35 a 39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848,84</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643,02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369,17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253,43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770,67</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40 a 44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867,40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658,93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407,73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231,61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793,13</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45 a 49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876,52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2.109,80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628,22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457,06</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484,27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808,38</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50 a 54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906,11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2.308,62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612,49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502,42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504,45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845,13</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55 a 59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1.051,21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2.166,14</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603,47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534,50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535,99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1.043,55</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60 a 64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1.124,08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1.555,33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608,83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562,11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539,95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1.327,25</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65 a 69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1.085,08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1.373,63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545,44</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561,39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562,28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1.350,23</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70 a 74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381,44</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1.279,37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479,49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565,87</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530,35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1.256,80</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De 75 a 79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386,25</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1.129,38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438,68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568,10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505,40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1.105,54</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lastRenderedPageBreak/>
              <w:t>De 80 a 84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390,51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1.035,22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409,33</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570,18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465,41</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1.004,24</w:t>
            </w:r>
          </w:p>
        </w:tc>
      </w:tr>
      <w:tr w:rsidR="0015269E" w:rsidRPr="0015269E" w:rsidTr="00F36DAB">
        <w:trPr>
          <w:trHeight w:val="240"/>
        </w:trPr>
        <w:tc>
          <w:tcPr>
            <w:tcW w:w="1274" w:type="dxa"/>
            <w:shd w:val="clear" w:color="auto" w:fill="auto"/>
            <w:hideMark/>
          </w:tcPr>
          <w:p w:rsidR="007E609E" w:rsidRPr="0015269E" w:rsidRDefault="007E609E">
            <w:pPr>
              <w:spacing w:before="40" w:after="40" w:line="220" w:lineRule="exact"/>
              <w:rPr>
                <w:sz w:val="18"/>
                <w:szCs w:val="16"/>
              </w:rPr>
            </w:pPr>
            <w:r w:rsidRPr="0015269E">
              <w:rPr>
                <w:sz w:val="18"/>
                <w:szCs w:val="16"/>
              </w:rPr>
              <w:t>Más de 85 años</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389,28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949,29</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376,42</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617,20</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447,58</w:t>
            </w:r>
          </w:p>
        </w:tc>
        <w:tc>
          <w:tcPr>
            <w:tcW w:w="1016" w:type="dxa"/>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899,42</w:t>
            </w:r>
          </w:p>
        </w:tc>
      </w:tr>
      <w:tr w:rsidR="0015269E" w:rsidRPr="0015269E" w:rsidTr="00F36DAB">
        <w:trPr>
          <w:trHeight w:val="240"/>
        </w:trPr>
        <w:tc>
          <w:tcPr>
            <w:tcW w:w="1274" w:type="dxa"/>
            <w:tcBorders>
              <w:bottom w:val="single" w:sz="4" w:space="0" w:color="auto"/>
            </w:tcBorders>
            <w:shd w:val="clear" w:color="auto" w:fill="auto"/>
            <w:hideMark/>
          </w:tcPr>
          <w:p w:rsidR="007E609E" w:rsidRPr="0015269E" w:rsidRDefault="007E609E">
            <w:pPr>
              <w:spacing w:before="40" w:after="40" w:line="220" w:lineRule="exact"/>
              <w:rPr>
                <w:sz w:val="18"/>
                <w:szCs w:val="16"/>
              </w:rPr>
            </w:pPr>
            <w:r w:rsidRPr="0015269E">
              <w:rPr>
                <w:sz w:val="18"/>
                <w:szCs w:val="16"/>
              </w:rPr>
              <w:t>No consta</w:t>
            </w: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938,77</w:t>
            </w: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1.460,19</w:t>
            </w: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677,70</w:t>
            </w: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p>
        </w:tc>
        <w:tc>
          <w:tcPr>
            <w:tcW w:w="1016" w:type="dxa"/>
            <w:tcBorders>
              <w:bottom w:val="single" w:sz="4" w:space="0" w:color="auto"/>
            </w:tcBorders>
            <w:shd w:val="clear" w:color="auto" w:fill="auto"/>
            <w:hideMark/>
          </w:tcPr>
          <w:p w:rsidR="007E609E" w:rsidRPr="00F36DAB" w:rsidRDefault="007E609E" w:rsidP="00F36DAB">
            <w:pPr>
              <w:spacing w:before="40" w:after="40" w:line="220" w:lineRule="exact"/>
              <w:ind w:left="85" w:right="28"/>
              <w:jc w:val="right"/>
              <w:rPr>
                <w:sz w:val="18"/>
                <w:szCs w:val="14"/>
              </w:rPr>
            </w:pPr>
            <w:r w:rsidRPr="00F36DAB">
              <w:rPr>
                <w:sz w:val="18"/>
                <w:szCs w:val="14"/>
              </w:rPr>
              <w:t>1.424,09</w:t>
            </w:r>
          </w:p>
        </w:tc>
      </w:tr>
      <w:tr w:rsidR="0015269E" w:rsidRPr="0015269E" w:rsidTr="00F36DAB">
        <w:trPr>
          <w:trHeight w:val="240"/>
        </w:trPr>
        <w:tc>
          <w:tcPr>
            <w:tcW w:w="1274"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283"/>
              <w:rPr>
                <w:b/>
                <w:sz w:val="18"/>
                <w:szCs w:val="16"/>
              </w:rPr>
            </w:pPr>
            <w:r w:rsidRPr="00F36DAB">
              <w:rPr>
                <w:b/>
                <w:sz w:val="18"/>
                <w:szCs w:val="16"/>
              </w:rPr>
              <w:t>T</w:t>
            </w:r>
            <w:r w:rsidR="0015269E" w:rsidRPr="00F36DAB">
              <w:rPr>
                <w:b/>
                <w:sz w:val="18"/>
                <w:szCs w:val="16"/>
              </w:rPr>
              <w:t>otal</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6"/>
              </w:rPr>
            </w:pPr>
            <w:r w:rsidRPr="00F36DAB">
              <w:rPr>
                <w:b/>
                <w:sz w:val="18"/>
                <w:szCs w:val="16"/>
              </w:rPr>
              <w:t>995,13</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6"/>
              </w:rPr>
            </w:pPr>
            <w:r w:rsidRPr="00F36DAB">
              <w:rPr>
                <w:b/>
                <w:sz w:val="18"/>
                <w:szCs w:val="16"/>
              </w:rPr>
              <w:t>1.223,73</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6"/>
              </w:rPr>
            </w:pPr>
            <w:r w:rsidRPr="00F36DAB">
              <w:rPr>
                <w:b/>
                <w:sz w:val="18"/>
                <w:szCs w:val="16"/>
              </w:rPr>
              <w:t>484,54</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6"/>
              </w:rPr>
            </w:pPr>
            <w:r w:rsidRPr="00F36DAB">
              <w:rPr>
                <w:b/>
                <w:sz w:val="18"/>
                <w:szCs w:val="16"/>
              </w:rPr>
              <w:t>377,80</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6"/>
              </w:rPr>
            </w:pPr>
            <w:r w:rsidRPr="00F36DAB">
              <w:rPr>
                <w:b/>
                <w:sz w:val="18"/>
                <w:szCs w:val="16"/>
              </w:rPr>
              <w:t>496,99</w:t>
            </w:r>
          </w:p>
        </w:tc>
        <w:tc>
          <w:tcPr>
            <w:tcW w:w="1016" w:type="dxa"/>
            <w:tcBorders>
              <w:top w:val="single" w:sz="4" w:space="0" w:color="auto"/>
              <w:bottom w:val="single" w:sz="12" w:space="0" w:color="auto"/>
            </w:tcBorders>
            <w:shd w:val="clear" w:color="auto" w:fill="auto"/>
            <w:hideMark/>
          </w:tcPr>
          <w:p w:rsidR="007E609E" w:rsidRPr="00F36DAB" w:rsidRDefault="007E609E" w:rsidP="00F36DAB">
            <w:pPr>
              <w:spacing w:before="80" w:after="80" w:line="220" w:lineRule="exact"/>
              <w:ind w:left="85" w:right="28"/>
              <w:jc w:val="right"/>
              <w:rPr>
                <w:b/>
                <w:sz w:val="18"/>
                <w:szCs w:val="16"/>
              </w:rPr>
            </w:pPr>
            <w:r w:rsidRPr="00F36DAB">
              <w:rPr>
                <w:b/>
                <w:sz w:val="18"/>
                <w:szCs w:val="16"/>
              </w:rPr>
              <w:t>1.130,46</w:t>
            </w:r>
          </w:p>
        </w:tc>
      </w:tr>
    </w:tbl>
    <w:p w:rsidR="00916B76" w:rsidRPr="00F36DAB" w:rsidRDefault="00030821" w:rsidP="00F36DAB">
      <w:pPr>
        <w:pStyle w:val="H23G"/>
        <w:rPr>
          <w:b w:val="0"/>
          <w:sz w:val="16"/>
        </w:rPr>
      </w:pPr>
      <w:r>
        <w:tab/>
      </w:r>
      <w:r>
        <w:tab/>
      </w:r>
      <w:r w:rsidR="00916B76" w:rsidRPr="00916B76">
        <w:t>Pensiones en vigor en 1 de enero de 2017</w:t>
      </w:r>
      <w:r w:rsidR="003E619E">
        <w:t>, d</w:t>
      </w:r>
      <w:r w:rsidR="00916B76" w:rsidRPr="00916B76">
        <w:t xml:space="preserve">istribución por </w:t>
      </w:r>
      <w:r w:rsidR="003E619E" w:rsidRPr="00916B76">
        <w:t>clases</w:t>
      </w:r>
      <w:r w:rsidR="003E619E">
        <w:br/>
      </w:r>
      <w:r w:rsidR="00916B76" w:rsidRPr="00916B76">
        <w:t>y grupos de edad</w:t>
      </w:r>
      <w:r w:rsidR="00916B76">
        <w:br/>
      </w:r>
      <w:r w:rsidRPr="00F36DAB">
        <w:rPr>
          <w:b w:val="0"/>
          <w:sz w:val="16"/>
        </w:rPr>
        <w:t>(</w:t>
      </w:r>
      <w:r w:rsidR="00916B76" w:rsidRPr="00F36DAB">
        <w:rPr>
          <w:b w:val="0"/>
          <w:sz w:val="16"/>
        </w:rPr>
        <w:t>Mu</w:t>
      </w:r>
      <w:r w:rsidR="00044A44" w:rsidRPr="00F36DAB">
        <w:rPr>
          <w:b w:val="0"/>
          <w:sz w:val="16"/>
        </w:rPr>
        <w:t>j</w:t>
      </w:r>
      <w:r w:rsidR="00916B76" w:rsidRPr="00F36DAB">
        <w:rPr>
          <w:b w:val="0"/>
          <w:sz w:val="16"/>
        </w:rPr>
        <w:t>eres</w:t>
      </w:r>
      <w:r w:rsidRPr="00F36DAB">
        <w:rPr>
          <w:b w:val="0"/>
          <w:sz w:val="16"/>
        </w:rPr>
        <w:t>)</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88"/>
        <w:gridCol w:w="1013"/>
        <w:gridCol w:w="1014"/>
        <w:gridCol w:w="1014"/>
        <w:gridCol w:w="1013"/>
        <w:gridCol w:w="1014"/>
        <w:gridCol w:w="1021"/>
      </w:tblGrid>
      <w:tr w:rsidR="009D3089" w:rsidRPr="009D3089" w:rsidTr="00F36DAB">
        <w:trPr>
          <w:trHeight w:val="240"/>
          <w:tblHeader/>
        </w:trPr>
        <w:tc>
          <w:tcPr>
            <w:tcW w:w="7377" w:type="dxa"/>
            <w:gridSpan w:val="7"/>
            <w:tcBorders>
              <w:top w:val="single" w:sz="4" w:space="0" w:color="auto"/>
              <w:bottom w:val="single" w:sz="4" w:space="0" w:color="auto"/>
            </w:tcBorders>
            <w:shd w:val="clear" w:color="auto" w:fill="auto"/>
            <w:noWrap/>
            <w:vAlign w:val="bottom"/>
            <w:hideMark/>
          </w:tcPr>
          <w:p w:rsidR="00916B76" w:rsidRPr="009D3089" w:rsidRDefault="00916B76" w:rsidP="00F36DAB">
            <w:pPr>
              <w:spacing w:before="80" w:after="80" w:line="200" w:lineRule="exact"/>
              <w:jc w:val="center"/>
              <w:rPr>
                <w:bCs/>
                <w:i/>
                <w:sz w:val="16"/>
                <w:szCs w:val="16"/>
              </w:rPr>
            </w:pPr>
            <w:r w:rsidRPr="009D3089">
              <w:rPr>
                <w:bCs/>
                <w:i/>
                <w:sz w:val="16"/>
                <w:szCs w:val="16"/>
              </w:rPr>
              <w:t>N</w:t>
            </w:r>
            <w:r w:rsidR="009D3089" w:rsidRPr="009D3089">
              <w:rPr>
                <w:bCs/>
                <w:i/>
                <w:sz w:val="16"/>
                <w:szCs w:val="16"/>
              </w:rPr>
              <w:t>úmero</w:t>
            </w:r>
          </w:p>
        </w:tc>
      </w:tr>
      <w:tr w:rsidR="009D3089" w:rsidRPr="009D3089" w:rsidTr="00F36DAB">
        <w:trPr>
          <w:trHeight w:val="240"/>
          <w:tblHeader/>
        </w:trPr>
        <w:tc>
          <w:tcPr>
            <w:tcW w:w="1288" w:type="dxa"/>
            <w:tcBorders>
              <w:top w:val="single" w:sz="4" w:space="0" w:color="auto"/>
              <w:bottom w:val="single" w:sz="12" w:space="0" w:color="auto"/>
            </w:tcBorders>
            <w:shd w:val="clear" w:color="auto" w:fill="auto"/>
            <w:vAlign w:val="bottom"/>
          </w:tcPr>
          <w:p w:rsidR="00916B76" w:rsidRPr="009D3089" w:rsidRDefault="00985267" w:rsidP="00F36DAB">
            <w:pPr>
              <w:spacing w:before="80" w:after="80" w:line="200" w:lineRule="exact"/>
              <w:rPr>
                <w:sz w:val="18"/>
                <w:szCs w:val="16"/>
              </w:rPr>
            </w:pPr>
            <w:r w:rsidRPr="00F36DAB">
              <w:rPr>
                <w:bCs/>
                <w:i/>
                <w:sz w:val="16"/>
                <w:szCs w:val="16"/>
              </w:rPr>
              <w:t>Grupos de edad</w:t>
            </w:r>
          </w:p>
        </w:tc>
        <w:tc>
          <w:tcPr>
            <w:tcW w:w="1013" w:type="dxa"/>
            <w:tcBorders>
              <w:top w:val="single" w:sz="4" w:space="0" w:color="auto"/>
              <w:bottom w:val="nil"/>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Incapacidad permanente</w:t>
            </w:r>
            <w:r w:rsidR="00BB19A7" w:rsidRPr="00F36DAB">
              <w:rPr>
                <w:bCs/>
                <w:i/>
                <w:sz w:val="16"/>
                <w:szCs w:val="16"/>
              </w:rPr>
              <w:t>*</w:t>
            </w:r>
          </w:p>
        </w:tc>
        <w:tc>
          <w:tcPr>
            <w:tcW w:w="1014" w:type="dxa"/>
            <w:tcBorders>
              <w:top w:val="single" w:sz="4" w:space="0" w:color="auto"/>
              <w:bottom w:val="nil"/>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Jubilación</w:t>
            </w:r>
            <w:r w:rsidR="00BB19A7" w:rsidRPr="00F36DAB">
              <w:rPr>
                <w:bCs/>
                <w:i/>
                <w:sz w:val="16"/>
                <w:szCs w:val="16"/>
              </w:rPr>
              <w:t>*</w:t>
            </w:r>
          </w:p>
        </w:tc>
        <w:tc>
          <w:tcPr>
            <w:tcW w:w="1014" w:type="dxa"/>
            <w:tcBorders>
              <w:top w:val="single" w:sz="4" w:space="0" w:color="auto"/>
              <w:bottom w:val="nil"/>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Viudedad</w:t>
            </w:r>
          </w:p>
        </w:tc>
        <w:tc>
          <w:tcPr>
            <w:tcW w:w="1013" w:type="dxa"/>
            <w:tcBorders>
              <w:top w:val="single" w:sz="4" w:space="0" w:color="auto"/>
              <w:bottom w:val="nil"/>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Orfandad</w:t>
            </w:r>
          </w:p>
        </w:tc>
        <w:tc>
          <w:tcPr>
            <w:tcW w:w="1014" w:type="dxa"/>
            <w:tcBorders>
              <w:top w:val="single" w:sz="4" w:space="0" w:color="auto"/>
              <w:bottom w:val="nil"/>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Favor familiares</w:t>
            </w:r>
          </w:p>
        </w:tc>
        <w:tc>
          <w:tcPr>
            <w:tcW w:w="1021" w:type="dxa"/>
            <w:tcBorders>
              <w:top w:val="single" w:sz="4" w:space="0" w:color="auto"/>
              <w:bottom w:val="nil"/>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Total</w:t>
            </w:r>
          </w:p>
        </w:tc>
      </w:tr>
      <w:tr w:rsidR="009D3089" w:rsidRPr="009D3089" w:rsidTr="00F36DAB">
        <w:trPr>
          <w:trHeight w:val="240"/>
        </w:trPr>
        <w:tc>
          <w:tcPr>
            <w:tcW w:w="1288" w:type="dxa"/>
            <w:tcBorders>
              <w:top w:val="single" w:sz="12" w:space="0" w:color="auto"/>
            </w:tcBorders>
            <w:shd w:val="clear" w:color="auto" w:fill="auto"/>
            <w:hideMark/>
          </w:tcPr>
          <w:p w:rsidR="00916B76" w:rsidRPr="009D3089" w:rsidRDefault="00916B76">
            <w:pPr>
              <w:spacing w:before="40" w:after="40" w:line="220" w:lineRule="exact"/>
              <w:rPr>
                <w:sz w:val="18"/>
                <w:szCs w:val="16"/>
              </w:rPr>
            </w:pPr>
            <w:r w:rsidRPr="009D3089">
              <w:rPr>
                <w:sz w:val="18"/>
                <w:szCs w:val="16"/>
              </w:rPr>
              <w:t>De 0 a 4 años</w:t>
            </w:r>
          </w:p>
        </w:tc>
        <w:tc>
          <w:tcPr>
            <w:tcW w:w="1013" w:type="dxa"/>
            <w:tcBorders>
              <w:top w:val="single" w:sz="12" w:space="0" w:color="auto"/>
            </w:tcBorders>
            <w:shd w:val="clear" w:color="auto" w:fill="auto"/>
          </w:tcPr>
          <w:p w:rsidR="00916B76" w:rsidRPr="00F36DAB" w:rsidRDefault="00916B76" w:rsidP="00F36DAB">
            <w:pPr>
              <w:spacing w:before="40" w:after="40" w:line="220" w:lineRule="exact"/>
              <w:ind w:left="85" w:right="28"/>
              <w:jc w:val="right"/>
              <w:rPr>
                <w:sz w:val="18"/>
                <w:szCs w:val="14"/>
              </w:rPr>
            </w:pPr>
          </w:p>
        </w:tc>
        <w:tc>
          <w:tcPr>
            <w:tcW w:w="1014" w:type="dxa"/>
            <w:tcBorders>
              <w:top w:val="single" w:sz="12" w:space="0" w:color="auto"/>
            </w:tcBorders>
            <w:shd w:val="clear" w:color="auto" w:fill="auto"/>
          </w:tcPr>
          <w:p w:rsidR="00916B76" w:rsidRPr="00F36DAB" w:rsidRDefault="00916B76" w:rsidP="00F36DAB">
            <w:pPr>
              <w:spacing w:before="40" w:after="40" w:line="220" w:lineRule="exact"/>
              <w:ind w:left="85" w:right="28"/>
              <w:jc w:val="right"/>
              <w:rPr>
                <w:sz w:val="18"/>
                <w:szCs w:val="14"/>
              </w:rPr>
            </w:pPr>
          </w:p>
        </w:tc>
        <w:tc>
          <w:tcPr>
            <w:tcW w:w="1014" w:type="dxa"/>
            <w:tcBorders>
              <w:top w:val="single" w:sz="12" w:space="0" w:color="auto"/>
            </w:tcBorders>
            <w:shd w:val="clear" w:color="auto" w:fill="auto"/>
          </w:tcPr>
          <w:p w:rsidR="00916B76" w:rsidRPr="00F36DAB" w:rsidRDefault="00916B76" w:rsidP="00F36DAB">
            <w:pPr>
              <w:spacing w:before="40" w:after="40" w:line="220" w:lineRule="exact"/>
              <w:ind w:left="85" w:right="28"/>
              <w:jc w:val="right"/>
              <w:rPr>
                <w:sz w:val="18"/>
                <w:szCs w:val="14"/>
              </w:rPr>
            </w:pPr>
          </w:p>
        </w:tc>
        <w:tc>
          <w:tcPr>
            <w:tcW w:w="1013" w:type="dxa"/>
            <w:tcBorders>
              <w:top w:val="single" w:sz="12" w:space="0" w:color="auto"/>
            </w:tcBorders>
            <w:shd w:val="clear" w:color="auto" w:fill="auto"/>
          </w:tcPr>
          <w:p w:rsidR="00916B76" w:rsidRPr="00F36DAB" w:rsidRDefault="00916B76" w:rsidP="00F36DAB">
            <w:pPr>
              <w:spacing w:before="40" w:after="40" w:line="220" w:lineRule="exact"/>
              <w:ind w:left="85" w:right="28"/>
              <w:jc w:val="right"/>
              <w:rPr>
                <w:sz w:val="18"/>
                <w:szCs w:val="14"/>
              </w:rPr>
            </w:pPr>
          </w:p>
        </w:tc>
        <w:tc>
          <w:tcPr>
            <w:tcW w:w="1014" w:type="dxa"/>
            <w:tcBorders>
              <w:top w:val="single" w:sz="12"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w:t>
            </w:r>
            <w:r w:rsidR="00666B89">
              <w:rPr>
                <w:sz w:val="18"/>
                <w:szCs w:val="14"/>
              </w:rPr>
              <w:t>.</w:t>
            </w:r>
            <w:r w:rsidRPr="00F36DAB">
              <w:rPr>
                <w:sz w:val="18"/>
                <w:szCs w:val="14"/>
              </w:rPr>
              <w:t>386</w:t>
            </w:r>
          </w:p>
        </w:tc>
        <w:tc>
          <w:tcPr>
            <w:tcW w:w="1021" w:type="dxa"/>
            <w:tcBorders>
              <w:top w:val="single" w:sz="12"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w:t>
            </w:r>
            <w:r w:rsidR="00666B89">
              <w:rPr>
                <w:sz w:val="18"/>
                <w:szCs w:val="14"/>
              </w:rPr>
              <w:t>.</w:t>
            </w:r>
            <w:r w:rsidRPr="00F36DAB">
              <w:rPr>
                <w:sz w:val="18"/>
                <w:szCs w:val="14"/>
              </w:rPr>
              <w:t>386</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5 a 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6.877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6.883</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10 a 14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16.046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19</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16.065</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15 a 19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27.997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40</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28.038</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20 a 24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23</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44.243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45</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44.407</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25 a 29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1.213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323</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1.974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245</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3.755</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30 a 34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4.960</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1.664</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1.694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173</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8.491</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35 a 39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13.404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5.619</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3.340</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169</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22.532</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40 a 44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25.049</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13.399</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5.557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219</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44.224</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45 a 49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38.717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29.456</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7.852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840</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76.883</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50 a 54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55.984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180</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54.984</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9.561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2.540</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123.249</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55 a 59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82.752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637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89.631</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9.471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3.731</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186.222</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60 a 64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99.625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92.538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128.179</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7.768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3.980</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332.090</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65 a 69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633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547.216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187.702</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6.312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3.483</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745.346</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70 a 74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122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483.667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264.231</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4.751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3.200</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755.971</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75 a 79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290</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347.567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313.774</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2.882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2.502</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667.015</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De 80 a 84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1.137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320.353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444.113</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2.174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2.903</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770.680</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Más de 85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9.536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365.411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647.514</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1.457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4.818</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1.028.736</w:t>
            </w:r>
          </w:p>
        </w:tc>
      </w:tr>
      <w:tr w:rsidR="009D3089" w:rsidRPr="009D3089" w:rsidTr="00F36DAB">
        <w:trPr>
          <w:trHeight w:val="240"/>
        </w:trPr>
        <w:tc>
          <w:tcPr>
            <w:tcW w:w="1288" w:type="dxa"/>
            <w:shd w:val="clear" w:color="auto" w:fill="auto"/>
            <w:hideMark/>
          </w:tcPr>
          <w:p w:rsidR="00916B76" w:rsidRPr="009D3089" w:rsidRDefault="00916B76">
            <w:pPr>
              <w:spacing w:before="40" w:after="40" w:line="220" w:lineRule="exact"/>
              <w:rPr>
                <w:sz w:val="18"/>
                <w:szCs w:val="16"/>
              </w:rPr>
            </w:pPr>
            <w:r w:rsidRPr="009D3089">
              <w:rPr>
                <w:sz w:val="18"/>
                <w:szCs w:val="16"/>
              </w:rPr>
              <w:t>No consta</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54</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w:t>
            </w:r>
          </w:p>
        </w:tc>
        <w:tc>
          <w:tcPr>
            <w:tcW w:w="1021"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76</w:t>
            </w:r>
          </w:p>
        </w:tc>
      </w:tr>
      <w:tr w:rsidR="009D3089" w:rsidRPr="009D3089" w:rsidTr="00F36DAB">
        <w:trPr>
          <w:trHeight w:val="240"/>
        </w:trPr>
        <w:tc>
          <w:tcPr>
            <w:tcW w:w="1288" w:type="dxa"/>
            <w:tcBorders>
              <w:top w:val="single" w:sz="4" w:space="0" w:color="auto"/>
              <w:bottom w:val="single" w:sz="12" w:space="0" w:color="auto"/>
            </w:tcBorders>
            <w:shd w:val="clear" w:color="auto" w:fill="auto"/>
            <w:hideMark/>
          </w:tcPr>
          <w:p w:rsidR="00916B76" w:rsidRPr="00F36DAB" w:rsidRDefault="00985267" w:rsidP="00F36DAB">
            <w:pPr>
              <w:spacing w:before="80" w:after="80" w:line="220" w:lineRule="exact"/>
              <w:ind w:left="283"/>
              <w:rPr>
                <w:b/>
                <w:sz w:val="18"/>
                <w:szCs w:val="16"/>
              </w:rPr>
            </w:pPr>
            <w:r w:rsidRPr="00F36DAB">
              <w:rPr>
                <w:b/>
                <w:sz w:val="18"/>
                <w:szCs w:val="16"/>
              </w:rPr>
              <w:t>Total</w:t>
            </w:r>
          </w:p>
        </w:tc>
        <w:tc>
          <w:tcPr>
            <w:tcW w:w="1013"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4"/>
              </w:rPr>
            </w:pPr>
            <w:r w:rsidRPr="00F36DAB">
              <w:rPr>
                <w:b/>
                <w:sz w:val="18"/>
                <w:szCs w:val="14"/>
              </w:rPr>
              <w:t>333.521</w:t>
            </w:r>
          </w:p>
        </w:tc>
        <w:tc>
          <w:tcPr>
            <w:tcW w:w="1014"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4"/>
              </w:rPr>
            </w:pPr>
            <w:r w:rsidRPr="00F36DAB">
              <w:rPr>
                <w:b/>
                <w:sz w:val="18"/>
                <w:szCs w:val="14"/>
              </w:rPr>
              <w:t>2.157.604</w:t>
            </w:r>
          </w:p>
        </w:tc>
        <w:tc>
          <w:tcPr>
            <w:tcW w:w="1014"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4"/>
              </w:rPr>
            </w:pPr>
            <w:r w:rsidRPr="00F36DAB">
              <w:rPr>
                <w:b/>
                <w:sz w:val="18"/>
                <w:szCs w:val="14"/>
              </w:rPr>
              <w:t>2.180.666</w:t>
            </w:r>
          </w:p>
        </w:tc>
        <w:tc>
          <w:tcPr>
            <w:tcW w:w="1013"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4"/>
              </w:rPr>
            </w:pPr>
            <w:r w:rsidRPr="00F36DAB">
              <w:rPr>
                <w:b/>
                <w:sz w:val="18"/>
                <w:szCs w:val="14"/>
              </w:rPr>
              <w:t>161.344</w:t>
            </w:r>
          </w:p>
        </w:tc>
        <w:tc>
          <w:tcPr>
            <w:tcW w:w="1014"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4"/>
              </w:rPr>
            </w:pPr>
            <w:r w:rsidRPr="00F36DAB">
              <w:rPr>
                <w:b/>
                <w:sz w:val="18"/>
                <w:szCs w:val="14"/>
              </w:rPr>
              <w:t>28.914</w:t>
            </w:r>
          </w:p>
        </w:tc>
        <w:tc>
          <w:tcPr>
            <w:tcW w:w="1021"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4"/>
              </w:rPr>
            </w:pPr>
            <w:r w:rsidRPr="00F36DAB">
              <w:rPr>
                <w:b/>
                <w:sz w:val="18"/>
                <w:szCs w:val="14"/>
              </w:rPr>
              <w:t>4.862.049</w:t>
            </w:r>
          </w:p>
        </w:tc>
      </w:tr>
    </w:tbl>
    <w:p w:rsidR="009D3089" w:rsidRDefault="009D3089"/>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88"/>
        <w:gridCol w:w="1013"/>
        <w:gridCol w:w="1014"/>
        <w:gridCol w:w="1014"/>
        <w:gridCol w:w="1013"/>
        <w:gridCol w:w="1014"/>
        <w:gridCol w:w="1014"/>
      </w:tblGrid>
      <w:tr w:rsidR="00832418" w:rsidRPr="00832418" w:rsidTr="00F36DAB">
        <w:trPr>
          <w:trHeight w:val="240"/>
          <w:tblHeader/>
        </w:trPr>
        <w:tc>
          <w:tcPr>
            <w:tcW w:w="7370" w:type="dxa"/>
            <w:gridSpan w:val="7"/>
            <w:tcBorders>
              <w:top w:val="single" w:sz="4" w:space="0" w:color="auto"/>
              <w:bottom w:val="single" w:sz="4" w:space="0" w:color="auto"/>
            </w:tcBorders>
            <w:shd w:val="clear" w:color="auto" w:fill="auto"/>
            <w:noWrap/>
            <w:vAlign w:val="bottom"/>
            <w:hideMark/>
          </w:tcPr>
          <w:p w:rsidR="00916B76" w:rsidRPr="00F36DAB" w:rsidRDefault="00985267" w:rsidP="00F36DAB">
            <w:pPr>
              <w:spacing w:before="80" w:after="80" w:line="200" w:lineRule="exact"/>
              <w:jc w:val="center"/>
              <w:rPr>
                <w:i/>
                <w:sz w:val="16"/>
                <w:szCs w:val="16"/>
              </w:rPr>
            </w:pPr>
            <w:r w:rsidRPr="00F36DAB">
              <w:rPr>
                <w:i/>
                <w:sz w:val="16"/>
                <w:szCs w:val="16"/>
              </w:rPr>
              <w:t>Pensión media</w:t>
            </w:r>
          </w:p>
        </w:tc>
      </w:tr>
      <w:tr w:rsidR="00010510" w:rsidRPr="00832418" w:rsidTr="00F36DAB">
        <w:trPr>
          <w:trHeight w:val="240"/>
          <w:tblHeader/>
        </w:trPr>
        <w:tc>
          <w:tcPr>
            <w:tcW w:w="1288" w:type="dxa"/>
            <w:tcBorders>
              <w:top w:val="single" w:sz="4" w:space="0" w:color="auto"/>
            </w:tcBorders>
            <w:shd w:val="clear" w:color="auto" w:fill="auto"/>
            <w:vAlign w:val="bottom"/>
          </w:tcPr>
          <w:p w:rsidR="00916B76" w:rsidRPr="00F36DAB" w:rsidRDefault="00985267" w:rsidP="00F36DAB">
            <w:pPr>
              <w:spacing w:before="80" w:after="80" w:line="200" w:lineRule="exact"/>
              <w:rPr>
                <w:bCs/>
                <w:i/>
                <w:sz w:val="16"/>
                <w:szCs w:val="16"/>
              </w:rPr>
            </w:pPr>
            <w:r w:rsidRPr="00F36DAB">
              <w:rPr>
                <w:bCs/>
                <w:i/>
                <w:sz w:val="16"/>
                <w:szCs w:val="16"/>
              </w:rPr>
              <w:t>Grupos de edad</w:t>
            </w:r>
          </w:p>
        </w:tc>
        <w:tc>
          <w:tcPr>
            <w:tcW w:w="1013" w:type="dxa"/>
            <w:tcBorders>
              <w:top w:val="single" w:sz="4" w:space="0" w:color="auto"/>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Incapacidad permanente</w:t>
            </w:r>
            <w:r w:rsidR="009D3089" w:rsidRPr="00F36DAB">
              <w:rPr>
                <w:bCs/>
                <w:i/>
                <w:sz w:val="16"/>
                <w:szCs w:val="16"/>
              </w:rPr>
              <w:t>*</w:t>
            </w:r>
          </w:p>
        </w:tc>
        <w:tc>
          <w:tcPr>
            <w:tcW w:w="1014" w:type="dxa"/>
            <w:tcBorders>
              <w:top w:val="single" w:sz="4" w:space="0" w:color="auto"/>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Jubilación</w:t>
            </w:r>
            <w:r w:rsidR="009D3089" w:rsidRPr="00F36DAB">
              <w:rPr>
                <w:bCs/>
                <w:i/>
                <w:sz w:val="16"/>
                <w:szCs w:val="16"/>
              </w:rPr>
              <w:t>*</w:t>
            </w:r>
          </w:p>
        </w:tc>
        <w:tc>
          <w:tcPr>
            <w:tcW w:w="1014" w:type="dxa"/>
            <w:tcBorders>
              <w:top w:val="single" w:sz="4" w:space="0" w:color="auto"/>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Viudedad</w:t>
            </w:r>
          </w:p>
        </w:tc>
        <w:tc>
          <w:tcPr>
            <w:tcW w:w="1013" w:type="dxa"/>
            <w:tcBorders>
              <w:top w:val="single" w:sz="4" w:space="0" w:color="auto"/>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Orfandad</w:t>
            </w:r>
          </w:p>
        </w:tc>
        <w:tc>
          <w:tcPr>
            <w:tcW w:w="1014" w:type="dxa"/>
            <w:tcBorders>
              <w:top w:val="single" w:sz="4" w:space="0" w:color="auto"/>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Favor familiares</w:t>
            </w:r>
          </w:p>
        </w:tc>
        <w:tc>
          <w:tcPr>
            <w:tcW w:w="1014" w:type="dxa"/>
            <w:tcBorders>
              <w:top w:val="single" w:sz="4" w:space="0" w:color="auto"/>
            </w:tcBorders>
            <w:shd w:val="clear" w:color="auto" w:fill="auto"/>
            <w:vAlign w:val="bottom"/>
          </w:tcPr>
          <w:p w:rsidR="00916B76" w:rsidRPr="00F36DAB" w:rsidRDefault="00985267" w:rsidP="00F36DAB">
            <w:pPr>
              <w:spacing w:before="80" w:after="80" w:line="200" w:lineRule="exact"/>
              <w:ind w:left="85" w:right="28"/>
              <w:jc w:val="right"/>
              <w:rPr>
                <w:bCs/>
                <w:i/>
                <w:sz w:val="16"/>
                <w:szCs w:val="16"/>
              </w:rPr>
            </w:pPr>
            <w:r w:rsidRPr="00F36DAB">
              <w:rPr>
                <w:bCs/>
                <w:i/>
                <w:sz w:val="16"/>
                <w:szCs w:val="16"/>
              </w:rPr>
              <w:t>Total</w:t>
            </w:r>
          </w:p>
        </w:tc>
      </w:tr>
      <w:tr w:rsidR="00010510" w:rsidRPr="00832418" w:rsidTr="00F36DAB">
        <w:trPr>
          <w:trHeight w:val="240"/>
        </w:trPr>
        <w:tc>
          <w:tcPr>
            <w:tcW w:w="1288" w:type="dxa"/>
            <w:tcBorders>
              <w:top w:val="single" w:sz="12" w:space="0" w:color="auto"/>
            </w:tcBorders>
            <w:shd w:val="clear" w:color="auto" w:fill="auto"/>
            <w:hideMark/>
          </w:tcPr>
          <w:p w:rsidR="00916B76" w:rsidRPr="00832418" w:rsidRDefault="00916B76">
            <w:pPr>
              <w:spacing w:before="40" w:after="40" w:line="220" w:lineRule="exact"/>
              <w:rPr>
                <w:sz w:val="18"/>
                <w:szCs w:val="16"/>
              </w:rPr>
            </w:pPr>
            <w:r w:rsidRPr="00832418">
              <w:rPr>
                <w:sz w:val="18"/>
                <w:szCs w:val="16"/>
              </w:rPr>
              <w:t>De 0 a 4 años</w:t>
            </w:r>
          </w:p>
        </w:tc>
        <w:tc>
          <w:tcPr>
            <w:tcW w:w="1013" w:type="dxa"/>
            <w:tcBorders>
              <w:top w:val="single" w:sz="12" w:space="0" w:color="auto"/>
            </w:tcBorders>
            <w:shd w:val="clear" w:color="auto" w:fill="auto"/>
            <w:hideMark/>
          </w:tcPr>
          <w:p w:rsidR="00916B76" w:rsidRPr="00F36DAB" w:rsidRDefault="00BB5656" w:rsidP="00F36DAB">
            <w:pPr>
              <w:spacing w:before="40" w:after="40" w:line="220" w:lineRule="exact"/>
              <w:ind w:left="85" w:right="28"/>
              <w:jc w:val="right"/>
              <w:rPr>
                <w:sz w:val="18"/>
                <w:szCs w:val="14"/>
              </w:rPr>
            </w:pPr>
            <w:r w:rsidRPr="00F36DAB">
              <w:rPr>
                <w:sz w:val="18"/>
                <w:szCs w:val="14"/>
              </w:rPr>
              <w:t xml:space="preserve"> </w:t>
            </w:r>
          </w:p>
        </w:tc>
        <w:tc>
          <w:tcPr>
            <w:tcW w:w="1014" w:type="dxa"/>
            <w:tcBorders>
              <w:top w:val="single" w:sz="12" w:space="0" w:color="auto"/>
            </w:tcBorders>
            <w:shd w:val="clear" w:color="auto" w:fill="auto"/>
            <w:hideMark/>
          </w:tcPr>
          <w:p w:rsidR="00916B76" w:rsidRPr="00F36DAB" w:rsidRDefault="00BB5656" w:rsidP="00F36DAB">
            <w:pPr>
              <w:spacing w:before="40" w:after="40" w:line="220" w:lineRule="exact"/>
              <w:ind w:left="85" w:right="28"/>
              <w:jc w:val="right"/>
              <w:rPr>
                <w:sz w:val="18"/>
                <w:szCs w:val="14"/>
              </w:rPr>
            </w:pPr>
            <w:r w:rsidRPr="00F36DAB">
              <w:rPr>
                <w:sz w:val="18"/>
                <w:szCs w:val="14"/>
              </w:rPr>
              <w:t xml:space="preserve"> </w:t>
            </w:r>
          </w:p>
        </w:tc>
        <w:tc>
          <w:tcPr>
            <w:tcW w:w="1014" w:type="dxa"/>
            <w:tcBorders>
              <w:top w:val="single" w:sz="12" w:space="0" w:color="auto"/>
            </w:tcBorders>
            <w:shd w:val="clear" w:color="auto" w:fill="auto"/>
            <w:hideMark/>
          </w:tcPr>
          <w:p w:rsidR="00916B76" w:rsidRPr="00F36DAB" w:rsidRDefault="00BB5656" w:rsidP="00F36DAB">
            <w:pPr>
              <w:spacing w:before="40" w:after="40" w:line="220" w:lineRule="exact"/>
              <w:ind w:left="85" w:right="28"/>
              <w:jc w:val="right"/>
              <w:rPr>
                <w:sz w:val="18"/>
                <w:szCs w:val="14"/>
              </w:rPr>
            </w:pPr>
            <w:r w:rsidRPr="00F36DAB">
              <w:rPr>
                <w:sz w:val="18"/>
                <w:szCs w:val="14"/>
              </w:rPr>
              <w:t xml:space="preserve"> </w:t>
            </w:r>
          </w:p>
        </w:tc>
        <w:tc>
          <w:tcPr>
            <w:tcW w:w="1013" w:type="dxa"/>
            <w:tcBorders>
              <w:top w:val="single" w:sz="12"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293,42</w:t>
            </w:r>
          </w:p>
        </w:tc>
        <w:tc>
          <w:tcPr>
            <w:tcW w:w="1014" w:type="dxa"/>
            <w:tcBorders>
              <w:top w:val="single" w:sz="12" w:space="0" w:color="auto"/>
            </w:tcBorders>
            <w:shd w:val="clear" w:color="auto" w:fill="auto"/>
            <w:hideMark/>
          </w:tcPr>
          <w:p w:rsidR="00916B76" w:rsidRPr="00F36DAB" w:rsidRDefault="00BB5656" w:rsidP="00F36DAB">
            <w:pPr>
              <w:spacing w:before="40" w:after="40" w:line="220" w:lineRule="exact"/>
              <w:ind w:left="85" w:right="28"/>
              <w:jc w:val="right"/>
              <w:rPr>
                <w:sz w:val="18"/>
                <w:szCs w:val="14"/>
              </w:rPr>
            </w:pPr>
            <w:r w:rsidRPr="00F36DAB">
              <w:rPr>
                <w:sz w:val="18"/>
                <w:szCs w:val="14"/>
              </w:rPr>
              <w:t xml:space="preserve"> </w:t>
            </w:r>
          </w:p>
        </w:tc>
        <w:tc>
          <w:tcPr>
            <w:tcW w:w="1014" w:type="dxa"/>
            <w:tcBorders>
              <w:top w:val="single" w:sz="12"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293,42</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5 a 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286,76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227,87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286,71</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10 a 14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286,95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242,98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286,89</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 xml:space="preserve">De 15 a 19 años </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357,11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287,78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308,68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287,81</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20 a 24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540,85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644,48</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294,83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379,05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295,63</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25 a 29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632,93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691,08</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327,35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252,43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452,47</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30 a 34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720,94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711,97</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353,05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270,34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636,60</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35 a 39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768,80</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740,07</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372,02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251,95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698,94</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lastRenderedPageBreak/>
              <w:t>De 40 a 44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789,93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736,53</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411,03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253,89</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723,48</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45 a 49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776,27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1.814,77</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702,77</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462,01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495,44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713,19</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50 a 54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780,40</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2.019,98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697,32</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504,86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537,96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718,78</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55 a 59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870,62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1.801,93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705,21</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541,52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575,82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771,55</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60 a 64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900,38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1.388,28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730,45</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565,44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585,73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959,14</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65 a 69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872,81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961,31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712,47</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573,91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599,21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893,60</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70 a 74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393,69</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771,85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686,85</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570,42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569,42</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739,96</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75 a 79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389,46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658,13</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663,07</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570,96</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559,18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659,59</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De 80 a 84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389,39</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611,15</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643,50</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583,68</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548,31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629,15</w:t>
            </w:r>
          </w:p>
        </w:tc>
      </w:tr>
      <w:tr w:rsidR="00010510" w:rsidRPr="00832418" w:rsidTr="00F36DAB">
        <w:trPr>
          <w:trHeight w:val="240"/>
        </w:trPr>
        <w:tc>
          <w:tcPr>
            <w:tcW w:w="1288" w:type="dxa"/>
            <w:shd w:val="clear" w:color="auto" w:fill="auto"/>
            <w:hideMark/>
          </w:tcPr>
          <w:p w:rsidR="00916B76" w:rsidRPr="00832418" w:rsidRDefault="00916B76">
            <w:pPr>
              <w:spacing w:before="40" w:after="40" w:line="220" w:lineRule="exact"/>
              <w:rPr>
                <w:sz w:val="18"/>
                <w:szCs w:val="16"/>
              </w:rPr>
            </w:pPr>
            <w:r w:rsidRPr="00832418">
              <w:rPr>
                <w:sz w:val="18"/>
                <w:szCs w:val="16"/>
              </w:rPr>
              <w:t>Más de 85 años</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385,11</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570,74</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601,79</w:t>
            </w:r>
          </w:p>
        </w:tc>
        <w:tc>
          <w:tcPr>
            <w:tcW w:w="1013"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596,20</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482,79</w:t>
            </w:r>
          </w:p>
        </w:tc>
        <w:tc>
          <w:tcPr>
            <w:tcW w:w="1014" w:type="dxa"/>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588,19</w:t>
            </w:r>
          </w:p>
        </w:tc>
      </w:tr>
      <w:tr w:rsidR="00010510" w:rsidRPr="00832418" w:rsidTr="00010510">
        <w:trPr>
          <w:trHeight w:val="240"/>
        </w:trPr>
        <w:tc>
          <w:tcPr>
            <w:tcW w:w="1288" w:type="dxa"/>
            <w:tcBorders>
              <w:bottom w:val="single" w:sz="4" w:space="0" w:color="auto"/>
            </w:tcBorders>
            <w:shd w:val="clear" w:color="auto" w:fill="auto"/>
            <w:hideMark/>
          </w:tcPr>
          <w:p w:rsidR="00916B76" w:rsidRPr="00832418" w:rsidRDefault="00916B76">
            <w:pPr>
              <w:spacing w:before="40" w:after="40" w:line="220" w:lineRule="exact"/>
              <w:rPr>
                <w:sz w:val="18"/>
                <w:szCs w:val="16"/>
              </w:rPr>
            </w:pPr>
            <w:r w:rsidRPr="00832418">
              <w:rPr>
                <w:sz w:val="18"/>
                <w:szCs w:val="16"/>
              </w:rPr>
              <w:t>No consta</w:t>
            </w:r>
          </w:p>
        </w:tc>
        <w:tc>
          <w:tcPr>
            <w:tcW w:w="1013" w:type="dxa"/>
            <w:tcBorders>
              <w:bottom w:val="single" w:sz="4"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468,24</w:t>
            </w:r>
          </w:p>
        </w:tc>
        <w:tc>
          <w:tcPr>
            <w:tcW w:w="1014" w:type="dxa"/>
            <w:tcBorders>
              <w:bottom w:val="single" w:sz="4"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680,09</w:t>
            </w:r>
          </w:p>
        </w:tc>
        <w:tc>
          <w:tcPr>
            <w:tcW w:w="1014" w:type="dxa"/>
            <w:tcBorders>
              <w:bottom w:val="single" w:sz="4"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643,13</w:t>
            </w:r>
          </w:p>
        </w:tc>
        <w:tc>
          <w:tcPr>
            <w:tcW w:w="1013" w:type="dxa"/>
            <w:tcBorders>
              <w:bottom w:val="single" w:sz="4"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677,70</w:t>
            </w:r>
          </w:p>
        </w:tc>
        <w:tc>
          <w:tcPr>
            <w:tcW w:w="1014" w:type="dxa"/>
            <w:tcBorders>
              <w:bottom w:val="single" w:sz="4"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470,90</w:t>
            </w:r>
          </w:p>
        </w:tc>
        <w:tc>
          <w:tcPr>
            <w:tcW w:w="1014" w:type="dxa"/>
            <w:tcBorders>
              <w:bottom w:val="single" w:sz="4" w:space="0" w:color="auto"/>
            </w:tcBorders>
            <w:shd w:val="clear" w:color="auto" w:fill="auto"/>
            <w:hideMark/>
          </w:tcPr>
          <w:p w:rsidR="00916B76" w:rsidRPr="00F36DAB" w:rsidRDefault="00916B76" w:rsidP="00F36DAB">
            <w:pPr>
              <w:spacing w:before="40" w:after="40" w:line="220" w:lineRule="exact"/>
              <w:ind w:left="85" w:right="28"/>
              <w:jc w:val="right"/>
              <w:rPr>
                <w:sz w:val="18"/>
                <w:szCs w:val="14"/>
              </w:rPr>
            </w:pPr>
            <w:r w:rsidRPr="00F36DAB">
              <w:rPr>
                <w:sz w:val="18"/>
                <w:szCs w:val="14"/>
              </w:rPr>
              <w:t>645,44</w:t>
            </w:r>
          </w:p>
        </w:tc>
      </w:tr>
      <w:tr w:rsidR="00010510" w:rsidRPr="00010510" w:rsidTr="00010510">
        <w:trPr>
          <w:trHeight w:val="240"/>
        </w:trPr>
        <w:tc>
          <w:tcPr>
            <w:tcW w:w="1288" w:type="dxa"/>
            <w:tcBorders>
              <w:top w:val="single" w:sz="4" w:space="0" w:color="auto"/>
              <w:bottom w:val="single" w:sz="12" w:space="0" w:color="auto"/>
            </w:tcBorders>
            <w:shd w:val="clear" w:color="auto" w:fill="auto"/>
            <w:hideMark/>
          </w:tcPr>
          <w:p w:rsidR="00916B76" w:rsidRPr="00F36DAB" w:rsidRDefault="00985267" w:rsidP="00F36DAB">
            <w:pPr>
              <w:spacing w:before="80" w:after="80" w:line="220" w:lineRule="exact"/>
              <w:ind w:left="283"/>
              <w:rPr>
                <w:b/>
                <w:sz w:val="18"/>
                <w:szCs w:val="16"/>
              </w:rPr>
            </w:pPr>
            <w:r w:rsidRPr="00F36DAB">
              <w:rPr>
                <w:b/>
                <w:sz w:val="18"/>
                <w:szCs w:val="16"/>
              </w:rPr>
              <w:t>Total</w:t>
            </w:r>
          </w:p>
        </w:tc>
        <w:tc>
          <w:tcPr>
            <w:tcW w:w="1013"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6"/>
              </w:rPr>
            </w:pPr>
            <w:r w:rsidRPr="00F36DAB">
              <w:rPr>
                <w:b/>
                <w:sz w:val="18"/>
                <w:szCs w:val="16"/>
              </w:rPr>
              <w:t>823,96</w:t>
            </w:r>
          </w:p>
        </w:tc>
        <w:tc>
          <w:tcPr>
            <w:tcW w:w="1014"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6"/>
              </w:rPr>
            </w:pPr>
            <w:r w:rsidRPr="00F36DAB">
              <w:rPr>
                <w:b/>
                <w:sz w:val="18"/>
                <w:szCs w:val="16"/>
              </w:rPr>
              <w:t>770,52</w:t>
            </w:r>
          </w:p>
        </w:tc>
        <w:tc>
          <w:tcPr>
            <w:tcW w:w="1014"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6"/>
              </w:rPr>
            </w:pPr>
            <w:r w:rsidRPr="00F36DAB">
              <w:rPr>
                <w:b/>
                <w:sz w:val="18"/>
                <w:szCs w:val="16"/>
              </w:rPr>
              <w:t>655,80</w:t>
            </w:r>
          </w:p>
        </w:tc>
        <w:tc>
          <w:tcPr>
            <w:tcW w:w="1013"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6"/>
              </w:rPr>
            </w:pPr>
            <w:r w:rsidRPr="00F36DAB">
              <w:rPr>
                <w:b/>
                <w:sz w:val="18"/>
                <w:szCs w:val="16"/>
              </w:rPr>
              <w:t>377,75</w:t>
            </w:r>
          </w:p>
        </w:tc>
        <w:tc>
          <w:tcPr>
            <w:tcW w:w="1014"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6"/>
              </w:rPr>
            </w:pPr>
            <w:r w:rsidRPr="00F36DAB">
              <w:rPr>
                <w:b/>
                <w:sz w:val="18"/>
                <w:szCs w:val="16"/>
              </w:rPr>
              <w:t>544,06</w:t>
            </w:r>
          </w:p>
        </w:tc>
        <w:tc>
          <w:tcPr>
            <w:tcW w:w="1014" w:type="dxa"/>
            <w:tcBorders>
              <w:top w:val="single" w:sz="4" w:space="0" w:color="auto"/>
              <w:bottom w:val="single" w:sz="12" w:space="0" w:color="auto"/>
            </w:tcBorders>
            <w:shd w:val="clear" w:color="auto" w:fill="auto"/>
            <w:hideMark/>
          </w:tcPr>
          <w:p w:rsidR="00916B76" w:rsidRPr="00F36DAB" w:rsidRDefault="00916B76" w:rsidP="00F36DAB">
            <w:pPr>
              <w:spacing w:before="80" w:after="80" w:line="220" w:lineRule="exact"/>
              <w:ind w:left="85" w:right="28"/>
              <w:jc w:val="right"/>
              <w:rPr>
                <w:b/>
                <w:sz w:val="18"/>
                <w:szCs w:val="16"/>
              </w:rPr>
            </w:pPr>
            <w:r w:rsidRPr="00F36DAB">
              <w:rPr>
                <w:b/>
                <w:sz w:val="18"/>
                <w:szCs w:val="16"/>
              </w:rPr>
              <w:t>708,35</w:t>
            </w:r>
          </w:p>
        </w:tc>
      </w:tr>
    </w:tbl>
    <w:p w:rsidR="00B1211C" w:rsidRDefault="00B1211C" w:rsidP="00B1211C">
      <w:pPr>
        <w:pStyle w:val="SingleTxtG"/>
        <w:rPr>
          <w:sz w:val="18"/>
          <w:szCs w:val="18"/>
          <w:lang w:eastAsia="en-GB"/>
        </w:rPr>
      </w:pP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28"/>
        <w:gridCol w:w="1415"/>
        <w:gridCol w:w="1415"/>
        <w:gridCol w:w="1415"/>
        <w:gridCol w:w="1415"/>
        <w:gridCol w:w="1416"/>
      </w:tblGrid>
      <w:tr w:rsidR="00CD3121" w:rsidRPr="0058589E" w:rsidTr="00F36DAB">
        <w:trPr>
          <w:cantSplit/>
          <w:trHeight w:val="320"/>
          <w:tblHeader/>
        </w:trPr>
        <w:tc>
          <w:tcPr>
            <w:tcW w:w="1428" w:type="dxa"/>
            <w:tcBorders>
              <w:top w:val="single" w:sz="4" w:space="0" w:color="auto"/>
              <w:bottom w:val="single" w:sz="12" w:space="0" w:color="auto"/>
            </w:tcBorders>
            <w:shd w:val="clear" w:color="auto" w:fill="auto"/>
            <w:vAlign w:val="bottom"/>
            <w:hideMark/>
          </w:tcPr>
          <w:p w:rsidR="00CD3121" w:rsidRPr="0058589E" w:rsidRDefault="00CD3121" w:rsidP="00F36DAB">
            <w:pPr>
              <w:spacing w:before="40" w:after="40" w:line="220" w:lineRule="exact"/>
              <w:rPr>
                <w:sz w:val="18"/>
              </w:rPr>
            </w:pPr>
            <w:r w:rsidRPr="00E86788">
              <w:rPr>
                <w:i/>
                <w:sz w:val="16"/>
              </w:rPr>
              <w:t>Comunidad autónoma</w:t>
            </w:r>
          </w:p>
        </w:tc>
        <w:tc>
          <w:tcPr>
            <w:tcW w:w="1415" w:type="dxa"/>
            <w:tcBorders>
              <w:top w:val="single" w:sz="4" w:space="0" w:color="auto"/>
              <w:bottom w:val="single" w:sz="12" w:space="0" w:color="auto"/>
            </w:tcBorders>
            <w:shd w:val="clear" w:color="auto" w:fill="auto"/>
            <w:vAlign w:val="bottom"/>
            <w:hideMark/>
          </w:tcPr>
          <w:p w:rsidR="00CD3121" w:rsidRPr="0058589E" w:rsidRDefault="00CD3121" w:rsidP="00F36DAB">
            <w:pPr>
              <w:spacing w:before="40" w:after="40" w:line="220" w:lineRule="exact"/>
              <w:ind w:left="85" w:right="28"/>
              <w:jc w:val="right"/>
              <w:rPr>
                <w:sz w:val="18"/>
              </w:rPr>
            </w:pPr>
            <w:r w:rsidRPr="00E86788">
              <w:rPr>
                <w:i/>
                <w:sz w:val="16"/>
              </w:rPr>
              <w:t>2011</w:t>
            </w:r>
          </w:p>
        </w:tc>
        <w:tc>
          <w:tcPr>
            <w:tcW w:w="1415" w:type="dxa"/>
            <w:tcBorders>
              <w:top w:val="single" w:sz="4" w:space="0" w:color="auto"/>
              <w:bottom w:val="single" w:sz="12" w:space="0" w:color="auto"/>
            </w:tcBorders>
            <w:shd w:val="clear" w:color="auto" w:fill="auto"/>
            <w:vAlign w:val="bottom"/>
            <w:hideMark/>
          </w:tcPr>
          <w:p w:rsidR="00CD3121" w:rsidRPr="0058589E" w:rsidRDefault="00CD3121" w:rsidP="00F36DAB">
            <w:pPr>
              <w:spacing w:before="40" w:after="40" w:line="220" w:lineRule="exact"/>
              <w:ind w:left="85" w:right="28"/>
              <w:jc w:val="right"/>
              <w:rPr>
                <w:sz w:val="18"/>
              </w:rPr>
            </w:pPr>
            <w:r w:rsidRPr="00E86788">
              <w:rPr>
                <w:i/>
                <w:sz w:val="16"/>
              </w:rPr>
              <w:t>2012</w:t>
            </w:r>
          </w:p>
        </w:tc>
        <w:tc>
          <w:tcPr>
            <w:tcW w:w="1415" w:type="dxa"/>
            <w:tcBorders>
              <w:top w:val="single" w:sz="4" w:space="0" w:color="auto"/>
              <w:bottom w:val="single" w:sz="12" w:space="0" w:color="auto"/>
            </w:tcBorders>
            <w:shd w:val="clear" w:color="auto" w:fill="auto"/>
            <w:vAlign w:val="bottom"/>
            <w:hideMark/>
          </w:tcPr>
          <w:p w:rsidR="00CD3121" w:rsidRPr="0058589E" w:rsidRDefault="00CD3121" w:rsidP="00F36DAB">
            <w:pPr>
              <w:spacing w:before="40" w:after="40" w:line="220" w:lineRule="exact"/>
              <w:ind w:left="85" w:right="28"/>
              <w:jc w:val="right"/>
              <w:rPr>
                <w:sz w:val="18"/>
              </w:rPr>
            </w:pPr>
            <w:r w:rsidRPr="00E86788">
              <w:rPr>
                <w:i/>
                <w:sz w:val="16"/>
              </w:rPr>
              <w:t>2013</w:t>
            </w:r>
          </w:p>
        </w:tc>
        <w:tc>
          <w:tcPr>
            <w:tcW w:w="1415" w:type="dxa"/>
            <w:tcBorders>
              <w:top w:val="single" w:sz="4" w:space="0" w:color="auto"/>
              <w:bottom w:val="single" w:sz="12" w:space="0" w:color="auto"/>
            </w:tcBorders>
            <w:shd w:val="clear" w:color="auto" w:fill="auto"/>
            <w:vAlign w:val="bottom"/>
            <w:hideMark/>
          </w:tcPr>
          <w:p w:rsidR="00CD3121" w:rsidRPr="0058589E" w:rsidRDefault="00CD3121" w:rsidP="00F36DAB">
            <w:pPr>
              <w:spacing w:before="40" w:after="40" w:line="220" w:lineRule="exact"/>
              <w:ind w:left="85" w:right="28"/>
              <w:jc w:val="right"/>
              <w:rPr>
                <w:sz w:val="18"/>
              </w:rPr>
            </w:pPr>
            <w:r w:rsidRPr="00E86788">
              <w:rPr>
                <w:i/>
                <w:sz w:val="16"/>
              </w:rPr>
              <w:t>2014</w:t>
            </w:r>
          </w:p>
        </w:tc>
        <w:tc>
          <w:tcPr>
            <w:tcW w:w="1416" w:type="dxa"/>
            <w:tcBorders>
              <w:top w:val="single" w:sz="4" w:space="0" w:color="auto"/>
              <w:bottom w:val="single" w:sz="12" w:space="0" w:color="auto"/>
            </w:tcBorders>
            <w:shd w:val="clear" w:color="auto" w:fill="auto"/>
            <w:vAlign w:val="bottom"/>
            <w:hideMark/>
          </w:tcPr>
          <w:p w:rsidR="00CD3121" w:rsidRPr="0058589E" w:rsidRDefault="00CD3121" w:rsidP="00F36DAB">
            <w:pPr>
              <w:spacing w:before="40" w:after="40" w:line="220" w:lineRule="exact"/>
              <w:ind w:left="85" w:right="28"/>
              <w:jc w:val="right"/>
              <w:rPr>
                <w:sz w:val="18"/>
              </w:rPr>
            </w:pPr>
            <w:r w:rsidRPr="00E86788">
              <w:rPr>
                <w:i/>
                <w:sz w:val="16"/>
              </w:rPr>
              <w:t>2015</w:t>
            </w:r>
          </w:p>
        </w:tc>
      </w:tr>
      <w:tr w:rsidR="00CD3121" w:rsidRPr="0058589E" w:rsidTr="00F36DAB">
        <w:trPr>
          <w:cantSplit/>
          <w:trHeight w:val="240"/>
        </w:trPr>
        <w:tc>
          <w:tcPr>
            <w:tcW w:w="1428" w:type="dxa"/>
            <w:tcBorders>
              <w:top w:val="single" w:sz="12" w:space="0" w:color="auto"/>
            </w:tcBorders>
            <w:shd w:val="clear" w:color="auto" w:fill="auto"/>
            <w:noWrap/>
            <w:vAlign w:val="bottom"/>
            <w:hideMark/>
          </w:tcPr>
          <w:p w:rsidR="00CD3121" w:rsidRPr="0058589E" w:rsidRDefault="00CD3121" w:rsidP="00F36DAB">
            <w:pPr>
              <w:spacing w:before="40" w:after="40" w:line="220" w:lineRule="exact"/>
              <w:rPr>
                <w:sz w:val="18"/>
              </w:rPr>
            </w:pPr>
            <w:r w:rsidRPr="0058589E">
              <w:rPr>
                <w:sz w:val="18"/>
              </w:rPr>
              <w:t>Andaluc</w:t>
            </w:r>
            <w:r>
              <w:rPr>
                <w:sz w:val="18"/>
              </w:rPr>
              <w:t>í</w:t>
            </w:r>
            <w:r w:rsidRPr="0058589E">
              <w:rPr>
                <w:sz w:val="18"/>
              </w:rPr>
              <w:t>a</w:t>
            </w:r>
          </w:p>
        </w:tc>
        <w:tc>
          <w:tcPr>
            <w:tcW w:w="1415" w:type="dxa"/>
            <w:tcBorders>
              <w:top w:val="single" w:sz="12"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363.529.820,53</w:t>
            </w:r>
          </w:p>
        </w:tc>
        <w:tc>
          <w:tcPr>
            <w:tcW w:w="1415" w:type="dxa"/>
            <w:tcBorders>
              <w:top w:val="single" w:sz="12"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306.282.140,14</w:t>
            </w:r>
          </w:p>
        </w:tc>
        <w:tc>
          <w:tcPr>
            <w:tcW w:w="1415" w:type="dxa"/>
            <w:tcBorders>
              <w:top w:val="single" w:sz="12"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279.435.374,66</w:t>
            </w:r>
          </w:p>
        </w:tc>
        <w:tc>
          <w:tcPr>
            <w:tcW w:w="1415" w:type="dxa"/>
            <w:tcBorders>
              <w:top w:val="single" w:sz="12"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289.016.820,39</w:t>
            </w:r>
          </w:p>
        </w:tc>
        <w:tc>
          <w:tcPr>
            <w:tcW w:w="1416" w:type="dxa"/>
            <w:tcBorders>
              <w:top w:val="single" w:sz="12"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308.005.503,93</w:t>
            </w:r>
          </w:p>
        </w:tc>
      </w:tr>
      <w:tr w:rsidR="00CD3121" w:rsidRPr="0058589E" w:rsidTr="00CD3121">
        <w:trPr>
          <w:cantSplit/>
          <w:trHeight w:val="240"/>
        </w:trPr>
        <w:tc>
          <w:tcPr>
            <w:tcW w:w="1428" w:type="dxa"/>
            <w:shd w:val="clear" w:color="auto" w:fill="auto"/>
            <w:noWrap/>
            <w:hideMark/>
          </w:tcPr>
          <w:p w:rsidR="00CD3121" w:rsidRPr="0058589E" w:rsidRDefault="00CD3121" w:rsidP="00F36DAB">
            <w:pPr>
              <w:spacing w:before="40" w:after="40" w:line="220" w:lineRule="exact"/>
              <w:rPr>
                <w:sz w:val="18"/>
              </w:rPr>
            </w:pPr>
            <w:r w:rsidRPr="0058589E">
              <w:rPr>
                <w:sz w:val="18"/>
              </w:rPr>
              <w:t>Arag</w:t>
            </w:r>
            <w:r>
              <w:rPr>
                <w:sz w:val="18"/>
              </w:rPr>
              <w:t>ó</w:t>
            </w:r>
            <w:r w:rsidRPr="0058589E">
              <w:rPr>
                <w:sz w:val="18"/>
              </w:rPr>
              <w:t>n</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61.735.982,46</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54.848.027,77</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51.366.873,32</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52.191.287,51</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54.957.605,08</w:t>
            </w:r>
          </w:p>
        </w:tc>
      </w:tr>
      <w:tr w:rsidR="00CD3121" w:rsidRPr="0058589E" w:rsidTr="00CD3121">
        <w:trPr>
          <w:cantSplit/>
          <w:trHeight w:val="240"/>
        </w:trPr>
        <w:tc>
          <w:tcPr>
            <w:tcW w:w="1428" w:type="dxa"/>
            <w:shd w:val="clear" w:color="auto" w:fill="auto"/>
            <w:noWrap/>
            <w:hideMark/>
          </w:tcPr>
          <w:p w:rsidR="00CD3121" w:rsidRPr="0058589E" w:rsidRDefault="00CD3121" w:rsidP="00F36DAB">
            <w:pPr>
              <w:spacing w:before="40" w:after="40" w:line="220" w:lineRule="exact"/>
              <w:rPr>
                <w:sz w:val="18"/>
              </w:rPr>
            </w:pPr>
            <w:r w:rsidRPr="0058589E">
              <w:rPr>
                <w:sz w:val="18"/>
              </w:rPr>
              <w:t>Asturias</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86.103.720,23</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71.031.662,34</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66.708.667,57</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65.996.380,59</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65.649.619,57</w:t>
            </w:r>
          </w:p>
        </w:tc>
      </w:tr>
      <w:tr w:rsidR="00CD3121" w:rsidRPr="0058589E" w:rsidTr="00CD3121">
        <w:trPr>
          <w:cantSplit/>
          <w:trHeight w:val="240"/>
        </w:trPr>
        <w:tc>
          <w:tcPr>
            <w:tcW w:w="1428" w:type="dxa"/>
            <w:shd w:val="clear" w:color="auto" w:fill="auto"/>
            <w:noWrap/>
            <w:hideMark/>
          </w:tcPr>
          <w:p w:rsidR="00CD3121" w:rsidRPr="0058589E" w:rsidRDefault="00CD3121" w:rsidP="00F36DAB">
            <w:pPr>
              <w:spacing w:before="40" w:after="40" w:line="220" w:lineRule="exact"/>
              <w:rPr>
                <w:sz w:val="18"/>
              </w:rPr>
            </w:pPr>
            <w:r w:rsidRPr="0058589E">
              <w:rPr>
                <w:sz w:val="18"/>
              </w:rPr>
              <w:t>Baleares</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36.220.760,20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26.476.074,58</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25.111.628,09</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28.516.808,02</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30.277.730,86</w:t>
            </w:r>
          </w:p>
        </w:tc>
      </w:tr>
      <w:tr w:rsidR="00CD3121" w:rsidRPr="0058589E" w:rsidTr="00CD3121">
        <w:trPr>
          <w:cantSplit/>
          <w:trHeight w:val="240"/>
        </w:trPr>
        <w:tc>
          <w:tcPr>
            <w:tcW w:w="1428" w:type="dxa"/>
            <w:shd w:val="clear" w:color="auto" w:fill="auto"/>
            <w:noWrap/>
            <w:hideMark/>
          </w:tcPr>
          <w:p w:rsidR="00CD3121" w:rsidRPr="0058589E" w:rsidRDefault="00CD3121" w:rsidP="00F36DAB">
            <w:pPr>
              <w:spacing w:before="40" w:after="40" w:line="220" w:lineRule="exact"/>
              <w:rPr>
                <w:sz w:val="18"/>
              </w:rPr>
            </w:pPr>
            <w:r w:rsidRPr="0058589E">
              <w:rPr>
                <w:sz w:val="18"/>
              </w:rPr>
              <w:t>Canarias</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98.180.256,50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75.215.291,05</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69.336.157,84</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78.308.985,21</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93.711.646,13</w:t>
            </w:r>
          </w:p>
        </w:tc>
      </w:tr>
      <w:tr w:rsidR="00CD3121" w:rsidRPr="0058589E" w:rsidTr="00F36DAB">
        <w:trPr>
          <w:cantSplit/>
          <w:trHeight w:val="240"/>
        </w:trPr>
        <w:tc>
          <w:tcPr>
            <w:tcW w:w="1428" w:type="dxa"/>
            <w:shd w:val="clear" w:color="auto" w:fill="auto"/>
            <w:noWrap/>
            <w:hideMark/>
          </w:tcPr>
          <w:p w:rsidR="00CD3121" w:rsidRPr="0058589E" w:rsidRDefault="00CD3121" w:rsidP="00F36DAB">
            <w:pPr>
              <w:spacing w:before="40" w:after="40" w:line="220" w:lineRule="exact"/>
              <w:rPr>
                <w:sz w:val="18"/>
              </w:rPr>
            </w:pPr>
            <w:r w:rsidRPr="0058589E">
              <w:rPr>
                <w:sz w:val="18"/>
              </w:rPr>
              <w:t>Cantabria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33.323.901,10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26.780.182,04</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24.689.483,84</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25.526.232,28</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26.599.630,99</w:t>
            </w:r>
          </w:p>
        </w:tc>
      </w:tr>
      <w:tr w:rsidR="00CD3121" w:rsidRPr="0058589E" w:rsidTr="00F36DAB">
        <w:trPr>
          <w:cantSplit/>
          <w:trHeight w:val="240"/>
        </w:trPr>
        <w:tc>
          <w:tcPr>
            <w:tcW w:w="1428" w:type="dxa"/>
            <w:shd w:val="clear" w:color="auto" w:fill="auto"/>
            <w:noWrap/>
            <w:hideMark/>
          </w:tcPr>
          <w:p w:rsidR="00CD3121" w:rsidRPr="0058589E" w:rsidRDefault="00CD3121" w:rsidP="00F36DAB">
            <w:pPr>
              <w:spacing w:before="40" w:after="40" w:line="220" w:lineRule="exact"/>
              <w:rPr>
                <w:sz w:val="18"/>
              </w:rPr>
            </w:pPr>
            <w:r w:rsidRPr="0058589E">
              <w:rPr>
                <w:sz w:val="18"/>
              </w:rPr>
              <w:t>Castilla-</w:t>
            </w:r>
            <w:r>
              <w:rPr>
                <w:sz w:val="18"/>
              </w:rPr>
              <w:t>M</w:t>
            </w:r>
            <w:r w:rsidRPr="0058589E">
              <w:rPr>
                <w:sz w:val="18"/>
              </w:rPr>
              <w:t>ancha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86.971.374,34</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64.959.950,65</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52.027.028,40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53.406.600,07</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56.019.745,77</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Castilla-</w:t>
            </w:r>
            <w:r>
              <w:rPr>
                <w:sz w:val="18"/>
              </w:rPr>
              <w:t>L</w:t>
            </w:r>
            <w:r w:rsidRPr="0058589E">
              <w:rPr>
                <w:sz w:val="18"/>
              </w:rPr>
              <w:t>e</w:t>
            </w:r>
            <w:r>
              <w:rPr>
                <w:sz w:val="18"/>
              </w:rPr>
              <w:t>ó</w:t>
            </w:r>
            <w:r w:rsidRPr="0058589E">
              <w:rPr>
                <w:sz w:val="18"/>
              </w:rPr>
              <w:t>n</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87.008.210,08</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73.784.692,13</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68.295.747,94</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71.137.484,81</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73.805.928,50</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Cataluña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378.589.841,70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318.887.807,27</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285.816.142,80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287.565.594,68</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297.211.309,40</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Extremadura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47.986.187,50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42.773.921,11</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41.690.811,87</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46.512.915,14</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49.920.102,84</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Galicia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170.041.995,99</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143.229.257,48</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132.794.380,15</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135.787.015,82</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149.416.920,00</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 xml:space="preserve">La </w:t>
            </w:r>
            <w:r>
              <w:rPr>
                <w:sz w:val="18"/>
              </w:rPr>
              <w:t>R</w:t>
            </w:r>
            <w:r w:rsidRPr="0058589E">
              <w:rPr>
                <w:sz w:val="18"/>
              </w:rPr>
              <w:t>ioja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6.840.455,77</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5.881.159,31</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5.427.881,72</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5.200.075,10</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4.572.672,72</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Madrid</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284.195.500,53</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221.651.526,37</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204.790.757,82</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219.823.849,95</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230.938.445,68</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Murcia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92.832.953,57</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82.006.062,91</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67.961.482,35</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68.561.238,22</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72.907.055,07</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Navarra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37.510.808,46</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31.194.610,82</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30.309.219,04</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33.910.979,39</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36.733.504,44</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C.</w:t>
            </w:r>
            <w:r>
              <w:rPr>
                <w:sz w:val="18"/>
              </w:rPr>
              <w:t xml:space="preserve"> V</w:t>
            </w:r>
            <w:r w:rsidRPr="0058589E">
              <w:rPr>
                <w:sz w:val="18"/>
              </w:rPr>
              <w:t>alenciana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210.411.493,25</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165.638.776,10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144.938.350,54</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140.959.283,86</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153.636.113,25</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Pa</w:t>
            </w:r>
            <w:r>
              <w:rPr>
                <w:sz w:val="18"/>
              </w:rPr>
              <w:t>í</w:t>
            </w:r>
            <w:r w:rsidRPr="0058589E">
              <w:rPr>
                <w:sz w:val="18"/>
              </w:rPr>
              <w:t xml:space="preserve">s </w:t>
            </w:r>
            <w:r w:rsidR="00C671FF">
              <w:rPr>
                <w:sz w:val="18"/>
              </w:rPr>
              <w:t>V</w:t>
            </w:r>
            <w:r w:rsidRPr="0058589E">
              <w:rPr>
                <w:sz w:val="18"/>
              </w:rPr>
              <w:t>asco</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219.888.515,57</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177.974.007,23</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160.032.903,50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179.218.748,43</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201.330.088,80</w:t>
            </w:r>
          </w:p>
        </w:tc>
      </w:tr>
      <w:tr w:rsidR="00CD3121" w:rsidRPr="0058589E" w:rsidTr="00F36DAB">
        <w:trPr>
          <w:cantSplit/>
          <w:trHeight w:val="240"/>
        </w:trPr>
        <w:tc>
          <w:tcPr>
            <w:tcW w:w="1428" w:type="dxa"/>
            <w:shd w:val="clear" w:color="auto" w:fill="auto"/>
            <w:noWrap/>
            <w:hideMark/>
          </w:tcPr>
          <w:p w:rsidR="00CD3121" w:rsidRPr="0058589E" w:rsidRDefault="00CD3121">
            <w:pPr>
              <w:spacing w:before="40" w:after="40" w:line="220" w:lineRule="exact"/>
              <w:rPr>
                <w:sz w:val="18"/>
              </w:rPr>
            </w:pPr>
            <w:r w:rsidRPr="0058589E">
              <w:rPr>
                <w:sz w:val="18"/>
              </w:rPr>
              <w:t>Ceuta</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3.082.101,60</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3.135.611,46</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2.437.233,21</w:t>
            </w:r>
          </w:p>
        </w:tc>
        <w:tc>
          <w:tcPr>
            <w:tcW w:w="1415"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2.960.714,56</w:t>
            </w:r>
          </w:p>
        </w:tc>
        <w:tc>
          <w:tcPr>
            <w:tcW w:w="1416" w:type="dxa"/>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3.475.679,25</w:t>
            </w:r>
          </w:p>
        </w:tc>
      </w:tr>
      <w:tr w:rsidR="00CD3121" w:rsidRPr="0058589E" w:rsidTr="00F36DAB">
        <w:trPr>
          <w:cantSplit/>
          <w:trHeight w:val="240"/>
        </w:trPr>
        <w:tc>
          <w:tcPr>
            <w:tcW w:w="1428" w:type="dxa"/>
            <w:tcBorders>
              <w:bottom w:val="single" w:sz="4" w:space="0" w:color="auto"/>
            </w:tcBorders>
            <w:shd w:val="clear" w:color="auto" w:fill="auto"/>
            <w:noWrap/>
            <w:hideMark/>
          </w:tcPr>
          <w:p w:rsidR="00CD3121" w:rsidRPr="0058589E" w:rsidRDefault="00CD3121">
            <w:pPr>
              <w:spacing w:before="40" w:after="40" w:line="220" w:lineRule="exact"/>
              <w:rPr>
                <w:sz w:val="18"/>
              </w:rPr>
            </w:pPr>
            <w:r w:rsidRPr="0058589E">
              <w:rPr>
                <w:sz w:val="18"/>
              </w:rPr>
              <w:t>Melilla</w:t>
            </w:r>
          </w:p>
        </w:tc>
        <w:tc>
          <w:tcPr>
            <w:tcW w:w="1415" w:type="dxa"/>
            <w:tcBorders>
              <w:bottom w:val="single" w:sz="4"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3.260.315,82</w:t>
            </w:r>
          </w:p>
        </w:tc>
        <w:tc>
          <w:tcPr>
            <w:tcW w:w="1415" w:type="dxa"/>
            <w:tcBorders>
              <w:bottom w:val="single" w:sz="4"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3.260.794,72</w:t>
            </w:r>
          </w:p>
        </w:tc>
        <w:tc>
          <w:tcPr>
            <w:tcW w:w="1415" w:type="dxa"/>
            <w:tcBorders>
              <w:bottom w:val="single" w:sz="4"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2.680.129,90</w:t>
            </w:r>
          </w:p>
        </w:tc>
        <w:tc>
          <w:tcPr>
            <w:tcW w:w="1415" w:type="dxa"/>
            <w:tcBorders>
              <w:bottom w:val="single" w:sz="4"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3.315.339,38</w:t>
            </w:r>
          </w:p>
        </w:tc>
        <w:tc>
          <w:tcPr>
            <w:tcW w:w="1416" w:type="dxa"/>
            <w:tcBorders>
              <w:bottom w:val="single" w:sz="4" w:space="0" w:color="auto"/>
            </w:tcBorders>
            <w:shd w:val="clear" w:color="auto" w:fill="auto"/>
            <w:noWrap/>
            <w:vAlign w:val="bottom"/>
            <w:hideMark/>
          </w:tcPr>
          <w:p w:rsidR="00CD3121" w:rsidRPr="0058589E" w:rsidRDefault="00CD3121" w:rsidP="00F36DAB">
            <w:pPr>
              <w:spacing w:before="40" w:after="40" w:line="220" w:lineRule="exact"/>
              <w:ind w:left="85" w:right="28"/>
              <w:jc w:val="right"/>
              <w:rPr>
                <w:sz w:val="18"/>
              </w:rPr>
            </w:pPr>
            <w:r w:rsidRPr="0058589E">
              <w:rPr>
                <w:sz w:val="18"/>
              </w:rPr>
              <w:t>4.151.400,83</w:t>
            </w:r>
          </w:p>
        </w:tc>
      </w:tr>
      <w:tr w:rsidR="00CD3121" w:rsidRPr="00CD3121" w:rsidTr="00F36DAB">
        <w:trPr>
          <w:cantSplit/>
          <w:trHeight w:val="240"/>
        </w:trPr>
        <w:tc>
          <w:tcPr>
            <w:tcW w:w="1428" w:type="dxa"/>
            <w:tcBorders>
              <w:top w:val="single" w:sz="4" w:space="0" w:color="auto"/>
              <w:bottom w:val="single" w:sz="12" w:space="0" w:color="auto"/>
            </w:tcBorders>
            <w:shd w:val="clear" w:color="auto" w:fill="auto"/>
            <w:noWrap/>
            <w:hideMark/>
          </w:tcPr>
          <w:p w:rsidR="00CD3121" w:rsidRPr="00CD3121" w:rsidRDefault="00CD3121" w:rsidP="00F36DAB">
            <w:pPr>
              <w:spacing w:before="80" w:after="80" w:line="220" w:lineRule="exact"/>
              <w:ind w:left="283"/>
              <w:rPr>
                <w:b/>
                <w:sz w:val="18"/>
              </w:rPr>
            </w:pPr>
            <w:r w:rsidRPr="00F36DAB">
              <w:rPr>
                <w:b/>
                <w:sz w:val="18"/>
              </w:rPr>
              <w:t>Total</w:t>
            </w:r>
          </w:p>
        </w:tc>
        <w:tc>
          <w:tcPr>
            <w:tcW w:w="1415" w:type="dxa"/>
            <w:tcBorders>
              <w:top w:val="single" w:sz="4" w:space="0" w:color="auto"/>
              <w:bottom w:val="single" w:sz="12" w:space="0" w:color="auto"/>
            </w:tcBorders>
            <w:shd w:val="clear" w:color="auto" w:fill="auto"/>
            <w:noWrap/>
            <w:vAlign w:val="bottom"/>
            <w:hideMark/>
          </w:tcPr>
          <w:p w:rsidR="00CD3121" w:rsidRPr="00CD3121" w:rsidRDefault="00CD3121" w:rsidP="00F36DAB">
            <w:pPr>
              <w:spacing w:before="80" w:after="80" w:line="220" w:lineRule="exact"/>
              <w:ind w:left="85" w:right="28"/>
              <w:jc w:val="right"/>
              <w:rPr>
                <w:b/>
                <w:sz w:val="18"/>
              </w:rPr>
            </w:pPr>
            <w:r w:rsidRPr="00CD3121">
              <w:rPr>
                <w:b/>
                <w:sz w:val="18"/>
              </w:rPr>
              <w:t>2.307.714.195,20</w:t>
            </w:r>
          </w:p>
        </w:tc>
        <w:tc>
          <w:tcPr>
            <w:tcW w:w="1415" w:type="dxa"/>
            <w:tcBorders>
              <w:top w:val="single" w:sz="4" w:space="0" w:color="auto"/>
              <w:bottom w:val="single" w:sz="12" w:space="0" w:color="auto"/>
            </w:tcBorders>
            <w:shd w:val="clear" w:color="auto" w:fill="auto"/>
            <w:noWrap/>
            <w:vAlign w:val="bottom"/>
            <w:hideMark/>
          </w:tcPr>
          <w:p w:rsidR="00CD3121" w:rsidRPr="00CD3121" w:rsidRDefault="00CD3121" w:rsidP="00F36DAB">
            <w:pPr>
              <w:spacing w:before="80" w:after="80" w:line="220" w:lineRule="exact"/>
              <w:ind w:left="85" w:right="28"/>
              <w:jc w:val="right"/>
              <w:rPr>
                <w:b/>
                <w:sz w:val="18"/>
              </w:rPr>
            </w:pPr>
            <w:r w:rsidRPr="00CD3121">
              <w:rPr>
                <w:b/>
                <w:sz w:val="18"/>
              </w:rPr>
              <w:t>1.895.011.555,48</w:t>
            </w:r>
          </w:p>
        </w:tc>
        <w:tc>
          <w:tcPr>
            <w:tcW w:w="1415" w:type="dxa"/>
            <w:tcBorders>
              <w:top w:val="single" w:sz="4" w:space="0" w:color="auto"/>
              <w:bottom w:val="single" w:sz="12" w:space="0" w:color="auto"/>
            </w:tcBorders>
            <w:shd w:val="clear" w:color="auto" w:fill="auto"/>
            <w:noWrap/>
            <w:vAlign w:val="bottom"/>
            <w:hideMark/>
          </w:tcPr>
          <w:p w:rsidR="00CD3121" w:rsidRPr="00CD3121" w:rsidRDefault="00CD3121" w:rsidP="00F36DAB">
            <w:pPr>
              <w:spacing w:before="80" w:after="80" w:line="220" w:lineRule="exact"/>
              <w:ind w:left="85" w:right="28"/>
              <w:jc w:val="right"/>
              <w:rPr>
                <w:b/>
                <w:sz w:val="18"/>
              </w:rPr>
            </w:pPr>
            <w:r w:rsidRPr="00CD3121">
              <w:rPr>
                <w:b/>
                <w:sz w:val="18"/>
              </w:rPr>
              <w:t>1.715.850.254,56</w:t>
            </w:r>
          </w:p>
        </w:tc>
        <w:tc>
          <w:tcPr>
            <w:tcW w:w="1415" w:type="dxa"/>
            <w:tcBorders>
              <w:top w:val="single" w:sz="4" w:space="0" w:color="auto"/>
              <w:bottom w:val="single" w:sz="12" w:space="0" w:color="auto"/>
            </w:tcBorders>
            <w:shd w:val="clear" w:color="auto" w:fill="auto"/>
            <w:noWrap/>
            <w:vAlign w:val="bottom"/>
            <w:hideMark/>
          </w:tcPr>
          <w:p w:rsidR="00CD3121" w:rsidRPr="00CD3121" w:rsidRDefault="00CD3121" w:rsidP="00F36DAB">
            <w:pPr>
              <w:spacing w:before="80" w:after="80" w:line="220" w:lineRule="exact"/>
              <w:ind w:left="85" w:right="28"/>
              <w:jc w:val="right"/>
              <w:rPr>
                <w:b/>
                <w:sz w:val="18"/>
              </w:rPr>
            </w:pPr>
            <w:r w:rsidRPr="00CD3121">
              <w:rPr>
                <w:b/>
                <w:sz w:val="18"/>
              </w:rPr>
              <w:t>1.787.916.353,41</w:t>
            </w:r>
          </w:p>
        </w:tc>
        <w:tc>
          <w:tcPr>
            <w:tcW w:w="1416" w:type="dxa"/>
            <w:tcBorders>
              <w:top w:val="single" w:sz="4" w:space="0" w:color="auto"/>
              <w:bottom w:val="single" w:sz="12" w:space="0" w:color="auto"/>
            </w:tcBorders>
            <w:shd w:val="clear" w:color="auto" w:fill="auto"/>
            <w:noWrap/>
            <w:vAlign w:val="bottom"/>
            <w:hideMark/>
          </w:tcPr>
          <w:p w:rsidR="00CD3121" w:rsidRPr="00CD3121" w:rsidRDefault="00CD3121" w:rsidP="00F36DAB">
            <w:pPr>
              <w:spacing w:before="80" w:after="80" w:line="220" w:lineRule="exact"/>
              <w:ind w:left="85" w:right="28"/>
              <w:jc w:val="right"/>
              <w:rPr>
                <w:b/>
                <w:sz w:val="18"/>
              </w:rPr>
            </w:pPr>
            <w:r w:rsidRPr="00CD3121">
              <w:rPr>
                <w:b/>
                <w:sz w:val="18"/>
              </w:rPr>
              <w:t>1.913.320.703,11</w:t>
            </w:r>
          </w:p>
        </w:tc>
      </w:tr>
    </w:tbl>
    <w:p w:rsidR="00864389" w:rsidRPr="00F36DAB" w:rsidRDefault="00864389" w:rsidP="00F36DAB">
      <w:pPr>
        <w:pStyle w:val="SingleTxtG"/>
        <w:spacing w:before="120" w:after="0"/>
        <w:ind w:right="0" w:firstLine="170"/>
        <w:jc w:val="left"/>
        <w:rPr>
          <w:sz w:val="18"/>
        </w:rPr>
      </w:pPr>
      <w:r w:rsidRPr="00F36DAB">
        <w:rPr>
          <w:i/>
          <w:sz w:val="18"/>
        </w:rPr>
        <w:t>Fuente:</w:t>
      </w:r>
      <w:r w:rsidRPr="00F36DAB">
        <w:rPr>
          <w:sz w:val="18"/>
        </w:rPr>
        <w:t xml:space="preserve"> Cuentas y Balances de la Seguridad Social.</w:t>
      </w:r>
    </w:p>
    <w:p w:rsidR="00864389" w:rsidRPr="00F36DAB" w:rsidRDefault="00864389" w:rsidP="00F36DAB">
      <w:pPr>
        <w:pStyle w:val="SingleTxtG"/>
        <w:spacing w:after="240"/>
        <w:ind w:right="0" w:firstLine="170"/>
        <w:jc w:val="left"/>
        <w:rPr>
          <w:sz w:val="18"/>
        </w:rPr>
      </w:pPr>
      <w:r w:rsidRPr="00F36DAB">
        <w:rPr>
          <w:i/>
          <w:sz w:val="18"/>
        </w:rPr>
        <w:t>Nota:</w:t>
      </w:r>
      <w:r w:rsidRPr="00F36DAB">
        <w:rPr>
          <w:sz w:val="18"/>
        </w:rPr>
        <w:t xml:space="preserve"> No incluye el gasto de Mutuas Colaboradoras con la Seguridad Social.</w:t>
      </w:r>
    </w:p>
    <w:p w:rsidR="00384375" w:rsidRPr="00F36DAB" w:rsidRDefault="00BD4D4A" w:rsidP="00F36DAB">
      <w:pPr>
        <w:pStyle w:val="SingleTxtG"/>
      </w:pPr>
      <w:r w:rsidRPr="00F36DAB">
        <w:t>142.</w:t>
      </w:r>
      <w:r w:rsidRPr="00F36DAB">
        <w:tab/>
      </w:r>
      <w:r w:rsidR="00384375" w:rsidRPr="00F36DAB">
        <w:t>En lo que se refiere a los datos del número de beneficiarios de prestaciones por dependencia desglosados por comunidades autónomas, sexo y edad, el número de beneficiarios a 31 de julio de 2017 superaba en más de 171.000 personas las cifras de 2011 y continuaba consolidándose, superando en julio de 2017 los 900.000, la cifra de beneficiarios con prestación más elevada hasta la fecha. En concreto, 909.973 personas.</w:t>
      </w:r>
    </w:p>
    <w:p w:rsidR="00384375" w:rsidRPr="00F36DAB" w:rsidRDefault="00BD4D4A" w:rsidP="00F36DAB">
      <w:pPr>
        <w:pStyle w:val="SingleTxtG"/>
      </w:pPr>
      <w:r w:rsidRPr="00F36DAB">
        <w:t>143.</w:t>
      </w:r>
      <w:r w:rsidRPr="00F36DAB">
        <w:tab/>
      </w:r>
      <w:r w:rsidR="00384375" w:rsidRPr="00F36DAB">
        <w:t xml:space="preserve">Destaca además que más del 86% de nuevas incorporaciones se han producido en los últimos años. Ocho de cada diez beneficiarios con prestación de la Ley </w:t>
      </w:r>
      <w:r w:rsidR="003D3899">
        <w:t xml:space="preserve">núm. </w:t>
      </w:r>
      <w:r w:rsidR="00384375" w:rsidRPr="00F36DAB">
        <w:t xml:space="preserve">39/2006, </w:t>
      </w:r>
      <w:r w:rsidR="00384375" w:rsidRPr="00F36DAB">
        <w:lastRenderedPageBreak/>
        <w:t>de 14 de diciembre, en concreto el 86,98% (791.499), han comenzado a recibir su prestación desde 2012 a julio de 2017, inclusive, lo que significa que la mayoría de las personas beneficiarias de prestación se han incorporado al Sistema de Dependencia durante los últimos años (desde enero de 2012).</w:t>
      </w:r>
    </w:p>
    <w:p w:rsidR="00384375" w:rsidRPr="00F36DAB" w:rsidRDefault="00BD4D4A" w:rsidP="00F36DAB">
      <w:pPr>
        <w:pStyle w:val="SingleTxtG"/>
      </w:pPr>
      <w:r w:rsidRPr="00F36DAB">
        <w:t>144.</w:t>
      </w:r>
      <w:r w:rsidRPr="00F36DAB">
        <w:tab/>
      </w:r>
      <w:r w:rsidR="00384375" w:rsidRPr="00F36DAB">
        <w:t xml:space="preserve">Asimismo, es destacable que menos personas están esperando recibir una prestación. El análisis de las personas pendientes de recibir prestación no puede ser el mismo para Grados y niveles ya efectivos y consolidados antes del 1 de </w:t>
      </w:r>
      <w:r w:rsidR="00666B89">
        <w:t>j</w:t>
      </w:r>
      <w:r w:rsidR="00666B89" w:rsidRPr="00F36DAB">
        <w:t xml:space="preserve">ulio </w:t>
      </w:r>
      <w:r w:rsidR="00384375" w:rsidRPr="00F36DAB">
        <w:t xml:space="preserve">de 2015, que para el Grado que se ha incorporado al Sistema en esa fecha. Así, en Grados y niveles ya efectivos y consolidados antes del 1 de </w:t>
      </w:r>
      <w:r w:rsidR="00666B89">
        <w:t>a</w:t>
      </w:r>
      <w:r w:rsidR="00666B89" w:rsidRPr="00F36DAB">
        <w:t xml:space="preserve">gosto </w:t>
      </w:r>
      <w:r w:rsidR="00384375" w:rsidRPr="00F36DAB">
        <w:t>de 2015, hay 185.016 personas pendientes de recibir prestación menos que en 2011, lo que supone una reducción de las personas pendientes de prestación del 60,47%.</w:t>
      </w:r>
    </w:p>
    <w:p w:rsidR="00384375" w:rsidRPr="00F36DAB" w:rsidRDefault="00BD4D4A" w:rsidP="00F36DAB">
      <w:pPr>
        <w:pStyle w:val="SingleTxtG"/>
      </w:pPr>
      <w:r w:rsidRPr="00F36DAB">
        <w:t>145.</w:t>
      </w:r>
      <w:r w:rsidRPr="00F36DAB">
        <w:tab/>
      </w:r>
      <w:r w:rsidR="00384375" w:rsidRPr="00F36DAB">
        <w:t>En cuanto a las personas que han causado baja en lo que va de año 2017, el 74,47% ya se encontraban recibiendo prestación.</w:t>
      </w:r>
    </w:p>
    <w:p w:rsidR="00384375" w:rsidRPr="00F36DAB" w:rsidRDefault="00BD4D4A" w:rsidP="00F36DAB">
      <w:pPr>
        <w:pStyle w:val="SingleTxtG"/>
      </w:pPr>
      <w:r w:rsidRPr="00F36DAB">
        <w:t>146.</w:t>
      </w:r>
      <w:r w:rsidRPr="00F36DAB">
        <w:tab/>
      </w:r>
      <w:r w:rsidR="00384375" w:rsidRPr="00F36DAB">
        <w:t>De las más de un millón de prestaciones de dependencia, dos de cada tres son ya de servicios profesionales. Así, las prestaciones de servicios representan el 66,45% del total de prestaciones reconocidas, mientras que las prestaciones económicas para cuidados en el entorno familiar suponen un 33,55%.</w:t>
      </w:r>
    </w:p>
    <w:p w:rsidR="00384375" w:rsidRPr="00F36DAB" w:rsidRDefault="00BD4D4A" w:rsidP="00F36DAB">
      <w:pPr>
        <w:pStyle w:val="SingleTxtG"/>
      </w:pPr>
      <w:r w:rsidRPr="00F36DAB">
        <w:t>147.</w:t>
      </w:r>
      <w:r w:rsidRPr="00F36DAB">
        <w:tab/>
      </w:r>
      <w:r w:rsidR="00384375" w:rsidRPr="00F36DAB">
        <w:t>De este modo, las prestaciones de servicios profesionales se encuentran hoy 11,86 puntos porcentuales por encima del 54,6% que representaban en el año 2011.</w:t>
      </w:r>
    </w:p>
    <w:p w:rsidR="00384375" w:rsidRPr="00F36DAB" w:rsidRDefault="00BD4D4A" w:rsidP="00F36DAB">
      <w:pPr>
        <w:pStyle w:val="SingleTxtG"/>
      </w:pPr>
      <w:r w:rsidRPr="00F36DAB">
        <w:t>148.</w:t>
      </w:r>
      <w:r w:rsidRPr="00F36DAB">
        <w:tab/>
      </w:r>
      <w:r w:rsidR="00384375" w:rsidRPr="00F36DAB">
        <w:t>En relación con las personas reconocidas como dependientes severos y grandes dependientes, a fecha 31 de julio de 2017 existía un total de 704.706 personas con prestación reconocida, lo que significa una cobertura del 95,35% del total de 825.631 personas de los Grados III y II, frente al 71,1% de 2011.</w:t>
      </w:r>
    </w:p>
    <w:p w:rsidR="00384375" w:rsidRPr="00F36DAB" w:rsidRDefault="00BD4D4A" w:rsidP="00F36DAB">
      <w:pPr>
        <w:pStyle w:val="SingleTxtG"/>
      </w:pPr>
      <w:r w:rsidRPr="00F36DAB">
        <w:t>149.</w:t>
      </w:r>
      <w:r w:rsidRPr="00F36DAB">
        <w:tab/>
      </w:r>
      <w:r w:rsidR="00384375" w:rsidRPr="00F36DAB">
        <w:t xml:space="preserve">Respecto al Grado I, a fecha 31 de julio de 2017, existía un total de 205.267 personas con prestación reconocida, lo que supone una cobertura del 51,44% del total de personas con derecho, frente al 14,02% de </w:t>
      </w:r>
      <w:r w:rsidR="00666B89">
        <w:t>j</w:t>
      </w:r>
      <w:r w:rsidR="00666B89" w:rsidRPr="00F36DAB">
        <w:t xml:space="preserve">ulio </w:t>
      </w:r>
      <w:r w:rsidR="00384375" w:rsidRPr="00F36DAB">
        <w:t>de 2015 cuando se implantó plenamente.</w:t>
      </w:r>
    </w:p>
    <w:p w:rsidR="00384375" w:rsidRPr="00F36DAB" w:rsidRDefault="00BD4D4A" w:rsidP="00F36DAB">
      <w:pPr>
        <w:pStyle w:val="SingleTxtG"/>
      </w:pPr>
      <w:r w:rsidRPr="00F36DAB">
        <w:t>150.</w:t>
      </w:r>
      <w:r w:rsidRPr="00F36DAB">
        <w:tab/>
      </w:r>
      <w:r w:rsidR="00384375" w:rsidRPr="00F36DAB">
        <w:t xml:space="preserve">Por otro lado, la gran mayoría de los grandes dependientes y dependientes severos (Grados III y II) pendientes de recibir prestación, en concreto el 71,34%, se encuentran en sólo </w:t>
      </w:r>
      <w:r w:rsidR="00666B89">
        <w:t>siete</w:t>
      </w:r>
      <w:r w:rsidR="00666B89" w:rsidRPr="00F36DAB">
        <w:t xml:space="preserve"> </w:t>
      </w:r>
      <w:r w:rsidR="00384375" w:rsidRPr="00F36DAB">
        <w:t xml:space="preserve">Comunidades Autónomas: Andalucía, Aragón, Canarias, Cataluña, Extremadura, Galicia, y </w:t>
      </w:r>
      <w:r w:rsidR="00BB411A">
        <w:t>L</w:t>
      </w:r>
      <w:r w:rsidR="00BB411A" w:rsidRPr="00F36DAB">
        <w:t xml:space="preserve">a </w:t>
      </w:r>
      <w:r w:rsidR="00384375" w:rsidRPr="00F36DAB">
        <w:t>Rioja.</w:t>
      </w:r>
    </w:p>
    <w:p w:rsidR="00384375" w:rsidRPr="00F36DAB" w:rsidRDefault="00BD4D4A" w:rsidP="00F36DAB">
      <w:pPr>
        <w:pStyle w:val="SingleTxtG"/>
      </w:pPr>
      <w:r w:rsidRPr="00F36DAB">
        <w:t>151.</w:t>
      </w:r>
      <w:r w:rsidRPr="00F36DAB">
        <w:tab/>
      </w:r>
      <w:r w:rsidR="00384375" w:rsidRPr="00F36DAB">
        <w:t>En los siguientes cuadros se muestra la evolución de los beneficiarios de prestaciones por dependencia durante los últimos seis años.</w:t>
      </w:r>
    </w:p>
    <w:p w:rsidR="00384375" w:rsidRDefault="0000279B">
      <w:pPr>
        <w:pStyle w:val="H23G"/>
      </w:pPr>
      <w:r>
        <w:lastRenderedPageBreak/>
        <w:tab/>
      </w:r>
      <w:r>
        <w:tab/>
      </w:r>
      <w:r w:rsidR="00384375" w:rsidRPr="003E0B97">
        <w:t>Datos a 31 de diciembre de 2012</w:t>
      </w:r>
    </w:p>
    <w:p w:rsidR="0000279B" w:rsidRPr="0000279B" w:rsidRDefault="00A93DFB" w:rsidP="00F36DAB">
      <w:pPr>
        <w:pStyle w:val="SingleTxtG"/>
      </w:pPr>
      <w:r>
        <w:rPr>
          <w:noProof/>
          <w:lang w:eastAsia="zh-CN"/>
        </w:rPr>
        <w:drawing>
          <wp:inline distT="0" distB="0" distL="0" distR="0">
            <wp:extent cx="5391150" cy="5467350"/>
            <wp:effectExtent l="0" t="0" r="0" b="0"/>
            <wp:docPr id="1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91150" cy="5467350"/>
                    </a:xfrm>
                    <a:prstGeom prst="rect">
                      <a:avLst/>
                    </a:prstGeom>
                    <a:noFill/>
                    <a:ln>
                      <a:noFill/>
                    </a:ln>
                  </pic:spPr>
                </pic:pic>
              </a:graphicData>
            </a:graphic>
          </wp:inline>
        </w:drawing>
      </w:r>
    </w:p>
    <w:p w:rsidR="00384375" w:rsidRDefault="0000279B">
      <w:pPr>
        <w:pStyle w:val="H23G"/>
      </w:pPr>
      <w:r>
        <w:lastRenderedPageBreak/>
        <w:tab/>
      </w:r>
      <w:r>
        <w:tab/>
      </w:r>
      <w:r w:rsidR="00384375" w:rsidRPr="003E0B97">
        <w:t>Datos a 31 de diciembre de 2013</w:t>
      </w:r>
    </w:p>
    <w:p w:rsidR="0000279B" w:rsidRPr="0000279B" w:rsidRDefault="00A93DFB" w:rsidP="00F36DAB">
      <w:pPr>
        <w:pStyle w:val="SingleTxtG"/>
      </w:pPr>
      <w:r>
        <w:rPr>
          <w:noProof/>
          <w:lang w:eastAsia="zh-CN"/>
        </w:rPr>
        <w:drawing>
          <wp:inline distT="0" distB="0" distL="0" distR="0">
            <wp:extent cx="5391150" cy="4953000"/>
            <wp:effectExtent l="0" t="0" r="0" b="0"/>
            <wp:docPr id="1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91150" cy="4953000"/>
                    </a:xfrm>
                    <a:prstGeom prst="rect">
                      <a:avLst/>
                    </a:prstGeom>
                    <a:noFill/>
                    <a:ln>
                      <a:noFill/>
                    </a:ln>
                  </pic:spPr>
                </pic:pic>
              </a:graphicData>
            </a:graphic>
          </wp:inline>
        </w:drawing>
      </w:r>
    </w:p>
    <w:p w:rsidR="00384375" w:rsidRDefault="0000279B">
      <w:pPr>
        <w:pStyle w:val="H23G"/>
      </w:pPr>
      <w:r>
        <w:lastRenderedPageBreak/>
        <w:tab/>
      </w:r>
      <w:r>
        <w:tab/>
      </w:r>
      <w:r w:rsidR="00384375" w:rsidRPr="003E0B97">
        <w:t xml:space="preserve">Datos a 31 de diciembre de 2014 </w:t>
      </w:r>
    </w:p>
    <w:p w:rsidR="0000279B" w:rsidRPr="0000279B" w:rsidRDefault="00A93DFB" w:rsidP="00F36DAB">
      <w:pPr>
        <w:pStyle w:val="SingleTxtG"/>
      </w:pPr>
      <w:r>
        <w:rPr>
          <w:noProof/>
          <w:lang w:eastAsia="zh-CN"/>
        </w:rPr>
        <w:drawing>
          <wp:inline distT="0" distB="0" distL="0" distR="0">
            <wp:extent cx="5391150" cy="4953000"/>
            <wp:effectExtent l="0" t="0" r="0" b="0"/>
            <wp:docPr id="1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1150" cy="4953000"/>
                    </a:xfrm>
                    <a:prstGeom prst="rect">
                      <a:avLst/>
                    </a:prstGeom>
                    <a:noFill/>
                    <a:ln>
                      <a:noFill/>
                    </a:ln>
                  </pic:spPr>
                </pic:pic>
              </a:graphicData>
            </a:graphic>
          </wp:inline>
        </w:drawing>
      </w:r>
    </w:p>
    <w:p w:rsidR="00384375" w:rsidRDefault="0000279B">
      <w:pPr>
        <w:pStyle w:val="H23G"/>
      </w:pPr>
      <w:r>
        <w:lastRenderedPageBreak/>
        <w:tab/>
      </w:r>
      <w:r>
        <w:tab/>
      </w:r>
      <w:r w:rsidR="00384375" w:rsidRPr="003E0B97">
        <w:t>Datos a 31 de diciembre de 2015</w:t>
      </w:r>
    </w:p>
    <w:p w:rsidR="0000279B" w:rsidRPr="0000279B" w:rsidRDefault="00A93DFB" w:rsidP="00F36DAB">
      <w:pPr>
        <w:pStyle w:val="SingleTxtG"/>
      </w:pPr>
      <w:r>
        <w:rPr>
          <w:noProof/>
          <w:lang w:eastAsia="zh-CN"/>
        </w:rPr>
        <w:drawing>
          <wp:inline distT="0" distB="0" distL="0" distR="0">
            <wp:extent cx="5391150" cy="4991100"/>
            <wp:effectExtent l="0" t="0" r="0" b="0"/>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91150" cy="4991100"/>
                    </a:xfrm>
                    <a:prstGeom prst="rect">
                      <a:avLst/>
                    </a:prstGeom>
                    <a:noFill/>
                    <a:ln>
                      <a:noFill/>
                    </a:ln>
                  </pic:spPr>
                </pic:pic>
              </a:graphicData>
            </a:graphic>
          </wp:inline>
        </w:drawing>
      </w:r>
    </w:p>
    <w:p w:rsidR="00384375" w:rsidRDefault="0000279B">
      <w:pPr>
        <w:pStyle w:val="H23G"/>
      </w:pPr>
      <w:r>
        <w:lastRenderedPageBreak/>
        <w:tab/>
      </w:r>
      <w:r>
        <w:tab/>
      </w:r>
      <w:r w:rsidR="00384375" w:rsidRPr="003E0B97">
        <w:t>Datos a 31 de diciembre de 2016</w:t>
      </w:r>
    </w:p>
    <w:p w:rsidR="0000279B" w:rsidRPr="0000279B" w:rsidRDefault="00A93DFB" w:rsidP="00F36DAB">
      <w:pPr>
        <w:pStyle w:val="SingleTxtG"/>
      </w:pPr>
      <w:r>
        <w:rPr>
          <w:noProof/>
          <w:lang w:eastAsia="zh-CN"/>
        </w:rPr>
        <w:drawing>
          <wp:inline distT="0" distB="0" distL="0" distR="0">
            <wp:extent cx="5391150" cy="4543425"/>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4543425"/>
                    </a:xfrm>
                    <a:prstGeom prst="rect">
                      <a:avLst/>
                    </a:prstGeom>
                    <a:noFill/>
                    <a:ln>
                      <a:noFill/>
                    </a:ln>
                  </pic:spPr>
                </pic:pic>
              </a:graphicData>
            </a:graphic>
          </wp:inline>
        </w:drawing>
      </w:r>
    </w:p>
    <w:p w:rsidR="00384375" w:rsidRDefault="0000279B">
      <w:pPr>
        <w:pStyle w:val="H23G"/>
      </w:pPr>
      <w:r>
        <w:lastRenderedPageBreak/>
        <w:tab/>
      </w:r>
      <w:r>
        <w:tab/>
      </w:r>
      <w:r w:rsidR="00384375" w:rsidRPr="003E0B97">
        <w:t xml:space="preserve">Datos a 31 de </w:t>
      </w:r>
      <w:r w:rsidR="00666B89">
        <w:t>j</w:t>
      </w:r>
      <w:r w:rsidR="00666B89" w:rsidRPr="003E0B97">
        <w:t xml:space="preserve">ulio </w:t>
      </w:r>
      <w:r w:rsidR="00384375" w:rsidRPr="003E0B97">
        <w:t>de 2017</w:t>
      </w:r>
    </w:p>
    <w:p w:rsidR="0000279B" w:rsidRPr="0000279B" w:rsidRDefault="00A93DFB" w:rsidP="00F36DAB">
      <w:pPr>
        <w:pStyle w:val="SingleTxtG"/>
      </w:pPr>
      <w:r>
        <w:rPr>
          <w:noProof/>
          <w:lang w:eastAsia="zh-CN"/>
        </w:rPr>
        <w:drawing>
          <wp:inline distT="0" distB="0" distL="0" distR="0">
            <wp:extent cx="5391150" cy="4543425"/>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91150" cy="4543425"/>
                    </a:xfrm>
                    <a:prstGeom prst="rect">
                      <a:avLst/>
                    </a:prstGeom>
                    <a:noFill/>
                    <a:ln>
                      <a:noFill/>
                    </a:ln>
                  </pic:spPr>
                </pic:pic>
              </a:graphicData>
            </a:graphic>
          </wp:inline>
        </w:drawing>
      </w:r>
    </w:p>
    <w:p w:rsidR="00384375" w:rsidRPr="00F36DAB" w:rsidRDefault="00BD4D4A" w:rsidP="00F36DAB">
      <w:pPr>
        <w:pStyle w:val="SingleTxtG"/>
        <w:spacing w:before="240"/>
      </w:pPr>
      <w:r w:rsidRPr="00F36DAB">
        <w:t>152.</w:t>
      </w:r>
      <w:r w:rsidRPr="00F36DAB">
        <w:tab/>
      </w:r>
      <w:r w:rsidR="00384375" w:rsidRPr="00F36DAB">
        <w:t>En el campo de la cultura, en 2015, el gasto de los hogares en bienes y servicios culturales ascendió a 11.968,8 millones de euros y representa el 2,4% del gasto total estimado en bienes y servicios. El gasto medio por hogar vinculado a la cultura fue de 651,4 euros y el gasto medio por persona se situó en 260,4 euros.</w:t>
      </w:r>
    </w:p>
    <w:p w:rsidR="00384375" w:rsidRPr="00F36DAB" w:rsidRDefault="00BC1B42" w:rsidP="00F36DAB">
      <w:pPr>
        <w:pStyle w:val="H23G"/>
        <w:rPr>
          <w:sz w:val="16"/>
        </w:rPr>
      </w:pPr>
      <w:r>
        <w:tab/>
      </w:r>
      <w:r>
        <w:tab/>
      </w:r>
      <w:r w:rsidR="00921A21" w:rsidRPr="00985267">
        <w:t>Gasto de los hogares en bienes y servicios culturales</w:t>
      </w:r>
      <w:r w:rsidR="009620D0">
        <w:br/>
      </w:r>
      <w:r w:rsidR="00384375" w:rsidRPr="00F36DAB">
        <w:rPr>
          <w:b w:val="0"/>
          <w:sz w:val="16"/>
        </w:rPr>
        <w:t>(Gasto medio por persona en euros)</w:t>
      </w:r>
    </w:p>
    <w:p w:rsidR="006545AE" w:rsidRDefault="00A93DFB" w:rsidP="00F36DAB">
      <w:pPr>
        <w:pStyle w:val="SingleTxtG"/>
      </w:pPr>
      <w:r>
        <w:rPr>
          <w:noProof/>
          <w:lang w:eastAsia="zh-CN"/>
        </w:rPr>
        <w:drawing>
          <wp:inline distT="0" distB="0" distL="0" distR="0">
            <wp:extent cx="4667250" cy="2581275"/>
            <wp:effectExtent l="19050" t="19050" r="0" b="9525"/>
            <wp:docPr id="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667250" cy="2581275"/>
                    </a:xfrm>
                    <a:prstGeom prst="rect">
                      <a:avLst/>
                    </a:prstGeom>
                    <a:noFill/>
                    <a:ln w="6350" cmpd="sng">
                      <a:solidFill>
                        <a:srgbClr val="000000"/>
                      </a:solidFill>
                      <a:miter lim="800000"/>
                      <a:headEnd/>
                      <a:tailEnd/>
                    </a:ln>
                    <a:effectLst/>
                  </pic:spPr>
                </pic:pic>
              </a:graphicData>
            </a:graphic>
          </wp:inline>
        </w:drawing>
      </w:r>
    </w:p>
    <w:p w:rsidR="00384375" w:rsidRPr="00F36DAB" w:rsidRDefault="00384375" w:rsidP="00F36DAB">
      <w:pPr>
        <w:pStyle w:val="SingleTxtG"/>
        <w:spacing w:before="120" w:after="240"/>
        <w:ind w:firstLine="170"/>
        <w:jc w:val="left"/>
        <w:rPr>
          <w:sz w:val="18"/>
        </w:rPr>
      </w:pPr>
      <w:r w:rsidRPr="00F36DAB">
        <w:rPr>
          <w:i/>
          <w:sz w:val="18"/>
        </w:rPr>
        <w:t>Fuente:</w:t>
      </w:r>
      <w:r w:rsidRPr="00F36DAB">
        <w:rPr>
          <w:sz w:val="18"/>
        </w:rPr>
        <w:t xml:space="preserve"> MECD. Estadística de Financiación y Gasto Público en Cultura, MHAP. Estadística de Liquidación de los Presupuestos de las Comunidades Autónomas y de las Entidades Locales.</w:t>
      </w:r>
    </w:p>
    <w:p w:rsidR="00384375" w:rsidRPr="00F36DAB" w:rsidRDefault="00BD4D4A" w:rsidP="00F36DAB">
      <w:pPr>
        <w:pStyle w:val="SingleTxtG"/>
      </w:pPr>
      <w:r w:rsidRPr="00F36DAB">
        <w:lastRenderedPageBreak/>
        <w:t>153.</w:t>
      </w:r>
      <w:r w:rsidRPr="00F36DAB">
        <w:tab/>
      </w:r>
      <w:r w:rsidR="00384375" w:rsidRPr="00F36DAB">
        <w:t>Respecto a los museos, la estadística estima que las 1.522 instituciones museísticas investigadas recibieron 58,4 millones de visitantes a lo largo de 2014, cifra que supone un incremento del 2,1% respecto a 2012.</w:t>
      </w:r>
    </w:p>
    <w:p w:rsidR="00384375" w:rsidRPr="00F36DAB" w:rsidRDefault="00BC1B42" w:rsidP="00F36DAB">
      <w:pPr>
        <w:pStyle w:val="H23G"/>
        <w:rPr>
          <w:b w:val="0"/>
          <w:sz w:val="16"/>
        </w:rPr>
      </w:pPr>
      <w:r>
        <w:tab/>
      </w:r>
      <w:r>
        <w:tab/>
      </w:r>
      <w:r w:rsidR="00921A21" w:rsidRPr="00D24376">
        <w:t xml:space="preserve">Personas que han visitado monumentos o yacimientos arqueológicos </w:t>
      </w:r>
      <w:r w:rsidR="00D24376" w:rsidRPr="00D24376">
        <w:br/>
      </w:r>
      <w:r w:rsidR="00384375" w:rsidRPr="00F36DAB">
        <w:rPr>
          <w:b w:val="0"/>
          <w:sz w:val="16"/>
        </w:rPr>
        <w:t>(Porcentaje de población)</w:t>
      </w:r>
    </w:p>
    <w:p w:rsidR="00384375" w:rsidRPr="003E0B97" w:rsidRDefault="00A93DFB" w:rsidP="00F36DAB">
      <w:pPr>
        <w:pStyle w:val="SingleTxtG"/>
      </w:pPr>
      <w:r>
        <w:rPr>
          <w:noProof/>
          <w:lang w:eastAsia="zh-CN"/>
        </w:rPr>
        <w:drawing>
          <wp:inline distT="0" distB="0" distL="0" distR="0">
            <wp:extent cx="4667250" cy="3248025"/>
            <wp:effectExtent l="19050" t="19050" r="0" b="9525"/>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667250" cy="3248025"/>
                    </a:xfrm>
                    <a:prstGeom prst="rect">
                      <a:avLst/>
                    </a:prstGeom>
                    <a:noFill/>
                    <a:ln w="6350" cmpd="sng">
                      <a:solidFill>
                        <a:srgbClr val="000000"/>
                      </a:solidFill>
                      <a:miter lim="800000"/>
                      <a:headEnd/>
                      <a:tailEnd/>
                    </a:ln>
                    <a:effectLst/>
                  </pic:spPr>
                </pic:pic>
              </a:graphicData>
            </a:graphic>
          </wp:inline>
        </w:drawing>
      </w:r>
    </w:p>
    <w:p w:rsidR="00384375" w:rsidRPr="00F36DAB" w:rsidRDefault="00384375" w:rsidP="00F36DAB">
      <w:pPr>
        <w:pStyle w:val="SingleTxtG"/>
        <w:spacing w:before="120" w:after="240"/>
        <w:ind w:firstLine="170"/>
        <w:jc w:val="left"/>
        <w:rPr>
          <w:sz w:val="18"/>
        </w:rPr>
      </w:pPr>
      <w:r w:rsidRPr="00F36DAB">
        <w:rPr>
          <w:i/>
          <w:sz w:val="18"/>
        </w:rPr>
        <w:t>Fuente:</w:t>
      </w:r>
      <w:r w:rsidRPr="00F36DAB">
        <w:rPr>
          <w:sz w:val="18"/>
        </w:rPr>
        <w:t xml:space="preserve"> MECD. Encuesta de Hábitos y Prácticas Culturales en España.</w:t>
      </w:r>
    </w:p>
    <w:p w:rsidR="00384375" w:rsidRPr="00D24376" w:rsidRDefault="00BC1B42" w:rsidP="00F36DAB">
      <w:pPr>
        <w:pStyle w:val="H23G"/>
      </w:pPr>
      <w:r>
        <w:tab/>
      </w:r>
      <w:r>
        <w:tab/>
      </w:r>
      <w:r w:rsidR="00921A21" w:rsidRPr="00D24376">
        <w:t>Visitantes estimados en museos y colecciones museográficas</w:t>
      </w:r>
    </w:p>
    <w:p w:rsidR="00384375" w:rsidRPr="003E0B97" w:rsidRDefault="00A93DFB" w:rsidP="00F36DAB">
      <w:pPr>
        <w:pStyle w:val="SingleTxtG"/>
      </w:pPr>
      <w:r>
        <w:rPr>
          <w:noProof/>
          <w:lang w:eastAsia="zh-CN"/>
        </w:rPr>
        <w:drawing>
          <wp:inline distT="0" distB="0" distL="0" distR="0">
            <wp:extent cx="4667250" cy="2609850"/>
            <wp:effectExtent l="19050" t="19050" r="0" b="0"/>
            <wp:docPr id="10"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67250" cy="2609850"/>
                    </a:xfrm>
                    <a:prstGeom prst="rect">
                      <a:avLst/>
                    </a:prstGeom>
                    <a:noFill/>
                    <a:ln w="6350" cmpd="sng">
                      <a:solidFill>
                        <a:srgbClr val="000000"/>
                      </a:solidFill>
                      <a:miter lim="800000"/>
                      <a:headEnd/>
                      <a:tailEnd/>
                    </a:ln>
                    <a:effectLst/>
                  </pic:spPr>
                </pic:pic>
              </a:graphicData>
            </a:graphic>
          </wp:inline>
        </w:drawing>
      </w:r>
    </w:p>
    <w:p w:rsidR="00384375" w:rsidRPr="00F36DAB" w:rsidRDefault="00384375" w:rsidP="00F36DAB">
      <w:pPr>
        <w:pStyle w:val="SingleTxtG"/>
        <w:spacing w:before="120" w:after="240"/>
        <w:ind w:firstLine="170"/>
        <w:jc w:val="left"/>
        <w:rPr>
          <w:sz w:val="18"/>
        </w:rPr>
      </w:pPr>
      <w:r w:rsidRPr="00F36DAB">
        <w:rPr>
          <w:i/>
          <w:sz w:val="18"/>
        </w:rPr>
        <w:t>Fuente:</w:t>
      </w:r>
      <w:r w:rsidRPr="00F36DAB">
        <w:rPr>
          <w:sz w:val="18"/>
        </w:rPr>
        <w:t xml:space="preserve"> MECD. Estadística de Museos y Colecciones Museográficas</w:t>
      </w:r>
      <w:r w:rsidR="00BC1B42">
        <w:rPr>
          <w:sz w:val="18"/>
        </w:rPr>
        <w:t>.</w:t>
      </w:r>
    </w:p>
    <w:p w:rsidR="00384375" w:rsidRPr="00F36DAB" w:rsidRDefault="00BC1B42" w:rsidP="00F36DAB">
      <w:pPr>
        <w:pStyle w:val="H23G"/>
        <w:rPr>
          <w:sz w:val="16"/>
        </w:rPr>
      </w:pPr>
      <w:r>
        <w:lastRenderedPageBreak/>
        <w:tab/>
      </w:r>
      <w:r>
        <w:tab/>
      </w:r>
      <w:r w:rsidR="006545AE" w:rsidRPr="00D24376">
        <w:t>Visitantes a museos, exposiciones y galerías de arte</w:t>
      </w:r>
      <w:r w:rsidR="00D24376">
        <w:br/>
      </w:r>
      <w:r w:rsidR="00384375" w:rsidRPr="00F36DAB">
        <w:rPr>
          <w:b w:val="0"/>
          <w:sz w:val="16"/>
        </w:rPr>
        <w:t>(Porcentaje de población)</w:t>
      </w:r>
    </w:p>
    <w:p w:rsidR="00384375" w:rsidRPr="003E0B97" w:rsidRDefault="00A93DFB" w:rsidP="00F36DAB">
      <w:pPr>
        <w:pStyle w:val="SingleTxtG"/>
      </w:pPr>
      <w:r>
        <w:rPr>
          <w:noProof/>
          <w:lang w:eastAsia="zh-CN"/>
        </w:rPr>
        <w:drawing>
          <wp:inline distT="0" distB="0" distL="0" distR="0">
            <wp:extent cx="4667250" cy="3781425"/>
            <wp:effectExtent l="19050" t="19050" r="0" b="9525"/>
            <wp:docPr id="1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667250" cy="3781425"/>
                    </a:xfrm>
                    <a:prstGeom prst="rect">
                      <a:avLst/>
                    </a:prstGeom>
                    <a:noFill/>
                    <a:ln w="6350" cmpd="sng">
                      <a:solidFill>
                        <a:srgbClr val="000000"/>
                      </a:solidFill>
                      <a:miter lim="800000"/>
                      <a:headEnd/>
                      <a:tailEnd/>
                    </a:ln>
                    <a:effectLst/>
                  </pic:spPr>
                </pic:pic>
              </a:graphicData>
            </a:graphic>
          </wp:inline>
        </w:drawing>
      </w:r>
    </w:p>
    <w:p w:rsidR="00384375" w:rsidRPr="00F36DAB" w:rsidRDefault="00384375" w:rsidP="00F36DAB">
      <w:pPr>
        <w:pStyle w:val="SingleTxtG"/>
        <w:spacing w:before="120" w:after="240"/>
        <w:ind w:firstLine="170"/>
        <w:jc w:val="left"/>
        <w:rPr>
          <w:sz w:val="18"/>
        </w:rPr>
      </w:pPr>
      <w:r w:rsidRPr="00F36DAB">
        <w:rPr>
          <w:i/>
          <w:sz w:val="18"/>
        </w:rPr>
        <w:t>Fuente:</w:t>
      </w:r>
      <w:r w:rsidRPr="00F36DAB">
        <w:rPr>
          <w:sz w:val="18"/>
        </w:rPr>
        <w:t xml:space="preserve"> MECD. Encuesta de Hábitos y Prácticas Culturales en España.</w:t>
      </w:r>
    </w:p>
    <w:p w:rsidR="00384375" w:rsidRPr="00F36DAB" w:rsidRDefault="00BD4D4A" w:rsidP="00F36DAB">
      <w:pPr>
        <w:pStyle w:val="SingleTxtG"/>
      </w:pPr>
      <w:r w:rsidRPr="00F36DAB">
        <w:t>154.</w:t>
      </w:r>
      <w:r w:rsidRPr="00F36DAB">
        <w:tab/>
      </w:r>
      <w:r w:rsidR="00384375" w:rsidRPr="00F36DAB">
        <w:t>En lo que se refiere a los archivos, en 2015 se registraron 36</w:t>
      </w:r>
      <w:r w:rsidR="00666B89">
        <w:t>.</w:t>
      </w:r>
      <w:r w:rsidR="00384375" w:rsidRPr="00F36DAB">
        <w:t>2</w:t>
      </w:r>
      <w:r w:rsidR="00666B89">
        <w:t>00</w:t>
      </w:r>
      <w:r w:rsidR="00384375" w:rsidRPr="00F36DAB">
        <w:t xml:space="preserve"> sesiones de trabajo en sala, en las que se consultaron más de 100</w:t>
      </w:r>
      <w:r w:rsidR="00666B89">
        <w:t>.000</w:t>
      </w:r>
      <w:r w:rsidR="00384375" w:rsidRPr="00F36DAB">
        <w:t xml:space="preserve"> documentos. A lo largo de 2015 los archivos investigados recibieron algo más de 1 millón de visitas por interés cultural, artístico o arquitectónico.</w:t>
      </w:r>
    </w:p>
    <w:p w:rsidR="00384375" w:rsidRPr="00F36DAB" w:rsidRDefault="0060335F" w:rsidP="00F36DAB">
      <w:pPr>
        <w:pStyle w:val="H23G"/>
        <w:rPr>
          <w:b w:val="0"/>
          <w:sz w:val="16"/>
        </w:rPr>
      </w:pPr>
      <w:r>
        <w:tab/>
      </w:r>
      <w:r>
        <w:tab/>
      </w:r>
      <w:r w:rsidR="009431AD" w:rsidRPr="00D24376">
        <w:t>Personas han visitado archivos</w:t>
      </w:r>
      <w:r w:rsidR="00D24376" w:rsidRPr="00D24376">
        <w:br/>
      </w:r>
      <w:r w:rsidR="00384375" w:rsidRPr="00F36DAB">
        <w:rPr>
          <w:b w:val="0"/>
          <w:sz w:val="16"/>
        </w:rPr>
        <w:t>(Porcentaje de población)</w:t>
      </w:r>
    </w:p>
    <w:p w:rsidR="0060335F" w:rsidRDefault="00A93DFB" w:rsidP="00F36DAB">
      <w:pPr>
        <w:pStyle w:val="SingleTxtG"/>
        <w:rPr>
          <w:noProof/>
        </w:rPr>
      </w:pPr>
      <w:r>
        <w:rPr>
          <w:noProof/>
          <w:lang w:eastAsia="zh-CN"/>
        </w:rPr>
        <w:drawing>
          <wp:inline distT="0" distB="0" distL="0" distR="0">
            <wp:extent cx="4667250" cy="3114675"/>
            <wp:effectExtent l="19050" t="19050" r="0" b="9525"/>
            <wp:docPr id="12"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pic:cNvPicPr>
                      <a:picLocks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67250" cy="3114675"/>
                    </a:xfrm>
                    <a:prstGeom prst="rect">
                      <a:avLst/>
                    </a:prstGeom>
                    <a:noFill/>
                    <a:ln w="6350" cmpd="sng">
                      <a:solidFill>
                        <a:srgbClr val="000000"/>
                      </a:solidFill>
                      <a:miter lim="800000"/>
                      <a:headEnd/>
                      <a:tailEnd/>
                    </a:ln>
                    <a:effectLst/>
                  </pic:spPr>
                </pic:pic>
              </a:graphicData>
            </a:graphic>
          </wp:inline>
        </w:drawing>
      </w:r>
    </w:p>
    <w:p w:rsidR="00384375" w:rsidRPr="00F36DAB" w:rsidRDefault="00384375" w:rsidP="00F36DAB">
      <w:pPr>
        <w:pStyle w:val="SingleTxtG"/>
        <w:spacing w:before="120" w:after="240"/>
        <w:ind w:firstLine="170"/>
        <w:jc w:val="left"/>
        <w:rPr>
          <w:sz w:val="18"/>
        </w:rPr>
      </w:pPr>
      <w:r w:rsidRPr="00F36DAB">
        <w:rPr>
          <w:i/>
          <w:sz w:val="18"/>
        </w:rPr>
        <w:lastRenderedPageBreak/>
        <w:t>Fuente:</w:t>
      </w:r>
      <w:r w:rsidRPr="00F36DAB">
        <w:rPr>
          <w:sz w:val="18"/>
        </w:rPr>
        <w:t xml:space="preserve"> MECD. Encuesta de Hábitos y Prácticas Culturales en España.</w:t>
      </w:r>
    </w:p>
    <w:p w:rsidR="00384375" w:rsidRPr="00F36DAB" w:rsidRDefault="00BD4D4A" w:rsidP="00F36DAB">
      <w:pPr>
        <w:pStyle w:val="SingleTxtG"/>
      </w:pPr>
      <w:r w:rsidRPr="00F36DAB">
        <w:t>155.</w:t>
      </w:r>
      <w:r w:rsidRPr="00F36DAB">
        <w:tab/>
      </w:r>
      <w:r w:rsidR="00384375" w:rsidRPr="00F36DAB">
        <w:t>Respecto a las bibliotecas, los resultados de esta explotación indican que el número de bibliotecas ascendió en 2014 a 6.717, cifra que supone una media de 14,4 bibliotecas por 100.000 habitantes. Cada una de ellas tiene por término medio 1,3 puntos de servicio. El 60,6% de las bibliotecas analizadas son bibliotecas públicas, disponen de una colección de fondos de carácter general, ofrecen servicios informativos de tipo cultural, educativo, recreativo y social, y son accesibles a todos los ciudadanos. Las bibliotecas especializadas, cuya colección de fondos versa sobre una disciplina o campo específico suponen el 31,6% del total. El 4,4% se corresponden con bibliotecas de instituciones de enseñanza superior y el 3,2% son bibliotecas para grupos específicos de usuarios. Los usuarios inscritos se incrementaron notablemente en 2014 alcanzando los 21,8 millones, y el número de visitantes a bibliotecas en 2014 es de 206,9 millones.</w:t>
      </w:r>
    </w:p>
    <w:p w:rsidR="00384375" w:rsidRPr="00F36DAB" w:rsidRDefault="0060335F" w:rsidP="00F36DAB">
      <w:pPr>
        <w:pStyle w:val="H23G"/>
        <w:rPr>
          <w:b w:val="0"/>
          <w:sz w:val="16"/>
        </w:rPr>
      </w:pPr>
      <w:r>
        <w:tab/>
      </w:r>
      <w:r>
        <w:tab/>
      </w:r>
      <w:r w:rsidR="005E7594" w:rsidRPr="00D24376">
        <w:t>Bibliotecas y puntos de servicio</w:t>
      </w:r>
      <w:r w:rsidR="00D24376" w:rsidRPr="00D24376">
        <w:br/>
      </w:r>
      <w:r w:rsidR="00384375" w:rsidRPr="00F36DAB">
        <w:rPr>
          <w:b w:val="0"/>
          <w:sz w:val="16"/>
        </w:rPr>
        <w:t>(</w:t>
      </w:r>
      <w:r w:rsidRPr="00F36DAB">
        <w:rPr>
          <w:b w:val="0"/>
          <w:sz w:val="16"/>
        </w:rPr>
        <w:t xml:space="preserve">En </w:t>
      </w:r>
      <w:r w:rsidR="00384375" w:rsidRPr="00F36DAB">
        <w:rPr>
          <w:b w:val="0"/>
          <w:sz w:val="16"/>
        </w:rPr>
        <w:t>valores absolutos)</w:t>
      </w:r>
    </w:p>
    <w:p w:rsidR="00384375" w:rsidRPr="003E0B97" w:rsidRDefault="00A93DFB" w:rsidP="009431AD">
      <w:pPr>
        <w:ind w:left="1134"/>
      </w:pPr>
      <w:r>
        <w:rPr>
          <w:noProof/>
          <w:lang w:eastAsia="zh-CN"/>
        </w:rPr>
        <w:drawing>
          <wp:inline distT="0" distB="0" distL="0" distR="0">
            <wp:extent cx="4667250" cy="2971800"/>
            <wp:effectExtent l="19050" t="19050" r="0" b="0"/>
            <wp:docPr id="1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667250" cy="2971800"/>
                    </a:xfrm>
                    <a:prstGeom prst="rect">
                      <a:avLst/>
                    </a:prstGeom>
                    <a:noFill/>
                    <a:ln w="6350" cmpd="sng">
                      <a:solidFill>
                        <a:srgbClr val="000000"/>
                      </a:solidFill>
                      <a:miter lim="800000"/>
                      <a:headEnd/>
                      <a:tailEnd/>
                    </a:ln>
                    <a:effectLst/>
                  </pic:spPr>
                </pic:pic>
              </a:graphicData>
            </a:graphic>
          </wp:inline>
        </w:drawing>
      </w:r>
    </w:p>
    <w:p w:rsidR="00384375" w:rsidRPr="00F36DAB" w:rsidRDefault="00384375" w:rsidP="00F36DAB">
      <w:pPr>
        <w:pStyle w:val="SingleTxtG"/>
        <w:spacing w:before="120" w:after="240"/>
        <w:ind w:firstLine="170"/>
        <w:jc w:val="left"/>
        <w:rPr>
          <w:sz w:val="18"/>
        </w:rPr>
      </w:pPr>
      <w:r w:rsidRPr="00F36DAB">
        <w:rPr>
          <w:i/>
          <w:sz w:val="18"/>
        </w:rPr>
        <w:t>Fuente:</w:t>
      </w:r>
      <w:r w:rsidRPr="00F36DAB">
        <w:rPr>
          <w:sz w:val="18"/>
        </w:rPr>
        <w:t xml:space="preserve"> Instituto Nacional de Estadística. Estadística de Bibliotecas</w:t>
      </w:r>
      <w:r w:rsidR="0060335F">
        <w:rPr>
          <w:sz w:val="18"/>
        </w:rPr>
        <w:t>.</w:t>
      </w:r>
    </w:p>
    <w:p w:rsidR="00384375" w:rsidRPr="00F36DAB" w:rsidRDefault="0060335F" w:rsidP="00F36DAB">
      <w:pPr>
        <w:pStyle w:val="H23G"/>
        <w:rPr>
          <w:b w:val="0"/>
          <w:sz w:val="16"/>
        </w:rPr>
      </w:pPr>
      <w:r>
        <w:lastRenderedPageBreak/>
        <w:tab/>
      </w:r>
      <w:r>
        <w:tab/>
      </w:r>
      <w:r w:rsidR="005E7594" w:rsidRPr="00D24376">
        <w:t>Personas que han asistido o accedido a través de internet a bibliotecas</w:t>
      </w:r>
      <w:r w:rsidR="00384375" w:rsidRPr="00D24376">
        <w:t xml:space="preserve"> </w:t>
      </w:r>
      <w:r w:rsidR="00D24376" w:rsidRPr="00D24376">
        <w:br/>
      </w:r>
      <w:r w:rsidR="00384375" w:rsidRPr="00F36DAB">
        <w:rPr>
          <w:b w:val="0"/>
          <w:sz w:val="16"/>
        </w:rPr>
        <w:t>(</w:t>
      </w:r>
      <w:r w:rsidR="00A0100D" w:rsidRPr="00F36DAB">
        <w:rPr>
          <w:b w:val="0"/>
          <w:sz w:val="16"/>
        </w:rPr>
        <w:t xml:space="preserve">Porcentaje </w:t>
      </w:r>
      <w:r w:rsidR="00384375" w:rsidRPr="00F36DAB">
        <w:rPr>
          <w:b w:val="0"/>
          <w:sz w:val="16"/>
        </w:rPr>
        <w:t>de población)</w:t>
      </w:r>
    </w:p>
    <w:p w:rsidR="005E7594" w:rsidRDefault="00A93DFB" w:rsidP="00F36DAB">
      <w:pPr>
        <w:pStyle w:val="SingleTxtG"/>
      </w:pPr>
      <w:r>
        <w:rPr>
          <w:noProof/>
          <w:lang w:eastAsia="zh-CN"/>
        </w:rPr>
        <w:drawing>
          <wp:inline distT="0" distB="0" distL="0" distR="0">
            <wp:extent cx="4667250" cy="3390900"/>
            <wp:effectExtent l="19050" t="19050" r="0" b="0"/>
            <wp:docPr id="1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67250" cy="3390900"/>
                    </a:xfrm>
                    <a:prstGeom prst="rect">
                      <a:avLst/>
                    </a:prstGeom>
                    <a:noFill/>
                    <a:ln w="6350" cmpd="sng">
                      <a:solidFill>
                        <a:srgbClr val="000000"/>
                      </a:solidFill>
                      <a:miter lim="800000"/>
                      <a:headEnd/>
                      <a:tailEnd/>
                    </a:ln>
                    <a:effectLst/>
                  </pic:spPr>
                </pic:pic>
              </a:graphicData>
            </a:graphic>
          </wp:inline>
        </w:drawing>
      </w:r>
    </w:p>
    <w:p w:rsidR="00384375" w:rsidRPr="00F36DAB" w:rsidRDefault="00384375" w:rsidP="00F36DAB">
      <w:pPr>
        <w:pStyle w:val="SingleTxtG"/>
        <w:spacing w:before="120" w:after="240"/>
        <w:ind w:firstLine="170"/>
        <w:jc w:val="left"/>
        <w:rPr>
          <w:sz w:val="18"/>
        </w:rPr>
      </w:pPr>
      <w:r w:rsidRPr="00F36DAB">
        <w:rPr>
          <w:i/>
          <w:sz w:val="18"/>
        </w:rPr>
        <w:t>Fuente:</w:t>
      </w:r>
      <w:r w:rsidRPr="00F36DAB">
        <w:rPr>
          <w:sz w:val="18"/>
        </w:rPr>
        <w:t xml:space="preserve"> MECD. Encuesta de Hábitos y Prácticas Culturales en España</w:t>
      </w:r>
      <w:r w:rsidR="00A0100D">
        <w:rPr>
          <w:sz w:val="18"/>
        </w:rPr>
        <w:t>.</w:t>
      </w:r>
    </w:p>
    <w:p w:rsidR="00384375" w:rsidRPr="00F36DAB" w:rsidRDefault="00957719" w:rsidP="00F36DAB">
      <w:pPr>
        <w:pStyle w:val="H23G"/>
        <w:rPr>
          <w:b w:val="0"/>
          <w:sz w:val="16"/>
        </w:rPr>
      </w:pPr>
      <w:r>
        <w:tab/>
      </w:r>
      <w:r>
        <w:tab/>
      </w:r>
      <w:r w:rsidR="005E7594" w:rsidRPr="00D24376">
        <w:t>Personas que han asistido a espectáculos de artes escénicas o musicales 2014-2015</w:t>
      </w:r>
      <w:r>
        <w:br/>
      </w:r>
      <w:r w:rsidR="00384375" w:rsidRPr="00F36DAB">
        <w:rPr>
          <w:b w:val="0"/>
          <w:sz w:val="16"/>
        </w:rPr>
        <w:t>(</w:t>
      </w:r>
      <w:r w:rsidRPr="00F36DAB">
        <w:rPr>
          <w:b w:val="0"/>
          <w:sz w:val="16"/>
        </w:rPr>
        <w:t xml:space="preserve">Porcentaje </w:t>
      </w:r>
      <w:r w:rsidR="00384375" w:rsidRPr="00F36DAB">
        <w:rPr>
          <w:b w:val="0"/>
          <w:sz w:val="16"/>
        </w:rPr>
        <w:t>de población)</w:t>
      </w:r>
    </w:p>
    <w:p w:rsidR="00384375" w:rsidRPr="003E0B97" w:rsidRDefault="00A93DFB" w:rsidP="009431AD">
      <w:pPr>
        <w:ind w:left="1134"/>
      </w:pPr>
      <w:r>
        <w:rPr>
          <w:noProof/>
          <w:lang w:eastAsia="zh-CN"/>
        </w:rPr>
        <w:drawing>
          <wp:inline distT="0" distB="0" distL="0" distR="0">
            <wp:extent cx="4686300" cy="3467100"/>
            <wp:effectExtent l="19050" t="19050" r="0" b="0"/>
            <wp:docPr id="1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86300" cy="3467100"/>
                    </a:xfrm>
                    <a:prstGeom prst="rect">
                      <a:avLst/>
                    </a:prstGeom>
                    <a:noFill/>
                    <a:ln w="6350" cmpd="sng">
                      <a:solidFill>
                        <a:srgbClr val="000000"/>
                      </a:solidFill>
                      <a:miter lim="800000"/>
                      <a:headEnd/>
                      <a:tailEnd/>
                    </a:ln>
                    <a:effectLst/>
                  </pic:spPr>
                </pic:pic>
              </a:graphicData>
            </a:graphic>
          </wp:inline>
        </w:drawing>
      </w:r>
    </w:p>
    <w:p w:rsidR="00384375" w:rsidRPr="00F36DAB" w:rsidRDefault="00957719" w:rsidP="00F36DAB">
      <w:pPr>
        <w:pStyle w:val="H23G"/>
        <w:rPr>
          <w:b w:val="0"/>
          <w:sz w:val="16"/>
        </w:rPr>
      </w:pPr>
      <w:r>
        <w:lastRenderedPageBreak/>
        <w:tab/>
      </w:r>
      <w:r>
        <w:tab/>
      </w:r>
      <w:r w:rsidR="005E7594" w:rsidRPr="00D24376">
        <w:t xml:space="preserve">Personas que han ido al </w:t>
      </w:r>
      <w:r w:rsidRPr="00D24376">
        <w:t>cine</w:t>
      </w:r>
      <w:r>
        <w:br/>
      </w:r>
      <w:r w:rsidR="00384375" w:rsidRPr="00F36DAB">
        <w:rPr>
          <w:b w:val="0"/>
          <w:sz w:val="16"/>
        </w:rPr>
        <w:t>(</w:t>
      </w:r>
      <w:r w:rsidRPr="00F36DAB">
        <w:rPr>
          <w:b w:val="0"/>
          <w:sz w:val="16"/>
        </w:rPr>
        <w:t xml:space="preserve">Porcentaje </w:t>
      </w:r>
      <w:r w:rsidR="00384375" w:rsidRPr="00F36DAB">
        <w:rPr>
          <w:b w:val="0"/>
          <w:sz w:val="16"/>
        </w:rPr>
        <w:t>de población)</w:t>
      </w:r>
    </w:p>
    <w:p w:rsidR="00384375" w:rsidRPr="005E7594" w:rsidRDefault="00A93DFB" w:rsidP="00F36DAB">
      <w:pPr>
        <w:pStyle w:val="SingleTxtG"/>
      </w:pPr>
      <w:r>
        <w:rPr>
          <w:noProof/>
          <w:lang w:eastAsia="zh-CN"/>
        </w:rPr>
        <w:drawing>
          <wp:inline distT="0" distB="0" distL="0" distR="0">
            <wp:extent cx="4686300" cy="2133600"/>
            <wp:effectExtent l="19050" t="19050" r="0" b="0"/>
            <wp:docPr id="16"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686300" cy="2133600"/>
                    </a:xfrm>
                    <a:prstGeom prst="rect">
                      <a:avLst/>
                    </a:prstGeom>
                    <a:noFill/>
                    <a:ln w="6350" cmpd="sng">
                      <a:solidFill>
                        <a:srgbClr val="000000"/>
                      </a:solidFill>
                      <a:miter lim="800000"/>
                      <a:headEnd/>
                      <a:tailEnd/>
                    </a:ln>
                    <a:effectLst/>
                  </pic:spPr>
                </pic:pic>
              </a:graphicData>
            </a:graphic>
          </wp:inline>
        </w:drawing>
      </w:r>
    </w:p>
    <w:p w:rsidR="00384375" w:rsidRPr="003E0B97" w:rsidRDefault="00823A26" w:rsidP="00F36DAB">
      <w:pPr>
        <w:pStyle w:val="H1G"/>
      </w:pPr>
      <w:r>
        <w:tab/>
      </w:r>
      <w:r w:rsidR="00D24376">
        <w:t>11.</w:t>
      </w:r>
      <w:r>
        <w:tab/>
      </w:r>
      <w:r w:rsidR="00384375" w:rsidRPr="003E0B97">
        <w:t>Discriminación, racismo, xenofobia e intolerancia</w:t>
      </w:r>
    </w:p>
    <w:p w:rsidR="00384375" w:rsidRPr="00F36DAB" w:rsidRDefault="00BD4D4A" w:rsidP="00F36DAB">
      <w:pPr>
        <w:pStyle w:val="SingleTxtG"/>
      </w:pPr>
      <w:r w:rsidRPr="00F36DAB">
        <w:t>156.</w:t>
      </w:r>
      <w:r w:rsidRPr="00F36DAB">
        <w:tab/>
      </w:r>
      <w:r w:rsidR="00384375" w:rsidRPr="00F36DAB">
        <w:t xml:space="preserve">El marco legislativo existente en el campo de la no discriminación data de 2003, cuando la </w:t>
      </w:r>
      <w:r w:rsidR="003D3899">
        <w:t>Ley</w:t>
      </w:r>
      <w:r w:rsidR="00384375" w:rsidRPr="00F36DAB">
        <w:t xml:space="preserve"> </w:t>
      </w:r>
      <w:r w:rsidR="003D3899">
        <w:t xml:space="preserve">núm. </w:t>
      </w:r>
      <w:r w:rsidR="00384375" w:rsidRPr="00F36DAB">
        <w:t xml:space="preserve">62/2003, transpuso al ordenamiento español las dos Directivas europeas en materia de no discriminación por razón de origen racial o étnico, religión o creencias, edad, discapacidad y orientación sexual en ámbitos tales como el empleo, la educación, los servicios sociales y el acceso a bienes y servicios, incluida la vivienda. </w:t>
      </w:r>
    </w:p>
    <w:p w:rsidR="00384375" w:rsidRPr="00F36DAB" w:rsidRDefault="00BD4D4A" w:rsidP="00F36DAB">
      <w:pPr>
        <w:pStyle w:val="SingleTxtG"/>
      </w:pPr>
      <w:r w:rsidRPr="00F36DAB">
        <w:t>157.</w:t>
      </w:r>
      <w:r w:rsidRPr="00F36DAB">
        <w:tab/>
      </w:r>
      <w:r w:rsidR="00384375" w:rsidRPr="00F36DAB">
        <w:rPr>
          <w:rFonts w:eastAsia="Calibri"/>
        </w:rPr>
        <w:t xml:space="preserve">Por su parte, la legislación española en materia de extranjería, contenida en </w:t>
      </w:r>
      <w:r w:rsidR="00384375" w:rsidRPr="00F36DAB">
        <w:t xml:space="preserve">la Ley Orgánica </w:t>
      </w:r>
      <w:r w:rsidR="003D3899">
        <w:t xml:space="preserve">núm. </w:t>
      </w:r>
      <w:r w:rsidR="00384375" w:rsidRPr="00F36DAB">
        <w:t>4/2000, contempla que todas las Administraciones Públicas basarán el ejercicio de sus competencias vinculadas con la inmigración en el principio de no discriminación. La ley tipifica de hecho en su artículo 23 los tipos de actos que se consideran discriminatorios.</w:t>
      </w:r>
    </w:p>
    <w:p w:rsidR="00384375" w:rsidRPr="00F36DAB" w:rsidRDefault="00BD4D4A" w:rsidP="00F36DAB">
      <w:pPr>
        <w:pStyle w:val="SingleTxtG"/>
      </w:pPr>
      <w:r w:rsidRPr="00F36DAB">
        <w:t>158.</w:t>
      </w:r>
      <w:r w:rsidRPr="00F36DAB">
        <w:tab/>
      </w:r>
      <w:r w:rsidR="00384375" w:rsidRPr="00F36DAB">
        <w:t xml:space="preserve">Conviene considerar además la reforma del Código Penal introducida a través de la Ley Orgánica </w:t>
      </w:r>
      <w:r w:rsidR="003D3899">
        <w:t xml:space="preserve">núm. </w:t>
      </w:r>
      <w:r w:rsidR="00384375" w:rsidRPr="00F36DAB">
        <w:t xml:space="preserve">1/2015 que ha reforzado la lucha contra los delitos de odio. Ese mismo año se logró avanzar en la misma dirección gracias a la adopción de la Ley </w:t>
      </w:r>
      <w:r w:rsidR="003D3899">
        <w:t xml:space="preserve">núm. </w:t>
      </w:r>
      <w:r w:rsidR="00384375" w:rsidRPr="00F36DAB">
        <w:t xml:space="preserve">4/2015, del Estatuto de la víctima del delito, protegiendo a ésta de cualquier posible perjuicio derivado del proceso penal. También ha sido fundamental la creación de 52 servicios especializados en delitos de odio en las Fiscalías provinciales, la apertura de Oficinas de Atención a las víctimas de estos delitos y el establecimiento de protocolos policiales para la identificación y el tratamiento de estos fenómenos. </w:t>
      </w:r>
    </w:p>
    <w:p w:rsidR="00384375" w:rsidRPr="00F36DAB" w:rsidRDefault="00BD4D4A" w:rsidP="00F36DAB">
      <w:pPr>
        <w:pStyle w:val="SingleTxtG"/>
      </w:pPr>
      <w:r w:rsidRPr="00F36DAB">
        <w:t>159.</w:t>
      </w:r>
      <w:r w:rsidRPr="00F36DAB">
        <w:tab/>
      </w:r>
      <w:r w:rsidR="00384375" w:rsidRPr="00F36DAB">
        <w:t xml:space="preserve">En septiembre de 2015 se firmó el Convenio Marco de Cooperación y Colaboración para articular políticas activas en el ámbito de la lucha contra el racismo y la xenofobia en un plano interministerial. Las actividades incluyen, entre otras, la formación de distintos cuerpos de las administraciones y la recogida de datos estadísticos sobre incidentes/delitos de odio. </w:t>
      </w:r>
    </w:p>
    <w:p w:rsidR="00384375" w:rsidRPr="00F36DAB" w:rsidRDefault="00BD4D4A" w:rsidP="00F36DAB">
      <w:pPr>
        <w:pStyle w:val="SingleTxtG"/>
      </w:pPr>
      <w:r w:rsidRPr="00F36DAB">
        <w:t>160.</w:t>
      </w:r>
      <w:r w:rsidRPr="00F36DAB">
        <w:tab/>
      </w:r>
      <w:r w:rsidR="00384375" w:rsidRPr="00F36DAB">
        <w:t>Mención aparte merece el Servicio de Asistencia y Orientación a las Víctimas de Discriminación por Origen Racial o Étnico, que realiza funciones de asesoramiento, mediación y asistencia a la hora de formular denuncias, quejas o reclamaciones por discriminaciones sufridas. Realiza asimismo estudios e informes y formula recomendaciones con carácter independiente. La titularidad de este servicio estatal corresponde al Consejo para la Eliminación de la Discriminación Racial o Étnica</w:t>
      </w:r>
      <w:r w:rsidR="004916DE" w:rsidRPr="00F36DAB">
        <w:rPr>
          <w:rStyle w:val="Refdenotaalpie"/>
        </w:rPr>
        <w:footnoteReference w:id="18"/>
      </w:r>
      <w:r w:rsidR="00DE531C">
        <w:t>.</w:t>
      </w:r>
      <w:r w:rsidR="00384375" w:rsidRPr="00F36DAB">
        <w:t xml:space="preserve"> Se trata de un órgano colegiado de la Administración General del Estado adscrito al Instituto de la Mujer y para la Igualdad de Oportunidades, pero sin incardinarse en su estructura jerárquica. El servicio estatal de asistencia a las víctimas de discriminacíon racial se presta sobre la base de un contrato público por una red de organizaciones no gubernamentales especializadas (Accem, Cear, Cruz Roja Española, Fundación Cepaim, Fundación Secretariado Gitano, Movimiento contra la Intolerancia, Movimiento por la Paz, Red </w:t>
      </w:r>
      <w:r w:rsidR="00384375" w:rsidRPr="00F36DAB">
        <w:lastRenderedPageBreak/>
        <w:t xml:space="preserve">Acoge), lo que permite contar con oficinas de atención presencial en todas las Comunidades Autónomas. El hecho de ser desarrollado por organizaciones no gubernamentales facilita además el acceso a los colectivos más vulnerables y por tanto más susceptibles de sufrir discriminación, en un marco que facilita la relación de confianza y la denuncia. En la página web del servicio </w:t>
      </w:r>
      <w:hyperlink r:id="rId34" w:history="1">
        <w:r w:rsidR="00384375" w:rsidRPr="00F36DAB">
          <w:rPr>
            <w:rStyle w:val="Hipervnculo"/>
            <w:rFonts w:eastAsia="Calibri"/>
            <w:color w:val="auto"/>
          </w:rPr>
          <w:t>http://asistenciavictimasdiscriminacion.org/</w:t>
        </w:r>
      </w:hyperlink>
      <w:r w:rsidR="00384375" w:rsidRPr="00F36DAB">
        <w:t xml:space="preserve"> constan todas las oficinas que lo integran, ordenadas por provincias. Además de la atención presencial, el servicio es accesible por vía telefónica y telemática. En el marco 2013-2015 el Servicio atendió a un total de 1.154 casos de posible discriminación racial, en ámbitos tales como el empleo, la educación, la sanidad, la vivienda, el acceso a bienes y servicios o en espacios urbanos.</w:t>
      </w:r>
    </w:p>
    <w:p w:rsidR="00384375" w:rsidRPr="00F36DAB" w:rsidRDefault="00BD4D4A" w:rsidP="00F36DAB">
      <w:pPr>
        <w:pStyle w:val="SingleTxtG"/>
      </w:pPr>
      <w:r w:rsidRPr="00F36DAB">
        <w:t>161.</w:t>
      </w:r>
      <w:r w:rsidRPr="00F36DAB">
        <w:tab/>
      </w:r>
      <w:r w:rsidR="00384375" w:rsidRPr="00F36DAB">
        <w:t xml:space="preserve">Por otro lado, España adoptó en 2011 una </w:t>
      </w:r>
      <w:hyperlink r:id="rId35" w:history="1">
        <w:r w:rsidR="00384375" w:rsidRPr="00F36DAB">
          <w:rPr>
            <w:rStyle w:val="Hipervnculo"/>
            <w:color w:val="auto"/>
          </w:rPr>
          <w:t>Estrategia Integral contra el racismo, la discriminación racial, la xenofobia y las formas conexas de intolerancia</w:t>
        </w:r>
      </w:hyperlink>
      <w:r w:rsidR="00384375" w:rsidRPr="00F36DAB">
        <w:t>, que ha sido sometida a una evaluación</w:t>
      </w:r>
      <w:r w:rsidR="004916DE" w:rsidRPr="00F36DAB">
        <w:rPr>
          <w:rStyle w:val="Refdenotaalpie"/>
        </w:rPr>
        <w:footnoteReference w:id="19"/>
      </w:r>
      <w:r w:rsidR="00DE531C">
        <w:rPr>
          <w:rStyle w:val="Refdenotaalpie"/>
          <w:sz w:val="20"/>
          <w:vertAlign w:val="baseline"/>
        </w:rPr>
        <w:t>.</w:t>
      </w:r>
      <w:r w:rsidR="004916DE" w:rsidRPr="00F36DAB">
        <w:t xml:space="preserve"> </w:t>
      </w:r>
      <w:r w:rsidR="00384375" w:rsidRPr="00F36DAB">
        <w:t xml:space="preserve">En todo este proceso han estado muy presentes las recomendaciones del Plan de Acción de la Conferencia Mundial de Durban y de los organismos europeos e internacionales (UE, Consejo de Europa y OSCE-ODIHR, entre otras). Entre todos los ámbitos evaluados, se han alcanzado logros relevantes en algunos muy importantes como es el de la educación, la prevención y protección integral de las víctimas, el del análisis, los sistemas de información, la acción </w:t>
      </w:r>
      <w:r w:rsidR="00C142E0" w:rsidRPr="00F36DAB">
        <w:t>jur</w:t>
      </w:r>
      <w:r w:rsidR="00C142E0">
        <w:t>i</w:t>
      </w:r>
      <w:r w:rsidR="00C142E0" w:rsidRPr="00F36DAB">
        <w:t>dico</w:t>
      </w:r>
      <w:r w:rsidR="00384375" w:rsidRPr="00F36DAB">
        <w:t xml:space="preserve">penal y en acciones de sensibilización. </w:t>
      </w:r>
    </w:p>
    <w:p w:rsidR="00384375" w:rsidRPr="00F36DAB" w:rsidRDefault="00BD4D4A" w:rsidP="00F36DAB">
      <w:pPr>
        <w:pStyle w:val="SingleTxtG"/>
      </w:pPr>
      <w:r w:rsidRPr="00F36DAB">
        <w:t>162.</w:t>
      </w:r>
      <w:r w:rsidRPr="00F36DAB">
        <w:tab/>
      </w:r>
      <w:r w:rsidR="00384375" w:rsidRPr="00F36DAB">
        <w:t>En el ámbito laboral, la aplicación de la mencionada Estrategia Integral contra el racismo se ha traducido en el proyecto GESDIMEP de gestión de la diversidad cultural en las PYMES.</w:t>
      </w:r>
    </w:p>
    <w:p w:rsidR="00384375" w:rsidRPr="00F36DAB" w:rsidRDefault="00BD4D4A" w:rsidP="00F36DAB">
      <w:pPr>
        <w:pStyle w:val="SingleTxtG"/>
      </w:pPr>
      <w:r w:rsidRPr="00F36DAB">
        <w:t>163.</w:t>
      </w:r>
      <w:r w:rsidRPr="00F36DAB">
        <w:tab/>
      </w:r>
      <w:r w:rsidR="00384375" w:rsidRPr="00F36DAB">
        <w:t xml:space="preserve">En el ámbito sanitario, desde 2016 se llevan a cabo seminarios de sensibilización de profesionales sanitarios para capacitarles en la identificación de la motivación de odio en pacientes que sufren agresiones. </w:t>
      </w:r>
    </w:p>
    <w:p w:rsidR="00384375" w:rsidRPr="00F36DAB" w:rsidRDefault="00BD4D4A" w:rsidP="00F36DAB">
      <w:pPr>
        <w:pStyle w:val="SingleTxtG"/>
      </w:pPr>
      <w:r w:rsidRPr="00F36DAB">
        <w:t>164.</w:t>
      </w:r>
      <w:r w:rsidRPr="00F36DAB">
        <w:tab/>
      </w:r>
      <w:r w:rsidR="00384375" w:rsidRPr="00F36DAB">
        <w:t>En educación, desde 2014 se lleva a cabo el proyecto FRIDA, de formación para la prevención y detección del racismo, la xenofobia y otras formas de intolerancia en las aulas, destacándose la publicación del Manual de apoyo</w:t>
      </w:r>
      <w:r w:rsidR="004916DE" w:rsidRPr="00F36DAB">
        <w:rPr>
          <w:rStyle w:val="Refdenotaalpie"/>
        </w:rPr>
        <w:footnoteReference w:id="20"/>
      </w:r>
      <w:r w:rsidR="00DE531C">
        <w:rPr>
          <w:rStyle w:val="Refdenotaalpie"/>
          <w:sz w:val="20"/>
          <w:vertAlign w:val="baseline"/>
        </w:rPr>
        <w:t>.</w:t>
      </w:r>
      <w:r w:rsidR="00384375" w:rsidRPr="00F36DAB">
        <w:t xml:space="preserve"> </w:t>
      </w:r>
    </w:p>
    <w:p w:rsidR="004916DE" w:rsidRPr="00F36DAB" w:rsidRDefault="00BD4D4A" w:rsidP="00F36DAB">
      <w:pPr>
        <w:pStyle w:val="SingleTxtG"/>
      </w:pPr>
      <w:r w:rsidRPr="00F36DAB">
        <w:t>165.</w:t>
      </w:r>
      <w:r w:rsidRPr="00F36DAB">
        <w:tab/>
      </w:r>
      <w:r w:rsidR="00384375" w:rsidRPr="00F36DAB">
        <w:t>Además, se publica un informe sobre la evolución del racismo, xenofobia y otras formas de intolerancia</w:t>
      </w:r>
      <w:r w:rsidR="004916DE" w:rsidRPr="00F36DAB">
        <w:rPr>
          <w:rStyle w:val="Refdenotaalpie"/>
        </w:rPr>
        <w:footnoteReference w:id="21"/>
      </w:r>
      <w:r w:rsidR="00DE531C">
        <w:rPr>
          <w:rStyle w:val="Refdenotaalpie"/>
          <w:sz w:val="20"/>
          <w:vertAlign w:val="baseline"/>
        </w:rPr>
        <w:t>.</w:t>
      </w:r>
    </w:p>
    <w:p w:rsidR="00384375" w:rsidRPr="00F36DAB" w:rsidRDefault="00BD4D4A" w:rsidP="00F36DAB">
      <w:pPr>
        <w:pStyle w:val="SingleTxtG"/>
      </w:pPr>
      <w:r w:rsidRPr="00F36DAB">
        <w:t>166.</w:t>
      </w:r>
      <w:r w:rsidRPr="00F36DAB">
        <w:tab/>
      </w:r>
      <w:r w:rsidR="00384375" w:rsidRPr="00F36DAB">
        <w:rPr>
          <w:rFonts w:eastAsia="Calibri"/>
        </w:rPr>
        <w:t xml:space="preserve">En el caso de las personas con discapacidad, el </w:t>
      </w:r>
      <w:r w:rsidR="00384375" w:rsidRPr="00F36DAB">
        <w:t xml:space="preserve">Real Decreto Legislativo </w:t>
      </w:r>
      <w:r w:rsidR="003D3899">
        <w:t xml:space="preserve">núm. </w:t>
      </w:r>
      <w:r w:rsidR="00384375" w:rsidRPr="00F36DAB">
        <w:t>1/2013 reconoce el derecho a la igualdad de oportunidades y de trato de este colectivo, de conformidad con la Convención sobre los derechos de las personas con discapacidad. El concepto de discriminación aparece reflejado de hecho de una forma muy amplia, contemplándose la discriminación múltiple, las discriminaciones directas o indirectas, la discriminación por asociación, los acosos, los incumplimientos de las exigencias de accesibilidad y de realizar ajustes razonables, así como el incumplimiento de las medidas de acción positiva legalmente establecidas. En un plano operativo, el Plan de Acción de la Estrategia Española sobre Discapacidad 2014-2020 incorpora entre sus ejes de actuación la igualdad para todas las personas, en el empleo, educación, accesibilidad y dinamización de la economía, con un objetivo operativo específico, que es el de combatir la discriminación múltiple y erradicar toda forma de discriminación.</w:t>
      </w:r>
    </w:p>
    <w:p w:rsidR="00384375" w:rsidRPr="00F36DAB" w:rsidRDefault="00BD4D4A" w:rsidP="00F36DAB">
      <w:pPr>
        <w:pStyle w:val="SingleTxtG"/>
        <w:rPr>
          <w:rFonts w:eastAsia="Calibri"/>
        </w:rPr>
      </w:pPr>
      <w:r w:rsidRPr="00F36DAB">
        <w:rPr>
          <w:rFonts w:eastAsia="Calibri"/>
        </w:rPr>
        <w:t>167.</w:t>
      </w:r>
      <w:r w:rsidRPr="00F36DAB">
        <w:rPr>
          <w:rFonts w:eastAsia="Calibri"/>
        </w:rPr>
        <w:tab/>
      </w:r>
      <w:r w:rsidR="00384375" w:rsidRPr="00F36DAB">
        <w:t>En cuanto a la</w:t>
      </w:r>
      <w:r w:rsidR="00384375" w:rsidRPr="00F36DAB">
        <w:rPr>
          <w:rFonts w:eastAsia="Calibri"/>
        </w:rPr>
        <w:t xml:space="preserve"> Estrategia Nacional para la Inclusión Social de la Población Gitana, ésta recoge la no discriminación y promoción de la igualdad de trato como una línea de actuación complementaria a los cuatro pilares básicos recogidos en la misma. </w:t>
      </w:r>
    </w:p>
    <w:p w:rsidR="004916DE" w:rsidRPr="00F36DAB" w:rsidRDefault="00BD4D4A" w:rsidP="00F36DAB">
      <w:pPr>
        <w:pStyle w:val="SingleTxtG"/>
      </w:pPr>
      <w:r w:rsidRPr="00F36DAB">
        <w:t>168.</w:t>
      </w:r>
      <w:r w:rsidRPr="00F36DAB">
        <w:tab/>
      </w:r>
      <w:r w:rsidR="00384375" w:rsidRPr="00F36DAB">
        <w:t>Se ha publicado una guía práctica para tratar con casos de discriminación</w:t>
      </w:r>
      <w:r w:rsidR="004916DE" w:rsidRPr="00F36DAB">
        <w:rPr>
          <w:rStyle w:val="Refdenotaalpie"/>
        </w:rPr>
        <w:footnoteReference w:id="22"/>
      </w:r>
      <w:r w:rsidR="00DE531C">
        <w:t>,</w:t>
      </w:r>
      <w:r w:rsidR="004916DE" w:rsidRPr="00F36DAB">
        <w:t xml:space="preserve"> </w:t>
      </w:r>
      <w:r w:rsidR="00384375" w:rsidRPr="00F36DAB">
        <w:t xml:space="preserve">y durante los años 2013 y 2015, el Instituto de la Mujer y para la Igualdad de Oportunidades ha desarrollado una campaña de sensibilización en materia de diversidad a través de las </w:t>
      </w:r>
      <w:r w:rsidR="00384375" w:rsidRPr="00F36DAB">
        <w:lastRenderedPageBreak/>
        <w:t>redes sociales, dirigido fundamentalmente al público juvenil (13</w:t>
      </w:r>
      <w:r w:rsidR="00666B89">
        <w:t xml:space="preserve"> a </w:t>
      </w:r>
      <w:r w:rsidR="00384375" w:rsidRPr="00F36DAB">
        <w:t>20 años), bajo el lema YOSOYTU</w:t>
      </w:r>
      <w:r w:rsidR="004916DE" w:rsidRPr="00F36DAB">
        <w:rPr>
          <w:rStyle w:val="Refdenotaalpie"/>
        </w:rPr>
        <w:footnoteReference w:id="23"/>
      </w:r>
      <w:r w:rsidR="00DE531C">
        <w:rPr>
          <w:rStyle w:val="Refdenotaalpie"/>
          <w:sz w:val="20"/>
          <w:vertAlign w:val="baseline"/>
        </w:rPr>
        <w:t>.</w:t>
      </w:r>
    </w:p>
    <w:p w:rsidR="004916DE" w:rsidRPr="00F36DAB" w:rsidRDefault="00BD4D4A" w:rsidP="00F36DAB">
      <w:pPr>
        <w:pStyle w:val="SingleTxtG"/>
      </w:pPr>
      <w:r w:rsidRPr="00F36DAB">
        <w:t>169.</w:t>
      </w:r>
      <w:r w:rsidRPr="00F36DAB">
        <w:tab/>
      </w:r>
      <w:r w:rsidR="00384375" w:rsidRPr="00F36DAB">
        <w:t xml:space="preserve">La legislación prohíbe la discriminación en los centros educativos y se han dispuesto recursos prácticos para crear entornos tolerantes. Puede destacarse la guía </w:t>
      </w:r>
      <w:r w:rsidR="00384375" w:rsidRPr="00F36DAB">
        <w:rPr>
          <w:rFonts w:eastAsia="Calibri"/>
          <w:i/>
        </w:rPr>
        <w:t>online</w:t>
      </w:r>
      <w:r w:rsidR="00384375" w:rsidRPr="00F36DAB">
        <w:rPr>
          <w:rFonts w:eastAsia="Calibri"/>
        </w:rPr>
        <w:t xml:space="preserve"> que lleva por título Abrazar la diversidad: propuestas para una educación libre de acoso homofóbico y transfóbico</w:t>
      </w:r>
      <w:r w:rsidR="0028222F" w:rsidRPr="00F36DAB">
        <w:rPr>
          <w:rStyle w:val="Refdenotaalpie"/>
        </w:rPr>
        <w:footnoteReference w:id="24"/>
      </w:r>
      <w:r w:rsidR="00DE531C">
        <w:rPr>
          <w:rFonts w:eastAsia="Calibri"/>
        </w:rPr>
        <w:t xml:space="preserve">. </w:t>
      </w:r>
      <w:r w:rsidR="00384375" w:rsidRPr="00F36DAB">
        <w:rPr>
          <w:rFonts w:eastAsia="Calibri"/>
        </w:rPr>
        <w:t>Entre otras acciones, España se ha adherido a la campaña del Consejo de Europa No Hate Speech a través del Instituto de la Juventud (INJUVE)</w:t>
      </w:r>
      <w:r w:rsidR="004916DE" w:rsidRPr="00F36DAB">
        <w:rPr>
          <w:rStyle w:val="Refdenotaalpie"/>
        </w:rPr>
        <w:footnoteReference w:id="25"/>
      </w:r>
      <w:r w:rsidR="00DE531C">
        <w:rPr>
          <w:rStyle w:val="Refdenotaalpie"/>
          <w:sz w:val="20"/>
          <w:vertAlign w:val="baseline"/>
        </w:rPr>
        <w:t>.</w:t>
      </w:r>
    </w:p>
    <w:p w:rsidR="00384375" w:rsidRPr="003E0B97" w:rsidRDefault="005E7594" w:rsidP="00F36DAB">
      <w:pPr>
        <w:pStyle w:val="H1G"/>
      </w:pPr>
      <w:r>
        <w:tab/>
      </w:r>
      <w:r w:rsidR="007458C5">
        <w:t>12.</w:t>
      </w:r>
      <w:r>
        <w:tab/>
      </w:r>
      <w:r w:rsidR="00384375" w:rsidRPr="003E0B97">
        <w:t>Igualdad efectiva entre hombres y mujeres</w:t>
      </w:r>
    </w:p>
    <w:p w:rsidR="00384375" w:rsidRPr="00F36DAB" w:rsidRDefault="00BD4D4A" w:rsidP="00F36DAB">
      <w:pPr>
        <w:pStyle w:val="SingleTxtG"/>
        <w:rPr>
          <w:rFonts w:eastAsia="Calibri"/>
        </w:rPr>
      </w:pPr>
      <w:r w:rsidRPr="00F36DAB">
        <w:rPr>
          <w:rFonts w:eastAsia="Calibri"/>
        </w:rPr>
        <w:t>170.</w:t>
      </w:r>
      <w:r w:rsidRPr="00F36DAB">
        <w:rPr>
          <w:rFonts w:eastAsia="Calibri"/>
        </w:rPr>
        <w:tab/>
      </w:r>
      <w:r w:rsidR="00384375" w:rsidRPr="00F36DAB">
        <w:rPr>
          <w:rFonts w:eastAsia="Calibri"/>
        </w:rPr>
        <w:t xml:space="preserve">La Ley Orgánica </w:t>
      </w:r>
      <w:r w:rsidR="003D3899">
        <w:t xml:space="preserve">núm. </w:t>
      </w:r>
      <w:r w:rsidR="00384375" w:rsidRPr="00F36DAB">
        <w:rPr>
          <w:rFonts w:eastAsia="Calibri"/>
        </w:rPr>
        <w:t xml:space="preserve">3/2007 es de carácter integral y enfoque transversal. Abarca los más diversos ámbitos de la vida social y va dirigida a combatir todas las manifestaciones aún subsistentes de discriminación, directa o indirecta, por razón de sexo y a promover la igualdad real entre mujeres y hombres, con remoción de los obstáculos y estereotipos sociales que impiden alcanzarla. </w:t>
      </w:r>
    </w:p>
    <w:p w:rsidR="00384375" w:rsidRPr="00F36DAB" w:rsidRDefault="00BD4D4A" w:rsidP="00F36DAB">
      <w:pPr>
        <w:pStyle w:val="SingleTxtG"/>
        <w:rPr>
          <w:rFonts w:eastAsia="Calibri"/>
        </w:rPr>
      </w:pPr>
      <w:r w:rsidRPr="00F36DAB">
        <w:rPr>
          <w:rFonts w:eastAsia="Calibri"/>
        </w:rPr>
        <w:t>171.</w:t>
      </w:r>
      <w:r w:rsidRPr="00F36DAB">
        <w:rPr>
          <w:rFonts w:eastAsia="Calibri"/>
        </w:rPr>
        <w:tab/>
      </w:r>
      <w:r w:rsidR="00384375" w:rsidRPr="00F36DAB">
        <w:rPr>
          <w:rFonts w:eastAsia="Calibri"/>
        </w:rPr>
        <w:t xml:space="preserve">Destaca el esfuerzo que los poderes públicos han realizado para dar cumplimiento a lo establecido en el artículo 14 de la Ley Orgánica </w:t>
      </w:r>
      <w:r w:rsidR="003D3899">
        <w:t xml:space="preserve">núm. </w:t>
      </w:r>
      <w:r w:rsidR="00384375" w:rsidRPr="00F36DAB">
        <w:rPr>
          <w:rFonts w:eastAsia="Calibri"/>
        </w:rPr>
        <w:t>3/2007, que señala, como criterio general de actuación, la integración del principio de igualdad de trato y de oportunidades en el conjunto de las políticas económica, laboral, social, cultural y artística.</w:t>
      </w:r>
    </w:p>
    <w:p w:rsidR="00384375" w:rsidRPr="00F36DAB" w:rsidRDefault="00BD4D4A" w:rsidP="00F36DAB">
      <w:pPr>
        <w:pStyle w:val="SingleTxtG"/>
      </w:pPr>
      <w:r w:rsidRPr="00F36DAB">
        <w:t>172.</w:t>
      </w:r>
      <w:r w:rsidRPr="00F36DAB">
        <w:tab/>
      </w:r>
      <w:r w:rsidR="00384375" w:rsidRPr="00F36DAB">
        <w:t>Como instrumento básico para ejecutar el principio de transversalidad de la igualdad, periódicamente se aprueba un Plan Estratégico de Igualdad de Oportunidades, el último abarca 2014-2016</w:t>
      </w:r>
      <w:r w:rsidR="004916DE" w:rsidRPr="00F36DAB">
        <w:rPr>
          <w:rStyle w:val="Refdenotaalpie"/>
        </w:rPr>
        <w:footnoteReference w:id="26"/>
      </w:r>
      <w:r w:rsidR="00DE531C">
        <w:rPr>
          <w:rStyle w:val="Refdenotaalpie"/>
          <w:sz w:val="20"/>
          <w:vertAlign w:val="baseline"/>
        </w:rPr>
        <w:t>,</w:t>
      </w:r>
      <w:r w:rsidR="004916DE" w:rsidRPr="00F36DAB">
        <w:t xml:space="preserve"> </w:t>
      </w:r>
      <w:r w:rsidR="00384375" w:rsidRPr="00F36DAB">
        <w:rPr>
          <w:rFonts w:eastAsia="Calibri"/>
        </w:rPr>
        <w:t xml:space="preserve">encontrándose actualmente en elaboración un nuevo Plan en una línea de continuidad. En aplicación del último Plan Estratégico, se han adoptado planes específicos como el </w:t>
      </w:r>
      <w:hyperlink r:id="rId36" w:history="1">
        <w:r w:rsidR="00384375" w:rsidRPr="00F36DAB">
          <w:rPr>
            <w:rStyle w:val="Hipervnculo"/>
            <w:color w:val="auto"/>
          </w:rPr>
          <w:t>Plan de Igualdad de Oportunidades de mujeres y hombres en la Sociedad de la Información 2014-2017</w:t>
        </w:r>
      </w:hyperlink>
      <w:r w:rsidR="00384375" w:rsidRPr="00F36DAB">
        <w:t xml:space="preserve">, el </w:t>
      </w:r>
      <w:hyperlink r:id="rId37" w:history="1">
        <w:r w:rsidR="00384375" w:rsidRPr="00F36DAB">
          <w:rPr>
            <w:rStyle w:val="Hipervnculo"/>
            <w:color w:val="auto"/>
          </w:rPr>
          <w:t>Plan para la Promoción de las Mujeres del Medio Rural 2015-2018</w:t>
        </w:r>
      </w:hyperlink>
      <w:r w:rsidR="00384375" w:rsidRPr="00F36DAB">
        <w:t xml:space="preserve">, el </w:t>
      </w:r>
      <w:hyperlink r:id="rId38" w:history="1">
        <w:r w:rsidR="00384375" w:rsidRPr="00F36DAB">
          <w:rPr>
            <w:rStyle w:val="Hipervnculo"/>
            <w:color w:val="auto"/>
          </w:rPr>
          <w:t>II Plan para la Igualdad entre hombres y mujeres en la Administración General del Estado y sus organismos públicos</w:t>
        </w:r>
      </w:hyperlink>
      <w:r w:rsidR="00384375" w:rsidRPr="00F36DAB">
        <w:t xml:space="preserve"> y el </w:t>
      </w:r>
      <w:hyperlink r:id="rId39" w:history="1">
        <w:r w:rsidR="00384375" w:rsidRPr="00F36DAB">
          <w:rPr>
            <w:rStyle w:val="Hipervnculo"/>
            <w:color w:val="auto"/>
          </w:rPr>
          <w:t>Plan Integral de Apoyo a las Familias 2015-2017</w:t>
        </w:r>
      </w:hyperlink>
      <w:r w:rsidR="00384375" w:rsidRPr="00F36DAB">
        <w:t xml:space="preserve"> (para facilitar la conciliación de la vida familiar y laboral).</w:t>
      </w:r>
    </w:p>
    <w:p w:rsidR="00384375" w:rsidRPr="00F36DAB" w:rsidRDefault="00BD4D4A" w:rsidP="00F36DAB">
      <w:pPr>
        <w:pStyle w:val="SingleTxtG"/>
        <w:rPr>
          <w:rFonts w:eastAsia="Calibri"/>
        </w:rPr>
      </w:pPr>
      <w:r w:rsidRPr="00F36DAB">
        <w:rPr>
          <w:rFonts w:eastAsia="Calibri"/>
        </w:rPr>
        <w:t>173.</w:t>
      </w:r>
      <w:r w:rsidRPr="00F36DAB">
        <w:rPr>
          <w:rFonts w:eastAsia="Calibri"/>
        </w:rPr>
        <w:tab/>
      </w:r>
      <w:r w:rsidR="00384375" w:rsidRPr="00F36DAB">
        <w:rPr>
          <w:rFonts w:eastAsia="Calibri"/>
        </w:rPr>
        <w:t xml:space="preserve">Tal y como está previsto en el artículo 18 de la Ley Orgánica </w:t>
      </w:r>
      <w:r w:rsidR="003D3899">
        <w:t xml:space="preserve">núm. </w:t>
      </w:r>
      <w:r w:rsidR="00384375" w:rsidRPr="00F36DAB">
        <w:rPr>
          <w:rFonts w:eastAsia="Calibri"/>
        </w:rPr>
        <w:t xml:space="preserve">3/2007, se elabora un informe periódico sobre la efectividad del principio de igualdad entre mujeres y hombres, debiéndose dar cuenta de ello a las Cortes Generales. Puede consultarse en este sentido el </w:t>
      </w:r>
      <w:hyperlink r:id="rId40" w:history="1">
        <w:r w:rsidR="00384375" w:rsidRPr="00F36DAB">
          <w:rPr>
            <w:rStyle w:val="Hipervnculo"/>
            <w:rFonts w:eastAsia="Calibri"/>
            <w:color w:val="auto"/>
          </w:rPr>
          <w:t>informe periódico 2012-2013 y principales actuaciones 2014-2015</w:t>
        </w:r>
      </w:hyperlink>
      <w:r w:rsidR="00384375" w:rsidRPr="00F36DAB">
        <w:rPr>
          <w:rFonts w:eastAsia="Calibri"/>
        </w:rPr>
        <w:t xml:space="preserve">. </w:t>
      </w:r>
    </w:p>
    <w:p w:rsidR="00384375" w:rsidRPr="00F36DAB" w:rsidRDefault="00BD4D4A" w:rsidP="00F36DAB">
      <w:pPr>
        <w:pStyle w:val="SingleTxtG"/>
        <w:rPr>
          <w:rFonts w:eastAsia="Calibri"/>
        </w:rPr>
      </w:pPr>
      <w:r w:rsidRPr="00F36DAB">
        <w:rPr>
          <w:rFonts w:eastAsia="Calibri"/>
        </w:rPr>
        <w:t>174.</w:t>
      </w:r>
      <w:r w:rsidRPr="00F36DAB">
        <w:rPr>
          <w:rFonts w:eastAsia="Calibri"/>
        </w:rPr>
        <w:tab/>
      </w:r>
      <w:r w:rsidR="00384375" w:rsidRPr="00F36DAB">
        <w:rPr>
          <w:rFonts w:eastAsia="Calibri"/>
        </w:rPr>
        <w:t>Las actividades relacionadas en este informe ponen de manifiesto que, durante el período considerado, a pesar de la difícil situación económica y social derivada de una crisis que en España ha tenido efectos especialmente gravosos, las políticas de igualdad de oportunidades han seguido ocupando un lugar central en la acción de Gobierno.</w:t>
      </w:r>
    </w:p>
    <w:p w:rsidR="00384375" w:rsidRPr="00F36DAB" w:rsidRDefault="00BD4D4A" w:rsidP="00F36DAB">
      <w:pPr>
        <w:pStyle w:val="SingleTxtG"/>
        <w:rPr>
          <w:rFonts w:eastAsia="Calibri"/>
        </w:rPr>
      </w:pPr>
      <w:r w:rsidRPr="00F36DAB">
        <w:rPr>
          <w:rFonts w:eastAsia="Calibri"/>
        </w:rPr>
        <w:t>175.</w:t>
      </w:r>
      <w:r w:rsidRPr="00F36DAB">
        <w:rPr>
          <w:rFonts w:eastAsia="Calibri"/>
        </w:rPr>
        <w:tab/>
      </w:r>
      <w:r w:rsidR="00384375" w:rsidRPr="00F36DAB">
        <w:rPr>
          <w:rFonts w:eastAsia="Calibri"/>
        </w:rPr>
        <w:t>Los datos estadísticos que se incluyen en este informe, así como otros muchos derivados de estadísticas y estudios, demuestran que la situación sociolaboral de las mujeres en España va mejorando y que se van alcanzando mayores cotas de igualdad en casi todos los ámbitos.</w:t>
      </w:r>
    </w:p>
    <w:p w:rsidR="00384375" w:rsidRPr="00F36DAB" w:rsidRDefault="00BD4D4A" w:rsidP="00F36DAB">
      <w:pPr>
        <w:pStyle w:val="SingleTxtG"/>
        <w:rPr>
          <w:rFonts w:eastAsia="Calibri"/>
        </w:rPr>
      </w:pPr>
      <w:r w:rsidRPr="00F36DAB">
        <w:rPr>
          <w:rFonts w:eastAsia="Calibri"/>
        </w:rPr>
        <w:t>176.</w:t>
      </w:r>
      <w:r w:rsidRPr="00F36DAB">
        <w:rPr>
          <w:rFonts w:eastAsia="Calibri"/>
        </w:rPr>
        <w:tab/>
      </w:r>
      <w:r w:rsidR="00384375" w:rsidRPr="00F36DAB">
        <w:rPr>
          <w:rFonts w:eastAsia="Calibri"/>
        </w:rPr>
        <w:t xml:space="preserve">Otro instrumento básico de transversalidad son los informes de impacto de género de las normas a que se refiere el artículo 19 de la Ley Orgánica </w:t>
      </w:r>
      <w:r w:rsidR="003D3899">
        <w:t xml:space="preserve">núm. </w:t>
      </w:r>
      <w:r w:rsidR="00384375" w:rsidRPr="00F36DAB">
        <w:rPr>
          <w:rFonts w:eastAsia="Calibri"/>
        </w:rPr>
        <w:t xml:space="preserve">3/2017 y puede destacarse como prueba de su ejecución práctica el </w:t>
      </w:r>
      <w:r w:rsidR="00384375" w:rsidRPr="00F36DAB">
        <w:t xml:space="preserve">último </w:t>
      </w:r>
      <w:hyperlink r:id="rId41" w:history="1">
        <w:r w:rsidR="00384375" w:rsidRPr="00F36DAB">
          <w:rPr>
            <w:rStyle w:val="Hipervnculo"/>
            <w:color w:val="auto"/>
          </w:rPr>
          <w:t xml:space="preserve">informe de impacto de género del Proyecto de Ley de Presupuestos Generales del Estado para 2016. </w:t>
        </w:r>
      </w:hyperlink>
    </w:p>
    <w:p w:rsidR="004916DE" w:rsidRPr="00F36DAB" w:rsidRDefault="00BD4D4A" w:rsidP="00F36DAB">
      <w:pPr>
        <w:pStyle w:val="SingleTxtG"/>
      </w:pPr>
      <w:r w:rsidRPr="00F36DAB">
        <w:t>177.</w:t>
      </w:r>
      <w:r w:rsidRPr="00F36DAB">
        <w:tab/>
      </w:r>
      <w:r w:rsidR="00384375" w:rsidRPr="00F36DAB">
        <w:t>No menos importante es la necesidad de mantener la perspectiva de género en la elaboración de estudios y estadísticas (</w:t>
      </w:r>
      <w:r w:rsidR="00B03578" w:rsidRPr="00F36DAB">
        <w:t>art</w:t>
      </w:r>
      <w:r w:rsidR="00B03578">
        <w:t>.</w:t>
      </w:r>
      <w:r w:rsidR="00B03578" w:rsidRPr="00F36DAB">
        <w:t xml:space="preserve"> </w:t>
      </w:r>
      <w:r w:rsidR="00384375" w:rsidRPr="00F36DAB">
        <w:t xml:space="preserve">20 de la Ley Orgánica </w:t>
      </w:r>
      <w:r w:rsidR="00B03578">
        <w:t xml:space="preserve">núm. </w:t>
      </w:r>
      <w:r w:rsidR="00384375" w:rsidRPr="00F36DAB">
        <w:t xml:space="preserve">3/2017), un aspecto </w:t>
      </w:r>
      <w:r w:rsidR="00384375" w:rsidRPr="00F36DAB">
        <w:lastRenderedPageBreak/>
        <w:t xml:space="preserve">reflejado en el </w:t>
      </w:r>
      <w:hyperlink r:id="rId42" w:history="1">
        <w:r w:rsidR="00384375" w:rsidRPr="00F36DAB">
          <w:rPr>
            <w:rStyle w:val="Hipervnculo"/>
            <w:color w:val="auto"/>
          </w:rPr>
          <w:t>Plan Estadístico Nacional 2013-2016</w:t>
        </w:r>
      </w:hyperlink>
      <w:r w:rsidR="00384375" w:rsidRPr="00F36DAB">
        <w:t xml:space="preserve">, el banco de datos </w:t>
      </w:r>
      <w:hyperlink r:id="rId43" w:history="1">
        <w:r w:rsidR="00BB5656" w:rsidRPr="00F36DAB">
          <w:rPr>
            <w:rStyle w:val="Hipervnculo"/>
            <w:color w:val="auto"/>
          </w:rPr>
          <w:t>“</w:t>
        </w:r>
        <w:r w:rsidR="00384375" w:rsidRPr="00F36DAB">
          <w:rPr>
            <w:rStyle w:val="Hipervnculo"/>
            <w:color w:val="auto"/>
          </w:rPr>
          <w:t>Mujeres en cifras</w:t>
        </w:r>
        <w:r w:rsidR="00BB5656" w:rsidRPr="00F36DAB">
          <w:rPr>
            <w:rStyle w:val="Hipervnculo"/>
            <w:color w:val="auto"/>
          </w:rPr>
          <w:t>”</w:t>
        </w:r>
      </w:hyperlink>
      <w:r w:rsidR="00384375" w:rsidRPr="00F36DAB">
        <w:t xml:space="preserve"> o en publicaciones institucionales como </w:t>
      </w:r>
      <w:hyperlink r:id="rId44" w:history="1">
        <w:r w:rsidR="00384375" w:rsidRPr="00F36DAB">
          <w:rPr>
            <w:rStyle w:val="Hipervnculo"/>
            <w:color w:val="auto"/>
          </w:rPr>
          <w:t>Mujeres y hombres en España</w:t>
        </w:r>
      </w:hyperlink>
      <w:r w:rsidR="004916DE" w:rsidRPr="00F36DAB">
        <w:rPr>
          <w:rStyle w:val="Refdenotaalpie"/>
        </w:rPr>
        <w:footnoteReference w:id="27"/>
      </w:r>
      <w:r w:rsidR="00DE531C">
        <w:rPr>
          <w:rStyle w:val="Hipervnculo"/>
          <w:color w:val="auto"/>
        </w:rPr>
        <w:t>.</w:t>
      </w:r>
    </w:p>
    <w:p w:rsidR="00384375" w:rsidRPr="00F36DAB" w:rsidRDefault="00BD4D4A" w:rsidP="00F36DAB">
      <w:pPr>
        <w:pStyle w:val="SingleTxtG"/>
      </w:pPr>
      <w:r w:rsidRPr="00F36DAB">
        <w:t>178.</w:t>
      </w:r>
      <w:r w:rsidRPr="00F36DAB">
        <w:tab/>
      </w:r>
      <w:r w:rsidR="00384375" w:rsidRPr="00F36DAB">
        <w:t>Se trabaja además en formación del profesorado y ejecución de planes de igualdad en las escuelas, entre otras iniciativas. Cabe destacar la Escuela Virtual de Igualdad, que anualmente oferta 20.000 plazas para todo tipo de profesionales y que goza de gran demanda.</w:t>
      </w:r>
      <w:r w:rsidR="00011877" w:rsidRPr="00F36DAB">
        <w:t xml:space="preserve"> </w:t>
      </w:r>
      <w:r w:rsidR="00384375" w:rsidRPr="00F36DAB">
        <w:t>Asimismo se colabora con el Consejo Superior de Deportes para promocionar la práctica deportiva entre las mujeres, especialmente en la escuela.</w:t>
      </w:r>
    </w:p>
    <w:p w:rsidR="00384375" w:rsidRPr="00F36DAB" w:rsidRDefault="00BD4D4A" w:rsidP="00F36DAB">
      <w:pPr>
        <w:pStyle w:val="SingleTxtG"/>
      </w:pPr>
      <w:r w:rsidRPr="00F36DAB">
        <w:t>179.</w:t>
      </w:r>
      <w:r w:rsidRPr="00F36DAB">
        <w:tab/>
      </w:r>
      <w:r w:rsidR="00384375" w:rsidRPr="00F36DAB">
        <w:t xml:space="preserve">Dada la importancia de los medios de comunicación para no transmitir estereotipos, la Ley Orgánica </w:t>
      </w:r>
      <w:r w:rsidR="003D3899">
        <w:t xml:space="preserve">núm. </w:t>
      </w:r>
      <w:r w:rsidR="00384375" w:rsidRPr="00F36DAB">
        <w:t xml:space="preserve">3/2017 alude a la responsabilidad que tienen en este sentido los medios de titularidad pública (Radio Televisión Española y la Agencia EFE). En la práctica, ambos entes se han comprometido a difundir contenidos sobre igualdad de género y se ha hecho una apuesta por la formación de profesionales en estos aspectos gracias al Instituto Oficinal de Radio Televisión Española. A </w:t>
      </w:r>
      <w:r w:rsidR="00384375" w:rsidRPr="00F36DAB">
        <w:rPr>
          <w:rFonts w:eastAsia="Calibri"/>
        </w:rPr>
        <w:t xml:space="preserve">través del Observatorio de la Imagen de las Mujeres, se reciben, analizan y canalizan las denuncias originadas por anuncios sexistas que aparecen en cualquier medio de comunicación. Sobre esa base se requiere a las empresas para que modifiquen o retiren sus campañas, asesorándolas para facilitar la eliminación de los mensajes discriminatorios. </w:t>
      </w:r>
      <w:r w:rsidR="00384375" w:rsidRPr="00F36DAB">
        <w:t>Con carácter anual, el Observatorio elabora un informe sobre las gestiones realizadas. En la práctica el Instituto de la Mujer y para la Igualdad de Oportunidades se ha personado demandando a dos empresas por publicidad sexista, es decir, ilícita.</w:t>
      </w:r>
    </w:p>
    <w:p w:rsidR="00384375" w:rsidRPr="00F36DAB" w:rsidRDefault="00BD4D4A" w:rsidP="00F36DAB">
      <w:pPr>
        <w:pStyle w:val="SingleTxtG"/>
      </w:pPr>
      <w:r w:rsidRPr="00F36DAB">
        <w:t>180.</w:t>
      </w:r>
      <w:r w:rsidRPr="00F36DAB">
        <w:tab/>
      </w:r>
      <w:r w:rsidR="00384375" w:rsidRPr="00F36DAB">
        <w:rPr>
          <w:rFonts w:eastAsia="Calibri"/>
        </w:rPr>
        <w:t xml:space="preserve">Por otro lado, la igualdad efectiva entre hombres y mujeres se considera a la luz del artículo 4 de la Ley Orgánica </w:t>
      </w:r>
      <w:r w:rsidR="00B03578">
        <w:rPr>
          <w:rFonts w:eastAsia="Calibri"/>
        </w:rPr>
        <w:t xml:space="preserve">núm. </w:t>
      </w:r>
      <w:r w:rsidR="00384375" w:rsidRPr="00F36DAB">
        <w:rPr>
          <w:rFonts w:eastAsia="Calibri"/>
        </w:rPr>
        <w:t xml:space="preserve">3/2007 como un principio informador de todo el ordenamiento jurídico. Por ello se pueden encontrar numerosas sentencias que han servido para avanzar en este terreno. Sin ánimo de exhaustividad, pueden destacarse la </w:t>
      </w:r>
      <w:hyperlink r:id="rId45" w:history="1">
        <w:r w:rsidR="00384375" w:rsidRPr="00F36DAB">
          <w:rPr>
            <w:rStyle w:val="Hipervnculo"/>
            <w:rFonts w:eastAsia="Calibri"/>
            <w:color w:val="auto"/>
          </w:rPr>
          <w:t xml:space="preserve">Sentencia del Tribunal Constitucional </w:t>
        </w:r>
        <w:r w:rsidR="00666B89">
          <w:t xml:space="preserve">núm. </w:t>
        </w:r>
        <w:r w:rsidR="00384375" w:rsidRPr="00F36DAB">
          <w:rPr>
            <w:rStyle w:val="Hipervnculo"/>
            <w:rFonts w:eastAsia="Calibri"/>
            <w:color w:val="auto"/>
          </w:rPr>
          <w:t>81/2016, de 25 de abril</w:t>
        </w:r>
      </w:hyperlink>
      <w:r w:rsidR="00384375" w:rsidRPr="00F36DAB">
        <w:rPr>
          <w:rFonts w:eastAsia="Calibri"/>
        </w:rPr>
        <w:t xml:space="preserve">, sobre vulneración del principio de igualdad por hacer diferencias en materia de pensión de viudad dependiendo de si existen hijos comunes o no, la </w:t>
      </w:r>
      <w:hyperlink r:id="rId46" w:history="1">
        <w:r w:rsidR="00384375" w:rsidRPr="00F36DAB">
          <w:rPr>
            <w:rStyle w:val="Hipervnculo"/>
            <w:color w:val="auto"/>
          </w:rPr>
          <w:t xml:space="preserve">Sentencia del Tribunal Constitucional </w:t>
        </w:r>
        <w:r w:rsidR="00666B89">
          <w:t xml:space="preserve">núm. </w:t>
        </w:r>
        <w:r w:rsidR="00384375" w:rsidRPr="00F36DAB">
          <w:rPr>
            <w:rStyle w:val="Hipervnculo"/>
            <w:color w:val="auto"/>
          </w:rPr>
          <w:t>61/2013, de 14 de marzo</w:t>
        </w:r>
      </w:hyperlink>
      <w:r w:rsidR="00384375" w:rsidRPr="00F36DAB">
        <w:t xml:space="preserve">, sobre la obtención de pensiones o prestaciones de Seguridad Social distinguiéndose entre trabajadores a tiempo parcial respecto de los trabajadores a jornada completa, o la Sentencia del Tribunal Supremo, Sala de lo Social, </w:t>
      </w:r>
      <w:r w:rsidR="00B03578">
        <w:t>núm.</w:t>
      </w:r>
      <w:r w:rsidR="00384375" w:rsidRPr="00F36DAB">
        <w:t xml:space="preserve"> 2628/2015, de fecha 27 de mayo, que confirma que es contrario a derecho la práctica empresarial de considerar las seis semanas de descanso obligatorio por maternidad como ausencias o permisos retribuidos.</w:t>
      </w:r>
    </w:p>
    <w:p w:rsidR="00384375" w:rsidRPr="003E0B97" w:rsidRDefault="00384375" w:rsidP="00F36DAB">
      <w:pPr>
        <w:pStyle w:val="H1G"/>
      </w:pPr>
      <w:r w:rsidRPr="003E0B97">
        <w:tab/>
      </w:r>
      <w:r w:rsidR="007458C5">
        <w:t>13.</w:t>
      </w:r>
      <w:r w:rsidRPr="003E0B97">
        <w:tab/>
        <w:t>Igualdad de oportunidades en el mercado laboral</w:t>
      </w:r>
    </w:p>
    <w:p w:rsidR="00384375" w:rsidRPr="003E0B97" w:rsidRDefault="00BD4D4A" w:rsidP="00BD4D4A">
      <w:pPr>
        <w:pStyle w:val="ParaNoG"/>
        <w:numPr>
          <w:ilvl w:val="0"/>
          <w:numId w:val="0"/>
        </w:numPr>
        <w:tabs>
          <w:tab w:val="left" w:pos="0"/>
        </w:tabs>
        <w:ind w:left="1134"/>
        <w:rPr>
          <w:lang w:val="es-ES"/>
        </w:rPr>
      </w:pPr>
      <w:r w:rsidRPr="003E0B97">
        <w:rPr>
          <w:lang w:val="es-ES"/>
        </w:rPr>
        <w:t>181.</w:t>
      </w:r>
      <w:r w:rsidRPr="003E0B97">
        <w:rPr>
          <w:lang w:val="es-ES"/>
        </w:rPr>
        <w:tab/>
      </w:r>
      <w:r w:rsidR="00384375" w:rsidRPr="003E0B97">
        <w:rPr>
          <w:lang w:val="es-ES"/>
        </w:rPr>
        <w:t xml:space="preserve">La igualdad efectiva de mujeres y hombres es objeto de especial atención por parte de los poderes públicos y está regulada por la mencionada Ley Orgánica </w:t>
      </w:r>
      <w:r w:rsidR="003D3899" w:rsidRPr="00C3111D">
        <w:rPr>
          <w:lang w:val="es-ES"/>
        </w:rPr>
        <w:t xml:space="preserve">núm. </w:t>
      </w:r>
      <w:r w:rsidR="00384375" w:rsidRPr="003E0B97">
        <w:rPr>
          <w:lang w:val="es-ES"/>
        </w:rPr>
        <w:t>3/2007. Se desarrolla además a través del Plan Estratégico de Igualdad de Oportunidades, las Estrategias Nacionales de Empleo y los Planes Anuales de Empleo, así como en distintas disposiciones normativas.</w:t>
      </w:r>
    </w:p>
    <w:p w:rsidR="00384375" w:rsidRPr="003E0B97" w:rsidRDefault="00BD4D4A" w:rsidP="00BD4D4A">
      <w:pPr>
        <w:pStyle w:val="ParaNoG"/>
        <w:numPr>
          <w:ilvl w:val="0"/>
          <w:numId w:val="0"/>
        </w:numPr>
        <w:tabs>
          <w:tab w:val="left" w:pos="0"/>
        </w:tabs>
        <w:ind w:left="1134"/>
        <w:rPr>
          <w:lang w:val="es-ES"/>
        </w:rPr>
      </w:pPr>
      <w:r w:rsidRPr="003E0B97">
        <w:rPr>
          <w:lang w:val="es-ES"/>
        </w:rPr>
        <w:t>182.</w:t>
      </w:r>
      <w:r w:rsidRPr="003E0B97">
        <w:rPr>
          <w:lang w:val="es-ES"/>
        </w:rPr>
        <w:tab/>
      </w:r>
      <w:r w:rsidR="00384375" w:rsidRPr="003E0B97">
        <w:rPr>
          <w:lang w:val="es-ES"/>
        </w:rPr>
        <w:t xml:space="preserve">La Ley </w:t>
      </w:r>
      <w:r w:rsidR="003D3899" w:rsidRPr="00C3111D">
        <w:rPr>
          <w:lang w:val="es-ES"/>
        </w:rPr>
        <w:t xml:space="preserve">núm. </w:t>
      </w:r>
      <w:r w:rsidR="00384375" w:rsidRPr="003E0B97">
        <w:rPr>
          <w:lang w:val="es-ES"/>
        </w:rPr>
        <w:t xml:space="preserve">3/2012 suprime las categorías profesionales en el sistema de clasificación profesional con garantía de no discriminación entre mujeres y hombres, regula por primera vez el teletrabajo, fomenta el autoempleo y establece el permiso de lactancia como un derecho individual de hombres y mujeres que pueden pactar la forma de ejercerlo, ampliándolo a los supuestos de adopción. </w:t>
      </w:r>
    </w:p>
    <w:p w:rsidR="00384375" w:rsidRPr="003E0B97" w:rsidRDefault="00BD4D4A" w:rsidP="00BD4D4A">
      <w:pPr>
        <w:pStyle w:val="ParaNoG"/>
        <w:numPr>
          <w:ilvl w:val="0"/>
          <w:numId w:val="0"/>
        </w:numPr>
        <w:tabs>
          <w:tab w:val="left" w:pos="0"/>
        </w:tabs>
        <w:ind w:left="1134"/>
        <w:rPr>
          <w:lang w:val="es-ES"/>
        </w:rPr>
      </w:pPr>
      <w:r w:rsidRPr="003E0B97">
        <w:rPr>
          <w:lang w:val="es-ES"/>
        </w:rPr>
        <w:t>183.</w:t>
      </w:r>
      <w:r w:rsidRPr="003E0B97">
        <w:rPr>
          <w:lang w:val="es-ES"/>
        </w:rPr>
        <w:tab/>
      </w:r>
      <w:r w:rsidR="00384375" w:rsidRPr="003E0B97">
        <w:rPr>
          <w:lang w:val="es-ES"/>
        </w:rPr>
        <w:t xml:space="preserve">El Real Decreto-Ley </w:t>
      </w:r>
      <w:r w:rsidR="00C142E0" w:rsidRPr="00C3111D">
        <w:rPr>
          <w:lang w:val="es-ES"/>
        </w:rPr>
        <w:t xml:space="preserve">núm. </w:t>
      </w:r>
      <w:r w:rsidR="00384375" w:rsidRPr="003E0B97">
        <w:rPr>
          <w:lang w:val="es-ES"/>
        </w:rPr>
        <w:t xml:space="preserve">16/2013 amplía, por su parte, el derecho a la reducción de jornada a los trabajadores y trabajadoras para el cuidado de menores, al elevarse de 8 a 12 años la edad que da derecho a dicha reducción de jornada. </w:t>
      </w:r>
    </w:p>
    <w:p w:rsidR="00384375" w:rsidRPr="003E0B97" w:rsidRDefault="00BD4D4A" w:rsidP="00BD4D4A">
      <w:pPr>
        <w:pStyle w:val="ParaNoG"/>
        <w:numPr>
          <w:ilvl w:val="0"/>
          <w:numId w:val="0"/>
        </w:numPr>
        <w:tabs>
          <w:tab w:val="left" w:pos="0"/>
        </w:tabs>
        <w:ind w:left="1134"/>
        <w:rPr>
          <w:lang w:val="es-ES"/>
        </w:rPr>
      </w:pPr>
      <w:r w:rsidRPr="003E0B97">
        <w:rPr>
          <w:lang w:val="es-ES"/>
        </w:rPr>
        <w:t>184.</w:t>
      </w:r>
      <w:r w:rsidRPr="003E0B97">
        <w:rPr>
          <w:lang w:val="es-ES"/>
        </w:rPr>
        <w:tab/>
      </w:r>
      <w:r w:rsidR="00384375" w:rsidRPr="003E0B97">
        <w:rPr>
          <w:lang w:val="es-ES"/>
        </w:rPr>
        <w:t xml:space="preserve">La Ley </w:t>
      </w:r>
      <w:r w:rsidR="003D3899" w:rsidRPr="00C3111D">
        <w:rPr>
          <w:lang w:val="es-ES"/>
        </w:rPr>
        <w:t xml:space="preserve">núm. </w:t>
      </w:r>
      <w:r w:rsidR="00384375" w:rsidRPr="003E0B97">
        <w:rPr>
          <w:lang w:val="es-ES"/>
        </w:rPr>
        <w:t>1/2014 revisa los mecanismos de acceso a prestaciones de la Seguridad Social de las personas con contratos a tiempo parcial para evitar posibles discriminaciones indirectas en relación con los contratos a tiempo completo.</w:t>
      </w:r>
    </w:p>
    <w:p w:rsidR="00384375" w:rsidRPr="003E0B97" w:rsidRDefault="00BD4D4A" w:rsidP="00BD4D4A">
      <w:pPr>
        <w:pStyle w:val="ParaNoG"/>
        <w:numPr>
          <w:ilvl w:val="0"/>
          <w:numId w:val="0"/>
        </w:numPr>
        <w:tabs>
          <w:tab w:val="left" w:pos="0"/>
        </w:tabs>
        <w:ind w:left="1134"/>
        <w:rPr>
          <w:lang w:val="es-ES"/>
        </w:rPr>
      </w:pPr>
      <w:r w:rsidRPr="003E0B97">
        <w:rPr>
          <w:lang w:val="es-ES"/>
        </w:rPr>
        <w:lastRenderedPageBreak/>
        <w:t>185.</w:t>
      </w:r>
      <w:r w:rsidRPr="003E0B97">
        <w:rPr>
          <w:lang w:val="es-ES"/>
        </w:rPr>
        <w:tab/>
      </w:r>
      <w:r w:rsidR="00384375" w:rsidRPr="003E0B97">
        <w:rPr>
          <w:lang w:val="es-ES"/>
        </w:rPr>
        <w:t>A partir del 1 de enero de 2017, se amplía el permiso de paternidad de dos semanas a cuatro semanas ininterrumpidas en los supuestos de parto, adopción, guarda con fines de adopción o acogimiento múltiples.</w:t>
      </w:r>
    </w:p>
    <w:p w:rsidR="00384375" w:rsidRPr="003E0B97" w:rsidRDefault="00BD4D4A" w:rsidP="00BD4D4A">
      <w:pPr>
        <w:pStyle w:val="ParaNoG"/>
        <w:numPr>
          <w:ilvl w:val="0"/>
          <w:numId w:val="0"/>
        </w:numPr>
        <w:tabs>
          <w:tab w:val="left" w:pos="0"/>
        </w:tabs>
        <w:ind w:left="1134"/>
        <w:rPr>
          <w:lang w:val="es-ES"/>
        </w:rPr>
      </w:pPr>
      <w:r w:rsidRPr="003E0B97">
        <w:rPr>
          <w:lang w:val="es-ES"/>
        </w:rPr>
        <w:t>186.</w:t>
      </w:r>
      <w:r w:rsidRPr="003E0B97">
        <w:rPr>
          <w:lang w:val="es-ES"/>
        </w:rPr>
        <w:tab/>
      </w:r>
      <w:r w:rsidR="00384375" w:rsidRPr="003E0B97">
        <w:rPr>
          <w:lang w:val="es-ES"/>
        </w:rPr>
        <w:t xml:space="preserve">El Plan Estratégico de Igualdad de Oportunidades (2014-2016) dedica su objetivo </w:t>
      </w:r>
      <w:r w:rsidR="00666B89" w:rsidRPr="003E0B97">
        <w:rPr>
          <w:lang w:val="es-ES"/>
        </w:rPr>
        <w:t>núm</w:t>
      </w:r>
      <w:r w:rsidR="00666B89">
        <w:rPr>
          <w:lang w:val="es-ES"/>
        </w:rPr>
        <w:t>.</w:t>
      </w:r>
      <w:r w:rsidR="00666B89" w:rsidRPr="003E0B97">
        <w:rPr>
          <w:lang w:val="es-ES"/>
        </w:rPr>
        <w:t xml:space="preserve"> </w:t>
      </w:r>
      <w:r w:rsidR="00384375" w:rsidRPr="003E0B97">
        <w:rPr>
          <w:lang w:val="es-ES"/>
        </w:rPr>
        <w:t xml:space="preserve">1 a la igualdad en el ámbito laboral y a la lucha contra la discriminación salarial. </w:t>
      </w:r>
    </w:p>
    <w:p w:rsidR="00384375" w:rsidRPr="003E0B97" w:rsidRDefault="00BD4D4A" w:rsidP="00BD4D4A">
      <w:pPr>
        <w:pStyle w:val="ParaNoG"/>
        <w:numPr>
          <w:ilvl w:val="0"/>
          <w:numId w:val="0"/>
        </w:numPr>
        <w:tabs>
          <w:tab w:val="left" w:pos="0"/>
        </w:tabs>
        <w:ind w:left="1134"/>
        <w:rPr>
          <w:lang w:val="es-ES"/>
        </w:rPr>
      </w:pPr>
      <w:r w:rsidRPr="003E0B97">
        <w:rPr>
          <w:lang w:val="es-ES"/>
        </w:rPr>
        <w:t>187.</w:t>
      </w:r>
      <w:r w:rsidRPr="003E0B97">
        <w:rPr>
          <w:lang w:val="es-ES"/>
        </w:rPr>
        <w:tab/>
      </w:r>
      <w:r w:rsidR="00384375" w:rsidRPr="003E0B97">
        <w:rPr>
          <w:lang w:val="es-ES"/>
        </w:rPr>
        <w:t>Se mantienen las bonificaciones previstas por la normativa vigente para la contratación de mujeres con discapacidad, víctimas de violencia de género y mujeres en general para sectores en que se encuentren subrepresentadas.</w:t>
      </w:r>
    </w:p>
    <w:p w:rsidR="00384375" w:rsidRPr="003E0B97" w:rsidRDefault="00BD4D4A" w:rsidP="00BD4D4A">
      <w:pPr>
        <w:pStyle w:val="ParaNoG"/>
        <w:numPr>
          <w:ilvl w:val="0"/>
          <w:numId w:val="0"/>
        </w:numPr>
        <w:tabs>
          <w:tab w:val="left" w:pos="0"/>
        </w:tabs>
        <w:ind w:left="1134"/>
        <w:rPr>
          <w:lang w:val="es-ES"/>
        </w:rPr>
      </w:pPr>
      <w:r w:rsidRPr="003E0B97">
        <w:rPr>
          <w:lang w:val="es-ES"/>
        </w:rPr>
        <w:t>188.</w:t>
      </w:r>
      <w:r w:rsidRPr="003E0B97">
        <w:rPr>
          <w:lang w:val="es-ES"/>
        </w:rPr>
        <w:tab/>
      </w:r>
      <w:r w:rsidR="00384375" w:rsidRPr="003E0B97">
        <w:rPr>
          <w:lang w:val="es-ES"/>
        </w:rPr>
        <w:t xml:space="preserve">Se contempla además la convocatoria anual de subvenciones dirigidas a pequeñas y medianas empresas y otras entidades para la financiación, total o parcial, de los costes derivados de la elaboración e implantación de sus planes de igualdad. Hay un servicio de asesoramiento, sensibilización, formación e información que se presta a través de la web </w:t>
      </w:r>
      <w:hyperlink r:id="rId47" w:history="1">
        <w:r w:rsidR="00384375" w:rsidRPr="003E0B97">
          <w:rPr>
            <w:rStyle w:val="Hipervnculo"/>
            <w:color w:val="auto"/>
            <w:lang w:val="es-ES"/>
          </w:rPr>
          <w:t>www.igualdadenlaempresa.es</w:t>
        </w:r>
      </w:hyperlink>
      <w:r w:rsidR="00DE531C">
        <w:rPr>
          <w:lang w:val="es-ES"/>
        </w:rPr>
        <w:t>.</w:t>
      </w:r>
    </w:p>
    <w:p w:rsidR="00384375" w:rsidRPr="003E0B97" w:rsidRDefault="00BD4D4A" w:rsidP="00BD4D4A">
      <w:pPr>
        <w:pStyle w:val="ParaNoG"/>
        <w:numPr>
          <w:ilvl w:val="0"/>
          <w:numId w:val="0"/>
        </w:numPr>
        <w:tabs>
          <w:tab w:val="left" w:pos="0"/>
        </w:tabs>
        <w:ind w:left="1134"/>
        <w:rPr>
          <w:lang w:val="es-ES"/>
        </w:rPr>
      </w:pPr>
      <w:r w:rsidRPr="003E0B97">
        <w:rPr>
          <w:lang w:val="es-ES"/>
        </w:rPr>
        <w:t>189.</w:t>
      </w:r>
      <w:r w:rsidRPr="003E0B97">
        <w:rPr>
          <w:lang w:val="es-ES"/>
        </w:rPr>
        <w:tab/>
      </w:r>
      <w:r w:rsidR="00384375" w:rsidRPr="003E0B97">
        <w:rPr>
          <w:lang w:val="es-ES"/>
        </w:rPr>
        <w:t xml:space="preserve">Cada año se concede el distintivo </w:t>
      </w:r>
      <w:r w:rsidR="00BB5656">
        <w:rPr>
          <w:lang w:val="es-ES"/>
        </w:rPr>
        <w:t>“</w:t>
      </w:r>
      <w:r w:rsidR="00384375" w:rsidRPr="003E0B97">
        <w:rPr>
          <w:lang w:val="es-ES"/>
        </w:rPr>
        <w:t>Igualdad en la Empresa</w:t>
      </w:r>
      <w:r w:rsidR="00BB5656">
        <w:rPr>
          <w:lang w:val="es-ES"/>
        </w:rPr>
        <w:t>”</w:t>
      </w:r>
      <w:r w:rsidR="00384375" w:rsidRPr="003E0B97">
        <w:rPr>
          <w:lang w:val="es-ES"/>
        </w:rPr>
        <w:t xml:space="preserve">, para aquellas entidades que destacan en este ámbito. El objetivo es reconocerles sus logros pero también que puedan compartir sus buenas prácticas en materias como el acoso, la promoción profesional o la conciliación. Existe para ello una red de empresas, con foro virtual, que también organizan jornadas técnicas presenciales. </w:t>
      </w:r>
    </w:p>
    <w:p w:rsidR="00384375" w:rsidRPr="003E0B97" w:rsidRDefault="00BD4D4A" w:rsidP="00BD4D4A">
      <w:pPr>
        <w:pStyle w:val="ParaNoG"/>
        <w:numPr>
          <w:ilvl w:val="0"/>
          <w:numId w:val="0"/>
        </w:numPr>
        <w:tabs>
          <w:tab w:val="left" w:pos="0"/>
        </w:tabs>
        <w:ind w:left="1134"/>
        <w:rPr>
          <w:lang w:val="es-ES"/>
        </w:rPr>
      </w:pPr>
      <w:r w:rsidRPr="003E0B97">
        <w:rPr>
          <w:lang w:val="es-ES"/>
        </w:rPr>
        <w:t>190.</w:t>
      </w:r>
      <w:r w:rsidRPr="003E0B97">
        <w:rPr>
          <w:lang w:val="es-ES"/>
        </w:rPr>
        <w:tab/>
      </w:r>
      <w:r w:rsidR="00384375" w:rsidRPr="003E0B97">
        <w:rPr>
          <w:lang w:val="es-ES"/>
        </w:rPr>
        <w:t xml:space="preserve">Para vigilar que este marco legislativo se cumple, el Instituto de la Mujer y para la Igualdad de Oportunidades ha firmado un convenio de cooperación con la Inspección de Trabajo y Seguridad Social. </w:t>
      </w:r>
    </w:p>
    <w:p w:rsidR="00384375" w:rsidRPr="003E0B97" w:rsidRDefault="00BD4D4A" w:rsidP="00BD4D4A">
      <w:pPr>
        <w:pStyle w:val="ParaNoG"/>
        <w:numPr>
          <w:ilvl w:val="0"/>
          <w:numId w:val="0"/>
        </w:numPr>
        <w:tabs>
          <w:tab w:val="left" w:pos="0"/>
        </w:tabs>
        <w:ind w:left="1134"/>
        <w:rPr>
          <w:lang w:val="es-ES"/>
        </w:rPr>
      </w:pPr>
      <w:r w:rsidRPr="003E0B97">
        <w:rPr>
          <w:lang w:val="es-ES"/>
        </w:rPr>
        <w:t>191.</w:t>
      </w:r>
      <w:r w:rsidRPr="003E0B97">
        <w:rPr>
          <w:lang w:val="es-ES"/>
        </w:rPr>
        <w:tab/>
      </w:r>
      <w:r w:rsidR="00384375" w:rsidRPr="003E0B97">
        <w:rPr>
          <w:lang w:val="es-ES"/>
        </w:rPr>
        <w:t>Para combatir la brecha salarial de género cabe destacar la creación de una serie de herramientas a las que se hace mención en el apartado de buenas prácticas de este informe y actuaciones de concienciación y sensibilización sobre la brecha salarial. Además, en el marco del Programa de Igualdad y Conciliación, cofinanciado por el Espacio Económico Europeo, se han concedido subvenciones para, entre otras materias, estudiar las causas de la brecha salarial en España y formar a profesionales en su detección.</w:t>
      </w:r>
    </w:p>
    <w:p w:rsidR="00384375" w:rsidRPr="003E0B97" w:rsidRDefault="00BD4D4A" w:rsidP="00BD4D4A">
      <w:pPr>
        <w:pStyle w:val="ParaNoG"/>
        <w:numPr>
          <w:ilvl w:val="0"/>
          <w:numId w:val="0"/>
        </w:numPr>
        <w:tabs>
          <w:tab w:val="left" w:pos="0"/>
        </w:tabs>
        <w:ind w:left="1134"/>
        <w:rPr>
          <w:lang w:val="es-ES"/>
        </w:rPr>
      </w:pPr>
      <w:r w:rsidRPr="003E0B97">
        <w:rPr>
          <w:lang w:val="es-ES"/>
        </w:rPr>
        <w:t>192.</w:t>
      </w:r>
      <w:r w:rsidRPr="003E0B97">
        <w:rPr>
          <w:lang w:val="es-ES"/>
        </w:rPr>
        <w:tab/>
      </w:r>
      <w:r w:rsidR="00384375" w:rsidRPr="003E0B97">
        <w:rPr>
          <w:lang w:val="es-ES"/>
        </w:rPr>
        <w:t>Asimismo se ha fomentado el autoempleo y el emprendimiento a través de diferentes medidas. Se concede una bonificación a personas trabajadoras autónomas por conciliación de la vida profesional y familiar vinculada a la contratación. Además se desarrollan actuaciones como el Programa de Apoyo Empresarial a las Mujeres, el proyecto sobre emprendimiento de mujeres en sectores económicos emergentes y nuevas oportunidades de mercado, o el Programa INNOVATIA 8.3 de apoyo al emprendimiento femenino en el ámbito universitario en sectores tecnológicos y de investigación.</w:t>
      </w:r>
    </w:p>
    <w:p w:rsidR="00384375" w:rsidRPr="003E0B97" w:rsidRDefault="00BD4D4A" w:rsidP="00BD4D4A">
      <w:pPr>
        <w:pStyle w:val="ParaNoG"/>
        <w:numPr>
          <w:ilvl w:val="0"/>
          <w:numId w:val="0"/>
        </w:numPr>
        <w:tabs>
          <w:tab w:val="left" w:pos="0"/>
        </w:tabs>
        <w:ind w:left="1134"/>
        <w:rPr>
          <w:lang w:val="es-ES"/>
        </w:rPr>
      </w:pPr>
      <w:r w:rsidRPr="003E0B97">
        <w:rPr>
          <w:lang w:val="es-ES"/>
        </w:rPr>
        <w:t>193.</w:t>
      </w:r>
      <w:r w:rsidRPr="003E0B97">
        <w:rPr>
          <w:lang w:val="es-ES"/>
        </w:rPr>
        <w:tab/>
      </w:r>
      <w:r w:rsidR="00384375" w:rsidRPr="003E0B97">
        <w:rPr>
          <w:lang w:val="es-ES"/>
        </w:rPr>
        <w:t xml:space="preserve">Por otra parte, se desarrollan programas de inserción sociolaboral para mujeres con dificultades, como aquellas que han sido víctimas de violencia de género (red de empresas por una sociedad libre de violencia de género), las mujeres inmigrantes, mayores de 45 años o de etnia gitana (Programa Sara), o las del medio rural (Programa Aurora). </w:t>
      </w:r>
    </w:p>
    <w:p w:rsidR="00384375" w:rsidRPr="003E0B97" w:rsidRDefault="00BD4D4A" w:rsidP="00BD4D4A">
      <w:pPr>
        <w:pStyle w:val="ParaNoG"/>
        <w:numPr>
          <w:ilvl w:val="0"/>
          <w:numId w:val="0"/>
        </w:numPr>
        <w:tabs>
          <w:tab w:val="left" w:pos="0"/>
        </w:tabs>
        <w:ind w:left="1134"/>
        <w:rPr>
          <w:lang w:val="es-ES"/>
        </w:rPr>
      </w:pPr>
      <w:r w:rsidRPr="003E0B97">
        <w:rPr>
          <w:lang w:val="es-ES"/>
        </w:rPr>
        <w:t>194.</w:t>
      </w:r>
      <w:r w:rsidRPr="003E0B97">
        <w:rPr>
          <w:lang w:val="es-ES"/>
        </w:rPr>
        <w:tab/>
      </w:r>
      <w:r w:rsidR="00384375" w:rsidRPr="003E0B97">
        <w:rPr>
          <w:lang w:val="es-ES"/>
        </w:rPr>
        <w:t>Se han adoptado además medidas para aumentar la participación de las mujeres en los puestos de responsabilidad en el sector público y privado. Entre ellas, novedades normativas como la Ley de Sociedades de Capital que exige que los consejos de administración deban velar por la diversidad de género en la selección de sus miembros. Como principales actuaciones se puede reseñar la iniciativa Más Mujeres, Mejores Empresas, el proyecto Promociona (ver apartado de B.26), el programa de formación de Directivas o el proyecto de emprendimiento y fomento del liderazgo de las mujeres en los órganos de decisión de las sociedades del sector agroalimentario.</w:t>
      </w:r>
    </w:p>
    <w:p w:rsidR="00384375" w:rsidRPr="003E0B97" w:rsidRDefault="00384375" w:rsidP="00F36DAB">
      <w:pPr>
        <w:pStyle w:val="H1G"/>
      </w:pPr>
      <w:r w:rsidRPr="003E0B97">
        <w:tab/>
      </w:r>
      <w:r w:rsidR="007458C5">
        <w:t>14.</w:t>
      </w:r>
      <w:r w:rsidRPr="003E0B97">
        <w:tab/>
        <w:t>Formación profesional</w:t>
      </w:r>
    </w:p>
    <w:p w:rsidR="00384375" w:rsidRPr="00F36DAB" w:rsidRDefault="00BD4D4A" w:rsidP="00F36DAB">
      <w:pPr>
        <w:pStyle w:val="SingleTxtG"/>
      </w:pPr>
      <w:r w:rsidRPr="00F36DAB">
        <w:t>195.</w:t>
      </w:r>
      <w:r w:rsidRPr="00F36DAB">
        <w:tab/>
      </w:r>
      <w:r w:rsidR="00384375" w:rsidRPr="00F36DAB">
        <w:t xml:space="preserve">La oferta de formación profesional en España se realiza a través de los Títulos de formación profesional y de los certificados de profesionalidad (formación profesional del sistema nacional de empleo). </w:t>
      </w:r>
    </w:p>
    <w:p w:rsidR="00384375" w:rsidRPr="00F36DAB" w:rsidRDefault="00BD4D4A" w:rsidP="00F36DAB">
      <w:pPr>
        <w:pStyle w:val="SingleTxtG"/>
      </w:pPr>
      <w:r w:rsidRPr="00F36DAB">
        <w:lastRenderedPageBreak/>
        <w:t>196.</w:t>
      </w:r>
      <w:r w:rsidRPr="00F36DAB">
        <w:tab/>
      </w:r>
      <w:r w:rsidR="00384375" w:rsidRPr="00F36DAB">
        <w:t>La adecuación de la oferta de Formación Profesional del sistema educativo a las necesidades de los sectores productivos se asegura mediante</w:t>
      </w:r>
      <w:r w:rsidR="00DE531C" w:rsidRPr="00F36DAB">
        <w:t>.</w:t>
      </w:r>
    </w:p>
    <w:p w:rsidR="00384375" w:rsidRPr="00F36DAB" w:rsidRDefault="00BD4D4A" w:rsidP="00F36DAB">
      <w:pPr>
        <w:pStyle w:val="SingleTxtG"/>
      </w:pPr>
      <w:r w:rsidRPr="00F36DAB">
        <w:t>197.</w:t>
      </w:r>
      <w:r w:rsidRPr="00F36DAB">
        <w:tab/>
      </w:r>
      <w:r w:rsidR="00384375" w:rsidRPr="00F36DAB">
        <w:t>La adecuación de las competencias profesionales desarrolladas a través de la formación profesional. En los títulos de formación profesional se tienen en cuenta las competencias profesionales con valor y significado para los sectores productivos y, por lo tanto, las que facilitan la empleabilidad. Hay procedimientos establecidos para sus diseños, en los que participan representantes del sector privado y agentes sociales. Además se dispone de observatorios que siguen la evolución de los sectores productivos y del mercado laboral. Se han actualizado 158 títulos.</w:t>
      </w:r>
    </w:p>
    <w:p w:rsidR="00384375" w:rsidRPr="00F36DAB" w:rsidRDefault="00BD4D4A" w:rsidP="00F36DAB">
      <w:pPr>
        <w:pStyle w:val="SingleTxtG"/>
      </w:pPr>
      <w:r w:rsidRPr="00F36DAB">
        <w:t>198.</w:t>
      </w:r>
      <w:r w:rsidRPr="00F36DAB">
        <w:tab/>
      </w:r>
      <w:r w:rsidR="00384375" w:rsidRPr="00F36DAB">
        <w:t xml:space="preserve">La relevancia de las situaciones de aprendizaje. Todos los módulos profesionales que constituyen un título de formación profesional forman una unidad coherente de teoría y práctica, aplicando lo que la Comisión Europea denomina </w:t>
      </w:r>
      <w:r w:rsidR="00BB5656" w:rsidRPr="00F36DAB">
        <w:t>“</w:t>
      </w:r>
      <w:r w:rsidR="00384375" w:rsidRPr="00F36DAB">
        <w:t>aprendizaje basado en el trabajo</w:t>
      </w:r>
      <w:r w:rsidR="00BB5656" w:rsidRPr="00F36DAB">
        <w:t>”</w:t>
      </w:r>
      <w:r w:rsidR="00384375" w:rsidRPr="00F36DAB">
        <w:t xml:space="preserve">. </w:t>
      </w:r>
    </w:p>
    <w:p w:rsidR="00384375" w:rsidRPr="00F36DAB" w:rsidRDefault="00BD4D4A" w:rsidP="00F36DAB">
      <w:pPr>
        <w:pStyle w:val="SingleTxtG"/>
      </w:pPr>
      <w:r w:rsidRPr="00F36DAB">
        <w:t>199.</w:t>
      </w:r>
      <w:r w:rsidRPr="00F36DAB">
        <w:tab/>
      </w:r>
      <w:r w:rsidR="00384375" w:rsidRPr="00F36DAB">
        <w:t>La transición escuela-empleo y transferencia de conocimiento. Todos los títulos de formación profesional incluyen un módulo de formación en centros de trabajo que supone el 20% de la formación. Con ello se facilita la inserción de los alumnos en el mercado laboral y al mismo tiempo permite que los profesores tengan una visión de las necesidades directas del sector privado.</w:t>
      </w:r>
    </w:p>
    <w:p w:rsidR="00384375" w:rsidRPr="00F36DAB" w:rsidRDefault="00BD4D4A" w:rsidP="00F36DAB">
      <w:pPr>
        <w:pStyle w:val="SingleTxtG"/>
      </w:pPr>
      <w:r w:rsidRPr="00F36DAB">
        <w:t>200.</w:t>
      </w:r>
      <w:r w:rsidRPr="00F36DAB">
        <w:tab/>
      </w:r>
      <w:r w:rsidR="00384375" w:rsidRPr="00F36DAB">
        <w:t>Retroalimentación continua del sistema. El Ministerio de Educación, Cultura y Deporte mantiene una relación permanente con las administraciones educativas de las Comunidades Autónomas y se comunica constantemente con los sectores implicados. Asimismo, se están creando grupos específicos de participación periódica por áreas profesionales.</w:t>
      </w:r>
    </w:p>
    <w:p w:rsidR="00384375" w:rsidRPr="003E0B97" w:rsidRDefault="00384375" w:rsidP="00F36DAB">
      <w:pPr>
        <w:pStyle w:val="H1G"/>
      </w:pPr>
      <w:r w:rsidRPr="003E0B97">
        <w:tab/>
      </w:r>
      <w:r w:rsidR="007458C5">
        <w:t>15.</w:t>
      </w:r>
      <w:r w:rsidRPr="003E0B97">
        <w:tab/>
        <w:t>Participación personas con discapacidad en mercado laboral</w:t>
      </w:r>
    </w:p>
    <w:p w:rsidR="00384375" w:rsidRPr="00F36DAB" w:rsidRDefault="00BD4D4A" w:rsidP="00F36DAB">
      <w:pPr>
        <w:pStyle w:val="SingleTxtG"/>
      </w:pPr>
      <w:r w:rsidRPr="00F36DAB">
        <w:t>201.</w:t>
      </w:r>
      <w:r w:rsidRPr="00F36DAB">
        <w:tab/>
      </w:r>
      <w:r w:rsidR="00384375" w:rsidRPr="00F36DAB">
        <w:t xml:space="preserve">La Ley </w:t>
      </w:r>
      <w:r w:rsidR="003D3899">
        <w:t xml:space="preserve">núm. </w:t>
      </w:r>
      <w:r w:rsidR="00384375" w:rsidRPr="00F36DAB">
        <w:t>3/2012 contempla distintos supuestos en que se garantiza que las personas con discapacidad tienen prioridad de permanencia en sus puestos de trabajo.</w:t>
      </w:r>
    </w:p>
    <w:p w:rsidR="00384375" w:rsidRPr="00F36DAB" w:rsidRDefault="00BD4D4A" w:rsidP="00F36DAB">
      <w:pPr>
        <w:pStyle w:val="SingleTxtG"/>
      </w:pPr>
      <w:r w:rsidRPr="00F36DAB">
        <w:t>202.</w:t>
      </w:r>
      <w:r w:rsidRPr="00F36DAB">
        <w:tab/>
      </w:r>
      <w:r w:rsidR="00384375" w:rsidRPr="00F36DAB">
        <w:t>El Convenio Especial de Seguridad Social para trabajadores con discapacidad garantiza a los trabajadores con especiales dificultades de inserción laboral el que puedan cotizar por sí mismos al sistema y generar derecho a prestaciones que de otra manera no conseguirían.</w:t>
      </w:r>
    </w:p>
    <w:p w:rsidR="00384375" w:rsidRPr="00F36DAB" w:rsidRDefault="00BD4D4A" w:rsidP="00F36DAB">
      <w:pPr>
        <w:pStyle w:val="SingleTxtG"/>
      </w:pPr>
      <w:r w:rsidRPr="00F36DAB">
        <w:t>203.</w:t>
      </w:r>
      <w:r w:rsidRPr="00F36DAB">
        <w:tab/>
      </w:r>
      <w:r w:rsidR="00384375" w:rsidRPr="00F36DAB">
        <w:t>Además se han adoptado medidas de apoyo a los jóvenes con discapacidad para que tengan una posición reforzada en el nuevo marco de ayudas y apoyos públicos para su contratación o el emprendimiento.</w:t>
      </w:r>
    </w:p>
    <w:p w:rsidR="00384375" w:rsidRPr="00F36DAB" w:rsidRDefault="00BD4D4A" w:rsidP="00F36DAB">
      <w:pPr>
        <w:pStyle w:val="SingleTxtG"/>
      </w:pPr>
      <w:r w:rsidRPr="00F36DAB">
        <w:t>204.</w:t>
      </w:r>
      <w:r w:rsidRPr="00F36DAB">
        <w:tab/>
      </w:r>
      <w:r w:rsidR="00384375" w:rsidRPr="00F36DAB">
        <w:t>Se ha reconocido asimismo un incremento de la deducción anual que en el impuesto de sociedades se pueden aplicar las empresas como estímulo a la hora de contratar a personas con discapacidad.</w:t>
      </w:r>
    </w:p>
    <w:p w:rsidR="00384375" w:rsidRPr="00F36DAB" w:rsidRDefault="00BD4D4A" w:rsidP="00F36DAB">
      <w:pPr>
        <w:pStyle w:val="SingleTxtG"/>
      </w:pPr>
      <w:r w:rsidRPr="00F36DAB">
        <w:t>205.</w:t>
      </w:r>
      <w:r w:rsidRPr="00F36DAB">
        <w:tab/>
      </w:r>
      <w:r w:rsidR="00384375" w:rsidRPr="00F36DAB">
        <w:t>En el ámbito del empleo público, varias disposiciones de la Constitución garantizan de forma más o menos directa la integración de las personas con discapacidad (arts</w:t>
      </w:r>
      <w:r w:rsidR="00B03578">
        <w:t>.</w:t>
      </w:r>
      <w:r w:rsidR="00384375" w:rsidRPr="00F36DAB">
        <w:t xml:space="preserve"> 9.2, 49, 23.2, 103.2 y 35). Además el artículo 59 del Estatuto Básico del Empleado Público establece reserva de cupo no inferior al 7% de las vacantes para este colectivo. Dentro de éste, al menos el 2% de las plazas ofertadas deben ser cubiertas por personas que acrediten discapacidad intelectual. Se marca también el objetivo de alcanzar 2% de efectivos totales con discapacidad en cada Administración Pública. Por otro lado, el Real Decreto </w:t>
      </w:r>
      <w:r w:rsidR="003D3899">
        <w:t xml:space="preserve">núm. </w:t>
      </w:r>
      <w:r w:rsidR="00384375" w:rsidRPr="00F36DAB">
        <w:t xml:space="preserve">2271/2004 sobre el acceso al empleo público recoge la adaptación de medios en el proceso selectivo y en el lugar de trabajo. Como resultado, existen políticas activas de captación, selección e integración, para cuya ejecución la Administración se coordina con sociedad civil (Comité Español de Representantes de Personas con Discapacidad </w:t>
      </w:r>
      <w:r w:rsidR="00C142E0">
        <w:t>—</w:t>
      </w:r>
      <w:r w:rsidR="00384375" w:rsidRPr="00F36DAB">
        <w:t>CERMI</w:t>
      </w:r>
      <w:r w:rsidR="00C142E0">
        <w:t>—</w:t>
      </w:r>
      <w:r w:rsidR="00C142E0" w:rsidRPr="00F36DAB">
        <w:t xml:space="preserve"> </w:t>
      </w:r>
      <w:r w:rsidR="00384375" w:rsidRPr="00F36DAB">
        <w:t>y Plena Inclusión). Pueden señalarse iniciativas concretas como elaboración de temarios específicos orientativos o la no penalización de respuestas erróneas en determinados casos. En la práctica, el modelo es exitoso, ya que la tasa de cobertura de las plazas públicas para personas con discapacidad intelectual viene siendo del 100%, siendo las últimas plazas convocadas en 2016 de 121.</w:t>
      </w:r>
    </w:p>
    <w:p w:rsidR="00384375" w:rsidRPr="003E0B97" w:rsidRDefault="00384375" w:rsidP="00F36DAB">
      <w:pPr>
        <w:pStyle w:val="H1G"/>
      </w:pPr>
      <w:r w:rsidRPr="003E0B97">
        <w:lastRenderedPageBreak/>
        <w:tab/>
      </w:r>
      <w:r w:rsidR="007458C5">
        <w:t>16.</w:t>
      </w:r>
      <w:r w:rsidRPr="003E0B97">
        <w:tab/>
        <w:t>Salario mínimo</w:t>
      </w:r>
    </w:p>
    <w:p w:rsidR="00384375" w:rsidRPr="00F36DAB" w:rsidRDefault="00BD4D4A" w:rsidP="00F36DAB">
      <w:pPr>
        <w:pStyle w:val="SingleTxtG"/>
      </w:pPr>
      <w:r w:rsidRPr="00F36DAB">
        <w:t>206.</w:t>
      </w:r>
      <w:r w:rsidRPr="00F36DAB">
        <w:tab/>
      </w:r>
      <w:r w:rsidR="00384375" w:rsidRPr="00F36DAB">
        <w:t xml:space="preserve">La determinación del salario mínimo interprofesional (SMI) en España se realiza de acuerdo al Convenio </w:t>
      </w:r>
      <w:r w:rsidR="00666B89">
        <w:t xml:space="preserve">núm. </w:t>
      </w:r>
      <w:r w:rsidR="00384375" w:rsidRPr="00F36DAB">
        <w:t xml:space="preserve">131 de la OIT y a la Recomendación </w:t>
      </w:r>
      <w:r w:rsidR="00666B89">
        <w:t xml:space="preserve">núm. </w:t>
      </w:r>
      <w:r w:rsidR="00384375" w:rsidRPr="00F36DAB">
        <w:t>135 de la OIT</w:t>
      </w:r>
      <w:r w:rsidR="004916DE" w:rsidRPr="00F36DAB">
        <w:rPr>
          <w:rStyle w:val="Refdenotaalpie"/>
        </w:rPr>
        <w:footnoteReference w:id="28"/>
      </w:r>
      <w:r w:rsidR="00DE531C">
        <w:rPr>
          <w:rStyle w:val="Refdenotaalpie"/>
          <w:sz w:val="20"/>
          <w:vertAlign w:val="baseline"/>
        </w:rPr>
        <w:t>.</w:t>
      </w:r>
      <w:r w:rsidR="004916DE" w:rsidRPr="00F36DAB">
        <w:t xml:space="preserve"> </w:t>
      </w:r>
      <w:r w:rsidR="00384375" w:rsidRPr="00F36DAB">
        <w:t xml:space="preserve">Se tienen en cuenta los factores reseñados en el artículo 27.1 del Estatuto de los Trabajadores, que son el índice de precios al consumo (IPC), la productividad media nacional alcanzada, el incremento de la participación del trabajo en la renta nacional y la coyuntura económica general. </w:t>
      </w:r>
    </w:p>
    <w:p w:rsidR="00384375" w:rsidRPr="00F36DAB" w:rsidRDefault="00BD4D4A" w:rsidP="00F36DAB">
      <w:pPr>
        <w:pStyle w:val="SingleTxtG"/>
      </w:pPr>
      <w:r w:rsidRPr="00F36DAB">
        <w:t>207.</w:t>
      </w:r>
      <w:r w:rsidRPr="00F36DAB">
        <w:tab/>
      </w:r>
      <w:r w:rsidR="00384375" w:rsidRPr="00F36DAB">
        <w:t>Según los últimos datos, en el caso del IPC a octubre de 2016 se registró una variación anual positiva por segundo mes consecutivo, del +0,7%. La variación anual de la productividad aparente por puesto de trabajo equivalente creció a un ritmo interanual del 0,7% en el segundo trimestre de 2016. La participación de las remuneraciones salariales en la Renta Nacional, acumuladas al segundo trimestre del año 2016, se situó en el 47,3% el segundo trimestre de 2016. Por último, la evolución del PIB en el segundo trimestre de 2016 volvió a mostrar una variación interanual positiva y se situó en un 3,4%, tres décimas superior al registrado un año antes. La estimación avanzada por el INE para el tercer trimestre de 2016 sitúa ese crecimiento en el 3,2%.</w:t>
      </w:r>
    </w:p>
    <w:p w:rsidR="00384375" w:rsidRPr="003E0B97" w:rsidRDefault="00384375" w:rsidP="00F36DAB">
      <w:pPr>
        <w:pStyle w:val="H1G"/>
      </w:pPr>
      <w:r w:rsidRPr="003E0B97">
        <w:tab/>
      </w:r>
      <w:r w:rsidR="007458C5">
        <w:t>17.</w:t>
      </w:r>
      <w:r w:rsidRPr="003E0B97">
        <w:tab/>
        <w:t>Salud en el trabajo</w:t>
      </w:r>
    </w:p>
    <w:p w:rsidR="00384375" w:rsidRPr="00F36DAB" w:rsidRDefault="00BD4D4A" w:rsidP="00F36DAB">
      <w:pPr>
        <w:pStyle w:val="SingleTxtG"/>
      </w:pPr>
      <w:r w:rsidRPr="00F36DAB">
        <w:t>208.</w:t>
      </w:r>
      <w:r w:rsidRPr="00F36DAB">
        <w:tab/>
      </w:r>
      <w:r w:rsidR="00384375" w:rsidRPr="00F36DAB">
        <w:t xml:space="preserve">El artículo 12.1 de la Ley </w:t>
      </w:r>
      <w:r w:rsidR="003D3899">
        <w:t xml:space="preserve">núm. </w:t>
      </w:r>
      <w:r w:rsidR="00384375" w:rsidRPr="00F36DAB">
        <w:t xml:space="preserve">23/2015 atribuye a la Inspección de Trabajo y Seguridad Social la vigilancia y exigencia del cumplimiento de las normas legales, reglamentarias y del contenido de los acuerdos y convenios colectivos, en la prevención de riesgos laborales y la investigación de accidentes de trabajo y enfermedades profesionales. </w:t>
      </w:r>
    </w:p>
    <w:p w:rsidR="00384375" w:rsidRPr="00F36DAB" w:rsidRDefault="00BD4D4A" w:rsidP="00F36DAB">
      <w:pPr>
        <w:pStyle w:val="SingleTxtG"/>
      </w:pPr>
      <w:r w:rsidRPr="00F36DAB">
        <w:t>209.</w:t>
      </w:r>
      <w:r w:rsidRPr="00F36DAB">
        <w:tab/>
      </w:r>
      <w:r w:rsidR="00384375" w:rsidRPr="00F36DAB">
        <w:t xml:space="preserve">Ambos aspectos se complementan en la práctica. Prueba de ello es, entre otras iniciativas, la organización de un curso en la Escuela de Inspección de Trabajo y Seguridad Social sobre investigación de accidentes con un enfoque eminentemente preventivo, tratando de evitar que se reproduzcan en el futuro otros accidentes similares a los investigados. </w:t>
      </w:r>
    </w:p>
    <w:p w:rsidR="00384375" w:rsidRPr="00F36DAB" w:rsidRDefault="00BD4D4A" w:rsidP="00F36DAB">
      <w:pPr>
        <w:pStyle w:val="SingleTxtG"/>
      </w:pPr>
      <w:r w:rsidRPr="00F36DAB">
        <w:t>210.</w:t>
      </w:r>
      <w:r w:rsidRPr="00F36DAB">
        <w:tab/>
      </w:r>
      <w:r w:rsidR="00384375" w:rsidRPr="00F36DAB">
        <w:t>En relación con las enfermedades profesionales, le corresponde a la Inspección de Trabajo y Seguridad Social comprobar que las empresas que deban cubrir puestos de trabajo con riesgo de enfermedades profesionales hayan procedido a practicar un reconocimiento médico previo a la admisión de los trabajadores y realicen los reconocimientos médicos periódicos que para cada tipo de enfermedad profesional se establecen.</w:t>
      </w:r>
    </w:p>
    <w:p w:rsidR="00384375" w:rsidRPr="00F36DAB" w:rsidRDefault="00BD4D4A" w:rsidP="00F36DAB">
      <w:pPr>
        <w:pStyle w:val="SingleTxtG"/>
      </w:pPr>
      <w:r w:rsidRPr="00F36DAB">
        <w:t>211.</w:t>
      </w:r>
      <w:r w:rsidRPr="00F36DAB">
        <w:tab/>
      </w:r>
      <w:r w:rsidR="00384375" w:rsidRPr="00F36DAB">
        <w:t xml:space="preserve">Asimismo, y con el objetivo de disminuir la tasa de accidentes de trabajo se han llevado a cabo, en el seno de la Inspección de Trabajo y Seguridad Social, campañas de actuación en diferentes ámbitos como la seguridad vial o los trastornos musculoesqueléticos. </w:t>
      </w:r>
    </w:p>
    <w:p w:rsidR="00384375" w:rsidRPr="00F36DAB" w:rsidRDefault="00BD4D4A" w:rsidP="00F36DAB">
      <w:pPr>
        <w:pStyle w:val="SingleTxtG"/>
      </w:pPr>
      <w:r w:rsidRPr="00F36DAB">
        <w:t>212.</w:t>
      </w:r>
      <w:r w:rsidRPr="00F36DAB">
        <w:tab/>
      </w:r>
      <w:r w:rsidR="00384375" w:rsidRPr="00F36DAB">
        <w:t>Otra medida adoptada para reducir los accidentes y enfermedades profesionales es la imposición a los empleadores infractores de un recargo en todas las prestaciones económicas que tengan su causa en accidente de trabajo o enfermedad profesional. Se aumentarán, según la gravedad de la falta, de un 30% a un 50%, cuando la lesión se produzca por equipos de trabajo o en instalaciones, centros o lugares de trabajo que carezcan de los medios de protección reglamentarios, los tengan inutilizados o en malas condiciones o cuando no se hayan observado las medidas generales o particulares de seguridad y salud en el trabajo, o las elementales de salubridad o las de adecuación personal a cada trabajo habida cuenta de sus características y de la edad, sexo y demás condiciones del trabajador.</w:t>
      </w:r>
    </w:p>
    <w:p w:rsidR="00384375" w:rsidRPr="00F36DAB" w:rsidRDefault="00BD4D4A" w:rsidP="00F36DAB">
      <w:pPr>
        <w:pStyle w:val="SingleTxtG"/>
      </w:pPr>
      <w:r w:rsidRPr="00F36DAB">
        <w:lastRenderedPageBreak/>
        <w:t>213.</w:t>
      </w:r>
      <w:r w:rsidRPr="00F36DAB">
        <w:tab/>
      </w:r>
      <w:r w:rsidR="00384375" w:rsidRPr="00F36DAB">
        <w:t xml:space="preserve">Por último, cabe hacer mención del Protocolo Marco de colaboración para la investigación de delitos contra la vida, salud, integridad física de los trabajadores, que se suscribió el 19 de septiembre de 2007, por los máximos representantes del Consejo del Poder Judicial, el Ministerio del Interior, el entonces Ministerio de Trabajo y Asuntos Sociales, el Ministerio de Justicia y la Fiscalía General del Estado. Este mecanismo asegura la cooperación y las comunicaciones ágiles para garantizar la investigación eficaz y rápida de los delitos contra la vida, la salud y la integridad física de los trabajadores y la ejecución de las sentencias condenatorias. </w:t>
      </w:r>
    </w:p>
    <w:p w:rsidR="00384375" w:rsidRPr="003E0B97" w:rsidRDefault="00384375" w:rsidP="00F36DAB">
      <w:pPr>
        <w:pStyle w:val="H1G"/>
      </w:pPr>
      <w:r w:rsidRPr="003E0B97">
        <w:tab/>
      </w:r>
      <w:r w:rsidR="007458C5">
        <w:t>18.</w:t>
      </w:r>
      <w:r w:rsidRPr="003E0B97">
        <w:tab/>
        <w:t>Derecho a la alimentación</w:t>
      </w:r>
    </w:p>
    <w:p w:rsidR="00384375" w:rsidRPr="00F36DAB" w:rsidRDefault="00BD4D4A" w:rsidP="00F36DAB">
      <w:pPr>
        <w:pStyle w:val="SingleTxtG"/>
      </w:pPr>
      <w:r w:rsidRPr="00F36DAB">
        <w:t>214.</w:t>
      </w:r>
      <w:r w:rsidRPr="00F36DAB">
        <w:tab/>
      </w:r>
      <w:r w:rsidR="00384375" w:rsidRPr="00F36DAB">
        <w:t>Actualmente, y desde el año 2014, en España está en Marcha el Programa Operativo del Fondo de Ayuda Europea para las Personas más Desfavorecidas 2014-2020 (FEAD), que constituye un importante esfuerzo desde los poderes públicos en la lucha contra las necesidades alimentarias de determinados sectores de la población. Se trata de un fondo, cofinanciado por la Comisión Europea en un 85%, que en España destinará un total de 662.835.558</w:t>
      </w:r>
      <w:r w:rsidR="00666B89">
        <w:t xml:space="preserve"> euros</w:t>
      </w:r>
      <w:r w:rsidR="00384375" w:rsidRPr="00F36DAB">
        <w:t xml:space="preserve"> entre 2014 y 2020 para la adquisición de alimentos y su distribución a través de unas 6</w:t>
      </w:r>
      <w:r w:rsidR="00666B89">
        <w:t>.</w:t>
      </w:r>
      <w:r w:rsidR="00384375" w:rsidRPr="00F36DAB">
        <w:t xml:space="preserve">000 entidades sin ánimo de lucro de diversa índole por todo el territorio nacional. </w:t>
      </w:r>
    </w:p>
    <w:p w:rsidR="00384375" w:rsidRPr="00F36DAB" w:rsidRDefault="00BD4D4A" w:rsidP="00F36DAB">
      <w:pPr>
        <w:pStyle w:val="SingleTxtG"/>
      </w:pPr>
      <w:r w:rsidRPr="00F36DAB">
        <w:t>215.</w:t>
      </w:r>
      <w:r w:rsidRPr="00F36DAB">
        <w:tab/>
      </w:r>
      <w:r w:rsidR="00384375" w:rsidRPr="00F36DAB">
        <w:t xml:space="preserve">Por otra parte, y de cara a reducir la dependencia de la ayuda alimentaria, del importe total del FEAD de cada programa de alimentos se destinará un 5% a la realización de medidas de acompañamiento a los beneficiarios de la ayuda. Estas medidas son actividades desarrolladas con carácter adicional a la distribución de alimentos con el objetivo de abordar la exclusión social y/o las urgencias sociales de una forma que favorezca más la autonomía. </w:t>
      </w:r>
    </w:p>
    <w:p w:rsidR="00384375" w:rsidRPr="00F36DAB" w:rsidRDefault="00BD4D4A" w:rsidP="00F36DAB">
      <w:pPr>
        <w:pStyle w:val="SingleTxtG"/>
      </w:pPr>
      <w:r w:rsidRPr="00F36DAB">
        <w:t>216.</w:t>
      </w:r>
      <w:r w:rsidRPr="00F36DAB">
        <w:tab/>
      </w:r>
      <w:r w:rsidR="00384375" w:rsidRPr="00F36DAB">
        <w:t>Además, para atender a las necesidades básicas de las personas más desfavorecidas, se introdujo en 2013 una línea especial para situaciones de urgencia, dentro de las subvenciones otorgadas para proyectos de interés social. La asignación fue de 19,80 millones de euros en aquella primera convocatoria anual, para incrementarse posteriormente a 23,93 millones de euros en los años 2014 y 2015, y hasta 25,58 de millones de euro en el año 2016.</w:t>
      </w:r>
    </w:p>
    <w:p w:rsidR="00384375" w:rsidRPr="003E0B97" w:rsidRDefault="00384375" w:rsidP="00F36DAB">
      <w:pPr>
        <w:pStyle w:val="H1G"/>
      </w:pPr>
      <w:r w:rsidRPr="003E0B97">
        <w:tab/>
      </w:r>
      <w:r w:rsidR="007458C5">
        <w:t>19.</w:t>
      </w:r>
      <w:r w:rsidRPr="003E0B97">
        <w:tab/>
        <w:t>Derecho a la vivienda</w:t>
      </w:r>
    </w:p>
    <w:p w:rsidR="00384375" w:rsidRPr="00F36DAB" w:rsidRDefault="00BD4D4A" w:rsidP="00F36DAB">
      <w:pPr>
        <w:pStyle w:val="SingleTxtG"/>
        <w:rPr>
          <w:rFonts w:eastAsia="Calibri"/>
        </w:rPr>
      </w:pPr>
      <w:r w:rsidRPr="00F36DAB">
        <w:rPr>
          <w:rFonts w:eastAsia="Calibri"/>
        </w:rPr>
        <w:t>217.</w:t>
      </w:r>
      <w:r w:rsidRPr="00F36DAB">
        <w:rPr>
          <w:rFonts w:eastAsia="Calibri"/>
        </w:rPr>
        <w:tab/>
      </w:r>
      <w:r w:rsidR="00384375" w:rsidRPr="00F36DAB">
        <w:rPr>
          <w:rFonts w:eastAsia="Calibri"/>
        </w:rPr>
        <w:t xml:space="preserve">Además de las medidas anteriormente mencionadas en el apartado A.6, puede destacarse la constitución en 2013 del Fondo Social de Vivienda, que contribuye particularmente a proporcionar viviendas asequibles en régimen de alquiler y en cuya gestión colaboran las administraciones, entidades financieras y ONG. </w:t>
      </w:r>
    </w:p>
    <w:p w:rsidR="00384375" w:rsidRPr="00F36DAB" w:rsidRDefault="00BD4D4A" w:rsidP="00F36DAB">
      <w:pPr>
        <w:pStyle w:val="SingleTxtG"/>
        <w:rPr>
          <w:rFonts w:eastAsia="Calibri"/>
        </w:rPr>
      </w:pPr>
      <w:r w:rsidRPr="00F36DAB">
        <w:rPr>
          <w:rFonts w:eastAsia="Calibri"/>
        </w:rPr>
        <w:t>218.</w:t>
      </w:r>
      <w:r w:rsidRPr="00F36DAB">
        <w:rPr>
          <w:rFonts w:eastAsia="Calibri"/>
        </w:rPr>
        <w:tab/>
      </w:r>
      <w:r w:rsidR="00384375" w:rsidRPr="00F36DAB">
        <w:rPr>
          <w:rFonts w:eastAsia="Calibri"/>
        </w:rPr>
        <w:t>El Fondo está dotado con 9.865 viviendas que se asignan a las familias que hayan sido desalojadas de su vivienda habitual como consecuencia del impago de una deuda hipotecaria o como resultado de una dación en pago, y que se encuentren en una situación de especial vulnerabilidad social. Los beneficiarios deben cumplir una serie de condiciones, que recientemente se han ampliado para facilitar el acceso al Fondo de más personas. La renta del arrendamiento está comprendida entre 150 y 400 euros al mes, con un límite máximo del 30% de los ingresos netos totales de la unidad familiar.</w:t>
      </w:r>
    </w:p>
    <w:p w:rsidR="00384375" w:rsidRPr="00F36DAB" w:rsidRDefault="00BD4D4A" w:rsidP="00F36DAB">
      <w:pPr>
        <w:pStyle w:val="SingleTxtG"/>
        <w:rPr>
          <w:rFonts w:eastAsia="Calibri"/>
        </w:rPr>
      </w:pPr>
      <w:r w:rsidRPr="00F36DAB">
        <w:rPr>
          <w:rFonts w:eastAsia="Calibri"/>
        </w:rPr>
        <w:t>219.</w:t>
      </w:r>
      <w:r w:rsidRPr="00F36DAB">
        <w:rPr>
          <w:rFonts w:eastAsia="Calibri"/>
        </w:rPr>
        <w:tab/>
      </w:r>
      <w:r w:rsidR="00384375" w:rsidRPr="00F36DAB">
        <w:rPr>
          <w:rFonts w:eastAsia="Calibri"/>
        </w:rPr>
        <w:t xml:space="preserve">Según los últimos datos de que se disponen (diciembre </w:t>
      </w:r>
      <w:r w:rsidR="00666B89">
        <w:rPr>
          <w:rFonts w:eastAsia="Calibri"/>
        </w:rPr>
        <w:t xml:space="preserve">de </w:t>
      </w:r>
      <w:r w:rsidR="00384375" w:rsidRPr="00F36DAB">
        <w:rPr>
          <w:rFonts w:eastAsia="Calibri"/>
        </w:rPr>
        <w:t>2016), se han adjudicado 9.062 viviendas.</w:t>
      </w:r>
    </w:p>
    <w:p w:rsidR="00384375" w:rsidRPr="00F36DAB" w:rsidRDefault="00BD4D4A" w:rsidP="00F36DAB">
      <w:pPr>
        <w:pStyle w:val="SingleTxtG"/>
        <w:rPr>
          <w:rFonts w:eastAsia="Calibri"/>
        </w:rPr>
      </w:pPr>
      <w:r w:rsidRPr="00F36DAB">
        <w:rPr>
          <w:rFonts w:eastAsia="Calibri"/>
        </w:rPr>
        <w:t>220.</w:t>
      </w:r>
      <w:r w:rsidRPr="00F36DAB">
        <w:rPr>
          <w:rFonts w:eastAsia="Calibri"/>
        </w:rPr>
        <w:tab/>
      </w:r>
      <w:r w:rsidR="00384375" w:rsidRPr="00F36DAB">
        <w:rPr>
          <w:rFonts w:eastAsia="Calibri"/>
        </w:rPr>
        <w:t>Por otro lado, las Administraciones autonómicas ponen a disposición de las víctimas de violencia de género y sus hijos recursos de alojamiento (establecimientos, casa de acogida, centros residenciales, pisos, etc.). Gracias a ellos se interviene de forma integral garantizando el derecho a la vivienda junto con una atención inmediata y especializada en un entorno de seguridad.</w:t>
      </w:r>
    </w:p>
    <w:p w:rsidR="00384375" w:rsidRPr="003E0B97" w:rsidRDefault="00384375" w:rsidP="00F36DAB">
      <w:pPr>
        <w:pStyle w:val="H1G"/>
      </w:pPr>
      <w:r w:rsidRPr="003E0B97">
        <w:lastRenderedPageBreak/>
        <w:tab/>
      </w:r>
      <w:r w:rsidR="007458C5">
        <w:t>20.</w:t>
      </w:r>
      <w:r w:rsidRPr="003E0B97">
        <w:tab/>
        <w:t>Derecho a la vivienda</w:t>
      </w:r>
    </w:p>
    <w:p w:rsidR="00384375" w:rsidRPr="00F36DAB" w:rsidRDefault="00BD4D4A" w:rsidP="00F36DAB">
      <w:pPr>
        <w:pStyle w:val="SingleTxtG"/>
      </w:pPr>
      <w:r w:rsidRPr="00F36DAB">
        <w:t>221.</w:t>
      </w:r>
      <w:r w:rsidRPr="00F36DAB">
        <w:tab/>
      </w:r>
      <w:r w:rsidR="00384375" w:rsidRPr="00F36DAB">
        <w:t>Como complemento de las medidas reseñadas en apartados referidos igualmente al derecho a la vivienda, el Plan Estatal de Vivienda 2013-2016, prorrogado en 2017, contempla la necesidad de orientar las ayudas públicas en función de las necesidades de las familias, mediante el apoyo al alquiler de las personas con menos recursos, así como a apoyar la recuperación del sector de la edificación, con efecto arrastre en el empleo, mediante el desarrollo de actividades de rehabilitación de edificios, de eliminación de barreras arquitectónicas y de renovación de áreas urbanas degradadas.</w:t>
      </w:r>
    </w:p>
    <w:p w:rsidR="00384375" w:rsidRPr="00F36DAB" w:rsidRDefault="00BD4D4A" w:rsidP="00F36DAB">
      <w:pPr>
        <w:pStyle w:val="SingleTxtG"/>
      </w:pPr>
      <w:r w:rsidRPr="00F36DAB">
        <w:t>222.</w:t>
      </w:r>
      <w:r w:rsidRPr="00F36DAB">
        <w:tab/>
      </w:r>
      <w:r w:rsidR="00384375" w:rsidRPr="00F36DAB">
        <w:t xml:space="preserve"> En la actualidad se está tramitando un Plan de Vivienda 2018-2021, que incorpora novedades como, entre otras, un programa específico de ayudas a los desahuciados de su vivienda habitual que se encuentren en situación de vulnerabilidad.</w:t>
      </w:r>
    </w:p>
    <w:p w:rsidR="00384375" w:rsidRPr="003E0B97" w:rsidRDefault="00384375" w:rsidP="00F36DAB">
      <w:pPr>
        <w:pStyle w:val="H1G"/>
      </w:pPr>
      <w:r w:rsidRPr="003E0B97">
        <w:tab/>
      </w:r>
      <w:r w:rsidR="007458C5">
        <w:t>21.</w:t>
      </w:r>
      <w:r w:rsidRPr="003E0B97">
        <w:tab/>
        <w:t>Derecho a la salud</w:t>
      </w:r>
    </w:p>
    <w:p w:rsidR="00384375" w:rsidRPr="00F36DAB" w:rsidRDefault="00BD4D4A" w:rsidP="00F36DAB">
      <w:pPr>
        <w:pStyle w:val="SingleTxtG"/>
      </w:pPr>
      <w:r w:rsidRPr="00F36DAB">
        <w:t>223.</w:t>
      </w:r>
      <w:r w:rsidRPr="00F36DAB">
        <w:tab/>
      </w:r>
      <w:r w:rsidR="00384375" w:rsidRPr="00F36DAB">
        <w:t xml:space="preserve">Todos los ciudadanos españoles, así como los ciudadanos extranjeros que tengan establecida su residencia en el territorio nacional, son titulares del derecho a la protección de la salud y a la atención sanitaria de conformidad con lo dispuesto en el artículo 1.2 de la Ley </w:t>
      </w:r>
      <w:r w:rsidR="003D3899">
        <w:t xml:space="preserve">núm. </w:t>
      </w:r>
      <w:r w:rsidR="00384375" w:rsidRPr="00F36DAB">
        <w:t xml:space="preserve">14/1986. </w:t>
      </w:r>
    </w:p>
    <w:p w:rsidR="00384375" w:rsidRPr="00F36DAB" w:rsidRDefault="00BD4D4A" w:rsidP="00F36DAB">
      <w:pPr>
        <w:pStyle w:val="SingleTxtG"/>
      </w:pPr>
      <w:r w:rsidRPr="00F36DAB">
        <w:t>224.</w:t>
      </w:r>
      <w:r w:rsidRPr="00F36DAB">
        <w:tab/>
      </w:r>
      <w:r w:rsidR="00384375" w:rsidRPr="00F36DAB">
        <w:t>En relación con la cartera de servicios del Sistema Nacional de Salud, se financia totalmente con fondos públicos todo tipo de actividades de prevención, diagnóstico, tratamiento y rehabilitación, así como el transporte sanitario urgente. La prestación farmacéutica ambulatoria y parte de las prestaciones ortoprotésicas están sujetas a una aportación del usuario, al igual que ocurre con los servicios que se consideran accesorios o no esenciales para un tratamiento. En consecuencia, el Sistema Nacional de Salud español proporciona cobertura universal, financiada con fondos públicos, y es, en su mayor parte, gratuita. No en vano España se encuentra a la cabeza en esperanza de vida de la Unión Europea.</w:t>
      </w:r>
    </w:p>
    <w:p w:rsidR="00384375" w:rsidRPr="00F36DAB" w:rsidRDefault="00BD4D4A" w:rsidP="00F36DAB">
      <w:pPr>
        <w:pStyle w:val="SingleTxtG"/>
      </w:pPr>
      <w:r w:rsidRPr="00F36DAB">
        <w:t>225.</w:t>
      </w:r>
      <w:r w:rsidRPr="00F36DAB">
        <w:tab/>
      </w:r>
      <w:r w:rsidR="00384375" w:rsidRPr="00F36DAB">
        <w:t>Cabe precisar que la aportación de los usuarios proviene casi en su totalidad del copago realizado al adquirir medicamentos, que es del 40%, 50% o 60%, según la renta del usuario, con excepciones en algunas categorías como los pensionistas y enfermos crónicos, a los que se les aplica un 10% con límites de aportación mensuales.</w:t>
      </w:r>
    </w:p>
    <w:p w:rsidR="00384375" w:rsidRPr="00F36DAB" w:rsidRDefault="00BD4D4A" w:rsidP="00F36DAB">
      <w:pPr>
        <w:pStyle w:val="SingleTxtG"/>
      </w:pPr>
      <w:r w:rsidRPr="00F36DAB">
        <w:t>226.</w:t>
      </w:r>
      <w:r w:rsidRPr="00F36DAB">
        <w:tab/>
      </w:r>
      <w:r w:rsidR="00384375" w:rsidRPr="00F36DAB">
        <w:t xml:space="preserve">Asimismo, el Real Decreto </w:t>
      </w:r>
      <w:r w:rsidR="003D3899">
        <w:t xml:space="preserve">núm. </w:t>
      </w:r>
      <w:r w:rsidR="00384375" w:rsidRPr="00F36DAB">
        <w:t>1192/2012 recoge la asistencia para otros colectivos, como los solicitantes de protección internacional y las víctimas de trata de seres humanos en periodo de restablecimiento y reflexión.</w:t>
      </w:r>
    </w:p>
    <w:p w:rsidR="00384375" w:rsidRPr="00F36DAB" w:rsidRDefault="00BD4D4A" w:rsidP="00F36DAB">
      <w:pPr>
        <w:pStyle w:val="SingleTxtG"/>
      </w:pPr>
      <w:r w:rsidRPr="00F36DAB">
        <w:t>227.</w:t>
      </w:r>
      <w:r w:rsidRPr="00F36DAB">
        <w:tab/>
      </w:r>
      <w:r w:rsidR="00384375" w:rsidRPr="00F36DAB">
        <w:t>En relación con los extranjeros no registrados ni autorizados como residentes en España, nuestro país cuenta con uno de los marcos jurídicos de mayor protección en Europa. El artículo 3</w:t>
      </w:r>
      <w:r w:rsidR="00005D70">
        <w:t xml:space="preserve"> </w:t>
      </w:r>
      <w:r w:rsidR="00384375" w:rsidRPr="00F36DAB">
        <w:rPr>
          <w:i/>
        </w:rPr>
        <w:t>ter</w:t>
      </w:r>
      <w:r w:rsidR="00384375" w:rsidRPr="00F36DAB">
        <w:t xml:space="preserve"> de la Ley </w:t>
      </w:r>
      <w:r w:rsidR="003D3899">
        <w:t xml:space="preserve">núm. </w:t>
      </w:r>
      <w:r w:rsidR="00384375" w:rsidRPr="00F36DAB">
        <w:t xml:space="preserve">16/2003 establece que estas personas tienen la garantía de recibir asistencia sanitaria en la sanidad pública, si la requieren, con cargo a fondos públicos a través del Sistema Nacional de Salud, en caso de que sean menores de 18 años; urgencia por enfermedad grave o accidente, cualquiera que sea su causa, hasta la situación de alta médica sin interrumpir la continuidad asistencial; embarazo, parto o posparto. </w:t>
      </w:r>
    </w:p>
    <w:p w:rsidR="00384375" w:rsidRPr="00F36DAB" w:rsidRDefault="00BD4D4A" w:rsidP="00F36DAB">
      <w:pPr>
        <w:pStyle w:val="SingleTxtG"/>
      </w:pPr>
      <w:r w:rsidRPr="00F36DAB">
        <w:t>228.</w:t>
      </w:r>
      <w:r w:rsidRPr="00F36DAB">
        <w:tab/>
      </w:r>
      <w:r w:rsidR="00384375" w:rsidRPr="00F36DAB">
        <w:t xml:space="preserve">Por otra parte, toda la población, sin distinción de su acceso al sistema sanitario asistencial, tiene acceso a todos los programas de protección de la salud y de prevención pública (vacunaciones, prevención y control de enfermedades infecciosas). </w:t>
      </w:r>
    </w:p>
    <w:p w:rsidR="00384375" w:rsidRPr="003E0B97" w:rsidRDefault="00384375" w:rsidP="00F36DAB">
      <w:pPr>
        <w:pStyle w:val="H1G"/>
      </w:pPr>
      <w:r w:rsidRPr="003E0B97">
        <w:tab/>
      </w:r>
      <w:r w:rsidR="007458C5">
        <w:t>22.</w:t>
      </w:r>
      <w:r w:rsidRPr="003E0B97">
        <w:tab/>
        <w:t>Salud sexual y reproductiva</w:t>
      </w:r>
    </w:p>
    <w:p w:rsidR="00384375" w:rsidRPr="00F36DAB" w:rsidRDefault="00BD4D4A" w:rsidP="00F36DAB">
      <w:pPr>
        <w:pStyle w:val="SingleTxtG"/>
      </w:pPr>
      <w:r w:rsidRPr="00F36DAB">
        <w:t>229.</w:t>
      </w:r>
      <w:r w:rsidRPr="00F36DAB">
        <w:tab/>
      </w:r>
      <w:r w:rsidR="00384375" w:rsidRPr="00F36DAB">
        <w:t xml:space="preserve">La Ley Orgánica </w:t>
      </w:r>
      <w:r w:rsidR="003D3899">
        <w:t xml:space="preserve">núm. </w:t>
      </w:r>
      <w:r w:rsidR="00384375" w:rsidRPr="00F36DAB">
        <w:t>2/2010 recoge en su artículo 5 que los poderes públicos garantizarán la información y la educación afectivosexual y reproductiva en los contenidos formales del sistema educativo, así como el acceso universal a los servicios y programas de salud sexual y reproductiva y a métodos seguros y eficaces que permitan regular la fecundidad.</w:t>
      </w:r>
    </w:p>
    <w:p w:rsidR="00384375" w:rsidRPr="00F36DAB" w:rsidRDefault="00BD4D4A" w:rsidP="00F36DAB">
      <w:pPr>
        <w:pStyle w:val="SingleTxtG"/>
      </w:pPr>
      <w:r w:rsidRPr="00F36DAB">
        <w:lastRenderedPageBreak/>
        <w:t>230.</w:t>
      </w:r>
      <w:r w:rsidRPr="00F36DAB">
        <w:tab/>
      </w:r>
      <w:r w:rsidR="00384375" w:rsidRPr="00F36DAB">
        <w:t>El Sistema Nacional de Salud español financia actualmente, con el mismo régimen de aportación que los demás productos farmacéuticos, diversos métodos anticonceptivos para las mujeres (intrauterino, subcutáneo, intramuscular y oral). Además, debe considerarse que la anticoncepción de urgencia es de libre dispensación, es decir, no requiere receta médica para su dispensación.</w:t>
      </w:r>
    </w:p>
    <w:p w:rsidR="00384375" w:rsidRPr="003E0B97" w:rsidRDefault="00384375" w:rsidP="00F36DAB">
      <w:pPr>
        <w:pStyle w:val="H1G"/>
      </w:pPr>
      <w:r w:rsidRPr="003E0B97">
        <w:tab/>
      </w:r>
      <w:r w:rsidR="007458C5">
        <w:t>23.</w:t>
      </w:r>
      <w:r w:rsidRPr="003E0B97">
        <w:tab/>
        <w:t>Derecho a la educación</w:t>
      </w:r>
    </w:p>
    <w:p w:rsidR="00384375" w:rsidRPr="00F36DAB" w:rsidRDefault="00BD4D4A" w:rsidP="00F36DAB">
      <w:pPr>
        <w:pStyle w:val="SingleTxtG"/>
      </w:pPr>
      <w:r w:rsidRPr="00F36DAB">
        <w:t>231.</w:t>
      </w:r>
      <w:r w:rsidRPr="00F36DAB">
        <w:tab/>
      </w:r>
      <w:r w:rsidR="00384375" w:rsidRPr="00F36DAB">
        <w:t xml:space="preserve">En relación con la tasa de abandono escolar temprano, entre las medidas genéricas para conseguir su reducción se encuentran la formación </w:t>
      </w:r>
      <w:r w:rsidR="00384375" w:rsidRPr="00F36DAB">
        <w:rPr>
          <w:i/>
        </w:rPr>
        <w:t>online</w:t>
      </w:r>
      <w:r w:rsidR="00384375" w:rsidRPr="00F36DAB">
        <w:t xml:space="preserve"> y en abierto de los profesionales de la enseñanza para saber cómo actuar ante estos casos y el fomento de la Formación Profesional Básica como alternativa. Desde 2012 se ha registrado un descenso muy notable, habiéndose logrado en 2017 la mejor media móvil en la historia de España (18,5%).</w:t>
      </w:r>
    </w:p>
    <w:p w:rsidR="00384375" w:rsidRPr="00F36DAB" w:rsidRDefault="00BD4D4A" w:rsidP="00F36DAB">
      <w:pPr>
        <w:pStyle w:val="SingleTxtG"/>
      </w:pPr>
      <w:r w:rsidRPr="00F36DAB">
        <w:t>232.</w:t>
      </w:r>
      <w:r w:rsidRPr="00F36DAB">
        <w:tab/>
      </w:r>
      <w:r w:rsidR="00384375" w:rsidRPr="00F36DAB">
        <w:t>El Ministerio de Educación, Cultura y Deporte (MECD) ha firmado además convenios con asociaciones de representantes de personas con necesidades educativas especiales cuyo objetivo es el de contribuir a paliar aquellos aspectos que pudieran influir en un abandono prematuro. Además, cuenta con subvenciones destinadas a planes que favorezcan, de manera más o menos directa, la permanencia del alumnado en la educación y la formación. Estos se complementan con los programas y ayudas que las Administraciones Educativas regionales o locales pueden establecer de acuerdo a sus contextos particulares, como son las becas de comedor o libros, los servicios de transporte escolar especial para estudiantes de zonas desfavorecidas o las ayudas económicas especiales a familias en situación de riesgo cuando sus hijos permanecen escolarizados.</w:t>
      </w:r>
    </w:p>
    <w:p w:rsidR="00384375" w:rsidRPr="00F36DAB" w:rsidRDefault="00BD4D4A" w:rsidP="00F36DAB">
      <w:pPr>
        <w:pStyle w:val="SingleTxtG"/>
      </w:pPr>
      <w:r w:rsidRPr="00F36DAB">
        <w:t>233.</w:t>
      </w:r>
      <w:r w:rsidRPr="00F36DAB">
        <w:tab/>
      </w:r>
      <w:r w:rsidR="00384375" w:rsidRPr="00F36DAB">
        <w:t>Por otro lado, el sistema de becas se ha incrementado en 252 millones de euros desde el ejercicio 2011, contemplándose becas generales y de movilidad, para estudios particulares como las lenguas extranjeras, enseñanzas universitarias o no universitarias, así como compensaciones, exenciones y bonificaciones para alumnos becarios, estudiantes de familias numerosas y estudiantes con discapacidad.</w:t>
      </w:r>
    </w:p>
    <w:p w:rsidR="00384375" w:rsidRPr="00F36DAB" w:rsidRDefault="00BD4D4A" w:rsidP="00F36DAB">
      <w:pPr>
        <w:pStyle w:val="SingleTxtG"/>
      </w:pPr>
      <w:r w:rsidRPr="00F36DAB">
        <w:t>234.</w:t>
      </w:r>
      <w:r w:rsidRPr="00F36DAB">
        <w:tab/>
      </w:r>
      <w:r w:rsidR="00384375" w:rsidRPr="00F36DAB">
        <w:t xml:space="preserve">En el ámbito de educación de adultos, los centros de formación de personas adultas imparten enseñanzas formales y no formales que suponen una segunda oportunidad para la reintegración en el sistema educativo de aquellos que lo han abandonado prematuramente. Para asegurar la coherencia en todo el territorio nacional, se ha consensuado con las Administraciones educativas un plan estratégico para el aprendizaje a lo largo de la vida y otro sobre reducción del abandono educativo temprano. </w:t>
      </w:r>
    </w:p>
    <w:p w:rsidR="00384375" w:rsidRPr="00F36DAB" w:rsidRDefault="00BD4D4A" w:rsidP="00F36DAB">
      <w:pPr>
        <w:pStyle w:val="SingleTxtG"/>
      </w:pPr>
      <w:r w:rsidRPr="00F36DAB">
        <w:t>235.</w:t>
      </w:r>
      <w:r w:rsidRPr="00F36DAB">
        <w:tab/>
      </w:r>
      <w:r w:rsidR="00384375" w:rsidRPr="00F36DAB">
        <w:t>Por otra parte, el MECD participa desde 2012 en el proyecto de ejecución de la agenda europea para el aprendizaje de adultos. Fruto de esta cooperación se ha puesto en marcha una herramienta de información y orientación sobre la oferta educativa nacional (InFórmate), se han elaborado materiales específicos para adultos en materias como el inglés o las competencias digitales y se está preparando una campaña publicitaria para promocionar la educación de adultos, con especial interés en los desempleados de larga duración.</w:t>
      </w:r>
    </w:p>
    <w:p w:rsidR="00384375" w:rsidRPr="00F36DAB" w:rsidRDefault="00BD4D4A" w:rsidP="00F36DAB">
      <w:pPr>
        <w:pStyle w:val="SingleTxtG"/>
      </w:pPr>
      <w:r w:rsidRPr="00F36DAB">
        <w:t>236.</w:t>
      </w:r>
      <w:r w:rsidRPr="00F36DAB">
        <w:tab/>
      </w:r>
      <w:r w:rsidR="00384375" w:rsidRPr="00F36DAB">
        <w:t>Respecto al colectivo inmigrante, se favorece el acceso a la formación y a la integración social y laboral a través cursos de español y/o lenguas cooficiales para extranjeros.</w:t>
      </w:r>
    </w:p>
    <w:p w:rsidR="00384375" w:rsidRPr="003E0B97" w:rsidRDefault="00384375" w:rsidP="00F36DAB">
      <w:pPr>
        <w:pStyle w:val="H1G"/>
      </w:pPr>
      <w:r w:rsidRPr="003E0B97">
        <w:tab/>
      </w:r>
      <w:r w:rsidR="007458C5">
        <w:t>24.</w:t>
      </w:r>
      <w:r w:rsidRPr="003E0B97">
        <w:tab/>
        <w:t>Derecho a la educación</w:t>
      </w:r>
    </w:p>
    <w:p w:rsidR="00384375" w:rsidRPr="00F36DAB" w:rsidRDefault="00BD4D4A" w:rsidP="00F36DAB">
      <w:pPr>
        <w:pStyle w:val="SingleTxtG"/>
      </w:pPr>
      <w:r w:rsidRPr="00F36DAB">
        <w:t>237.</w:t>
      </w:r>
      <w:r w:rsidRPr="00F36DAB">
        <w:tab/>
      </w:r>
      <w:r w:rsidR="00384375" w:rsidRPr="00F36DAB">
        <w:t xml:space="preserve">En el ámbito concreto de la inclusión y la no discriminación, la Ley Orgánica </w:t>
      </w:r>
      <w:r w:rsidR="003D3899">
        <w:t xml:space="preserve">núm. </w:t>
      </w:r>
      <w:r w:rsidR="00384375" w:rsidRPr="00F36DAB">
        <w:t xml:space="preserve">8/2013 refuerza las disposiciones de la Ley Orgánica de Educación, y recoge en uno de sus principios la transmisión y puesta en práctica de valores que favorezcan la libertad personal, la responsabilidad, la ciudadanía democrática, la solidaridad, la tolerancia, la igualdad, el respeto y la justicia, así como que ayuden a superar cualquier tipo de discriminación. Además, en la legislación educativa vigente se contempla la adecuación de los procesos de admisión de los alumnos en los centros escolares sostenidos con fondos </w:t>
      </w:r>
      <w:r w:rsidR="00384375" w:rsidRPr="00F36DAB">
        <w:lastRenderedPageBreak/>
        <w:t>públicos para evitar la segregación escolar (</w:t>
      </w:r>
      <w:r w:rsidR="00B03578" w:rsidRPr="00F36DAB">
        <w:t>cap</w:t>
      </w:r>
      <w:r w:rsidR="00B03578">
        <w:t>.</w:t>
      </w:r>
      <w:r w:rsidR="00B03578" w:rsidRPr="00F36DAB">
        <w:t xml:space="preserve"> </w:t>
      </w:r>
      <w:r w:rsidR="00384375" w:rsidRPr="00F36DAB">
        <w:t>III, arts</w:t>
      </w:r>
      <w:r w:rsidR="00B03578">
        <w:t>.</w:t>
      </w:r>
      <w:r w:rsidR="00384375" w:rsidRPr="00F36DAB">
        <w:t xml:space="preserve"> del 84 al 88). Sin ánimo de exhaustividad, cuando no existan plazas suficientes en un centro, el proceso de admisión se regirá por los criterios prioritarios como hermanos matriculados, cercanía del domicilio o similares. Además se prevé que en ningún caso habrá discriminación por razón de nacimiento, raza, sexo, religión, opinión o cualquier otra condición o circunstancia personal o social.</w:t>
      </w:r>
    </w:p>
    <w:p w:rsidR="00384375" w:rsidRPr="00F36DAB" w:rsidRDefault="00BD4D4A" w:rsidP="00F36DAB">
      <w:pPr>
        <w:pStyle w:val="SingleTxtG"/>
      </w:pPr>
      <w:r w:rsidRPr="00F36DAB">
        <w:t>238.</w:t>
      </w:r>
      <w:r w:rsidRPr="00F36DAB">
        <w:tab/>
      </w:r>
      <w:r w:rsidR="00384375" w:rsidRPr="00F36DAB">
        <w:t>Como continuación de actuaciones anteriores, se ha elaborado la Estrategia Nacional para la Inclusión Social de la Población Gitana en España 2012-2020. Para su ejecución, el Centro Nacional de Innovación e Investigación Educativa (CNIIE) se coordina con el Grupo de Trabajo de Educación del Consejo Estatal del Pueblo Gitano, asociaciones de este colectivo y con las Administraciones educativas.</w:t>
      </w:r>
    </w:p>
    <w:p w:rsidR="00384375" w:rsidRPr="00F36DAB" w:rsidRDefault="00BD4D4A" w:rsidP="00F36DAB">
      <w:pPr>
        <w:pStyle w:val="SingleTxtG"/>
      </w:pPr>
      <w:r w:rsidRPr="00F36DAB">
        <w:t>239.</w:t>
      </w:r>
      <w:r w:rsidRPr="00F36DAB">
        <w:tab/>
      </w:r>
      <w:r w:rsidR="00384375" w:rsidRPr="00F36DAB">
        <w:t xml:space="preserve">Las iniciativas más destacadas en los últimos años se refieren a la puesta en común entre Administraciones educativas de buenas prácticas, a la formación del profesorado y a la puesta en marcha de programas de refuerzo, motivación y apoyo escolar. </w:t>
      </w:r>
    </w:p>
    <w:p w:rsidR="00384375" w:rsidRPr="00F36DAB" w:rsidRDefault="00BD4D4A" w:rsidP="00F36DAB">
      <w:pPr>
        <w:pStyle w:val="SingleTxtG"/>
      </w:pPr>
      <w:r w:rsidRPr="00F36DAB">
        <w:t>240.</w:t>
      </w:r>
      <w:r w:rsidRPr="00F36DAB">
        <w:tab/>
      </w:r>
      <w:r w:rsidR="00384375" w:rsidRPr="00F36DAB">
        <w:t>Desde la entrada en vigor de la Ley Orgánica para la Mejora de la Calidad Educativa hasta mediados de 2017, se da un descenso continuado del índice de abandono hasta el 18,7%, índice más bajo desde que se registra. Se puede señalar además que la media de abandono entre los estudiantes gitanos también ha caído, estando por debajo de la europea.</w:t>
      </w:r>
    </w:p>
    <w:p w:rsidR="00384375" w:rsidRPr="003E0B97" w:rsidRDefault="00384375" w:rsidP="00F36DAB">
      <w:pPr>
        <w:pStyle w:val="H1G"/>
      </w:pPr>
      <w:r w:rsidRPr="003E0B97">
        <w:tab/>
      </w:r>
      <w:r w:rsidR="007458C5">
        <w:t>25.</w:t>
      </w:r>
      <w:r w:rsidRPr="003E0B97">
        <w:tab/>
        <w:t>Difusión ciencia y cultura</w:t>
      </w:r>
    </w:p>
    <w:p w:rsidR="00384375" w:rsidRPr="00F36DAB" w:rsidRDefault="00BD4D4A" w:rsidP="00F36DAB">
      <w:pPr>
        <w:pStyle w:val="SingleTxtG"/>
      </w:pPr>
      <w:r w:rsidRPr="00F36DAB">
        <w:t>241.</w:t>
      </w:r>
      <w:r w:rsidRPr="00F36DAB">
        <w:tab/>
      </w:r>
      <w:r w:rsidR="00384375" w:rsidRPr="00F36DAB">
        <w:t xml:space="preserve">El Plan Estratégico General 2012-2015 de la Secretaría de Estado de Cultura señala como uno de los objetivos principales de este órgano </w:t>
      </w:r>
      <w:r w:rsidR="00BB5656" w:rsidRPr="00F36DAB">
        <w:t>“</w:t>
      </w:r>
      <w:r w:rsidR="00384375" w:rsidRPr="00F36DAB">
        <w:t>articular una política de Estado que garantice el derecho de acceso a la cultura y contribuya a vertebrar la ciudadanía y favorecer la cohesión social</w:t>
      </w:r>
      <w:r w:rsidR="00BB5656" w:rsidRPr="00F36DAB">
        <w:t>”</w:t>
      </w:r>
      <w:r w:rsidR="00384375" w:rsidRPr="00F36DAB">
        <w:t>.</w:t>
      </w:r>
    </w:p>
    <w:p w:rsidR="00384375" w:rsidRPr="00F36DAB" w:rsidRDefault="00BD4D4A" w:rsidP="00F36DAB">
      <w:pPr>
        <w:pStyle w:val="SingleTxtG"/>
      </w:pPr>
      <w:r w:rsidRPr="00F36DAB">
        <w:t>242.</w:t>
      </w:r>
      <w:r w:rsidRPr="00F36DAB">
        <w:tab/>
      </w:r>
      <w:r w:rsidR="00384375" w:rsidRPr="00F36DAB">
        <w:t>Para cumplir ese objetivo, se dispone de varios instrumentos, como las convocatorias de becas de amplio espectro (como para la incorporación a sistemas universitarios en el exterior o la especialización en gestión cultural), un plan de fomento de la lectura de ámbito nacional, subvenciones a proyectos para la acción y promoción cultural, un plan nacional de conservación preventiva, un programa de sensibilización y difusión del patrimonio cultural, talleres itinerantes para dar a conocer la cultura visual contemporánea o un punto de consulta única de las bibliotecas de la Administración central.</w:t>
      </w:r>
    </w:p>
    <w:p w:rsidR="00384375" w:rsidRPr="003E0B97" w:rsidRDefault="00384375" w:rsidP="00F36DAB">
      <w:pPr>
        <w:pStyle w:val="H1G"/>
      </w:pPr>
      <w:r w:rsidRPr="003E0B97">
        <w:tab/>
      </w:r>
      <w:r w:rsidR="007458C5">
        <w:t>26.</w:t>
      </w:r>
      <w:r w:rsidRPr="003E0B97">
        <w:tab/>
        <w:t>Buenas prácticas</w:t>
      </w:r>
    </w:p>
    <w:p w:rsidR="00384375" w:rsidRPr="00F36DAB" w:rsidRDefault="00BD4D4A" w:rsidP="00F36DAB">
      <w:pPr>
        <w:pStyle w:val="SingleTxtG"/>
      </w:pPr>
      <w:r w:rsidRPr="00F36DAB">
        <w:t>243.</w:t>
      </w:r>
      <w:r w:rsidRPr="00F36DAB">
        <w:tab/>
      </w:r>
      <w:r w:rsidR="00384375" w:rsidRPr="00F36DAB">
        <w:t xml:space="preserve">En el marco de la crisis económica y financiera, se debe considerar el Código de Buenas Prácticas para la reestructuración viable de las deudas con garantía hipotecaria sobre la vivienda habitual, que prevé tres fases: reestructuración, quita y dación en pago, tal y como se detalla en el apartado 6. </w:t>
      </w:r>
    </w:p>
    <w:p w:rsidR="00384375" w:rsidRPr="00F36DAB" w:rsidRDefault="00BD4D4A" w:rsidP="00F36DAB">
      <w:pPr>
        <w:pStyle w:val="SingleTxtG"/>
      </w:pPr>
      <w:r w:rsidRPr="00F36DAB">
        <w:t>244.</w:t>
      </w:r>
      <w:r w:rsidRPr="00F36DAB">
        <w:tab/>
      </w:r>
      <w:r w:rsidR="00384375" w:rsidRPr="00F36DAB">
        <w:t xml:space="preserve">En lo que se refiere al colectivo gitano, y en relación con la recomendación del Comité </w:t>
      </w:r>
      <w:r w:rsidR="00666B89" w:rsidRPr="00F36DAB">
        <w:t>núm</w:t>
      </w:r>
      <w:r w:rsidR="00666B89">
        <w:t>.</w:t>
      </w:r>
      <w:r w:rsidR="00666B89" w:rsidRPr="00F36DAB">
        <w:t xml:space="preserve"> </w:t>
      </w:r>
      <w:r w:rsidR="00384375" w:rsidRPr="00F36DAB">
        <w:t xml:space="preserve">11 respecto de inmigrantes y gitanos, se ha creado el Instituto de Cultura Gitana (ICG). Se trata de una fundación del sector público estatal, para promover acciones culturales en favor de la convivencia, la igualdad de oportunidades, de trato y de género entre la población gitana y el resto de la sociedad española, a través de la promoción de la historia, la cultura y la lengua gitanas. Para poder desarrollar esta función, el IGG recibe todos los años una subvención nominativa por importe de 264.100 euros. Entre las últimas actividades realizadas por esta entidad en los últimos años, cabe mencionar la celebración de los premios de cultura gitana cada 8 de abril; la firma de un convenio con la Universidad de Alcalá de Henares para introducir asignaturas sobre los gitanos en España, un centro de documentación y una biblioteca sobre este pueblo; el lanzamiento de publicaciones específicas (por ejemplo, el mensual Cuadernos Gitanos, la colección de libros de poesía I Balval Phurdel </w:t>
      </w:r>
      <w:r w:rsidR="00C142E0">
        <w:t>—</w:t>
      </w:r>
      <w:r w:rsidR="00384375" w:rsidRPr="00F36DAB">
        <w:t>El viento sopla</w:t>
      </w:r>
      <w:r w:rsidR="00C142E0">
        <w:t>—</w:t>
      </w:r>
      <w:r w:rsidR="00C142E0" w:rsidRPr="00F36DAB">
        <w:t xml:space="preserve">, </w:t>
      </w:r>
      <w:r w:rsidR="00384375" w:rsidRPr="00F36DAB">
        <w:t xml:space="preserve">y el método de aprendizaje del romanó, la lengua gitana, titulado Sar San </w:t>
      </w:r>
      <w:r w:rsidR="00C142E0">
        <w:t>—</w:t>
      </w:r>
      <w:r w:rsidR="00C142E0" w:rsidRPr="00F36DAB">
        <w:t>¿</w:t>
      </w:r>
      <w:r w:rsidR="00384375" w:rsidRPr="00F36DAB">
        <w:t>Cómo estás</w:t>
      </w:r>
      <w:r w:rsidR="00C142E0" w:rsidRPr="00F36DAB">
        <w:t>?</w:t>
      </w:r>
      <w:r w:rsidR="00C142E0">
        <w:t>—</w:t>
      </w:r>
      <w:r w:rsidR="00C142E0" w:rsidRPr="00F36DAB">
        <w:t xml:space="preserve">); </w:t>
      </w:r>
      <w:r w:rsidR="00384375" w:rsidRPr="00F36DAB">
        <w:t>la organización de exposiciones itinerantes fuera y dentro de España (Exposición Vidas Gitanas, pintura realizada por gitanos, etc.); o la puesta en marcha de un ciclo de cine con la Filmoteca Española (O Dikhipen).</w:t>
      </w:r>
    </w:p>
    <w:p w:rsidR="00384375" w:rsidRPr="00F36DAB" w:rsidRDefault="00BD4D4A" w:rsidP="00F36DAB">
      <w:pPr>
        <w:pStyle w:val="SingleTxtG"/>
      </w:pPr>
      <w:r w:rsidRPr="00F36DAB">
        <w:lastRenderedPageBreak/>
        <w:t>245.</w:t>
      </w:r>
      <w:r w:rsidRPr="00F36DAB">
        <w:tab/>
      </w:r>
      <w:r w:rsidR="00384375" w:rsidRPr="00F36DAB">
        <w:t xml:space="preserve">En el plano cultural, sobresale el Plan MUSEOS + SOCIALES, que pretende fortalecer y difundir la imagen de las instituciones museísticas como un medio esencial para conseguir la integración y la cohesión de la sociedad a través de la cultura. Se aplica inicialmente en una serie de museos de titularidad estatal gestionados o incluidos en el ámbito de la Secretaría de Estado de Cultura. </w:t>
      </w:r>
    </w:p>
    <w:p w:rsidR="00384375" w:rsidRPr="00F36DAB" w:rsidRDefault="00BD4D4A" w:rsidP="00F36DAB">
      <w:pPr>
        <w:pStyle w:val="SingleTxtG"/>
      </w:pPr>
      <w:r w:rsidRPr="00F36DAB">
        <w:t>246.</w:t>
      </w:r>
      <w:r w:rsidRPr="00F36DAB">
        <w:tab/>
      </w:r>
      <w:r w:rsidR="00384375" w:rsidRPr="00F36DAB">
        <w:t>En el ámbito del empleo, ha habido actuaciones para luchar contra la posibilidad de que se den condiciones discriminatorias</w:t>
      </w:r>
      <w:r w:rsidR="001329DA" w:rsidRPr="00F36DAB">
        <w:rPr>
          <w:rStyle w:val="Refdenotaalpie"/>
        </w:rPr>
        <w:footnoteReference w:id="29"/>
      </w:r>
      <w:r w:rsidR="00005D70">
        <w:t>.</w:t>
      </w:r>
    </w:p>
    <w:p w:rsidR="00384375" w:rsidRPr="00F36DAB" w:rsidRDefault="00BD4D4A" w:rsidP="00F36DAB">
      <w:pPr>
        <w:pStyle w:val="SingleTxtG"/>
      </w:pPr>
      <w:r w:rsidRPr="00F36DAB">
        <w:t>247.</w:t>
      </w:r>
      <w:r w:rsidRPr="00F36DAB">
        <w:tab/>
      </w:r>
      <w:r w:rsidR="00384375" w:rsidRPr="00F36DAB">
        <w:t xml:space="preserve">En el caso de los trabajadores inmigrantes, se lanzó una campaña para reforzar la capacidad del servicio de inspección de identificar infracciones y emitir requerimientos. Como resultado de ella, en 2015, se finalizaron 602 órdenes de servicio por la Inspección, realizándose 2.467 actuaciones en todas las materias, en las cuales se han detectado 69 infracciones y se han formulado 391 requerimientos. </w:t>
      </w:r>
    </w:p>
    <w:p w:rsidR="00384375" w:rsidRPr="00F36DAB" w:rsidRDefault="00BD4D4A" w:rsidP="00F36DAB">
      <w:pPr>
        <w:pStyle w:val="SingleTxtG"/>
      </w:pPr>
      <w:r w:rsidRPr="00F36DAB">
        <w:t>248.</w:t>
      </w:r>
      <w:r w:rsidRPr="00F36DAB">
        <w:tab/>
      </w:r>
      <w:r w:rsidR="00384375" w:rsidRPr="00F36DAB">
        <w:t xml:space="preserve">Respecto a la discriminación de las mujeres en el ámbito laboral y en relación con la recomendación </w:t>
      </w:r>
      <w:r w:rsidR="00666B89" w:rsidRPr="00F36DAB">
        <w:t>núm</w:t>
      </w:r>
      <w:r w:rsidR="00666B89">
        <w:t>.</w:t>
      </w:r>
      <w:r w:rsidR="00666B89" w:rsidRPr="00F36DAB">
        <w:t xml:space="preserve"> </w:t>
      </w:r>
      <w:r w:rsidR="00384375" w:rsidRPr="00F36DAB">
        <w:t xml:space="preserve">13 del Comité en 2012 sobre la situación salarial de la mujer, además de lo descrito en otros apartados, merece la pena mencionar las campañas de inspección en materia de discriminación salarial, que implican a empresas de un amplio abanico de sectores y tamaños. </w:t>
      </w:r>
    </w:p>
    <w:p w:rsidR="00384375" w:rsidRPr="00F36DAB" w:rsidRDefault="00BD4D4A" w:rsidP="00F36DAB">
      <w:pPr>
        <w:pStyle w:val="SingleTxtG"/>
      </w:pPr>
      <w:r w:rsidRPr="00F36DAB">
        <w:t>249.</w:t>
      </w:r>
      <w:r w:rsidRPr="00F36DAB">
        <w:tab/>
      </w:r>
      <w:r w:rsidR="00384375" w:rsidRPr="00F36DAB">
        <w:t>Por otra parte, en relación con la persistencia de estereotipos sobre los papeles de género y la menor representación de las mujeres en los cargos decisorios, España ha puesto en marcha varias iniciativas.</w:t>
      </w:r>
    </w:p>
    <w:p w:rsidR="00384375" w:rsidRPr="00F36DAB" w:rsidRDefault="00BD4D4A" w:rsidP="00F36DAB">
      <w:pPr>
        <w:pStyle w:val="SingleTxtG"/>
      </w:pPr>
      <w:r w:rsidRPr="00F36DAB">
        <w:t>250.</w:t>
      </w:r>
      <w:r w:rsidRPr="00F36DAB">
        <w:tab/>
      </w:r>
      <w:r w:rsidR="00384375" w:rsidRPr="00F36DAB">
        <w:t>La primera de ellas es el programa Más Mujeres, Mejores Empresas, en el que participan 85 importantes compañías privadas de diferentes sectores de actividad. En la práctica se hace un diagnóstico individualizado de cada empresa. Después, las empresas deben realizar actuaciones concretas según se haya considerado necesario (formación, flexibilización horarios, fomento co</w:t>
      </w:r>
      <w:r w:rsidR="00C142E0">
        <w:t>r</w:t>
      </w:r>
      <w:r w:rsidR="00384375" w:rsidRPr="00F36DAB">
        <w:t xml:space="preserve">responsabilidad, </w:t>
      </w:r>
      <w:r w:rsidR="00384375" w:rsidRPr="00F36DAB">
        <w:rPr>
          <w:i/>
        </w:rPr>
        <w:t>coaching</w:t>
      </w:r>
      <w:r w:rsidR="00384375" w:rsidRPr="00F36DAB">
        <w:t xml:space="preserve">, </w:t>
      </w:r>
      <w:r w:rsidR="00384375" w:rsidRPr="00F36DAB">
        <w:rPr>
          <w:i/>
        </w:rPr>
        <w:t>mentoring</w:t>
      </w:r>
      <w:r w:rsidR="00384375" w:rsidRPr="00F36DAB">
        <w:t xml:space="preserve">, etc.). Además se prevé la elaboración de informes de evaluación para comprobar la eficacia de las medidas y la persistencia o no de obstáculos. </w:t>
      </w:r>
    </w:p>
    <w:p w:rsidR="00384375" w:rsidRPr="00F36DAB" w:rsidRDefault="00BD4D4A" w:rsidP="00F36DAB">
      <w:pPr>
        <w:pStyle w:val="SingleTxtG"/>
      </w:pPr>
      <w:r w:rsidRPr="00F36DAB">
        <w:t>251.</w:t>
      </w:r>
      <w:r w:rsidRPr="00F36DAB">
        <w:tab/>
      </w:r>
      <w:r w:rsidR="00384375" w:rsidRPr="00F36DAB">
        <w:t>En segundo lugar, cabe señalar el Proyecto Promociona, que se desarrolla desde 2013 en colaboración con la Confederación Española de Organizaciones Empresariales (CEOE) y con financiación tanto del Instituto de la Mujer y para la Igualdad de Oportunidades como de las empresas en las que trabajan las mujeres participantes. En el desarrollo del proyecto se facilitan herramientas para el análisis del liderazgo personal, se fortalece la más que acreditada capacidad y talento de las mujeres participantes y se impulsa también un cambio cultural en el ámbito de las empresas y de las asociaciones empresariales, que les permita mejorar en la identificación, selección y retención del talento femenino y facilitar su desarrollo. En las tres ediciones de este proyecto han participado un total de 191 mujeres. Un 25% de las mujeres que han participado en las dos primeras ediciones se han promocionado en sus empresas.</w:t>
      </w:r>
    </w:p>
    <w:p w:rsidR="004916DE" w:rsidRPr="00F36DAB" w:rsidRDefault="00BD4D4A" w:rsidP="00F36DAB">
      <w:pPr>
        <w:pStyle w:val="SingleTxtG"/>
      </w:pPr>
      <w:r w:rsidRPr="00F36DAB">
        <w:t>252.</w:t>
      </w:r>
      <w:r w:rsidRPr="00F36DAB">
        <w:tab/>
      </w:r>
      <w:r w:rsidR="00384375" w:rsidRPr="00F36DAB">
        <w:t>En lo que se refiere a las diferencias salariales entre hombres y mujeres, cabe mencionar como buena práctica las herramientas de autodiagnóstico de brecha salarial de género</w:t>
      </w:r>
      <w:r w:rsidR="004916DE" w:rsidRPr="00F36DAB">
        <w:rPr>
          <w:rStyle w:val="Refdenotaalpie"/>
        </w:rPr>
        <w:footnoteReference w:id="30"/>
      </w:r>
      <w:r w:rsidR="004916DE" w:rsidRPr="00F36DAB">
        <w:t xml:space="preserve"> </w:t>
      </w:r>
      <w:r w:rsidR="00384375" w:rsidRPr="00F36DAB">
        <w:t>y para la valoración de los puestos de trabajo con perspectiva de género</w:t>
      </w:r>
      <w:r w:rsidR="004916DE" w:rsidRPr="00F36DAB">
        <w:rPr>
          <w:rStyle w:val="Refdenotaalpie"/>
        </w:rPr>
        <w:footnoteReference w:id="31"/>
      </w:r>
      <w:r w:rsidR="00005D70">
        <w:t>.</w:t>
      </w:r>
    </w:p>
    <w:p w:rsidR="008E1E93" w:rsidRPr="008E1E93" w:rsidRDefault="008E1E93" w:rsidP="008E1E93">
      <w:pPr>
        <w:pStyle w:val="ParaNoG"/>
        <w:numPr>
          <w:ilvl w:val="0"/>
          <w:numId w:val="0"/>
        </w:numPr>
        <w:tabs>
          <w:tab w:val="left" w:pos="0"/>
        </w:tabs>
        <w:spacing w:before="240" w:after="0"/>
        <w:ind w:left="1134"/>
        <w:jc w:val="center"/>
        <w:rPr>
          <w:u w:val="single"/>
          <w:lang w:val="es-ES"/>
        </w:rPr>
      </w:pPr>
      <w:r>
        <w:rPr>
          <w:u w:val="single"/>
          <w:lang w:val="es-ES"/>
        </w:rPr>
        <w:tab/>
      </w:r>
      <w:r>
        <w:rPr>
          <w:u w:val="single"/>
          <w:lang w:val="es-ES"/>
        </w:rPr>
        <w:tab/>
      </w:r>
      <w:r>
        <w:rPr>
          <w:u w:val="single"/>
          <w:lang w:val="es-ES"/>
        </w:rPr>
        <w:tab/>
      </w:r>
    </w:p>
    <w:sectPr w:rsidR="008E1E93" w:rsidRPr="008E1E93" w:rsidSect="007E609E">
      <w:headerReference w:type="even" r:id="rId48"/>
      <w:headerReference w:type="default" r:id="rId49"/>
      <w:footerReference w:type="even" r:id="rId50"/>
      <w:footerReference w:type="default" r:id="rId51"/>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A3F" w:rsidRPr="00093664" w:rsidRDefault="00B93A3F" w:rsidP="00093664">
      <w:pPr>
        <w:pStyle w:val="Piedepgina"/>
      </w:pPr>
    </w:p>
  </w:endnote>
  <w:endnote w:type="continuationSeparator" w:id="0">
    <w:p w:rsidR="00B93A3F" w:rsidRPr="00093664" w:rsidRDefault="00B93A3F"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3E236A" w:rsidRDefault="003D3899" w:rsidP="003E236A">
    <w:pPr>
      <w:pStyle w:val="Piedepgina"/>
      <w:tabs>
        <w:tab w:val="right" w:pos="9638"/>
      </w:tabs>
    </w:pPr>
    <w:r w:rsidRPr="003E236A">
      <w:rPr>
        <w:b/>
        <w:sz w:val="18"/>
      </w:rPr>
      <w:fldChar w:fldCharType="begin"/>
    </w:r>
    <w:r w:rsidRPr="003E236A">
      <w:rPr>
        <w:b/>
        <w:sz w:val="18"/>
      </w:rPr>
      <w:instrText xml:space="preserve"> PAGE  \* MERGEFORMAT </w:instrText>
    </w:r>
    <w:r w:rsidRPr="003E236A">
      <w:rPr>
        <w:b/>
        <w:sz w:val="18"/>
      </w:rPr>
      <w:fldChar w:fldCharType="separate"/>
    </w:r>
    <w:r w:rsidR="001310C5">
      <w:rPr>
        <w:b/>
        <w:noProof/>
        <w:sz w:val="18"/>
      </w:rPr>
      <w:t>2</w:t>
    </w:r>
    <w:r w:rsidRPr="003E236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3E236A" w:rsidRDefault="003D3899" w:rsidP="003E236A">
    <w:pPr>
      <w:pStyle w:val="Piedepgina"/>
      <w:tabs>
        <w:tab w:val="right" w:pos="9638"/>
      </w:tabs>
      <w:rPr>
        <w:b/>
        <w:sz w:val="18"/>
      </w:rPr>
    </w:pPr>
    <w:r>
      <w:tab/>
    </w:r>
    <w:r w:rsidRPr="003E236A">
      <w:rPr>
        <w:b/>
        <w:sz w:val="18"/>
      </w:rPr>
      <w:fldChar w:fldCharType="begin"/>
    </w:r>
    <w:r w:rsidRPr="003E236A">
      <w:rPr>
        <w:b/>
        <w:sz w:val="18"/>
      </w:rPr>
      <w:instrText xml:space="preserve"> PAGE  \* MERGEFORMAT </w:instrText>
    </w:r>
    <w:r w:rsidRPr="003E236A">
      <w:rPr>
        <w:b/>
        <w:sz w:val="18"/>
      </w:rPr>
      <w:fldChar w:fldCharType="separate"/>
    </w:r>
    <w:r w:rsidR="001310C5">
      <w:rPr>
        <w:b/>
        <w:noProof/>
        <w:sz w:val="18"/>
      </w:rPr>
      <w:t>21</w:t>
    </w:r>
    <w:r w:rsidRPr="003E23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1535" w:rsidRPr="009A1535" w:rsidRDefault="009A1535" w:rsidP="009A1535">
    <w:pPr>
      <w:pStyle w:val="Piedepgina"/>
      <w:spacing w:before="120" w:line="240" w:lineRule="auto"/>
      <w:rPr>
        <w:sz w:val="20"/>
      </w:rPr>
    </w:pPr>
    <w:r>
      <w:rPr>
        <w:sz w:val="20"/>
      </w:rPr>
      <w:t>GE.17-19098  (S)</w:t>
    </w:r>
    <w:r>
      <w:rPr>
        <w:sz w:val="20"/>
      </w:rPr>
      <w:br/>
    </w:r>
    <w:r w:rsidRPr="009A1535">
      <w:rPr>
        <w:rFonts w:ascii="C39T30Lfz" w:hAnsi="C39T30Lfz"/>
        <w:sz w:val="56"/>
      </w:rPr>
      <w:t></w:t>
    </w:r>
    <w:r w:rsidRPr="009A1535">
      <w:rPr>
        <w:rFonts w:ascii="C39T30Lfz" w:hAnsi="C39T30Lfz"/>
        <w:sz w:val="56"/>
      </w:rPr>
      <w:t></w:t>
    </w:r>
    <w:r w:rsidRPr="009A1535">
      <w:rPr>
        <w:rFonts w:ascii="C39T30Lfz" w:hAnsi="C39T30Lfz"/>
        <w:sz w:val="56"/>
      </w:rPr>
      <w:t></w:t>
    </w:r>
    <w:r w:rsidRPr="009A1535">
      <w:rPr>
        <w:rFonts w:ascii="C39T30Lfz" w:hAnsi="C39T30Lfz"/>
        <w:sz w:val="56"/>
      </w:rPr>
      <w:t></w:t>
    </w:r>
    <w:r w:rsidRPr="009A1535">
      <w:rPr>
        <w:rFonts w:ascii="C39T30Lfz" w:hAnsi="C39T30Lfz"/>
        <w:sz w:val="56"/>
      </w:rPr>
      <w:t></w:t>
    </w:r>
    <w:r w:rsidRPr="009A1535">
      <w:rPr>
        <w:rFonts w:ascii="C39T30Lfz" w:hAnsi="C39T30Lfz"/>
        <w:sz w:val="56"/>
      </w:rPr>
      <w:t></w:t>
    </w:r>
    <w:r w:rsidRPr="009A1535">
      <w:rPr>
        <w:rFonts w:ascii="C39T30Lfz" w:hAnsi="C39T30Lfz"/>
        <w:sz w:val="56"/>
      </w:rPr>
      <w:t></w:t>
    </w:r>
    <w:r w:rsidRPr="009A1535">
      <w:rPr>
        <w:rFonts w:ascii="C39T30Lfz" w:hAnsi="C39T30Lfz"/>
        <w:sz w:val="56"/>
      </w:rPr>
      <w:t></w:t>
    </w:r>
    <w:r w:rsidRPr="009A1535">
      <w:rPr>
        <w:rFonts w:ascii="C39T30Lfz" w:hAnsi="C39T30Lfz"/>
        <w:sz w:val="56"/>
      </w:rPr>
      <w:t></w:t>
    </w:r>
    <w:r w:rsidRPr="009A1535">
      <w:rPr>
        <w:rFonts w:ascii="C39T30Lfz" w:hAnsi="C39T30Lfz"/>
        <w:noProof/>
        <w:sz w:val="56"/>
        <w:lang w:eastAsia="zh-CN"/>
      </w:rPr>
      <w:drawing>
        <wp:anchor distT="0" distB="0" distL="114300" distR="114300" simplePos="0" relativeHeight="251662336"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22" name="Imagen 2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1" name="Imagen 1" descr="https://undocs.org/m2/QRCode.ashx?DS=E/C.12/ESP/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P/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5063E1" w:rsidRDefault="00A93DFB" w:rsidP="005063E1">
    <w:pPr>
      <w:pStyle w:val="Piedepgina"/>
    </w:pPr>
    <w:r>
      <w:rPr>
        <w:noProof/>
        <w:lang w:eastAsia="zh-CN"/>
      </w:rPr>
      <mc:AlternateContent>
        <mc:Choice Requires="wps">
          <w:drawing>
            <wp:anchor distT="0" distB="0" distL="114300" distR="114300" simplePos="0" relativeHeight="251657216" behindDoc="0" locked="0" layoutInCell="1" allowOverlap="1">
              <wp:simplePos x="0" y="0"/>
              <wp:positionH relativeFrom="margin">
                <wp:posOffset>-431800</wp:posOffset>
              </wp:positionH>
              <wp:positionV relativeFrom="margin">
                <wp:posOffset>0</wp:posOffset>
              </wp:positionV>
              <wp:extent cx="219075" cy="612457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rgbClr val="4F81BD">
                          <a:alpha val="0"/>
                        </a:srgb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D3899" w:rsidRPr="003E236A" w:rsidRDefault="003D3899" w:rsidP="005063E1">
                          <w:pPr>
                            <w:pStyle w:val="Piedepgina"/>
                            <w:tabs>
                              <w:tab w:val="right" w:pos="9638"/>
                            </w:tabs>
                          </w:pPr>
                          <w:r w:rsidRPr="003E236A">
                            <w:rPr>
                              <w:b/>
                              <w:sz w:val="18"/>
                            </w:rPr>
                            <w:fldChar w:fldCharType="begin"/>
                          </w:r>
                          <w:r w:rsidRPr="003E236A">
                            <w:rPr>
                              <w:b/>
                              <w:sz w:val="18"/>
                            </w:rPr>
                            <w:instrText xml:space="preserve"> PAGE  \* MERGEFORMAT </w:instrText>
                          </w:r>
                          <w:r w:rsidRPr="003E236A">
                            <w:rPr>
                              <w:b/>
                              <w:sz w:val="18"/>
                            </w:rPr>
                            <w:fldChar w:fldCharType="separate"/>
                          </w:r>
                          <w:r w:rsidR="00F36DAB">
                            <w:rPr>
                              <w:b/>
                              <w:noProof/>
                              <w:sz w:val="18"/>
                            </w:rPr>
                            <w:t>28</w:t>
                          </w:r>
                          <w:r w:rsidRPr="003E236A">
                            <w:rPr>
                              <w:b/>
                              <w:sz w:val="18"/>
                            </w:rPr>
                            <w:fldChar w:fldCharType="end"/>
                          </w:r>
                          <w:r>
                            <w:rPr>
                              <w:sz w:val="18"/>
                            </w:rPr>
                            <w:tab/>
                          </w:r>
                        </w:p>
                        <w:p w:rsidR="003D3899" w:rsidRDefault="003D38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34pt;margin-top:0;width:17.25pt;height:482.2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" fillcolor="#4f81bd" stroked="f" strokeweight=".5pt">
              <v:fill opacity="0"/>
              <v:stroke joinstyle="round"/>
              <v:path arrowok="t"/>
              <v:textbox style="layout-flow:vertical" inset="0,0,0,0">
                <w:txbxContent>
                  <w:p w:rsidR="003D3899" w:rsidRPr="003E236A" w:rsidRDefault="003D3899" w:rsidP="005063E1">
                    <w:pPr>
                      <w:pStyle w:val="Piedepgina"/>
                      <w:tabs>
                        <w:tab w:val="right" w:pos="9638"/>
                      </w:tabs>
                    </w:pPr>
                    <w:r w:rsidRPr="003E236A">
                      <w:rPr>
                        <w:b/>
                        <w:sz w:val="18"/>
                      </w:rPr>
                      <w:fldChar w:fldCharType="begin"/>
                    </w:r>
                    <w:r w:rsidRPr="003E236A">
                      <w:rPr>
                        <w:b/>
                        <w:sz w:val="18"/>
                      </w:rPr>
                      <w:instrText xml:space="preserve"> PAGE  \* MERGEFORMAT </w:instrText>
                    </w:r>
                    <w:r w:rsidRPr="003E236A">
                      <w:rPr>
                        <w:b/>
                        <w:sz w:val="18"/>
                      </w:rPr>
                      <w:fldChar w:fldCharType="separate"/>
                    </w:r>
                    <w:r w:rsidR="00F36DAB">
                      <w:rPr>
                        <w:b/>
                        <w:noProof/>
                        <w:sz w:val="18"/>
                      </w:rPr>
                      <w:t>28</w:t>
                    </w:r>
                    <w:r w:rsidRPr="003E236A">
                      <w:rPr>
                        <w:b/>
                        <w:sz w:val="18"/>
                      </w:rPr>
                      <w:fldChar w:fldCharType="end"/>
                    </w:r>
                    <w:r>
                      <w:rPr>
                        <w:sz w:val="18"/>
                      </w:rPr>
                      <w:tab/>
                    </w:r>
                  </w:p>
                  <w:p w:rsidR="003D3899" w:rsidRDefault="003D3899"/>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5063E1" w:rsidRDefault="00A93DFB" w:rsidP="005063E1">
    <w:pPr>
      <w:pStyle w:val="Piedepgina"/>
    </w:pPr>
    <w:r>
      <w:rPr>
        <w:noProof/>
        <w:lang w:eastAsia="zh-CN"/>
      </w:rPr>
      <mc:AlternateContent>
        <mc:Choice Requires="wps">
          <w:drawing>
            <wp:anchor distT="0" distB="0" distL="114300" distR="114300" simplePos="0" relativeHeight="251659264" behindDoc="0" locked="0" layoutInCell="1" allowOverlap="1">
              <wp:simplePos x="0" y="0"/>
              <wp:positionH relativeFrom="margin">
                <wp:posOffset>-431800</wp:posOffset>
              </wp:positionH>
              <wp:positionV relativeFrom="margin">
                <wp:posOffset>0</wp:posOffset>
              </wp:positionV>
              <wp:extent cx="219075" cy="612457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rgbClr val="4F81BD">
                          <a:alpha val="0"/>
                        </a:srgb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D3899" w:rsidRPr="003E236A" w:rsidRDefault="003D3899" w:rsidP="005063E1">
                          <w:pPr>
                            <w:pStyle w:val="Piedepgina"/>
                            <w:tabs>
                              <w:tab w:val="right" w:pos="9638"/>
                            </w:tabs>
                            <w:rPr>
                              <w:b/>
                              <w:sz w:val="18"/>
                            </w:rPr>
                          </w:pPr>
                          <w:r>
                            <w:tab/>
                          </w:r>
                          <w:r w:rsidRPr="003E236A">
                            <w:rPr>
                              <w:b/>
                              <w:sz w:val="18"/>
                            </w:rPr>
                            <w:fldChar w:fldCharType="begin"/>
                          </w:r>
                          <w:r w:rsidRPr="003E236A">
                            <w:rPr>
                              <w:b/>
                              <w:sz w:val="18"/>
                            </w:rPr>
                            <w:instrText xml:space="preserve"> PAGE  \* MERGEFORMAT </w:instrText>
                          </w:r>
                          <w:r w:rsidRPr="003E236A">
                            <w:rPr>
                              <w:b/>
                              <w:sz w:val="18"/>
                            </w:rPr>
                            <w:fldChar w:fldCharType="separate"/>
                          </w:r>
                          <w:r w:rsidR="001310C5">
                            <w:rPr>
                              <w:b/>
                              <w:noProof/>
                              <w:sz w:val="18"/>
                            </w:rPr>
                            <w:t>27</w:t>
                          </w:r>
                          <w:r w:rsidRPr="003E236A">
                            <w:rPr>
                              <w:b/>
                              <w:sz w:val="18"/>
                            </w:rPr>
                            <w:fldChar w:fldCharType="end"/>
                          </w:r>
                        </w:p>
                        <w:p w:rsidR="003D3899" w:rsidRDefault="003D38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9" type="#_x0000_t202" style="position:absolute;margin-left:-34pt;margin-top:0;width:17.25pt;height:48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" fillcolor="#4f81bd" stroked="f" strokeweight=".5pt">
              <v:fill opacity="0"/>
              <v:stroke joinstyle="round"/>
              <v:path arrowok="t"/>
              <v:textbox style="layout-flow:vertical" inset="0,0,0,0">
                <w:txbxContent>
                  <w:p w:rsidR="003D3899" w:rsidRPr="003E236A" w:rsidRDefault="003D3899" w:rsidP="005063E1">
                    <w:pPr>
                      <w:pStyle w:val="Piedepgina"/>
                      <w:tabs>
                        <w:tab w:val="right" w:pos="9638"/>
                      </w:tabs>
                      <w:rPr>
                        <w:b/>
                        <w:sz w:val="18"/>
                      </w:rPr>
                    </w:pPr>
                    <w:r>
                      <w:tab/>
                    </w:r>
                    <w:r w:rsidRPr="003E236A">
                      <w:rPr>
                        <w:b/>
                        <w:sz w:val="18"/>
                      </w:rPr>
                      <w:fldChar w:fldCharType="begin"/>
                    </w:r>
                    <w:r w:rsidRPr="003E236A">
                      <w:rPr>
                        <w:b/>
                        <w:sz w:val="18"/>
                      </w:rPr>
                      <w:instrText xml:space="preserve"> PAGE  \* MERGEFORMAT </w:instrText>
                    </w:r>
                    <w:r w:rsidRPr="003E236A">
                      <w:rPr>
                        <w:b/>
                        <w:sz w:val="18"/>
                      </w:rPr>
                      <w:fldChar w:fldCharType="separate"/>
                    </w:r>
                    <w:r w:rsidR="001310C5">
                      <w:rPr>
                        <w:b/>
                        <w:noProof/>
                        <w:sz w:val="18"/>
                      </w:rPr>
                      <w:t>27</w:t>
                    </w:r>
                    <w:r w:rsidRPr="003E236A">
                      <w:rPr>
                        <w:b/>
                        <w:sz w:val="18"/>
                      </w:rPr>
                      <w:fldChar w:fldCharType="end"/>
                    </w:r>
                  </w:p>
                  <w:p w:rsidR="003D3899" w:rsidRDefault="003D3899"/>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7E609E" w:rsidRDefault="003D3899" w:rsidP="007E609E">
    <w:pPr>
      <w:pStyle w:val="Piedepgina"/>
      <w:tabs>
        <w:tab w:val="right" w:pos="9638"/>
      </w:tabs>
      <w:rPr>
        <w:sz w:val="18"/>
      </w:rPr>
    </w:pPr>
    <w:r>
      <w:rPr>
        <w:b/>
        <w:sz w:val="18"/>
      </w:rPr>
      <w:fldChar w:fldCharType="begin"/>
    </w:r>
    <w:r>
      <w:rPr>
        <w:b/>
        <w:sz w:val="18"/>
      </w:rPr>
      <w:instrText xml:space="preserve"> PAGE  \* MERGEFORMAT </w:instrText>
    </w:r>
    <w:r>
      <w:rPr>
        <w:b/>
        <w:sz w:val="18"/>
      </w:rPr>
      <w:fldChar w:fldCharType="separate"/>
    </w:r>
    <w:r w:rsidR="001310C5">
      <w:rPr>
        <w:b/>
        <w:noProof/>
        <w:sz w:val="18"/>
      </w:rPr>
      <w:t>52</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7E609E" w:rsidRDefault="003D3899" w:rsidP="007E609E">
    <w:pPr>
      <w:pStyle w:val="Piedepgina"/>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1310C5">
      <w:rPr>
        <w:b/>
        <w:noProof/>
        <w:sz w:val="18"/>
      </w:rPr>
      <w:t>53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A3F" w:rsidRPr="001075E9" w:rsidRDefault="00B93A3F" w:rsidP="001075E9">
      <w:pPr>
        <w:tabs>
          <w:tab w:val="right" w:pos="2155"/>
        </w:tabs>
        <w:spacing w:after="80" w:line="240" w:lineRule="auto"/>
        <w:ind w:left="680"/>
        <w:rPr>
          <w:u w:val="single"/>
        </w:rPr>
      </w:pPr>
      <w:r>
        <w:rPr>
          <w:u w:val="single"/>
        </w:rPr>
        <w:tab/>
      </w:r>
    </w:p>
  </w:footnote>
  <w:footnote w:type="continuationSeparator" w:id="0">
    <w:p w:rsidR="00B93A3F" w:rsidRDefault="00B93A3F" w:rsidP="00093664">
      <w:pPr>
        <w:tabs>
          <w:tab w:val="right" w:pos="2155"/>
        </w:tabs>
        <w:spacing w:after="80" w:line="240" w:lineRule="auto"/>
        <w:ind w:left="680"/>
        <w:rPr>
          <w:u w:val="single"/>
        </w:rPr>
      </w:pPr>
      <w:r>
        <w:rPr>
          <w:u w:val="single"/>
        </w:rPr>
        <w:tab/>
      </w:r>
    </w:p>
  </w:footnote>
  <w:footnote w:id="1">
    <w:p w:rsidR="003D3899" w:rsidRPr="00F36DAB" w:rsidRDefault="003D3899">
      <w:pPr>
        <w:pStyle w:val="Textonotapie"/>
        <w:rPr>
          <w:sz w:val="20"/>
        </w:rPr>
      </w:pPr>
      <w:r>
        <w:tab/>
      </w:r>
      <w:r w:rsidRPr="00F36DAB">
        <w:rPr>
          <w:rStyle w:val="Refdenotaalpie"/>
          <w:sz w:val="20"/>
          <w:vertAlign w:val="baseline"/>
        </w:rPr>
        <w:t>*</w:t>
      </w:r>
      <w:r w:rsidRPr="00F36DAB">
        <w:rPr>
          <w:rStyle w:val="Refdenotaalpie"/>
          <w:vertAlign w:val="baseline"/>
        </w:rPr>
        <w:tab/>
      </w:r>
      <w:r w:rsidRPr="003E0B97">
        <w:t>El presente informe ha sido elaborado conforme a la lista de cuestiones previas del sexto informe periódico de España propuesta por el Comité de Derechos Económicos, Sociales y Culturales a través del documento de referencia E/C.12/ESP/QPR/6.</w:t>
      </w:r>
    </w:p>
  </w:footnote>
  <w:footnote w:id="2">
    <w:p w:rsidR="003D3899" w:rsidRPr="00F36DAB" w:rsidRDefault="003D3899">
      <w:pPr>
        <w:pStyle w:val="Textonotapie"/>
        <w:rPr>
          <w:sz w:val="20"/>
        </w:rPr>
      </w:pPr>
      <w:r>
        <w:tab/>
      </w:r>
      <w:r w:rsidRPr="00F36DAB">
        <w:rPr>
          <w:rStyle w:val="Refdenotaalpie"/>
          <w:sz w:val="20"/>
          <w:vertAlign w:val="baseline"/>
        </w:rPr>
        <w:t>**</w:t>
      </w:r>
      <w:r w:rsidRPr="00F36DAB">
        <w:rPr>
          <w:rStyle w:val="Refdenotaalpie"/>
          <w:vertAlign w:val="baseline"/>
        </w:rPr>
        <w:tab/>
      </w:r>
      <w:r w:rsidRPr="007458C5">
        <w:t>El presente documento se publica sin haber sido objeto de revisión editorial oficial.</w:t>
      </w:r>
    </w:p>
  </w:footnote>
  <w:footnote w:id="3">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Informe de Evaluación del Impacto de la Reforma Laboral (Ministerio de Empleo y Seguridad Social).</w:t>
      </w:r>
    </w:p>
  </w:footnote>
  <w:footnote w:id="4">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 xml:space="preserve">Ver García Pérez, J.I. y Jansen, M. (2015) </w:t>
      </w:r>
      <w:r>
        <w:t>“</w:t>
      </w:r>
      <w:r w:rsidRPr="003E0B97">
        <w:t>Reforma laboral de 2012: ¿Qué sabemos sobre sus efectos y qué queda por hacer?</w:t>
      </w:r>
      <w:r>
        <w:t>”</w:t>
      </w:r>
      <w:r w:rsidRPr="003E0B97">
        <w:t>, Documento de Trabajo, FEDEA.</w:t>
      </w:r>
    </w:p>
  </w:footnote>
  <w:footnote w:id="5">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 xml:space="preserve">La reforma laboral de 2012: un primer análisis de algunos de sus efectos sobre el mercado de trabajo (Boletín Económico del Banco de España, </w:t>
      </w:r>
      <w:r>
        <w:t>s</w:t>
      </w:r>
      <w:r w:rsidRPr="003E0B97">
        <w:t xml:space="preserve">eptiembre </w:t>
      </w:r>
      <w:r>
        <w:t xml:space="preserve">de </w:t>
      </w:r>
      <w:r w:rsidRPr="003E0B97">
        <w:t>2013).</w:t>
      </w:r>
    </w:p>
  </w:footnote>
  <w:footnote w:id="6">
    <w:p w:rsidR="003D3899" w:rsidRPr="00F36DAB" w:rsidRDefault="003D3899" w:rsidP="00F36DAB">
      <w:pPr>
        <w:pStyle w:val="Textonotapie"/>
        <w:widowControl w:val="0"/>
        <w:suppressAutoHyphens/>
      </w:pPr>
      <w:r w:rsidRPr="003E0B97">
        <w:tab/>
      </w:r>
      <w:r w:rsidRPr="00AE77C0">
        <w:rPr>
          <w:rStyle w:val="Refdenotaalpie"/>
        </w:rPr>
        <w:footnoteRef/>
      </w:r>
      <w:r w:rsidRPr="00C3111D">
        <w:rPr>
          <w:lang w:val="en-US"/>
        </w:rPr>
        <w:tab/>
        <w:t xml:space="preserve">The 2012 Labour Market Reform in Spain: A Preliminary Assessment (OCDE, 2014). </w:t>
      </w:r>
      <w:r w:rsidRPr="00F36DAB">
        <w:t>EA.</w:t>
      </w:r>
    </w:p>
  </w:footnote>
  <w:footnote w:id="7">
    <w:p w:rsidR="003D3899" w:rsidRPr="003E0B97" w:rsidRDefault="003D3899" w:rsidP="00F36DAB">
      <w:pPr>
        <w:pStyle w:val="Textonotapie"/>
        <w:widowControl w:val="0"/>
        <w:suppressAutoHyphens/>
      </w:pPr>
      <w:r w:rsidRPr="00F36DAB">
        <w:tab/>
      </w:r>
      <w:r w:rsidRPr="00AE77C0">
        <w:rPr>
          <w:rStyle w:val="Refdenotaalpie"/>
        </w:rPr>
        <w:footnoteRef/>
      </w:r>
      <w:r>
        <w:tab/>
      </w:r>
      <w:r w:rsidRPr="003E0B97">
        <w:t>El estudio econométrico calcula que un aumento del 1% de los salarios reales a largo plazo provoca la destrucción del 1,9% del empleo. El estudio identifica el crecimiento de los salarios como el principal causante del aumento del paro en 2008-2010 y en 2011-2012 al intento de las empresas de recuperar márgenes de beneficios (probablemente ante la restricción del crédito).</w:t>
      </w:r>
    </w:p>
  </w:footnote>
  <w:footnote w:id="8">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Documento de trabajo de J.</w:t>
      </w:r>
      <w:r>
        <w:t xml:space="preserve"> </w:t>
      </w:r>
      <w:r w:rsidRPr="003E0B97">
        <w:t xml:space="preserve">I. García Pérez (2016) </w:t>
      </w:r>
      <w:r>
        <w:t>“</w:t>
      </w:r>
      <w:r w:rsidRPr="003E0B97">
        <w:t>El efecto de la Reforma Laboral de 2012 sobre la dualidad y el empleo: cambios en la contratación y el despido por tipo de contrato</w:t>
      </w:r>
      <w:r>
        <w:t>”</w:t>
      </w:r>
      <w:r w:rsidRPr="003E0B97">
        <w:t>, FEDEA Policy Papers.</w:t>
      </w:r>
    </w:p>
  </w:footnote>
  <w:footnote w:id="9">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Hay que tener en cuenta que cuando se refiere a paro, el estudio no puede distinguir entre las situaciones de desempleo y las de inactividad (en la que no se busca activamente empleo). El estudio se basa en el análisis de la Muestra Continua de Vidas Laborales.</w:t>
      </w:r>
    </w:p>
  </w:footnote>
  <w:footnote w:id="10">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También hay efectos positivos para los parados de larga duración, pero menores.</w:t>
      </w:r>
    </w:p>
  </w:footnote>
  <w:footnote w:id="11">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La reforma no ha tenido efecto significativo en la probabilidad de que la salida del paro sea hacia el empleo temporal (que es de un 11,8%). El efecto global es de un aumento del 9% en la salida del paro hacia el empleo (indefinido o no).</w:t>
      </w:r>
    </w:p>
  </w:footnote>
  <w:footnote w:id="12">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El informe señala que las reformas exhaustivas tardan en ejercer sus efectos y los impactos de las políticas son difíciles de separar de otros factores económicos. Teniendo presentes estas reservas, los efectos de la reforma pueden deducirse comparando la evolución posterior a la reforma con la evolución prevista en función de las relaciones previas a la reforma con las principales variables subyacentes.</w:t>
      </w:r>
    </w:p>
  </w:footnote>
  <w:footnote w:id="13">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Informe del FMI sobre la Economía Española.</w:t>
      </w:r>
    </w:p>
  </w:footnote>
  <w:footnote w:id="14">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Plan Nacional de Reforma de 2015.</w:t>
      </w:r>
    </w:p>
  </w:footnote>
  <w:footnote w:id="15">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Plan Nacional de Reforma de 2016.</w:t>
      </w:r>
    </w:p>
  </w:footnote>
  <w:footnote w:id="16">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Estrategia de Emprendimiento y Empleo Joven.</w:t>
      </w:r>
    </w:p>
  </w:footnote>
  <w:footnote w:id="17">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Estrategia de Políticas de Activación.</w:t>
      </w:r>
    </w:p>
  </w:footnote>
  <w:footnote w:id="18">
    <w:p w:rsidR="003D3899" w:rsidRPr="003E0B97" w:rsidRDefault="003D3899" w:rsidP="00F36DAB">
      <w:pPr>
        <w:pStyle w:val="Textonotapie"/>
        <w:widowControl w:val="0"/>
        <w:suppressAutoHyphens/>
      </w:pPr>
      <w:r w:rsidRPr="003E0B97">
        <w:tab/>
      </w:r>
      <w:r w:rsidRPr="00AE77C0">
        <w:rPr>
          <w:rStyle w:val="Refdenotaalpie"/>
        </w:rPr>
        <w:footnoteRef/>
      </w:r>
      <w:r>
        <w:tab/>
      </w:r>
      <w:r w:rsidRPr="003E0B97">
        <w:t>http://www.igualdadynodiscriminacion.org/home.do.</w:t>
      </w:r>
    </w:p>
  </w:footnote>
  <w:footnote w:id="19">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Evaluación de la aplicación de la Estrategia.</w:t>
      </w:r>
    </w:p>
  </w:footnote>
  <w:footnote w:id="20">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http://www.empleo.gob.es/oberaxe/es/publicaciones/documentos/documento_0073.htm.</w:t>
      </w:r>
    </w:p>
  </w:footnote>
  <w:footnote w:id="21">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http://www.empleo.gob.es/oberaxe/es/publicaciones/documentos/documento_0074.htm.</w:t>
      </w:r>
    </w:p>
  </w:footnote>
  <w:footnote w:id="22">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http://www.inmujer.gob.es/actualidad/NovedadesNuevas/docs/2015/2015-1346_Guia_Instituto_</w:t>
      </w:r>
      <w:r>
        <w:br/>
      </w:r>
      <w:r w:rsidRPr="003E0B97">
        <w:t>Mujer_Profesionales_ING_ACCESIBLE.pdf.</w:t>
      </w:r>
    </w:p>
  </w:footnote>
  <w:footnote w:id="23">
    <w:p w:rsidR="003D3899" w:rsidRPr="003E0B97" w:rsidRDefault="003D3899" w:rsidP="00F36DAB">
      <w:pPr>
        <w:pStyle w:val="Textonotapie"/>
        <w:widowControl w:val="0"/>
        <w:suppressAutoHyphens/>
      </w:pPr>
      <w:r w:rsidRPr="003E0B97">
        <w:tab/>
      </w:r>
      <w:r w:rsidRPr="00005D70">
        <w:rPr>
          <w:rStyle w:val="Refdenotaalpie"/>
        </w:rPr>
        <w:footnoteRef/>
      </w:r>
      <w:r>
        <w:tab/>
      </w:r>
      <w:hyperlink r:id="rId1" w:history="1">
        <w:r w:rsidRPr="00F36DAB">
          <w:t>www.yosoytuviveladiversidad.gob.es</w:t>
        </w:r>
      </w:hyperlink>
      <w:r w:rsidRPr="003E0B97">
        <w:t>.</w:t>
      </w:r>
    </w:p>
  </w:footnote>
  <w:footnote w:id="24">
    <w:p w:rsidR="003D3899" w:rsidRPr="0028222F" w:rsidRDefault="003D3899" w:rsidP="00F36DAB">
      <w:pPr>
        <w:pStyle w:val="Textonotapie"/>
        <w:widowControl w:val="0"/>
        <w:suppressAutoHyphens/>
      </w:pPr>
      <w:r>
        <w:tab/>
      </w:r>
      <w:r w:rsidRPr="00005D70">
        <w:rPr>
          <w:rStyle w:val="Refdenotaalpie"/>
        </w:rPr>
        <w:footnoteRef/>
      </w:r>
      <w:r>
        <w:tab/>
        <w:t>http</w:t>
      </w:r>
      <w:r w:rsidRPr="0028222F">
        <w:t>://www.msssi.gob.es/ssi/igualdadOportunidades/noDiscriminacion/documentos/2015_1582_</w:t>
      </w:r>
      <w:r>
        <w:br/>
      </w:r>
      <w:r w:rsidRPr="0028222F">
        <w:t>Embracing_diversity_EE_FINAL.pdf</w:t>
      </w:r>
      <w:r>
        <w:t>.</w:t>
      </w:r>
    </w:p>
  </w:footnote>
  <w:footnote w:id="25">
    <w:p w:rsidR="003D3899" w:rsidRPr="003E0B97" w:rsidRDefault="003D3899" w:rsidP="00F36DAB">
      <w:pPr>
        <w:pStyle w:val="Textonotapie"/>
        <w:widowControl w:val="0"/>
        <w:suppressAutoHyphens/>
      </w:pPr>
      <w:r w:rsidRPr="0028222F">
        <w:tab/>
      </w:r>
      <w:r w:rsidRPr="00005D70">
        <w:rPr>
          <w:rStyle w:val="Refdenotaalpie"/>
        </w:rPr>
        <w:footnoteRef/>
      </w:r>
      <w:r>
        <w:tab/>
      </w:r>
      <w:r w:rsidRPr="002B2EAE">
        <w:t>www.nohate.es.</w:t>
      </w:r>
    </w:p>
  </w:footnote>
  <w:footnote w:id="26">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Plan Estratégico Igualdad de Oportunidades.</w:t>
      </w:r>
    </w:p>
  </w:footnote>
  <w:footnote w:id="27">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Para conocer más sobre estudios con perspectiva de género puede consultar la página web del Instituto de la Mujer y para la Igualdad de Oportunidades.</w:t>
      </w:r>
    </w:p>
  </w:footnote>
  <w:footnote w:id="28">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Conviene señalar que quedan excluidas de la regulación en materia salarial aquellas personas cuya actividad laboral queda fuera de la prestación de servicios por cuenta ajena y por tanto no reúnen la condición de trabajadores asalariados. Esta exclusión se deriva de la propia definición de salario establecida en el artículo 26 del Estatuto de los Trabajadores.</w:t>
      </w:r>
    </w:p>
  </w:footnote>
  <w:footnote w:id="29">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 xml:space="preserve">Para más información puede consultarse: </w:t>
      </w:r>
      <w:r w:rsidRPr="00F36DAB">
        <w:t>http://www.empleo.gob.es/itss/web/Que_hacemos/</w:t>
      </w:r>
      <w:r>
        <w:br/>
      </w:r>
      <w:r w:rsidRPr="00F36DAB">
        <w:t>Estadisticas/index.html</w:t>
      </w:r>
      <w:r>
        <w:t>.</w:t>
      </w:r>
    </w:p>
  </w:footnote>
  <w:footnote w:id="30">
    <w:p w:rsidR="003D3899" w:rsidRPr="003E0B97" w:rsidRDefault="003D3899" w:rsidP="00F36DAB">
      <w:pPr>
        <w:pStyle w:val="Textonotapie"/>
        <w:widowControl w:val="0"/>
        <w:suppressAutoHyphens/>
      </w:pPr>
      <w:r w:rsidRPr="003E0B97">
        <w:tab/>
      </w:r>
      <w:r w:rsidRPr="00005D70">
        <w:rPr>
          <w:rStyle w:val="Refdenotaalpie"/>
        </w:rPr>
        <w:footnoteRef/>
      </w:r>
      <w:r>
        <w:tab/>
      </w:r>
      <w:r w:rsidRPr="003E0B97">
        <w:t>www.igualdadenlaempresa.es</w:t>
      </w:r>
      <w:r>
        <w:t>.</w:t>
      </w:r>
    </w:p>
  </w:footnote>
  <w:footnote w:id="31">
    <w:p w:rsidR="003D3899" w:rsidRPr="001329DA" w:rsidRDefault="003D3899" w:rsidP="00F36DAB">
      <w:pPr>
        <w:pStyle w:val="Textonotapie"/>
        <w:widowControl w:val="0"/>
        <w:suppressAutoHyphens/>
      </w:pPr>
      <w:r w:rsidRPr="003E0B97">
        <w:tab/>
      </w:r>
      <w:r w:rsidRPr="00005D70">
        <w:rPr>
          <w:rStyle w:val="Refdenotaalpie"/>
        </w:rPr>
        <w:footnoteRef/>
      </w:r>
      <w:r>
        <w:tab/>
      </w:r>
      <w:hyperlink r:id="rId2" w:history="1">
        <w:r w:rsidRPr="00F36DAB">
          <w:t>Sistema de Valoración de Puestos de Trabajo con perspectiva de género</w:t>
        </w:r>
      </w:hyperlink>
      <w:r w:rsidRPr="003E0B9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3E236A" w:rsidRDefault="00F34558">
    <w:pPr>
      <w:pStyle w:val="Encabezado"/>
    </w:pPr>
    <w:fldSimple w:instr=" TITLE  \* MERGEFORMAT ">
      <w:r w:rsidR="001310C5">
        <w:t>E/C.12/ESP/6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3E236A" w:rsidRDefault="00F34558" w:rsidP="003E236A">
    <w:pPr>
      <w:pStyle w:val="Encabezado"/>
      <w:jc w:val="right"/>
    </w:pPr>
    <w:fldSimple w:instr=" TITLE  \* MERGEFORMAT ">
      <w:r w:rsidR="001310C5">
        <w:t>E/C.12/ESP/6</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5063E1" w:rsidRDefault="00A93DFB" w:rsidP="005063E1">
    <w:r>
      <w:rPr>
        <w:noProof/>
        <w:lang w:eastAsia="zh-CN"/>
      </w:rPr>
      <mc:AlternateContent>
        <mc:Choice Requires="wps">
          <w:drawing>
            <wp:anchor distT="0" distB="0" distL="114300" distR="114300" simplePos="0" relativeHeight="251656192" behindDoc="0" locked="0" layoutInCell="1" allowOverlap="1">
              <wp:simplePos x="0" y="0"/>
              <wp:positionH relativeFrom="page">
                <wp:posOffset>9935845</wp:posOffset>
              </wp:positionH>
              <wp:positionV relativeFrom="margin">
                <wp:posOffset>0</wp:posOffset>
              </wp:positionV>
              <wp:extent cx="219075" cy="612457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rgbClr val="4F81BD">
                          <a:alpha val="0"/>
                        </a:srgbClr>
                      </a:solid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3D3899" w:rsidRPr="003E236A" w:rsidRDefault="00F34558" w:rsidP="005063E1">
                          <w:pPr>
                            <w:pStyle w:val="Encabezado"/>
                          </w:pPr>
                          <w:fldSimple w:instr=" TITLE  \* MERGEFORMAT ">
                            <w:r w:rsidR="001310C5">
                              <w:t>E/C.12/ESP/6</w:t>
                            </w:r>
                          </w:fldSimple>
                        </w:p>
                        <w:p w:rsidR="003D3899" w:rsidRDefault="003D38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782.35pt;margin-top:0;width:17.25pt;height:482.2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" fillcolor="#4f81bd" stroked="f" strokeweight=".5pt">
              <v:fill opacity="0"/>
              <v:stroke joinstyle="round"/>
              <v:path arrowok="t"/>
              <v:textbox style="layout-flow:vertical" inset="0,0,0,0">
                <w:txbxContent>
                  <w:p w:rsidR="003D3899" w:rsidRPr="003E236A" w:rsidRDefault="00F34558" w:rsidP="005063E1">
                    <w:pPr>
                      <w:pStyle w:val="Encabezado"/>
                    </w:pPr>
                    <w:fldSimple w:instr=" TITLE  \* MERGEFORMAT ">
                      <w:r w:rsidR="001310C5">
                        <w:t>E/C.12/ESP/6</w:t>
                      </w:r>
                    </w:fldSimple>
                  </w:p>
                  <w:p w:rsidR="003D3899" w:rsidRDefault="003D3899"/>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5063E1" w:rsidRDefault="00A93DFB" w:rsidP="005063E1">
    <w:r>
      <w:rPr>
        <w:noProof/>
        <w:lang w:eastAsia="zh-CN"/>
      </w:rPr>
      <mc:AlternateContent>
        <mc:Choice Requires="wps">
          <w:drawing>
            <wp:anchor distT="0" distB="0" distL="114300" distR="114300" simplePos="0" relativeHeight="251658240" behindDoc="0" locked="0" layoutInCell="1" allowOverlap="1">
              <wp:simplePos x="0" y="0"/>
              <wp:positionH relativeFrom="page">
                <wp:posOffset>9935845</wp:posOffset>
              </wp:positionH>
              <wp:positionV relativeFrom="margin">
                <wp:posOffset>0</wp:posOffset>
              </wp:positionV>
              <wp:extent cx="219075" cy="612457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075" cy="6124575"/>
                      </a:xfrm>
                      <a:prstGeom prst="rect">
                        <a:avLst/>
                      </a:prstGeom>
                      <a:solidFill>
                        <a:srgbClr val="4F81BD">
                          <a:alpha val="0"/>
                        </a:srgbClr>
                      </a:solidFill>
                      <a:ln w="6350">
                        <a:noFill/>
                      </a:ln>
                      <a:effectLst/>
                      <a:extLst>
                        <a:ext uri="{91240B29-F687-4F45-9708-019B960494DF}">
                          <a14:hiddenLine xmlns:a14="http://schemas.microsoft.com/office/drawing/2010/main" w="6350">
                            <a:solidFill>
                              <a:prstClr val="black"/>
                            </a:solidFill>
                          </a14:hiddenLine>
                        </a:ext>
                      </a:extLst>
                    </wps:spPr>
                    <wps:txbx>
                      <w:txbxContent>
                        <w:p w:rsidR="003D3899" w:rsidRPr="003E236A" w:rsidRDefault="00F34558" w:rsidP="005063E1">
                          <w:pPr>
                            <w:pStyle w:val="Encabezado"/>
                            <w:jc w:val="right"/>
                          </w:pPr>
                          <w:fldSimple w:instr=" TITLE  \* MERGEFORMAT ">
                            <w:r w:rsidR="001310C5">
                              <w:t>E/C.12/ESP/6</w:t>
                            </w:r>
                          </w:fldSimple>
                        </w:p>
                        <w:p w:rsidR="003D3899" w:rsidRDefault="003D389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782.35pt;margin-top:0;width:17.25pt;height:48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" fillcolor="#4f81bd" stroked="f" strokeweight=".5pt">
              <v:fill opacity="0"/>
              <v:path arrowok="t"/>
              <v:textbox style="layout-flow:vertical" inset="0,0,0,0">
                <w:txbxContent>
                  <w:p w:rsidR="003D3899" w:rsidRPr="003E236A" w:rsidRDefault="00F34558" w:rsidP="005063E1">
                    <w:pPr>
                      <w:pStyle w:val="Encabezado"/>
                      <w:jc w:val="right"/>
                    </w:pPr>
                    <w:fldSimple w:instr=" TITLE  \* MERGEFORMAT ">
                      <w:r w:rsidR="001310C5">
                        <w:t>E/C.12/ESP/6</w:t>
                      </w:r>
                    </w:fldSimple>
                  </w:p>
                  <w:p w:rsidR="003D3899" w:rsidRDefault="003D3899"/>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7E609E" w:rsidRDefault="00F34558" w:rsidP="007E609E">
    <w:pPr>
      <w:pStyle w:val="Encabezado"/>
    </w:pPr>
    <w:fldSimple w:instr=" TITLE  \* MERGEFORMAT ">
      <w:r w:rsidR="001310C5">
        <w:t>E/C.12/ESP/6</w:t>
      </w:r>
    </w:fldSimple>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3899" w:rsidRPr="007E609E" w:rsidRDefault="00F34558" w:rsidP="007E609E">
    <w:pPr>
      <w:pStyle w:val="Encabezado"/>
      <w:jc w:val="right"/>
    </w:pPr>
    <w:fldSimple w:instr=" TITLE  \* MERGEFORMAT ">
      <w:r w:rsidR="001310C5">
        <w:t>E/C.12/ESP/6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C8CD386"/>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D5129C3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E2D00A3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B60C96AC"/>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43B290E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516814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42C73A"/>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16CF5C8"/>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D2286F4"/>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BA8AC08"/>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0A64280"/>
    <w:lvl w:ilvl="0" w:tplc="EBE6618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CB38CF"/>
    <w:multiLevelType w:val="hybridMultilevel"/>
    <w:tmpl w:val="2BDACE8C"/>
    <w:lvl w:ilvl="0" w:tplc="81DA17FA">
      <w:start w:val="1"/>
      <w:numFmt w:val="upperLetter"/>
      <w:lvlText w:val="%1."/>
      <w:lvlJc w:val="left"/>
      <w:pPr>
        <w:ind w:left="1211" w:hanging="360"/>
      </w:pPr>
      <w:rPr>
        <w:rFonts w:ascii="Times New Roman" w:hAnsi="Times New Roman" w:hint="default"/>
        <w:b/>
        <w:i w:val="0"/>
        <w:sz w:val="2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2" w15:restartNumberingAfterBreak="0">
    <w:nsid w:val="05B76FA3"/>
    <w:multiLevelType w:val="hybridMultilevel"/>
    <w:tmpl w:val="1B4805A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7DD66D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91778B3"/>
    <w:multiLevelType w:val="hybridMultilevel"/>
    <w:tmpl w:val="1A569CD0"/>
    <w:lvl w:ilvl="0" w:tplc="B76A129A">
      <w:start w:val="1"/>
      <w:numFmt w:val="bullet"/>
      <w:lvlText w:val="-"/>
      <w:lvlJc w:val="left"/>
      <w:pPr>
        <w:ind w:left="1776" w:hanging="360"/>
      </w:pPr>
      <w:rPr>
        <w:rFonts w:ascii="Arial" w:eastAsia="Calibri" w:hAnsi="Arial" w:cs="Arial"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EF26F7F"/>
    <w:multiLevelType w:val="hybridMultilevel"/>
    <w:tmpl w:val="409CF9B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627624"/>
    <w:multiLevelType w:val="hybridMultilevel"/>
    <w:tmpl w:val="89A89658"/>
    <w:lvl w:ilvl="0" w:tplc="9DD69070">
      <w:start w:val="1"/>
      <w:numFmt w:val="decimal"/>
      <w:lvlText w:val="%1."/>
      <w:lvlJc w:val="right"/>
      <w:pPr>
        <w:ind w:left="720" w:hanging="360"/>
      </w:pPr>
      <w:rPr>
        <w:rFonts w:hint="default"/>
      </w:rPr>
    </w:lvl>
    <w:lvl w:ilvl="1" w:tplc="21A65B8C">
      <w:start w:val="26"/>
      <w:numFmt w:val="bullet"/>
      <w:lvlText w:val="-"/>
      <w:lvlJc w:val="left"/>
      <w:pPr>
        <w:ind w:left="1635" w:hanging="555"/>
      </w:pPr>
      <w:rPr>
        <w:rFonts w:ascii="Times New Roman" w:eastAsia="Times New Roman" w:hAnsi="Times New Roman" w:cs="Times New Roman" w:hint="default"/>
      </w:rPr>
    </w:lvl>
    <w:lvl w:ilvl="2" w:tplc="0809001B">
      <w:start w:val="1"/>
      <w:numFmt w:val="lowerRoman"/>
      <w:lvlText w:val="%3."/>
      <w:lvlJc w:val="right"/>
      <w:pPr>
        <w:ind w:left="2160" w:hanging="180"/>
      </w:pPr>
    </w:lvl>
    <w:lvl w:ilvl="3" w:tplc="D36A09CC">
      <w:start w:val="1"/>
      <w:numFmt w:val="decimal"/>
      <w:lvlText w:val="(%4)"/>
      <w:lvlJc w:val="left"/>
      <w:pPr>
        <w:ind w:left="3075" w:hanging="555"/>
      </w:pPr>
      <w:rPr>
        <w:rFonts w:hint="default"/>
      </w:rPr>
    </w:lvl>
    <w:lvl w:ilvl="4" w:tplc="C87025D6">
      <w:start w:val="7"/>
      <w:numFmt w:val="bullet"/>
      <w:lvlText w:val="•"/>
      <w:lvlJc w:val="left"/>
      <w:pPr>
        <w:ind w:left="3795" w:hanging="555"/>
      </w:pPr>
      <w:rPr>
        <w:rFonts w:ascii="Times New Roman" w:eastAsia="Times New Roman" w:hAnsi="Times New Roman" w:cs="Times New Roman" w:hint="default"/>
      </w:rPr>
    </w:lvl>
    <w:lvl w:ilvl="5" w:tplc="0809001B">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61036D"/>
    <w:multiLevelType w:val="hybridMultilevel"/>
    <w:tmpl w:val="59BC1EE4"/>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9" w15:restartNumberingAfterBreak="0">
    <w:nsid w:val="34090831"/>
    <w:multiLevelType w:val="hybridMultilevel"/>
    <w:tmpl w:val="E3DC18B6"/>
    <w:lvl w:ilvl="0" w:tplc="040A0001">
      <w:numFmt w:val="bullet"/>
      <w:lvlText w:val=""/>
      <w:lvlJc w:val="left"/>
      <w:pPr>
        <w:ind w:left="720" w:hanging="360"/>
      </w:pPr>
      <w:rPr>
        <w:rFonts w:ascii="Symbol" w:eastAsia="Times New Roman" w:hAnsi="Symbol" w:cs="Times New Roman"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0" w15:restartNumberingAfterBreak="0">
    <w:nsid w:val="36A7743B"/>
    <w:multiLevelType w:val="hybridMultilevel"/>
    <w:tmpl w:val="11D8D550"/>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BD5A09"/>
    <w:multiLevelType w:val="hybridMultilevel"/>
    <w:tmpl w:val="86A4C0E6"/>
    <w:lvl w:ilvl="0" w:tplc="08090013">
      <w:start w:val="1"/>
      <w:numFmt w:val="upp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8F25503"/>
    <w:multiLevelType w:val="hybridMultilevel"/>
    <w:tmpl w:val="4B709B5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381245"/>
    <w:multiLevelType w:val="hybridMultilevel"/>
    <w:tmpl w:val="F1469FA2"/>
    <w:lvl w:ilvl="0" w:tplc="FA30C40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4EC0530E"/>
    <w:multiLevelType w:val="hybridMultilevel"/>
    <w:tmpl w:val="C9CE8FEE"/>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6" w15:restartNumberingAfterBreak="0">
    <w:nsid w:val="4EFF4003"/>
    <w:multiLevelType w:val="hybridMultilevel"/>
    <w:tmpl w:val="CD885502"/>
    <w:lvl w:ilvl="0" w:tplc="5F34A8C2">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FD76AF"/>
    <w:multiLevelType w:val="hybridMultilevel"/>
    <w:tmpl w:val="4A8EA10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710465B"/>
    <w:multiLevelType w:val="hybridMultilevel"/>
    <w:tmpl w:val="8ACACB5E"/>
    <w:lvl w:ilvl="0" w:tplc="81DA17FA">
      <w:start w:val="1"/>
      <w:numFmt w:val="upperLetter"/>
      <w:lvlText w:val="%1."/>
      <w:lvlJc w:val="left"/>
      <w:pPr>
        <w:ind w:left="927" w:hanging="360"/>
      </w:pPr>
      <w:rPr>
        <w:rFonts w:ascii="Times New Roman" w:hAnsi="Times New Roman" w:hint="default"/>
        <w:b/>
        <w:i w:val="0"/>
        <w:sz w:val="2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7BF06E2"/>
    <w:multiLevelType w:val="hybridMultilevel"/>
    <w:tmpl w:val="8DF4322A"/>
    <w:lvl w:ilvl="0" w:tplc="08090013">
      <w:start w:val="1"/>
      <w:numFmt w:val="upperRoman"/>
      <w:lvlText w:val="%1."/>
      <w:lvlJc w:val="righ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0EC779E"/>
    <w:multiLevelType w:val="hybridMultilevel"/>
    <w:tmpl w:val="210C21D0"/>
    <w:lvl w:ilvl="0" w:tplc="EA30C87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2" w15:restartNumberingAfterBreak="0">
    <w:nsid w:val="63766D5C"/>
    <w:multiLevelType w:val="hybridMultilevel"/>
    <w:tmpl w:val="95764FAA"/>
    <w:lvl w:ilvl="0" w:tplc="6DE68A72">
      <w:start w:val="1"/>
      <w:numFmt w:val="bullet"/>
      <w:lvlText w:val="-"/>
      <w:lvlJc w:val="left"/>
      <w:pPr>
        <w:tabs>
          <w:tab w:val="num" w:pos="587"/>
        </w:tabs>
        <w:ind w:left="567" w:hanging="340"/>
      </w:pPr>
      <w:rPr>
        <w:rFonts w:ascii="Times New Roman" w:hAnsi="Times New Roman" w:hint="default"/>
      </w:rPr>
    </w:lvl>
    <w:lvl w:ilvl="1" w:tplc="0C0A0019" w:tentative="1">
      <w:start w:val="1"/>
      <w:numFmt w:val="bullet"/>
      <w:lvlText w:val="o"/>
      <w:lvlJc w:val="left"/>
      <w:pPr>
        <w:tabs>
          <w:tab w:val="num" w:pos="1440"/>
        </w:tabs>
        <w:ind w:left="1440" w:hanging="360"/>
      </w:pPr>
      <w:rPr>
        <w:rFonts w:ascii="Courier New" w:hAnsi="Courier New"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7B90344"/>
    <w:multiLevelType w:val="hybridMultilevel"/>
    <w:tmpl w:val="A39AB68E"/>
    <w:lvl w:ilvl="0" w:tplc="A482C0EC">
      <w:start w:val="1"/>
      <w:numFmt w:val="upperRoman"/>
      <w:lvlText w:val="%1."/>
      <w:lvlJc w:val="righ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5" w15:restartNumberingAfterBreak="0">
    <w:nsid w:val="68861AF9"/>
    <w:multiLevelType w:val="hybridMultilevel"/>
    <w:tmpl w:val="EC4E119E"/>
    <w:lvl w:ilvl="0" w:tplc="81DA17FA">
      <w:start w:val="1"/>
      <w:numFmt w:val="upperLetter"/>
      <w:lvlText w:val="%1."/>
      <w:lvlJc w:val="left"/>
      <w:pPr>
        <w:ind w:left="720" w:hanging="360"/>
      </w:pPr>
      <w:rPr>
        <w:rFonts w:ascii="Times New Roman" w:hAnsi="Times New Roman" w:hint="default"/>
        <w:b/>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6AFD3DE4"/>
    <w:multiLevelType w:val="hybridMultilevel"/>
    <w:tmpl w:val="D6CAC48E"/>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19C3C52"/>
    <w:multiLevelType w:val="hybridMultilevel"/>
    <w:tmpl w:val="1340DAD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EA31896"/>
    <w:multiLevelType w:val="hybridMultilevel"/>
    <w:tmpl w:val="2DA0DA18"/>
    <w:lvl w:ilvl="0" w:tplc="4DCE292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7"/>
  </w:num>
  <w:num w:numId="2">
    <w:abstractNumId w:val="20"/>
  </w:num>
  <w:num w:numId="3">
    <w:abstractNumId w:val="40"/>
  </w:num>
  <w:num w:numId="4">
    <w:abstractNumId w:val="38"/>
  </w:num>
  <w:num w:numId="5">
    <w:abstractNumId w:val="3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28"/>
  </w:num>
  <w:num w:numId="18">
    <w:abstractNumId w:val="22"/>
  </w:num>
  <w:num w:numId="19">
    <w:abstractNumId w:val="11"/>
  </w:num>
  <w:num w:numId="20">
    <w:abstractNumId w:val="35"/>
  </w:num>
  <w:num w:numId="21">
    <w:abstractNumId w:val="29"/>
  </w:num>
  <w:num w:numId="22">
    <w:abstractNumId w:val="21"/>
  </w:num>
  <w:num w:numId="23">
    <w:abstractNumId w:val="12"/>
  </w:num>
  <w:num w:numId="24">
    <w:abstractNumId w:val="34"/>
  </w:num>
  <w:num w:numId="25">
    <w:abstractNumId w:val="17"/>
  </w:num>
  <w:num w:numId="26">
    <w:abstractNumId w:val="41"/>
  </w:num>
  <w:num w:numId="27">
    <w:abstractNumId w:val="27"/>
  </w:num>
  <w:num w:numId="28">
    <w:abstractNumId w:val="24"/>
  </w:num>
  <w:num w:numId="29">
    <w:abstractNumId w:val="32"/>
  </w:num>
  <w:num w:numId="30">
    <w:abstractNumId w:val="14"/>
  </w:num>
  <w:num w:numId="31">
    <w:abstractNumId w:val="39"/>
  </w:num>
  <w:num w:numId="32">
    <w:abstractNumId w:val="31"/>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num>
  <w:num w:numId="36">
    <w:abstractNumId w:val="26"/>
  </w:num>
  <w:num w:numId="37">
    <w:abstractNumId w:val="36"/>
  </w:num>
  <w:num w:numId="38">
    <w:abstractNumId w:val="23"/>
  </w:num>
  <w:num w:numId="39">
    <w:abstractNumId w:val="33"/>
  </w:num>
  <w:num w:numId="40">
    <w:abstractNumId w:val="13"/>
  </w:num>
  <w:num w:numId="41">
    <w:abstractNumId w:val="10"/>
  </w:num>
  <w:num w:numId="42">
    <w:abstractNumId w:val="10"/>
    <w:lvlOverride w:ilvl="0">
      <w:startOverride w:val="1"/>
    </w:lvlOverride>
  </w:num>
  <w:num w:numId="43">
    <w:abstractNumId w:val="10"/>
  </w:num>
  <w:num w:numId="44">
    <w:abstractNumId w:val="16"/>
  </w:num>
  <w:num w:numId="45">
    <w:abstractNumId w:val="10"/>
    <w:lvlOverride w:ilvl="0">
      <w:startOverride w:val="137"/>
    </w:lvlOverride>
  </w:num>
  <w:num w:numId="46">
    <w:abstractNumId w:val="10"/>
  </w:num>
  <w:num w:numId="47">
    <w:abstractNumId w:val="37"/>
  </w:num>
  <w:num w:numId="48">
    <w:abstractNumId w:val="20"/>
  </w:num>
  <w:num w:numId="49">
    <w:abstractNumId w:val="40"/>
  </w:num>
  <w:num w:numId="50">
    <w:abstractNumId w:val="38"/>
  </w:num>
  <w:num w:numId="51">
    <w:abstractNumId w:val="30"/>
  </w:num>
  <w:num w:numId="52">
    <w:abstractNumId w:val="8"/>
  </w:num>
  <w:num w:numId="53">
    <w:abstractNumId w:val="3"/>
  </w:num>
  <w:num w:numId="54">
    <w:abstractNumId w:val="2"/>
  </w:num>
  <w:num w:numId="55">
    <w:abstractNumId w:val="1"/>
  </w:num>
  <w:num w:numId="56">
    <w:abstractNumId w:val="0"/>
  </w:num>
  <w:num w:numId="57">
    <w:abstractNumId w:val="9"/>
  </w:num>
  <w:num w:numId="58">
    <w:abstractNumId w:val="7"/>
  </w:num>
  <w:num w:numId="59">
    <w:abstractNumId w:val="6"/>
  </w:num>
  <w:num w:numId="60">
    <w:abstractNumId w:val="5"/>
  </w:num>
  <w:num w:numId="61">
    <w:abstractNumId w:val="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236A"/>
    <w:rsid w:val="0000279B"/>
    <w:rsid w:val="00005D70"/>
    <w:rsid w:val="00010510"/>
    <w:rsid w:val="00010F3B"/>
    <w:rsid w:val="0001143A"/>
    <w:rsid w:val="00011877"/>
    <w:rsid w:val="00025681"/>
    <w:rsid w:val="000265FC"/>
    <w:rsid w:val="0002705B"/>
    <w:rsid w:val="00030821"/>
    <w:rsid w:val="0003139A"/>
    <w:rsid w:val="00032D03"/>
    <w:rsid w:val="00044A44"/>
    <w:rsid w:val="000515EA"/>
    <w:rsid w:val="00060246"/>
    <w:rsid w:val="00064A90"/>
    <w:rsid w:val="00075FAF"/>
    <w:rsid w:val="0008650D"/>
    <w:rsid w:val="00087D8B"/>
    <w:rsid w:val="00093664"/>
    <w:rsid w:val="000B57E7"/>
    <w:rsid w:val="000B5E92"/>
    <w:rsid w:val="000D359E"/>
    <w:rsid w:val="000E06B7"/>
    <w:rsid w:val="000F09DF"/>
    <w:rsid w:val="000F61B2"/>
    <w:rsid w:val="001075E9"/>
    <w:rsid w:val="00107DA7"/>
    <w:rsid w:val="0011482B"/>
    <w:rsid w:val="001302CD"/>
    <w:rsid w:val="001310C5"/>
    <w:rsid w:val="001329DA"/>
    <w:rsid w:val="00143FE5"/>
    <w:rsid w:val="0015269E"/>
    <w:rsid w:val="00180183"/>
    <w:rsid w:val="00181601"/>
    <w:rsid w:val="00196389"/>
    <w:rsid w:val="001A0D92"/>
    <w:rsid w:val="001A65B0"/>
    <w:rsid w:val="001C7A89"/>
    <w:rsid w:val="001F3EC3"/>
    <w:rsid w:val="002045BD"/>
    <w:rsid w:val="00205748"/>
    <w:rsid w:val="00210A64"/>
    <w:rsid w:val="00216240"/>
    <w:rsid w:val="002500F7"/>
    <w:rsid w:val="0028222F"/>
    <w:rsid w:val="002967E3"/>
    <w:rsid w:val="002A2EFC"/>
    <w:rsid w:val="002B2EAE"/>
    <w:rsid w:val="002C2077"/>
    <w:rsid w:val="002C2A79"/>
    <w:rsid w:val="002D16F0"/>
    <w:rsid w:val="002D5AAC"/>
    <w:rsid w:val="002E4BD6"/>
    <w:rsid w:val="00301299"/>
    <w:rsid w:val="00305609"/>
    <w:rsid w:val="00313431"/>
    <w:rsid w:val="00322004"/>
    <w:rsid w:val="003402C2"/>
    <w:rsid w:val="00345E77"/>
    <w:rsid w:val="003538EB"/>
    <w:rsid w:val="00381C24"/>
    <w:rsid w:val="00384375"/>
    <w:rsid w:val="0039544E"/>
    <w:rsid w:val="003958D0"/>
    <w:rsid w:val="003A40DD"/>
    <w:rsid w:val="003A4C9D"/>
    <w:rsid w:val="003B0CA1"/>
    <w:rsid w:val="003D064D"/>
    <w:rsid w:val="003D2014"/>
    <w:rsid w:val="003D3899"/>
    <w:rsid w:val="003E0B97"/>
    <w:rsid w:val="003E236A"/>
    <w:rsid w:val="003E619E"/>
    <w:rsid w:val="003E6288"/>
    <w:rsid w:val="004102E6"/>
    <w:rsid w:val="0041031F"/>
    <w:rsid w:val="004275CD"/>
    <w:rsid w:val="00454E07"/>
    <w:rsid w:val="00455A72"/>
    <w:rsid w:val="004637C9"/>
    <w:rsid w:val="00475BFC"/>
    <w:rsid w:val="00477217"/>
    <w:rsid w:val="004916DE"/>
    <w:rsid w:val="004B19F2"/>
    <w:rsid w:val="0050108D"/>
    <w:rsid w:val="005016AF"/>
    <w:rsid w:val="005063E1"/>
    <w:rsid w:val="005076AF"/>
    <w:rsid w:val="0051540E"/>
    <w:rsid w:val="005208E3"/>
    <w:rsid w:val="0052159C"/>
    <w:rsid w:val="00530F3E"/>
    <w:rsid w:val="005409F0"/>
    <w:rsid w:val="0054675B"/>
    <w:rsid w:val="00566002"/>
    <w:rsid w:val="00572E19"/>
    <w:rsid w:val="00580985"/>
    <w:rsid w:val="0058589E"/>
    <w:rsid w:val="005901CE"/>
    <w:rsid w:val="005A67BF"/>
    <w:rsid w:val="005E1A6B"/>
    <w:rsid w:val="005E7594"/>
    <w:rsid w:val="005E79EA"/>
    <w:rsid w:val="005F0B42"/>
    <w:rsid w:val="005F14A5"/>
    <w:rsid w:val="005F316A"/>
    <w:rsid w:val="0060335F"/>
    <w:rsid w:val="00621030"/>
    <w:rsid w:val="0064421C"/>
    <w:rsid w:val="006545AE"/>
    <w:rsid w:val="00656DF7"/>
    <w:rsid w:val="00665772"/>
    <w:rsid w:val="00666B89"/>
    <w:rsid w:val="006E27AD"/>
    <w:rsid w:val="006F35EE"/>
    <w:rsid w:val="007060E5"/>
    <w:rsid w:val="00710CF8"/>
    <w:rsid w:val="00716C6F"/>
    <w:rsid w:val="007458C5"/>
    <w:rsid w:val="007464CC"/>
    <w:rsid w:val="00756976"/>
    <w:rsid w:val="00772C82"/>
    <w:rsid w:val="00782EEE"/>
    <w:rsid w:val="00786800"/>
    <w:rsid w:val="00792A63"/>
    <w:rsid w:val="007D1015"/>
    <w:rsid w:val="007D6339"/>
    <w:rsid w:val="007E4407"/>
    <w:rsid w:val="007E609E"/>
    <w:rsid w:val="00802199"/>
    <w:rsid w:val="00823A26"/>
    <w:rsid w:val="00830923"/>
    <w:rsid w:val="00832418"/>
    <w:rsid w:val="00834B71"/>
    <w:rsid w:val="00843D1E"/>
    <w:rsid w:val="00851CE6"/>
    <w:rsid w:val="00864389"/>
    <w:rsid w:val="0086445C"/>
    <w:rsid w:val="008A08D7"/>
    <w:rsid w:val="008B2C43"/>
    <w:rsid w:val="008B7315"/>
    <w:rsid w:val="008E1E93"/>
    <w:rsid w:val="008E6CFF"/>
    <w:rsid w:val="00903790"/>
    <w:rsid w:val="00906890"/>
    <w:rsid w:val="00914454"/>
    <w:rsid w:val="00916B76"/>
    <w:rsid w:val="009179A3"/>
    <w:rsid w:val="00921A21"/>
    <w:rsid w:val="00940180"/>
    <w:rsid w:val="009431AD"/>
    <w:rsid w:val="00951972"/>
    <w:rsid w:val="00957719"/>
    <w:rsid w:val="009620D0"/>
    <w:rsid w:val="00975343"/>
    <w:rsid w:val="00982E92"/>
    <w:rsid w:val="00985267"/>
    <w:rsid w:val="00987051"/>
    <w:rsid w:val="00992A83"/>
    <w:rsid w:val="009A1535"/>
    <w:rsid w:val="009C1EF1"/>
    <w:rsid w:val="009D3089"/>
    <w:rsid w:val="009E78C4"/>
    <w:rsid w:val="009F0B46"/>
    <w:rsid w:val="00A00CB2"/>
    <w:rsid w:val="00A0100D"/>
    <w:rsid w:val="00A445FC"/>
    <w:rsid w:val="00A500CE"/>
    <w:rsid w:val="00A645FF"/>
    <w:rsid w:val="00A90013"/>
    <w:rsid w:val="00A917B3"/>
    <w:rsid w:val="00A93DFB"/>
    <w:rsid w:val="00AB37BF"/>
    <w:rsid w:val="00AB4B51"/>
    <w:rsid w:val="00AB4EB2"/>
    <w:rsid w:val="00AB5ADC"/>
    <w:rsid w:val="00AB7892"/>
    <w:rsid w:val="00AC39C9"/>
    <w:rsid w:val="00AC58DC"/>
    <w:rsid w:val="00AE77C0"/>
    <w:rsid w:val="00AF0918"/>
    <w:rsid w:val="00B00108"/>
    <w:rsid w:val="00B0035A"/>
    <w:rsid w:val="00B03578"/>
    <w:rsid w:val="00B05775"/>
    <w:rsid w:val="00B10CC7"/>
    <w:rsid w:val="00B1211C"/>
    <w:rsid w:val="00B24FAB"/>
    <w:rsid w:val="00B62458"/>
    <w:rsid w:val="00B6350A"/>
    <w:rsid w:val="00B7479B"/>
    <w:rsid w:val="00B771DD"/>
    <w:rsid w:val="00B93A3F"/>
    <w:rsid w:val="00B96466"/>
    <w:rsid w:val="00BB19A7"/>
    <w:rsid w:val="00BB411A"/>
    <w:rsid w:val="00BB5656"/>
    <w:rsid w:val="00BB6E20"/>
    <w:rsid w:val="00BC116E"/>
    <w:rsid w:val="00BC161C"/>
    <w:rsid w:val="00BC1B42"/>
    <w:rsid w:val="00BD33EE"/>
    <w:rsid w:val="00BD4D4A"/>
    <w:rsid w:val="00C142E0"/>
    <w:rsid w:val="00C3111D"/>
    <w:rsid w:val="00C377E3"/>
    <w:rsid w:val="00C57180"/>
    <w:rsid w:val="00C60F0C"/>
    <w:rsid w:val="00C66443"/>
    <w:rsid w:val="00C671FF"/>
    <w:rsid w:val="00C73B86"/>
    <w:rsid w:val="00C805C9"/>
    <w:rsid w:val="00C90945"/>
    <w:rsid w:val="00C9179D"/>
    <w:rsid w:val="00CA1679"/>
    <w:rsid w:val="00CA6868"/>
    <w:rsid w:val="00CA728A"/>
    <w:rsid w:val="00CB2D68"/>
    <w:rsid w:val="00CD3121"/>
    <w:rsid w:val="00CE34F5"/>
    <w:rsid w:val="00CF548A"/>
    <w:rsid w:val="00CF7323"/>
    <w:rsid w:val="00D23B3F"/>
    <w:rsid w:val="00D24376"/>
    <w:rsid w:val="00D34FC4"/>
    <w:rsid w:val="00D40953"/>
    <w:rsid w:val="00D7003B"/>
    <w:rsid w:val="00D738F9"/>
    <w:rsid w:val="00D759B3"/>
    <w:rsid w:val="00D8257E"/>
    <w:rsid w:val="00D90138"/>
    <w:rsid w:val="00D97076"/>
    <w:rsid w:val="00DB7E27"/>
    <w:rsid w:val="00DC6544"/>
    <w:rsid w:val="00DD4D8D"/>
    <w:rsid w:val="00DE2E72"/>
    <w:rsid w:val="00DE3DA8"/>
    <w:rsid w:val="00DE42F3"/>
    <w:rsid w:val="00DE531C"/>
    <w:rsid w:val="00E018D6"/>
    <w:rsid w:val="00E062C6"/>
    <w:rsid w:val="00E10B3B"/>
    <w:rsid w:val="00E17986"/>
    <w:rsid w:val="00E2024E"/>
    <w:rsid w:val="00E21368"/>
    <w:rsid w:val="00E22DDA"/>
    <w:rsid w:val="00E32D1A"/>
    <w:rsid w:val="00E3587C"/>
    <w:rsid w:val="00E73F76"/>
    <w:rsid w:val="00E96C67"/>
    <w:rsid w:val="00EA138F"/>
    <w:rsid w:val="00EC2268"/>
    <w:rsid w:val="00EC30FC"/>
    <w:rsid w:val="00EC336B"/>
    <w:rsid w:val="00EF1360"/>
    <w:rsid w:val="00EF3220"/>
    <w:rsid w:val="00F06D48"/>
    <w:rsid w:val="00F1265C"/>
    <w:rsid w:val="00F33585"/>
    <w:rsid w:val="00F34558"/>
    <w:rsid w:val="00F36DAB"/>
    <w:rsid w:val="00F374F0"/>
    <w:rsid w:val="00F50157"/>
    <w:rsid w:val="00F62F36"/>
    <w:rsid w:val="00F81017"/>
    <w:rsid w:val="00F81D1C"/>
    <w:rsid w:val="00F850F2"/>
    <w:rsid w:val="00F875FF"/>
    <w:rsid w:val="00FB3223"/>
    <w:rsid w:val="00FB37F5"/>
    <w:rsid w:val="00FB6CD8"/>
    <w:rsid w:val="00FD2EF7"/>
    <w:rsid w:val="00FE624C"/>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EE5F83CD-D091-4501-96F7-090511F265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482B"/>
    <w:pPr>
      <w:spacing w:line="240" w:lineRule="atLeast"/>
    </w:pPr>
  </w:style>
  <w:style w:type="paragraph" w:styleId="Ttulo1">
    <w:name w:val="heading 1"/>
    <w:aliases w:val="Cuadro_G"/>
    <w:basedOn w:val="SingleTxtG"/>
    <w:next w:val="SingleTxtG"/>
    <w:link w:val="Ttulo1Car"/>
    <w:qFormat/>
    <w:rsid w:val="0011482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11482B"/>
    <w:pPr>
      <w:keepNext/>
      <w:outlineLvl w:val="1"/>
    </w:pPr>
    <w:rPr>
      <w:rFonts w:cs="Arial"/>
      <w:bCs/>
      <w:iCs/>
      <w:szCs w:val="28"/>
    </w:rPr>
  </w:style>
  <w:style w:type="paragraph" w:styleId="Ttulo3">
    <w:name w:val="heading 3"/>
    <w:basedOn w:val="Normal"/>
    <w:next w:val="Normal"/>
    <w:link w:val="Ttulo3Car"/>
    <w:rsid w:val="0011482B"/>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11482B"/>
    <w:pPr>
      <w:keepNext/>
      <w:spacing w:before="240" w:after="60"/>
      <w:outlineLvl w:val="3"/>
    </w:pPr>
    <w:rPr>
      <w:b/>
      <w:bCs/>
      <w:sz w:val="28"/>
      <w:szCs w:val="28"/>
    </w:rPr>
  </w:style>
  <w:style w:type="paragraph" w:styleId="Ttulo5">
    <w:name w:val="heading 5"/>
    <w:basedOn w:val="Normal"/>
    <w:next w:val="Normal"/>
    <w:link w:val="Ttulo5Car"/>
    <w:semiHidden/>
    <w:rsid w:val="0011482B"/>
    <w:pPr>
      <w:spacing w:before="240" w:after="60"/>
      <w:outlineLvl w:val="4"/>
    </w:pPr>
    <w:rPr>
      <w:b/>
      <w:bCs/>
      <w:i/>
      <w:iCs/>
      <w:sz w:val="26"/>
      <w:szCs w:val="26"/>
    </w:rPr>
  </w:style>
  <w:style w:type="paragraph" w:styleId="Ttulo6">
    <w:name w:val="heading 6"/>
    <w:basedOn w:val="Normal"/>
    <w:next w:val="Normal"/>
    <w:link w:val="Ttulo6Car"/>
    <w:semiHidden/>
    <w:rsid w:val="0011482B"/>
    <w:pPr>
      <w:spacing w:before="240" w:after="60"/>
      <w:outlineLvl w:val="5"/>
    </w:pPr>
    <w:rPr>
      <w:b/>
      <w:bCs/>
      <w:sz w:val="22"/>
      <w:szCs w:val="22"/>
    </w:rPr>
  </w:style>
  <w:style w:type="paragraph" w:styleId="Ttulo7">
    <w:name w:val="heading 7"/>
    <w:basedOn w:val="Normal"/>
    <w:next w:val="Normal"/>
    <w:link w:val="Ttulo7Car"/>
    <w:semiHidden/>
    <w:rsid w:val="0011482B"/>
    <w:pPr>
      <w:spacing w:before="240" w:after="60"/>
      <w:outlineLvl w:val="6"/>
    </w:pPr>
    <w:rPr>
      <w:sz w:val="24"/>
      <w:szCs w:val="24"/>
    </w:rPr>
  </w:style>
  <w:style w:type="paragraph" w:styleId="Ttulo8">
    <w:name w:val="heading 8"/>
    <w:basedOn w:val="Normal"/>
    <w:next w:val="Normal"/>
    <w:link w:val="Ttulo8Car"/>
    <w:semiHidden/>
    <w:rsid w:val="0011482B"/>
    <w:pPr>
      <w:spacing w:before="240" w:after="60"/>
      <w:outlineLvl w:val="7"/>
    </w:pPr>
    <w:rPr>
      <w:i/>
      <w:iCs/>
      <w:sz w:val="24"/>
      <w:szCs w:val="24"/>
    </w:rPr>
  </w:style>
  <w:style w:type="paragraph" w:styleId="Ttulo9">
    <w:name w:val="heading 9"/>
    <w:basedOn w:val="Normal"/>
    <w:next w:val="Normal"/>
    <w:link w:val="Ttulo9Car"/>
    <w:semiHidden/>
    <w:rsid w:val="0011482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11482B"/>
    <w:rPr>
      <w:rFonts w:ascii="Times New Roman" w:hAnsi="Times New Roman"/>
      <w:sz w:val="18"/>
      <w:vertAlign w:val="superscript"/>
    </w:rPr>
  </w:style>
  <w:style w:type="paragraph" w:customStyle="1" w:styleId="HMG">
    <w:name w:val="_ H __M_G"/>
    <w:basedOn w:val="Normal"/>
    <w:next w:val="Normal"/>
    <w:qFormat/>
    <w:rsid w:val="0011482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11482B"/>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11482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11482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11482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11482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1482B"/>
    <w:pPr>
      <w:pBdr>
        <w:bottom w:val="single" w:sz="4" w:space="4" w:color="auto"/>
      </w:pBdr>
      <w:spacing w:line="240" w:lineRule="auto"/>
    </w:pPr>
    <w:rPr>
      <w:b/>
      <w:sz w:val="18"/>
    </w:rPr>
  </w:style>
  <w:style w:type="paragraph" w:customStyle="1" w:styleId="SingleTxtG">
    <w:name w:val="_ Single Txt_G"/>
    <w:basedOn w:val="Normal"/>
    <w:qFormat/>
    <w:rsid w:val="0011482B"/>
    <w:pPr>
      <w:spacing w:after="120"/>
      <w:ind w:left="1134" w:right="1134"/>
      <w:jc w:val="both"/>
    </w:pPr>
  </w:style>
  <w:style w:type="paragraph" w:customStyle="1" w:styleId="SMG">
    <w:name w:val="__S_M_G"/>
    <w:basedOn w:val="Normal"/>
    <w:next w:val="Normal"/>
    <w:rsid w:val="0011482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11482B"/>
    <w:pPr>
      <w:keepNext/>
      <w:keepLines/>
      <w:spacing w:before="240" w:after="240" w:line="580" w:lineRule="exact"/>
      <w:ind w:left="1134" w:right="1134"/>
    </w:pPr>
    <w:rPr>
      <w:b/>
      <w:sz w:val="56"/>
    </w:rPr>
  </w:style>
  <w:style w:type="paragraph" w:customStyle="1" w:styleId="SSG">
    <w:name w:val="__S_S_G"/>
    <w:basedOn w:val="Normal"/>
    <w:next w:val="Normal"/>
    <w:rsid w:val="0011482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11482B"/>
    <w:rPr>
      <w:sz w:val="16"/>
    </w:rPr>
  </w:style>
  <w:style w:type="paragraph" w:customStyle="1" w:styleId="XLargeG">
    <w:name w:val="__XLarge_G"/>
    <w:basedOn w:val="Normal"/>
    <w:next w:val="Normal"/>
    <w:rsid w:val="0011482B"/>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11482B"/>
    <w:pPr>
      <w:tabs>
        <w:tab w:val="right" w:pos="1021"/>
      </w:tabs>
      <w:spacing w:line="220" w:lineRule="exact"/>
      <w:ind w:left="1134" w:right="1134" w:hanging="1134"/>
    </w:pPr>
    <w:rPr>
      <w:sz w:val="18"/>
    </w:rPr>
  </w:style>
  <w:style w:type="table" w:styleId="Tablaconcuadrcula">
    <w:name w:val="Table Grid"/>
    <w:basedOn w:val="Tablanormal"/>
    <w:rsid w:val="0011482B"/>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11482B"/>
    <w:pPr>
      <w:numPr>
        <w:numId w:val="3"/>
      </w:numPr>
    </w:pPr>
  </w:style>
  <w:style w:type="numbering" w:styleId="1ai">
    <w:name w:val="Outline List 1"/>
    <w:basedOn w:val="Sinlista"/>
    <w:semiHidden/>
    <w:rsid w:val="0011482B"/>
    <w:pPr>
      <w:numPr>
        <w:numId w:val="4"/>
      </w:numPr>
    </w:pPr>
  </w:style>
  <w:style w:type="character" w:styleId="AcrnimoHTML">
    <w:name w:val="HTML Acronym"/>
    <w:semiHidden/>
    <w:rsid w:val="0011482B"/>
  </w:style>
  <w:style w:type="numbering" w:styleId="ArtculoSeccin">
    <w:name w:val="Outline List 3"/>
    <w:basedOn w:val="Sinlista"/>
    <w:semiHidden/>
    <w:rsid w:val="0011482B"/>
    <w:pPr>
      <w:numPr>
        <w:numId w:val="5"/>
      </w:numPr>
    </w:pPr>
  </w:style>
  <w:style w:type="paragraph" w:styleId="Cierre">
    <w:name w:val="Closing"/>
    <w:basedOn w:val="Normal"/>
    <w:semiHidden/>
    <w:rsid w:val="0011482B"/>
    <w:pPr>
      <w:ind w:left="4252"/>
    </w:pPr>
  </w:style>
  <w:style w:type="character" w:styleId="CitaHTML">
    <w:name w:val="HTML Cite"/>
    <w:semiHidden/>
    <w:rsid w:val="0011482B"/>
    <w:rPr>
      <w:i/>
      <w:iCs/>
    </w:rPr>
  </w:style>
  <w:style w:type="character" w:styleId="CdigoHTML">
    <w:name w:val="HTML Code"/>
    <w:semiHidden/>
    <w:rsid w:val="0011482B"/>
    <w:rPr>
      <w:rFonts w:ascii="Courier New" w:hAnsi="Courier New" w:cs="Courier New"/>
      <w:sz w:val="20"/>
      <w:szCs w:val="20"/>
    </w:rPr>
  </w:style>
  <w:style w:type="paragraph" w:styleId="Continuarlista">
    <w:name w:val="List Continue"/>
    <w:basedOn w:val="Normal"/>
    <w:semiHidden/>
    <w:rsid w:val="0011482B"/>
    <w:pPr>
      <w:spacing w:after="120"/>
      <w:ind w:left="283"/>
    </w:pPr>
  </w:style>
  <w:style w:type="paragraph" w:styleId="Continuarlista2">
    <w:name w:val="List Continue 2"/>
    <w:basedOn w:val="Normal"/>
    <w:semiHidden/>
    <w:rsid w:val="0011482B"/>
    <w:pPr>
      <w:spacing w:after="120"/>
      <w:ind w:left="566"/>
    </w:pPr>
  </w:style>
  <w:style w:type="paragraph" w:styleId="Continuarlista3">
    <w:name w:val="List Continue 3"/>
    <w:basedOn w:val="Normal"/>
    <w:semiHidden/>
    <w:rsid w:val="0011482B"/>
    <w:pPr>
      <w:spacing w:after="120"/>
      <w:ind w:left="849"/>
    </w:pPr>
  </w:style>
  <w:style w:type="paragraph" w:styleId="Continuarlista4">
    <w:name w:val="List Continue 4"/>
    <w:basedOn w:val="Normal"/>
    <w:semiHidden/>
    <w:rsid w:val="0011482B"/>
    <w:pPr>
      <w:spacing w:after="120"/>
      <w:ind w:left="1132"/>
    </w:pPr>
  </w:style>
  <w:style w:type="paragraph" w:styleId="Continuarlista5">
    <w:name w:val="List Continue 5"/>
    <w:basedOn w:val="Normal"/>
    <w:semiHidden/>
    <w:rsid w:val="0011482B"/>
    <w:pPr>
      <w:spacing w:after="120"/>
      <w:ind w:left="1415"/>
    </w:pPr>
  </w:style>
  <w:style w:type="character" w:styleId="DefinicinHTML">
    <w:name w:val="HTML Definition"/>
    <w:semiHidden/>
    <w:rsid w:val="0011482B"/>
    <w:rPr>
      <w:i/>
      <w:iCs/>
    </w:rPr>
  </w:style>
  <w:style w:type="paragraph" w:styleId="DireccinHTML">
    <w:name w:val="HTML Address"/>
    <w:basedOn w:val="Normal"/>
    <w:semiHidden/>
    <w:rsid w:val="0011482B"/>
    <w:rPr>
      <w:i/>
      <w:iCs/>
    </w:rPr>
  </w:style>
  <w:style w:type="paragraph" w:styleId="Direccinsobre">
    <w:name w:val="envelope address"/>
    <w:basedOn w:val="Normal"/>
    <w:semiHidden/>
    <w:rsid w:val="0011482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11482B"/>
    <w:rPr>
      <w:rFonts w:ascii="Courier New" w:hAnsi="Courier New" w:cs="Courier New"/>
    </w:rPr>
  </w:style>
  <w:style w:type="paragraph" w:styleId="Encabezadodemensaje">
    <w:name w:val="Message Header"/>
    <w:basedOn w:val="Normal"/>
    <w:semiHidden/>
    <w:rsid w:val="001148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11482B"/>
  </w:style>
  <w:style w:type="character" w:styleId="nfasis">
    <w:name w:val="Emphasis"/>
    <w:semiHidden/>
    <w:rsid w:val="0011482B"/>
    <w:rPr>
      <w:i/>
      <w:iCs/>
    </w:rPr>
  </w:style>
  <w:style w:type="paragraph" w:styleId="Fecha">
    <w:name w:val="Date"/>
    <w:basedOn w:val="Normal"/>
    <w:next w:val="Normal"/>
    <w:semiHidden/>
    <w:rsid w:val="0011482B"/>
  </w:style>
  <w:style w:type="paragraph" w:styleId="Firma">
    <w:name w:val="Signature"/>
    <w:basedOn w:val="Normal"/>
    <w:semiHidden/>
    <w:rsid w:val="0011482B"/>
    <w:pPr>
      <w:ind w:left="4252"/>
    </w:pPr>
  </w:style>
  <w:style w:type="paragraph" w:styleId="Firmadecorreoelectrnico">
    <w:name w:val="E-mail Signature"/>
    <w:basedOn w:val="Normal"/>
    <w:semiHidden/>
    <w:rsid w:val="0011482B"/>
  </w:style>
  <w:style w:type="character" w:styleId="Hipervnculo">
    <w:name w:val="Hyperlink"/>
    <w:rsid w:val="0011482B"/>
    <w:rPr>
      <w:color w:val="0000FF"/>
      <w:u w:val="none"/>
    </w:rPr>
  </w:style>
  <w:style w:type="character" w:styleId="Hipervnculovisitado">
    <w:name w:val="FollowedHyperlink"/>
    <w:rsid w:val="0011482B"/>
    <w:rPr>
      <w:color w:val="0000FF"/>
      <w:u w:val="none"/>
    </w:rPr>
  </w:style>
  <w:style w:type="paragraph" w:styleId="HTMLconformatoprevio">
    <w:name w:val="HTML Preformatted"/>
    <w:basedOn w:val="Normal"/>
    <w:semiHidden/>
    <w:rsid w:val="0011482B"/>
    <w:rPr>
      <w:rFonts w:ascii="Courier New" w:hAnsi="Courier New" w:cs="Courier New"/>
    </w:rPr>
  </w:style>
  <w:style w:type="paragraph" w:styleId="Lista">
    <w:name w:val="List"/>
    <w:basedOn w:val="Normal"/>
    <w:semiHidden/>
    <w:rsid w:val="0011482B"/>
    <w:pPr>
      <w:ind w:left="283" w:hanging="283"/>
    </w:pPr>
  </w:style>
  <w:style w:type="paragraph" w:styleId="Lista2">
    <w:name w:val="List 2"/>
    <w:basedOn w:val="Normal"/>
    <w:semiHidden/>
    <w:rsid w:val="0011482B"/>
    <w:pPr>
      <w:ind w:left="566" w:hanging="283"/>
    </w:pPr>
  </w:style>
  <w:style w:type="paragraph" w:styleId="Lista3">
    <w:name w:val="List 3"/>
    <w:basedOn w:val="Normal"/>
    <w:semiHidden/>
    <w:rsid w:val="0011482B"/>
    <w:pPr>
      <w:ind w:left="849" w:hanging="283"/>
    </w:pPr>
  </w:style>
  <w:style w:type="paragraph" w:styleId="Lista4">
    <w:name w:val="List 4"/>
    <w:basedOn w:val="Normal"/>
    <w:semiHidden/>
    <w:rsid w:val="0011482B"/>
    <w:pPr>
      <w:ind w:left="1132" w:hanging="283"/>
    </w:pPr>
  </w:style>
  <w:style w:type="paragraph" w:styleId="Lista5">
    <w:name w:val="List 5"/>
    <w:basedOn w:val="Normal"/>
    <w:semiHidden/>
    <w:rsid w:val="0011482B"/>
    <w:pPr>
      <w:ind w:left="1415" w:hanging="283"/>
    </w:pPr>
  </w:style>
  <w:style w:type="paragraph" w:styleId="Listaconnmeros">
    <w:name w:val="List Number"/>
    <w:basedOn w:val="Normal"/>
    <w:semiHidden/>
    <w:rsid w:val="0011482B"/>
    <w:pPr>
      <w:numPr>
        <w:numId w:val="52"/>
      </w:numPr>
    </w:pPr>
  </w:style>
  <w:style w:type="paragraph" w:styleId="Listaconnmeros2">
    <w:name w:val="List Number 2"/>
    <w:basedOn w:val="Normal"/>
    <w:semiHidden/>
    <w:rsid w:val="0011482B"/>
    <w:pPr>
      <w:numPr>
        <w:numId w:val="53"/>
      </w:numPr>
    </w:pPr>
  </w:style>
  <w:style w:type="paragraph" w:styleId="Listaconnmeros3">
    <w:name w:val="List Number 3"/>
    <w:basedOn w:val="Normal"/>
    <w:semiHidden/>
    <w:rsid w:val="0011482B"/>
    <w:pPr>
      <w:numPr>
        <w:numId w:val="54"/>
      </w:numPr>
    </w:pPr>
  </w:style>
  <w:style w:type="paragraph" w:styleId="Listaconnmeros4">
    <w:name w:val="List Number 4"/>
    <w:basedOn w:val="Normal"/>
    <w:semiHidden/>
    <w:rsid w:val="0011482B"/>
    <w:pPr>
      <w:numPr>
        <w:numId w:val="55"/>
      </w:numPr>
    </w:pPr>
  </w:style>
  <w:style w:type="paragraph" w:styleId="Listaconnmeros5">
    <w:name w:val="List Number 5"/>
    <w:basedOn w:val="Normal"/>
    <w:semiHidden/>
    <w:rsid w:val="0011482B"/>
    <w:pPr>
      <w:numPr>
        <w:numId w:val="56"/>
      </w:numPr>
    </w:pPr>
  </w:style>
  <w:style w:type="paragraph" w:styleId="Listaconvietas">
    <w:name w:val="List Bullet"/>
    <w:basedOn w:val="Normal"/>
    <w:semiHidden/>
    <w:rsid w:val="0011482B"/>
    <w:pPr>
      <w:numPr>
        <w:numId w:val="57"/>
      </w:numPr>
    </w:pPr>
  </w:style>
  <w:style w:type="paragraph" w:styleId="Listaconvietas2">
    <w:name w:val="List Bullet 2"/>
    <w:basedOn w:val="Normal"/>
    <w:semiHidden/>
    <w:rsid w:val="0011482B"/>
    <w:pPr>
      <w:numPr>
        <w:numId w:val="58"/>
      </w:numPr>
    </w:pPr>
  </w:style>
  <w:style w:type="paragraph" w:styleId="Listaconvietas3">
    <w:name w:val="List Bullet 3"/>
    <w:basedOn w:val="Normal"/>
    <w:semiHidden/>
    <w:rsid w:val="0011482B"/>
    <w:pPr>
      <w:numPr>
        <w:numId w:val="59"/>
      </w:numPr>
    </w:pPr>
  </w:style>
  <w:style w:type="paragraph" w:styleId="Listaconvietas4">
    <w:name w:val="List Bullet 4"/>
    <w:basedOn w:val="Normal"/>
    <w:semiHidden/>
    <w:rsid w:val="0011482B"/>
    <w:pPr>
      <w:numPr>
        <w:numId w:val="60"/>
      </w:numPr>
    </w:pPr>
  </w:style>
  <w:style w:type="paragraph" w:styleId="Listaconvietas5">
    <w:name w:val="List Bullet 5"/>
    <w:basedOn w:val="Normal"/>
    <w:semiHidden/>
    <w:rsid w:val="0011482B"/>
    <w:pPr>
      <w:numPr>
        <w:numId w:val="61"/>
      </w:numPr>
    </w:pPr>
  </w:style>
  <w:style w:type="character" w:styleId="MquinadeescribirHTML">
    <w:name w:val="HTML Typewriter"/>
    <w:semiHidden/>
    <w:rsid w:val="0011482B"/>
    <w:rPr>
      <w:rFonts w:ascii="Courier New" w:hAnsi="Courier New" w:cs="Courier New"/>
      <w:sz w:val="20"/>
      <w:szCs w:val="20"/>
    </w:rPr>
  </w:style>
  <w:style w:type="paragraph" w:styleId="NormalWeb">
    <w:name w:val="Normal (Web)"/>
    <w:basedOn w:val="Normal"/>
    <w:rsid w:val="0011482B"/>
    <w:rPr>
      <w:sz w:val="24"/>
      <w:szCs w:val="24"/>
    </w:rPr>
  </w:style>
  <w:style w:type="character" w:styleId="Nmerodelnea">
    <w:name w:val="line number"/>
    <w:semiHidden/>
    <w:rsid w:val="0011482B"/>
  </w:style>
  <w:style w:type="character" w:styleId="Nmerodepgina">
    <w:name w:val="page number"/>
    <w:aliases w:val="7_G"/>
    <w:qFormat/>
    <w:rsid w:val="0011482B"/>
    <w:rPr>
      <w:b/>
      <w:sz w:val="18"/>
    </w:rPr>
  </w:style>
  <w:style w:type="character" w:styleId="Refdenotaalfinal">
    <w:name w:val="endnote reference"/>
    <w:aliases w:val="1_G"/>
    <w:qFormat/>
    <w:rsid w:val="0011482B"/>
    <w:rPr>
      <w:rFonts w:ascii="Times New Roman" w:hAnsi="Times New Roman"/>
      <w:sz w:val="18"/>
      <w:vertAlign w:val="superscript"/>
    </w:rPr>
  </w:style>
  <w:style w:type="paragraph" w:styleId="Remitedesobre">
    <w:name w:val="envelope return"/>
    <w:basedOn w:val="Normal"/>
    <w:semiHidden/>
    <w:rsid w:val="0011482B"/>
    <w:rPr>
      <w:rFonts w:ascii="Arial" w:hAnsi="Arial" w:cs="Arial"/>
    </w:rPr>
  </w:style>
  <w:style w:type="paragraph" w:styleId="Saludo">
    <w:name w:val="Salutation"/>
    <w:basedOn w:val="Normal"/>
    <w:next w:val="Normal"/>
    <w:semiHidden/>
    <w:rsid w:val="0011482B"/>
  </w:style>
  <w:style w:type="paragraph" w:styleId="Sangra2detindependiente">
    <w:name w:val="Body Text Indent 2"/>
    <w:basedOn w:val="Normal"/>
    <w:link w:val="Sangra2detindependienteCar"/>
    <w:rsid w:val="0011482B"/>
    <w:pPr>
      <w:spacing w:after="120" w:line="480" w:lineRule="auto"/>
      <w:ind w:left="283"/>
    </w:pPr>
  </w:style>
  <w:style w:type="paragraph" w:styleId="Sangra3detindependiente">
    <w:name w:val="Body Text Indent 3"/>
    <w:basedOn w:val="Normal"/>
    <w:link w:val="Sangra3detindependienteCar"/>
    <w:rsid w:val="0011482B"/>
    <w:pPr>
      <w:spacing w:after="120"/>
      <w:ind w:left="283"/>
    </w:pPr>
    <w:rPr>
      <w:sz w:val="16"/>
      <w:szCs w:val="16"/>
    </w:rPr>
  </w:style>
  <w:style w:type="paragraph" w:styleId="Sangradetextonormal">
    <w:name w:val="Body Text Indent"/>
    <w:basedOn w:val="Normal"/>
    <w:link w:val="SangradetextonormalCar"/>
    <w:rsid w:val="0011482B"/>
    <w:pPr>
      <w:spacing w:after="120"/>
      <w:ind w:left="283"/>
    </w:pPr>
  </w:style>
  <w:style w:type="paragraph" w:styleId="Sangranormal">
    <w:name w:val="Normal Indent"/>
    <w:basedOn w:val="Normal"/>
    <w:semiHidden/>
    <w:rsid w:val="0011482B"/>
    <w:pPr>
      <w:ind w:left="567"/>
    </w:pPr>
  </w:style>
  <w:style w:type="paragraph" w:styleId="Subttulo">
    <w:name w:val="Subtitle"/>
    <w:basedOn w:val="Normal"/>
    <w:semiHidden/>
    <w:rsid w:val="0011482B"/>
    <w:pPr>
      <w:spacing w:after="60"/>
      <w:jc w:val="center"/>
      <w:outlineLvl w:val="1"/>
    </w:pPr>
    <w:rPr>
      <w:rFonts w:ascii="Arial" w:hAnsi="Arial" w:cs="Arial"/>
      <w:sz w:val="24"/>
      <w:szCs w:val="24"/>
    </w:rPr>
  </w:style>
  <w:style w:type="table" w:styleId="Tablabsica1">
    <w:name w:val="Table Simple 1"/>
    <w:basedOn w:val="Tablanormal"/>
    <w:semiHidden/>
    <w:rsid w:val="0011482B"/>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11482B"/>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11482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11482B"/>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11482B"/>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11482B"/>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11482B"/>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11482B"/>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11482B"/>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11482B"/>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11482B"/>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11482B"/>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11482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11482B"/>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11482B"/>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11482B"/>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11482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11482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11482B"/>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11482B"/>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11482B"/>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11482B"/>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11482B"/>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11482B"/>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11482B"/>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11482B"/>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11482B"/>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11482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11482B"/>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11482B"/>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11482B"/>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11482B"/>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11482B"/>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11482B"/>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11482B"/>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11482B"/>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11482B"/>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11482B"/>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11482B"/>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11482B"/>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11482B"/>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11482B"/>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11482B"/>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11482B"/>
    <w:rPr>
      <w:rFonts w:ascii="Courier New" w:hAnsi="Courier New" w:cs="Courier New"/>
      <w:sz w:val="20"/>
      <w:szCs w:val="20"/>
    </w:rPr>
  </w:style>
  <w:style w:type="paragraph" w:styleId="Textodebloque">
    <w:name w:val="Block Text"/>
    <w:basedOn w:val="Normal"/>
    <w:rsid w:val="0011482B"/>
    <w:pPr>
      <w:spacing w:after="120"/>
      <w:ind w:left="1440" w:right="1440"/>
    </w:pPr>
  </w:style>
  <w:style w:type="character" w:styleId="Textoennegrita">
    <w:name w:val="Strong"/>
    <w:rsid w:val="0011482B"/>
    <w:rPr>
      <w:b/>
      <w:bCs/>
    </w:rPr>
  </w:style>
  <w:style w:type="paragraph" w:styleId="Textoindependiente">
    <w:name w:val="Body Text"/>
    <w:basedOn w:val="Normal"/>
    <w:link w:val="TextoindependienteCar"/>
    <w:rsid w:val="0011482B"/>
    <w:pPr>
      <w:spacing w:after="120"/>
    </w:pPr>
  </w:style>
  <w:style w:type="paragraph" w:styleId="Textoindependiente2">
    <w:name w:val="Body Text 2"/>
    <w:basedOn w:val="Normal"/>
    <w:link w:val="Textoindependiente2Car"/>
    <w:rsid w:val="0011482B"/>
    <w:pPr>
      <w:spacing w:after="120" w:line="480" w:lineRule="auto"/>
    </w:pPr>
  </w:style>
  <w:style w:type="paragraph" w:styleId="Textoindependiente3">
    <w:name w:val="Body Text 3"/>
    <w:basedOn w:val="Normal"/>
    <w:link w:val="Textoindependiente3Car"/>
    <w:rsid w:val="0011482B"/>
    <w:pPr>
      <w:spacing w:after="120"/>
    </w:pPr>
    <w:rPr>
      <w:sz w:val="16"/>
      <w:szCs w:val="16"/>
    </w:rPr>
  </w:style>
  <w:style w:type="paragraph" w:styleId="Textoindependienteprimerasangra">
    <w:name w:val="Body Text First Indent"/>
    <w:basedOn w:val="Textoindependiente"/>
    <w:semiHidden/>
    <w:rsid w:val="0011482B"/>
    <w:pPr>
      <w:ind w:firstLine="210"/>
    </w:pPr>
  </w:style>
  <w:style w:type="paragraph" w:styleId="Textoindependienteprimerasangra2">
    <w:name w:val="Body Text First Indent 2"/>
    <w:basedOn w:val="Sangradetextonormal"/>
    <w:semiHidden/>
    <w:rsid w:val="0011482B"/>
    <w:pPr>
      <w:ind w:firstLine="210"/>
    </w:pPr>
  </w:style>
  <w:style w:type="paragraph" w:styleId="Textonotaalfinal">
    <w:name w:val="endnote text"/>
    <w:aliases w:val="2_G"/>
    <w:basedOn w:val="Textonotapie"/>
    <w:link w:val="TextonotaalfinalCar"/>
    <w:qFormat/>
    <w:rsid w:val="0011482B"/>
  </w:style>
  <w:style w:type="paragraph" w:styleId="Textosinformato">
    <w:name w:val="Plain Text"/>
    <w:basedOn w:val="Normal"/>
    <w:link w:val="TextosinformatoCar"/>
    <w:rsid w:val="0011482B"/>
    <w:rPr>
      <w:rFonts w:ascii="Courier New" w:hAnsi="Courier New" w:cs="Courier New"/>
    </w:rPr>
  </w:style>
  <w:style w:type="paragraph" w:styleId="Ttulo">
    <w:name w:val="Title"/>
    <w:basedOn w:val="Normal"/>
    <w:link w:val="TtuloCar"/>
    <w:rsid w:val="0011482B"/>
    <w:pPr>
      <w:spacing w:before="240" w:after="60"/>
      <w:jc w:val="center"/>
      <w:outlineLvl w:val="0"/>
    </w:pPr>
    <w:rPr>
      <w:rFonts w:ascii="Arial" w:hAnsi="Arial" w:cs="Arial"/>
      <w:b/>
      <w:bCs/>
      <w:kern w:val="28"/>
      <w:sz w:val="32"/>
      <w:szCs w:val="32"/>
    </w:rPr>
  </w:style>
  <w:style w:type="character" w:styleId="VariableHTML">
    <w:name w:val="HTML Variable"/>
    <w:semiHidden/>
    <w:rsid w:val="0011482B"/>
    <w:rPr>
      <w:i/>
      <w:iCs/>
    </w:rPr>
  </w:style>
  <w:style w:type="paragraph" w:customStyle="1" w:styleId="Bullet1G">
    <w:name w:val="_Bullet 1_G"/>
    <w:basedOn w:val="Normal"/>
    <w:qFormat/>
    <w:rsid w:val="0011482B"/>
    <w:pPr>
      <w:numPr>
        <w:numId w:val="47"/>
      </w:numPr>
      <w:spacing w:after="120"/>
      <w:ind w:right="1134"/>
      <w:jc w:val="both"/>
    </w:pPr>
    <w:rPr>
      <w:lang w:eastAsia="en-US"/>
    </w:rPr>
  </w:style>
  <w:style w:type="paragraph" w:customStyle="1" w:styleId="Bullet2G">
    <w:name w:val="_Bullet 2_G"/>
    <w:basedOn w:val="Normal"/>
    <w:qFormat/>
    <w:rsid w:val="0011482B"/>
    <w:pPr>
      <w:numPr>
        <w:numId w:val="48"/>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link w:val="Textodeglobo"/>
    <w:semiHidden/>
    <w:rsid w:val="00DC6544"/>
    <w:rPr>
      <w:rFonts w:ascii="Tahoma" w:hAnsi="Tahoma" w:cs="Tahoma"/>
      <w:sz w:val="16"/>
      <w:szCs w:val="16"/>
      <w:lang w:val="es-ES" w:eastAsia="es-ES"/>
    </w:rPr>
  </w:style>
  <w:style w:type="paragraph" w:customStyle="1" w:styleId="ParNoG">
    <w:name w:val="_ParNo_G"/>
    <w:basedOn w:val="SingleTxtG"/>
    <w:qFormat/>
    <w:rsid w:val="00E96C67"/>
    <w:pPr>
      <w:numPr>
        <w:numId w:val="16"/>
      </w:numPr>
      <w:spacing w:line="240" w:lineRule="auto"/>
    </w:pPr>
    <w:rPr>
      <w:lang w:val="es-ES_tradnl" w:eastAsia="en-US"/>
    </w:rPr>
  </w:style>
  <w:style w:type="paragraph" w:customStyle="1" w:styleId="CarCar1Car">
    <w:name w:val="Car Car1 Car"/>
    <w:basedOn w:val="Normal"/>
    <w:rsid w:val="00E32D1A"/>
    <w:pPr>
      <w:spacing w:line="240" w:lineRule="auto"/>
    </w:pPr>
    <w:rPr>
      <w:rFonts w:ascii="Arial" w:hAnsi="Arial" w:cs="Arial"/>
      <w:sz w:val="24"/>
      <w:szCs w:val="24"/>
      <w:lang w:val="pl-PL" w:eastAsia="pl-PL"/>
    </w:rPr>
  </w:style>
  <w:style w:type="paragraph" w:customStyle="1" w:styleId="Default">
    <w:name w:val="Default"/>
    <w:rsid w:val="00E32D1A"/>
    <w:pPr>
      <w:autoSpaceDE w:val="0"/>
      <w:autoSpaceDN w:val="0"/>
      <w:adjustRightInd w:val="0"/>
    </w:pPr>
    <w:rPr>
      <w:color w:val="000000"/>
      <w:sz w:val="24"/>
      <w:szCs w:val="24"/>
    </w:rPr>
  </w:style>
  <w:style w:type="character" w:customStyle="1" w:styleId="Sangra2detindependienteCar">
    <w:name w:val="Sangría 2 de t. independiente Car"/>
    <w:link w:val="Sangra2detindependiente"/>
    <w:rsid w:val="00E32D1A"/>
  </w:style>
  <w:style w:type="character" w:customStyle="1" w:styleId="TextonotapieCar">
    <w:name w:val="Texto nota pie Car"/>
    <w:aliases w:val="5_G Car"/>
    <w:link w:val="Textonotapie"/>
    <w:rsid w:val="00E32D1A"/>
    <w:rPr>
      <w:sz w:val="18"/>
    </w:rPr>
  </w:style>
  <w:style w:type="character" w:customStyle="1" w:styleId="PrrafodelistaCar">
    <w:name w:val="Párrafo de lista Car"/>
    <w:aliases w:val="Párrafo1_viñeta Car"/>
    <w:link w:val="Prrafodelista"/>
    <w:uiPriority w:val="34"/>
    <w:locked/>
    <w:rsid w:val="00E32D1A"/>
    <w:rPr>
      <w:rFonts w:ascii="Calibri" w:eastAsia="Calibri" w:hAnsi="Calibri"/>
      <w:sz w:val="22"/>
      <w:szCs w:val="22"/>
      <w:lang w:eastAsia="en-US"/>
    </w:rPr>
  </w:style>
  <w:style w:type="paragraph" w:styleId="Prrafodelista">
    <w:name w:val="List Paragraph"/>
    <w:aliases w:val="Párrafo1_viñeta"/>
    <w:basedOn w:val="Normal"/>
    <w:link w:val="PrrafodelistaCar"/>
    <w:uiPriority w:val="34"/>
    <w:qFormat/>
    <w:rsid w:val="00E32D1A"/>
    <w:pPr>
      <w:spacing w:after="160" w:line="256" w:lineRule="auto"/>
      <w:ind w:left="720"/>
      <w:contextualSpacing/>
    </w:pPr>
    <w:rPr>
      <w:rFonts w:ascii="Calibri" w:eastAsia="Calibri" w:hAnsi="Calibri"/>
      <w:sz w:val="22"/>
      <w:szCs w:val="22"/>
      <w:lang w:val="en-US" w:eastAsia="en-US"/>
    </w:rPr>
  </w:style>
  <w:style w:type="character" w:customStyle="1" w:styleId="TextosinformatoCar">
    <w:name w:val="Texto sin formato Car"/>
    <w:link w:val="Textosinformato"/>
    <w:rsid w:val="00E32D1A"/>
    <w:rPr>
      <w:rFonts w:ascii="Courier New" w:hAnsi="Courier New" w:cs="Courier New"/>
    </w:rPr>
  </w:style>
  <w:style w:type="character" w:customStyle="1" w:styleId="Ttulo2Car">
    <w:name w:val="Título 2 Car"/>
    <w:link w:val="Ttulo2"/>
    <w:semiHidden/>
    <w:rsid w:val="00E32D1A"/>
    <w:rPr>
      <w:rFonts w:cs="Arial"/>
      <w:bCs/>
      <w:iCs/>
      <w:szCs w:val="28"/>
    </w:rPr>
  </w:style>
  <w:style w:type="character" w:customStyle="1" w:styleId="Ttulo1Car">
    <w:name w:val="Título 1 Car"/>
    <w:aliases w:val="Cuadro_G Car"/>
    <w:link w:val="Ttulo1"/>
    <w:rsid w:val="0011482B"/>
    <w:rPr>
      <w:lang w:val="fr-CH" w:eastAsia="en-US"/>
    </w:rPr>
  </w:style>
  <w:style w:type="character" w:customStyle="1" w:styleId="Ttulo3Car">
    <w:name w:val="Título 3 Car"/>
    <w:link w:val="Ttulo3"/>
    <w:rsid w:val="00E32D1A"/>
    <w:rPr>
      <w:rFonts w:ascii="Arial" w:hAnsi="Arial" w:cs="Arial"/>
      <w:b/>
      <w:bCs/>
      <w:sz w:val="26"/>
      <w:szCs w:val="26"/>
    </w:rPr>
  </w:style>
  <w:style w:type="character" w:customStyle="1" w:styleId="EncabezadoCar">
    <w:name w:val="Encabezado Car"/>
    <w:aliases w:val="6_G Car"/>
    <w:link w:val="Encabezado"/>
    <w:rsid w:val="00E32D1A"/>
    <w:rPr>
      <w:b/>
      <w:sz w:val="18"/>
    </w:rPr>
  </w:style>
  <w:style w:type="character" w:customStyle="1" w:styleId="PiedepginaCar">
    <w:name w:val="Pie de página Car"/>
    <w:aliases w:val="3_G Car"/>
    <w:link w:val="Piedepgina"/>
    <w:rsid w:val="00E32D1A"/>
    <w:rPr>
      <w:sz w:val="16"/>
    </w:rPr>
  </w:style>
  <w:style w:type="character" w:customStyle="1" w:styleId="TtuloCar">
    <w:name w:val="Título Car"/>
    <w:link w:val="Ttulo"/>
    <w:rsid w:val="00E32D1A"/>
    <w:rPr>
      <w:rFonts w:ascii="Arial" w:hAnsi="Arial" w:cs="Arial"/>
      <w:b/>
      <w:bCs/>
      <w:kern w:val="28"/>
      <w:sz w:val="32"/>
      <w:szCs w:val="32"/>
    </w:rPr>
  </w:style>
  <w:style w:type="character" w:customStyle="1" w:styleId="TextoindependienteCar">
    <w:name w:val="Texto independiente Car"/>
    <w:link w:val="Textoindependiente"/>
    <w:rsid w:val="00E32D1A"/>
  </w:style>
  <w:style w:type="character" w:customStyle="1" w:styleId="SangradetextonormalCar">
    <w:name w:val="Sangría de texto normal Car"/>
    <w:link w:val="Sangradetextonormal"/>
    <w:rsid w:val="00E32D1A"/>
  </w:style>
  <w:style w:type="character" w:customStyle="1" w:styleId="Textoindependiente2Car">
    <w:name w:val="Texto independiente 2 Car"/>
    <w:link w:val="Textoindependiente2"/>
    <w:rsid w:val="00E32D1A"/>
  </w:style>
  <w:style w:type="character" w:customStyle="1" w:styleId="Textoindependiente3Car">
    <w:name w:val="Texto independiente 3 Car"/>
    <w:link w:val="Textoindependiente3"/>
    <w:rsid w:val="00E32D1A"/>
    <w:rPr>
      <w:sz w:val="16"/>
      <w:szCs w:val="16"/>
    </w:rPr>
  </w:style>
  <w:style w:type="character" w:customStyle="1" w:styleId="Sangra3detindependienteCar">
    <w:name w:val="Sangría 3 de t. independiente Car"/>
    <w:link w:val="Sangra3detindependiente"/>
    <w:rsid w:val="00E32D1A"/>
    <w:rPr>
      <w:sz w:val="16"/>
      <w:szCs w:val="16"/>
    </w:rPr>
  </w:style>
  <w:style w:type="paragraph" w:customStyle="1" w:styleId="ESTANDAR">
    <w:name w:val="ESTANDAR"/>
    <w:basedOn w:val="Encabezado"/>
    <w:autoRedefine/>
    <w:rsid w:val="00E32D1A"/>
    <w:pPr>
      <w:pBdr>
        <w:bottom w:val="none" w:sz="0" w:space="0" w:color="auto"/>
      </w:pBdr>
      <w:jc w:val="both"/>
    </w:pPr>
    <w:rPr>
      <w:rFonts w:ascii="Arial" w:hAnsi="Arial" w:cs="Arial"/>
      <w:b w:val="0"/>
      <w:bCs/>
      <w:sz w:val="24"/>
      <w:szCs w:val="24"/>
      <w:lang w:val="es-ES_tradnl"/>
    </w:rPr>
  </w:style>
  <w:style w:type="paragraph" w:customStyle="1" w:styleId="2">
    <w:name w:val="2."/>
    <w:basedOn w:val="Normal"/>
    <w:rsid w:val="00E32D1A"/>
    <w:pPr>
      <w:spacing w:line="240" w:lineRule="auto"/>
      <w:jc w:val="both"/>
    </w:pPr>
    <w:rPr>
      <w:sz w:val="24"/>
      <w:lang w:val="es-ES_tradnl"/>
    </w:rPr>
  </w:style>
  <w:style w:type="paragraph" w:customStyle="1" w:styleId="ListParagraph1">
    <w:name w:val="List Paragraph1"/>
    <w:basedOn w:val="Normal"/>
    <w:rsid w:val="00E32D1A"/>
    <w:pPr>
      <w:spacing w:after="200" w:line="276" w:lineRule="auto"/>
      <w:ind w:left="720"/>
      <w:contextualSpacing/>
    </w:pPr>
    <w:rPr>
      <w:rFonts w:ascii="Calibri" w:hAnsi="Calibri"/>
      <w:sz w:val="22"/>
      <w:szCs w:val="22"/>
      <w:lang w:val="en-US" w:eastAsia="en-US"/>
    </w:rPr>
  </w:style>
  <w:style w:type="character" w:customStyle="1" w:styleId="caps">
    <w:name w:val="caps"/>
    <w:rsid w:val="00E32D1A"/>
    <w:rPr>
      <w:rFonts w:ascii="Times New Roman" w:hAnsi="Times New Roman" w:cs="Times New Roman" w:hint="default"/>
    </w:rPr>
  </w:style>
  <w:style w:type="table" w:styleId="Sombreadoclaro">
    <w:name w:val="Light Shading"/>
    <w:basedOn w:val="Tablanormal"/>
    <w:uiPriority w:val="60"/>
    <w:rsid w:val="00E32D1A"/>
    <w:rPr>
      <w:color w:val="000000"/>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1">
    <w:name w:val="Light Shading Accent 1"/>
    <w:basedOn w:val="Tablanormal"/>
    <w:uiPriority w:val="60"/>
    <w:rsid w:val="00E32D1A"/>
    <w:rPr>
      <w:color w:val="2E74B5"/>
    </w:rPr>
    <w:tblPr>
      <w:tblStyleRowBandSize w:val="1"/>
      <w:tblStyleColBandSize w:val="1"/>
      <w:tblInd w:w="0" w:type="nil"/>
      <w:tblBorders>
        <w:top w:val="single" w:sz="8" w:space="0" w:color="5B9BD5"/>
        <w:bottom w:val="single" w:sz="8" w:space="0" w:color="5B9BD5"/>
      </w:tblBorders>
    </w:tblPr>
    <w:tblStylePr w:type="firstRow">
      <w:pPr>
        <w:spacing w:beforeLines="0" w:before="0" w:beforeAutospacing="0" w:afterLines="0" w:after="0" w:afterAutospacing="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Sombreadoclaro-nfasis11">
    <w:name w:val="Sombreado claro - Énfasis 11"/>
    <w:basedOn w:val="Tablanormal"/>
    <w:uiPriority w:val="60"/>
    <w:rsid w:val="00E32D1A"/>
    <w:rPr>
      <w:rFonts w:ascii="Calibri" w:eastAsia="Calibri" w:hAnsi="Calibri"/>
      <w:color w:val="365F91"/>
      <w:sz w:val="22"/>
      <w:szCs w:val="22"/>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32D1A"/>
    <w:rPr>
      <w:rFonts w:ascii="Calibri" w:eastAsia="Calibri" w:hAnsi="Calibri"/>
      <w:color w:val="000000"/>
      <w:sz w:val="22"/>
      <w:szCs w:val="22"/>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Cuerpodeltexto2">
    <w:name w:val="Cuerpo del texto (2)_"/>
    <w:link w:val="Cuerpodeltexto20"/>
    <w:rsid w:val="00E32D1A"/>
    <w:rPr>
      <w:sz w:val="21"/>
      <w:szCs w:val="21"/>
      <w:shd w:val="clear" w:color="auto" w:fill="FFFFFF"/>
    </w:rPr>
  </w:style>
  <w:style w:type="paragraph" w:customStyle="1" w:styleId="Cuerpodeltexto20">
    <w:name w:val="Cuerpo del texto (2)"/>
    <w:basedOn w:val="Normal"/>
    <w:link w:val="Cuerpodeltexto2"/>
    <w:rsid w:val="00E32D1A"/>
    <w:pPr>
      <w:widowControl w:val="0"/>
      <w:shd w:val="clear" w:color="auto" w:fill="FFFFFF"/>
      <w:spacing w:before="740" w:after="200" w:line="298" w:lineRule="exact"/>
      <w:jc w:val="both"/>
    </w:pPr>
    <w:rPr>
      <w:sz w:val="21"/>
      <w:szCs w:val="21"/>
      <w:lang w:val="en-US" w:eastAsia="zh-CN"/>
    </w:rPr>
  </w:style>
  <w:style w:type="character" w:customStyle="1" w:styleId="TextonotaalfinalCar">
    <w:name w:val="Texto nota al final Car"/>
    <w:aliases w:val="2_G Car"/>
    <w:link w:val="Textonotaalfinal"/>
    <w:rsid w:val="00E32D1A"/>
    <w:rPr>
      <w:sz w:val="18"/>
    </w:rPr>
  </w:style>
  <w:style w:type="character" w:styleId="Refdecomentario">
    <w:name w:val="annotation reference"/>
    <w:rsid w:val="00E32D1A"/>
    <w:rPr>
      <w:sz w:val="16"/>
      <w:szCs w:val="16"/>
    </w:rPr>
  </w:style>
  <w:style w:type="paragraph" w:styleId="Textocomentario">
    <w:name w:val="annotation text"/>
    <w:basedOn w:val="Normal"/>
    <w:link w:val="TextocomentarioCar"/>
    <w:rsid w:val="00E32D1A"/>
    <w:pPr>
      <w:spacing w:line="240" w:lineRule="auto"/>
    </w:pPr>
  </w:style>
  <w:style w:type="character" w:customStyle="1" w:styleId="TextocomentarioCar">
    <w:name w:val="Texto comentario Car"/>
    <w:link w:val="Textocomentario"/>
    <w:rsid w:val="00E32D1A"/>
    <w:rPr>
      <w:lang w:val="es-ES" w:eastAsia="es-ES"/>
    </w:rPr>
  </w:style>
  <w:style w:type="paragraph" w:styleId="Asuntodelcomentario">
    <w:name w:val="annotation subject"/>
    <w:basedOn w:val="Textocomentario"/>
    <w:next w:val="Textocomentario"/>
    <w:link w:val="AsuntodelcomentarioCar"/>
    <w:rsid w:val="00E32D1A"/>
    <w:rPr>
      <w:b/>
      <w:bCs/>
    </w:rPr>
  </w:style>
  <w:style w:type="character" w:customStyle="1" w:styleId="AsuntodelcomentarioCar">
    <w:name w:val="Asunto del comentario Car"/>
    <w:link w:val="Asuntodelcomentario"/>
    <w:rsid w:val="00E32D1A"/>
    <w:rPr>
      <w:b/>
      <w:bCs/>
      <w:lang w:val="es-ES" w:eastAsia="es-ES"/>
    </w:rPr>
  </w:style>
  <w:style w:type="paragraph" w:styleId="Revisin">
    <w:name w:val="Revision"/>
    <w:hidden/>
    <w:uiPriority w:val="99"/>
    <w:semiHidden/>
    <w:rsid w:val="00E32D1A"/>
  </w:style>
  <w:style w:type="table" w:styleId="Cuadrculamedia3-nfasis1">
    <w:name w:val="Medium Grid 3 Accent 1"/>
    <w:basedOn w:val="Tablanormal"/>
    <w:uiPriority w:val="69"/>
    <w:rsid w:val="00E32D1A"/>
    <w:rPr>
      <w:rFonts w:ascii="Arial" w:eastAsia="Calibri" w:hAnsi="Arial" w:cs="Arial"/>
      <w:snapToGrid w:val="0"/>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media3-nfasis11">
    <w:name w:val="Cuadrícula media 3 - Énfasis 11"/>
    <w:basedOn w:val="Tablanormal"/>
    <w:next w:val="Cuadrculamedia3-nfasis1"/>
    <w:uiPriority w:val="69"/>
    <w:rsid w:val="00E32D1A"/>
    <w:rPr>
      <w:rFonts w:ascii="Arial" w:eastAsia="Calibri" w:hAnsi="Arial" w:cs="Arial"/>
      <w:snapToGrid w:val="0"/>
      <w:sz w:val="22"/>
      <w:szCs w:val="22"/>
      <w:lang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customStyle="1" w:styleId="Ttulo4Car">
    <w:name w:val="Título 4 Car"/>
    <w:link w:val="Ttulo4"/>
    <w:rsid w:val="00384375"/>
    <w:rPr>
      <w:b/>
      <w:bCs/>
      <w:sz w:val="28"/>
      <w:szCs w:val="28"/>
    </w:rPr>
  </w:style>
  <w:style w:type="character" w:customStyle="1" w:styleId="Ttulo5Car">
    <w:name w:val="Título 5 Car"/>
    <w:link w:val="Ttulo5"/>
    <w:semiHidden/>
    <w:rsid w:val="00384375"/>
    <w:rPr>
      <w:b/>
      <w:bCs/>
      <w:i/>
      <w:iCs/>
      <w:sz w:val="26"/>
      <w:szCs w:val="26"/>
    </w:rPr>
  </w:style>
  <w:style w:type="character" w:customStyle="1" w:styleId="Ttulo6Car">
    <w:name w:val="Título 6 Car"/>
    <w:link w:val="Ttulo6"/>
    <w:semiHidden/>
    <w:rsid w:val="00384375"/>
    <w:rPr>
      <w:b/>
      <w:bCs/>
      <w:sz w:val="22"/>
      <w:szCs w:val="22"/>
    </w:rPr>
  </w:style>
  <w:style w:type="character" w:customStyle="1" w:styleId="Ttulo7Car">
    <w:name w:val="Título 7 Car"/>
    <w:link w:val="Ttulo7"/>
    <w:semiHidden/>
    <w:rsid w:val="00384375"/>
    <w:rPr>
      <w:sz w:val="24"/>
      <w:szCs w:val="24"/>
    </w:rPr>
  </w:style>
  <w:style w:type="character" w:customStyle="1" w:styleId="Ttulo8Car">
    <w:name w:val="Título 8 Car"/>
    <w:link w:val="Ttulo8"/>
    <w:semiHidden/>
    <w:rsid w:val="00384375"/>
    <w:rPr>
      <w:i/>
      <w:iCs/>
      <w:sz w:val="24"/>
      <w:szCs w:val="24"/>
    </w:rPr>
  </w:style>
  <w:style w:type="character" w:customStyle="1" w:styleId="Ttulo9Car">
    <w:name w:val="Título 9 Car"/>
    <w:link w:val="Ttulo9"/>
    <w:semiHidden/>
    <w:rsid w:val="00384375"/>
    <w:rPr>
      <w:rFonts w:ascii="Arial" w:hAnsi="Arial" w:cs="Arial"/>
      <w:sz w:val="22"/>
      <w:szCs w:val="22"/>
    </w:rPr>
  </w:style>
  <w:style w:type="paragraph" w:customStyle="1" w:styleId="ParaNoG">
    <w:name w:val="_ParaNo._G"/>
    <w:basedOn w:val="SingleTxtG"/>
    <w:rsid w:val="00384375"/>
    <w:pPr>
      <w:numPr>
        <w:numId w:val="41"/>
      </w:numPr>
      <w:suppressAutoHyphens/>
    </w:pPr>
    <w:rPr>
      <w:rFonts w:eastAsia="SimSun"/>
      <w:lang w:val="en-GB" w:eastAsia="zh-CN"/>
    </w:rPr>
  </w:style>
  <w:style w:type="paragraph" w:styleId="Citadestacada">
    <w:name w:val="Intense Quote"/>
    <w:basedOn w:val="Normal"/>
    <w:next w:val="Normal"/>
    <w:link w:val="CitadestacadaCar"/>
    <w:uiPriority w:val="30"/>
    <w:rsid w:val="0011482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11482B"/>
    <w:rPr>
      <w:b/>
      <w:bCs/>
      <w:i/>
      <w:iCs/>
      <w:color w:val="4F81BD"/>
    </w:rPr>
  </w:style>
  <w:style w:type="character" w:styleId="nfasisintenso">
    <w:name w:val="Intense Emphasis"/>
    <w:uiPriority w:val="21"/>
    <w:rsid w:val="0011482B"/>
    <w:rPr>
      <w:b/>
      <w:bCs/>
      <w:i/>
      <w:iCs/>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774025">
      <w:bodyDiv w:val="1"/>
      <w:marLeft w:val="0"/>
      <w:marRight w:val="0"/>
      <w:marTop w:val="0"/>
      <w:marBottom w:val="0"/>
      <w:divBdr>
        <w:top w:val="none" w:sz="0" w:space="0" w:color="auto"/>
        <w:left w:val="none" w:sz="0" w:space="0" w:color="auto"/>
        <w:bottom w:val="none" w:sz="0" w:space="0" w:color="auto"/>
        <w:right w:val="none" w:sz="0" w:space="0" w:color="auto"/>
      </w:divBdr>
    </w:div>
    <w:div w:id="378172153">
      <w:bodyDiv w:val="1"/>
      <w:marLeft w:val="0"/>
      <w:marRight w:val="0"/>
      <w:marTop w:val="0"/>
      <w:marBottom w:val="0"/>
      <w:divBdr>
        <w:top w:val="none" w:sz="0" w:space="0" w:color="auto"/>
        <w:left w:val="none" w:sz="0" w:space="0" w:color="auto"/>
        <w:bottom w:val="none" w:sz="0" w:space="0" w:color="auto"/>
        <w:right w:val="none" w:sz="0" w:space="0" w:color="auto"/>
      </w:divBdr>
    </w:div>
    <w:div w:id="442041557">
      <w:bodyDiv w:val="1"/>
      <w:marLeft w:val="0"/>
      <w:marRight w:val="0"/>
      <w:marTop w:val="0"/>
      <w:marBottom w:val="0"/>
      <w:divBdr>
        <w:top w:val="none" w:sz="0" w:space="0" w:color="auto"/>
        <w:left w:val="none" w:sz="0" w:space="0" w:color="auto"/>
        <w:bottom w:val="none" w:sz="0" w:space="0" w:color="auto"/>
        <w:right w:val="none" w:sz="0" w:space="0" w:color="auto"/>
      </w:divBdr>
    </w:div>
    <w:div w:id="448672222">
      <w:bodyDiv w:val="1"/>
      <w:marLeft w:val="0"/>
      <w:marRight w:val="0"/>
      <w:marTop w:val="0"/>
      <w:marBottom w:val="0"/>
      <w:divBdr>
        <w:top w:val="none" w:sz="0" w:space="0" w:color="auto"/>
        <w:left w:val="none" w:sz="0" w:space="0" w:color="auto"/>
        <w:bottom w:val="none" w:sz="0" w:space="0" w:color="auto"/>
        <w:right w:val="none" w:sz="0" w:space="0" w:color="auto"/>
      </w:divBdr>
    </w:div>
    <w:div w:id="467868803">
      <w:bodyDiv w:val="1"/>
      <w:marLeft w:val="0"/>
      <w:marRight w:val="0"/>
      <w:marTop w:val="0"/>
      <w:marBottom w:val="0"/>
      <w:divBdr>
        <w:top w:val="none" w:sz="0" w:space="0" w:color="auto"/>
        <w:left w:val="none" w:sz="0" w:space="0" w:color="auto"/>
        <w:bottom w:val="none" w:sz="0" w:space="0" w:color="auto"/>
        <w:right w:val="none" w:sz="0" w:space="0" w:color="auto"/>
      </w:divBdr>
    </w:div>
    <w:div w:id="535654555">
      <w:bodyDiv w:val="1"/>
      <w:marLeft w:val="0"/>
      <w:marRight w:val="0"/>
      <w:marTop w:val="0"/>
      <w:marBottom w:val="0"/>
      <w:divBdr>
        <w:top w:val="none" w:sz="0" w:space="0" w:color="auto"/>
        <w:left w:val="none" w:sz="0" w:space="0" w:color="auto"/>
        <w:bottom w:val="none" w:sz="0" w:space="0" w:color="auto"/>
        <w:right w:val="none" w:sz="0" w:space="0" w:color="auto"/>
      </w:divBdr>
    </w:div>
    <w:div w:id="1052655291">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 w:id="1282491040">
      <w:bodyDiv w:val="1"/>
      <w:marLeft w:val="0"/>
      <w:marRight w:val="0"/>
      <w:marTop w:val="0"/>
      <w:marBottom w:val="0"/>
      <w:divBdr>
        <w:top w:val="none" w:sz="0" w:space="0" w:color="auto"/>
        <w:left w:val="none" w:sz="0" w:space="0" w:color="auto"/>
        <w:bottom w:val="none" w:sz="0" w:space="0" w:color="auto"/>
        <w:right w:val="none" w:sz="0" w:space="0" w:color="auto"/>
      </w:divBdr>
    </w:div>
    <w:div w:id="1287195160">
      <w:bodyDiv w:val="1"/>
      <w:marLeft w:val="0"/>
      <w:marRight w:val="0"/>
      <w:marTop w:val="0"/>
      <w:marBottom w:val="0"/>
      <w:divBdr>
        <w:top w:val="none" w:sz="0" w:space="0" w:color="auto"/>
        <w:left w:val="none" w:sz="0" w:space="0" w:color="auto"/>
        <w:bottom w:val="none" w:sz="0" w:space="0" w:color="auto"/>
        <w:right w:val="none" w:sz="0" w:space="0" w:color="auto"/>
      </w:divBdr>
    </w:div>
    <w:div w:id="1315836287">
      <w:bodyDiv w:val="1"/>
      <w:marLeft w:val="0"/>
      <w:marRight w:val="0"/>
      <w:marTop w:val="0"/>
      <w:marBottom w:val="0"/>
      <w:divBdr>
        <w:top w:val="none" w:sz="0" w:space="0" w:color="auto"/>
        <w:left w:val="none" w:sz="0" w:space="0" w:color="auto"/>
        <w:bottom w:val="none" w:sz="0" w:space="0" w:color="auto"/>
        <w:right w:val="none" w:sz="0" w:space="0" w:color="auto"/>
      </w:divBdr>
    </w:div>
    <w:div w:id="1347908373">
      <w:bodyDiv w:val="1"/>
      <w:marLeft w:val="0"/>
      <w:marRight w:val="0"/>
      <w:marTop w:val="0"/>
      <w:marBottom w:val="0"/>
      <w:divBdr>
        <w:top w:val="none" w:sz="0" w:space="0" w:color="auto"/>
        <w:left w:val="none" w:sz="0" w:space="0" w:color="auto"/>
        <w:bottom w:val="none" w:sz="0" w:space="0" w:color="auto"/>
        <w:right w:val="none" w:sz="0" w:space="0" w:color="auto"/>
      </w:divBdr>
    </w:div>
    <w:div w:id="1364598471">
      <w:bodyDiv w:val="1"/>
      <w:marLeft w:val="0"/>
      <w:marRight w:val="0"/>
      <w:marTop w:val="0"/>
      <w:marBottom w:val="0"/>
      <w:divBdr>
        <w:top w:val="none" w:sz="0" w:space="0" w:color="auto"/>
        <w:left w:val="none" w:sz="0" w:space="0" w:color="auto"/>
        <w:bottom w:val="none" w:sz="0" w:space="0" w:color="auto"/>
        <w:right w:val="none" w:sz="0" w:space="0" w:color="auto"/>
      </w:divBdr>
    </w:div>
    <w:div w:id="1784692257">
      <w:bodyDiv w:val="1"/>
      <w:marLeft w:val="0"/>
      <w:marRight w:val="0"/>
      <w:marTop w:val="0"/>
      <w:marBottom w:val="0"/>
      <w:divBdr>
        <w:top w:val="none" w:sz="0" w:space="0" w:color="auto"/>
        <w:left w:val="none" w:sz="0" w:space="0" w:color="auto"/>
        <w:bottom w:val="none" w:sz="0" w:space="0" w:color="auto"/>
        <w:right w:val="none" w:sz="0" w:space="0" w:color="auto"/>
      </w:divBdr>
    </w:div>
    <w:div w:id="20580470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image" Target="media/image11.png"/><Relationship Id="rId39" Type="http://schemas.openxmlformats.org/officeDocument/2006/relationships/hyperlink" Target="http://www.msssi.gob.es/novedades/docs/PIAF-2015-2017.pdf" TargetMode="External"/><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hyperlink" Target="http://asistenciavictimasdiscriminacion.org/" TargetMode="External"/><Relationship Id="rId42" Type="http://schemas.openxmlformats.org/officeDocument/2006/relationships/hyperlink" Target="http://www.boe.es/boe/dias/2012/12/08/pdfs/BOE-A-2012-14907.pdf" TargetMode="External"/><Relationship Id="rId47" Type="http://schemas.openxmlformats.org/officeDocument/2006/relationships/hyperlink" Target="http://www.igualdadenlaempresa.es" TargetMode="External"/><Relationship Id="rId50"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hyperlink" Target="https://www.boe.es/boe/dias/2015/12/10/pdfs/BOE-A-2015-13387.pdf" TargetMode="External"/><Relationship Id="rId46" Type="http://schemas.openxmlformats.org/officeDocument/2006/relationships/hyperlink" Target="http://www.tribunalconstitucional.es/es/jurisprudencia/paginas/Sentencia.aspx?cod=20788" TargetMode="Externa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image" Target="media/image5.emf"/><Relationship Id="rId29" Type="http://schemas.openxmlformats.org/officeDocument/2006/relationships/image" Target="media/image14.png"/><Relationship Id="rId41" Type="http://schemas.openxmlformats.org/officeDocument/2006/relationships/hyperlink" Target="http://www.sepg.pap.minhap.gob.es/sitios/sepg/es-ES/Presupuestos/Documentacion/Documents/INFORMES%20IMPACTO%20DE%20GENERO/IIG_201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9.emf"/><Relationship Id="rId32" Type="http://schemas.openxmlformats.org/officeDocument/2006/relationships/image" Target="media/image17.png"/><Relationship Id="rId37" Type="http://schemas.openxmlformats.org/officeDocument/2006/relationships/hyperlink" Target="http://www.inmujer.gob.es/actualidad/NovedadesNuevas/docs/2015/PlanMujeresMediorural2015_2018.pdf" TargetMode="External"/><Relationship Id="rId40" Type="http://schemas.openxmlformats.org/officeDocument/2006/relationships/hyperlink" Target="http://www.inmujer.gob.es/actualidad/NovedadesNuevas/docs/2016/Informe_Periodico_LOIEMH_2012_2013.pdf" TargetMode="External"/><Relationship Id="rId45" Type="http://schemas.openxmlformats.org/officeDocument/2006/relationships/hyperlink" Target="https://www.boe.es/diario_boe/txt.php?id=BOE-A-2016-5193"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8.emf"/><Relationship Id="rId28" Type="http://schemas.openxmlformats.org/officeDocument/2006/relationships/image" Target="media/image13.png"/><Relationship Id="rId36" Type="http://schemas.openxmlformats.org/officeDocument/2006/relationships/hyperlink" Target="http://www.inmujer.gob.es/areasTematicas/sociedadInfo/docs/PlanAccionSocInformacion.pdf" TargetMode="External"/><Relationship Id="rId49" Type="http://schemas.openxmlformats.org/officeDocument/2006/relationships/header" Target="header6.xml"/><Relationship Id="rId10" Type="http://schemas.openxmlformats.org/officeDocument/2006/relationships/header" Target="header1.xml"/><Relationship Id="rId19" Type="http://schemas.openxmlformats.org/officeDocument/2006/relationships/image" Target="media/image4.emf"/><Relationship Id="rId31" Type="http://schemas.openxmlformats.org/officeDocument/2006/relationships/image" Target="media/image16.png"/><Relationship Id="rId44" Type="http://schemas.openxmlformats.org/officeDocument/2006/relationships/hyperlink" Target="http://www.ine.es/ss/Satellite?L=0&amp;c=INEPublicacion_C&amp;cid=1259924822888&amp;p=1254735110672&amp;pagename=ProductosYServicios%2FPYSLayout&amp;param1=PYSDetalleGratuitas"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sssi.gob.es/ssi/familiasInfancia/inclusionSocial/docs/InformeSeguimientoEvaluacionPNAIN2013-16.pdf" TargetMode="External"/><Relationship Id="rId14" Type="http://schemas.openxmlformats.org/officeDocument/2006/relationships/footer" Target="footer3.xml"/><Relationship Id="rId22" Type="http://schemas.openxmlformats.org/officeDocument/2006/relationships/image" Target="media/image7.emf"/><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expinterweb.empleo.gob.es/oberaxe/inicio_descargaFichero?bibliotecaDatoId=207" TargetMode="External"/><Relationship Id="rId43" Type="http://schemas.openxmlformats.org/officeDocument/2006/relationships/hyperlink" Target="http://www.inmujer.gob.es/MujerCifras/Home.htm" TargetMode="External"/><Relationship Id="rId48" Type="http://schemas.openxmlformats.org/officeDocument/2006/relationships/header" Target="header5.xml"/><Relationship Id="rId8" Type="http://schemas.openxmlformats.org/officeDocument/2006/relationships/image" Target="media/image1.wmf"/><Relationship Id="rId51"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igualdadenlaempresa.es/novedades/boletin/docs/Boletin_Igualdad_en_la_Empresa_BIE_n_23.pdf" TargetMode="External"/><Relationship Id="rId1" Type="http://schemas.openxmlformats.org/officeDocument/2006/relationships/hyperlink" Target="http://www.yosoytuviveladiversida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E\E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B9AF2-7351-4AC1-A295-DC6EF7DB9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E_S.dotm</Template>
  <TotalTime>1</TotalTime>
  <Pages>53</Pages>
  <Words>21707</Words>
  <Characters>119391</Characters>
  <Application>Microsoft Office Word</Application>
  <DocSecurity>0</DocSecurity>
  <Lines>994</Lines>
  <Paragraphs>281</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E/C.12/ESP/6</vt:lpstr>
      <vt:lpstr>E/C.12/ESP/6</vt:lpstr>
      <vt:lpstr>E/C.12/ESP/6</vt:lpstr>
    </vt:vector>
  </TitlesOfParts>
  <Company>OHCHR</Company>
  <LinksUpToDate>false</LinksUpToDate>
  <CharactersWithSpaces>140817</CharactersWithSpaces>
  <SharedDoc>false</SharedDoc>
  <HLinks>
    <vt:vector size="108" baseType="variant">
      <vt:variant>
        <vt:i4>6815848</vt:i4>
      </vt:variant>
      <vt:variant>
        <vt:i4>42</vt:i4>
      </vt:variant>
      <vt:variant>
        <vt:i4>0</vt:i4>
      </vt:variant>
      <vt:variant>
        <vt:i4>5</vt:i4>
      </vt:variant>
      <vt:variant>
        <vt:lpwstr>http://www.igualdadenlaempresa.es/</vt:lpwstr>
      </vt:variant>
      <vt:variant>
        <vt:lpwstr/>
      </vt:variant>
      <vt:variant>
        <vt:i4>3080242</vt:i4>
      </vt:variant>
      <vt:variant>
        <vt:i4>39</vt:i4>
      </vt:variant>
      <vt:variant>
        <vt:i4>0</vt:i4>
      </vt:variant>
      <vt:variant>
        <vt:i4>5</vt:i4>
      </vt:variant>
      <vt:variant>
        <vt:lpwstr>http://www.tribunalconstitucional.es/es/jurisprudencia/paginas/Sentencia.aspx?cod=20788</vt:lpwstr>
      </vt:variant>
      <vt:variant>
        <vt:lpwstr/>
      </vt:variant>
      <vt:variant>
        <vt:i4>2490447</vt:i4>
      </vt:variant>
      <vt:variant>
        <vt:i4>36</vt:i4>
      </vt:variant>
      <vt:variant>
        <vt:i4>0</vt:i4>
      </vt:variant>
      <vt:variant>
        <vt:i4>5</vt:i4>
      </vt:variant>
      <vt:variant>
        <vt:lpwstr>https://www.boe.es/diario_boe/txt.php?id=BOE-A-2016-5193</vt:lpwstr>
      </vt:variant>
      <vt:variant>
        <vt:lpwstr/>
      </vt:variant>
      <vt:variant>
        <vt:i4>4980769</vt:i4>
      </vt:variant>
      <vt:variant>
        <vt:i4>33</vt:i4>
      </vt:variant>
      <vt:variant>
        <vt:i4>0</vt:i4>
      </vt:variant>
      <vt:variant>
        <vt:i4>5</vt:i4>
      </vt:variant>
      <vt:variant>
        <vt:lpwstr>http://www.ine.es/ss/Satellite?L=0&amp;c=INEPublicacion_C&amp;cid=1259924822888&amp;p=1254735110672&amp;pagename=ProductosYServicios%2FPYSLayout&amp;param1=PYSDetalleGratuitas</vt:lpwstr>
      </vt:variant>
      <vt:variant>
        <vt:lpwstr/>
      </vt:variant>
      <vt:variant>
        <vt:i4>2883696</vt:i4>
      </vt:variant>
      <vt:variant>
        <vt:i4>30</vt:i4>
      </vt:variant>
      <vt:variant>
        <vt:i4>0</vt:i4>
      </vt:variant>
      <vt:variant>
        <vt:i4>5</vt:i4>
      </vt:variant>
      <vt:variant>
        <vt:lpwstr>http://www.inmujer.gob.es/MujerCifras/Home.htm</vt:lpwstr>
      </vt:variant>
      <vt:variant>
        <vt:lpwstr/>
      </vt:variant>
      <vt:variant>
        <vt:i4>2883696</vt:i4>
      </vt:variant>
      <vt:variant>
        <vt:i4>27</vt:i4>
      </vt:variant>
      <vt:variant>
        <vt:i4>0</vt:i4>
      </vt:variant>
      <vt:variant>
        <vt:i4>5</vt:i4>
      </vt:variant>
      <vt:variant>
        <vt:lpwstr>http://www.boe.es/boe/dias/2012/12/08/pdfs/BOE-A-2012-14907.pdf</vt:lpwstr>
      </vt:variant>
      <vt:variant>
        <vt:lpwstr/>
      </vt:variant>
      <vt:variant>
        <vt:i4>6291486</vt:i4>
      </vt:variant>
      <vt:variant>
        <vt:i4>24</vt:i4>
      </vt:variant>
      <vt:variant>
        <vt:i4>0</vt:i4>
      </vt:variant>
      <vt:variant>
        <vt:i4>5</vt:i4>
      </vt:variant>
      <vt:variant>
        <vt:lpwstr>http://www.sepg.pap.minhap.gob.es/sitios/sepg/es-ES/Presupuestos/Documentacion/Documents/INFORMES IMPACTO DE GENERO/IIG_2016.pdf</vt:lpwstr>
      </vt:variant>
      <vt:variant>
        <vt:lpwstr/>
      </vt:variant>
      <vt:variant>
        <vt:i4>3670064</vt:i4>
      </vt:variant>
      <vt:variant>
        <vt:i4>21</vt:i4>
      </vt:variant>
      <vt:variant>
        <vt:i4>0</vt:i4>
      </vt:variant>
      <vt:variant>
        <vt:i4>5</vt:i4>
      </vt:variant>
      <vt:variant>
        <vt:lpwstr>http://www.inmujer.gob.es/actualidad/NovedadesNuevas/docs/2016/Informe_Periodico_LOIEMH_2012_2013.pdf</vt:lpwstr>
      </vt:variant>
      <vt:variant>
        <vt:lpwstr/>
      </vt:variant>
      <vt:variant>
        <vt:i4>6160473</vt:i4>
      </vt:variant>
      <vt:variant>
        <vt:i4>18</vt:i4>
      </vt:variant>
      <vt:variant>
        <vt:i4>0</vt:i4>
      </vt:variant>
      <vt:variant>
        <vt:i4>5</vt:i4>
      </vt:variant>
      <vt:variant>
        <vt:lpwstr>http://www.msssi.gob.es/novedades/docs/PIAF-2015-2017.pdf</vt:lpwstr>
      </vt:variant>
      <vt:variant>
        <vt:lpwstr/>
      </vt:variant>
      <vt:variant>
        <vt:i4>786505</vt:i4>
      </vt:variant>
      <vt:variant>
        <vt:i4>15</vt:i4>
      </vt:variant>
      <vt:variant>
        <vt:i4>0</vt:i4>
      </vt:variant>
      <vt:variant>
        <vt:i4>5</vt:i4>
      </vt:variant>
      <vt:variant>
        <vt:lpwstr>https://www.boe.es/boe/dias/2015/12/10/pdfs/BOE-A-2015-13387.pdf</vt:lpwstr>
      </vt:variant>
      <vt:variant>
        <vt:lpwstr/>
      </vt:variant>
      <vt:variant>
        <vt:i4>983099</vt:i4>
      </vt:variant>
      <vt:variant>
        <vt:i4>12</vt:i4>
      </vt:variant>
      <vt:variant>
        <vt:i4>0</vt:i4>
      </vt:variant>
      <vt:variant>
        <vt:i4>5</vt:i4>
      </vt:variant>
      <vt:variant>
        <vt:lpwstr>http://www.inmujer.gob.es/actualidad/NovedadesNuevas/docs/2015/PlanMujeresMediorural2015_2018.pdf</vt:lpwstr>
      </vt:variant>
      <vt:variant>
        <vt:lpwstr/>
      </vt:variant>
      <vt:variant>
        <vt:i4>7864363</vt:i4>
      </vt:variant>
      <vt:variant>
        <vt:i4>9</vt:i4>
      </vt:variant>
      <vt:variant>
        <vt:i4>0</vt:i4>
      </vt:variant>
      <vt:variant>
        <vt:i4>5</vt:i4>
      </vt:variant>
      <vt:variant>
        <vt:lpwstr>http://www.inmujer.gob.es/areasTematicas/sociedadInfo/docs/PlanAccionSocInformacion.pdf</vt:lpwstr>
      </vt:variant>
      <vt:variant>
        <vt:lpwstr/>
      </vt:variant>
      <vt:variant>
        <vt:i4>6094960</vt:i4>
      </vt:variant>
      <vt:variant>
        <vt:i4>6</vt:i4>
      </vt:variant>
      <vt:variant>
        <vt:i4>0</vt:i4>
      </vt:variant>
      <vt:variant>
        <vt:i4>5</vt:i4>
      </vt:variant>
      <vt:variant>
        <vt:lpwstr>https://expinterweb.empleo.gob.es/oberaxe/inicio_descargaFichero?bibliotecaDatoId=207</vt:lpwstr>
      </vt:variant>
      <vt:variant>
        <vt:lpwstr/>
      </vt:variant>
      <vt:variant>
        <vt:i4>5505033</vt:i4>
      </vt:variant>
      <vt:variant>
        <vt:i4>3</vt:i4>
      </vt:variant>
      <vt:variant>
        <vt:i4>0</vt:i4>
      </vt:variant>
      <vt:variant>
        <vt:i4>5</vt:i4>
      </vt:variant>
      <vt:variant>
        <vt:lpwstr>http://asistenciavictimasdiscriminacion.org/</vt:lpwstr>
      </vt:variant>
      <vt:variant>
        <vt:lpwstr/>
      </vt:variant>
      <vt:variant>
        <vt:i4>6684709</vt:i4>
      </vt:variant>
      <vt:variant>
        <vt:i4>0</vt:i4>
      </vt:variant>
      <vt:variant>
        <vt:i4>0</vt:i4>
      </vt:variant>
      <vt:variant>
        <vt:i4>5</vt:i4>
      </vt:variant>
      <vt:variant>
        <vt:lpwstr>http://www.msssi.gob.es/ssi/familiasInfancia/inclusionSocial/docs/InformeSeguimientoEvaluacionPNAIN2013-16.pdf</vt:lpwstr>
      </vt:variant>
      <vt:variant>
        <vt:lpwstr/>
      </vt:variant>
      <vt:variant>
        <vt:i4>6357086</vt:i4>
      </vt:variant>
      <vt:variant>
        <vt:i4>6</vt:i4>
      </vt:variant>
      <vt:variant>
        <vt:i4>0</vt:i4>
      </vt:variant>
      <vt:variant>
        <vt:i4>5</vt:i4>
      </vt:variant>
      <vt:variant>
        <vt:lpwstr>http://www.igualdadenlaempresa.es/novedades/boletin/docs/Boletin_Igualdad_en_la_Empresa_BIE_n_23.pdf</vt:lpwstr>
      </vt:variant>
      <vt:variant>
        <vt:lpwstr/>
      </vt:variant>
      <vt:variant>
        <vt:i4>3735570</vt:i4>
      </vt:variant>
      <vt:variant>
        <vt:i4>3</vt:i4>
      </vt:variant>
      <vt:variant>
        <vt:i4>0</vt:i4>
      </vt:variant>
      <vt:variant>
        <vt:i4>5</vt:i4>
      </vt:variant>
      <vt:variant>
        <vt:lpwstr>http://www.empleo.gob.es/itss/web/Que_hacemos/Estadisticas/index.html</vt:lpwstr>
      </vt:variant>
      <vt:variant>
        <vt:lpwstr/>
      </vt:variant>
      <vt:variant>
        <vt:i4>7340092</vt:i4>
      </vt:variant>
      <vt:variant>
        <vt:i4>0</vt:i4>
      </vt:variant>
      <vt:variant>
        <vt:i4>0</vt:i4>
      </vt:variant>
      <vt:variant>
        <vt:i4>5</vt:i4>
      </vt:variant>
      <vt:variant>
        <vt:lpwstr>http://www.yosoytuviveladiversidad.gob.es/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E/C.12/ESP/6</dc:title>
  <dc:subject/>
  <dc:creator>Generic TPSSPA1</dc:creator>
  <cp:keywords/>
  <dc:description/>
  <cp:lastModifiedBy>Generic TPSSPA1</cp:lastModifiedBy>
  <cp:revision>3</cp:revision>
  <cp:lastPrinted>2017-10-31T16:11:00Z</cp:lastPrinted>
  <dcterms:created xsi:type="dcterms:W3CDTF">2017-10-31T16:11:00Z</dcterms:created>
  <dcterms:modified xsi:type="dcterms:W3CDTF">2017-10-31T16:12:00Z</dcterms:modified>
</cp:coreProperties>
</file>