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FB75AD" w14:paraId="58659BE9" w14:textId="77777777" w:rsidTr="005B51C4">
        <w:trPr>
          <w:trHeight w:hRule="exact" w:val="851"/>
        </w:trPr>
        <w:tc>
          <w:tcPr>
            <w:tcW w:w="1274" w:type="dxa"/>
            <w:tcBorders>
              <w:bottom w:val="single" w:sz="4" w:space="0" w:color="auto"/>
            </w:tcBorders>
            <w:shd w:val="clear" w:color="auto" w:fill="auto"/>
          </w:tcPr>
          <w:p w14:paraId="34AB9561" w14:textId="77777777" w:rsidR="006B3E27" w:rsidRPr="00FB75AD" w:rsidRDefault="006B3E27" w:rsidP="00CD4995">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358E7159" w14:textId="77777777" w:rsidR="006B3E27" w:rsidRPr="00FB75AD" w:rsidRDefault="006B3E27" w:rsidP="00730446">
            <w:pPr>
              <w:spacing w:after="80" w:line="480" w:lineRule="exact"/>
              <w:ind w:left="57"/>
              <w:rPr>
                <w:sz w:val="30"/>
                <w:szCs w:val="30"/>
                <w:rtl/>
              </w:rPr>
            </w:pPr>
            <w:r w:rsidRPr="00FB75AD">
              <w:rPr>
                <w:rFonts w:hint="cs"/>
                <w:sz w:val="30"/>
                <w:szCs w:val="30"/>
                <w:rtl/>
              </w:rPr>
              <w:t>الأمم المتحدة</w:t>
            </w:r>
          </w:p>
        </w:tc>
        <w:tc>
          <w:tcPr>
            <w:tcW w:w="3828" w:type="dxa"/>
            <w:tcBorders>
              <w:bottom w:val="single" w:sz="4" w:space="0" w:color="auto"/>
            </w:tcBorders>
            <w:shd w:val="clear" w:color="auto" w:fill="auto"/>
            <w:vAlign w:val="bottom"/>
          </w:tcPr>
          <w:p w14:paraId="349F2545" w14:textId="3F5D35AA" w:rsidR="006B3E27" w:rsidRPr="00FB75AD" w:rsidRDefault="00BC10E5" w:rsidP="00BC10E5">
            <w:pPr>
              <w:bidi w:val="0"/>
              <w:rPr>
                <w:szCs w:val="20"/>
              </w:rPr>
            </w:pPr>
            <w:r w:rsidRPr="00FB75AD">
              <w:rPr>
                <w:sz w:val="40"/>
                <w:szCs w:val="20"/>
              </w:rPr>
              <w:t>CCPR</w:t>
            </w:r>
            <w:r w:rsidRPr="00FB75AD">
              <w:rPr>
                <w:szCs w:val="20"/>
              </w:rPr>
              <w:t>/C/137/3</w:t>
            </w:r>
          </w:p>
        </w:tc>
      </w:tr>
      <w:tr w:rsidR="006B3E27" w:rsidRPr="00FB75AD" w14:paraId="0E2E8796" w14:textId="77777777" w:rsidTr="005B51C4">
        <w:trPr>
          <w:trHeight w:hRule="exact" w:val="2835"/>
        </w:trPr>
        <w:tc>
          <w:tcPr>
            <w:tcW w:w="1274" w:type="dxa"/>
            <w:tcBorders>
              <w:top w:val="single" w:sz="4" w:space="0" w:color="auto"/>
              <w:bottom w:val="single" w:sz="12" w:space="0" w:color="auto"/>
            </w:tcBorders>
            <w:shd w:val="clear" w:color="auto" w:fill="auto"/>
          </w:tcPr>
          <w:p w14:paraId="4D1B1D4C" w14:textId="77777777" w:rsidR="006B3E27" w:rsidRPr="00FB75AD" w:rsidRDefault="00E2228E" w:rsidP="009A0CFB">
            <w:pPr>
              <w:spacing w:before="120"/>
              <w:jc w:val="center"/>
              <w:rPr>
                <w:sz w:val="56"/>
                <w:szCs w:val="56"/>
                <w:rtl/>
              </w:rPr>
            </w:pPr>
            <w:r w:rsidRPr="00FB75AD">
              <w:rPr>
                <w:noProof/>
                <w:sz w:val="56"/>
                <w:szCs w:val="56"/>
              </w:rPr>
              <w:drawing>
                <wp:inline distT="0" distB="0" distL="0" distR="0" wp14:anchorId="68584B8B" wp14:editId="1E570397">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43FDCC7" w14:textId="77777777" w:rsidR="006B3E27" w:rsidRPr="00FB75AD" w:rsidRDefault="00ED7442" w:rsidP="00730446">
            <w:pPr>
              <w:spacing w:before="120" w:after="40" w:line="640" w:lineRule="exact"/>
              <w:ind w:left="57"/>
              <w:rPr>
                <w:b/>
                <w:bCs/>
                <w:sz w:val="46"/>
                <w:szCs w:val="46"/>
              </w:rPr>
            </w:pPr>
            <w:r w:rsidRPr="00FB75AD">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6D2D266" w14:textId="7CA8A6AF" w:rsidR="006B3E27" w:rsidRPr="00FB75AD" w:rsidRDefault="00BC10E5" w:rsidP="004B27E0">
            <w:pPr>
              <w:bidi w:val="0"/>
              <w:spacing w:before="240"/>
              <w:rPr>
                <w:szCs w:val="20"/>
              </w:rPr>
            </w:pPr>
            <w:r w:rsidRPr="00FB75AD">
              <w:rPr>
                <w:szCs w:val="20"/>
              </w:rPr>
              <w:t>Dist</w:t>
            </w:r>
            <w:r w:rsidR="00C11BB0" w:rsidRPr="00FB75AD">
              <w:rPr>
                <w:szCs w:val="20"/>
              </w:rPr>
              <w:t>r.</w:t>
            </w:r>
            <w:r w:rsidR="00264402" w:rsidRPr="00FB75AD">
              <w:t>:</w:t>
            </w:r>
            <w:r w:rsidRPr="00FB75AD">
              <w:rPr>
                <w:szCs w:val="20"/>
              </w:rPr>
              <w:t xml:space="preserve"> General</w:t>
            </w:r>
          </w:p>
          <w:p w14:paraId="30CD95D0" w14:textId="6ABA51D9" w:rsidR="00BC10E5" w:rsidRPr="00FB75AD" w:rsidRDefault="00C11BB0" w:rsidP="00C11BB0">
            <w:pPr>
              <w:bidi w:val="0"/>
              <w:spacing w:line="240" w:lineRule="exact"/>
              <w:jc w:val="left"/>
              <w:rPr>
                <w:szCs w:val="20"/>
              </w:rPr>
            </w:pPr>
            <w:r w:rsidRPr="00FB75AD">
              <w:rPr>
                <w:szCs w:val="20"/>
              </w:rPr>
              <w:t>6 March 2024</w:t>
            </w:r>
          </w:p>
          <w:p w14:paraId="6AD63C7B" w14:textId="77777777" w:rsidR="00BC10E5" w:rsidRPr="00FB75AD" w:rsidRDefault="00BC10E5" w:rsidP="00BC10E5">
            <w:pPr>
              <w:bidi w:val="0"/>
              <w:spacing w:line="240" w:lineRule="exact"/>
              <w:jc w:val="left"/>
              <w:rPr>
                <w:szCs w:val="20"/>
              </w:rPr>
            </w:pPr>
            <w:r w:rsidRPr="00FB75AD">
              <w:rPr>
                <w:szCs w:val="20"/>
              </w:rPr>
              <w:t>Arabic</w:t>
            </w:r>
          </w:p>
          <w:p w14:paraId="410594E9" w14:textId="07CD2F90" w:rsidR="00BC10E5" w:rsidRPr="00FB75AD" w:rsidRDefault="00BC10E5" w:rsidP="00BC10E5">
            <w:pPr>
              <w:bidi w:val="0"/>
              <w:spacing w:line="240" w:lineRule="exact"/>
              <w:jc w:val="left"/>
              <w:rPr>
                <w:szCs w:val="20"/>
              </w:rPr>
            </w:pPr>
            <w:r w:rsidRPr="00FB75AD">
              <w:rPr>
                <w:szCs w:val="20"/>
              </w:rPr>
              <w:t>Origina</w:t>
            </w:r>
            <w:r w:rsidR="00C11BB0" w:rsidRPr="00FB75AD">
              <w:rPr>
                <w:szCs w:val="20"/>
              </w:rPr>
              <w:t>l</w:t>
            </w:r>
            <w:r w:rsidR="00264402" w:rsidRPr="00FB75AD">
              <w:t>:</w:t>
            </w:r>
            <w:r w:rsidR="00C11BB0" w:rsidRPr="00FB75AD">
              <w:rPr>
                <w:szCs w:val="20"/>
              </w:rPr>
              <w:t xml:space="preserve"> </w:t>
            </w:r>
            <w:r w:rsidRPr="00FB75AD">
              <w:rPr>
                <w:szCs w:val="20"/>
              </w:rPr>
              <w:t>English</w:t>
            </w:r>
          </w:p>
        </w:tc>
      </w:tr>
    </w:tbl>
    <w:p w14:paraId="2B970B95" w14:textId="77777777" w:rsidR="008D21EA" w:rsidRPr="00FB75AD" w:rsidRDefault="008D21EA" w:rsidP="008D21EA">
      <w:pPr>
        <w:spacing w:before="120" w:after="120" w:line="360" w:lineRule="exact"/>
        <w:rPr>
          <w:b/>
          <w:bCs/>
          <w:sz w:val="24"/>
          <w:szCs w:val="26"/>
        </w:rPr>
      </w:pPr>
      <w:r w:rsidRPr="00FB75AD">
        <w:rPr>
          <w:b/>
          <w:bCs/>
          <w:sz w:val="24"/>
          <w:szCs w:val="26"/>
          <w:rtl/>
        </w:rPr>
        <w:t>اللجنة المعنية بحقوق الإنسان</w:t>
      </w:r>
    </w:p>
    <w:p w14:paraId="5CA40EB2" w14:textId="77777777" w:rsidR="008D21EA" w:rsidRPr="00FB75AD" w:rsidRDefault="008D21EA" w:rsidP="008D21EA">
      <w:pPr>
        <w:pStyle w:val="HChGA"/>
        <w:rPr>
          <w:lang w:val="en-US"/>
        </w:rPr>
      </w:pPr>
      <w:r w:rsidRPr="00FB75AD">
        <w:rPr>
          <w:rtl/>
          <w:lang w:val="en-US"/>
        </w:rPr>
        <w:tab/>
      </w:r>
      <w:r w:rsidRPr="00FB75AD">
        <w:rPr>
          <w:rtl/>
          <w:lang w:val="en-US"/>
        </w:rPr>
        <w:tab/>
        <w:t>تقرير متابعة مرحلي بشأن البلاغات الفردية</w:t>
      </w:r>
    </w:p>
    <w:p w14:paraId="1CD4AC04" w14:textId="349286CC" w:rsidR="008D21EA" w:rsidRPr="00FB75AD" w:rsidRDefault="008D21EA" w:rsidP="008D21EA">
      <w:pPr>
        <w:pStyle w:val="H1GA"/>
        <w:rPr>
          <w:lang w:val="en-US"/>
        </w:rPr>
      </w:pPr>
      <w:r w:rsidRPr="00FB75AD">
        <w:rPr>
          <w:rtl/>
          <w:lang w:val="en-US"/>
        </w:rPr>
        <w:tab/>
        <w:t>ألف-</w:t>
      </w:r>
      <w:r w:rsidRPr="00FB75AD">
        <w:rPr>
          <w:rtl/>
          <w:lang w:val="en-US"/>
        </w:rPr>
        <w:tab/>
        <w:t>مقدمة</w:t>
      </w:r>
    </w:p>
    <w:p w14:paraId="25D7D7C4" w14:textId="22CAF0B8" w:rsidR="008D21EA" w:rsidRPr="00FB75AD" w:rsidRDefault="008D21EA" w:rsidP="008D21EA">
      <w:pPr>
        <w:pStyle w:val="SingleTxtGA"/>
        <w:rPr>
          <w:szCs w:val="20"/>
          <w:lang w:val="en-US" w:eastAsia="zh-TW"/>
        </w:rPr>
      </w:pPr>
      <w:r w:rsidRPr="00FB75AD">
        <w:rPr>
          <w:szCs w:val="20"/>
          <w:rtl/>
          <w:lang w:val="en-US"/>
        </w:rPr>
        <w:t>1-</w:t>
      </w:r>
      <w:r w:rsidRPr="00FB75AD">
        <w:rPr>
          <w:rtl/>
          <w:lang w:val="en-US"/>
        </w:rPr>
        <w:tab/>
        <w:t xml:space="preserve">حددت اللجنة المعنية بحقوق الإنسان، في دورتها التاسعة والثلاثين </w:t>
      </w:r>
      <w:r w:rsidRPr="00FB75AD">
        <w:rPr>
          <w:szCs w:val="20"/>
          <w:rtl/>
          <w:lang w:val="en-US"/>
        </w:rPr>
        <w:t>(9-27</w:t>
      </w:r>
      <w:r w:rsidRPr="00FB75AD">
        <w:rPr>
          <w:rtl/>
          <w:lang w:val="en-US"/>
        </w:rPr>
        <w:t xml:space="preserve"> تموز/يوليه </w:t>
      </w:r>
      <w:r w:rsidRPr="00FB75AD">
        <w:rPr>
          <w:szCs w:val="20"/>
          <w:rtl/>
          <w:lang w:val="en-US"/>
        </w:rPr>
        <w:t>1990</w:t>
      </w:r>
      <w:r w:rsidR="00C11BB0" w:rsidRPr="00FB75AD">
        <w:rPr>
          <w:szCs w:val="20"/>
          <w:rtl/>
          <w:lang w:val="en-US"/>
        </w:rPr>
        <w:t>)</w:t>
      </w:r>
      <w:r w:rsidR="00C11BB0" w:rsidRPr="00FB75AD">
        <w:rPr>
          <w:rtl/>
          <w:lang w:val="en-US"/>
        </w:rPr>
        <w:t xml:space="preserve">، </w:t>
      </w:r>
      <w:r w:rsidRPr="00FB75AD">
        <w:rPr>
          <w:rtl/>
          <w:lang w:val="en-US"/>
        </w:rPr>
        <w:t xml:space="preserve">الإجراء اللازم وعينت </w:t>
      </w:r>
      <w:r w:rsidR="00C11BB0" w:rsidRPr="00FB75AD">
        <w:rPr>
          <w:rtl/>
          <w:lang w:val="en-US"/>
        </w:rPr>
        <w:t>مقرر</w:t>
      </w:r>
      <w:r w:rsidRPr="00FB75AD">
        <w:rPr>
          <w:rtl/>
          <w:lang w:val="en-US"/>
        </w:rPr>
        <w:t xml:space="preserve">اً خاصاً لرصد متابعة آرائها المعتمدة بموجب الفقرة </w:t>
      </w:r>
      <w:r w:rsidRPr="00FB75AD">
        <w:rPr>
          <w:szCs w:val="20"/>
          <w:rtl/>
          <w:lang w:val="en-US"/>
        </w:rPr>
        <w:t>4</w:t>
      </w:r>
      <w:r w:rsidRPr="00FB75AD">
        <w:rPr>
          <w:rtl/>
          <w:lang w:val="en-US"/>
        </w:rPr>
        <w:t xml:space="preserve"> من المادة </w:t>
      </w:r>
      <w:r w:rsidRPr="00FB75AD">
        <w:rPr>
          <w:szCs w:val="20"/>
          <w:rtl/>
          <w:lang w:val="en-US"/>
        </w:rPr>
        <w:t>5</w:t>
      </w:r>
      <w:r w:rsidRPr="00FB75AD">
        <w:rPr>
          <w:rtl/>
          <w:lang w:val="en-US"/>
        </w:rPr>
        <w:t xml:space="preserve"> من البروتوكول الاختياري الملحق بالعهد الدولي الخاص بالحقوق المدنية والسياسية. وأعدّ ال</w:t>
      </w:r>
      <w:r w:rsidR="00C11BB0" w:rsidRPr="00FB75AD">
        <w:rPr>
          <w:rtl/>
          <w:lang w:val="en-US"/>
        </w:rPr>
        <w:t>مقرر</w:t>
      </w:r>
      <w:r w:rsidRPr="00FB75AD">
        <w:rPr>
          <w:rtl/>
          <w:lang w:val="en-US"/>
        </w:rPr>
        <w:t xml:space="preserve"> الخاص المعني بمتابعة الآراء هذا التقرير وفقاً للمادة </w:t>
      </w:r>
      <w:r w:rsidRPr="00FB75AD">
        <w:rPr>
          <w:szCs w:val="20"/>
          <w:rtl/>
          <w:lang w:val="en-US"/>
        </w:rPr>
        <w:t>106(</w:t>
      </w:r>
      <w:r w:rsidR="00C11BB0" w:rsidRPr="00FB75AD">
        <w:rPr>
          <w:szCs w:val="20"/>
          <w:rtl/>
          <w:lang w:val="en-US"/>
        </w:rPr>
        <w:t>3)</w:t>
      </w:r>
      <w:r w:rsidR="00C11BB0" w:rsidRPr="00FB75AD">
        <w:rPr>
          <w:rtl/>
          <w:lang w:val="en-US"/>
        </w:rPr>
        <w:t xml:space="preserve"> </w:t>
      </w:r>
      <w:r w:rsidRPr="00FB75AD">
        <w:rPr>
          <w:rtl/>
          <w:lang w:val="en-US"/>
        </w:rPr>
        <w:t>من النظام الداخلي للجنة. وفي ضوء العدد الكبير من الآراء التي يتعين متابعتها والموارد المحدودة التي يمكن أن تخصصها الأمانة لهذا الغرض، لم يكن من الممكن ضمان متابعة منهجية وشاملة وفي الوقت المناسب لجميع الحالات المشمولة في هذا التقرير، لا سيما بالنظر إلى القيود المفروضة على عدد الكلمات. ويستند هذا التقرير إلى المعلومات المتاحة عن الحالات المعروضة أدناه، ويعكس جولة واحدة على الأقل من المحادثات مع الدولة الطرف وصاحب البلاغ أو أصحاب البلاغات و/أو محاميهم.</w:t>
      </w:r>
    </w:p>
    <w:p w14:paraId="6AA2CFE8" w14:textId="621E43BC" w:rsidR="00C11BB0" w:rsidRPr="00FB75AD" w:rsidRDefault="008D21EA" w:rsidP="008D21EA">
      <w:pPr>
        <w:pStyle w:val="SingleTxtGA"/>
        <w:rPr>
          <w:szCs w:val="20"/>
          <w:lang w:val="en-US" w:eastAsia="zh-TW"/>
        </w:rPr>
      </w:pPr>
      <w:r w:rsidRPr="00FB75AD">
        <w:rPr>
          <w:szCs w:val="20"/>
          <w:rtl/>
          <w:lang w:val="en-US"/>
        </w:rPr>
        <w:t>2-</w:t>
      </w:r>
      <w:r w:rsidRPr="00FB75AD">
        <w:rPr>
          <w:rtl/>
          <w:lang w:val="en-US"/>
        </w:rPr>
        <w:tab/>
        <w:t xml:space="preserve">وخلصت اللجنة، في نهاية دورتها </w:t>
      </w:r>
      <w:r w:rsidRPr="00FB75AD">
        <w:rPr>
          <w:szCs w:val="20"/>
          <w:rtl/>
          <w:lang w:val="en-US"/>
        </w:rPr>
        <w:t>136</w:t>
      </w:r>
      <w:r w:rsidRPr="00FB75AD">
        <w:rPr>
          <w:rtl/>
          <w:lang w:val="en-US"/>
        </w:rPr>
        <w:t xml:space="preserve"> في تشرين الثاني/نوفمبر </w:t>
      </w:r>
      <w:r w:rsidRPr="00FB75AD">
        <w:rPr>
          <w:szCs w:val="20"/>
          <w:rtl/>
          <w:lang w:val="en-US"/>
        </w:rPr>
        <w:t>202</w:t>
      </w:r>
      <w:r w:rsidR="004F204D" w:rsidRPr="00FB75AD">
        <w:rPr>
          <w:rFonts w:hint="cs"/>
          <w:szCs w:val="20"/>
          <w:rtl/>
          <w:lang w:val="en-US"/>
        </w:rPr>
        <w:t>2</w:t>
      </w:r>
      <w:r w:rsidRPr="00FB75AD">
        <w:rPr>
          <w:rtl/>
          <w:lang w:val="en-US"/>
        </w:rPr>
        <w:t xml:space="preserve">، إلى حدوث انتهاك للعهد في </w:t>
      </w:r>
      <w:r w:rsidRPr="00FB75AD">
        <w:rPr>
          <w:szCs w:val="20"/>
          <w:rtl/>
          <w:lang w:val="en-US"/>
        </w:rPr>
        <w:t>376 1</w:t>
      </w:r>
      <w:r w:rsidRPr="00FB75AD">
        <w:rPr>
          <w:rtl/>
          <w:lang w:val="en-US"/>
        </w:rPr>
        <w:t xml:space="preserve"> رأياً </w:t>
      </w:r>
      <w:r w:rsidRPr="00FB75AD">
        <w:rPr>
          <w:szCs w:val="20"/>
          <w:rtl/>
          <w:lang w:val="en-US"/>
        </w:rPr>
        <w:t>(85</w:t>
      </w:r>
      <w:r w:rsidRPr="00FB75AD">
        <w:rPr>
          <w:rtl/>
          <w:lang w:val="en-US"/>
        </w:rPr>
        <w:t xml:space="preserve"> في </w:t>
      </w:r>
      <w:proofErr w:type="gramStart"/>
      <w:r w:rsidRPr="00FB75AD">
        <w:rPr>
          <w:rtl/>
          <w:lang w:val="en-US"/>
        </w:rPr>
        <w:t>المائة</w:t>
      </w:r>
      <w:proofErr w:type="gramEnd"/>
      <w:r w:rsidRPr="00FB75AD">
        <w:rPr>
          <w:rtl/>
          <w:lang w:val="en-US"/>
        </w:rPr>
        <w:t xml:space="preserve">) من أصل </w:t>
      </w:r>
      <w:r w:rsidRPr="00FB75AD">
        <w:rPr>
          <w:szCs w:val="20"/>
          <w:rtl/>
          <w:lang w:val="en-US"/>
        </w:rPr>
        <w:t>619 1</w:t>
      </w:r>
      <w:r w:rsidRPr="00FB75AD">
        <w:rPr>
          <w:rtl/>
          <w:lang w:val="en-US"/>
        </w:rPr>
        <w:t xml:space="preserve"> رأياً اعتمدته اللجنة منذ عام </w:t>
      </w:r>
      <w:r w:rsidRPr="00FB75AD">
        <w:rPr>
          <w:szCs w:val="20"/>
          <w:rtl/>
          <w:lang w:val="en-US"/>
        </w:rPr>
        <w:t>197</w:t>
      </w:r>
      <w:r w:rsidR="00C11BB0" w:rsidRPr="00FB75AD">
        <w:rPr>
          <w:szCs w:val="20"/>
          <w:rtl/>
          <w:lang w:val="en-US"/>
        </w:rPr>
        <w:t>9</w:t>
      </w:r>
      <w:r w:rsidR="00C11BB0" w:rsidRPr="00FB75AD">
        <w:rPr>
          <w:rtl/>
          <w:lang w:val="en-US"/>
        </w:rPr>
        <w:t>.</w:t>
      </w:r>
    </w:p>
    <w:p w14:paraId="35A0EC18" w14:textId="38015060" w:rsidR="008D21EA" w:rsidRPr="00FB75AD" w:rsidRDefault="008D21EA" w:rsidP="008D21EA">
      <w:pPr>
        <w:pStyle w:val="SingleTxtGA"/>
        <w:rPr>
          <w:szCs w:val="20"/>
          <w:lang w:val="en-US" w:eastAsia="zh-TW"/>
        </w:rPr>
      </w:pPr>
      <w:r w:rsidRPr="00FB75AD">
        <w:rPr>
          <w:szCs w:val="20"/>
          <w:rtl/>
          <w:lang w:val="en-US"/>
        </w:rPr>
        <w:t>3-</w:t>
      </w:r>
      <w:r w:rsidRPr="00FB75AD">
        <w:rPr>
          <w:rtl/>
          <w:lang w:val="en-US"/>
        </w:rPr>
        <w:tab/>
        <w:t xml:space="preserve">وقررت اللجنة، في دورتها </w:t>
      </w:r>
      <w:r w:rsidRPr="00FB75AD">
        <w:rPr>
          <w:szCs w:val="20"/>
          <w:rtl/>
          <w:lang w:val="en-US"/>
        </w:rPr>
        <w:t>109 (14</w:t>
      </w:r>
      <w:r w:rsidRPr="00FB75AD">
        <w:rPr>
          <w:rtl/>
          <w:lang w:val="en-US"/>
        </w:rPr>
        <w:t xml:space="preserve"> تشرين الأول/أكتوبر - </w:t>
      </w:r>
      <w:r w:rsidRPr="00FB75AD">
        <w:rPr>
          <w:szCs w:val="20"/>
          <w:rtl/>
          <w:lang w:val="en-US"/>
        </w:rPr>
        <w:t>1</w:t>
      </w:r>
      <w:r w:rsidRPr="00FB75AD">
        <w:rPr>
          <w:rtl/>
          <w:lang w:val="en-US"/>
        </w:rPr>
        <w:t xml:space="preserve"> تشرين الثاني/نوفمبر </w:t>
      </w:r>
      <w:r w:rsidRPr="00FB75AD">
        <w:rPr>
          <w:szCs w:val="20"/>
          <w:rtl/>
          <w:lang w:val="en-US"/>
        </w:rPr>
        <w:t>2013</w:t>
      </w:r>
      <w:r w:rsidR="00C11BB0" w:rsidRPr="00FB75AD">
        <w:rPr>
          <w:szCs w:val="20"/>
          <w:rtl/>
          <w:lang w:val="en-US"/>
        </w:rPr>
        <w:t>)</w:t>
      </w:r>
      <w:r w:rsidR="00C11BB0" w:rsidRPr="00FB75AD">
        <w:rPr>
          <w:rtl/>
          <w:lang w:val="en-US"/>
        </w:rPr>
        <w:t xml:space="preserve">، </w:t>
      </w:r>
      <w:r w:rsidRPr="00FB75AD">
        <w:rPr>
          <w:rtl/>
          <w:lang w:val="en-US"/>
        </w:rPr>
        <w:t>أن تدرج في تقاريرها المتعلقة بمتابعة الآراء تقييماً للردود الواردة من الدول الأطراف وللإجراءات التي اتخذتها. ويستند التقييم إلى معايير مماثلة لتلك التي طبقتها اللجنة في إجراءات متابعة ملاحظاتها الختامية بشأن تقارير الدول الأطراف.</w:t>
      </w:r>
    </w:p>
    <w:p w14:paraId="798E2065" w14:textId="4179FE8C" w:rsidR="008D21EA" w:rsidRPr="00FB75AD" w:rsidRDefault="008D21EA" w:rsidP="008D21EA">
      <w:pPr>
        <w:pStyle w:val="SingleTxtGA"/>
        <w:rPr>
          <w:szCs w:val="20"/>
          <w:lang w:val="en-US" w:eastAsia="zh-TW"/>
        </w:rPr>
      </w:pPr>
      <w:r w:rsidRPr="00FB75AD">
        <w:rPr>
          <w:szCs w:val="20"/>
          <w:rtl/>
          <w:lang w:val="en-US"/>
        </w:rPr>
        <w:t>4-</w:t>
      </w:r>
      <w:r w:rsidRPr="00FB75AD">
        <w:rPr>
          <w:rtl/>
          <w:lang w:val="en-US"/>
        </w:rPr>
        <w:tab/>
        <w:t xml:space="preserve">وقررت اللجنة، في دورتها </w:t>
      </w:r>
      <w:r w:rsidRPr="00FB75AD">
        <w:rPr>
          <w:szCs w:val="20"/>
          <w:rtl/>
          <w:lang w:val="en-US"/>
        </w:rPr>
        <w:t>118 (17</w:t>
      </w:r>
      <w:r w:rsidRPr="00FB75AD">
        <w:rPr>
          <w:rtl/>
          <w:lang w:val="en-US"/>
        </w:rPr>
        <w:t xml:space="preserve"> تشرين الأول/أكتوبر - </w:t>
      </w:r>
      <w:r w:rsidRPr="00FB75AD">
        <w:rPr>
          <w:szCs w:val="20"/>
          <w:rtl/>
          <w:lang w:val="en-US"/>
        </w:rPr>
        <w:t>4</w:t>
      </w:r>
      <w:r w:rsidRPr="00FB75AD">
        <w:rPr>
          <w:rtl/>
          <w:lang w:val="en-US"/>
        </w:rPr>
        <w:t xml:space="preserve"> تشرين الثاني/نوفمبر </w:t>
      </w:r>
      <w:r w:rsidRPr="00FB75AD">
        <w:rPr>
          <w:szCs w:val="20"/>
          <w:rtl/>
          <w:lang w:val="en-US"/>
        </w:rPr>
        <w:t>2016</w:t>
      </w:r>
      <w:r w:rsidR="00C11BB0" w:rsidRPr="00FB75AD">
        <w:rPr>
          <w:szCs w:val="20"/>
          <w:rtl/>
          <w:lang w:val="en-US"/>
        </w:rPr>
        <w:t>)</w:t>
      </w:r>
      <w:r w:rsidR="00C11BB0" w:rsidRPr="00FB75AD">
        <w:rPr>
          <w:rtl/>
          <w:lang w:val="en-US"/>
        </w:rPr>
        <w:t xml:space="preserve">، </w:t>
      </w:r>
      <w:r w:rsidRPr="00FB75AD">
        <w:rPr>
          <w:rtl/>
          <w:lang w:val="en-US"/>
        </w:rPr>
        <w:t>أن تنقح معايير التقييم التي تتبعها.</w:t>
      </w:r>
    </w:p>
    <w:p w14:paraId="00E09990" w14:textId="5F00306C" w:rsidR="00C11BB0" w:rsidRPr="00FB75AD" w:rsidRDefault="008D21EA" w:rsidP="00766349">
      <w:pPr>
        <w:pStyle w:val="H23GA"/>
        <w:rPr>
          <w:szCs w:val="20"/>
          <w:lang w:val="en-US" w:eastAsia="zh-TW"/>
        </w:rPr>
      </w:pPr>
      <w:r w:rsidRPr="00FB75AD">
        <w:rPr>
          <w:rtl/>
          <w:lang w:val="en-US"/>
        </w:rPr>
        <w:tab/>
      </w:r>
      <w:r w:rsidRPr="00FB75AD">
        <w:rPr>
          <w:rtl/>
          <w:lang w:val="en-US"/>
        </w:rPr>
        <w:tab/>
        <w:t xml:space="preserve">معايير التقييم (بالصيغة المنقحة أثناء الدورة </w:t>
      </w:r>
      <w:r w:rsidRPr="00FB75AD">
        <w:rPr>
          <w:szCs w:val="20"/>
          <w:rtl/>
          <w:lang w:val="en-US"/>
        </w:rPr>
        <w:t>11</w:t>
      </w:r>
      <w:r w:rsidR="00C11BB0" w:rsidRPr="00FB75AD">
        <w:rPr>
          <w:szCs w:val="20"/>
          <w:rtl/>
          <w:lang w:val="en-US"/>
        </w:rPr>
        <w:t>8</w:t>
      </w:r>
      <w:bookmarkStart w:id="0" w:name="_Hlk63857190"/>
      <w:r w:rsidR="00C11BB0" w:rsidRPr="00FB75AD">
        <w:rPr>
          <w:rFonts w:hint="cs"/>
          <w:szCs w:val="20"/>
          <w:rtl/>
          <w:lang w:val="en-US"/>
        </w:rPr>
        <w:t>)</w:t>
      </w:r>
    </w:p>
    <w:p w14:paraId="5C8B80E4" w14:textId="37AB6370" w:rsidR="008D21EA" w:rsidRPr="00FB75AD" w:rsidRDefault="008D21EA" w:rsidP="00766349">
      <w:pPr>
        <w:pStyle w:val="SingleTxtGA"/>
        <w:rPr>
          <w:b/>
          <w:bCs/>
          <w:szCs w:val="20"/>
          <w:lang w:val="en-US" w:eastAsia="zh-TW"/>
        </w:rPr>
      </w:pPr>
      <w:r w:rsidRPr="00FB75AD">
        <w:rPr>
          <w:b/>
          <w:bCs/>
          <w:rtl/>
          <w:lang w:val="en-US"/>
        </w:rPr>
        <w:t>تقييم الردود</w:t>
      </w:r>
      <w:r w:rsidR="00264402" w:rsidRPr="00FB75AD">
        <w:rPr>
          <w:rtl/>
        </w:rPr>
        <w:t>:</w:t>
      </w:r>
      <w:bookmarkEnd w:id="0"/>
    </w:p>
    <w:p w14:paraId="6EDC85F0" w14:textId="7508E82E" w:rsidR="008D21EA" w:rsidRPr="00FB75AD" w:rsidRDefault="008D21EA" w:rsidP="00766349">
      <w:pPr>
        <w:pStyle w:val="SingleTxtGA"/>
        <w:ind w:left="1928" w:hanging="681"/>
        <w:rPr>
          <w:spacing w:val="-6"/>
          <w:szCs w:val="20"/>
          <w:lang w:val="en-US" w:eastAsia="zh-TW"/>
        </w:rPr>
      </w:pPr>
      <w:r w:rsidRPr="00FB75AD">
        <w:rPr>
          <w:b/>
          <w:bCs/>
          <w:spacing w:val="-6"/>
          <w:szCs w:val="20"/>
          <w:rtl/>
          <w:lang w:val="en-US"/>
        </w:rPr>
        <w:t>ألف</w:t>
      </w:r>
      <w:r w:rsidRPr="00FB75AD">
        <w:rPr>
          <w:b/>
          <w:bCs/>
          <w:spacing w:val="-6"/>
          <w:rtl/>
          <w:lang w:val="en-US"/>
        </w:rPr>
        <w:tab/>
        <w:t>ردٌ/إجراءٌ مُرضٍ إلى حد بعيد</w:t>
      </w:r>
      <w:r w:rsidR="00264402" w:rsidRPr="00FB75AD">
        <w:rPr>
          <w:spacing w:val="-6"/>
          <w:rtl/>
        </w:rPr>
        <w:t>:</w:t>
      </w:r>
      <w:r w:rsidRPr="00FB75AD">
        <w:rPr>
          <w:spacing w:val="-6"/>
          <w:rtl/>
          <w:lang w:val="en-US"/>
        </w:rPr>
        <w:t xml:space="preserve"> قدمت الدولة الطرف أدلة على اتخاذ إجراءات مهمة لتنفيذ توصية اللجنة.</w:t>
      </w:r>
    </w:p>
    <w:p w14:paraId="1D0B4399" w14:textId="70D9092C" w:rsidR="008D21EA" w:rsidRPr="00FB75AD" w:rsidRDefault="008D21EA" w:rsidP="00766349">
      <w:pPr>
        <w:pStyle w:val="SingleTxtGA"/>
        <w:ind w:left="1928" w:hanging="681"/>
        <w:rPr>
          <w:szCs w:val="20"/>
          <w:lang w:val="en-US" w:eastAsia="zh-TW"/>
        </w:rPr>
      </w:pPr>
      <w:r w:rsidRPr="00FB75AD">
        <w:rPr>
          <w:b/>
          <w:bCs/>
          <w:rtl/>
          <w:lang w:val="en-US"/>
        </w:rPr>
        <w:t>باء</w:t>
      </w:r>
      <w:r w:rsidRPr="00FB75AD">
        <w:rPr>
          <w:b/>
          <w:bCs/>
          <w:rtl/>
          <w:lang w:val="en-US"/>
        </w:rPr>
        <w:tab/>
        <w:t>ردٌ/إجراءٌ مُرضٍ جزئياً</w:t>
      </w:r>
      <w:r w:rsidR="00264402" w:rsidRPr="00FB75AD">
        <w:rPr>
          <w:rtl/>
        </w:rPr>
        <w:t>:</w:t>
      </w:r>
      <w:r w:rsidRPr="00FB75AD">
        <w:rPr>
          <w:rtl/>
          <w:lang w:val="en-US"/>
        </w:rPr>
        <w:t xml:space="preserve"> اتخذت الدولة الطرف خطوات لتنفيذ التوصية، لكن لا يزال يتعيّن عليها تقديم معلومات إضافية أو اتخاذ مزيد من الإجراءات.</w:t>
      </w:r>
    </w:p>
    <w:p w14:paraId="542CFE5A" w14:textId="6365737F" w:rsidR="008D21EA" w:rsidRPr="00FB75AD" w:rsidRDefault="008D21EA" w:rsidP="00766349">
      <w:pPr>
        <w:pStyle w:val="SingleTxtGA"/>
        <w:ind w:left="1928" w:hanging="681"/>
        <w:rPr>
          <w:szCs w:val="20"/>
          <w:lang w:val="en-US" w:eastAsia="zh-TW"/>
        </w:rPr>
      </w:pPr>
      <w:r w:rsidRPr="00FB75AD">
        <w:rPr>
          <w:b/>
          <w:bCs/>
          <w:rtl/>
          <w:lang w:val="en-US"/>
        </w:rPr>
        <w:lastRenderedPageBreak/>
        <w:t>جيم</w:t>
      </w:r>
      <w:r w:rsidRPr="00FB75AD">
        <w:rPr>
          <w:b/>
          <w:bCs/>
          <w:rtl/>
          <w:lang w:val="en-US"/>
        </w:rPr>
        <w:tab/>
        <w:t>ردٌ/إجراءٌ غير مُرضٍ</w:t>
      </w:r>
      <w:r w:rsidR="00264402" w:rsidRPr="00FB75AD">
        <w:rPr>
          <w:rtl/>
        </w:rPr>
        <w:t>:</w:t>
      </w:r>
      <w:r w:rsidRPr="00FB75AD">
        <w:rPr>
          <w:rtl/>
          <w:lang w:val="en-US"/>
        </w:rPr>
        <w:t xml:space="preserve"> ورد ردٌ، ولكن الإجراءات التي اتخذتها الدولة الطرف أو المعلومات التي قدمتها غير ملائمة أو لا تفضي إلى تنفيذ التوصيات.</w:t>
      </w:r>
    </w:p>
    <w:p w14:paraId="5D269E42" w14:textId="737B39C9" w:rsidR="008D21EA" w:rsidRPr="00FB75AD" w:rsidRDefault="008D21EA" w:rsidP="00766349">
      <w:pPr>
        <w:pStyle w:val="SingleTxtGA"/>
        <w:ind w:left="1928" w:hanging="681"/>
        <w:rPr>
          <w:szCs w:val="20"/>
          <w:lang w:val="en-US" w:eastAsia="zh-TW"/>
        </w:rPr>
      </w:pPr>
      <w:r w:rsidRPr="00FB75AD">
        <w:rPr>
          <w:b/>
          <w:bCs/>
          <w:rtl/>
          <w:lang w:val="en-US"/>
        </w:rPr>
        <w:t>دال</w:t>
      </w:r>
      <w:r w:rsidRPr="00FB75AD">
        <w:rPr>
          <w:rtl/>
          <w:lang w:val="en-US"/>
        </w:rPr>
        <w:tab/>
      </w:r>
      <w:r w:rsidRPr="00FB75AD">
        <w:rPr>
          <w:b/>
          <w:bCs/>
          <w:rtl/>
          <w:lang w:val="en-US"/>
        </w:rPr>
        <w:t>عدم التعاون مع اللجنة</w:t>
      </w:r>
      <w:r w:rsidR="00264402" w:rsidRPr="00FB75AD">
        <w:rPr>
          <w:rtl/>
        </w:rPr>
        <w:t>:</w:t>
      </w:r>
      <w:r w:rsidRPr="00FB75AD">
        <w:rPr>
          <w:rtl/>
          <w:lang w:val="en-US"/>
        </w:rPr>
        <w:t xml:space="preserve"> لم يرد أي تقرير متابعة بعد توجيه رسالة (رسائل) تذكيرية.</w:t>
      </w:r>
    </w:p>
    <w:p w14:paraId="2D922278" w14:textId="77777777" w:rsidR="008D21EA" w:rsidRPr="00FB75AD" w:rsidRDefault="008D21EA" w:rsidP="00766349">
      <w:pPr>
        <w:pStyle w:val="SingleTxtGA"/>
        <w:ind w:left="1928" w:hanging="681"/>
        <w:rPr>
          <w:b/>
          <w:bCs/>
          <w:szCs w:val="20"/>
          <w:lang w:val="en-US" w:eastAsia="zh-TW"/>
        </w:rPr>
      </w:pPr>
      <w:r w:rsidRPr="00FB75AD">
        <w:rPr>
          <w:b/>
          <w:bCs/>
          <w:rtl/>
          <w:lang w:val="en-US"/>
        </w:rPr>
        <w:t>هاء</w:t>
      </w:r>
      <w:r w:rsidRPr="00FB75AD">
        <w:rPr>
          <w:b/>
          <w:bCs/>
          <w:rtl/>
          <w:lang w:val="en-US"/>
        </w:rPr>
        <w:tab/>
        <w:t>المعلومات المقدمة أو التدابير المتخذة تتنافى مع التوصية أو تنم عن رفضها.</w:t>
      </w:r>
    </w:p>
    <w:p w14:paraId="5A411CED" w14:textId="77777777" w:rsidR="008D21EA" w:rsidRPr="00FB75AD" w:rsidRDefault="008D21EA" w:rsidP="00766349">
      <w:pPr>
        <w:pStyle w:val="SingleTxtGA"/>
        <w:rPr>
          <w:szCs w:val="20"/>
          <w:lang w:val="en-US" w:eastAsia="zh-TW"/>
        </w:rPr>
      </w:pPr>
      <w:r w:rsidRPr="00FB75AD">
        <w:rPr>
          <w:szCs w:val="20"/>
          <w:rtl/>
          <w:lang w:val="en-US"/>
        </w:rPr>
        <w:t>5-</w:t>
      </w:r>
      <w:r w:rsidRPr="00FB75AD">
        <w:rPr>
          <w:rtl/>
          <w:lang w:val="en-US"/>
        </w:rPr>
        <w:tab/>
        <w:t xml:space="preserve">وقررت اللجنة، في دورتها </w:t>
      </w:r>
      <w:r w:rsidRPr="00FB75AD">
        <w:rPr>
          <w:szCs w:val="20"/>
          <w:rtl/>
          <w:lang w:val="en-US"/>
        </w:rPr>
        <w:t>121</w:t>
      </w:r>
      <w:r w:rsidRPr="00FB75AD">
        <w:rPr>
          <w:rtl/>
          <w:lang w:val="en-US"/>
        </w:rPr>
        <w:t xml:space="preserve">، المعقودة في </w:t>
      </w:r>
      <w:r w:rsidRPr="00FB75AD">
        <w:rPr>
          <w:szCs w:val="20"/>
          <w:rtl/>
          <w:lang w:val="en-US"/>
        </w:rPr>
        <w:t>9</w:t>
      </w:r>
      <w:r w:rsidRPr="00FB75AD">
        <w:rPr>
          <w:rtl/>
          <w:lang w:val="en-US"/>
        </w:rPr>
        <w:t xml:space="preserve"> تشرين الثاني/نوفمبر </w:t>
      </w:r>
      <w:r w:rsidRPr="00FB75AD">
        <w:rPr>
          <w:szCs w:val="20"/>
          <w:rtl/>
          <w:lang w:val="en-US"/>
        </w:rPr>
        <w:t>2017</w:t>
      </w:r>
      <w:r w:rsidRPr="00FB75AD">
        <w:rPr>
          <w:rtl/>
          <w:lang w:val="en-US"/>
        </w:rPr>
        <w:t>، تنقيح منهجيتها وإجراءاتها لرصد متابعة آرائها.</w:t>
      </w:r>
    </w:p>
    <w:p w14:paraId="0EFF86F1" w14:textId="09965E42" w:rsidR="008D21EA" w:rsidRPr="00FB75AD" w:rsidRDefault="008D21EA" w:rsidP="00766349">
      <w:pPr>
        <w:pStyle w:val="SingleTxtGA"/>
        <w:rPr>
          <w:b/>
          <w:bCs/>
          <w:szCs w:val="20"/>
          <w:lang w:val="en-US" w:eastAsia="zh-TW"/>
        </w:rPr>
      </w:pPr>
      <w:r w:rsidRPr="00FB75AD">
        <w:rPr>
          <w:b/>
          <w:bCs/>
          <w:rtl/>
          <w:lang w:val="en-US"/>
        </w:rPr>
        <w:t>القرارات المتخذة</w:t>
      </w:r>
      <w:r w:rsidR="00264402" w:rsidRPr="00FB75AD">
        <w:rPr>
          <w:rtl/>
        </w:rPr>
        <w:t>:</w:t>
      </w:r>
    </w:p>
    <w:p w14:paraId="7BE89307" w14:textId="56701192" w:rsidR="008D21EA" w:rsidRPr="00FB75AD" w:rsidRDefault="008D21EA" w:rsidP="00FB75AD">
      <w:pPr>
        <w:pStyle w:val="Bullet1GA"/>
        <w:spacing w:after="100" w:line="350" w:lineRule="exact"/>
        <w:ind w:left="2494" w:hanging="544"/>
        <w:rPr>
          <w:szCs w:val="20"/>
        </w:rPr>
      </w:pPr>
      <w:r w:rsidRPr="00FB75AD">
        <w:rPr>
          <w:rtl/>
        </w:rPr>
        <w:t>لن يُطبَّق نظام تحديد درجات المتابعة بعد الآن في القضايا التي تكون فيها الآراء قد نُشرت و/أو عُممت فقط؛</w:t>
      </w:r>
    </w:p>
    <w:p w14:paraId="245D7EB0" w14:textId="696DE356" w:rsidR="008D21EA" w:rsidRPr="00FB75AD" w:rsidRDefault="008D21EA" w:rsidP="00FB75AD">
      <w:pPr>
        <w:pStyle w:val="Bullet1GA"/>
        <w:spacing w:after="100" w:line="350" w:lineRule="exact"/>
        <w:ind w:left="2494" w:hanging="544"/>
        <w:rPr>
          <w:szCs w:val="20"/>
        </w:rPr>
      </w:pPr>
      <w:r w:rsidRPr="00FB75AD">
        <w:rPr>
          <w:rtl/>
        </w:rPr>
        <w:t>لن يُطبَّق نظام تحديد درجات المتابعة على ردّ الدولة الطرف بشأن تدابير عدم التكرار إلا إذا أُدرجت هذه التدابير تحديداً في الآراء؛</w:t>
      </w:r>
    </w:p>
    <w:p w14:paraId="31D1E541" w14:textId="25CA9432" w:rsidR="008D21EA" w:rsidRPr="00FB75AD" w:rsidRDefault="008D21EA" w:rsidP="00FB75AD">
      <w:pPr>
        <w:pStyle w:val="Bullet1GA"/>
        <w:spacing w:after="100" w:line="350" w:lineRule="exact"/>
        <w:ind w:left="2494" w:hanging="544"/>
        <w:rPr>
          <w:szCs w:val="20"/>
        </w:rPr>
      </w:pPr>
      <w:r w:rsidRPr="00FB75AD">
        <w:rPr>
          <w:rtl/>
        </w:rPr>
        <w:t>لن يتضمن تقرير المتابعة سوى معلومات عن القضايا التي تكون جاهزة لكي تحدد اللجنة درجات متابعتها، أي القضايا التي يوجد فيها ردّ من الدولة الطرف ومعلومات من صاحب البلاغ.</w:t>
      </w:r>
    </w:p>
    <w:p w14:paraId="5C54B4BF" w14:textId="781089DF" w:rsidR="008D21EA" w:rsidRPr="00FB75AD" w:rsidRDefault="008D21EA" w:rsidP="00766349">
      <w:pPr>
        <w:pStyle w:val="SingleTxtGA"/>
        <w:rPr>
          <w:szCs w:val="20"/>
          <w:lang w:val="en-US" w:eastAsia="zh-TW"/>
        </w:rPr>
      </w:pPr>
      <w:r w:rsidRPr="00FB75AD">
        <w:rPr>
          <w:szCs w:val="20"/>
          <w:rtl/>
          <w:lang w:val="en-US"/>
        </w:rPr>
        <w:t>6-</w:t>
      </w:r>
      <w:r w:rsidRPr="00FB75AD">
        <w:rPr>
          <w:rtl/>
          <w:lang w:val="en-US"/>
        </w:rPr>
        <w:tab/>
        <w:t xml:space="preserve">وقررت اللجنة، في دورتها </w:t>
      </w:r>
      <w:r w:rsidRPr="00FB75AD">
        <w:rPr>
          <w:szCs w:val="20"/>
          <w:rtl/>
          <w:lang w:val="en-US"/>
        </w:rPr>
        <w:t>127 (14</w:t>
      </w:r>
      <w:r w:rsidRPr="00FB75AD">
        <w:rPr>
          <w:rtl/>
          <w:lang w:val="en-US"/>
        </w:rPr>
        <w:t xml:space="preserve"> تشرين الأول/أكتوبر - </w:t>
      </w:r>
      <w:r w:rsidRPr="00FB75AD">
        <w:rPr>
          <w:szCs w:val="20"/>
          <w:rtl/>
          <w:lang w:val="en-US"/>
        </w:rPr>
        <w:t>8</w:t>
      </w:r>
      <w:r w:rsidRPr="00FB75AD">
        <w:rPr>
          <w:rtl/>
          <w:lang w:val="en-US"/>
        </w:rPr>
        <w:t xml:space="preserve"> تشرين الثاني/نوفمبر </w:t>
      </w:r>
      <w:r w:rsidRPr="00FB75AD">
        <w:rPr>
          <w:szCs w:val="20"/>
          <w:rtl/>
          <w:lang w:val="en-US"/>
        </w:rPr>
        <w:t>2019</w:t>
      </w:r>
      <w:r w:rsidR="00C11BB0" w:rsidRPr="00FB75AD">
        <w:rPr>
          <w:szCs w:val="20"/>
          <w:rtl/>
          <w:lang w:val="en-US"/>
        </w:rPr>
        <w:t>)</w:t>
      </w:r>
      <w:r w:rsidR="00C11BB0" w:rsidRPr="00FB75AD">
        <w:rPr>
          <w:rtl/>
          <w:lang w:val="en-US"/>
        </w:rPr>
        <w:t xml:space="preserve">، </w:t>
      </w:r>
      <w:r w:rsidRPr="00FB75AD">
        <w:rPr>
          <w:rtl/>
          <w:lang w:val="en-US"/>
        </w:rPr>
        <w:t>تعديل منهجية إعداد التقارير بشأن متابعة الآراء وحالة القضايا من خلال وضع قائمة بالأولويات استناداً إلى معايير موضوعية. وعلى وجه التحديد، قررت اللجنة، من حيث المبدأ، ما يلي</w:t>
      </w:r>
      <w:r w:rsidR="00264402" w:rsidRPr="00FB75AD">
        <w:rPr>
          <w:rtl/>
        </w:rPr>
        <w:t>:</w:t>
      </w:r>
      <w:r w:rsidRPr="00FB75AD">
        <w:rPr>
          <w:rtl/>
          <w:lang w:val="en-US"/>
        </w:rPr>
        <w:t xml:space="preserve"> (أ) إغلاق القضايا التي قررت فيها أن التنفيذ كان مُرضياً أو مُرضياً جزئياً؛ و(ب) الإبقاء على القضايا التي يتعين عليها مواصلة الحوار بشأنها؛ و(ج) تعليق القضايا التي لم تقدِّم الدولة الطرف المعنية أو صاحب(ة) (أصحاب) البلاغ و/أو محاميهم معلومات إضافية بشأنها في السنوات الخمس الماضية، وإدراجها في فئة منفصلة تضم "القضايا التي لا تتوافر معلومات كافية عن تنفيذها تنفيذاً مُرضياً". ولا يُتوقع من اللجنة أن تكفل إجراء أي متابعة استباقية لهذه القضايا التي عُلقت بسبب عدم توافر المعلومات، ما لم يقدم أحد الطرفين معلومات محدّثة. وستحظى القضايا الحديثة والقضايا التي يقوم أحد الطرفين أو كلاهما بتزويد اللجنة بمعلومات منتظمة عنها بالأولوية وستكون موضع تركيزها.</w:t>
      </w:r>
      <w:bookmarkStart w:id="1" w:name="_Hlk127621564"/>
      <w:bookmarkEnd w:id="1"/>
    </w:p>
    <w:p w14:paraId="38A6DDD3" w14:textId="71C5169F" w:rsidR="008D21EA" w:rsidRPr="00FB75AD" w:rsidRDefault="008D21EA" w:rsidP="00FB75AD">
      <w:pPr>
        <w:pStyle w:val="SingleTxtGA"/>
        <w:spacing w:line="350" w:lineRule="exact"/>
        <w:rPr>
          <w:szCs w:val="20"/>
          <w:lang w:val="en-US" w:eastAsia="zh-TW"/>
        </w:rPr>
      </w:pPr>
      <w:r w:rsidRPr="00FB75AD">
        <w:rPr>
          <w:szCs w:val="20"/>
          <w:rtl/>
          <w:lang w:val="en-US"/>
        </w:rPr>
        <w:t>7-</w:t>
      </w:r>
      <w:r w:rsidRPr="00FB75AD">
        <w:rPr>
          <w:rtl/>
          <w:lang w:val="en-US"/>
        </w:rPr>
        <w:tab/>
        <w:t xml:space="preserve">واعتمدت اللجنة، في دورتها </w:t>
      </w:r>
      <w:r w:rsidRPr="00FB75AD">
        <w:rPr>
          <w:szCs w:val="20"/>
          <w:rtl/>
          <w:lang w:val="en-US"/>
        </w:rPr>
        <w:t>136 (10</w:t>
      </w:r>
      <w:r w:rsidRPr="00FB75AD">
        <w:rPr>
          <w:rtl/>
          <w:lang w:val="en-US"/>
        </w:rPr>
        <w:t xml:space="preserve"> تشرين الأول/أكتوبر - </w:t>
      </w:r>
      <w:r w:rsidRPr="00FB75AD">
        <w:rPr>
          <w:szCs w:val="20"/>
          <w:rtl/>
          <w:lang w:val="en-US"/>
        </w:rPr>
        <w:t>4</w:t>
      </w:r>
      <w:r w:rsidRPr="00FB75AD">
        <w:rPr>
          <w:rtl/>
          <w:lang w:val="en-US"/>
        </w:rPr>
        <w:t xml:space="preserve"> تشرين الثاني/نوفمبر </w:t>
      </w:r>
      <w:r w:rsidRPr="00FB75AD">
        <w:rPr>
          <w:szCs w:val="20"/>
          <w:rtl/>
          <w:lang w:val="en-US"/>
        </w:rPr>
        <w:t>2022</w:t>
      </w:r>
      <w:r w:rsidR="00C11BB0" w:rsidRPr="00FB75AD">
        <w:rPr>
          <w:szCs w:val="20"/>
          <w:rtl/>
          <w:lang w:val="en-US"/>
        </w:rPr>
        <w:t>)</w:t>
      </w:r>
      <w:r w:rsidR="00C11BB0" w:rsidRPr="00FB75AD">
        <w:rPr>
          <w:rtl/>
          <w:lang w:val="en-US"/>
        </w:rPr>
        <w:t xml:space="preserve">، </w:t>
      </w:r>
      <w:r w:rsidRPr="00FB75AD">
        <w:rPr>
          <w:rtl/>
          <w:lang w:val="en-US"/>
        </w:rPr>
        <w:t>مبادئ توجيهية بشأن إجراءات متابعة الآراء</w:t>
      </w:r>
      <w:r w:rsidR="00C11BB0" w:rsidRPr="00FB75AD">
        <w:rPr>
          <w:vertAlign w:val="superscript"/>
          <w:rtl/>
          <w:lang w:val="en-US"/>
        </w:rPr>
        <w:t>(</w:t>
      </w:r>
      <w:r w:rsidR="00C11BB0" w:rsidRPr="00FB75AD">
        <w:rPr>
          <w:vertAlign w:val="superscript"/>
          <w:rtl/>
          <w:lang w:val="en-US"/>
        </w:rPr>
        <w:footnoteReference w:id="1"/>
      </w:r>
      <w:r w:rsidR="00C11BB0" w:rsidRPr="00FB75AD">
        <w:rPr>
          <w:vertAlign w:val="superscript"/>
          <w:rtl/>
          <w:lang w:val="en-US"/>
        </w:rPr>
        <w:t>)</w:t>
      </w:r>
      <w:r w:rsidRPr="00FB75AD">
        <w:rPr>
          <w:rtl/>
          <w:lang w:val="en-US"/>
        </w:rPr>
        <w:t xml:space="preserve">، من أجل تحسين العملية التي تهدف من خلالها إلى التحقق من التدابير التي تتخذها الدول الأطراف لوضع آرائها موضع التنفيذ. وقد وُضعت هذه المبادئ التوجيهية، التي تستند إلى خبرة اللجنة منذ عام </w:t>
      </w:r>
      <w:r w:rsidRPr="00FB75AD">
        <w:rPr>
          <w:szCs w:val="20"/>
          <w:rtl/>
          <w:lang w:val="en-US"/>
        </w:rPr>
        <w:t>1990</w:t>
      </w:r>
      <w:r w:rsidRPr="00FB75AD">
        <w:rPr>
          <w:rtl/>
          <w:lang w:val="en-US"/>
        </w:rPr>
        <w:t>، كخريطة طريق لنشاط اللجنة في المستقبل بشأن مسألة متابعة الآراء، وستنفَّذ تدريجياً. ولما كان تنفيذ المبادئ التوجيهية هو مشروع تجريبي، فإن اللجنة ستقيّم المزايا والعيوب، وإذا ثبتت فائدتها، ستوصي هيئات المعاهدات الأخرى باستخدامها. وسيُواءَم تنفيذ المبادئ التوجيهية مع نظام إدارة القضايا الجديد الذي تعمل مفوضية الأمم المتحدة السامية لحقوق الإنسان حاليا</w:t>
      </w:r>
      <w:r w:rsidR="00C11BB0" w:rsidRPr="00FB75AD">
        <w:rPr>
          <w:rFonts w:hint="cs"/>
          <w:rtl/>
          <w:lang w:val="en-US"/>
        </w:rPr>
        <w:t>ً</w:t>
      </w:r>
      <w:r w:rsidRPr="00FB75AD">
        <w:rPr>
          <w:rtl/>
          <w:lang w:val="en-US"/>
        </w:rPr>
        <w:t xml:space="preserve"> على وضعه للتعامل مع بلاغات الأفراد، لكي يجمع النظام المعلومات اللازمة لإجراءات المتابعة ويعالجها وفق الأصول. وفي المرحلة الأولى من تنفيذ المبادئ التوجيهية، سيستمر اتباع الإجراءات الحالية لتقديم التقارير (تقريران عن متابعة الآراء في السنة</w:t>
      </w:r>
      <w:r w:rsidR="00C11BB0" w:rsidRPr="00FB75AD">
        <w:rPr>
          <w:rtl/>
          <w:lang w:val="en-US"/>
        </w:rPr>
        <w:t xml:space="preserve">). </w:t>
      </w:r>
      <w:r w:rsidRPr="00FB75AD">
        <w:rPr>
          <w:rtl/>
          <w:lang w:val="en-US"/>
        </w:rPr>
        <w:t>ومع ذلك، ستطبَّق المعايير الجديدة في اختيار القضايا لهذه التقارير.</w:t>
      </w:r>
    </w:p>
    <w:p w14:paraId="7498CAB4" w14:textId="68ECA399" w:rsidR="008D21EA" w:rsidRPr="00FB75AD" w:rsidRDefault="00766349" w:rsidP="00766349">
      <w:pPr>
        <w:pStyle w:val="H1GA"/>
        <w:rPr>
          <w:lang w:val="en-US"/>
        </w:rPr>
      </w:pPr>
      <w:r w:rsidRPr="00FB75AD">
        <w:rPr>
          <w:rtl/>
          <w:lang w:val="en-US"/>
        </w:rPr>
        <w:lastRenderedPageBreak/>
        <w:tab/>
      </w:r>
      <w:r w:rsidR="008D21EA" w:rsidRPr="00FB75AD">
        <w:rPr>
          <w:rtl/>
          <w:lang w:val="en-US"/>
        </w:rPr>
        <w:t>باء-</w:t>
      </w:r>
      <w:r w:rsidR="008D21EA" w:rsidRPr="00FB75AD">
        <w:rPr>
          <w:rtl/>
          <w:lang w:val="en-US"/>
        </w:rPr>
        <w:tab/>
        <w:t>معلومات المتابعة التي وردت وعولجت إلى غاية آذار/مارس 2023</w:t>
      </w:r>
      <w:bookmarkStart w:id="2" w:name="_Hlk157701194"/>
      <w:r w:rsidR="00C11BB0" w:rsidRPr="00FB75AD">
        <w:rPr>
          <w:b w:val="0"/>
          <w:bCs w:val="0"/>
          <w:szCs w:val="22"/>
          <w:vertAlign w:val="superscript"/>
          <w:rtl/>
          <w:lang w:val="en-US"/>
        </w:rPr>
        <w:t>(</w:t>
      </w:r>
      <w:r w:rsidR="00C11BB0" w:rsidRPr="00FB75AD">
        <w:rPr>
          <w:b w:val="0"/>
          <w:bCs w:val="0"/>
          <w:szCs w:val="22"/>
          <w:vertAlign w:val="superscript"/>
          <w:rtl/>
          <w:lang w:val="en-US"/>
        </w:rPr>
        <w:footnoteReference w:id="2"/>
      </w:r>
      <w:r w:rsidR="00C11BB0" w:rsidRPr="00FB75AD">
        <w:rPr>
          <w:b w:val="0"/>
          <w:bCs w:val="0"/>
          <w:szCs w:val="22"/>
          <w:vertAlign w:val="superscript"/>
          <w:rtl/>
          <w:lang w:val="en-US"/>
        </w:rPr>
        <w:t>)</w:t>
      </w:r>
    </w:p>
    <w:bookmarkEnd w:id="2"/>
    <w:p w14:paraId="24A5608A" w14:textId="441A780F" w:rsidR="008D21EA" w:rsidRPr="00FB75AD" w:rsidRDefault="00766349" w:rsidP="00766349">
      <w:pPr>
        <w:pStyle w:val="H23GA"/>
        <w:rPr>
          <w:szCs w:val="20"/>
          <w:lang w:val="en-US" w:eastAsia="zh-TW"/>
        </w:rPr>
      </w:pPr>
      <w:r w:rsidRPr="00FB75AD">
        <w:rPr>
          <w:szCs w:val="20"/>
          <w:rtl/>
          <w:lang w:val="en-US"/>
        </w:rPr>
        <w:tab/>
      </w:r>
      <w:r w:rsidR="008D21EA" w:rsidRPr="00FB75AD">
        <w:rPr>
          <w:szCs w:val="20"/>
          <w:rtl/>
          <w:lang w:val="en-US"/>
        </w:rPr>
        <w:t>1-</w:t>
      </w:r>
      <w:r w:rsidR="008D21EA" w:rsidRPr="00FB75AD">
        <w:rPr>
          <w:rtl/>
          <w:lang w:val="en-US"/>
        </w:rPr>
        <w:tab/>
        <w:t>أنغولا</w:t>
      </w:r>
    </w:p>
    <w:p w14:paraId="77755F6D" w14:textId="4D0ADAD2" w:rsidR="008D21EA" w:rsidRPr="00FB75AD" w:rsidRDefault="008D21EA" w:rsidP="00766349">
      <w:pPr>
        <w:pStyle w:val="H23GA"/>
        <w:rPr>
          <w:i/>
          <w:szCs w:val="20"/>
          <w:lang w:val="en-US" w:eastAsia="zh-TW"/>
        </w:rPr>
      </w:pPr>
      <w:r w:rsidRPr="00FB75AD">
        <w:rPr>
          <w:rtl/>
          <w:lang w:val="en-US"/>
        </w:rPr>
        <w:tab/>
      </w:r>
      <w:r w:rsidRPr="00FB75AD">
        <w:rPr>
          <w:rtl/>
          <w:lang w:val="en-US"/>
        </w:rPr>
        <w:tab/>
        <w:t>البلاغات رقم 3106/2018 –</w:t>
      </w:r>
      <w:r w:rsidR="00C11BB0" w:rsidRPr="00FB75AD">
        <w:rPr>
          <w:rtl/>
          <w:lang w:val="en-US"/>
        </w:rPr>
        <w:t xml:space="preserve"> 3122/2018،</w:t>
      </w:r>
      <w:r w:rsidRPr="00FB75AD">
        <w:rPr>
          <w:rtl/>
          <w:lang w:val="en-US"/>
        </w:rPr>
        <w:t xml:space="preserve"> </w:t>
      </w:r>
      <w:r w:rsidRPr="00FB75AD">
        <w:rPr>
          <w:i/>
          <w:iCs/>
          <w:rtl/>
          <w:lang w:val="en-US"/>
        </w:rPr>
        <w:t>أ. ج. وآخرون</w:t>
      </w:r>
      <w:r w:rsidRPr="00FB75AD">
        <w:rPr>
          <w:rtl/>
          <w:lang w:val="en-US"/>
        </w:rPr>
        <w:t>.</w:t>
      </w:r>
    </w:p>
    <w:p w14:paraId="6CDADBDF" w14:textId="0F05EA64" w:rsidR="008D21EA" w:rsidRPr="00FB75AD" w:rsidRDefault="008D21EA" w:rsidP="00264402">
      <w:pPr>
        <w:pStyle w:val="SingleTxtGA"/>
        <w:tabs>
          <w:tab w:val="clear" w:pos="2608"/>
          <w:tab w:val="clear" w:pos="3289"/>
          <w:tab w:val="clear" w:pos="3969"/>
          <w:tab w:val="left" w:pos="4252"/>
        </w:tabs>
        <w:ind w:left="4252" w:hanging="3005"/>
        <w:rPr>
          <w:szCs w:val="20"/>
          <w:lang w:val="en-US" w:eastAsia="zh-TW"/>
        </w:rPr>
      </w:pPr>
      <w:r w:rsidRPr="00FB75AD">
        <w:rPr>
          <w:b/>
          <w:bCs/>
          <w:rtl/>
          <w:lang w:val="en-US"/>
        </w:rPr>
        <w:t>تاريخ اعتماد الآراء</w:t>
      </w:r>
      <w:r w:rsidR="00264402" w:rsidRPr="00FB75AD">
        <w:rPr>
          <w:rtl/>
        </w:rPr>
        <w:t>:</w:t>
      </w:r>
      <w:r w:rsidRPr="00FB75AD">
        <w:rPr>
          <w:rtl/>
          <w:lang w:val="en-US"/>
        </w:rPr>
        <w:tab/>
      </w:r>
      <w:r w:rsidRPr="00FB75AD">
        <w:rPr>
          <w:szCs w:val="20"/>
          <w:rtl/>
          <w:lang w:val="en-US"/>
        </w:rPr>
        <w:t>21</w:t>
      </w:r>
      <w:r w:rsidRPr="00FB75AD">
        <w:rPr>
          <w:rtl/>
          <w:lang w:val="en-US"/>
        </w:rPr>
        <w:t xml:space="preserve"> تموز/يوليه </w:t>
      </w:r>
      <w:r w:rsidRPr="00FB75AD">
        <w:rPr>
          <w:szCs w:val="20"/>
          <w:rtl/>
          <w:lang w:val="en-US"/>
        </w:rPr>
        <w:t>2020</w:t>
      </w:r>
    </w:p>
    <w:p w14:paraId="2331DCD8" w14:textId="4F0E23D8" w:rsidR="008D21EA" w:rsidRPr="00FB75AD" w:rsidRDefault="008D21EA" w:rsidP="00264402">
      <w:pPr>
        <w:pStyle w:val="SingleTxtGA"/>
        <w:tabs>
          <w:tab w:val="clear" w:pos="2608"/>
          <w:tab w:val="clear" w:pos="3289"/>
          <w:tab w:val="clear" w:pos="3969"/>
          <w:tab w:val="left" w:pos="4252"/>
        </w:tabs>
        <w:ind w:left="4252" w:hanging="3005"/>
        <w:rPr>
          <w:szCs w:val="20"/>
          <w:lang w:val="en-US" w:eastAsia="zh-TW"/>
        </w:rPr>
      </w:pPr>
      <w:r w:rsidRPr="00FB75AD">
        <w:rPr>
          <w:b/>
          <w:bCs/>
          <w:rtl/>
          <w:lang w:val="en-US"/>
        </w:rPr>
        <w:t>المواد المنتهكة</w:t>
      </w:r>
      <w:r w:rsidR="00264402" w:rsidRPr="00FB75AD">
        <w:rPr>
          <w:rtl/>
        </w:rPr>
        <w:t>:</w:t>
      </w:r>
      <w:r w:rsidRPr="00FB75AD">
        <w:rPr>
          <w:rtl/>
          <w:lang w:val="en-US"/>
        </w:rPr>
        <w:tab/>
        <w:t xml:space="preserve">المادتان </w:t>
      </w:r>
      <w:r w:rsidRPr="00FB75AD">
        <w:rPr>
          <w:szCs w:val="20"/>
          <w:rtl/>
          <w:lang w:val="en-US"/>
        </w:rPr>
        <w:t>7</w:t>
      </w:r>
      <w:r w:rsidRPr="00FB75AD">
        <w:rPr>
          <w:rtl/>
          <w:lang w:val="en-US"/>
        </w:rPr>
        <w:t xml:space="preserve"> و</w:t>
      </w:r>
      <w:r w:rsidRPr="00FB75AD">
        <w:rPr>
          <w:szCs w:val="20"/>
          <w:rtl/>
          <w:lang w:val="en-US"/>
        </w:rPr>
        <w:t>13</w:t>
      </w:r>
    </w:p>
    <w:p w14:paraId="4AF2146C" w14:textId="168A5A81" w:rsidR="008D21EA" w:rsidRPr="00FB75AD" w:rsidRDefault="008D21EA" w:rsidP="00264402">
      <w:pPr>
        <w:pStyle w:val="SingleTxtGA"/>
        <w:tabs>
          <w:tab w:val="clear" w:pos="2608"/>
          <w:tab w:val="clear" w:pos="3289"/>
          <w:tab w:val="clear" w:pos="3969"/>
          <w:tab w:val="left" w:pos="4252"/>
        </w:tabs>
        <w:ind w:left="4252" w:hanging="3005"/>
        <w:rPr>
          <w:szCs w:val="20"/>
          <w:lang w:val="en-US" w:eastAsia="zh-TW"/>
        </w:rPr>
      </w:pPr>
      <w:r w:rsidRPr="00FB75AD">
        <w:rPr>
          <w:b/>
          <w:bCs/>
          <w:rtl/>
          <w:lang w:val="en-US"/>
        </w:rPr>
        <w:t>إجراء الانتصاف</w:t>
      </w:r>
      <w:r w:rsidR="00264402" w:rsidRPr="00FB75AD">
        <w:rPr>
          <w:rtl/>
        </w:rPr>
        <w:t>:</w:t>
      </w:r>
      <w:r w:rsidRPr="00FB75AD">
        <w:rPr>
          <w:rtl/>
          <w:lang w:val="en-US"/>
        </w:rPr>
        <w:tab/>
        <w:t>سبيل انتصاف فعال، بأشكال منها</w:t>
      </w:r>
      <w:r w:rsidR="00264402" w:rsidRPr="00FB75AD">
        <w:rPr>
          <w:rtl/>
        </w:rPr>
        <w:t>:</w:t>
      </w:r>
      <w:r w:rsidRPr="00FB75AD">
        <w:rPr>
          <w:rtl/>
          <w:lang w:val="en-US"/>
        </w:rPr>
        <w:t xml:space="preserve"> (أ) قيام الدولة الطرف بإعادة النظر في قضايا أصحاب البلاغ، واضعة في اعتبارها الالتزامات الواقعة عليها بموجب العهد وآراء اللجنة؛ و(ب)</w:t>
      </w:r>
      <w:r w:rsidR="00264402" w:rsidRPr="00FB75AD">
        <w:rPr>
          <w:rFonts w:hint="cs"/>
          <w:rtl/>
          <w:lang w:val="en-US"/>
        </w:rPr>
        <w:t> </w:t>
      </w:r>
      <w:r w:rsidRPr="00FB75AD">
        <w:rPr>
          <w:rtl/>
          <w:lang w:val="en-US"/>
        </w:rPr>
        <w:t>الامتناع عن طرد أصحاب البلاغ وأسرهم ريثما يُنظر على النحو الواجب في التماسهم اللجوء؛ و(ج) اتخاذ جميع الخطوات اللازمة لمنع حدوث انتهاكات مماثلة في المستقبل، بسُبل منها ضمان التنفيذ الفوري لقانون الحق في اللجوء ووضع اللاجئ وسن إجراءات لجوء عادلة وفعالة توفر حماية فعالة من الإعادة القسرية.</w:t>
      </w:r>
      <w:bookmarkStart w:id="3" w:name="_Hlk129360260"/>
      <w:bookmarkEnd w:id="3"/>
    </w:p>
    <w:p w14:paraId="440657CA" w14:textId="38047EFB" w:rsidR="008D21EA" w:rsidRPr="00FB75AD" w:rsidRDefault="008D21EA" w:rsidP="00264402">
      <w:pPr>
        <w:pStyle w:val="SingleTxtGA"/>
        <w:tabs>
          <w:tab w:val="clear" w:pos="2608"/>
          <w:tab w:val="clear" w:pos="3289"/>
          <w:tab w:val="clear" w:pos="3969"/>
          <w:tab w:val="left" w:pos="4252"/>
        </w:tabs>
        <w:ind w:left="4252" w:hanging="3005"/>
        <w:rPr>
          <w:szCs w:val="20"/>
          <w:lang w:val="en-US" w:eastAsia="zh-TW"/>
        </w:rPr>
      </w:pPr>
      <w:r w:rsidRPr="00FB75AD">
        <w:rPr>
          <w:b/>
          <w:bCs/>
          <w:rtl/>
          <w:lang w:val="en-US"/>
        </w:rPr>
        <w:t>الموضوع</w:t>
      </w:r>
      <w:r w:rsidR="00264402" w:rsidRPr="00FB75AD">
        <w:rPr>
          <w:rtl/>
        </w:rPr>
        <w:t>:</w:t>
      </w:r>
      <w:r w:rsidRPr="00FB75AD">
        <w:rPr>
          <w:rtl/>
          <w:lang w:val="en-US"/>
        </w:rPr>
        <w:tab/>
        <w:t>الترحيل إلى تركيا</w:t>
      </w:r>
    </w:p>
    <w:p w14:paraId="4262B115" w14:textId="45E7FFE4" w:rsidR="008D21EA" w:rsidRPr="00FB75AD" w:rsidRDefault="008D21EA" w:rsidP="00264402">
      <w:pPr>
        <w:pStyle w:val="SingleTxtGA"/>
        <w:tabs>
          <w:tab w:val="clear" w:pos="2608"/>
          <w:tab w:val="clear" w:pos="3289"/>
          <w:tab w:val="clear" w:pos="3969"/>
          <w:tab w:val="left" w:pos="4252"/>
        </w:tabs>
        <w:ind w:left="4252" w:hanging="3005"/>
        <w:rPr>
          <w:szCs w:val="20"/>
          <w:lang w:val="en-US" w:eastAsia="zh-TW"/>
        </w:rPr>
      </w:pPr>
      <w:r w:rsidRPr="00FB75AD">
        <w:rPr>
          <w:b/>
          <w:bCs/>
          <w:rtl/>
          <w:lang w:val="en-US"/>
        </w:rPr>
        <w:t>معلومات المتابعة المقدمة سابقاً</w:t>
      </w:r>
      <w:r w:rsidR="00264402" w:rsidRPr="00FB75AD">
        <w:rPr>
          <w:rtl/>
        </w:rPr>
        <w:t>:</w:t>
      </w:r>
      <w:r w:rsidRPr="00FB75AD">
        <w:rPr>
          <w:rtl/>
          <w:lang w:val="en-US"/>
        </w:rPr>
        <w:tab/>
        <w:t>لا يوجد</w:t>
      </w:r>
    </w:p>
    <w:p w14:paraId="5F303E28" w14:textId="5FE9EC0D" w:rsidR="008D21EA" w:rsidRPr="00FB75AD" w:rsidRDefault="008D21EA" w:rsidP="00264402">
      <w:pPr>
        <w:pStyle w:val="SingleTxtGA"/>
        <w:tabs>
          <w:tab w:val="clear" w:pos="2608"/>
          <w:tab w:val="clear" w:pos="3289"/>
          <w:tab w:val="clear" w:pos="3969"/>
          <w:tab w:val="left" w:pos="4252"/>
        </w:tabs>
        <w:ind w:left="4252" w:hanging="3005"/>
        <w:rPr>
          <w:lang w:val="en-US"/>
        </w:rPr>
      </w:pPr>
      <w:r w:rsidRPr="00FB75AD">
        <w:rPr>
          <w:b/>
          <w:bCs/>
          <w:rtl/>
          <w:lang w:val="en-US"/>
        </w:rPr>
        <w:t>المعلومات المقدمة من الدولة الطرف</w:t>
      </w:r>
      <w:r w:rsidR="00264402" w:rsidRPr="00FB75AD">
        <w:rPr>
          <w:rtl/>
        </w:rPr>
        <w:t>:</w:t>
      </w:r>
      <w:r w:rsidRPr="00FB75AD">
        <w:rPr>
          <w:rtl/>
          <w:lang w:val="en-US"/>
        </w:rPr>
        <w:tab/>
      </w:r>
      <w:r w:rsidRPr="00FB75AD">
        <w:rPr>
          <w:szCs w:val="20"/>
          <w:rtl/>
          <w:lang w:val="en-US"/>
        </w:rPr>
        <w:t>12</w:t>
      </w:r>
      <w:r w:rsidRPr="00FB75AD">
        <w:rPr>
          <w:rtl/>
          <w:lang w:val="en-US"/>
        </w:rPr>
        <w:t xml:space="preserve"> آب/أغسطس </w:t>
      </w:r>
      <w:r w:rsidRPr="00FB75AD">
        <w:rPr>
          <w:szCs w:val="20"/>
          <w:rtl/>
          <w:lang w:val="en-US"/>
        </w:rPr>
        <w:t>2021</w:t>
      </w:r>
      <w:r w:rsidR="00C11BB0" w:rsidRPr="00FB75AD">
        <w:rPr>
          <w:vertAlign w:val="superscript"/>
          <w:rtl/>
          <w:lang w:val="en-US"/>
        </w:rPr>
        <w:t>(</w:t>
      </w:r>
      <w:r w:rsidR="00C11BB0" w:rsidRPr="00FB75AD">
        <w:rPr>
          <w:vertAlign w:val="superscript"/>
          <w:rtl/>
          <w:lang w:val="en-US"/>
        </w:rPr>
        <w:footnoteReference w:id="3"/>
      </w:r>
      <w:r w:rsidR="00C11BB0" w:rsidRPr="00FB75AD">
        <w:rPr>
          <w:vertAlign w:val="superscript"/>
          <w:rtl/>
          <w:lang w:val="en-US"/>
        </w:rPr>
        <w:t>)</w:t>
      </w:r>
    </w:p>
    <w:p w14:paraId="58CD61F7" w14:textId="5B894D43" w:rsidR="008D21EA" w:rsidRPr="00FB75AD" w:rsidRDefault="008D21EA" w:rsidP="008D21EA">
      <w:pPr>
        <w:pStyle w:val="SingleTxtGA"/>
        <w:rPr>
          <w:szCs w:val="20"/>
          <w:lang w:val="en-US" w:eastAsia="zh-TW"/>
        </w:rPr>
      </w:pPr>
      <w:r w:rsidRPr="00FB75AD">
        <w:rPr>
          <w:rtl/>
          <w:lang w:val="en-US"/>
        </w:rPr>
        <w:tab/>
        <w:t>تحيط الدولة الطرف علما</w:t>
      </w:r>
      <w:r w:rsidR="00C11BB0" w:rsidRPr="00FB75AD">
        <w:rPr>
          <w:rFonts w:hint="cs"/>
          <w:rtl/>
          <w:lang w:val="en-US"/>
        </w:rPr>
        <w:t>ً</w:t>
      </w:r>
      <w:r w:rsidRPr="00FB75AD">
        <w:rPr>
          <w:rtl/>
          <w:lang w:val="en-US"/>
        </w:rPr>
        <w:t xml:space="preserve"> بآراء اللجنة وتقدم روايتها للوقائع. في </w:t>
      </w:r>
      <w:r w:rsidRPr="00FB75AD">
        <w:rPr>
          <w:szCs w:val="20"/>
          <w:rtl/>
          <w:lang w:val="en-US"/>
        </w:rPr>
        <w:t>21</w:t>
      </w:r>
      <w:r w:rsidRPr="00FB75AD">
        <w:rPr>
          <w:rtl/>
          <w:lang w:val="en-US"/>
        </w:rPr>
        <w:t xml:space="preserve"> آذار/مارس </w:t>
      </w:r>
      <w:r w:rsidRPr="00FB75AD">
        <w:rPr>
          <w:szCs w:val="20"/>
          <w:rtl/>
          <w:lang w:val="en-US"/>
        </w:rPr>
        <w:t>2017</w:t>
      </w:r>
      <w:r w:rsidRPr="00FB75AD">
        <w:rPr>
          <w:rtl/>
          <w:lang w:val="en-US"/>
        </w:rPr>
        <w:t xml:space="preserve">، حكمت الدائرة الجنائية لمحكمة لواندا الإقليمية على إ. ج. ك.، وهو مواطن تركي ومالك "كوليجيو إسبيرانسا إنترناسيونال" (مدرسة الأمل الدولية) بالسجن مدة </w:t>
      </w:r>
      <w:r w:rsidRPr="00FB75AD">
        <w:rPr>
          <w:szCs w:val="20"/>
          <w:rtl/>
          <w:lang w:val="en-US"/>
        </w:rPr>
        <w:t>15</w:t>
      </w:r>
      <w:r w:rsidRPr="00FB75AD">
        <w:rPr>
          <w:rtl/>
          <w:lang w:val="en-US"/>
        </w:rPr>
        <w:t xml:space="preserve"> عاما</w:t>
      </w:r>
      <w:r w:rsidR="00C11BB0" w:rsidRPr="00FB75AD">
        <w:rPr>
          <w:rFonts w:hint="cs"/>
          <w:rtl/>
          <w:lang w:val="en-US"/>
        </w:rPr>
        <w:t>ً</w:t>
      </w:r>
      <w:r w:rsidRPr="00FB75AD">
        <w:rPr>
          <w:rtl/>
          <w:lang w:val="en-US"/>
        </w:rPr>
        <w:t xml:space="preserve"> بعد إدانته بارتكاب جرائم تتعلق بالإرهاب والإرهاب الدولي وغسل الأموال وتمويل الإرهاب. وأقر الحكم أيضا</w:t>
      </w:r>
      <w:r w:rsidR="00C11BB0" w:rsidRPr="00FB75AD">
        <w:rPr>
          <w:rFonts w:hint="cs"/>
          <w:rtl/>
          <w:lang w:val="en-US"/>
        </w:rPr>
        <w:t>ً</w:t>
      </w:r>
      <w:r w:rsidRPr="00FB75AD">
        <w:rPr>
          <w:rtl/>
          <w:lang w:val="en-US"/>
        </w:rPr>
        <w:t xml:space="preserve"> بمسؤولية المدرسة عن التستر على هذه الجرائم، وهو ما أدى لاحقا</w:t>
      </w:r>
      <w:r w:rsidR="00C11BB0" w:rsidRPr="00FB75AD">
        <w:rPr>
          <w:rFonts w:hint="cs"/>
          <w:rtl/>
          <w:lang w:val="en-US"/>
        </w:rPr>
        <w:t>ً</w:t>
      </w:r>
      <w:r w:rsidRPr="00FB75AD">
        <w:rPr>
          <w:rtl/>
          <w:lang w:val="en-US"/>
        </w:rPr>
        <w:t xml:space="preserve"> إلى اتخاذ وزارة التعليم ودائرة الهجرة والأجانب إجراءات إدارية ضد المدرسة وضد جميع المدرسين ال</w:t>
      </w:r>
      <w:r w:rsidR="00C11BB0" w:rsidRPr="00FB75AD">
        <w:rPr>
          <w:rFonts w:hint="cs"/>
          <w:rtl/>
          <w:lang w:val="en-US"/>
        </w:rPr>
        <w:t>‍ </w:t>
      </w:r>
      <w:r w:rsidRPr="00FB75AD">
        <w:rPr>
          <w:szCs w:val="20"/>
          <w:rtl/>
          <w:lang w:val="en-US"/>
        </w:rPr>
        <w:t>1</w:t>
      </w:r>
      <w:r w:rsidR="00C11BB0" w:rsidRPr="00FB75AD">
        <w:rPr>
          <w:szCs w:val="20"/>
          <w:rtl/>
          <w:lang w:val="en-US"/>
        </w:rPr>
        <w:t>7.</w:t>
      </w:r>
      <w:r w:rsidR="00C11BB0" w:rsidRPr="00FB75AD">
        <w:rPr>
          <w:rtl/>
          <w:lang w:val="en-US"/>
        </w:rPr>
        <w:t xml:space="preserve"> </w:t>
      </w:r>
      <w:r w:rsidRPr="00FB75AD">
        <w:rPr>
          <w:rtl/>
          <w:lang w:val="en-US"/>
        </w:rPr>
        <w:t xml:space="preserve">وكانت العقوبات الإدارية التي أمرت بها هاتان الهيئتان هي إغلاق المدرسة وطرد المدرسين الـ </w:t>
      </w:r>
      <w:r w:rsidRPr="00FB75AD">
        <w:rPr>
          <w:szCs w:val="20"/>
          <w:rtl/>
          <w:lang w:val="en-US"/>
        </w:rPr>
        <w:t>17</w:t>
      </w:r>
      <w:r w:rsidRPr="00FB75AD">
        <w:rPr>
          <w:rtl/>
          <w:lang w:val="en-US"/>
        </w:rPr>
        <w:t xml:space="preserve"> وأسرهم وإلغاء تأشيراتهم.</w:t>
      </w:r>
    </w:p>
    <w:p w14:paraId="5A342DFA" w14:textId="18B735C8" w:rsidR="008D21EA" w:rsidRPr="00FB75AD" w:rsidRDefault="008D21EA" w:rsidP="008D21EA">
      <w:pPr>
        <w:pStyle w:val="SingleTxtGA"/>
        <w:rPr>
          <w:spacing w:val="-2"/>
          <w:szCs w:val="20"/>
          <w:lang w:val="en-US" w:eastAsia="zh-TW"/>
        </w:rPr>
      </w:pPr>
      <w:r w:rsidRPr="00FB75AD">
        <w:rPr>
          <w:spacing w:val="-2"/>
          <w:rtl/>
          <w:lang w:val="en-US"/>
        </w:rPr>
        <w:tab/>
        <w:t>ولما كانت أنغولا طرفا</w:t>
      </w:r>
      <w:r w:rsidR="00C11BB0" w:rsidRPr="00FB75AD">
        <w:rPr>
          <w:rFonts w:hint="cs"/>
          <w:spacing w:val="-2"/>
          <w:rtl/>
          <w:lang w:val="en-US"/>
        </w:rPr>
        <w:t>ً</w:t>
      </w:r>
      <w:r w:rsidRPr="00FB75AD">
        <w:rPr>
          <w:spacing w:val="-2"/>
          <w:rtl/>
          <w:lang w:val="en-US"/>
        </w:rPr>
        <w:t xml:space="preserve"> في الاتفاقية الخاصة بوضع اللاجئين، فقد تمكن أصحاب البلاغ من طلب الحماية الدولية من مفوضية الأمم المتحدة لشؤون اللاجئين (مفوضية شؤون اللاجئين) في أنغولا وظلوا في الدولة الطرف. وفيما يتعلق بموضوع البلاغ المقدم إلى اللجنة، طعن أصحابه في القرار الإداري الذي يأمر بطردهم. وبعد أن أخذت سلطات الدولة الطرف في اعتبارها ارتباط أصحاب البلاغ بحركة غولن والمخاطر التي سيواجهونها إذا ما طُردوا إلى تركيا، قررت عدم طردهم، ومن ثم فهي احترمت التزاماتها بعدم الإعادة القسرية بموجب المادة </w:t>
      </w:r>
      <w:r w:rsidRPr="00FB75AD">
        <w:rPr>
          <w:spacing w:val="-2"/>
          <w:szCs w:val="20"/>
          <w:rtl/>
          <w:lang w:val="en-US"/>
        </w:rPr>
        <w:t>7</w:t>
      </w:r>
      <w:r w:rsidRPr="00FB75AD">
        <w:rPr>
          <w:spacing w:val="-2"/>
          <w:rtl/>
          <w:lang w:val="en-US"/>
        </w:rPr>
        <w:t xml:space="preserve"> من العهد. وغادر اثنان من أصحاب البلاغ وأسرتاهما أنغولا طوعا</w:t>
      </w:r>
      <w:r w:rsidR="00C11BB0" w:rsidRPr="00FB75AD">
        <w:rPr>
          <w:rFonts w:hint="cs"/>
          <w:spacing w:val="-2"/>
          <w:rtl/>
          <w:lang w:val="en-US"/>
        </w:rPr>
        <w:t>ً</w:t>
      </w:r>
      <w:r w:rsidRPr="00FB75AD">
        <w:rPr>
          <w:spacing w:val="-2"/>
          <w:rtl/>
          <w:lang w:val="en-US"/>
        </w:rPr>
        <w:t>. أما أصحاب البلاغ ال</w:t>
      </w:r>
      <w:r w:rsidR="00CC72EC" w:rsidRPr="00FB75AD">
        <w:rPr>
          <w:rFonts w:hint="cs"/>
          <w:spacing w:val="-2"/>
          <w:rtl/>
          <w:lang w:val="en-US"/>
        </w:rPr>
        <w:t>‍ </w:t>
      </w:r>
      <w:r w:rsidRPr="00FB75AD">
        <w:rPr>
          <w:spacing w:val="-2"/>
          <w:szCs w:val="20"/>
          <w:rtl/>
          <w:lang w:val="en-US"/>
        </w:rPr>
        <w:t>15</w:t>
      </w:r>
      <w:r w:rsidRPr="00FB75AD">
        <w:rPr>
          <w:spacing w:val="-2"/>
          <w:rtl/>
          <w:lang w:val="en-US"/>
        </w:rPr>
        <w:t xml:space="preserve"> الآخرون وأسرهم فقد بقوا في أنغولا وواصلوا اندماجهم في المجتمع الأنغولي.</w:t>
      </w:r>
    </w:p>
    <w:p w14:paraId="1ED4A338" w14:textId="5573B080" w:rsidR="008D21EA" w:rsidRPr="00FB75AD" w:rsidRDefault="008D21EA" w:rsidP="002D7DB1">
      <w:pPr>
        <w:pStyle w:val="SingleTxtGA"/>
        <w:spacing w:after="100" w:line="358" w:lineRule="exact"/>
        <w:rPr>
          <w:szCs w:val="20"/>
          <w:lang w:val="en-US" w:eastAsia="zh-TW"/>
        </w:rPr>
      </w:pPr>
      <w:r w:rsidRPr="00FB75AD">
        <w:rPr>
          <w:rtl/>
          <w:lang w:val="en-US"/>
        </w:rPr>
        <w:lastRenderedPageBreak/>
        <w:tab/>
        <w:t xml:space="preserve">وقد بدأ نفاذ المرسوم الرئاسي رقم 200/18 المؤرخ </w:t>
      </w:r>
      <w:r w:rsidRPr="00FB75AD">
        <w:rPr>
          <w:szCs w:val="20"/>
          <w:rtl/>
          <w:lang w:val="en-US"/>
        </w:rPr>
        <w:t>27</w:t>
      </w:r>
      <w:r w:rsidRPr="00FB75AD">
        <w:rPr>
          <w:rtl/>
          <w:lang w:val="en-US"/>
        </w:rPr>
        <w:t xml:space="preserve"> آب/أغسطس </w:t>
      </w:r>
      <w:r w:rsidRPr="00FB75AD">
        <w:rPr>
          <w:szCs w:val="20"/>
          <w:rtl/>
          <w:lang w:val="en-US"/>
        </w:rPr>
        <w:t>2021</w:t>
      </w:r>
      <w:r w:rsidRPr="00FB75AD">
        <w:rPr>
          <w:rtl/>
          <w:lang w:val="en-US"/>
        </w:rPr>
        <w:t>، الذي ينشئ المجلس الوطني للاجئين وينظمه، وهو يكمل بذلك الهيكل الوطني لحماية اللاجئين في أنغولا. وينظر المجلس حاليا</w:t>
      </w:r>
      <w:r w:rsidR="00C11BB0" w:rsidRPr="00FB75AD">
        <w:rPr>
          <w:rFonts w:hint="cs"/>
          <w:rtl/>
          <w:lang w:val="en-US"/>
        </w:rPr>
        <w:t>ً</w:t>
      </w:r>
      <w:r w:rsidRPr="00FB75AD">
        <w:rPr>
          <w:rtl/>
          <w:lang w:val="en-US"/>
        </w:rPr>
        <w:t xml:space="preserve"> في طلبات اللجوء المقدمة من أصحاب البلاغ ال </w:t>
      </w:r>
      <w:r w:rsidRPr="00FB75AD">
        <w:rPr>
          <w:szCs w:val="20"/>
          <w:rtl/>
          <w:lang w:val="en-US"/>
        </w:rPr>
        <w:t>15</w:t>
      </w:r>
      <w:r w:rsidRPr="00FB75AD">
        <w:rPr>
          <w:rtl/>
          <w:lang w:val="en-US"/>
        </w:rPr>
        <w:t xml:space="preserve"> المتبقين، ومن المتوقع أن يتخذ قريبا</w:t>
      </w:r>
      <w:r w:rsidR="00C11BB0" w:rsidRPr="00FB75AD">
        <w:rPr>
          <w:rFonts w:hint="cs"/>
          <w:rtl/>
          <w:lang w:val="en-US"/>
        </w:rPr>
        <w:t>ً</w:t>
      </w:r>
      <w:r w:rsidRPr="00FB75AD">
        <w:rPr>
          <w:rtl/>
          <w:lang w:val="en-US"/>
        </w:rPr>
        <w:t xml:space="preserve"> قرارا</w:t>
      </w:r>
      <w:r w:rsidR="00C11BB0" w:rsidRPr="00FB75AD">
        <w:rPr>
          <w:rFonts w:hint="cs"/>
          <w:rtl/>
          <w:lang w:val="en-US"/>
        </w:rPr>
        <w:t>ً</w:t>
      </w:r>
      <w:r w:rsidRPr="00FB75AD">
        <w:rPr>
          <w:rtl/>
          <w:lang w:val="en-US"/>
        </w:rPr>
        <w:t xml:space="preserve"> نهائيا</w:t>
      </w:r>
      <w:r w:rsidR="00C11BB0" w:rsidRPr="00FB75AD">
        <w:rPr>
          <w:rFonts w:hint="cs"/>
          <w:rtl/>
          <w:lang w:val="en-US"/>
        </w:rPr>
        <w:t>ً</w:t>
      </w:r>
      <w:r w:rsidRPr="00FB75AD">
        <w:rPr>
          <w:rtl/>
          <w:lang w:val="en-US"/>
        </w:rPr>
        <w:t xml:space="preserve"> بناء على طلب مفوضية شؤون اللاجئين. ويضمن المجلس تنفيذ قانون اللجوء (رقم</w:t>
      </w:r>
      <w:r w:rsidR="00C11BB0" w:rsidRPr="00FB75AD">
        <w:rPr>
          <w:rtl/>
          <w:lang w:val="en-US"/>
        </w:rPr>
        <w:t xml:space="preserve"> 15/10</w:t>
      </w:r>
      <w:r w:rsidR="00C11BB0" w:rsidRPr="00FB75AD">
        <w:rPr>
          <w:szCs w:val="20"/>
          <w:rtl/>
          <w:lang w:val="en-US"/>
        </w:rPr>
        <w:t>)</w:t>
      </w:r>
      <w:r w:rsidR="00C11BB0" w:rsidRPr="00FB75AD">
        <w:rPr>
          <w:rtl/>
          <w:lang w:val="en-US"/>
        </w:rPr>
        <w:t xml:space="preserve"> </w:t>
      </w:r>
      <w:r w:rsidRPr="00FB75AD">
        <w:rPr>
          <w:rtl/>
          <w:lang w:val="en-US"/>
        </w:rPr>
        <w:t>واحترام الدولة الطرف التزاماتها الدولية فيما يتعلق بمساعدة اللاجئين وحمايتهم، وبالتالي منع انتهاكات حقوق الإنسان في هذا المجال. والدولة الطرف، بعدم طردها أصحاب البلاغ والسماح لهم بالبقاء في أنغولا، تكون قد ساعدت على حماية حقهم في عدم التعرض للتعذيب أو المعاملة القاسية أو اللاإنسانية أو</w:t>
      </w:r>
      <w:r w:rsidR="00C11BB0" w:rsidRPr="00FB75AD">
        <w:rPr>
          <w:rFonts w:hint="cs"/>
          <w:rtl/>
          <w:lang w:val="en-US"/>
        </w:rPr>
        <w:t> </w:t>
      </w:r>
      <w:r w:rsidRPr="00FB75AD">
        <w:rPr>
          <w:rtl/>
          <w:lang w:val="en-US"/>
        </w:rPr>
        <w:t>المهينة وفقا</w:t>
      </w:r>
      <w:r w:rsidR="00C11BB0" w:rsidRPr="00FB75AD">
        <w:rPr>
          <w:rFonts w:hint="cs"/>
          <w:rtl/>
          <w:lang w:val="en-US"/>
        </w:rPr>
        <w:t>ً</w:t>
      </w:r>
      <w:r w:rsidRPr="00FB75AD">
        <w:rPr>
          <w:rtl/>
          <w:lang w:val="en-US"/>
        </w:rPr>
        <w:t xml:space="preserve"> للعهد. وعلاوة على ذلك، لم يستنفد أصحاب البلاغ جميع سبل الانتصاف المحلية المتاحة، بما أن طلبات اللجوء التي قدموها هي قيد النظر حاليا</w:t>
      </w:r>
      <w:r w:rsidR="00C11BB0" w:rsidRPr="00FB75AD">
        <w:rPr>
          <w:rFonts w:hint="cs"/>
          <w:rtl/>
          <w:lang w:val="en-US"/>
        </w:rPr>
        <w:t>ً</w:t>
      </w:r>
      <w:r w:rsidRPr="00FB75AD">
        <w:rPr>
          <w:rtl/>
          <w:lang w:val="en-US"/>
        </w:rPr>
        <w:t>. وأصدرت وزارة الداخلية مؤخرا</w:t>
      </w:r>
      <w:r w:rsidR="00C11BB0" w:rsidRPr="00FB75AD">
        <w:rPr>
          <w:rFonts w:hint="cs"/>
          <w:rtl/>
          <w:lang w:val="en-US"/>
        </w:rPr>
        <w:t>ً</w:t>
      </w:r>
      <w:r w:rsidRPr="00FB75AD">
        <w:rPr>
          <w:rtl/>
          <w:lang w:val="en-US"/>
        </w:rPr>
        <w:t xml:space="preserve"> رأيا</w:t>
      </w:r>
      <w:r w:rsidR="00C11BB0" w:rsidRPr="00FB75AD">
        <w:rPr>
          <w:rFonts w:hint="cs"/>
          <w:rtl/>
          <w:lang w:val="en-US"/>
        </w:rPr>
        <w:t>ً</w:t>
      </w:r>
      <w:r w:rsidRPr="00FB75AD">
        <w:rPr>
          <w:rtl/>
          <w:lang w:val="en-US"/>
        </w:rPr>
        <w:t xml:space="preserve"> يؤيد منح أصحاب البلاغ ال</w:t>
      </w:r>
      <w:r w:rsidR="00C11BB0" w:rsidRPr="00FB75AD">
        <w:rPr>
          <w:rFonts w:hint="cs"/>
          <w:rtl/>
          <w:lang w:val="en-US"/>
        </w:rPr>
        <w:t>‍ </w:t>
      </w:r>
      <w:r w:rsidRPr="00FB75AD">
        <w:rPr>
          <w:szCs w:val="20"/>
          <w:rtl/>
          <w:lang w:val="en-US"/>
        </w:rPr>
        <w:t>15</w:t>
      </w:r>
      <w:r w:rsidRPr="00FB75AD">
        <w:rPr>
          <w:rtl/>
          <w:lang w:val="en-US"/>
        </w:rPr>
        <w:t xml:space="preserve"> صفة اللاجئ، ما يقلل أكثر من احتمالات طردهم إلى تركيا.</w:t>
      </w:r>
    </w:p>
    <w:p w14:paraId="5E865530" w14:textId="5246F258" w:rsidR="008D21EA" w:rsidRPr="00FB75AD" w:rsidRDefault="008D21EA" w:rsidP="002D7DB1">
      <w:pPr>
        <w:pStyle w:val="SingleTxtGA"/>
        <w:spacing w:after="100" w:line="358" w:lineRule="exact"/>
        <w:rPr>
          <w:szCs w:val="20"/>
          <w:lang w:val="en-US" w:eastAsia="zh-TW"/>
        </w:rPr>
      </w:pPr>
      <w:r w:rsidRPr="00FB75AD">
        <w:rPr>
          <w:rtl/>
          <w:lang w:val="en-US"/>
        </w:rPr>
        <w:tab/>
        <w:t>وتكرر الدولة الطرف تأكيدها أن بعض المعلومات التي قدمها أصحاب البلاغ إلى اللجنة ليست دقيقة، إذ يبدو أنهم على غير دراية ببعض الإجراءات الإدارية الوطنية. وعليه، ترى أن بعض العناصر التي تبرر مقبولية البلاغ وأسسه الموضوعية تبدو أيضا</w:t>
      </w:r>
      <w:r w:rsidR="00C11BB0" w:rsidRPr="00FB75AD">
        <w:rPr>
          <w:rFonts w:hint="cs"/>
          <w:rtl/>
          <w:lang w:val="en-US"/>
        </w:rPr>
        <w:t>ً</w:t>
      </w:r>
      <w:r w:rsidRPr="00FB75AD">
        <w:rPr>
          <w:rtl/>
          <w:lang w:val="en-US"/>
        </w:rPr>
        <w:t xml:space="preserve"> غير منطبقة.</w:t>
      </w:r>
    </w:p>
    <w:p w14:paraId="627EF4F7" w14:textId="3B822204" w:rsidR="008D21EA" w:rsidRPr="00FB75AD" w:rsidRDefault="008D21EA" w:rsidP="002D7DB1">
      <w:pPr>
        <w:pStyle w:val="SingleTxtGA"/>
        <w:spacing w:after="100" w:line="358" w:lineRule="exact"/>
        <w:rPr>
          <w:rStyle w:val="FootnoteReference"/>
          <w:szCs w:val="20"/>
          <w:lang w:val="en-US" w:eastAsia="zh-TW"/>
        </w:rPr>
      </w:pPr>
      <w:r w:rsidRPr="00FB75AD">
        <w:rPr>
          <w:b/>
          <w:bCs/>
          <w:rtl/>
          <w:lang w:val="en-US"/>
        </w:rPr>
        <w:t>المعلومات المقدمة من أصحاب البلاغ</w:t>
      </w:r>
      <w:r w:rsidR="00264402" w:rsidRPr="00FB75AD">
        <w:rPr>
          <w:rtl/>
        </w:rPr>
        <w:t>:</w:t>
      </w:r>
      <w:r w:rsidRPr="00FB75AD">
        <w:rPr>
          <w:rtl/>
          <w:lang w:val="en-US"/>
        </w:rPr>
        <w:t xml:space="preserve"> </w:t>
      </w:r>
      <w:r w:rsidRPr="00FB75AD">
        <w:rPr>
          <w:szCs w:val="20"/>
          <w:rtl/>
          <w:lang w:val="en-US"/>
        </w:rPr>
        <w:t>18</w:t>
      </w:r>
      <w:r w:rsidRPr="00FB75AD">
        <w:rPr>
          <w:rtl/>
          <w:lang w:val="en-US"/>
        </w:rPr>
        <w:t xml:space="preserve"> شباط/فبراير </w:t>
      </w:r>
      <w:r w:rsidRPr="00FB75AD">
        <w:rPr>
          <w:szCs w:val="20"/>
          <w:rtl/>
          <w:lang w:val="en-US"/>
        </w:rPr>
        <w:t>2022</w:t>
      </w:r>
      <w:r w:rsidR="00C11BB0" w:rsidRPr="00FB75AD">
        <w:rPr>
          <w:vertAlign w:val="superscript"/>
          <w:rtl/>
          <w:lang w:val="en-US"/>
        </w:rPr>
        <w:t>(</w:t>
      </w:r>
      <w:r w:rsidR="00C11BB0" w:rsidRPr="00FB75AD">
        <w:rPr>
          <w:vertAlign w:val="superscript"/>
          <w:rtl/>
          <w:lang w:val="en-US"/>
        </w:rPr>
        <w:footnoteReference w:id="4"/>
      </w:r>
      <w:r w:rsidR="00C11BB0" w:rsidRPr="00FB75AD">
        <w:rPr>
          <w:vertAlign w:val="superscript"/>
          <w:rtl/>
          <w:lang w:val="en-US"/>
        </w:rPr>
        <w:t>)</w:t>
      </w:r>
    </w:p>
    <w:p w14:paraId="3B88A277" w14:textId="06CBFDA1" w:rsidR="008D21EA" w:rsidRPr="00FB75AD" w:rsidRDefault="008D21EA" w:rsidP="002D7DB1">
      <w:pPr>
        <w:pStyle w:val="SingleTxtGA"/>
        <w:spacing w:after="100" w:line="358" w:lineRule="exact"/>
        <w:rPr>
          <w:spacing w:val="-3"/>
          <w:szCs w:val="20"/>
          <w:lang w:val="en-US" w:eastAsia="zh-TW"/>
        </w:rPr>
      </w:pPr>
      <w:r w:rsidRPr="00FB75AD">
        <w:rPr>
          <w:spacing w:val="-3"/>
          <w:rtl/>
          <w:lang w:val="en-US"/>
        </w:rPr>
        <w:tab/>
        <w:t>يدحض أصحاب البلاغ ادعاء الدولة الطرف أن إ. ج. ك. كان مالك كوليجيو إسبيرانسا إنترناسيونال ويقدمون كدليل على ذلك مقتطفا</w:t>
      </w:r>
      <w:r w:rsidR="00C11BB0" w:rsidRPr="00FB75AD">
        <w:rPr>
          <w:rFonts w:hint="cs"/>
          <w:spacing w:val="-3"/>
          <w:rtl/>
          <w:lang w:val="en-US"/>
        </w:rPr>
        <w:t>ً</w:t>
      </w:r>
      <w:r w:rsidRPr="00FB75AD">
        <w:rPr>
          <w:spacing w:val="-3"/>
          <w:rtl/>
          <w:lang w:val="en-US"/>
        </w:rPr>
        <w:t xml:space="preserve"> من القيد التجاري للمدرسة. ويؤكدون أن الإجراءات الجنائية التي أدت إلى الحكم على إ. ج. ك. بالسجن مدة </w:t>
      </w:r>
      <w:r w:rsidRPr="00FB75AD">
        <w:rPr>
          <w:spacing w:val="-3"/>
          <w:szCs w:val="20"/>
          <w:rtl/>
          <w:lang w:val="en-US"/>
        </w:rPr>
        <w:t>15</w:t>
      </w:r>
      <w:r w:rsidRPr="00FB75AD">
        <w:rPr>
          <w:spacing w:val="-3"/>
          <w:rtl/>
          <w:lang w:val="en-US"/>
        </w:rPr>
        <w:t xml:space="preserve"> سنة انتهت في </w:t>
      </w:r>
      <w:r w:rsidRPr="00FB75AD">
        <w:rPr>
          <w:spacing w:val="-3"/>
          <w:szCs w:val="20"/>
          <w:rtl/>
          <w:lang w:val="en-US"/>
        </w:rPr>
        <w:t>7</w:t>
      </w:r>
      <w:r w:rsidRPr="00FB75AD">
        <w:rPr>
          <w:spacing w:val="-3"/>
          <w:rtl/>
          <w:lang w:val="en-US"/>
        </w:rPr>
        <w:t xml:space="preserve"> تشرين الثاني/نوفمبر </w:t>
      </w:r>
      <w:r w:rsidRPr="00FB75AD">
        <w:rPr>
          <w:spacing w:val="-3"/>
          <w:szCs w:val="20"/>
          <w:rtl/>
          <w:lang w:val="en-US"/>
        </w:rPr>
        <w:t>2017</w:t>
      </w:r>
      <w:r w:rsidRPr="00FB75AD">
        <w:rPr>
          <w:spacing w:val="-3"/>
          <w:rtl/>
          <w:lang w:val="en-US"/>
        </w:rPr>
        <w:t>، عندما برأته المحكمة العليا</w:t>
      </w:r>
      <w:r w:rsidR="00C11BB0" w:rsidRPr="00FB75AD">
        <w:rPr>
          <w:spacing w:val="-3"/>
          <w:vertAlign w:val="superscript"/>
          <w:rtl/>
          <w:lang w:val="en-US"/>
        </w:rPr>
        <w:t>(</w:t>
      </w:r>
      <w:r w:rsidR="00C11BB0" w:rsidRPr="00FB75AD">
        <w:rPr>
          <w:spacing w:val="-3"/>
          <w:vertAlign w:val="superscript"/>
          <w:rtl/>
          <w:lang w:val="en-US"/>
        </w:rPr>
        <w:footnoteReference w:id="5"/>
      </w:r>
      <w:r w:rsidR="00C11BB0" w:rsidRPr="00FB75AD">
        <w:rPr>
          <w:spacing w:val="-3"/>
          <w:vertAlign w:val="superscript"/>
          <w:rtl/>
          <w:lang w:val="en-US"/>
        </w:rPr>
        <w:t>)</w:t>
      </w:r>
      <w:r w:rsidRPr="00FB75AD">
        <w:rPr>
          <w:spacing w:val="-3"/>
          <w:rtl/>
          <w:lang w:val="en-US"/>
        </w:rPr>
        <w:t xml:space="preserve">. ولذلك، لا يستطيع أصحاب البلاغ أن يفهموا سبب مصادرة تصاريح عملهم وجوازات سفرهم. وقد صدر قرار وزارة التعليم واحتُجز أصحاب البلاغ وصودرت جوازات سفرهم وأُغلقت المدرسة في شباط/فبراير </w:t>
      </w:r>
      <w:r w:rsidRPr="00FB75AD">
        <w:rPr>
          <w:spacing w:val="-3"/>
          <w:szCs w:val="20"/>
          <w:rtl/>
          <w:lang w:val="en-US"/>
        </w:rPr>
        <w:t>2017</w:t>
      </w:r>
      <w:r w:rsidRPr="00FB75AD">
        <w:rPr>
          <w:spacing w:val="-3"/>
          <w:rtl/>
          <w:lang w:val="en-US"/>
        </w:rPr>
        <w:t>، أي قبل قرار المحكمة العليا بشأن إ. ج. ك. ويؤكد أصحاب البلاغ من جديد أن إ. ج. ك. برئت ساحته وهم يطلبون وضع حد لانتهاك حقوقهم الذي عانوا منه على مدى السنوات الخمس الماضية.</w:t>
      </w:r>
    </w:p>
    <w:p w14:paraId="03CD76F1" w14:textId="699CD908" w:rsidR="008D21EA" w:rsidRPr="00FB75AD" w:rsidRDefault="008D21EA" w:rsidP="002D7DB1">
      <w:pPr>
        <w:pStyle w:val="SingleTxtGA"/>
        <w:spacing w:after="100" w:line="358" w:lineRule="exact"/>
        <w:rPr>
          <w:rStyle w:val="FootnoteReference"/>
          <w:szCs w:val="20"/>
          <w:lang w:val="en-US" w:eastAsia="zh-TW"/>
        </w:rPr>
      </w:pPr>
      <w:r w:rsidRPr="00FB75AD">
        <w:rPr>
          <w:rtl/>
          <w:lang w:val="en-US"/>
        </w:rPr>
        <w:tab/>
        <w:t>ويؤكد أصحاب البلاغ أنهم قدموا طلبات لجوء في أنغولا بمساعدة مفوضية شؤون اللاجئين. وهم ممتنون للدولة الطرف التي نفذت آراء اللجنة بشأن عدم الإعادة القسرية وفقا</w:t>
      </w:r>
      <w:r w:rsidR="00C11BB0" w:rsidRPr="00FB75AD">
        <w:rPr>
          <w:rFonts w:hint="cs"/>
          <w:rtl/>
          <w:lang w:val="en-US"/>
        </w:rPr>
        <w:t>ً</w:t>
      </w:r>
      <w:r w:rsidRPr="00FB75AD">
        <w:rPr>
          <w:rtl/>
          <w:lang w:val="en-US"/>
        </w:rPr>
        <w:t xml:space="preserve"> للمادة </w:t>
      </w:r>
      <w:r w:rsidRPr="00FB75AD">
        <w:rPr>
          <w:szCs w:val="20"/>
          <w:rtl/>
          <w:lang w:val="en-US"/>
        </w:rPr>
        <w:t>7</w:t>
      </w:r>
      <w:r w:rsidRPr="00FB75AD">
        <w:rPr>
          <w:rtl/>
          <w:lang w:val="en-US"/>
        </w:rPr>
        <w:t xml:space="preserve"> من العهد. ومع أن خمس أسر أُجبرت على مغادرة أنغولا قبل آب/أغسطس </w:t>
      </w:r>
      <w:r w:rsidRPr="00FB75AD">
        <w:rPr>
          <w:szCs w:val="20"/>
          <w:rtl/>
          <w:lang w:val="en-US"/>
        </w:rPr>
        <w:t>2017</w:t>
      </w:r>
      <w:r w:rsidRPr="00FB75AD">
        <w:rPr>
          <w:rtl/>
          <w:lang w:val="en-US"/>
        </w:rPr>
        <w:t>، يؤكد أصحاب البلاغ أنه لم يمارَس أي ضغط على أسر أخرى لمغادرة أنغولا منذ ذلك الحين. وغادرت سبع أسر أنغولا طوعا</w:t>
      </w:r>
      <w:r w:rsidR="00C11BB0" w:rsidRPr="00FB75AD">
        <w:rPr>
          <w:rFonts w:hint="cs"/>
          <w:rtl/>
          <w:lang w:val="en-US"/>
        </w:rPr>
        <w:t>ً</w:t>
      </w:r>
      <w:r w:rsidRPr="00FB75AD">
        <w:rPr>
          <w:rtl/>
          <w:lang w:val="en-US"/>
        </w:rPr>
        <w:t>، ولا تزال تسع أسر حاليا</w:t>
      </w:r>
      <w:r w:rsidR="00C11BB0" w:rsidRPr="00FB75AD">
        <w:rPr>
          <w:rFonts w:hint="cs"/>
          <w:rtl/>
          <w:lang w:val="en-US"/>
        </w:rPr>
        <w:t>ً</w:t>
      </w:r>
      <w:r w:rsidRPr="00FB75AD">
        <w:rPr>
          <w:rtl/>
          <w:lang w:val="en-US"/>
        </w:rPr>
        <w:t xml:space="preserve"> في أنغولا تنتظر قرارا</w:t>
      </w:r>
      <w:r w:rsidR="00C11BB0" w:rsidRPr="00FB75AD">
        <w:rPr>
          <w:rFonts w:hint="cs"/>
          <w:rtl/>
          <w:lang w:val="en-US"/>
        </w:rPr>
        <w:t>ً</w:t>
      </w:r>
      <w:r w:rsidRPr="00FB75AD">
        <w:rPr>
          <w:rtl/>
          <w:lang w:val="en-US"/>
        </w:rPr>
        <w:t xml:space="preserve"> بشأن طلبات اللجوء التي قدمتها</w:t>
      </w:r>
      <w:r w:rsidR="00C11BB0" w:rsidRPr="00FB75AD">
        <w:rPr>
          <w:vertAlign w:val="superscript"/>
          <w:rtl/>
          <w:lang w:val="en-US"/>
        </w:rPr>
        <w:t>(</w:t>
      </w:r>
      <w:r w:rsidR="00C11BB0" w:rsidRPr="00FB75AD">
        <w:rPr>
          <w:vertAlign w:val="superscript"/>
          <w:rtl/>
          <w:lang w:val="en-US"/>
        </w:rPr>
        <w:footnoteReference w:id="6"/>
      </w:r>
      <w:r w:rsidR="00C11BB0" w:rsidRPr="00FB75AD">
        <w:rPr>
          <w:vertAlign w:val="superscript"/>
          <w:rtl/>
          <w:lang w:val="en-US"/>
        </w:rPr>
        <w:t>)</w:t>
      </w:r>
      <w:r w:rsidRPr="00FB75AD">
        <w:rPr>
          <w:rtl/>
          <w:lang w:val="en-US"/>
        </w:rPr>
        <w:t>.</w:t>
      </w:r>
    </w:p>
    <w:p w14:paraId="7C58A881" w14:textId="165FE17A" w:rsidR="008D21EA" w:rsidRPr="00FB75AD" w:rsidRDefault="008D21EA" w:rsidP="002D7DB1">
      <w:pPr>
        <w:pStyle w:val="SingleTxtGA"/>
        <w:spacing w:after="100" w:line="358" w:lineRule="exact"/>
        <w:rPr>
          <w:spacing w:val="-2"/>
          <w:szCs w:val="20"/>
          <w:lang w:val="en-US" w:eastAsia="zh-TW"/>
        </w:rPr>
      </w:pPr>
      <w:r w:rsidRPr="00FB75AD">
        <w:rPr>
          <w:spacing w:val="-2"/>
          <w:rtl/>
          <w:lang w:val="en-US"/>
        </w:rPr>
        <w:tab/>
        <w:t>ويؤكد أصحاب البلاغ أنهم مرهقون نفسيا</w:t>
      </w:r>
      <w:r w:rsidR="00B748CE" w:rsidRPr="00FB75AD">
        <w:rPr>
          <w:rFonts w:hint="cs"/>
          <w:spacing w:val="-2"/>
          <w:rtl/>
          <w:lang w:val="en-US"/>
        </w:rPr>
        <w:t>ً</w:t>
      </w:r>
      <w:r w:rsidRPr="00FB75AD">
        <w:rPr>
          <w:spacing w:val="-2"/>
          <w:rtl/>
          <w:lang w:val="en-US"/>
        </w:rPr>
        <w:t>. وهم يشعرون بالإهانة والظلم كلما أوقفتهم الشرطة، وطُلب منهم تقديم جوازات سفرهم، وطُلب منهم شرح وضعهم. ويواجهون تحديات إدارية متعددة عندما يتعين عليهم الذهاب إلى المصرف أو الحصول على شريحة اشتراك للهاتف المحمول. وقد تزوج اثنان من أصحاب البلاغ، لكنهما لم يتمكنا من استصدار شهادة زواج بسبب سحب جواز سفرهم</w:t>
      </w:r>
      <w:r w:rsidR="00C11BB0" w:rsidRPr="00FB75AD">
        <w:rPr>
          <w:spacing w:val="-2"/>
          <w:vertAlign w:val="superscript"/>
          <w:rtl/>
          <w:lang w:val="en-US"/>
        </w:rPr>
        <w:t>(</w:t>
      </w:r>
      <w:r w:rsidR="00C11BB0" w:rsidRPr="00FB75AD">
        <w:rPr>
          <w:spacing w:val="-2"/>
          <w:vertAlign w:val="superscript"/>
          <w:rtl/>
          <w:lang w:val="en-US"/>
        </w:rPr>
        <w:footnoteReference w:id="7"/>
      </w:r>
      <w:r w:rsidR="00C11BB0" w:rsidRPr="00FB75AD">
        <w:rPr>
          <w:spacing w:val="-2"/>
          <w:vertAlign w:val="superscript"/>
          <w:rtl/>
          <w:lang w:val="en-US"/>
        </w:rPr>
        <w:t>)</w:t>
      </w:r>
      <w:r w:rsidRPr="00FB75AD">
        <w:rPr>
          <w:spacing w:val="-2"/>
          <w:rtl/>
          <w:lang w:val="en-US"/>
        </w:rPr>
        <w:t>. وإذا أراد أصحاب البلاغ استصدار شهادات ميلاد لمواليدهم الجدد، يُطلب منهم أيضا</w:t>
      </w:r>
      <w:r w:rsidR="00C11BB0" w:rsidRPr="00FB75AD">
        <w:rPr>
          <w:rFonts w:hint="cs"/>
          <w:spacing w:val="-2"/>
          <w:rtl/>
          <w:lang w:val="en-US"/>
        </w:rPr>
        <w:t>ً</w:t>
      </w:r>
      <w:r w:rsidRPr="00FB75AD">
        <w:rPr>
          <w:spacing w:val="-2"/>
          <w:rtl/>
          <w:lang w:val="en-US"/>
        </w:rPr>
        <w:t xml:space="preserve"> تقديم جواز سفر. وقد أثرت هذه التجارب وحالة عدم اليقين التي هم فيها على مدى السنوات الخمس الماضية تأثيرا</w:t>
      </w:r>
      <w:r w:rsidR="00C11BB0" w:rsidRPr="00FB75AD">
        <w:rPr>
          <w:rFonts w:hint="cs"/>
          <w:spacing w:val="-2"/>
          <w:rtl/>
          <w:lang w:val="en-US"/>
        </w:rPr>
        <w:t>ً</w:t>
      </w:r>
      <w:r w:rsidRPr="00FB75AD">
        <w:rPr>
          <w:spacing w:val="-2"/>
          <w:rtl/>
          <w:lang w:val="en-US"/>
        </w:rPr>
        <w:t xml:space="preserve"> سلبيا</w:t>
      </w:r>
      <w:r w:rsidR="00C11BB0" w:rsidRPr="00FB75AD">
        <w:rPr>
          <w:rFonts w:hint="cs"/>
          <w:spacing w:val="-2"/>
          <w:rtl/>
          <w:lang w:val="en-US"/>
        </w:rPr>
        <w:t>ً</w:t>
      </w:r>
      <w:r w:rsidRPr="00FB75AD">
        <w:rPr>
          <w:spacing w:val="-2"/>
          <w:rtl/>
          <w:lang w:val="en-US"/>
        </w:rPr>
        <w:t xml:space="preserve"> على صحتهم البدنية والعقلية.</w:t>
      </w:r>
    </w:p>
    <w:p w14:paraId="70455C77" w14:textId="5E15EB07" w:rsidR="008D21EA" w:rsidRPr="00FB75AD" w:rsidRDefault="008D21EA" w:rsidP="002D7DB1">
      <w:pPr>
        <w:pStyle w:val="SingleTxtGA"/>
        <w:spacing w:after="100"/>
        <w:rPr>
          <w:szCs w:val="20"/>
          <w:lang w:val="en-US" w:eastAsia="zh-TW"/>
        </w:rPr>
      </w:pPr>
      <w:r w:rsidRPr="00FB75AD">
        <w:rPr>
          <w:rtl/>
          <w:lang w:val="en-US"/>
        </w:rPr>
        <w:lastRenderedPageBreak/>
        <w:tab/>
        <w:t>ولا يزال اضطهاد السلطات في تركيا لأعضاء حركة غولن مستمرا</w:t>
      </w:r>
      <w:r w:rsidR="00C11BB0" w:rsidRPr="00FB75AD">
        <w:rPr>
          <w:rFonts w:hint="cs"/>
          <w:rtl/>
          <w:lang w:val="en-US"/>
        </w:rPr>
        <w:t>ً</w:t>
      </w:r>
      <w:r w:rsidRPr="00FB75AD">
        <w:rPr>
          <w:rtl/>
          <w:lang w:val="en-US"/>
        </w:rPr>
        <w:t>، بما في ذلك في الخارج. ويسر أصحاب البلاغ أن يروا أن الدولة الطرف تأخذ مأخذ الجد منح المدرسين الأتراك صفة اللاجئ وأن وزارة الداخلية أصدرت رأيا</w:t>
      </w:r>
      <w:r w:rsidR="00C11BB0" w:rsidRPr="00FB75AD">
        <w:rPr>
          <w:rFonts w:hint="cs"/>
          <w:rtl/>
          <w:lang w:val="en-US"/>
        </w:rPr>
        <w:t>ً</w:t>
      </w:r>
      <w:r w:rsidRPr="00FB75AD">
        <w:rPr>
          <w:rtl/>
          <w:lang w:val="en-US"/>
        </w:rPr>
        <w:t xml:space="preserve"> يؤيد منحهم صفة اللاجئ. ويأمل أصحاب البلاغ أن يتمكنوا من مواصلة أنشطتهم التعليمية والتدريبية في أنغولا بعد منحهم صفة اللاجئ.</w:t>
      </w:r>
    </w:p>
    <w:p w14:paraId="2FF927F5" w14:textId="153FEB5B" w:rsidR="008D21EA" w:rsidRPr="00FB75AD" w:rsidRDefault="008D21EA" w:rsidP="002D7DB1">
      <w:pPr>
        <w:pStyle w:val="SingleTxtGA"/>
        <w:spacing w:after="100"/>
        <w:rPr>
          <w:szCs w:val="20"/>
          <w:lang w:val="en-US" w:eastAsia="zh-TW"/>
        </w:rPr>
      </w:pPr>
      <w:r w:rsidRPr="00FB75AD">
        <w:rPr>
          <w:b/>
          <w:bCs/>
          <w:rtl/>
          <w:lang w:val="en-US"/>
        </w:rPr>
        <w:t>تقييم اللجنة</w:t>
      </w:r>
      <w:r w:rsidR="00264402" w:rsidRPr="00FB75AD">
        <w:rPr>
          <w:rtl/>
        </w:rPr>
        <w:t>:</w:t>
      </w:r>
    </w:p>
    <w:p w14:paraId="047EBD0C" w14:textId="1391FE83" w:rsidR="008D21EA" w:rsidRPr="00FB75AD" w:rsidRDefault="00766349" w:rsidP="002D7DB1">
      <w:pPr>
        <w:pStyle w:val="SingleTxtGA"/>
        <w:spacing w:after="100"/>
        <w:rPr>
          <w:szCs w:val="20"/>
          <w:lang w:val="en-US" w:eastAsia="zh-TW"/>
        </w:rPr>
      </w:pPr>
      <w:r w:rsidRPr="00FB75AD">
        <w:rPr>
          <w:rtl/>
          <w:lang w:val="en-US"/>
        </w:rPr>
        <w:tab/>
      </w:r>
      <w:r w:rsidR="008D21EA" w:rsidRPr="00FB75AD">
        <w:rPr>
          <w:rtl/>
          <w:lang w:val="en-US"/>
        </w:rPr>
        <w:t>(أ)</w:t>
      </w:r>
      <w:r w:rsidR="008D21EA" w:rsidRPr="00FB75AD">
        <w:rPr>
          <w:rtl/>
          <w:lang w:val="en-US"/>
        </w:rPr>
        <w:tab/>
        <w:t>إعادة النظر في قضايا أصحاب البلاغ</w:t>
      </w:r>
      <w:r w:rsidR="00264402" w:rsidRPr="00FB75AD">
        <w:rPr>
          <w:rtl/>
        </w:rPr>
        <w:t>:</w:t>
      </w:r>
      <w:r w:rsidR="008D21EA" w:rsidRPr="00FB75AD">
        <w:rPr>
          <w:rtl/>
          <w:lang w:val="en-US"/>
        </w:rPr>
        <w:t xml:space="preserve"> باء؛</w:t>
      </w:r>
    </w:p>
    <w:p w14:paraId="0D271D13" w14:textId="3E195D10" w:rsidR="008D21EA" w:rsidRPr="00FB75AD" w:rsidRDefault="00766349" w:rsidP="002D7DB1">
      <w:pPr>
        <w:pStyle w:val="SingleTxtGA"/>
        <w:spacing w:after="100"/>
        <w:rPr>
          <w:szCs w:val="20"/>
          <w:lang w:val="en-US" w:eastAsia="zh-TW"/>
        </w:rPr>
      </w:pPr>
      <w:r w:rsidRPr="00FB75AD">
        <w:rPr>
          <w:rtl/>
          <w:lang w:val="en-US"/>
        </w:rPr>
        <w:tab/>
      </w:r>
      <w:r w:rsidR="008D21EA" w:rsidRPr="00FB75AD">
        <w:rPr>
          <w:rtl/>
          <w:lang w:val="en-US"/>
        </w:rPr>
        <w:t>(ب)</w:t>
      </w:r>
      <w:r w:rsidR="008D21EA" w:rsidRPr="00FB75AD">
        <w:rPr>
          <w:rtl/>
          <w:lang w:val="en-US"/>
        </w:rPr>
        <w:tab/>
        <w:t>الامتناع عن طرد أصحاب البلاغ وأسرهم ريثما يُنظر على النحو الواجب في التماسهم اللجوء</w:t>
      </w:r>
      <w:r w:rsidR="00264402" w:rsidRPr="00FB75AD">
        <w:rPr>
          <w:rtl/>
        </w:rPr>
        <w:t>:</w:t>
      </w:r>
      <w:r w:rsidR="008D21EA" w:rsidRPr="00FB75AD">
        <w:rPr>
          <w:rtl/>
          <w:lang w:val="en-US"/>
        </w:rPr>
        <w:t xml:space="preserve"> ألف؛</w:t>
      </w:r>
    </w:p>
    <w:p w14:paraId="30931FB8" w14:textId="15DF14A1" w:rsidR="008D21EA" w:rsidRPr="00FB75AD" w:rsidRDefault="00766349" w:rsidP="002D7DB1">
      <w:pPr>
        <w:pStyle w:val="SingleTxtGA"/>
        <w:spacing w:after="100"/>
        <w:rPr>
          <w:szCs w:val="20"/>
          <w:lang w:val="en-US" w:eastAsia="zh-TW"/>
        </w:rPr>
      </w:pPr>
      <w:r w:rsidRPr="00FB75AD">
        <w:rPr>
          <w:rtl/>
          <w:lang w:val="en-US"/>
        </w:rPr>
        <w:tab/>
      </w:r>
      <w:r w:rsidR="008D21EA" w:rsidRPr="00FB75AD">
        <w:rPr>
          <w:rtl/>
          <w:lang w:val="en-US"/>
        </w:rPr>
        <w:t>(ج)</w:t>
      </w:r>
      <w:r w:rsidR="008D21EA" w:rsidRPr="00FB75AD">
        <w:rPr>
          <w:rtl/>
          <w:lang w:val="en-US"/>
        </w:rPr>
        <w:tab/>
        <w:t>عدم التكرار</w:t>
      </w:r>
      <w:r w:rsidR="00264402" w:rsidRPr="00FB75AD">
        <w:rPr>
          <w:rtl/>
        </w:rPr>
        <w:t>:</w:t>
      </w:r>
      <w:r w:rsidR="008D21EA" w:rsidRPr="00FB75AD">
        <w:rPr>
          <w:rtl/>
          <w:lang w:val="en-US"/>
        </w:rPr>
        <w:t xml:space="preserve"> باء.</w:t>
      </w:r>
    </w:p>
    <w:p w14:paraId="1734AA11" w14:textId="3D024009" w:rsidR="008D21EA" w:rsidRPr="00FB75AD" w:rsidRDefault="008D21EA" w:rsidP="002D7DB1">
      <w:pPr>
        <w:pStyle w:val="SingleTxtGA"/>
        <w:spacing w:after="100"/>
        <w:rPr>
          <w:szCs w:val="20"/>
          <w:lang w:val="en-US" w:eastAsia="zh-TW"/>
        </w:rPr>
      </w:pPr>
      <w:r w:rsidRPr="00FB75AD">
        <w:rPr>
          <w:b/>
          <w:bCs/>
          <w:rtl/>
          <w:lang w:val="en-US"/>
        </w:rPr>
        <w:t>قرار اللجنة</w:t>
      </w:r>
      <w:r w:rsidR="00264402" w:rsidRPr="00FB75AD">
        <w:rPr>
          <w:rtl/>
        </w:rPr>
        <w:t>:</w:t>
      </w:r>
      <w:r w:rsidRPr="00FB75AD">
        <w:rPr>
          <w:rtl/>
          <w:lang w:val="en-US"/>
        </w:rPr>
        <w:t xml:space="preserve"> حوار المتابعة جار بشأن أصحاب تسعة بلاغات ما زالوا يقيمون في أنغولا وينتظرون البت في طلبات لجوئهم.</w:t>
      </w:r>
    </w:p>
    <w:p w14:paraId="5A6D07F2" w14:textId="349A0D6E" w:rsidR="008D21EA" w:rsidRPr="00FB75AD" w:rsidRDefault="00FB75AD" w:rsidP="00FB75AD">
      <w:pPr>
        <w:pStyle w:val="H23GA"/>
        <w:rPr>
          <w:szCs w:val="20"/>
          <w:lang w:eastAsia="zh-TW"/>
        </w:rPr>
      </w:pPr>
      <w:r w:rsidRPr="00FB75AD">
        <w:rPr>
          <w:szCs w:val="20"/>
          <w:rtl/>
        </w:rPr>
        <w:tab/>
      </w:r>
      <w:r w:rsidR="008D21EA" w:rsidRPr="00FB75AD">
        <w:rPr>
          <w:szCs w:val="20"/>
          <w:rtl/>
        </w:rPr>
        <w:t>2-</w:t>
      </w:r>
      <w:r w:rsidR="008D21EA" w:rsidRPr="00FB75AD">
        <w:rPr>
          <w:rtl/>
        </w:rPr>
        <w:tab/>
        <w:t>تشيكيا</w:t>
      </w:r>
    </w:p>
    <w:p w14:paraId="23D6AA7A" w14:textId="2B851247" w:rsidR="008D21EA" w:rsidRPr="00FB75AD" w:rsidRDefault="008D21EA" w:rsidP="002D7DB1">
      <w:pPr>
        <w:pStyle w:val="SingleTxtGA"/>
        <w:spacing w:after="100"/>
        <w:rPr>
          <w:szCs w:val="20"/>
          <w:lang w:val="en-US" w:eastAsia="zh-TW"/>
        </w:rPr>
      </w:pPr>
      <w:r w:rsidRPr="00FB75AD">
        <w:rPr>
          <w:b/>
          <w:bCs/>
          <w:rtl/>
          <w:lang w:val="en-US"/>
        </w:rPr>
        <w:t>البلاغ رقم</w:t>
      </w:r>
      <w:r w:rsidR="00C11BB0" w:rsidRPr="00FB75AD">
        <w:rPr>
          <w:b/>
          <w:bCs/>
          <w:rtl/>
          <w:lang w:val="en-US"/>
        </w:rPr>
        <w:t xml:space="preserve"> 757/1997،</w:t>
      </w:r>
      <w:r w:rsidRPr="00FB75AD">
        <w:rPr>
          <w:b/>
          <w:bCs/>
          <w:rtl/>
          <w:lang w:val="en-US"/>
        </w:rPr>
        <w:t xml:space="preserve"> </w:t>
      </w:r>
      <w:r w:rsidRPr="00FB75AD">
        <w:rPr>
          <w:b/>
          <w:bCs/>
          <w:i/>
          <w:iCs/>
          <w:rtl/>
          <w:lang w:val="en-US"/>
        </w:rPr>
        <w:t>بيزولدوفا</w:t>
      </w:r>
    </w:p>
    <w:p w14:paraId="7D56E2CF" w14:textId="59BBD742" w:rsidR="008D21EA" w:rsidRPr="00FB75AD" w:rsidRDefault="008D21EA" w:rsidP="002D7DB1">
      <w:pPr>
        <w:pStyle w:val="SingleTxtGA"/>
        <w:tabs>
          <w:tab w:val="clear" w:pos="2608"/>
          <w:tab w:val="clear" w:pos="3289"/>
          <w:tab w:val="clear" w:pos="3969"/>
          <w:tab w:val="left" w:pos="4252"/>
        </w:tabs>
        <w:spacing w:after="100"/>
        <w:ind w:left="4252" w:hanging="3005"/>
        <w:rPr>
          <w:szCs w:val="20"/>
          <w:lang w:val="en-US" w:eastAsia="zh-TW"/>
        </w:rPr>
      </w:pPr>
      <w:r w:rsidRPr="00FB75AD">
        <w:rPr>
          <w:b/>
          <w:bCs/>
          <w:rtl/>
          <w:lang w:val="en-US"/>
        </w:rPr>
        <w:t>تاريخ اعتماد الآراء</w:t>
      </w:r>
      <w:r w:rsidR="00264402" w:rsidRPr="00FB75AD">
        <w:rPr>
          <w:rtl/>
        </w:rPr>
        <w:t>:</w:t>
      </w:r>
      <w:r w:rsidRPr="00FB75AD">
        <w:rPr>
          <w:rtl/>
          <w:lang w:val="en-US"/>
        </w:rPr>
        <w:tab/>
      </w:r>
      <w:r w:rsidRPr="00FB75AD">
        <w:rPr>
          <w:szCs w:val="20"/>
          <w:rtl/>
          <w:lang w:val="en-US"/>
        </w:rPr>
        <w:t>25</w:t>
      </w:r>
      <w:r w:rsidRPr="00FB75AD">
        <w:rPr>
          <w:rtl/>
          <w:lang w:val="en-US"/>
        </w:rPr>
        <w:t xml:space="preserve"> تشرين الأول/أكتوبر </w:t>
      </w:r>
      <w:r w:rsidRPr="00FB75AD">
        <w:rPr>
          <w:szCs w:val="20"/>
          <w:rtl/>
          <w:lang w:val="en-US"/>
        </w:rPr>
        <w:t>2002</w:t>
      </w:r>
    </w:p>
    <w:p w14:paraId="09480CE6" w14:textId="5F6E47AE" w:rsidR="008D21EA" w:rsidRPr="00FB75AD" w:rsidRDefault="008D21EA" w:rsidP="002D7DB1">
      <w:pPr>
        <w:pStyle w:val="SingleTxtGA"/>
        <w:tabs>
          <w:tab w:val="clear" w:pos="2608"/>
          <w:tab w:val="clear" w:pos="3289"/>
          <w:tab w:val="clear" w:pos="3969"/>
          <w:tab w:val="left" w:pos="4252"/>
        </w:tabs>
        <w:spacing w:after="100"/>
        <w:ind w:left="4252" w:hanging="3005"/>
        <w:rPr>
          <w:szCs w:val="20"/>
          <w:lang w:val="en-US" w:eastAsia="zh-TW"/>
        </w:rPr>
      </w:pPr>
      <w:r w:rsidRPr="00FB75AD">
        <w:rPr>
          <w:b/>
          <w:bCs/>
          <w:rtl/>
          <w:lang w:val="en-US"/>
        </w:rPr>
        <w:t>المواد المنتهكة</w:t>
      </w:r>
      <w:r w:rsidR="00264402" w:rsidRPr="00FB75AD">
        <w:rPr>
          <w:rtl/>
        </w:rPr>
        <w:t>:</w:t>
      </w:r>
      <w:r w:rsidRPr="00FB75AD">
        <w:rPr>
          <w:rtl/>
          <w:lang w:val="en-US"/>
        </w:rPr>
        <w:tab/>
        <w:t xml:space="preserve">المادة </w:t>
      </w:r>
      <w:r w:rsidRPr="00FB75AD">
        <w:rPr>
          <w:szCs w:val="20"/>
          <w:rtl/>
          <w:lang w:val="en-US"/>
        </w:rPr>
        <w:t>26</w:t>
      </w:r>
      <w:r w:rsidRPr="00FB75AD">
        <w:rPr>
          <w:rtl/>
          <w:lang w:val="en-US"/>
        </w:rPr>
        <w:t xml:space="preserve">، مقروءة بالاقتران مع المادة </w:t>
      </w:r>
      <w:r w:rsidRPr="00FB75AD">
        <w:rPr>
          <w:szCs w:val="20"/>
          <w:rtl/>
          <w:lang w:val="en-US"/>
        </w:rPr>
        <w:t>2</w:t>
      </w:r>
    </w:p>
    <w:p w14:paraId="2C238409" w14:textId="5C696A15" w:rsidR="008D21EA" w:rsidRPr="00FB75AD" w:rsidRDefault="008D21EA" w:rsidP="002D7DB1">
      <w:pPr>
        <w:pStyle w:val="SingleTxtGA"/>
        <w:tabs>
          <w:tab w:val="clear" w:pos="2608"/>
          <w:tab w:val="clear" w:pos="3289"/>
          <w:tab w:val="clear" w:pos="3969"/>
          <w:tab w:val="left" w:pos="4252"/>
        </w:tabs>
        <w:spacing w:after="100"/>
        <w:ind w:left="4252" w:hanging="3005"/>
        <w:rPr>
          <w:szCs w:val="20"/>
          <w:lang w:val="en-US" w:eastAsia="zh-TW"/>
        </w:rPr>
      </w:pPr>
      <w:r w:rsidRPr="00FB75AD">
        <w:rPr>
          <w:b/>
          <w:bCs/>
          <w:rtl/>
          <w:lang w:val="en-US"/>
        </w:rPr>
        <w:t>إجراء الانتصاف</w:t>
      </w:r>
      <w:r w:rsidR="00264402" w:rsidRPr="00FB75AD">
        <w:rPr>
          <w:rtl/>
        </w:rPr>
        <w:t>:</w:t>
      </w:r>
      <w:r w:rsidRPr="00FB75AD">
        <w:rPr>
          <w:rtl/>
          <w:lang w:val="en-US"/>
        </w:rPr>
        <w:tab/>
        <w:t>سبيل انتصاف فعال، بأشكال منها</w:t>
      </w:r>
      <w:r w:rsidR="00264402" w:rsidRPr="00FB75AD">
        <w:rPr>
          <w:rtl/>
        </w:rPr>
        <w:t>:</w:t>
      </w:r>
      <w:r w:rsidRPr="00FB75AD">
        <w:rPr>
          <w:rtl/>
          <w:lang w:val="en-US"/>
        </w:rPr>
        <w:t xml:space="preserve"> (أ) منح صاحبة البلاغ فرصة لتقديم مطالبة جديدة لاستعادة الممتلكات أو التعويض؛ و(ب) قيام الدولة الطرف بمراجعة تشريعاتها وممارساتها الإدارية لضمان تمتع جميع الأشخاص بالمساواة أمام القانون وبالمساواة في التمتع بحماية القانون.</w:t>
      </w:r>
    </w:p>
    <w:p w14:paraId="698D14C0" w14:textId="4BD97BB5" w:rsidR="008D21EA" w:rsidRPr="00FB75AD" w:rsidRDefault="008D21EA" w:rsidP="002D7DB1">
      <w:pPr>
        <w:pStyle w:val="SingleTxtGA"/>
        <w:tabs>
          <w:tab w:val="clear" w:pos="2608"/>
          <w:tab w:val="clear" w:pos="3289"/>
          <w:tab w:val="clear" w:pos="3969"/>
          <w:tab w:val="left" w:pos="4252"/>
        </w:tabs>
        <w:spacing w:after="100"/>
        <w:ind w:left="4252" w:hanging="3005"/>
        <w:rPr>
          <w:szCs w:val="20"/>
          <w:lang w:val="en-US" w:eastAsia="zh-TW"/>
        </w:rPr>
      </w:pPr>
      <w:r w:rsidRPr="00FB75AD">
        <w:rPr>
          <w:b/>
          <w:bCs/>
          <w:rtl/>
          <w:lang w:val="en-US"/>
        </w:rPr>
        <w:t>الموضوع</w:t>
      </w:r>
      <w:r w:rsidR="00264402" w:rsidRPr="00FB75AD">
        <w:rPr>
          <w:rtl/>
        </w:rPr>
        <w:t>:</w:t>
      </w:r>
      <w:r w:rsidRPr="00FB75AD">
        <w:rPr>
          <w:rtl/>
          <w:lang w:val="en-US"/>
        </w:rPr>
        <w:tab/>
        <w:t>مصادرة الممتلكات؛ التمييز</w:t>
      </w:r>
    </w:p>
    <w:p w14:paraId="6461EE87" w14:textId="4C014BF0" w:rsidR="008D21EA" w:rsidRPr="00FB75AD" w:rsidRDefault="008D21EA" w:rsidP="002D7DB1">
      <w:pPr>
        <w:pStyle w:val="SingleTxtGA"/>
        <w:tabs>
          <w:tab w:val="clear" w:pos="3289"/>
          <w:tab w:val="clear" w:pos="3969"/>
          <w:tab w:val="left" w:pos="4252"/>
        </w:tabs>
        <w:spacing w:after="100"/>
        <w:ind w:left="4252" w:hanging="3005"/>
        <w:rPr>
          <w:szCs w:val="20"/>
          <w:lang w:val="en-US" w:eastAsia="zh-TW"/>
        </w:rPr>
      </w:pPr>
      <w:r w:rsidRPr="00FB75AD">
        <w:rPr>
          <w:b/>
          <w:bCs/>
          <w:rtl/>
          <w:lang w:val="en-US"/>
        </w:rPr>
        <w:t>معلومات المتابعة المقدمة سابقاً</w:t>
      </w:r>
      <w:r w:rsidR="00264402" w:rsidRPr="00FB75AD">
        <w:rPr>
          <w:rtl/>
        </w:rPr>
        <w:t>:</w:t>
      </w:r>
      <w:r w:rsidRPr="00FB75AD">
        <w:rPr>
          <w:rtl/>
          <w:lang w:val="en-US"/>
        </w:rPr>
        <w:tab/>
      </w:r>
      <w:hyperlink r:id="rId9" w:history="1">
        <w:r w:rsidRPr="00FB75AD">
          <w:rPr>
            <w:rStyle w:val="Hyperlink"/>
            <w:szCs w:val="20"/>
            <w:lang w:val="en-US"/>
          </w:rPr>
          <w:t>A/60/40</w:t>
        </w:r>
      </w:hyperlink>
      <w:r w:rsidR="00C11BB0" w:rsidRPr="00FB75AD">
        <w:rPr>
          <w:rtl/>
          <w:lang w:val="en-US"/>
        </w:rPr>
        <w:t xml:space="preserve"> و</w:t>
      </w:r>
      <w:hyperlink r:id="rId10" w:history="1">
        <w:r w:rsidR="00C11BB0" w:rsidRPr="00FB75AD">
          <w:rPr>
            <w:rStyle w:val="Hyperlink"/>
            <w:szCs w:val="20"/>
            <w:lang w:val="en-US"/>
          </w:rPr>
          <w:t>A</w:t>
        </w:r>
        <w:r w:rsidRPr="00FB75AD">
          <w:rPr>
            <w:rStyle w:val="Hyperlink"/>
            <w:szCs w:val="20"/>
            <w:lang w:val="en-US"/>
          </w:rPr>
          <w:t>/61/40</w:t>
        </w:r>
      </w:hyperlink>
      <w:r w:rsidR="00C11BB0" w:rsidRPr="00FB75AD">
        <w:rPr>
          <w:rtl/>
          <w:lang w:val="en-US"/>
        </w:rPr>
        <w:t xml:space="preserve"> و</w:t>
      </w:r>
      <w:hyperlink r:id="rId11" w:history="1">
        <w:r w:rsidR="00C11BB0" w:rsidRPr="00FB75AD">
          <w:rPr>
            <w:rStyle w:val="Hyperlink"/>
            <w:szCs w:val="20"/>
            <w:lang w:val="en-US"/>
          </w:rPr>
          <w:t>A</w:t>
        </w:r>
        <w:r w:rsidRPr="00FB75AD">
          <w:rPr>
            <w:rStyle w:val="Hyperlink"/>
            <w:szCs w:val="20"/>
            <w:lang w:val="en-US"/>
          </w:rPr>
          <w:t>/60/40/Corr.1</w:t>
        </w:r>
      </w:hyperlink>
      <w:r w:rsidR="00C11BB0" w:rsidRPr="00FB75AD">
        <w:rPr>
          <w:rtl/>
          <w:lang w:val="en-US"/>
        </w:rPr>
        <w:t xml:space="preserve"> و</w:t>
      </w:r>
      <w:hyperlink r:id="rId12" w:history="1">
        <w:r w:rsidR="00C11BB0" w:rsidRPr="00FB75AD">
          <w:rPr>
            <w:rStyle w:val="Hyperlink"/>
            <w:szCs w:val="20"/>
            <w:lang w:val="en-US"/>
          </w:rPr>
          <w:t>A</w:t>
        </w:r>
        <w:r w:rsidRPr="00FB75AD">
          <w:rPr>
            <w:rStyle w:val="Hyperlink"/>
            <w:szCs w:val="20"/>
            <w:lang w:val="en-US"/>
          </w:rPr>
          <w:t>/62/40</w:t>
        </w:r>
      </w:hyperlink>
      <w:r w:rsidR="00C11BB0" w:rsidRPr="00FB75AD">
        <w:rPr>
          <w:rtl/>
          <w:lang w:val="en-US"/>
        </w:rPr>
        <w:t xml:space="preserve"> و</w:t>
      </w:r>
      <w:hyperlink r:id="rId13" w:history="1">
        <w:r w:rsidR="00C11BB0" w:rsidRPr="00FB75AD">
          <w:rPr>
            <w:rStyle w:val="Hyperlink"/>
            <w:szCs w:val="20"/>
            <w:lang w:val="en-US"/>
          </w:rPr>
          <w:t>C</w:t>
        </w:r>
        <w:r w:rsidRPr="00FB75AD">
          <w:rPr>
            <w:rStyle w:val="Hyperlink"/>
            <w:szCs w:val="20"/>
            <w:lang w:val="en-US"/>
          </w:rPr>
          <w:t>CPR/C/125/3</w:t>
        </w:r>
      </w:hyperlink>
    </w:p>
    <w:p w14:paraId="1C0896A6" w14:textId="5491076B" w:rsidR="008D21EA" w:rsidRPr="00FB75AD" w:rsidRDefault="008D21EA" w:rsidP="002D7DB1">
      <w:pPr>
        <w:pStyle w:val="SingleTxtGA"/>
        <w:tabs>
          <w:tab w:val="clear" w:pos="3289"/>
          <w:tab w:val="clear" w:pos="3969"/>
          <w:tab w:val="left" w:pos="4252"/>
        </w:tabs>
        <w:spacing w:after="100"/>
        <w:ind w:left="4252" w:hanging="3005"/>
        <w:rPr>
          <w:rStyle w:val="FootnoteReference"/>
          <w:szCs w:val="20"/>
          <w:lang w:val="en-US" w:eastAsia="zh-TW"/>
        </w:rPr>
      </w:pPr>
      <w:r w:rsidRPr="00FB75AD">
        <w:rPr>
          <w:b/>
          <w:bCs/>
          <w:rtl/>
          <w:lang w:val="en-US"/>
        </w:rPr>
        <w:t>المعلومات المقدمة من الدولة الطرف</w:t>
      </w:r>
      <w:r w:rsidR="00264402" w:rsidRPr="00FB75AD">
        <w:rPr>
          <w:rtl/>
        </w:rPr>
        <w:t>:</w:t>
      </w:r>
      <w:r w:rsidRPr="00FB75AD">
        <w:rPr>
          <w:rtl/>
          <w:lang w:val="en-US"/>
        </w:rPr>
        <w:tab/>
      </w:r>
      <w:r w:rsidRPr="00FB75AD">
        <w:rPr>
          <w:szCs w:val="20"/>
          <w:rtl/>
          <w:lang w:val="en-US"/>
        </w:rPr>
        <w:t>29</w:t>
      </w:r>
      <w:r w:rsidRPr="00FB75AD">
        <w:rPr>
          <w:rtl/>
          <w:lang w:val="en-US"/>
        </w:rPr>
        <w:t xml:space="preserve"> أيلول/سبتمبر </w:t>
      </w:r>
      <w:r w:rsidRPr="00FB75AD">
        <w:rPr>
          <w:szCs w:val="20"/>
          <w:rtl/>
          <w:lang w:val="en-US"/>
        </w:rPr>
        <w:t>2021</w:t>
      </w:r>
      <w:r w:rsidR="00C11BB0" w:rsidRPr="00FB75AD">
        <w:rPr>
          <w:vertAlign w:val="superscript"/>
          <w:rtl/>
          <w:lang w:val="en-US"/>
        </w:rPr>
        <w:t>(</w:t>
      </w:r>
      <w:r w:rsidR="00C11BB0" w:rsidRPr="00FB75AD">
        <w:rPr>
          <w:vertAlign w:val="superscript"/>
          <w:rtl/>
          <w:lang w:val="en-US"/>
        </w:rPr>
        <w:footnoteReference w:id="8"/>
      </w:r>
      <w:r w:rsidR="00C11BB0" w:rsidRPr="00FB75AD">
        <w:rPr>
          <w:vertAlign w:val="superscript"/>
          <w:rtl/>
          <w:lang w:val="en-US"/>
        </w:rPr>
        <w:t>)</w:t>
      </w:r>
    </w:p>
    <w:p w14:paraId="10881D79" w14:textId="09E6538C" w:rsidR="008D21EA" w:rsidRPr="00FB75AD" w:rsidRDefault="008D21EA" w:rsidP="002D7DB1">
      <w:pPr>
        <w:pStyle w:val="SingleTxtGA"/>
        <w:spacing w:after="100"/>
        <w:rPr>
          <w:szCs w:val="20"/>
          <w:lang w:val="en-US" w:eastAsia="zh-TW"/>
        </w:rPr>
      </w:pPr>
      <w:r w:rsidRPr="00FB75AD">
        <w:rPr>
          <w:rtl/>
          <w:lang w:val="en-US"/>
        </w:rPr>
        <w:tab/>
        <w:t>تقول الدولة الطرف إن تقييم اللجنة لتنفيذ الآراء</w:t>
      </w:r>
      <w:r w:rsidR="00C11BB0" w:rsidRPr="00FB75AD">
        <w:rPr>
          <w:vertAlign w:val="superscript"/>
          <w:rtl/>
          <w:lang w:val="en-US"/>
        </w:rPr>
        <w:t>(</w:t>
      </w:r>
      <w:r w:rsidR="00C11BB0" w:rsidRPr="00FB75AD">
        <w:rPr>
          <w:vertAlign w:val="superscript"/>
          <w:rtl/>
          <w:lang w:val="en-US"/>
        </w:rPr>
        <w:footnoteReference w:id="9"/>
      </w:r>
      <w:r w:rsidR="00C11BB0" w:rsidRPr="00FB75AD">
        <w:rPr>
          <w:vertAlign w:val="superscript"/>
          <w:rtl/>
          <w:lang w:val="en-US"/>
        </w:rPr>
        <w:t>)</w:t>
      </w:r>
      <w:r w:rsidRPr="00FB75AD">
        <w:rPr>
          <w:rtl/>
          <w:lang w:val="en-US"/>
        </w:rPr>
        <w:t> عُرض على لجنة الخبراء الوطنية المعنية بتنفيذ أحكام المحكمة الأوروبية لحقوق الإنسان، التي تُعنى أيضا</w:t>
      </w:r>
      <w:r w:rsidR="00C11BB0" w:rsidRPr="00FB75AD">
        <w:rPr>
          <w:rFonts w:hint="cs"/>
          <w:rtl/>
          <w:lang w:val="en-US"/>
        </w:rPr>
        <w:t>ً</w:t>
      </w:r>
      <w:r w:rsidRPr="00FB75AD">
        <w:rPr>
          <w:rtl/>
          <w:lang w:val="en-US"/>
        </w:rPr>
        <w:t xml:space="preserve"> بقرارات الهيئات الدولية لحقوق الإنسان. ولجنة الخبراء هذه هي هيئة استشارية مشتركة بين الإدارات تتألف من ممثلين وممثلات عن جميع الوزارات </w:t>
      </w:r>
      <w:proofErr w:type="gramStart"/>
      <w:r w:rsidRPr="00FB75AD">
        <w:rPr>
          <w:rtl/>
          <w:lang w:val="en-US"/>
        </w:rPr>
        <w:t>والبرلمان</w:t>
      </w:r>
      <w:proofErr w:type="gramEnd"/>
      <w:r w:rsidRPr="00FB75AD">
        <w:rPr>
          <w:rtl/>
          <w:lang w:val="en-US"/>
        </w:rPr>
        <w:t xml:space="preserve"> والمحاكم العليا وأمين(ة) المظالم والمنظمات غير الحكومية والأوساط الأكاديمية. وتُنشر تقارير اجتماعات لجنة الخبراء على الموقع الشبكي لوزارة العدل.</w:t>
      </w:r>
    </w:p>
    <w:p w14:paraId="50DF6327" w14:textId="641FD9D4" w:rsidR="008D21EA" w:rsidRPr="00FB75AD" w:rsidRDefault="008D21EA" w:rsidP="002D7DB1">
      <w:pPr>
        <w:pStyle w:val="SingleTxtGA"/>
        <w:spacing w:after="100"/>
        <w:rPr>
          <w:szCs w:val="20"/>
          <w:lang w:val="en-US" w:eastAsia="zh-TW"/>
        </w:rPr>
      </w:pPr>
      <w:r w:rsidRPr="00FB75AD">
        <w:rPr>
          <w:rtl/>
          <w:lang w:val="en-US"/>
        </w:rPr>
        <w:tab/>
        <w:t>وتُرجمت الآراء إلى اللغة التشيكية ونُشرت على الموقع الشبكي لوزارة العدل. وورد وصف تنفيذ الدولة الطرف للآراء في عدة تقارير قُدمت أثناء حوار المتابعة؛ وليس لديها حاليا</w:t>
      </w:r>
      <w:r w:rsidR="00C11BB0" w:rsidRPr="00FB75AD">
        <w:rPr>
          <w:rFonts w:hint="cs"/>
          <w:rtl/>
          <w:lang w:val="en-US"/>
        </w:rPr>
        <w:t>ً</w:t>
      </w:r>
      <w:r w:rsidRPr="00FB75AD">
        <w:rPr>
          <w:rtl/>
          <w:lang w:val="en-US"/>
        </w:rPr>
        <w:t xml:space="preserve"> ما تضيفه.</w:t>
      </w:r>
    </w:p>
    <w:p w14:paraId="24EBB1DA" w14:textId="60DEBC94" w:rsidR="008D21EA" w:rsidRPr="00FB75AD" w:rsidRDefault="008D21EA" w:rsidP="008D21EA">
      <w:pPr>
        <w:pStyle w:val="SingleTxtGA"/>
      </w:pPr>
      <w:r w:rsidRPr="00FB75AD">
        <w:rPr>
          <w:b/>
          <w:bCs/>
          <w:rtl/>
          <w:lang w:val="en-US"/>
        </w:rPr>
        <w:lastRenderedPageBreak/>
        <w:t>المعلومات المقدمة من صاحبة البلاغ</w:t>
      </w:r>
      <w:r w:rsidR="00264402" w:rsidRPr="00FB75AD">
        <w:rPr>
          <w:rtl/>
        </w:rPr>
        <w:t>:</w:t>
      </w:r>
      <w:r w:rsidRPr="00FB75AD">
        <w:rPr>
          <w:rtl/>
          <w:lang w:val="en-US"/>
        </w:rPr>
        <w:t xml:space="preserve"> </w:t>
      </w:r>
      <w:r w:rsidRPr="00FB75AD">
        <w:rPr>
          <w:szCs w:val="20"/>
          <w:rtl/>
          <w:lang w:val="en-US"/>
        </w:rPr>
        <w:t>17</w:t>
      </w:r>
      <w:r w:rsidRPr="00FB75AD">
        <w:rPr>
          <w:rtl/>
          <w:lang w:val="en-US"/>
        </w:rPr>
        <w:t xml:space="preserve"> آذار/مارس </w:t>
      </w:r>
      <w:r w:rsidRPr="00FB75AD">
        <w:rPr>
          <w:szCs w:val="20"/>
          <w:rtl/>
          <w:lang w:val="en-US"/>
        </w:rPr>
        <w:t>2022</w:t>
      </w:r>
      <w:r w:rsidR="00C11BB0" w:rsidRPr="00FB75AD">
        <w:rPr>
          <w:vertAlign w:val="superscript"/>
          <w:rtl/>
          <w:lang w:val="en-US"/>
        </w:rPr>
        <w:t>(</w:t>
      </w:r>
      <w:r w:rsidR="00C11BB0" w:rsidRPr="00FB75AD">
        <w:rPr>
          <w:vertAlign w:val="superscript"/>
          <w:rtl/>
          <w:lang w:val="en-US"/>
        </w:rPr>
        <w:footnoteReference w:id="10"/>
      </w:r>
      <w:r w:rsidR="00C11BB0" w:rsidRPr="00FB75AD">
        <w:rPr>
          <w:vertAlign w:val="superscript"/>
          <w:rtl/>
          <w:lang w:val="en-US"/>
        </w:rPr>
        <w:t>)</w:t>
      </w:r>
    </w:p>
    <w:p w14:paraId="0112B424" w14:textId="34F48E28" w:rsidR="008D21EA" w:rsidRPr="00FB75AD" w:rsidRDefault="008D21EA" w:rsidP="008D21EA">
      <w:pPr>
        <w:pStyle w:val="SingleTxtGA"/>
        <w:rPr>
          <w:szCs w:val="20"/>
          <w:lang w:val="en-US" w:eastAsia="zh-TW"/>
        </w:rPr>
      </w:pPr>
      <w:r w:rsidRPr="00FB75AD">
        <w:rPr>
          <w:rtl/>
          <w:lang w:val="en-US"/>
        </w:rPr>
        <w:tab/>
        <w:t>تشاطر صاحبة البلاغ اللجنة ما أعربت عنه من قلق في ملاحظاتها الختامية بشأن التقرير الدوري الرابع لتشيكيا</w:t>
      </w:r>
      <w:r w:rsidR="00C11BB0" w:rsidRPr="00FB75AD">
        <w:rPr>
          <w:vertAlign w:val="superscript"/>
          <w:rtl/>
          <w:lang w:val="en-US"/>
        </w:rPr>
        <w:t>(</w:t>
      </w:r>
      <w:r w:rsidR="00C11BB0" w:rsidRPr="00FB75AD">
        <w:rPr>
          <w:vertAlign w:val="superscript"/>
          <w:rtl/>
          <w:lang w:val="en-US"/>
        </w:rPr>
        <w:footnoteReference w:id="11"/>
      </w:r>
      <w:r w:rsidR="00C11BB0" w:rsidRPr="00FB75AD">
        <w:rPr>
          <w:vertAlign w:val="superscript"/>
          <w:rtl/>
          <w:lang w:val="en-US"/>
        </w:rPr>
        <w:t>)</w:t>
      </w:r>
      <w:r w:rsidRPr="00FB75AD">
        <w:rPr>
          <w:rtl/>
          <w:lang w:val="en-US"/>
        </w:rPr>
        <w:t> إزاء عدم تنفيذ الدولة الطرف آراءها. وبالإشارة تحديدا</w:t>
      </w:r>
      <w:r w:rsidR="00C11BB0" w:rsidRPr="00FB75AD">
        <w:rPr>
          <w:rFonts w:hint="cs"/>
          <w:rtl/>
          <w:lang w:val="en-US"/>
        </w:rPr>
        <w:t>ً</w:t>
      </w:r>
      <w:r w:rsidRPr="00FB75AD">
        <w:rPr>
          <w:rtl/>
          <w:lang w:val="en-US"/>
        </w:rPr>
        <w:t xml:space="preserve"> إلى التوصيات الواردة في الفقرة </w:t>
      </w:r>
      <w:r w:rsidRPr="00FB75AD">
        <w:rPr>
          <w:szCs w:val="20"/>
          <w:rtl/>
          <w:lang w:val="en-US"/>
        </w:rPr>
        <w:t>6</w:t>
      </w:r>
      <w:r w:rsidRPr="00FB75AD">
        <w:rPr>
          <w:rtl/>
          <w:lang w:val="en-US"/>
        </w:rPr>
        <w:t xml:space="preserve"> من الملاحظات الختامية، لم تتصل بها الدولة الطرف بشأن مسألة التعويض المحتمل على سبيل الهبة، ولا هي على علم باتخاذ أي خطوات نحو تطبيق سبيل الانتصاف هذا في تشيكيا. وفيما يتعلق بملاحظات المتابعة التي قدمتها الدولة الطرف، تدعو صاحبة البلاغ الدولة الطرف إلى عرض نتائج مداولات لجنة الخبراء. وينص القرار الحكومي رقم </w:t>
      </w:r>
      <w:r w:rsidRPr="00FB75AD">
        <w:rPr>
          <w:szCs w:val="20"/>
          <w:rtl/>
          <w:lang w:val="en-US"/>
        </w:rPr>
        <w:t>527</w:t>
      </w:r>
      <w:r w:rsidRPr="00FB75AD">
        <w:rPr>
          <w:rtl/>
          <w:lang w:val="en-US"/>
        </w:rPr>
        <w:t xml:space="preserve"> المؤرخ </w:t>
      </w:r>
      <w:r w:rsidRPr="00FB75AD">
        <w:rPr>
          <w:szCs w:val="20"/>
          <w:rtl/>
          <w:lang w:val="en-US"/>
        </w:rPr>
        <w:t>22</w:t>
      </w:r>
      <w:r w:rsidRPr="00FB75AD">
        <w:rPr>
          <w:rtl/>
          <w:lang w:val="en-US"/>
        </w:rPr>
        <w:t xml:space="preserve"> أيار/مايو </w:t>
      </w:r>
      <w:r w:rsidRPr="00FB75AD">
        <w:rPr>
          <w:szCs w:val="20"/>
          <w:rtl/>
          <w:lang w:val="en-US"/>
        </w:rPr>
        <w:t>2002</w:t>
      </w:r>
      <w:r w:rsidRPr="00FB75AD">
        <w:rPr>
          <w:rtl/>
          <w:lang w:val="en-US"/>
        </w:rPr>
        <w:t xml:space="preserve"> على وضع إجراءات فعالة لتنفيذ الآراء، ويفوض مسؤولية تنفيذها إلى وزارة العدل. ولم توضع بعد أي إجراءات من هذا القبيل. كما أن الدولة الطرف لم تتخذ أي خطوات لتنفيذ توصيات اللجنة.</w:t>
      </w:r>
    </w:p>
    <w:p w14:paraId="4595888B" w14:textId="24FE5CD7" w:rsidR="008D21EA" w:rsidRPr="00FB75AD" w:rsidRDefault="008D21EA" w:rsidP="008D21EA">
      <w:pPr>
        <w:pStyle w:val="SingleTxtGA"/>
        <w:rPr>
          <w:szCs w:val="20"/>
          <w:lang w:val="en-US" w:eastAsia="zh-TW"/>
        </w:rPr>
      </w:pPr>
      <w:r w:rsidRPr="00FB75AD">
        <w:rPr>
          <w:rtl/>
          <w:lang w:val="en-US"/>
        </w:rPr>
        <w:tab/>
        <w:t xml:space="preserve">وفي عام </w:t>
      </w:r>
      <w:r w:rsidRPr="00FB75AD">
        <w:rPr>
          <w:szCs w:val="20"/>
          <w:rtl/>
          <w:lang w:val="en-US"/>
        </w:rPr>
        <w:t>2012</w:t>
      </w:r>
      <w:r w:rsidRPr="00FB75AD">
        <w:rPr>
          <w:rtl/>
          <w:lang w:val="en-US"/>
        </w:rPr>
        <w:t>، بينت تشيكيا أسباب رفضها تنفيذ آراء اللجنة في تقرير عن قضايا البلاغات الفردية المتعلقة بالجمهورية التشيكية والمعروضة على اللجنة المعنية بحقوق الإنسان أعدته وزارة العدل ووجهته إلى الحكومة</w:t>
      </w:r>
      <w:r w:rsidR="00C11BB0" w:rsidRPr="00FB75AD">
        <w:rPr>
          <w:vertAlign w:val="superscript"/>
          <w:rtl/>
          <w:lang w:val="en-US"/>
        </w:rPr>
        <w:t>(</w:t>
      </w:r>
      <w:r w:rsidR="00C11BB0" w:rsidRPr="00FB75AD">
        <w:rPr>
          <w:vertAlign w:val="superscript"/>
          <w:rtl/>
          <w:lang w:val="en-US"/>
        </w:rPr>
        <w:footnoteReference w:id="12"/>
      </w:r>
      <w:r w:rsidR="00C11BB0" w:rsidRPr="00FB75AD">
        <w:rPr>
          <w:vertAlign w:val="superscript"/>
          <w:rtl/>
          <w:lang w:val="en-US"/>
        </w:rPr>
        <w:t>)</w:t>
      </w:r>
      <w:r w:rsidRPr="00FB75AD">
        <w:rPr>
          <w:rtl/>
          <w:lang w:val="en-US"/>
        </w:rPr>
        <w:t>. وأشارت وزارة العدل في التقرير تحديدا</w:t>
      </w:r>
      <w:r w:rsidR="00C11BB0" w:rsidRPr="00FB75AD">
        <w:rPr>
          <w:rFonts w:hint="cs"/>
          <w:rtl/>
          <w:lang w:val="en-US"/>
        </w:rPr>
        <w:t>ً</w:t>
      </w:r>
      <w:r w:rsidRPr="00FB75AD">
        <w:rPr>
          <w:rtl/>
          <w:lang w:val="en-US"/>
        </w:rPr>
        <w:t xml:space="preserve"> إلى انعدام الإرادة السياسية لتعديل القوانين التي يمكن أن تعالج انتهاك الدولة الطرف للعهد. وتدفع صاحبة البلاغ بأن انعدام الإرادة السياسية لا يمكن أن يبرر استمرار انتهاك الدولة الطرف للعهد. ولم تجر أي مراجعة للتشريعات أو الممارسات الإدارية ذات الصلة بالبلاغ منذ اعتماد اللجنة الآراء في عام </w:t>
      </w:r>
      <w:r w:rsidRPr="00FB75AD">
        <w:rPr>
          <w:szCs w:val="20"/>
          <w:rtl/>
          <w:lang w:val="en-US"/>
        </w:rPr>
        <w:t>200</w:t>
      </w:r>
      <w:r w:rsidR="00C11BB0" w:rsidRPr="00FB75AD">
        <w:rPr>
          <w:szCs w:val="20"/>
          <w:rtl/>
          <w:lang w:val="en-US"/>
        </w:rPr>
        <w:t>2.</w:t>
      </w:r>
      <w:r w:rsidR="00C11BB0" w:rsidRPr="00FB75AD">
        <w:rPr>
          <w:rtl/>
          <w:lang w:val="en-US"/>
        </w:rPr>
        <w:t xml:space="preserve"> </w:t>
      </w:r>
      <w:r w:rsidRPr="00FB75AD">
        <w:rPr>
          <w:rtl/>
          <w:lang w:val="en-US"/>
        </w:rPr>
        <w:t xml:space="preserve">وعليه، لم تُختبر قط الإرادة السياسية للهيئات التشريعية في الدولة الطرف، لأن الهيئات المختصة في الدولة الطرف لم تتخذ قط خطوات لتنفيذ الآراء أو لتقديم مشروع قانون إلى </w:t>
      </w:r>
      <w:proofErr w:type="gramStart"/>
      <w:r w:rsidRPr="00FB75AD">
        <w:rPr>
          <w:rtl/>
          <w:lang w:val="en-US"/>
        </w:rPr>
        <w:t>البرلمان</w:t>
      </w:r>
      <w:proofErr w:type="gramEnd"/>
      <w:r w:rsidRPr="00FB75AD">
        <w:rPr>
          <w:rtl/>
          <w:lang w:val="en-US"/>
        </w:rPr>
        <w:t xml:space="preserve"> يسمح بتنفيذ آراء اللجنة بوجه عام.</w:t>
      </w:r>
    </w:p>
    <w:p w14:paraId="14A41092" w14:textId="4D3C6272" w:rsidR="008D21EA" w:rsidRPr="00FB75AD" w:rsidRDefault="008D21EA" w:rsidP="008D21EA">
      <w:pPr>
        <w:pStyle w:val="SingleTxtGA"/>
        <w:rPr>
          <w:spacing w:val="-3"/>
          <w:szCs w:val="20"/>
          <w:lang w:val="en-US" w:eastAsia="zh-TW"/>
        </w:rPr>
      </w:pPr>
      <w:r w:rsidRPr="00FB75AD">
        <w:rPr>
          <w:spacing w:val="-3"/>
          <w:rtl/>
          <w:lang w:val="en-US"/>
        </w:rPr>
        <w:tab/>
        <w:t xml:space="preserve">ورفعت صاحبة البلاغ العديد من الإجراءات القضائية لضمان تنفيذ توصيات اللجنة. وهي تندد بعدم اعتراف محاكم الدولة الطرف، بما فيها المحكمة البلدية في براغ والمحكمة الإدارية العليا والمحكمة الدستورية، بالطابع الملزم لآراء اللجنة. ولم توضح الدولة الطرف، في ملاحظات المتابعة التي أبدتها سبب عدم شروعها، بعد مرور </w:t>
      </w:r>
      <w:r w:rsidRPr="00FB75AD">
        <w:rPr>
          <w:spacing w:val="-3"/>
          <w:szCs w:val="20"/>
          <w:rtl/>
          <w:lang w:val="en-US"/>
        </w:rPr>
        <w:t>20</w:t>
      </w:r>
      <w:r w:rsidRPr="00FB75AD">
        <w:rPr>
          <w:spacing w:val="-3"/>
          <w:rtl/>
          <w:lang w:val="en-US"/>
        </w:rPr>
        <w:t xml:space="preserve"> عاما</w:t>
      </w:r>
      <w:r w:rsidR="00C11BB0" w:rsidRPr="00FB75AD">
        <w:rPr>
          <w:rFonts w:hint="cs"/>
          <w:spacing w:val="-3"/>
          <w:rtl/>
          <w:lang w:val="en-US"/>
        </w:rPr>
        <w:t>ً</w:t>
      </w:r>
      <w:r w:rsidRPr="00FB75AD">
        <w:rPr>
          <w:spacing w:val="-3"/>
          <w:rtl/>
          <w:lang w:val="en-US"/>
        </w:rPr>
        <w:t xml:space="preserve"> على اعتماد الآراء، في تنفيذها. وتطلب صاحبة البلاغ إلى اللجنة أن تدعو الدولة الطرف إلى احترام التزاماتها بموجب العهد وأن تواصل حوار المتابعة الذي تجريه مع الدولة الطرف.</w:t>
      </w:r>
    </w:p>
    <w:p w14:paraId="751C6855" w14:textId="04B7577F" w:rsidR="008D21EA" w:rsidRPr="00FB75AD" w:rsidRDefault="008D21EA" w:rsidP="008D21EA">
      <w:pPr>
        <w:pStyle w:val="SingleTxtGA"/>
        <w:rPr>
          <w:szCs w:val="20"/>
          <w:lang w:val="en-US" w:eastAsia="zh-TW"/>
        </w:rPr>
      </w:pPr>
      <w:r w:rsidRPr="00FB75AD">
        <w:rPr>
          <w:b/>
          <w:bCs/>
          <w:rtl/>
          <w:lang w:val="en-US"/>
        </w:rPr>
        <w:t>تقييم اللجنة</w:t>
      </w:r>
      <w:r w:rsidR="00264402" w:rsidRPr="00FB75AD">
        <w:rPr>
          <w:rtl/>
        </w:rPr>
        <w:t>:</w:t>
      </w:r>
    </w:p>
    <w:p w14:paraId="5DDB8707" w14:textId="23AFB5CE" w:rsidR="008D21EA" w:rsidRPr="00FB75AD" w:rsidRDefault="003548F1" w:rsidP="008D21EA">
      <w:pPr>
        <w:pStyle w:val="SingleTxtGA"/>
        <w:rPr>
          <w:spacing w:val="-2"/>
          <w:szCs w:val="20"/>
          <w:lang w:val="en-US" w:eastAsia="zh-TW"/>
        </w:rPr>
      </w:pPr>
      <w:r w:rsidRPr="00FB75AD">
        <w:rPr>
          <w:spacing w:val="-2"/>
          <w:rtl/>
          <w:lang w:val="en-US"/>
        </w:rPr>
        <w:tab/>
      </w:r>
      <w:r w:rsidR="008D21EA" w:rsidRPr="00FB75AD">
        <w:rPr>
          <w:spacing w:val="-2"/>
          <w:rtl/>
          <w:lang w:val="en-US"/>
        </w:rPr>
        <w:t>(أ)</w:t>
      </w:r>
      <w:r w:rsidR="008D21EA" w:rsidRPr="00FB75AD">
        <w:rPr>
          <w:spacing w:val="-2"/>
          <w:rtl/>
          <w:lang w:val="en-US"/>
        </w:rPr>
        <w:tab/>
        <w:t>منح صاحبة البلاغ فرصة لتقديم مطالبة جديدة لاستعادة الممتلكات أو التعويض</w:t>
      </w:r>
      <w:r w:rsidR="00264402" w:rsidRPr="00FB75AD">
        <w:rPr>
          <w:spacing w:val="-2"/>
          <w:rtl/>
        </w:rPr>
        <w:t>:</w:t>
      </w:r>
      <w:r w:rsidR="008D21EA" w:rsidRPr="00FB75AD">
        <w:rPr>
          <w:spacing w:val="-2"/>
          <w:rtl/>
          <w:lang w:val="en-US"/>
        </w:rPr>
        <w:t xml:space="preserve"> هاء؛</w:t>
      </w:r>
    </w:p>
    <w:p w14:paraId="49D80503" w14:textId="3B8AC616" w:rsidR="008D21EA" w:rsidRPr="00FB75AD" w:rsidRDefault="003548F1" w:rsidP="008D21EA">
      <w:pPr>
        <w:pStyle w:val="SingleTxtGA"/>
        <w:rPr>
          <w:szCs w:val="20"/>
          <w:lang w:val="en-US" w:eastAsia="zh-TW"/>
        </w:rPr>
      </w:pPr>
      <w:r w:rsidRPr="00FB75AD">
        <w:rPr>
          <w:rtl/>
          <w:lang w:val="en-US"/>
        </w:rPr>
        <w:tab/>
      </w:r>
      <w:r w:rsidR="008D21EA" w:rsidRPr="00FB75AD">
        <w:rPr>
          <w:rtl/>
          <w:lang w:val="en-US"/>
        </w:rPr>
        <w:t>(ب)</w:t>
      </w:r>
      <w:r w:rsidR="008D21EA" w:rsidRPr="00FB75AD">
        <w:rPr>
          <w:rtl/>
          <w:lang w:val="en-US"/>
        </w:rPr>
        <w:tab/>
        <w:t>مراجعة الدولة الطرف تشريعاتها وممارساتها الإدارية</w:t>
      </w:r>
      <w:r w:rsidR="00264402" w:rsidRPr="00FB75AD">
        <w:rPr>
          <w:rtl/>
        </w:rPr>
        <w:t>:</w:t>
      </w:r>
      <w:r w:rsidR="008D21EA" w:rsidRPr="00FB75AD">
        <w:rPr>
          <w:rtl/>
          <w:lang w:val="en-US"/>
        </w:rPr>
        <w:t xml:space="preserve"> هاء.</w:t>
      </w:r>
    </w:p>
    <w:p w14:paraId="7F452C63" w14:textId="439D44B3" w:rsidR="008D21EA" w:rsidRPr="00FB75AD" w:rsidRDefault="008D21EA" w:rsidP="008D21EA">
      <w:pPr>
        <w:pStyle w:val="SingleTxtGA"/>
        <w:rPr>
          <w:szCs w:val="20"/>
          <w:lang w:val="en-US" w:eastAsia="zh-TW"/>
        </w:rPr>
      </w:pPr>
      <w:r w:rsidRPr="00FB75AD">
        <w:rPr>
          <w:b/>
          <w:bCs/>
          <w:rtl/>
          <w:lang w:val="en-US"/>
        </w:rPr>
        <w:t>قرار اللجنة</w:t>
      </w:r>
      <w:r w:rsidR="00264402" w:rsidRPr="00FB75AD">
        <w:rPr>
          <w:rtl/>
        </w:rPr>
        <w:t>:</w:t>
      </w:r>
      <w:r w:rsidRPr="00FB75AD">
        <w:rPr>
          <w:rtl/>
          <w:lang w:val="en-US"/>
        </w:rPr>
        <w:t xml:space="preserve"> مواصلة حوار المتابعة. وستواصل اللجنة أيضاً حوار المتابعة مع الدولة الطرف في إطار التقارير الدورية التي تقدمها الدولة الطرف إلى اللجنة عن التدابير المعتمدة لإعمال الحقوق المعترف بها في العهد.</w:t>
      </w:r>
    </w:p>
    <w:p w14:paraId="1BC4CC2D" w14:textId="1F2BC759" w:rsidR="008D21EA" w:rsidRPr="00FB75AD" w:rsidRDefault="003548F1" w:rsidP="003548F1">
      <w:pPr>
        <w:pStyle w:val="H23GA"/>
        <w:rPr>
          <w:szCs w:val="20"/>
          <w:lang w:val="en-US" w:eastAsia="zh-TW"/>
        </w:rPr>
      </w:pPr>
      <w:r w:rsidRPr="00FB75AD">
        <w:rPr>
          <w:szCs w:val="20"/>
          <w:rtl/>
          <w:lang w:val="en-US"/>
        </w:rPr>
        <w:tab/>
      </w:r>
      <w:r w:rsidR="008D21EA" w:rsidRPr="00FB75AD">
        <w:rPr>
          <w:szCs w:val="20"/>
          <w:rtl/>
          <w:lang w:val="en-US"/>
        </w:rPr>
        <w:t>3-</w:t>
      </w:r>
      <w:r w:rsidR="008D21EA" w:rsidRPr="00FB75AD">
        <w:rPr>
          <w:rtl/>
          <w:lang w:val="en-US"/>
        </w:rPr>
        <w:tab/>
        <w:t>قيرغيزستان</w:t>
      </w:r>
    </w:p>
    <w:p w14:paraId="67D997B6" w14:textId="51632CD7" w:rsidR="008D21EA" w:rsidRPr="00FB75AD" w:rsidRDefault="008D21EA" w:rsidP="003548F1">
      <w:pPr>
        <w:pStyle w:val="H23GA"/>
        <w:rPr>
          <w:i/>
          <w:iCs/>
          <w:szCs w:val="20"/>
          <w:lang w:val="en-US" w:eastAsia="zh-TW"/>
        </w:rPr>
      </w:pPr>
      <w:r w:rsidRPr="00FB75AD">
        <w:rPr>
          <w:rtl/>
          <w:lang w:val="en-US"/>
        </w:rPr>
        <w:tab/>
      </w:r>
      <w:r w:rsidRPr="00FB75AD">
        <w:rPr>
          <w:rtl/>
          <w:lang w:val="en-US"/>
        </w:rPr>
        <w:tab/>
        <w:t>البلاغ رقم</w:t>
      </w:r>
      <w:r w:rsidR="00C11BB0" w:rsidRPr="00FB75AD">
        <w:rPr>
          <w:rtl/>
          <w:lang w:val="en-US"/>
        </w:rPr>
        <w:t xml:space="preserve"> 2500/2014،</w:t>
      </w:r>
      <w:r w:rsidRPr="00FB75AD">
        <w:rPr>
          <w:rtl/>
          <w:lang w:val="en-US"/>
        </w:rPr>
        <w:t xml:space="preserve"> </w:t>
      </w:r>
      <w:r w:rsidRPr="00FB75AD">
        <w:rPr>
          <w:i/>
          <w:iCs/>
          <w:rtl/>
          <w:lang w:val="en-US"/>
        </w:rPr>
        <w:t>إليسيف</w:t>
      </w:r>
    </w:p>
    <w:p w14:paraId="219E1841" w14:textId="471375BF" w:rsidR="008D21EA" w:rsidRPr="00FB75AD" w:rsidRDefault="008D21EA" w:rsidP="00264402">
      <w:pPr>
        <w:pStyle w:val="SingleTxtGA"/>
        <w:tabs>
          <w:tab w:val="clear" w:pos="2608"/>
          <w:tab w:val="clear" w:pos="3289"/>
          <w:tab w:val="clear" w:pos="3969"/>
          <w:tab w:val="left" w:pos="4252"/>
        </w:tabs>
        <w:ind w:left="4252" w:hanging="3005"/>
        <w:rPr>
          <w:szCs w:val="20"/>
          <w:lang w:val="en-US" w:eastAsia="zh-TW"/>
        </w:rPr>
      </w:pPr>
      <w:r w:rsidRPr="00FB75AD">
        <w:rPr>
          <w:b/>
          <w:bCs/>
          <w:rtl/>
          <w:lang w:val="en-US"/>
        </w:rPr>
        <w:t>تاريخ اعتماد الآراء</w:t>
      </w:r>
      <w:r w:rsidR="00264402" w:rsidRPr="00FB75AD">
        <w:rPr>
          <w:rtl/>
        </w:rPr>
        <w:t>:</w:t>
      </w:r>
      <w:r w:rsidRPr="00FB75AD">
        <w:rPr>
          <w:rtl/>
          <w:lang w:val="en-US"/>
        </w:rPr>
        <w:tab/>
      </w:r>
      <w:r w:rsidRPr="00FB75AD">
        <w:rPr>
          <w:szCs w:val="20"/>
          <w:rtl/>
          <w:lang w:val="en-US"/>
        </w:rPr>
        <w:t>21</w:t>
      </w:r>
      <w:r w:rsidRPr="00FB75AD">
        <w:rPr>
          <w:rtl/>
          <w:lang w:val="en-US"/>
        </w:rPr>
        <w:t xml:space="preserve"> تشرين الأول/أكتوبر </w:t>
      </w:r>
      <w:r w:rsidRPr="00FB75AD">
        <w:rPr>
          <w:szCs w:val="20"/>
          <w:rtl/>
          <w:lang w:val="en-US"/>
        </w:rPr>
        <w:t>2020</w:t>
      </w:r>
    </w:p>
    <w:p w14:paraId="4915481C" w14:textId="1ECABBBE" w:rsidR="008D21EA" w:rsidRPr="00FB75AD" w:rsidRDefault="008D21EA" w:rsidP="002D7DB1">
      <w:pPr>
        <w:pStyle w:val="SingleTxtGA"/>
        <w:tabs>
          <w:tab w:val="clear" w:pos="2608"/>
          <w:tab w:val="clear" w:pos="3289"/>
          <w:tab w:val="clear" w:pos="3969"/>
          <w:tab w:val="left" w:pos="4252"/>
        </w:tabs>
        <w:spacing w:after="100"/>
        <w:ind w:left="4252" w:hanging="3005"/>
        <w:rPr>
          <w:szCs w:val="20"/>
          <w:lang w:val="en-US" w:eastAsia="zh-TW"/>
        </w:rPr>
      </w:pPr>
      <w:r w:rsidRPr="00FB75AD">
        <w:rPr>
          <w:b/>
          <w:bCs/>
          <w:rtl/>
          <w:lang w:val="en-US"/>
        </w:rPr>
        <w:lastRenderedPageBreak/>
        <w:t>المواد المنتهكة</w:t>
      </w:r>
      <w:r w:rsidR="00264402" w:rsidRPr="00FB75AD">
        <w:rPr>
          <w:rtl/>
        </w:rPr>
        <w:t>:</w:t>
      </w:r>
      <w:r w:rsidRPr="00FB75AD">
        <w:rPr>
          <w:rtl/>
          <w:lang w:val="en-US"/>
        </w:rPr>
        <w:tab/>
        <w:t xml:space="preserve">المادة </w:t>
      </w:r>
      <w:r w:rsidRPr="00FB75AD">
        <w:rPr>
          <w:szCs w:val="20"/>
          <w:rtl/>
          <w:lang w:val="en-US"/>
        </w:rPr>
        <w:t>14(</w:t>
      </w:r>
      <w:r w:rsidR="00C11BB0" w:rsidRPr="00FB75AD">
        <w:rPr>
          <w:szCs w:val="20"/>
          <w:rtl/>
          <w:lang w:val="en-US"/>
        </w:rPr>
        <w:t>1)</w:t>
      </w:r>
      <w:r w:rsidR="00C11BB0" w:rsidRPr="00FB75AD">
        <w:rPr>
          <w:rtl/>
          <w:lang w:val="en-US"/>
        </w:rPr>
        <w:t xml:space="preserve"> </w:t>
      </w:r>
      <w:r w:rsidRPr="00FB75AD">
        <w:rPr>
          <w:rtl/>
          <w:lang w:val="en-US"/>
        </w:rPr>
        <w:t>و</w:t>
      </w:r>
      <w:r w:rsidRPr="00FB75AD">
        <w:rPr>
          <w:szCs w:val="20"/>
          <w:rtl/>
          <w:lang w:val="en-US"/>
        </w:rPr>
        <w:t>(</w:t>
      </w:r>
      <w:r w:rsidR="00C11BB0" w:rsidRPr="00FB75AD">
        <w:rPr>
          <w:szCs w:val="20"/>
          <w:rtl/>
          <w:lang w:val="en-US"/>
        </w:rPr>
        <w:t>3)</w:t>
      </w:r>
      <w:r w:rsidRPr="00FB75AD">
        <w:rPr>
          <w:szCs w:val="20"/>
          <w:rtl/>
          <w:lang w:val="en-US"/>
        </w:rPr>
        <w:t>(</w:t>
      </w:r>
      <w:r w:rsidRPr="00FB75AD">
        <w:rPr>
          <w:rtl/>
          <w:lang w:val="en-US"/>
        </w:rPr>
        <w:t>أ</w:t>
      </w:r>
      <w:r w:rsidRPr="00FB75AD">
        <w:rPr>
          <w:szCs w:val="20"/>
          <w:rtl/>
          <w:lang w:val="en-US"/>
        </w:rPr>
        <w:t>)</w:t>
      </w:r>
      <w:r w:rsidRPr="00FB75AD">
        <w:rPr>
          <w:rtl/>
          <w:lang w:val="en-US"/>
        </w:rPr>
        <w:t xml:space="preserve"> و(د)</w:t>
      </w:r>
    </w:p>
    <w:p w14:paraId="507C337C" w14:textId="6AF07D73" w:rsidR="008D21EA" w:rsidRPr="00FB75AD" w:rsidRDefault="008D21EA" w:rsidP="002D7DB1">
      <w:pPr>
        <w:pStyle w:val="SingleTxtGA"/>
        <w:tabs>
          <w:tab w:val="clear" w:pos="2608"/>
          <w:tab w:val="clear" w:pos="3289"/>
          <w:tab w:val="clear" w:pos="3969"/>
          <w:tab w:val="left" w:pos="4252"/>
        </w:tabs>
        <w:spacing w:after="100"/>
        <w:ind w:left="4252" w:hanging="3005"/>
        <w:rPr>
          <w:szCs w:val="20"/>
          <w:lang w:val="en-US" w:eastAsia="zh-TW"/>
        </w:rPr>
      </w:pPr>
      <w:r w:rsidRPr="00FB75AD">
        <w:rPr>
          <w:b/>
          <w:bCs/>
          <w:rtl/>
          <w:lang w:val="en-US"/>
        </w:rPr>
        <w:t>إجراء الانتصاف</w:t>
      </w:r>
      <w:r w:rsidR="00264402" w:rsidRPr="00FB75AD">
        <w:rPr>
          <w:rtl/>
        </w:rPr>
        <w:t>:</w:t>
      </w:r>
      <w:r w:rsidRPr="00FB75AD">
        <w:rPr>
          <w:rtl/>
          <w:lang w:val="en-US"/>
        </w:rPr>
        <w:tab/>
        <w:t>سبيل انتصاف فعال، بأشكال منها</w:t>
      </w:r>
      <w:r w:rsidR="00264402" w:rsidRPr="00FB75AD">
        <w:rPr>
          <w:rtl/>
        </w:rPr>
        <w:t>:</w:t>
      </w:r>
      <w:r w:rsidRPr="00FB75AD">
        <w:rPr>
          <w:rtl/>
          <w:lang w:val="en-US"/>
        </w:rPr>
        <w:t xml:space="preserve"> (أ) تقديم تعويض مناسب؛ و(ب) اتخاذ جميع الخطوات اللازمة لمنع حدوث انتهاكات مماثلة في المستقبل.</w:t>
      </w:r>
    </w:p>
    <w:p w14:paraId="47D009AB" w14:textId="37222D7B" w:rsidR="008D21EA" w:rsidRPr="00FB75AD" w:rsidRDefault="008D21EA" w:rsidP="002D7DB1">
      <w:pPr>
        <w:pStyle w:val="SingleTxtGA"/>
        <w:tabs>
          <w:tab w:val="clear" w:pos="2608"/>
          <w:tab w:val="clear" w:pos="3289"/>
          <w:tab w:val="clear" w:pos="3969"/>
          <w:tab w:val="left" w:pos="4252"/>
        </w:tabs>
        <w:spacing w:after="100"/>
        <w:ind w:left="4252" w:hanging="3005"/>
        <w:rPr>
          <w:szCs w:val="20"/>
          <w:lang w:val="en-US" w:eastAsia="zh-TW"/>
        </w:rPr>
      </w:pPr>
      <w:r w:rsidRPr="00FB75AD">
        <w:rPr>
          <w:b/>
          <w:bCs/>
          <w:rtl/>
          <w:lang w:val="en-US"/>
        </w:rPr>
        <w:t>الموضوع</w:t>
      </w:r>
      <w:r w:rsidR="00264402" w:rsidRPr="00FB75AD">
        <w:rPr>
          <w:rtl/>
        </w:rPr>
        <w:t>:</w:t>
      </w:r>
      <w:r w:rsidRPr="00FB75AD">
        <w:rPr>
          <w:rtl/>
          <w:lang w:val="en-US"/>
        </w:rPr>
        <w:tab/>
        <w:t>محاكمة صاحب البلاغ غيابيا</w:t>
      </w:r>
      <w:r w:rsidR="00C11BB0" w:rsidRPr="00FB75AD">
        <w:rPr>
          <w:rFonts w:hint="cs"/>
          <w:rtl/>
          <w:lang w:val="en-US"/>
        </w:rPr>
        <w:t>ً</w:t>
      </w:r>
      <w:r w:rsidRPr="00FB75AD">
        <w:rPr>
          <w:rtl/>
          <w:lang w:val="en-US"/>
        </w:rPr>
        <w:t xml:space="preserve"> وانتهاكات إجرائية أخرى</w:t>
      </w:r>
    </w:p>
    <w:p w14:paraId="130FB4FF" w14:textId="3289FFDC" w:rsidR="008D21EA" w:rsidRPr="00FB75AD" w:rsidRDefault="008D21EA" w:rsidP="002D7DB1">
      <w:pPr>
        <w:pStyle w:val="SingleTxtGA"/>
        <w:tabs>
          <w:tab w:val="clear" w:pos="2608"/>
          <w:tab w:val="clear" w:pos="3289"/>
          <w:tab w:val="clear" w:pos="3969"/>
          <w:tab w:val="left" w:pos="4252"/>
        </w:tabs>
        <w:spacing w:after="100"/>
        <w:ind w:left="4252" w:hanging="3005"/>
        <w:rPr>
          <w:szCs w:val="20"/>
          <w:lang w:val="en-US" w:eastAsia="zh-TW"/>
        </w:rPr>
      </w:pPr>
      <w:r w:rsidRPr="00FB75AD">
        <w:rPr>
          <w:b/>
          <w:bCs/>
          <w:rtl/>
          <w:lang w:val="en-US"/>
        </w:rPr>
        <w:t>معلومات المتابعة المقدمة سابقاً</w:t>
      </w:r>
      <w:r w:rsidR="00264402" w:rsidRPr="00FB75AD">
        <w:rPr>
          <w:rtl/>
        </w:rPr>
        <w:t>:</w:t>
      </w:r>
      <w:r w:rsidRPr="00FB75AD">
        <w:rPr>
          <w:rtl/>
          <w:lang w:val="en-US"/>
        </w:rPr>
        <w:tab/>
        <w:t>لا يوجد</w:t>
      </w:r>
    </w:p>
    <w:p w14:paraId="5C9F663D" w14:textId="18F288B2" w:rsidR="008D21EA" w:rsidRPr="00FB75AD" w:rsidRDefault="008D21EA" w:rsidP="002D7DB1">
      <w:pPr>
        <w:pStyle w:val="SingleTxtGA"/>
        <w:tabs>
          <w:tab w:val="clear" w:pos="2608"/>
          <w:tab w:val="clear" w:pos="3289"/>
          <w:tab w:val="clear" w:pos="3969"/>
          <w:tab w:val="left" w:pos="4252"/>
        </w:tabs>
        <w:spacing w:after="100"/>
        <w:ind w:left="4252" w:hanging="3005"/>
        <w:rPr>
          <w:rStyle w:val="FootnoteReference"/>
          <w:szCs w:val="20"/>
          <w:lang w:val="en-US" w:eastAsia="zh-TW"/>
        </w:rPr>
      </w:pPr>
      <w:r w:rsidRPr="00FB75AD">
        <w:rPr>
          <w:b/>
          <w:bCs/>
          <w:rtl/>
          <w:lang w:val="en-US"/>
        </w:rPr>
        <w:t>المعلومات المقدمة من الدولة الطرف</w:t>
      </w:r>
      <w:r w:rsidR="00264402" w:rsidRPr="00FB75AD">
        <w:rPr>
          <w:rtl/>
        </w:rPr>
        <w:t>:</w:t>
      </w:r>
      <w:r w:rsidRPr="00FB75AD">
        <w:rPr>
          <w:rtl/>
          <w:lang w:val="en-US"/>
        </w:rPr>
        <w:tab/>
      </w:r>
      <w:r w:rsidRPr="00FB75AD">
        <w:rPr>
          <w:szCs w:val="20"/>
          <w:rtl/>
          <w:lang w:val="en-US"/>
        </w:rPr>
        <w:t>9</w:t>
      </w:r>
      <w:r w:rsidRPr="00FB75AD">
        <w:rPr>
          <w:rtl/>
          <w:lang w:val="en-US"/>
        </w:rPr>
        <w:t xml:space="preserve"> تشرين الثاني/نوفمبر </w:t>
      </w:r>
      <w:r w:rsidRPr="00FB75AD">
        <w:rPr>
          <w:szCs w:val="20"/>
          <w:rtl/>
          <w:lang w:val="en-US"/>
        </w:rPr>
        <w:t>2021</w:t>
      </w:r>
      <w:r w:rsidR="00C11BB0" w:rsidRPr="00FB75AD">
        <w:rPr>
          <w:vertAlign w:val="superscript"/>
          <w:rtl/>
          <w:lang w:val="en-US"/>
        </w:rPr>
        <w:t>(</w:t>
      </w:r>
      <w:r w:rsidR="00C11BB0" w:rsidRPr="00FB75AD">
        <w:rPr>
          <w:vertAlign w:val="superscript"/>
          <w:rtl/>
          <w:lang w:val="en-US"/>
        </w:rPr>
        <w:footnoteReference w:id="13"/>
      </w:r>
      <w:r w:rsidR="00C11BB0" w:rsidRPr="00FB75AD">
        <w:rPr>
          <w:vertAlign w:val="superscript"/>
          <w:rtl/>
          <w:lang w:val="en-US"/>
        </w:rPr>
        <w:t>)</w:t>
      </w:r>
    </w:p>
    <w:p w14:paraId="6A221690" w14:textId="310A7C45" w:rsidR="008D21EA" w:rsidRPr="00FB75AD" w:rsidRDefault="008D21EA" w:rsidP="002D7DB1">
      <w:pPr>
        <w:pStyle w:val="SingleTxtGA"/>
        <w:spacing w:after="100"/>
        <w:rPr>
          <w:szCs w:val="20"/>
          <w:lang w:val="en-US" w:eastAsia="zh-TW"/>
        </w:rPr>
      </w:pPr>
      <w:r w:rsidRPr="00FB75AD">
        <w:rPr>
          <w:rtl/>
          <w:lang w:val="en-US"/>
        </w:rPr>
        <w:tab/>
        <w:t>تذكر الدولة الطرف بالوقائع التي يستند إليها البلاغ وتكرر حججها السابقة التي سبق أن نظرت فيها اللجنة عند البت في مقبولية البلاغ وأسسه الموضوعية</w:t>
      </w:r>
      <w:r w:rsidR="00C11BB0" w:rsidRPr="00FB75AD">
        <w:rPr>
          <w:vertAlign w:val="superscript"/>
          <w:rtl/>
          <w:lang w:val="en-US"/>
        </w:rPr>
        <w:t>(</w:t>
      </w:r>
      <w:r w:rsidR="00C11BB0" w:rsidRPr="00FB75AD">
        <w:rPr>
          <w:vertAlign w:val="superscript"/>
          <w:rtl/>
          <w:lang w:val="en-US"/>
        </w:rPr>
        <w:footnoteReference w:id="14"/>
      </w:r>
      <w:r w:rsidR="00C11BB0" w:rsidRPr="00FB75AD">
        <w:rPr>
          <w:vertAlign w:val="superscript"/>
          <w:rtl/>
          <w:lang w:val="en-US"/>
        </w:rPr>
        <w:t>)</w:t>
      </w:r>
      <w:r w:rsidRPr="00FB75AD">
        <w:rPr>
          <w:rtl/>
          <w:lang w:val="en-US"/>
        </w:rPr>
        <w:t xml:space="preserve">. ويجب تحديد التعويض عن الأضرار من خلال إجراءات قضائية، على النحو المنصوص عليه في الفقرة </w:t>
      </w:r>
      <w:r w:rsidRPr="00FB75AD">
        <w:rPr>
          <w:szCs w:val="20"/>
          <w:rtl/>
          <w:lang w:val="en-US"/>
        </w:rPr>
        <w:t>31</w:t>
      </w:r>
      <w:r w:rsidRPr="00FB75AD">
        <w:rPr>
          <w:rtl/>
          <w:lang w:val="en-US"/>
        </w:rPr>
        <w:t xml:space="preserve"> من لوائح الدولة الطرف بشأن إجراءات التفاعل بين هيئات الدولة للنظر في البلاغات وقرارات هيئات معاهدات الأمم المتحدة المعنية بحقوق الإنسان، التي وافقت عليها الحكومة في </w:t>
      </w:r>
      <w:r w:rsidRPr="00FB75AD">
        <w:rPr>
          <w:szCs w:val="20"/>
          <w:rtl/>
          <w:lang w:val="en-US"/>
        </w:rPr>
        <w:t>8</w:t>
      </w:r>
      <w:r w:rsidRPr="00FB75AD">
        <w:rPr>
          <w:rtl/>
          <w:lang w:val="en-US"/>
        </w:rPr>
        <w:t xml:space="preserve"> تشرين الثاني/نوفمبر </w:t>
      </w:r>
      <w:r w:rsidRPr="00FB75AD">
        <w:rPr>
          <w:szCs w:val="20"/>
          <w:rtl/>
          <w:lang w:val="en-US"/>
        </w:rPr>
        <w:t>201</w:t>
      </w:r>
      <w:r w:rsidR="00C11BB0" w:rsidRPr="00FB75AD">
        <w:rPr>
          <w:szCs w:val="20"/>
          <w:rtl/>
          <w:lang w:val="en-US"/>
        </w:rPr>
        <w:t>7.</w:t>
      </w:r>
      <w:r w:rsidR="00C11BB0" w:rsidRPr="00FB75AD">
        <w:rPr>
          <w:rtl/>
          <w:lang w:val="en-US"/>
        </w:rPr>
        <w:t xml:space="preserve"> </w:t>
      </w:r>
      <w:r w:rsidRPr="00FB75AD">
        <w:rPr>
          <w:rtl/>
          <w:lang w:val="en-US"/>
        </w:rPr>
        <w:t xml:space="preserve">وعملاً بالمادة </w:t>
      </w:r>
      <w:r w:rsidRPr="00FB75AD">
        <w:rPr>
          <w:szCs w:val="20"/>
          <w:rtl/>
          <w:lang w:val="en-US"/>
        </w:rPr>
        <w:t>99</w:t>
      </w:r>
      <w:r w:rsidRPr="00FB75AD">
        <w:rPr>
          <w:rtl/>
          <w:lang w:val="en-US"/>
        </w:rPr>
        <w:t xml:space="preserve"> من القانون الجنائي، يجوز للأفراد تقديم مطالبة بالتعويض عن الأضرار المعنوية في قضية جنائية. ويعرض الفصل</w:t>
      </w:r>
      <w:r w:rsidR="00C11BB0" w:rsidRPr="00FB75AD">
        <w:rPr>
          <w:rFonts w:hint="cs"/>
          <w:rtl/>
          <w:lang w:val="en-US"/>
        </w:rPr>
        <w:t> </w:t>
      </w:r>
      <w:r w:rsidRPr="00FB75AD">
        <w:rPr>
          <w:szCs w:val="20"/>
          <w:rtl/>
          <w:lang w:val="en-US"/>
        </w:rPr>
        <w:t>17</w:t>
      </w:r>
      <w:r w:rsidRPr="00FB75AD">
        <w:rPr>
          <w:rtl/>
          <w:lang w:val="en-US"/>
        </w:rPr>
        <w:t xml:space="preserve"> من قانون الإجراءات الجنائية قائمة حصرية بالأسباب والشروط التي يتعين استيفاؤها للحصول على تعويض. وعملا</w:t>
      </w:r>
      <w:r w:rsidR="00C11BB0" w:rsidRPr="00FB75AD">
        <w:rPr>
          <w:rFonts w:hint="cs"/>
          <w:rtl/>
          <w:lang w:val="en-US"/>
        </w:rPr>
        <w:t>ً</w:t>
      </w:r>
      <w:r w:rsidRPr="00FB75AD">
        <w:rPr>
          <w:rtl/>
          <w:lang w:val="en-US"/>
        </w:rPr>
        <w:t xml:space="preserve"> بالمادة </w:t>
      </w:r>
      <w:r w:rsidRPr="00FB75AD">
        <w:rPr>
          <w:szCs w:val="20"/>
          <w:rtl/>
          <w:lang w:val="en-US"/>
        </w:rPr>
        <w:t>1028(</w:t>
      </w:r>
      <w:r w:rsidR="00C11BB0" w:rsidRPr="00FB75AD">
        <w:rPr>
          <w:szCs w:val="20"/>
          <w:rtl/>
          <w:lang w:val="en-US"/>
        </w:rPr>
        <w:t>2)</w:t>
      </w:r>
      <w:r w:rsidR="00C11BB0" w:rsidRPr="00FB75AD">
        <w:rPr>
          <w:rtl/>
          <w:lang w:val="en-US"/>
        </w:rPr>
        <w:t xml:space="preserve"> </w:t>
      </w:r>
      <w:r w:rsidRPr="00FB75AD">
        <w:rPr>
          <w:rtl/>
          <w:lang w:val="en-US"/>
        </w:rPr>
        <w:t>من القانون المدني، تحدد المحاكم ذات الاختصاص العام مبلغ التعويض، تبعا</w:t>
      </w:r>
      <w:r w:rsidR="00C11BB0" w:rsidRPr="00FB75AD">
        <w:rPr>
          <w:rFonts w:hint="cs"/>
          <w:rtl/>
          <w:lang w:val="en-US"/>
        </w:rPr>
        <w:t>ً</w:t>
      </w:r>
      <w:r w:rsidRPr="00FB75AD">
        <w:rPr>
          <w:rtl/>
          <w:lang w:val="en-US"/>
        </w:rPr>
        <w:t xml:space="preserve"> لطبيعة المعاناة البدنية والمعنوية للضحية المزعومة، ولمدى مسؤولية المتسبب في الأذى أو الضرر أو مرتكبه في القضايا التي تكون فيها المسؤولية هي أساس التعويض. وينبغي مراعاة متطلبات المعقولية والإنصاف عند تحديد مبلغ التعويض. وينبغي للمحاكم أن تقيم طبيعة المعاناة البدنية والعقلية في ضوء الظروف الفعلية التي وقع فيها الضرر المعنوي والخصائص الفردية للضحية المزعومة.</w:t>
      </w:r>
    </w:p>
    <w:p w14:paraId="38C87B70" w14:textId="6E5AD467" w:rsidR="008D21EA" w:rsidRPr="00FB75AD" w:rsidRDefault="008D21EA" w:rsidP="002D7DB1">
      <w:pPr>
        <w:pStyle w:val="SingleTxtGA"/>
        <w:spacing w:after="100"/>
        <w:rPr>
          <w:lang w:val="en-US"/>
        </w:rPr>
      </w:pPr>
      <w:r w:rsidRPr="00FB75AD">
        <w:rPr>
          <w:b/>
          <w:bCs/>
          <w:rtl/>
          <w:lang w:val="en-US"/>
        </w:rPr>
        <w:t>المعلومات المقدمة من صاحب البلاغ</w:t>
      </w:r>
      <w:r w:rsidR="00264402" w:rsidRPr="00FB75AD">
        <w:rPr>
          <w:rtl/>
        </w:rPr>
        <w:t>:</w:t>
      </w:r>
      <w:r w:rsidRPr="00FB75AD">
        <w:rPr>
          <w:rtl/>
          <w:lang w:val="en-US"/>
        </w:rPr>
        <w:t xml:space="preserve"> </w:t>
      </w:r>
      <w:r w:rsidRPr="00FB75AD">
        <w:rPr>
          <w:szCs w:val="20"/>
          <w:rtl/>
          <w:lang w:val="en-US"/>
        </w:rPr>
        <w:t>24</w:t>
      </w:r>
      <w:r w:rsidRPr="00FB75AD">
        <w:rPr>
          <w:rtl/>
          <w:lang w:val="en-US"/>
        </w:rPr>
        <w:t xml:space="preserve"> كانون الثاني/يناير </w:t>
      </w:r>
      <w:r w:rsidRPr="00FB75AD">
        <w:rPr>
          <w:szCs w:val="20"/>
          <w:rtl/>
          <w:lang w:val="en-US"/>
        </w:rPr>
        <w:t>2022</w:t>
      </w:r>
      <w:r w:rsidR="00C11BB0" w:rsidRPr="00FB75AD">
        <w:rPr>
          <w:vertAlign w:val="superscript"/>
          <w:rtl/>
          <w:lang w:val="en-US"/>
        </w:rPr>
        <w:t>(</w:t>
      </w:r>
      <w:r w:rsidR="00C11BB0" w:rsidRPr="00FB75AD">
        <w:rPr>
          <w:vertAlign w:val="superscript"/>
          <w:rtl/>
          <w:lang w:val="en-US"/>
        </w:rPr>
        <w:footnoteReference w:id="15"/>
      </w:r>
      <w:r w:rsidR="00C11BB0" w:rsidRPr="00FB75AD">
        <w:rPr>
          <w:vertAlign w:val="superscript"/>
          <w:rtl/>
          <w:lang w:val="en-US"/>
        </w:rPr>
        <w:t>)</w:t>
      </w:r>
    </w:p>
    <w:p w14:paraId="7E344B74" w14:textId="59A0EB3B" w:rsidR="008D21EA" w:rsidRPr="00FB75AD" w:rsidRDefault="008D21EA" w:rsidP="002D7DB1">
      <w:pPr>
        <w:pStyle w:val="SingleTxtGA"/>
        <w:spacing w:after="100"/>
        <w:rPr>
          <w:spacing w:val="-2"/>
          <w:szCs w:val="20"/>
          <w:lang w:val="en-US" w:eastAsia="zh-TW"/>
        </w:rPr>
      </w:pPr>
      <w:r w:rsidRPr="00FB75AD">
        <w:rPr>
          <w:spacing w:val="-2"/>
          <w:rtl/>
          <w:lang w:val="en-US"/>
        </w:rPr>
        <w:tab/>
        <w:t>يشير صاحب البلاغ، في تعليقاته على ملاحظات المتابعة التي قدمتها الدولة الطرف، إلى أن الدولة الطرف لم تنفذ آراء اللجنة وأن مذكرتها لم تتضمن أي معلومات عن الإجراءات التي اتخذتها لرد حقوقه المنتهكة أو لتوفير سبيل انتصاف فعال. بل اكتفت الدولة الطرف بتكرار حججها السابقة بشأن القواعد القانونية العامة التي تجيز إجراء محاكمة جنائية غيابيا</w:t>
      </w:r>
      <w:r w:rsidR="00B748CE" w:rsidRPr="00FB75AD">
        <w:rPr>
          <w:rFonts w:hint="cs"/>
          <w:spacing w:val="-2"/>
          <w:rtl/>
          <w:lang w:val="en-US"/>
        </w:rPr>
        <w:t>ً</w:t>
      </w:r>
      <w:r w:rsidRPr="00FB75AD">
        <w:rPr>
          <w:spacing w:val="-2"/>
          <w:rtl/>
          <w:lang w:val="en-US"/>
        </w:rPr>
        <w:t>، وهو ما سبق أن رفضته اللجنة في آرائها</w:t>
      </w:r>
      <w:r w:rsidR="00C11BB0" w:rsidRPr="00FB75AD">
        <w:rPr>
          <w:spacing w:val="-2"/>
          <w:vertAlign w:val="superscript"/>
          <w:rtl/>
          <w:lang w:val="en-US"/>
        </w:rPr>
        <w:t>(</w:t>
      </w:r>
      <w:r w:rsidR="00C11BB0" w:rsidRPr="00FB75AD">
        <w:rPr>
          <w:spacing w:val="-2"/>
          <w:vertAlign w:val="superscript"/>
          <w:rtl/>
          <w:lang w:val="en-US"/>
        </w:rPr>
        <w:footnoteReference w:id="16"/>
      </w:r>
      <w:r w:rsidR="00C11BB0" w:rsidRPr="00FB75AD">
        <w:rPr>
          <w:spacing w:val="-2"/>
          <w:vertAlign w:val="superscript"/>
          <w:rtl/>
          <w:lang w:val="en-US"/>
        </w:rPr>
        <w:t>)</w:t>
      </w:r>
      <w:r w:rsidRPr="00FB75AD">
        <w:rPr>
          <w:spacing w:val="-2"/>
          <w:rtl/>
          <w:lang w:val="en-US"/>
        </w:rPr>
        <w:t>. ولم تنشر الدولة الطرف الآراء أو تعممها، ولم توفر له سبيل انتصاف فعالا</w:t>
      </w:r>
      <w:r w:rsidR="00B748CE" w:rsidRPr="00FB75AD">
        <w:rPr>
          <w:rFonts w:hint="cs"/>
          <w:spacing w:val="-2"/>
          <w:rtl/>
          <w:lang w:val="en-US"/>
        </w:rPr>
        <w:t>ً</w:t>
      </w:r>
      <w:r w:rsidRPr="00FB75AD">
        <w:rPr>
          <w:spacing w:val="-2"/>
          <w:rtl/>
          <w:lang w:val="en-US"/>
        </w:rPr>
        <w:t>، ولم يتلق أي جبر للضرر، بما في ذلك التعويض، أو أي تدابير لرد الحقوق أو إعادة التأهيل أو الترضية. ولم تتخذ الدولة الطرف أي خطوات لمنع حدوث انتهاكات مماثلة في المستقبل، بما في ذلك مقاضاة المسؤولين عن انتهاكات حقوق صاحب البلاغ التي بينتها اللجنة في آرائها. ويطلب صاحب البلاغ بكل احترام إلى ال</w:t>
      </w:r>
      <w:r w:rsidR="00C11BB0" w:rsidRPr="00FB75AD">
        <w:rPr>
          <w:spacing w:val="-2"/>
          <w:rtl/>
          <w:lang w:val="en-US"/>
        </w:rPr>
        <w:t>مقرر</w:t>
      </w:r>
      <w:r w:rsidRPr="00FB75AD">
        <w:rPr>
          <w:spacing w:val="-2"/>
          <w:rtl/>
          <w:lang w:val="en-US"/>
        </w:rPr>
        <w:t xml:space="preserve">ين الخاصين للجنة المعنيين بمتابعة الآراء أن يحتجوا بالمادة </w:t>
      </w:r>
      <w:r w:rsidRPr="00FB75AD">
        <w:rPr>
          <w:spacing w:val="-2"/>
          <w:szCs w:val="20"/>
          <w:rtl/>
          <w:lang w:val="en-US"/>
        </w:rPr>
        <w:t>106(</w:t>
      </w:r>
      <w:r w:rsidR="00C11BB0" w:rsidRPr="00FB75AD">
        <w:rPr>
          <w:spacing w:val="-2"/>
          <w:szCs w:val="20"/>
          <w:rtl/>
          <w:lang w:val="en-US"/>
        </w:rPr>
        <w:t>2)</w:t>
      </w:r>
      <w:r w:rsidR="00C11BB0" w:rsidRPr="00FB75AD">
        <w:rPr>
          <w:spacing w:val="-2"/>
          <w:rtl/>
          <w:lang w:val="en-US"/>
        </w:rPr>
        <w:t xml:space="preserve"> </w:t>
      </w:r>
      <w:r w:rsidRPr="00FB75AD">
        <w:rPr>
          <w:spacing w:val="-2"/>
          <w:rtl/>
          <w:lang w:val="en-US"/>
        </w:rPr>
        <w:t>من النظام الداخلي للجنة وأن يعملوا على جعل الدولة تنفذ التزاماتها بموجب الآراء. وينبغي أن يشمل ذلك الوساطة في مفاوضات التسوية، والحوار مع الدولة الطرف لضمان تنفيذ الآراء تنفيذا</w:t>
      </w:r>
      <w:r w:rsidR="00C11BB0" w:rsidRPr="00FB75AD">
        <w:rPr>
          <w:rFonts w:hint="cs"/>
          <w:spacing w:val="-2"/>
          <w:rtl/>
          <w:lang w:val="en-US"/>
        </w:rPr>
        <w:t>ً</w:t>
      </w:r>
      <w:r w:rsidRPr="00FB75AD">
        <w:rPr>
          <w:spacing w:val="-2"/>
          <w:rtl/>
          <w:lang w:val="en-US"/>
        </w:rPr>
        <w:t xml:space="preserve"> كاملا</w:t>
      </w:r>
      <w:r w:rsidR="00C11BB0" w:rsidRPr="00FB75AD">
        <w:rPr>
          <w:rFonts w:hint="cs"/>
          <w:spacing w:val="-2"/>
          <w:rtl/>
          <w:lang w:val="en-US"/>
        </w:rPr>
        <w:t>ً</w:t>
      </w:r>
      <w:r w:rsidRPr="00FB75AD">
        <w:rPr>
          <w:spacing w:val="-2"/>
          <w:rtl/>
          <w:lang w:val="en-US"/>
        </w:rPr>
        <w:t xml:space="preserve">، وممارسة النفوذ الدبلوماسي وغيره من الضغوط المتاحة على الدولة الطرف عندما ترفض الوفاء بالتزاماتها بموجب المادة </w:t>
      </w:r>
      <w:r w:rsidRPr="00FB75AD">
        <w:rPr>
          <w:spacing w:val="-2"/>
          <w:szCs w:val="20"/>
          <w:rtl/>
          <w:lang w:val="en-US"/>
        </w:rPr>
        <w:t>2(3)(</w:t>
      </w:r>
      <w:r w:rsidRPr="00FB75AD">
        <w:rPr>
          <w:spacing w:val="-2"/>
          <w:rtl/>
          <w:lang w:val="en-US"/>
        </w:rPr>
        <w:t>أ</w:t>
      </w:r>
      <w:r w:rsidRPr="00FB75AD">
        <w:rPr>
          <w:spacing w:val="-2"/>
          <w:szCs w:val="20"/>
          <w:rtl/>
          <w:lang w:val="en-US"/>
        </w:rPr>
        <w:t>)</w:t>
      </w:r>
      <w:r w:rsidRPr="00FB75AD">
        <w:rPr>
          <w:spacing w:val="-2"/>
          <w:rtl/>
          <w:lang w:val="en-US"/>
        </w:rPr>
        <w:t xml:space="preserve"> من العهد أو</w:t>
      </w:r>
      <w:r w:rsidR="00C11BB0" w:rsidRPr="00FB75AD">
        <w:rPr>
          <w:rFonts w:hint="cs"/>
          <w:spacing w:val="-2"/>
          <w:rtl/>
          <w:lang w:val="en-US"/>
        </w:rPr>
        <w:t> </w:t>
      </w:r>
      <w:r w:rsidRPr="00FB75AD">
        <w:rPr>
          <w:spacing w:val="-2"/>
          <w:rtl/>
          <w:lang w:val="en-US"/>
        </w:rPr>
        <w:t>التنصل منها.</w:t>
      </w:r>
    </w:p>
    <w:p w14:paraId="373FA431" w14:textId="3DFC31B7" w:rsidR="008D21EA" w:rsidRPr="00FB75AD" w:rsidRDefault="008D21EA" w:rsidP="008D21EA">
      <w:pPr>
        <w:pStyle w:val="SingleTxtGA"/>
        <w:rPr>
          <w:szCs w:val="20"/>
          <w:lang w:val="en-US" w:eastAsia="zh-TW"/>
        </w:rPr>
      </w:pPr>
      <w:r w:rsidRPr="00FB75AD">
        <w:rPr>
          <w:rtl/>
          <w:lang w:val="en-US"/>
        </w:rPr>
        <w:lastRenderedPageBreak/>
        <w:tab/>
      </w:r>
      <w:r w:rsidRPr="00FB75AD">
        <w:rPr>
          <w:spacing w:val="-2"/>
          <w:rtl/>
          <w:lang w:val="en-US"/>
        </w:rPr>
        <w:t>ويطلب صاحب البلاغ إلى الدولة الطرف أن توفر له تدابير جبر الضرر التالية</w:t>
      </w:r>
      <w:r w:rsidR="00264402" w:rsidRPr="00FB75AD">
        <w:rPr>
          <w:spacing w:val="-2"/>
          <w:rtl/>
        </w:rPr>
        <w:t>:</w:t>
      </w:r>
      <w:r w:rsidRPr="00FB75AD">
        <w:rPr>
          <w:spacing w:val="-2"/>
          <w:rtl/>
          <w:lang w:val="en-US"/>
        </w:rPr>
        <w:t xml:space="preserve"> (أ) اعتبار جميع أحكام الإدانة الغيابية الصادرة بحقه لاغية وباطلة وكذلك سائر الأحكام والقرارات والأفعال الإجرائية في إطار</w:t>
      </w:r>
      <w:r w:rsidRPr="00FB75AD">
        <w:rPr>
          <w:rtl/>
          <w:lang w:val="en-US"/>
        </w:rPr>
        <w:t xml:space="preserve"> </w:t>
      </w:r>
      <w:r w:rsidRPr="00FB75AD">
        <w:rPr>
          <w:spacing w:val="-2"/>
          <w:rtl/>
          <w:lang w:val="en-US"/>
        </w:rPr>
        <w:t>أي قضية جنائية؛ (ب) إنهاء جميع القضايا الجنائية التي وُجهت إليه فيها اتهامات غيابية أو</w:t>
      </w:r>
      <w:r w:rsidR="00C11BB0" w:rsidRPr="00FB75AD">
        <w:rPr>
          <w:rFonts w:hint="cs"/>
          <w:spacing w:val="-2"/>
          <w:rtl/>
          <w:lang w:val="en-US"/>
        </w:rPr>
        <w:t> </w:t>
      </w:r>
      <w:r w:rsidRPr="00FB75AD">
        <w:rPr>
          <w:spacing w:val="-2"/>
          <w:rtl/>
          <w:lang w:val="en-US"/>
        </w:rPr>
        <w:t>التي كان طرفا</w:t>
      </w:r>
      <w:r w:rsidR="001B0504" w:rsidRPr="00FB75AD">
        <w:rPr>
          <w:rFonts w:hint="cs"/>
          <w:spacing w:val="-2"/>
          <w:rtl/>
          <w:lang w:val="en-US"/>
        </w:rPr>
        <w:t>ً</w:t>
      </w:r>
      <w:r w:rsidRPr="00FB75AD">
        <w:rPr>
          <w:rtl/>
          <w:lang w:val="en-US"/>
        </w:rPr>
        <w:t xml:space="preserve"> فيها بصفته المدعى عليه؛ (ج) ضمان إمكانية لجوئه إلى العدالة أمام محكمة مختصة عملا</w:t>
      </w:r>
      <w:r w:rsidR="001B0504" w:rsidRPr="00FB75AD">
        <w:rPr>
          <w:rFonts w:hint="cs"/>
          <w:rtl/>
          <w:lang w:val="en-US"/>
        </w:rPr>
        <w:t>ً</w:t>
      </w:r>
      <w:r w:rsidRPr="00FB75AD">
        <w:rPr>
          <w:rtl/>
          <w:lang w:val="en-US"/>
        </w:rPr>
        <w:t xml:space="preserve"> بمقتضيات </w:t>
      </w:r>
      <w:r w:rsidRPr="00FB75AD">
        <w:rPr>
          <w:spacing w:val="-2"/>
          <w:rtl/>
          <w:lang w:val="en-US"/>
        </w:rPr>
        <w:t xml:space="preserve">المادة </w:t>
      </w:r>
      <w:r w:rsidRPr="00FB75AD">
        <w:rPr>
          <w:spacing w:val="-2"/>
          <w:szCs w:val="20"/>
          <w:rtl/>
          <w:lang w:val="en-US"/>
        </w:rPr>
        <w:t>14</w:t>
      </w:r>
      <w:r w:rsidRPr="00FB75AD">
        <w:rPr>
          <w:spacing w:val="-2"/>
          <w:rtl/>
          <w:lang w:val="en-US"/>
        </w:rPr>
        <w:t xml:space="preserve"> من العهد، بما في ذلك طمأنة القضاة علنا</w:t>
      </w:r>
      <w:r w:rsidR="001B0504" w:rsidRPr="00FB75AD">
        <w:rPr>
          <w:rFonts w:hint="cs"/>
          <w:spacing w:val="-2"/>
          <w:rtl/>
          <w:lang w:val="en-US"/>
        </w:rPr>
        <w:t>ً</w:t>
      </w:r>
      <w:r w:rsidRPr="00FB75AD">
        <w:rPr>
          <w:spacing w:val="-2"/>
          <w:rtl/>
          <w:lang w:val="en-US"/>
        </w:rPr>
        <w:t xml:space="preserve"> بأن ما يصدرونه من أحكام في قضايا صاحب البلاغ</w:t>
      </w:r>
      <w:r w:rsidRPr="00FB75AD">
        <w:rPr>
          <w:rtl/>
          <w:lang w:val="en-US"/>
        </w:rPr>
        <w:t xml:space="preserve"> لن ترتد عليهم بعقوبات قانونية أو فعلية؛ (د) إعادة عقارات صاحب البلاغ المحجوز عليها دون قيود؛ (ه)</w:t>
      </w:r>
      <w:r w:rsidR="002D7DB1" w:rsidRPr="00FB75AD">
        <w:rPr>
          <w:rFonts w:hint="cs"/>
          <w:rtl/>
          <w:lang w:val="en-US"/>
        </w:rPr>
        <w:t> </w:t>
      </w:r>
      <w:r w:rsidRPr="00FB75AD">
        <w:rPr>
          <w:rtl/>
          <w:lang w:val="en-US"/>
        </w:rPr>
        <w:t>إعلان عدم انتماء صاحب البلاغ إلى السلطات السابقة وعدم تشكيله تهديدا</w:t>
      </w:r>
      <w:r w:rsidR="001B0504" w:rsidRPr="00FB75AD">
        <w:rPr>
          <w:rFonts w:hint="cs"/>
          <w:rtl/>
          <w:lang w:val="en-US"/>
        </w:rPr>
        <w:t>ً</w:t>
      </w:r>
      <w:r w:rsidRPr="00FB75AD">
        <w:rPr>
          <w:rtl/>
          <w:lang w:val="en-US"/>
        </w:rPr>
        <w:t xml:space="preserve"> للأمن القومي أو لسيادة </w:t>
      </w:r>
      <w:r w:rsidRPr="00FB75AD">
        <w:rPr>
          <w:spacing w:val="-2"/>
          <w:rtl/>
          <w:lang w:val="en-US"/>
        </w:rPr>
        <w:t>الدولة الطرف؛ (و) سحب جميع أقوال المسؤولين بشأن ارتكاب صاحب البلاغ أفعالا</w:t>
      </w:r>
      <w:r w:rsidR="001B0504" w:rsidRPr="00FB75AD">
        <w:rPr>
          <w:rFonts w:hint="cs"/>
          <w:spacing w:val="-2"/>
          <w:rtl/>
          <w:lang w:val="en-US"/>
        </w:rPr>
        <w:t>ً</w:t>
      </w:r>
      <w:r w:rsidRPr="00FB75AD">
        <w:rPr>
          <w:spacing w:val="-2"/>
          <w:rtl/>
          <w:lang w:val="en-US"/>
        </w:rPr>
        <w:t xml:space="preserve"> غير قانونية أو افتراض</w:t>
      </w:r>
      <w:r w:rsidRPr="00FB75AD">
        <w:rPr>
          <w:rtl/>
          <w:lang w:val="en-US"/>
        </w:rPr>
        <w:t xml:space="preserve"> عدم براءته؛ (ز) إعلان عدم ثبوت جميع الشبهات والاتهامات الموجهة إلى صاحب البلاغ؛ (ح) الاعتذار علنا</w:t>
      </w:r>
      <w:r w:rsidR="001B0504" w:rsidRPr="00FB75AD">
        <w:rPr>
          <w:rFonts w:hint="cs"/>
          <w:rtl/>
          <w:lang w:val="en-US"/>
        </w:rPr>
        <w:t>ً</w:t>
      </w:r>
      <w:r w:rsidRPr="00FB75AD">
        <w:rPr>
          <w:rtl/>
          <w:lang w:val="en-US"/>
        </w:rPr>
        <w:t xml:space="preserve"> ورسميا</w:t>
      </w:r>
      <w:r w:rsidR="001B0504" w:rsidRPr="00FB75AD">
        <w:rPr>
          <w:rFonts w:hint="cs"/>
          <w:rtl/>
          <w:lang w:val="en-US"/>
        </w:rPr>
        <w:t>ً</w:t>
      </w:r>
      <w:r w:rsidRPr="00FB75AD">
        <w:rPr>
          <w:rtl/>
          <w:lang w:val="en-US"/>
        </w:rPr>
        <w:t xml:space="preserve"> عن انتهاك حقوق صاحب البلاغ المكفولة بموجب العهد؛ (ط)</w:t>
      </w:r>
      <w:r w:rsidR="001B0504" w:rsidRPr="00FB75AD">
        <w:rPr>
          <w:rFonts w:hint="cs"/>
          <w:rtl/>
          <w:lang w:val="en-US"/>
        </w:rPr>
        <w:t> </w:t>
      </w:r>
      <w:r w:rsidRPr="00FB75AD">
        <w:rPr>
          <w:rtl/>
          <w:lang w:val="en-US"/>
        </w:rPr>
        <w:t xml:space="preserve">إعادة الأموال المصادرة </w:t>
      </w:r>
      <w:r w:rsidRPr="00FB75AD">
        <w:rPr>
          <w:spacing w:val="-2"/>
          <w:rtl/>
          <w:lang w:val="en-US"/>
        </w:rPr>
        <w:t>بمبلغ</w:t>
      </w:r>
      <w:r w:rsidR="00FB75AD" w:rsidRPr="00FB75AD">
        <w:rPr>
          <w:rFonts w:hint="cs"/>
          <w:spacing w:val="-2"/>
          <w:rtl/>
          <w:lang w:val="en-US"/>
        </w:rPr>
        <w:t> </w:t>
      </w:r>
      <w:r w:rsidRPr="00FB75AD">
        <w:rPr>
          <w:spacing w:val="-2"/>
          <w:szCs w:val="20"/>
          <w:rtl/>
          <w:lang w:val="en-US"/>
        </w:rPr>
        <w:t>924 365 875 2</w:t>
      </w:r>
      <w:r w:rsidRPr="00FB75AD">
        <w:rPr>
          <w:spacing w:val="-2"/>
          <w:rtl/>
          <w:lang w:val="en-US"/>
        </w:rPr>
        <w:t xml:space="preserve"> سوم والأوراق المالية البالغة نسبتها</w:t>
      </w:r>
      <w:r w:rsidRPr="00FB75AD">
        <w:rPr>
          <w:spacing w:val="-2"/>
          <w:szCs w:val="20"/>
          <w:rtl/>
          <w:lang w:val="en-US"/>
        </w:rPr>
        <w:t>51</w:t>
      </w:r>
      <w:r w:rsidRPr="00FB75AD">
        <w:rPr>
          <w:spacing w:val="-2"/>
          <w:rtl/>
          <w:lang w:val="en-US"/>
        </w:rPr>
        <w:t xml:space="preserve"> في المائة من الأسهم في شركة ألفا تيليكوم</w:t>
      </w:r>
      <w:r w:rsidRPr="00FB75AD">
        <w:rPr>
          <w:rtl/>
          <w:lang w:val="en-US"/>
        </w:rPr>
        <w:t>، أو</w:t>
      </w:r>
      <w:r w:rsidR="002D7DB1" w:rsidRPr="00FB75AD">
        <w:rPr>
          <w:rFonts w:hint="cs"/>
          <w:rtl/>
          <w:lang w:val="en-US"/>
        </w:rPr>
        <w:t> </w:t>
      </w:r>
      <w:r w:rsidRPr="00FB75AD">
        <w:rPr>
          <w:rtl/>
          <w:lang w:val="en-US"/>
        </w:rPr>
        <w:t>منحه تعويضا</w:t>
      </w:r>
      <w:r w:rsidR="001B0504" w:rsidRPr="00FB75AD">
        <w:rPr>
          <w:rFonts w:hint="cs"/>
          <w:rtl/>
          <w:lang w:val="en-US"/>
        </w:rPr>
        <w:t>ً</w:t>
      </w:r>
      <w:r w:rsidRPr="00FB75AD">
        <w:rPr>
          <w:rtl/>
          <w:lang w:val="en-US"/>
        </w:rPr>
        <w:t xml:space="preserve"> مكافئا</w:t>
      </w:r>
      <w:r w:rsidR="001B0504" w:rsidRPr="00FB75AD">
        <w:rPr>
          <w:rFonts w:hint="cs"/>
          <w:rtl/>
          <w:lang w:val="en-US"/>
        </w:rPr>
        <w:t>ً</w:t>
      </w:r>
      <w:r w:rsidRPr="00FB75AD">
        <w:rPr>
          <w:rtl/>
          <w:lang w:val="en-US"/>
        </w:rPr>
        <w:t xml:space="preserve"> بالقيمة السوقية العادلة؛ (ي) دفع تعويض مناسب عن انتهاك حقوق صاحب البلاغ، يأخذ في الاعتبار معاناته البدنية والمعنوية؛ (ك) التحقيق في انتهاك حقوق صاحب البلاغ ومعاقبة جميع الأشخاص المسؤولين عن الانتهاكات، مثل موظفي الدولة السابقين والحاليين والقضاة المعنيين بالقضايا الجنائية المرفوعة على صاحب البلاغ؛ (ل) اتخاذ تدابير فورية لمنع حدوث انتهاكات مماثلة لحقوق صاحب البلاغ في المستقبل. ويعرب صاحب البلاغ عن عدم موافقته على التعديل الذي أُدخل على الدستور في كانون الأول/ديسمبر </w:t>
      </w:r>
      <w:r w:rsidRPr="00FB75AD">
        <w:rPr>
          <w:szCs w:val="20"/>
          <w:rtl/>
          <w:lang w:val="en-US"/>
        </w:rPr>
        <w:t>2016</w:t>
      </w:r>
      <w:r w:rsidRPr="00FB75AD">
        <w:rPr>
          <w:rtl/>
          <w:lang w:val="en-US"/>
        </w:rPr>
        <w:t>، والذي ألغى الالتزام الدستوري للدولة الطرف بتقديم تعويضات عندما تخلص اللجنة إلى حدوث انتهاك للحقوق المكفولة بموجب العهد. ويعتقد صاحب البلاغ أن الدولة الطرف اعتمدت هذا الإصلاح تحديدا</w:t>
      </w:r>
      <w:r w:rsidR="001B0504" w:rsidRPr="00FB75AD">
        <w:rPr>
          <w:rFonts w:hint="cs"/>
          <w:rtl/>
          <w:lang w:val="en-US"/>
        </w:rPr>
        <w:t>ً</w:t>
      </w:r>
      <w:r w:rsidRPr="00FB75AD">
        <w:rPr>
          <w:rtl/>
          <w:lang w:val="en-US"/>
        </w:rPr>
        <w:t xml:space="preserve"> للتنصل من الامتثال للآراء الواردة في هذا البلاغ.</w:t>
      </w:r>
    </w:p>
    <w:p w14:paraId="1F8AB9CE" w14:textId="1C4D00BE" w:rsidR="008D21EA" w:rsidRPr="00FB75AD" w:rsidRDefault="008D21EA" w:rsidP="008D21EA">
      <w:pPr>
        <w:pStyle w:val="SingleTxtGA"/>
        <w:rPr>
          <w:szCs w:val="20"/>
          <w:lang w:val="en-US" w:eastAsia="zh-TW"/>
        </w:rPr>
      </w:pPr>
      <w:r w:rsidRPr="00FB75AD">
        <w:rPr>
          <w:b/>
          <w:bCs/>
          <w:rtl/>
          <w:lang w:val="en-US"/>
        </w:rPr>
        <w:t>تقييم اللجنة</w:t>
      </w:r>
      <w:r w:rsidR="00264402" w:rsidRPr="00FB75AD">
        <w:rPr>
          <w:rtl/>
        </w:rPr>
        <w:t>:</w:t>
      </w:r>
    </w:p>
    <w:p w14:paraId="2806CAAF" w14:textId="27A49594" w:rsidR="008D21EA" w:rsidRPr="00FB75AD" w:rsidRDefault="003548F1" w:rsidP="008D21EA">
      <w:pPr>
        <w:pStyle w:val="SingleTxtGA"/>
        <w:rPr>
          <w:szCs w:val="20"/>
          <w:lang w:val="en-US" w:eastAsia="zh-TW"/>
        </w:rPr>
      </w:pPr>
      <w:r w:rsidRPr="00FB75AD">
        <w:rPr>
          <w:rtl/>
          <w:lang w:val="en-US"/>
        </w:rPr>
        <w:tab/>
      </w:r>
      <w:r w:rsidR="008D21EA" w:rsidRPr="00FB75AD">
        <w:rPr>
          <w:rtl/>
          <w:lang w:val="en-US"/>
        </w:rPr>
        <w:t>(أ)</w:t>
      </w:r>
      <w:r w:rsidR="008D21EA" w:rsidRPr="00FB75AD">
        <w:rPr>
          <w:rtl/>
          <w:lang w:val="en-US"/>
        </w:rPr>
        <w:tab/>
        <w:t>تقديم تعويض مناسب</w:t>
      </w:r>
      <w:r w:rsidR="00264402" w:rsidRPr="00FB75AD">
        <w:rPr>
          <w:rtl/>
        </w:rPr>
        <w:t>:</w:t>
      </w:r>
      <w:r w:rsidR="008D21EA" w:rsidRPr="00FB75AD">
        <w:rPr>
          <w:rtl/>
          <w:lang w:val="en-US"/>
        </w:rPr>
        <w:t xml:space="preserve"> جيم؛</w:t>
      </w:r>
    </w:p>
    <w:p w14:paraId="279A73EB" w14:textId="74501470" w:rsidR="008D21EA" w:rsidRPr="00FB75AD" w:rsidRDefault="003548F1" w:rsidP="008D21EA">
      <w:pPr>
        <w:pStyle w:val="SingleTxtGA"/>
        <w:rPr>
          <w:szCs w:val="20"/>
          <w:lang w:val="en-US" w:eastAsia="zh-TW"/>
        </w:rPr>
      </w:pPr>
      <w:r w:rsidRPr="00FB75AD">
        <w:rPr>
          <w:rtl/>
          <w:lang w:val="en-US"/>
        </w:rPr>
        <w:tab/>
      </w:r>
      <w:r w:rsidR="008D21EA" w:rsidRPr="00FB75AD">
        <w:rPr>
          <w:rtl/>
          <w:lang w:val="en-US"/>
        </w:rPr>
        <w:t>(ب)</w:t>
      </w:r>
      <w:r w:rsidR="008D21EA" w:rsidRPr="00FB75AD">
        <w:rPr>
          <w:rtl/>
          <w:lang w:val="en-US"/>
        </w:rPr>
        <w:tab/>
        <w:t>عدم التكرار</w:t>
      </w:r>
      <w:r w:rsidR="00264402" w:rsidRPr="00FB75AD">
        <w:rPr>
          <w:rtl/>
        </w:rPr>
        <w:t>:</w:t>
      </w:r>
      <w:r w:rsidR="008D21EA" w:rsidRPr="00FB75AD">
        <w:rPr>
          <w:rtl/>
          <w:lang w:val="en-US"/>
        </w:rPr>
        <w:t xml:space="preserve"> جيم.</w:t>
      </w:r>
    </w:p>
    <w:p w14:paraId="6B5DB7C4" w14:textId="3E0F5BAE" w:rsidR="008D21EA" w:rsidRPr="00FB75AD" w:rsidRDefault="008D21EA" w:rsidP="008D21EA">
      <w:pPr>
        <w:pStyle w:val="SingleTxtGA"/>
        <w:rPr>
          <w:szCs w:val="20"/>
          <w:lang w:val="en-US" w:eastAsia="zh-TW"/>
        </w:rPr>
      </w:pPr>
      <w:r w:rsidRPr="00FB75AD">
        <w:rPr>
          <w:b/>
          <w:bCs/>
          <w:rtl/>
          <w:lang w:val="en-US"/>
        </w:rPr>
        <w:t>قرار اللجنة</w:t>
      </w:r>
      <w:r w:rsidR="00264402" w:rsidRPr="00FB75AD">
        <w:rPr>
          <w:rtl/>
        </w:rPr>
        <w:t>:</w:t>
      </w:r>
      <w:r w:rsidRPr="00FB75AD">
        <w:rPr>
          <w:rtl/>
          <w:lang w:val="en-US"/>
        </w:rPr>
        <w:t xml:space="preserve"> مواصلة حوار المتابعة. وستطلب اللجنة عقد اجتماع مع ممثل للدولة الطرف خلال إحدى دوراتها المقبلة.</w:t>
      </w:r>
    </w:p>
    <w:p w14:paraId="055FB94B" w14:textId="41CC0DC0" w:rsidR="008D21EA" w:rsidRPr="00FB75AD" w:rsidRDefault="003548F1" w:rsidP="003548F1">
      <w:pPr>
        <w:pStyle w:val="H23GA"/>
        <w:rPr>
          <w:szCs w:val="20"/>
          <w:lang w:val="en-US" w:eastAsia="zh-TW"/>
        </w:rPr>
      </w:pPr>
      <w:r w:rsidRPr="00FB75AD">
        <w:rPr>
          <w:szCs w:val="20"/>
          <w:rtl/>
          <w:lang w:val="en-US"/>
        </w:rPr>
        <w:tab/>
      </w:r>
      <w:r w:rsidR="008D21EA" w:rsidRPr="00FB75AD">
        <w:rPr>
          <w:szCs w:val="20"/>
          <w:rtl/>
          <w:lang w:val="en-US"/>
        </w:rPr>
        <w:t>4-</w:t>
      </w:r>
      <w:r w:rsidR="008D21EA" w:rsidRPr="00FB75AD">
        <w:rPr>
          <w:rtl/>
          <w:lang w:val="en-US"/>
        </w:rPr>
        <w:tab/>
        <w:t>ليتوانيا</w:t>
      </w:r>
    </w:p>
    <w:p w14:paraId="445412B1" w14:textId="76877EC3" w:rsidR="008D21EA" w:rsidRPr="00FB75AD" w:rsidRDefault="008D21EA" w:rsidP="003548F1">
      <w:pPr>
        <w:pStyle w:val="H23GA"/>
        <w:rPr>
          <w:szCs w:val="20"/>
          <w:lang w:val="en-US" w:eastAsia="zh-TW"/>
        </w:rPr>
      </w:pPr>
      <w:r w:rsidRPr="00FB75AD">
        <w:rPr>
          <w:rtl/>
          <w:lang w:val="en-US"/>
        </w:rPr>
        <w:tab/>
      </w:r>
      <w:r w:rsidRPr="00FB75AD">
        <w:rPr>
          <w:rtl/>
          <w:lang w:val="en-US"/>
        </w:rPr>
        <w:tab/>
        <w:t>البلاغ رقم</w:t>
      </w:r>
      <w:r w:rsidR="00C11BB0" w:rsidRPr="00FB75AD">
        <w:rPr>
          <w:rtl/>
          <w:lang w:val="en-US"/>
        </w:rPr>
        <w:t xml:space="preserve"> 2670/2015،</w:t>
      </w:r>
      <w:r w:rsidRPr="00FB75AD">
        <w:rPr>
          <w:rtl/>
          <w:lang w:val="en-US"/>
        </w:rPr>
        <w:t xml:space="preserve"> </w:t>
      </w:r>
      <w:r w:rsidRPr="00FB75AD">
        <w:rPr>
          <w:i/>
          <w:iCs/>
          <w:rtl/>
          <w:lang w:val="en-US"/>
        </w:rPr>
        <w:t>جاغميناس</w:t>
      </w:r>
    </w:p>
    <w:p w14:paraId="685DDCBA" w14:textId="332B8114" w:rsidR="008D21EA" w:rsidRPr="00FB75AD" w:rsidRDefault="008D21EA" w:rsidP="00264402">
      <w:pPr>
        <w:pStyle w:val="SingleTxtGA"/>
        <w:tabs>
          <w:tab w:val="clear" w:pos="1928"/>
          <w:tab w:val="clear" w:pos="2608"/>
          <w:tab w:val="clear" w:pos="3289"/>
          <w:tab w:val="clear" w:pos="3969"/>
          <w:tab w:val="clear" w:pos="4649"/>
          <w:tab w:val="left" w:pos="4819"/>
        </w:tabs>
        <w:ind w:left="4819" w:hanging="3572"/>
        <w:rPr>
          <w:szCs w:val="20"/>
          <w:lang w:val="en-US" w:eastAsia="zh-TW"/>
        </w:rPr>
      </w:pPr>
      <w:r w:rsidRPr="00FB75AD">
        <w:rPr>
          <w:b/>
          <w:bCs/>
          <w:rtl/>
          <w:lang w:val="en-US"/>
        </w:rPr>
        <w:t>تاريخ اعتماد الآراء</w:t>
      </w:r>
      <w:r w:rsidR="00264402" w:rsidRPr="00FB75AD">
        <w:rPr>
          <w:rtl/>
        </w:rPr>
        <w:t>:</w:t>
      </w:r>
      <w:r w:rsidRPr="00FB75AD">
        <w:rPr>
          <w:rtl/>
          <w:lang w:val="en-US"/>
        </w:rPr>
        <w:tab/>
      </w:r>
      <w:r w:rsidRPr="00FB75AD">
        <w:rPr>
          <w:szCs w:val="20"/>
          <w:rtl/>
          <w:lang w:val="en-US"/>
        </w:rPr>
        <w:t>24</w:t>
      </w:r>
      <w:r w:rsidRPr="00FB75AD">
        <w:rPr>
          <w:rtl/>
          <w:lang w:val="en-US"/>
        </w:rPr>
        <w:t xml:space="preserve"> تموز/يوليه </w:t>
      </w:r>
      <w:r w:rsidRPr="00FB75AD">
        <w:rPr>
          <w:szCs w:val="20"/>
          <w:rtl/>
          <w:lang w:val="en-US"/>
        </w:rPr>
        <w:t>2019</w:t>
      </w:r>
    </w:p>
    <w:p w14:paraId="73E9AFE5" w14:textId="3735EC83" w:rsidR="008D21EA" w:rsidRPr="00FB75AD" w:rsidRDefault="008D21EA" w:rsidP="00264402">
      <w:pPr>
        <w:pStyle w:val="SingleTxtGA"/>
        <w:tabs>
          <w:tab w:val="clear" w:pos="1928"/>
          <w:tab w:val="clear" w:pos="2608"/>
          <w:tab w:val="clear" w:pos="3289"/>
          <w:tab w:val="clear" w:pos="3969"/>
          <w:tab w:val="clear" w:pos="4649"/>
          <w:tab w:val="left" w:pos="4819"/>
        </w:tabs>
        <w:ind w:left="4819" w:hanging="3572"/>
        <w:rPr>
          <w:szCs w:val="20"/>
          <w:lang w:val="en-US" w:eastAsia="zh-TW"/>
        </w:rPr>
      </w:pPr>
      <w:r w:rsidRPr="00FB75AD">
        <w:rPr>
          <w:b/>
          <w:bCs/>
          <w:rtl/>
          <w:lang w:val="en-US"/>
        </w:rPr>
        <w:t>المواد المنتهكة</w:t>
      </w:r>
      <w:r w:rsidR="00264402" w:rsidRPr="00FB75AD">
        <w:rPr>
          <w:rtl/>
        </w:rPr>
        <w:t>:</w:t>
      </w:r>
      <w:r w:rsidRPr="00FB75AD">
        <w:rPr>
          <w:rtl/>
          <w:lang w:val="en-US"/>
        </w:rPr>
        <w:tab/>
        <w:t xml:space="preserve">المادة </w:t>
      </w:r>
      <w:r w:rsidRPr="00FB75AD">
        <w:rPr>
          <w:szCs w:val="20"/>
          <w:rtl/>
          <w:lang w:val="en-US"/>
        </w:rPr>
        <w:t>25(</w:t>
      </w:r>
      <w:r w:rsidRPr="00FB75AD">
        <w:rPr>
          <w:rtl/>
          <w:lang w:val="en-US"/>
        </w:rPr>
        <w:t>ج</w:t>
      </w:r>
      <w:r w:rsidRPr="00FB75AD">
        <w:rPr>
          <w:szCs w:val="20"/>
          <w:rtl/>
          <w:lang w:val="en-US"/>
        </w:rPr>
        <w:t>)</w:t>
      </w:r>
    </w:p>
    <w:p w14:paraId="670DECB5" w14:textId="47B908C3" w:rsidR="008D21EA" w:rsidRPr="00FB75AD" w:rsidRDefault="008D21EA" w:rsidP="00264402">
      <w:pPr>
        <w:pStyle w:val="SingleTxtGA"/>
        <w:tabs>
          <w:tab w:val="clear" w:pos="1928"/>
          <w:tab w:val="clear" w:pos="2608"/>
          <w:tab w:val="clear" w:pos="3289"/>
          <w:tab w:val="clear" w:pos="3969"/>
          <w:tab w:val="clear" w:pos="4649"/>
          <w:tab w:val="left" w:pos="4819"/>
        </w:tabs>
        <w:ind w:left="4819" w:hanging="3572"/>
        <w:rPr>
          <w:szCs w:val="20"/>
          <w:lang w:val="en-US" w:eastAsia="zh-TW"/>
        </w:rPr>
      </w:pPr>
      <w:r w:rsidRPr="00FB75AD">
        <w:rPr>
          <w:b/>
          <w:bCs/>
          <w:rtl/>
          <w:lang w:val="en-US"/>
        </w:rPr>
        <w:t>إجراء الانتصاف</w:t>
      </w:r>
      <w:r w:rsidR="00264402" w:rsidRPr="00FB75AD">
        <w:rPr>
          <w:rtl/>
        </w:rPr>
        <w:t>:</w:t>
      </w:r>
      <w:r w:rsidRPr="00FB75AD">
        <w:rPr>
          <w:rtl/>
          <w:lang w:val="en-US"/>
        </w:rPr>
        <w:tab/>
        <w:t>سبيل انتصاف فعال، بأشكال منها</w:t>
      </w:r>
      <w:r w:rsidR="00264402" w:rsidRPr="00FB75AD">
        <w:rPr>
          <w:rtl/>
        </w:rPr>
        <w:t>:</w:t>
      </w:r>
      <w:r w:rsidRPr="00FB75AD">
        <w:rPr>
          <w:rtl/>
          <w:lang w:val="en-US"/>
        </w:rPr>
        <w:t xml:space="preserve"> (أ) تقديم جبر كامل وتعويض مناسب لصاحب البلاغ؛ و(ب) اتخاذ جميع الخطوات اللازمة لمنع حدوث انتهاكات مماثلة في المستقبل.</w:t>
      </w:r>
    </w:p>
    <w:p w14:paraId="1C3EDA29" w14:textId="1C3F0BE5" w:rsidR="008D21EA" w:rsidRPr="00FB75AD" w:rsidRDefault="008D21EA" w:rsidP="00264402">
      <w:pPr>
        <w:pStyle w:val="SingleTxtGA"/>
        <w:tabs>
          <w:tab w:val="clear" w:pos="1928"/>
          <w:tab w:val="clear" w:pos="2608"/>
          <w:tab w:val="clear" w:pos="3289"/>
          <w:tab w:val="clear" w:pos="3969"/>
          <w:tab w:val="clear" w:pos="4649"/>
          <w:tab w:val="left" w:pos="4819"/>
        </w:tabs>
        <w:ind w:left="4819" w:hanging="3572"/>
        <w:rPr>
          <w:szCs w:val="20"/>
          <w:lang w:val="en-US" w:eastAsia="zh-TW"/>
        </w:rPr>
      </w:pPr>
      <w:r w:rsidRPr="00FB75AD">
        <w:rPr>
          <w:b/>
          <w:bCs/>
          <w:rtl/>
          <w:lang w:val="en-US"/>
        </w:rPr>
        <w:t>الموضوع</w:t>
      </w:r>
      <w:r w:rsidR="00264402" w:rsidRPr="00FB75AD">
        <w:rPr>
          <w:rtl/>
        </w:rPr>
        <w:t>:</w:t>
      </w:r>
      <w:r w:rsidRPr="00FB75AD">
        <w:rPr>
          <w:rtl/>
          <w:lang w:val="en-US"/>
        </w:rPr>
        <w:tab/>
        <w:t>الفصل التعسفي لموظف حكومي</w:t>
      </w:r>
    </w:p>
    <w:p w14:paraId="32441AC8" w14:textId="629FB23B" w:rsidR="008D21EA" w:rsidRPr="00FB75AD" w:rsidRDefault="008D21EA" w:rsidP="00264402">
      <w:pPr>
        <w:pStyle w:val="SingleTxtGA"/>
        <w:tabs>
          <w:tab w:val="clear" w:pos="1928"/>
          <w:tab w:val="clear" w:pos="2608"/>
          <w:tab w:val="clear" w:pos="3289"/>
          <w:tab w:val="clear" w:pos="3969"/>
          <w:tab w:val="clear" w:pos="4649"/>
          <w:tab w:val="left" w:pos="4819"/>
        </w:tabs>
        <w:ind w:left="4819" w:hanging="3572"/>
        <w:rPr>
          <w:szCs w:val="20"/>
          <w:lang w:val="en-US" w:eastAsia="zh-TW"/>
        </w:rPr>
      </w:pPr>
      <w:r w:rsidRPr="00FB75AD">
        <w:rPr>
          <w:b/>
          <w:bCs/>
          <w:rtl/>
          <w:lang w:val="en-US"/>
        </w:rPr>
        <w:t>معلومات المتابعة المقدمة سابقاً</w:t>
      </w:r>
      <w:r w:rsidR="00264402" w:rsidRPr="00FB75AD">
        <w:rPr>
          <w:rtl/>
        </w:rPr>
        <w:t>:</w:t>
      </w:r>
      <w:r w:rsidRPr="00FB75AD">
        <w:rPr>
          <w:rtl/>
          <w:lang w:val="en-US"/>
        </w:rPr>
        <w:tab/>
      </w:r>
      <w:hyperlink r:id="rId14" w:history="1">
        <w:r w:rsidRPr="00FB75AD">
          <w:rPr>
            <w:rStyle w:val="Hyperlink"/>
            <w:szCs w:val="20"/>
            <w:lang w:val="en-US"/>
          </w:rPr>
          <w:t>CCPR/C/131/3</w:t>
        </w:r>
      </w:hyperlink>
    </w:p>
    <w:p w14:paraId="79C433DC" w14:textId="52D10723" w:rsidR="008D21EA" w:rsidRPr="00FB75AD" w:rsidRDefault="008D21EA" w:rsidP="00264402">
      <w:pPr>
        <w:pStyle w:val="SingleTxtGA"/>
        <w:tabs>
          <w:tab w:val="clear" w:pos="1928"/>
          <w:tab w:val="clear" w:pos="2608"/>
          <w:tab w:val="clear" w:pos="3289"/>
          <w:tab w:val="clear" w:pos="3969"/>
          <w:tab w:val="clear" w:pos="4649"/>
          <w:tab w:val="left" w:pos="4819"/>
        </w:tabs>
        <w:ind w:left="4819" w:hanging="3572"/>
        <w:rPr>
          <w:rStyle w:val="FootnoteReference"/>
          <w:szCs w:val="20"/>
          <w:lang w:val="en-US" w:eastAsia="zh-TW"/>
        </w:rPr>
      </w:pPr>
      <w:r w:rsidRPr="00FB75AD">
        <w:rPr>
          <w:b/>
          <w:bCs/>
          <w:rtl/>
          <w:lang w:val="en-US"/>
        </w:rPr>
        <w:lastRenderedPageBreak/>
        <w:t>المعلومات المقدمة من محامي صاحب البلاغ</w:t>
      </w:r>
      <w:r w:rsidR="00264402" w:rsidRPr="00FB75AD">
        <w:rPr>
          <w:rtl/>
        </w:rPr>
        <w:t>:</w:t>
      </w:r>
      <w:r w:rsidRPr="00FB75AD">
        <w:rPr>
          <w:rtl/>
          <w:lang w:val="en-US"/>
        </w:rPr>
        <w:tab/>
      </w:r>
      <w:r w:rsidRPr="00FB75AD">
        <w:rPr>
          <w:szCs w:val="20"/>
          <w:rtl/>
          <w:lang w:val="en-US"/>
        </w:rPr>
        <w:t>27</w:t>
      </w:r>
      <w:r w:rsidRPr="00FB75AD">
        <w:rPr>
          <w:rtl/>
          <w:lang w:val="en-US"/>
        </w:rPr>
        <w:t xml:space="preserve"> تشرين الثاني/نوفمبر </w:t>
      </w:r>
      <w:r w:rsidRPr="00FB75AD">
        <w:rPr>
          <w:szCs w:val="20"/>
          <w:rtl/>
          <w:lang w:val="en-US"/>
        </w:rPr>
        <w:t>2021</w:t>
      </w:r>
      <w:r w:rsidR="00C11BB0" w:rsidRPr="00FB75AD">
        <w:rPr>
          <w:vertAlign w:val="superscript"/>
          <w:rtl/>
          <w:lang w:val="en-US"/>
        </w:rPr>
        <w:t>(</w:t>
      </w:r>
      <w:r w:rsidR="00C11BB0" w:rsidRPr="00FB75AD">
        <w:rPr>
          <w:vertAlign w:val="superscript"/>
          <w:rtl/>
          <w:lang w:val="en-US"/>
        </w:rPr>
        <w:footnoteReference w:id="17"/>
      </w:r>
      <w:r w:rsidR="00C11BB0" w:rsidRPr="00FB75AD">
        <w:rPr>
          <w:vertAlign w:val="superscript"/>
          <w:rtl/>
          <w:lang w:val="en-US"/>
        </w:rPr>
        <w:t>)</w:t>
      </w:r>
    </w:p>
    <w:p w14:paraId="77066A84" w14:textId="30F03C89" w:rsidR="008D21EA" w:rsidRPr="00FB75AD" w:rsidRDefault="008D21EA" w:rsidP="008D21EA">
      <w:pPr>
        <w:pStyle w:val="SingleTxtGA"/>
        <w:rPr>
          <w:bCs/>
          <w:szCs w:val="20"/>
          <w:lang w:val="en-US" w:eastAsia="zh-TW"/>
        </w:rPr>
      </w:pPr>
      <w:r w:rsidRPr="00FB75AD">
        <w:rPr>
          <w:rtl/>
          <w:lang w:val="en-US"/>
        </w:rPr>
        <w:tab/>
        <w:t>يؤكد المحامي أن الدولة الطرف دأبت على رفض اعتبار آراء اللجنة ملزمة. ودعما</w:t>
      </w:r>
      <w:r w:rsidR="001B0504" w:rsidRPr="00FB75AD">
        <w:rPr>
          <w:rFonts w:hint="cs"/>
          <w:rtl/>
          <w:lang w:val="en-US"/>
        </w:rPr>
        <w:t>ً</w:t>
      </w:r>
      <w:r w:rsidRPr="00FB75AD">
        <w:rPr>
          <w:rtl/>
          <w:lang w:val="en-US"/>
        </w:rPr>
        <w:t xml:space="preserve"> لهذا الادعاء، يشير المحامي إلى أقوال موظفين عموميين</w:t>
      </w:r>
      <w:r w:rsidR="00C11BB0" w:rsidRPr="00FB75AD">
        <w:rPr>
          <w:vertAlign w:val="superscript"/>
          <w:rtl/>
          <w:lang w:val="en-US"/>
        </w:rPr>
        <w:t>(</w:t>
      </w:r>
      <w:r w:rsidR="00C11BB0" w:rsidRPr="00FB75AD">
        <w:rPr>
          <w:vertAlign w:val="superscript"/>
          <w:rtl/>
          <w:lang w:val="en-US"/>
        </w:rPr>
        <w:footnoteReference w:id="18"/>
      </w:r>
      <w:r w:rsidR="00C11BB0" w:rsidRPr="00FB75AD">
        <w:rPr>
          <w:vertAlign w:val="superscript"/>
          <w:rtl/>
          <w:lang w:val="en-US"/>
        </w:rPr>
        <w:t>)</w:t>
      </w:r>
      <w:r w:rsidRPr="00FB75AD">
        <w:rPr>
          <w:rtl/>
          <w:lang w:val="en-US"/>
        </w:rPr>
        <w:t xml:space="preserve">، ورفض الدولة الطرف تعويض صاحب البلاغ، والأوامر الصادرة عن المحكمة الإدارية العليا بشأن هذا البلاغ. ففي </w:t>
      </w:r>
      <w:r w:rsidRPr="00FB75AD">
        <w:rPr>
          <w:szCs w:val="20"/>
          <w:rtl/>
          <w:lang w:val="en-US"/>
        </w:rPr>
        <w:t>12</w:t>
      </w:r>
      <w:r w:rsidRPr="00FB75AD">
        <w:rPr>
          <w:rtl/>
          <w:lang w:val="en-US"/>
        </w:rPr>
        <w:t xml:space="preserve"> أيار/مايو </w:t>
      </w:r>
      <w:r w:rsidRPr="00FB75AD">
        <w:rPr>
          <w:szCs w:val="20"/>
          <w:rtl/>
          <w:lang w:val="en-US"/>
        </w:rPr>
        <w:t>2021</w:t>
      </w:r>
      <w:r w:rsidRPr="00FB75AD">
        <w:rPr>
          <w:rtl/>
          <w:lang w:val="en-US"/>
        </w:rPr>
        <w:t>، رفضت المحكمة الإدارية العليا إعادة فتح قضية صاحب البلاغ، بحجة أن إعادة فتح قضية يمكن أن تثير مسائل مهمة تتعلق بالطابع القطعي لأحكام المحكمة. وأوصت المحكمة أيضا</w:t>
      </w:r>
      <w:r w:rsidR="001B0504" w:rsidRPr="00FB75AD">
        <w:rPr>
          <w:rFonts w:hint="cs"/>
          <w:rtl/>
          <w:lang w:val="en-US"/>
        </w:rPr>
        <w:t>ً</w:t>
      </w:r>
      <w:r w:rsidRPr="00FB75AD">
        <w:rPr>
          <w:rtl/>
          <w:lang w:val="en-US"/>
        </w:rPr>
        <w:t xml:space="preserve"> بأن تمنع الدولة الطرف الأفراد الذين رفضت المحكمة الأوروبية لحقوق الإنسان قضاياهم من تقديم بلاغات إلى اللجنة، ما يدل على عدم رغبة الدولة الطرف في اعتبار آراء اللجنة ملزمة. وأفاد ممثل الدولة الطرف لدى المحكمة الأوروبية لحقوق الإنسان أن الدولة الطرف ستعرض على صاحب البلاغ تعويضاً قدره </w:t>
      </w:r>
      <w:r w:rsidRPr="00FB75AD">
        <w:rPr>
          <w:szCs w:val="20"/>
          <w:rtl/>
          <w:lang w:val="en-US"/>
        </w:rPr>
        <w:t>900 2</w:t>
      </w:r>
      <w:r w:rsidRPr="00FB75AD">
        <w:rPr>
          <w:rtl/>
          <w:lang w:val="en-US"/>
        </w:rPr>
        <w:t xml:space="preserve"> يورو كحد أقصى عن الأضرار المالية و</w:t>
      </w:r>
      <w:r w:rsidRPr="00FB75AD">
        <w:rPr>
          <w:szCs w:val="20"/>
          <w:rtl/>
          <w:lang w:val="en-US"/>
        </w:rPr>
        <w:t>500 1</w:t>
      </w:r>
      <w:r w:rsidRPr="00FB75AD">
        <w:rPr>
          <w:rtl/>
          <w:lang w:val="en-US"/>
        </w:rPr>
        <w:t xml:space="preserve"> يورو عن الأضرار المعنوية. ولم توضح المحكمة الإدارية العليا، في قرارها المؤرخ </w:t>
      </w:r>
      <w:r w:rsidRPr="00FB75AD">
        <w:rPr>
          <w:szCs w:val="20"/>
          <w:rtl/>
          <w:lang w:val="en-US"/>
        </w:rPr>
        <w:t>12</w:t>
      </w:r>
      <w:r w:rsidRPr="00FB75AD">
        <w:rPr>
          <w:rtl/>
          <w:lang w:val="en-US"/>
        </w:rPr>
        <w:t xml:space="preserve"> أيار/مايو </w:t>
      </w:r>
      <w:r w:rsidRPr="00FB75AD">
        <w:rPr>
          <w:szCs w:val="20"/>
          <w:rtl/>
          <w:lang w:val="en-US"/>
        </w:rPr>
        <w:t>2021</w:t>
      </w:r>
      <w:r w:rsidRPr="00FB75AD">
        <w:rPr>
          <w:rtl/>
          <w:lang w:val="en-US"/>
        </w:rPr>
        <w:t>، سبب استنتاجها أن فصل صاحب البلاغ كان مبررا</w:t>
      </w:r>
      <w:r w:rsidR="001B0504" w:rsidRPr="00FB75AD">
        <w:rPr>
          <w:rFonts w:hint="cs"/>
          <w:rtl/>
          <w:lang w:val="en-US"/>
        </w:rPr>
        <w:t>ً</w:t>
      </w:r>
      <w:r w:rsidRPr="00FB75AD">
        <w:rPr>
          <w:rtl/>
          <w:lang w:val="en-US"/>
        </w:rPr>
        <w:t xml:space="preserve"> لأسباب أخرى غير البيانات السرية التي قدمها مكتب المدعي العام من قضية المراقبة العملياتية والتي لم يتمكن صاحب البلاغ من الاطلاع عليها حتى يتمكن من تقديم حججه. ووفقا</w:t>
      </w:r>
      <w:r w:rsidR="001B0504" w:rsidRPr="00FB75AD">
        <w:rPr>
          <w:rFonts w:hint="cs"/>
          <w:rtl/>
          <w:lang w:val="en-US"/>
        </w:rPr>
        <w:t>ً</w:t>
      </w:r>
      <w:r w:rsidRPr="00FB75AD">
        <w:rPr>
          <w:rtl/>
          <w:lang w:val="en-US"/>
        </w:rPr>
        <w:t xml:space="preserve"> للمحامي، لم تقم المحكمة الإدارية العليا بإعادة تقييم البيانات السرية لقضية المراقبة العملياتية في سياق انتهاك حقوق صاحب البلاغ بموجب المادة </w:t>
      </w:r>
      <w:r w:rsidRPr="00FB75AD">
        <w:rPr>
          <w:szCs w:val="20"/>
          <w:rtl/>
          <w:lang w:val="en-US"/>
        </w:rPr>
        <w:t>14(</w:t>
      </w:r>
      <w:r w:rsidR="00C11BB0" w:rsidRPr="00FB75AD">
        <w:rPr>
          <w:szCs w:val="20"/>
          <w:rtl/>
          <w:lang w:val="en-US"/>
        </w:rPr>
        <w:t>2)</w:t>
      </w:r>
      <w:r w:rsidR="00C11BB0" w:rsidRPr="00FB75AD">
        <w:rPr>
          <w:rtl/>
          <w:lang w:val="en-US"/>
        </w:rPr>
        <w:t xml:space="preserve"> </w:t>
      </w:r>
      <w:r w:rsidRPr="00FB75AD">
        <w:rPr>
          <w:rtl/>
          <w:lang w:val="en-US"/>
        </w:rPr>
        <w:t>من العهد.</w:t>
      </w:r>
    </w:p>
    <w:p w14:paraId="4C3143DC" w14:textId="7F8C044D" w:rsidR="008D21EA" w:rsidRPr="00FB75AD" w:rsidRDefault="008D21EA" w:rsidP="008D21EA">
      <w:pPr>
        <w:pStyle w:val="SingleTxtGA"/>
        <w:rPr>
          <w:szCs w:val="20"/>
          <w:lang w:val="en-US" w:eastAsia="zh-TW"/>
        </w:rPr>
      </w:pPr>
      <w:r w:rsidRPr="00FB75AD">
        <w:rPr>
          <w:rtl/>
          <w:lang w:val="en-US"/>
        </w:rPr>
        <w:tab/>
        <w:t>وفي ضوء رفض الدولة الطرف تنفيذ آراء اللجنة، يطلب المحامي اتخاذ عدة تدابير لضمان تعويض صاحب البلاغ. أولا</w:t>
      </w:r>
      <w:r w:rsidR="00B748CE" w:rsidRPr="00FB75AD">
        <w:rPr>
          <w:rFonts w:hint="cs"/>
          <w:rtl/>
          <w:lang w:val="en-US"/>
        </w:rPr>
        <w:t>ً</w:t>
      </w:r>
      <w:r w:rsidRPr="00FB75AD">
        <w:rPr>
          <w:rtl/>
          <w:lang w:val="en-US"/>
        </w:rPr>
        <w:t>، يطلب المحامي أن تقرر اللجنة مبلغ تعويض محددا</w:t>
      </w:r>
      <w:r w:rsidR="001B0504" w:rsidRPr="00FB75AD">
        <w:rPr>
          <w:rFonts w:hint="cs"/>
          <w:rtl/>
          <w:lang w:val="en-US"/>
        </w:rPr>
        <w:t>ً</w:t>
      </w:r>
      <w:r w:rsidRPr="00FB75AD">
        <w:rPr>
          <w:rtl/>
          <w:lang w:val="en-US"/>
        </w:rPr>
        <w:t xml:space="preserve"> يقدَّم إلى صاحب البلاغ. ففيما يتعلق بالتعويض عن الأضرار المالية، يطلب المحامي أن يتلقى صاحب البلاغ </w:t>
      </w:r>
      <w:r w:rsidRPr="00FB75AD">
        <w:rPr>
          <w:szCs w:val="20"/>
          <w:rtl/>
          <w:lang w:val="en-US"/>
        </w:rPr>
        <w:t>20</w:t>
      </w:r>
      <w:r w:rsidRPr="00FB75AD">
        <w:rPr>
          <w:rtl/>
          <w:lang w:val="en-US"/>
        </w:rPr>
        <w:t xml:space="preserve"> مرتبا</w:t>
      </w:r>
      <w:r w:rsidR="001B0504" w:rsidRPr="00FB75AD">
        <w:rPr>
          <w:rFonts w:hint="cs"/>
          <w:rtl/>
          <w:lang w:val="en-US"/>
        </w:rPr>
        <w:t>ً</w:t>
      </w:r>
      <w:r w:rsidRPr="00FB75AD">
        <w:rPr>
          <w:rtl/>
          <w:lang w:val="en-US"/>
        </w:rPr>
        <w:t xml:space="preserve"> شهريا</w:t>
      </w:r>
      <w:r w:rsidR="001B0504" w:rsidRPr="00FB75AD">
        <w:rPr>
          <w:rFonts w:hint="cs"/>
          <w:rtl/>
          <w:lang w:val="en-US"/>
        </w:rPr>
        <w:t>ً</w:t>
      </w:r>
      <w:r w:rsidRPr="00FB75AD">
        <w:rPr>
          <w:rtl/>
          <w:lang w:val="en-US"/>
        </w:rPr>
        <w:t xml:space="preserve"> متوسطا</w:t>
      </w:r>
      <w:r w:rsidR="001B0504" w:rsidRPr="00FB75AD">
        <w:rPr>
          <w:rFonts w:hint="cs"/>
          <w:rtl/>
          <w:lang w:val="en-US"/>
        </w:rPr>
        <w:t>ً</w:t>
      </w:r>
      <w:r w:rsidRPr="00FB75AD">
        <w:rPr>
          <w:rtl/>
          <w:lang w:val="en-US"/>
        </w:rPr>
        <w:t xml:space="preserve"> إجماليا</w:t>
      </w:r>
      <w:r w:rsidR="001B0504" w:rsidRPr="00FB75AD">
        <w:rPr>
          <w:rFonts w:hint="cs"/>
          <w:rtl/>
          <w:lang w:val="en-US"/>
        </w:rPr>
        <w:t>ً</w:t>
      </w:r>
      <w:r w:rsidRPr="00FB75AD">
        <w:rPr>
          <w:rtl/>
          <w:lang w:val="en-US"/>
        </w:rPr>
        <w:t xml:space="preserve">. وفيما يتعلق بالتعويض عن الأضرار المعنوية، يطلب المحامي أن يتلقى صاحب البلاغ </w:t>
      </w:r>
      <w:r w:rsidRPr="00FB75AD">
        <w:rPr>
          <w:szCs w:val="20"/>
          <w:rtl/>
          <w:lang w:val="en-US"/>
        </w:rPr>
        <w:t>000 30</w:t>
      </w:r>
      <w:r w:rsidRPr="00FB75AD">
        <w:rPr>
          <w:rtl/>
          <w:lang w:val="en-US"/>
        </w:rPr>
        <w:t xml:space="preserve"> يورو. وبالإضافة إلى ذلك، يطلب المحامي</w:t>
      </w:r>
      <w:r w:rsidR="001B0504" w:rsidRPr="00FB75AD">
        <w:rPr>
          <w:rFonts w:hint="cs"/>
          <w:rtl/>
          <w:lang w:val="en-US"/>
        </w:rPr>
        <w:t xml:space="preserve"> </w:t>
      </w:r>
      <w:r w:rsidRPr="00FB75AD">
        <w:rPr>
          <w:szCs w:val="20"/>
          <w:rtl/>
          <w:lang w:val="en-US"/>
        </w:rPr>
        <w:t>500 16</w:t>
      </w:r>
      <w:r w:rsidRPr="00FB75AD">
        <w:rPr>
          <w:rtl/>
          <w:lang w:val="en-US"/>
        </w:rPr>
        <w:t xml:space="preserve"> يورو و</w:t>
      </w:r>
      <w:r w:rsidRPr="00FB75AD">
        <w:rPr>
          <w:szCs w:val="20"/>
          <w:rtl/>
          <w:lang w:val="en-US"/>
        </w:rPr>
        <w:t>0,05</w:t>
      </w:r>
      <w:r w:rsidRPr="00FB75AD">
        <w:rPr>
          <w:rtl/>
          <w:lang w:val="en-US"/>
        </w:rPr>
        <w:t xml:space="preserve"> بيتكوين مقابل أتعاب محامي صاحب البلاغ لتمثيله أمام اللجنة. ويطلب المحامي أيضا</w:t>
      </w:r>
      <w:r w:rsidR="001B0504" w:rsidRPr="00FB75AD">
        <w:rPr>
          <w:rFonts w:hint="cs"/>
          <w:rtl/>
          <w:lang w:val="en-US"/>
        </w:rPr>
        <w:t>ً</w:t>
      </w:r>
      <w:r w:rsidRPr="00FB75AD">
        <w:rPr>
          <w:rtl/>
          <w:lang w:val="en-US"/>
        </w:rPr>
        <w:t xml:space="preserve"> </w:t>
      </w:r>
      <w:r w:rsidRPr="00FB75AD">
        <w:rPr>
          <w:szCs w:val="20"/>
          <w:rtl/>
          <w:lang w:val="en-US"/>
        </w:rPr>
        <w:t>10</w:t>
      </w:r>
      <w:r w:rsidRPr="00FB75AD">
        <w:rPr>
          <w:rtl/>
          <w:lang w:val="en-US"/>
        </w:rPr>
        <w:t xml:space="preserve"> مرتبات شهرية إجمالية تعويضا</w:t>
      </w:r>
      <w:r w:rsidR="001B0504" w:rsidRPr="00FB75AD">
        <w:rPr>
          <w:rFonts w:hint="cs"/>
          <w:rtl/>
          <w:lang w:val="en-US"/>
        </w:rPr>
        <w:t>ً</w:t>
      </w:r>
      <w:r w:rsidRPr="00FB75AD">
        <w:rPr>
          <w:rtl/>
          <w:lang w:val="en-US"/>
        </w:rPr>
        <w:t xml:space="preserve"> عن التشهير الذي وجهه إليه الموظفان الحكوميان. ثانيا</w:t>
      </w:r>
      <w:r w:rsidR="00B748CE" w:rsidRPr="00FB75AD">
        <w:rPr>
          <w:rFonts w:hint="cs"/>
          <w:rtl/>
          <w:lang w:val="en-US"/>
        </w:rPr>
        <w:t>ً</w:t>
      </w:r>
      <w:r w:rsidRPr="00FB75AD">
        <w:rPr>
          <w:rtl/>
          <w:lang w:val="en-US"/>
        </w:rPr>
        <w:t>، يطلب المحامي فصل ممثل الدولة الطرف لدى المحكمة الأوروبية لحقوق الإنسان. ثالثا</w:t>
      </w:r>
      <w:r w:rsidR="00B748CE" w:rsidRPr="00FB75AD">
        <w:rPr>
          <w:rFonts w:hint="cs"/>
          <w:rtl/>
          <w:lang w:val="en-US"/>
        </w:rPr>
        <w:t>ً</w:t>
      </w:r>
      <w:r w:rsidRPr="00FB75AD">
        <w:rPr>
          <w:rtl/>
          <w:lang w:val="en-US"/>
        </w:rPr>
        <w:t>، يطلب المحامي أن يتراجع القاضي الذي عينته الدولة الطرف في المحكمة الأوروبية لحقوق الإنسان عن ادعاءاته. وأخيرا</w:t>
      </w:r>
      <w:r w:rsidR="00B748CE" w:rsidRPr="00FB75AD">
        <w:rPr>
          <w:rFonts w:hint="cs"/>
          <w:rtl/>
          <w:lang w:val="en-US"/>
        </w:rPr>
        <w:t>ً</w:t>
      </w:r>
      <w:r w:rsidRPr="00FB75AD">
        <w:rPr>
          <w:rtl/>
          <w:lang w:val="en-US"/>
        </w:rPr>
        <w:t>، يطلب المحامي إلى الدولة الطرف تثقيف الموظفين الحكوميين بشأن الطابع الملزم لآراء اللجنة.</w:t>
      </w:r>
    </w:p>
    <w:p w14:paraId="19053D25" w14:textId="3379DA25" w:rsidR="008D21EA" w:rsidRPr="00FB75AD" w:rsidRDefault="008D21EA" w:rsidP="008D21EA">
      <w:pPr>
        <w:pStyle w:val="SingleTxtGA"/>
        <w:rPr>
          <w:rStyle w:val="FootnoteReference"/>
          <w:szCs w:val="20"/>
          <w:lang w:val="en-US" w:eastAsia="zh-TW"/>
        </w:rPr>
      </w:pPr>
      <w:r w:rsidRPr="00FB75AD">
        <w:rPr>
          <w:b/>
          <w:bCs/>
          <w:rtl/>
          <w:lang w:val="en-US"/>
        </w:rPr>
        <w:t>المعلومات المقدمة من الدولة الطرف</w:t>
      </w:r>
      <w:r w:rsidR="00264402" w:rsidRPr="00FB75AD">
        <w:rPr>
          <w:rFonts w:hint="cs"/>
          <w:rtl/>
        </w:rPr>
        <w:t>:</w:t>
      </w:r>
      <w:r w:rsidRPr="00FB75AD">
        <w:rPr>
          <w:rtl/>
          <w:lang w:val="en-US"/>
        </w:rPr>
        <w:t xml:space="preserve"> </w:t>
      </w:r>
      <w:r w:rsidRPr="00FB75AD">
        <w:rPr>
          <w:szCs w:val="20"/>
          <w:rtl/>
          <w:lang w:val="en-US"/>
        </w:rPr>
        <w:t>27</w:t>
      </w:r>
      <w:r w:rsidRPr="00FB75AD">
        <w:rPr>
          <w:rtl/>
          <w:lang w:val="en-US"/>
        </w:rPr>
        <w:t xml:space="preserve"> أيار/مايو </w:t>
      </w:r>
      <w:r w:rsidRPr="00FB75AD">
        <w:rPr>
          <w:szCs w:val="20"/>
          <w:rtl/>
          <w:lang w:val="en-US"/>
        </w:rPr>
        <w:t>2022</w:t>
      </w:r>
      <w:r w:rsidR="00C11BB0" w:rsidRPr="00FB75AD">
        <w:rPr>
          <w:vertAlign w:val="superscript"/>
          <w:rtl/>
          <w:lang w:val="en-US"/>
        </w:rPr>
        <w:t>(</w:t>
      </w:r>
      <w:r w:rsidR="00C11BB0" w:rsidRPr="00FB75AD">
        <w:rPr>
          <w:vertAlign w:val="superscript"/>
          <w:rtl/>
          <w:lang w:val="en-US"/>
        </w:rPr>
        <w:footnoteReference w:id="19"/>
      </w:r>
      <w:r w:rsidR="00C11BB0" w:rsidRPr="00FB75AD">
        <w:rPr>
          <w:vertAlign w:val="superscript"/>
          <w:rtl/>
          <w:lang w:val="en-US"/>
        </w:rPr>
        <w:t>)</w:t>
      </w:r>
    </w:p>
    <w:p w14:paraId="79076F55" w14:textId="32817052" w:rsidR="008D21EA" w:rsidRPr="00FB75AD" w:rsidRDefault="008D21EA" w:rsidP="008D21EA">
      <w:pPr>
        <w:pStyle w:val="SingleTxtGA"/>
        <w:rPr>
          <w:szCs w:val="20"/>
          <w:lang w:val="en-US" w:eastAsia="zh-TW"/>
        </w:rPr>
      </w:pPr>
      <w:r w:rsidRPr="00FB75AD">
        <w:rPr>
          <w:rtl/>
          <w:lang w:val="en-US"/>
        </w:rPr>
        <w:tab/>
        <w:t>تشير الدولة الطرف إلى أنها أوفت بالتزامها بمنع إساءة استخدام التحقيقات الجنائية في عمل موظفي الخدمة المدنية في المستقبل. وقد سنت تشريعات تهدف إلى حماية التحقيقات الجنائية في ادعاءات الفساد الموجهة ضد موظفي الخدمة المدنية من أجل عدم التعدي على حقوقهم. وأعلنت الدولة الطرف أيضا</w:t>
      </w:r>
      <w:r w:rsidR="001B0504" w:rsidRPr="00FB75AD">
        <w:rPr>
          <w:rFonts w:hint="cs"/>
          <w:rtl/>
          <w:lang w:val="en-US"/>
        </w:rPr>
        <w:t>ً</w:t>
      </w:r>
      <w:r w:rsidRPr="00FB75AD">
        <w:rPr>
          <w:rtl/>
          <w:lang w:val="en-US"/>
        </w:rPr>
        <w:t xml:space="preserve"> عدم دستورية أجزاء من القانون استُخدمت لفصل صاحب البلاغ من منصبه.</w:t>
      </w:r>
    </w:p>
    <w:p w14:paraId="2D47073E" w14:textId="651B63FF" w:rsidR="008D21EA" w:rsidRPr="00FB75AD" w:rsidRDefault="008D21EA" w:rsidP="008D21EA">
      <w:pPr>
        <w:pStyle w:val="SingleTxtGA"/>
        <w:rPr>
          <w:szCs w:val="20"/>
          <w:lang w:val="en-US" w:eastAsia="zh-TW"/>
        </w:rPr>
      </w:pPr>
      <w:r w:rsidRPr="00FB75AD">
        <w:rPr>
          <w:rtl/>
          <w:lang w:val="en-US"/>
        </w:rPr>
        <w:lastRenderedPageBreak/>
        <w:tab/>
        <w:t xml:space="preserve">وفي </w:t>
      </w:r>
      <w:r w:rsidRPr="00FB75AD">
        <w:rPr>
          <w:szCs w:val="20"/>
          <w:rtl/>
          <w:lang w:val="en-US"/>
        </w:rPr>
        <w:t>16</w:t>
      </w:r>
      <w:r w:rsidRPr="00FB75AD">
        <w:rPr>
          <w:rtl/>
          <w:lang w:val="en-US"/>
        </w:rPr>
        <w:t xml:space="preserve"> كانون الأول/ديسمبر </w:t>
      </w:r>
      <w:r w:rsidRPr="00FB75AD">
        <w:rPr>
          <w:szCs w:val="20"/>
          <w:rtl/>
          <w:lang w:val="en-US"/>
        </w:rPr>
        <w:t>2019</w:t>
      </w:r>
      <w:r w:rsidRPr="00FB75AD">
        <w:rPr>
          <w:rtl/>
          <w:lang w:val="en-US"/>
        </w:rPr>
        <w:t>، تلقت المحكمة الدستورية طلبا</w:t>
      </w:r>
      <w:r w:rsidR="001B0504" w:rsidRPr="00FB75AD">
        <w:rPr>
          <w:rFonts w:hint="cs"/>
          <w:rtl/>
          <w:lang w:val="en-US"/>
        </w:rPr>
        <w:t>ً</w:t>
      </w:r>
      <w:r w:rsidRPr="00FB75AD">
        <w:rPr>
          <w:rtl/>
          <w:lang w:val="en-US"/>
        </w:rPr>
        <w:t xml:space="preserve"> من المحكمة الإدارية العليا لإعادة النظر في طلب صاحب البلاغ إعادة فتح قضيته. وفي </w:t>
      </w:r>
      <w:r w:rsidRPr="00FB75AD">
        <w:rPr>
          <w:szCs w:val="20"/>
          <w:rtl/>
          <w:lang w:val="en-US"/>
        </w:rPr>
        <w:t>14</w:t>
      </w:r>
      <w:r w:rsidRPr="00FB75AD">
        <w:rPr>
          <w:rtl/>
          <w:lang w:val="en-US"/>
        </w:rPr>
        <w:t xml:space="preserve"> كانون الثاني/يناير </w:t>
      </w:r>
      <w:r w:rsidRPr="00FB75AD">
        <w:rPr>
          <w:szCs w:val="20"/>
          <w:rtl/>
          <w:lang w:val="en-US"/>
        </w:rPr>
        <w:t>2020</w:t>
      </w:r>
      <w:r w:rsidRPr="00FB75AD">
        <w:rPr>
          <w:rtl/>
          <w:lang w:val="en-US"/>
        </w:rPr>
        <w:t>، اعتمدت المحكمة الدستورية قرارا</w:t>
      </w:r>
      <w:r w:rsidR="001B0504" w:rsidRPr="00FB75AD">
        <w:rPr>
          <w:rFonts w:hint="cs"/>
          <w:rtl/>
          <w:lang w:val="en-US"/>
        </w:rPr>
        <w:t>ً</w:t>
      </w:r>
      <w:r w:rsidRPr="00FB75AD">
        <w:rPr>
          <w:rtl/>
          <w:lang w:val="en-US"/>
        </w:rPr>
        <w:t xml:space="preserve"> لقبول النظر في القضية. غير أن المحكمة الإدارية العليا سحبت في </w:t>
      </w:r>
      <w:r w:rsidRPr="00FB75AD">
        <w:rPr>
          <w:szCs w:val="20"/>
          <w:rtl/>
          <w:lang w:val="en-US"/>
        </w:rPr>
        <w:t>26</w:t>
      </w:r>
      <w:r w:rsidRPr="00FB75AD">
        <w:rPr>
          <w:rtl/>
          <w:lang w:val="en-US"/>
        </w:rPr>
        <w:t xml:space="preserve"> آب/</w:t>
      </w:r>
      <w:r w:rsidR="004F204D" w:rsidRPr="00FB75AD">
        <w:rPr>
          <w:rFonts w:hint="cs"/>
          <w:rtl/>
          <w:lang w:val="en-US"/>
        </w:rPr>
        <w:t xml:space="preserve"> </w:t>
      </w:r>
      <w:r w:rsidRPr="00FB75AD">
        <w:rPr>
          <w:rtl/>
          <w:lang w:val="en-US"/>
        </w:rPr>
        <w:t xml:space="preserve">أغسطس </w:t>
      </w:r>
      <w:r w:rsidRPr="00FB75AD">
        <w:rPr>
          <w:szCs w:val="20"/>
          <w:rtl/>
          <w:lang w:val="en-US"/>
        </w:rPr>
        <w:t>2020</w:t>
      </w:r>
      <w:r w:rsidRPr="00FB75AD">
        <w:rPr>
          <w:rtl/>
          <w:lang w:val="en-US"/>
        </w:rPr>
        <w:t xml:space="preserve"> طلبها لأن </w:t>
      </w:r>
      <w:proofErr w:type="gramStart"/>
      <w:r w:rsidRPr="00FB75AD">
        <w:rPr>
          <w:rtl/>
          <w:lang w:val="en-US"/>
        </w:rPr>
        <w:t>برلمان</w:t>
      </w:r>
      <w:proofErr w:type="gramEnd"/>
      <w:r w:rsidRPr="00FB75AD">
        <w:rPr>
          <w:rtl/>
          <w:lang w:val="en-US"/>
        </w:rPr>
        <w:t xml:space="preserve"> ليتوانيا أقر قانونا</w:t>
      </w:r>
      <w:r w:rsidR="001B0504" w:rsidRPr="00FB75AD">
        <w:rPr>
          <w:rFonts w:hint="cs"/>
          <w:rtl/>
          <w:lang w:val="en-US"/>
        </w:rPr>
        <w:t>ً</w:t>
      </w:r>
      <w:r w:rsidRPr="00FB75AD">
        <w:rPr>
          <w:rtl/>
          <w:lang w:val="en-US"/>
        </w:rPr>
        <w:t xml:space="preserve"> يجيز إعادة فتح الإجراءات المتعلقة بانتهاكات العهد. وفي </w:t>
      </w:r>
      <w:r w:rsidRPr="00FB75AD">
        <w:rPr>
          <w:szCs w:val="20"/>
          <w:rtl/>
          <w:lang w:val="en-US"/>
        </w:rPr>
        <w:t>12</w:t>
      </w:r>
      <w:r w:rsidRPr="00FB75AD">
        <w:rPr>
          <w:rtl/>
          <w:lang w:val="en-US"/>
        </w:rPr>
        <w:t xml:space="preserve"> أيار/مايو </w:t>
      </w:r>
      <w:r w:rsidRPr="00FB75AD">
        <w:rPr>
          <w:szCs w:val="20"/>
          <w:rtl/>
          <w:lang w:val="en-US"/>
        </w:rPr>
        <w:t>2021</w:t>
      </w:r>
      <w:r w:rsidRPr="00FB75AD">
        <w:rPr>
          <w:rtl/>
          <w:lang w:val="en-US"/>
        </w:rPr>
        <w:t>، رفضت المحكمة الإدارية العليا بالفعل إعادة فتح قضية صاحب البلاغ لأنه لم</w:t>
      </w:r>
      <w:r w:rsidR="004F204D" w:rsidRPr="00FB75AD">
        <w:rPr>
          <w:rFonts w:hint="cs"/>
          <w:rtl/>
          <w:lang w:val="en-US"/>
        </w:rPr>
        <w:t> </w:t>
      </w:r>
      <w:r w:rsidRPr="00FB75AD">
        <w:rPr>
          <w:rtl/>
          <w:lang w:val="en-US"/>
        </w:rPr>
        <w:t>يوجد في ذلك الوقت قانون يجيز لأي شخص القيام بذلك. غير أن المحكمة الإدارية العليا أوعزت إلى صاحب البلاغ في أمرها بتقديم ادعاءاته إلى وزارة العدل. ووفقا</w:t>
      </w:r>
      <w:r w:rsidR="001B0504" w:rsidRPr="00FB75AD">
        <w:rPr>
          <w:rFonts w:hint="cs"/>
          <w:rtl/>
          <w:lang w:val="en-US"/>
        </w:rPr>
        <w:t>ً</w:t>
      </w:r>
      <w:r w:rsidRPr="00FB75AD">
        <w:rPr>
          <w:rtl/>
          <w:lang w:val="en-US"/>
        </w:rPr>
        <w:t xml:space="preserve"> لقانون الدولة الطرف، يمكن المطالبة بالتعويض عن الأضرار الناجمة عن تصرفات موظفي الدولة عن طريق وزارة العدل. وتوجد بيانات سرية لم يكن بإمكان صاحب البلاغ الاطلاع عليها في البداية واستُخدمت في تحليل وجوب أو عدم وجوب إعادة فتح قضية صاحب البلاغ. غير أن سبب عدم إعادة فتح قضية صاحب البلاغ هو القانون المحلي الساري وقت نشر الأمر. وعلاوة على ذلك، استُخدمت في التحليل وقائع سرية ووقائع غير سرية. وحتى</w:t>
      </w:r>
      <w:r w:rsidR="004F204D" w:rsidRPr="00FB75AD">
        <w:rPr>
          <w:rFonts w:hint="cs"/>
          <w:rtl/>
          <w:lang w:val="en-US"/>
        </w:rPr>
        <w:t> </w:t>
      </w:r>
      <w:r w:rsidRPr="00FB75AD">
        <w:rPr>
          <w:szCs w:val="20"/>
          <w:rtl/>
          <w:lang w:val="en-US"/>
        </w:rPr>
        <w:t>27</w:t>
      </w:r>
      <w:r w:rsidRPr="00FB75AD">
        <w:rPr>
          <w:rtl/>
          <w:lang w:val="en-US"/>
        </w:rPr>
        <w:t xml:space="preserve"> أيار/مايو </w:t>
      </w:r>
      <w:r w:rsidRPr="00FB75AD">
        <w:rPr>
          <w:szCs w:val="20"/>
          <w:rtl/>
          <w:lang w:val="en-US"/>
        </w:rPr>
        <w:t>2022</w:t>
      </w:r>
      <w:r w:rsidRPr="00FB75AD">
        <w:rPr>
          <w:rtl/>
          <w:lang w:val="en-US"/>
        </w:rPr>
        <w:t>، لم يكن صاحب البلاغ قد التمس تعويضا</w:t>
      </w:r>
      <w:r w:rsidR="001B0504" w:rsidRPr="00FB75AD">
        <w:rPr>
          <w:rFonts w:hint="cs"/>
          <w:rtl/>
          <w:lang w:val="en-US"/>
        </w:rPr>
        <w:t>ً</w:t>
      </w:r>
      <w:r w:rsidRPr="00FB75AD">
        <w:rPr>
          <w:rtl/>
          <w:lang w:val="en-US"/>
        </w:rPr>
        <w:t xml:space="preserve"> من وزارة العدل.</w:t>
      </w:r>
    </w:p>
    <w:p w14:paraId="18ED96A4" w14:textId="3031F00C" w:rsidR="008D21EA" w:rsidRPr="00FB75AD" w:rsidRDefault="008D21EA" w:rsidP="008D21EA">
      <w:pPr>
        <w:pStyle w:val="SingleTxtGA"/>
        <w:rPr>
          <w:rStyle w:val="FootnoteReference"/>
          <w:szCs w:val="20"/>
          <w:lang w:val="en-US" w:eastAsia="zh-TW"/>
        </w:rPr>
      </w:pPr>
      <w:r w:rsidRPr="00FB75AD">
        <w:rPr>
          <w:b/>
          <w:bCs/>
          <w:rtl/>
          <w:lang w:val="en-US"/>
        </w:rPr>
        <w:t>المعلومات المقدمة من محامي صاحب البلاغ</w:t>
      </w:r>
      <w:r w:rsidR="00264402" w:rsidRPr="00FB75AD">
        <w:rPr>
          <w:rFonts w:hint="cs"/>
          <w:rtl/>
        </w:rPr>
        <w:t>:</w:t>
      </w:r>
      <w:r w:rsidRPr="00FB75AD">
        <w:rPr>
          <w:rtl/>
          <w:lang w:val="en-US"/>
        </w:rPr>
        <w:t xml:space="preserve"> </w:t>
      </w:r>
      <w:r w:rsidRPr="00FB75AD">
        <w:rPr>
          <w:szCs w:val="20"/>
          <w:rtl/>
          <w:lang w:val="en-US"/>
        </w:rPr>
        <w:t>23</w:t>
      </w:r>
      <w:r w:rsidRPr="00FB75AD">
        <w:rPr>
          <w:rtl/>
          <w:lang w:val="en-US"/>
        </w:rPr>
        <w:t xml:space="preserve"> أيلول/سبتمبر </w:t>
      </w:r>
      <w:r w:rsidRPr="00FB75AD">
        <w:rPr>
          <w:szCs w:val="20"/>
          <w:rtl/>
          <w:lang w:val="en-US"/>
        </w:rPr>
        <w:t>2022</w:t>
      </w:r>
      <w:r w:rsidR="00C11BB0" w:rsidRPr="00FB75AD">
        <w:rPr>
          <w:vertAlign w:val="superscript"/>
          <w:rtl/>
          <w:lang w:val="en-US"/>
        </w:rPr>
        <w:t>(</w:t>
      </w:r>
      <w:r w:rsidR="00C11BB0" w:rsidRPr="00FB75AD">
        <w:rPr>
          <w:vertAlign w:val="superscript"/>
          <w:rtl/>
          <w:lang w:val="en-US"/>
        </w:rPr>
        <w:footnoteReference w:id="20"/>
      </w:r>
      <w:r w:rsidR="00C11BB0" w:rsidRPr="00FB75AD">
        <w:rPr>
          <w:vertAlign w:val="superscript"/>
          <w:rtl/>
          <w:lang w:val="en-US"/>
        </w:rPr>
        <w:t>)</w:t>
      </w:r>
    </w:p>
    <w:p w14:paraId="6DB8BF22" w14:textId="7A1F63D1" w:rsidR="008D21EA" w:rsidRPr="00FB75AD" w:rsidRDefault="008D21EA" w:rsidP="008D21EA">
      <w:pPr>
        <w:pStyle w:val="SingleTxtGA"/>
        <w:rPr>
          <w:szCs w:val="20"/>
          <w:lang w:val="en-US" w:eastAsia="zh-TW"/>
        </w:rPr>
      </w:pPr>
      <w:r w:rsidRPr="00FB75AD">
        <w:rPr>
          <w:rtl/>
          <w:lang w:val="en-US"/>
        </w:rPr>
        <w:tab/>
        <w:t xml:space="preserve">يكرر المحامي في رسالته الحجج التي ساقها في مذكرته المؤرخة </w:t>
      </w:r>
      <w:r w:rsidRPr="00FB75AD">
        <w:rPr>
          <w:szCs w:val="20"/>
          <w:rtl/>
          <w:lang w:val="en-US"/>
        </w:rPr>
        <w:t>27</w:t>
      </w:r>
      <w:r w:rsidRPr="00FB75AD">
        <w:rPr>
          <w:rtl/>
          <w:lang w:val="en-US"/>
        </w:rPr>
        <w:t xml:space="preserve"> تشرين الثاني/</w:t>
      </w:r>
      <w:r w:rsidR="001B0504" w:rsidRPr="00FB75AD">
        <w:rPr>
          <w:rFonts w:hint="cs"/>
          <w:rtl/>
          <w:lang w:val="en-US"/>
        </w:rPr>
        <w:t xml:space="preserve"> </w:t>
      </w:r>
      <w:r w:rsidRPr="00FB75AD">
        <w:rPr>
          <w:rtl/>
          <w:lang w:val="en-US"/>
        </w:rPr>
        <w:t>نوفمبر</w:t>
      </w:r>
      <w:r w:rsidR="001B0504" w:rsidRPr="00FB75AD">
        <w:rPr>
          <w:rFonts w:hint="cs"/>
          <w:rtl/>
          <w:lang w:val="en-US"/>
        </w:rPr>
        <w:t> </w:t>
      </w:r>
      <w:r w:rsidRPr="00FB75AD">
        <w:rPr>
          <w:szCs w:val="20"/>
          <w:rtl/>
          <w:lang w:val="en-US"/>
        </w:rPr>
        <w:t>2021</w:t>
      </w:r>
      <w:r w:rsidRPr="00FB75AD">
        <w:rPr>
          <w:rtl/>
          <w:lang w:val="en-US"/>
        </w:rPr>
        <w:t>، مشيرا</w:t>
      </w:r>
      <w:r w:rsidR="001B0504" w:rsidRPr="00FB75AD">
        <w:rPr>
          <w:rFonts w:hint="cs"/>
          <w:rtl/>
          <w:lang w:val="en-US"/>
        </w:rPr>
        <w:t>ً</w:t>
      </w:r>
      <w:r w:rsidRPr="00FB75AD">
        <w:rPr>
          <w:rtl/>
          <w:lang w:val="en-US"/>
        </w:rPr>
        <w:t xml:space="preserve"> إلى أن الدولة الطرف وممثليها يواصلون إنكار الطابع الملزم لآراء اللجنة. ويعيد المحامي تقديم قائمة تدابير الجبر المطلوبة، مضيفا</w:t>
      </w:r>
      <w:r w:rsidR="001B0504" w:rsidRPr="00FB75AD">
        <w:rPr>
          <w:rFonts w:hint="cs"/>
          <w:rtl/>
          <w:lang w:val="en-US"/>
        </w:rPr>
        <w:t>ً</w:t>
      </w:r>
      <w:r w:rsidRPr="00FB75AD">
        <w:rPr>
          <w:rtl/>
          <w:lang w:val="en-US"/>
        </w:rPr>
        <w:t xml:space="preserve"> أن مبلغ البيتكوين المطلوب منح صاحب البلاغ إياه يجب تغييره من </w:t>
      </w:r>
      <w:r w:rsidRPr="00FB75AD">
        <w:rPr>
          <w:szCs w:val="20"/>
          <w:rtl/>
          <w:lang w:val="en-US"/>
        </w:rPr>
        <w:t>0,05</w:t>
      </w:r>
      <w:r w:rsidRPr="00FB75AD">
        <w:rPr>
          <w:rtl/>
          <w:lang w:val="en-US"/>
        </w:rPr>
        <w:t xml:space="preserve"> إلى </w:t>
      </w:r>
      <w:r w:rsidRPr="00FB75AD">
        <w:rPr>
          <w:szCs w:val="20"/>
          <w:rtl/>
          <w:lang w:val="en-US"/>
        </w:rPr>
        <w:t>0,25</w:t>
      </w:r>
      <w:r w:rsidRPr="00FB75AD">
        <w:rPr>
          <w:rtl/>
          <w:lang w:val="en-US"/>
        </w:rPr>
        <w:t xml:space="preserve"> لأن القضية لا تزال جارية.</w:t>
      </w:r>
    </w:p>
    <w:p w14:paraId="638965F9" w14:textId="61115877" w:rsidR="008D21EA" w:rsidRPr="00FB75AD" w:rsidRDefault="008D21EA" w:rsidP="008D21EA">
      <w:pPr>
        <w:pStyle w:val="SingleTxtGA"/>
        <w:rPr>
          <w:szCs w:val="20"/>
          <w:lang w:val="en-US" w:eastAsia="zh-TW"/>
        </w:rPr>
      </w:pPr>
      <w:r w:rsidRPr="00FB75AD">
        <w:rPr>
          <w:b/>
          <w:bCs/>
          <w:rtl/>
          <w:lang w:val="en-US"/>
        </w:rPr>
        <w:t>تقييم اللجنة</w:t>
      </w:r>
      <w:r w:rsidR="00264402" w:rsidRPr="00FB75AD">
        <w:rPr>
          <w:rtl/>
        </w:rPr>
        <w:t>:</w:t>
      </w:r>
    </w:p>
    <w:p w14:paraId="2919ED95" w14:textId="32D5EBE8" w:rsidR="008D21EA" w:rsidRPr="00FB75AD" w:rsidRDefault="003548F1" w:rsidP="008D21EA">
      <w:pPr>
        <w:pStyle w:val="SingleTxtGA"/>
        <w:rPr>
          <w:szCs w:val="20"/>
          <w:lang w:val="en-US" w:eastAsia="zh-TW"/>
        </w:rPr>
      </w:pPr>
      <w:r w:rsidRPr="00FB75AD">
        <w:rPr>
          <w:rtl/>
          <w:lang w:val="en-US"/>
        </w:rPr>
        <w:tab/>
      </w:r>
      <w:r w:rsidR="008D21EA" w:rsidRPr="00FB75AD">
        <w:rPr>
          <w:rtl/>
          <w:lang w:val="en-US"/>
        </w:rPr>
        <w:t>(أ)</w:t>
      </w:r>
      <w:r w:rsidR="008D21EA" w:rsidRPr="00FB75AD">
        <w:rPr>
          <w:rtl/>
          <w:lang w:val="en-US"/>
        </w:rPr>
        <w:tab/>
        <w:t>الجبر الكامل والتعويض المناسب</w:t>
      </w:r>
      <w:r w:rsidR="00264402" w:rsidRPr="00FB75AD">
        <w:rPr>
          <w:rtl/>
        </w:rPr>
        <w:t>:</w:t>
      </w:r>
      <w:r w:rsidR="008D21EA" w:rsidRPr="00FB75AD">
        <w:rPr>
          <w:rtl/>
          <w:lang w:val="en-US"/>
        </w:rPr>
        <w:t xml:space="preserve"> باء؛</w:t>
      </w:r>
    </w:p>
    <w:p w14:paraId="62BC24B9" w14:textId="3857F62E" w:rsidR="008D21EA" w:rsidRPr="00FB75AD" w:rsidRDefault="003548F1" w:rsidP="008D21EA">
      <w:pPr>
        <w:pStyle w:val="SingleTxtGA"/>
        <w:rPr>
          <w:szCs w:val="20"/>
          <w:lang w:val="en-US" w:eastAsia="zh-TW"/>
        </w:rPr>
      </w:pPr>
      <w:r w:rsidRPr="00FB75AD">
        <w:rPr>
          <w:rtl/>
          <w:lang w:val="en-US"/>
        </w:rPr>
        <w:tab/>
      </w:r>
      <w:r w:rsidR="008D21EA" w:rsidRPr="00FB75AD">
        <w:rPr>
          <w:rtl/>
          <w:lang w:val="en-US"/>
        </w:rPr>
        <w:t>(ب)</w:t>
      </w:r>
      <w:r w:rsidR="008D21EA" w:rsidRPr="00FB75AD">
        <w:rPr>
          <w:rtl/>
          <w:lang w:val="en-US"/>
        </w:rPr>
        <w:tab/>
        <w:t>عدم التكرار</w:t>
      </w:r>
      <w:r w:rsidR="00264402" w:rsidRPr="00FB75AD">
        <w:rPr>
          <w:rtl/>
        </w:rPr>
        <w:t>:</w:t>
      </w:r>
      <w:r w:rsidR="008D21EA" w:rsidRPr="00FB75AD">
        <w:rPr>
          <w:rtl/>
          <w:lang w:val="en-US"/>
        </w:rPr>
        <w:t xml:space="preserve"> باء.</w:t>
      </w:r>
    </w:p>
    <w:p w14:paraId="66D9C4DE" w14:textId="141C8255" w:rsidR="008D21EA" w:rsidRPr="00FB75AD" w:rsidRDefault="008D21EA" w:rsidP="008D21EA">
      <w:pPr>
        <w:pStyle w:val="SingleTxtGA"/>
        <w:rPr>
          <w:szCs w:val="20"/>
          <w:lang w:val="en-US" w:eastAsia="zh-TW"/>
        </w:rPr>
      </w:pPr>
      <w:r w:rsidRPr="00FB75AD">
        <w:rPr>
          <w:b/>
          <w:bCs/>
          <w:rtl/>
          <w:lang w:val="en-US"/>
        </w:rPr>
        <w:t>قرار اللجنة</w:t>
      </w:r>
      <w:r w:rsidR="00264402" w:rsidRPr="00FB75AD">
        <w:rPr>
          <w:rtl/>
        </w:rPr>
        <w:t>:</w:t>
      </w:r>
      <w:r w:rsidRPr="00FB75AD">
        <w:rPr>
          <w:rtl/>
          <w:lang w:val="en-US"/>
        </w:rPr>
        <w:t xml:space="preserve"> مواصلة حوار المتابعة.</w:t>
      </w:r>
    </w:p>
    <w:p w14:paraId="4B62558F" w14:textId="2BC284FB" w:rsidR="008D21EA" w:rsidRPr="00FB75AD" w:rsidRDefault="003548F1" w:rsidP="003548F1">
      <w:pPr>
        <w:pStyle w:val="H23GA"/>
        <w:rPr>
          <w:szCs w:val="20"/>
          <w:lang w:val="en-US" w:eastAsia="zh-TW"/>
        </w:rPr>
      </w:pPr>
      <w:r w:rsidRPr="00FB75AD">
        <w:rPr>
          <w:szCs w:val="20"/>
          <w:rtl/>
          <w:lang w:val="en-US"/>
        </w:rPr>
        <w:tab/>
      </w:r>
      <w:r w:rsidR="008D21EA" w:rsidRPr="00FB75AD">
        <w:rPr>
          <w:szCs w:val="20"/>
          <w:rtl/>
          <w:lang w:val="en-US"/>
        </w:rPr>
        <w:t>5-</w:t>
      </w:r>
      <w:r w:rsidR="008D21EA" w:rsidRPr="00FB75AD">
        <w:rPr>
          <w:rtl/>
          <w:lang w:val="en-US"/>
        </w:rPr>
        <w:tab/>
        <w:t>إسبانيا</w:t>
      </w:r>
    </w:p>
    <w:p w14:paraId="167931C8" w14:textId="199F64EB" w:rsidR="008D21EA" w:rsidRPr="00FB75AD" w:rsidRDefault="008D21EA" w:rsidP="003548F1">
      <w:pPr>
        <w:pStyle w:val="H23GA"/>
        <w:rPr>
          <w:szCs w:val="20"/>
          <w:lang w:val="en-US" w:eastAsia="zh-TW"/>
        </w:rPr>
      </w:pPr>
      <w:bookmarkStart w:id="6" w:name="_Hlk157700317"/>
      <w:r w:rsidRPr="00FB75AD">
        <w:rPr>
          <w:rtl/>
          <w:lang w:val="en-US"/>
        </w:rPr>
        <w:tab/>
      </w:r>
      <w:r w:rsidRPr="00FB75AD">
        <w:rPr>
          <w:rtl/>
          <w:lang w:val="en-US"/>
        </w:rPr>
        <w:tab/>
        <w:t>البلاغ رقم</w:t>
      </w:r>
      <w:r w:rsidR="00C11BB0" w:rsidRPr="00FB75AD">
        <w:rPr>
          <w:rtl/>
          <w:lang w:val="en-US"/>
        </w:rPr>
        <w:t xml:space="preserve"> </w:t>
      </w:r>
      <w:r w:rsidR="003F6C52" w:rsidRPr="00FB75AD">
        <w:rPr>
          <w:rFonts w:hint="cs"/>
          <w:rtl/>
          <w:lang w:val="en-US"/>
        </w:rPr>
        <w:t>2844/2016</w:t>
      </w:r>
      <w:r w:rsidR="00C11BB0" w:rsidRPr="00FB75AD">
        <w:rPr>
          <w:rtl/>
          <w:lang w:val="en-US"/>
        </w:rPr>
        <w:t>،</w:t>
      </w:r>
      <w:r w:rsidRPr="00FB75AD">
        <w:rPr>
          <w:rtl/>
          <w:lang w:val="en-US"/>
        </w:rPr>
        <w:t xml:space="preserve"> </w:t>
      </w:r>
      <w:r w:rsidRPr="00FB75AD">
        <w:rPr>
          <w:i/>
          <w:iCs/>
          <w:rtl/>
          <w:lang w:val="en-US"/>
        </w:rPr>
        <w:t>غارسون</w:t>
      </w:r>
      <w:bookmarkEnd w:id="6"/>
    </w:p>
    <w:p w14:paraId="42778F89" w14:textId="10C11ACD" w:rsidR="008D21EA" w:rsidRPr="00FB75AD" w:rsidRDefault="008D21EA" w:rsidP="00264402">
      <w:pPr>
        <w:pStyle w:val="SingleTxtGA"/>
        <w:tabs>
          <w:tab w:val="clear" w:pos="1928"/>
          <w:tab w:val="clear" w:pos="2608"/>
          <w:tab w:val="clear" w:pos="3289"/>
          <w:tab w:val="clear" w:pos="3969"/>
          <w:tab w:val="left" w:pos="4252"/>
        </w:tabs>
        <w:ind w:left="4252" w:hanging="3005"/>
        <w:rPr>
          <w:szCs w:val="20"/>
          <w:lang w:val="en-US" w:eastAsia="zh-TW"/>
        </w:rPr>
      </w:pPr>
      <w:r w:rsidRPr="00FB75AD">
        <w:rPr>
          <w:b/>
          <w:bCs/>
          <w:rtl/>
          <w:lang w:val="en-US"/>
        </w:rPr>
        <w:t>تاريخ اعتماد الآراء</w:t>
      </w:r>
      <w:r w:rsidR="00264402" w:rsidRPr="00FB75AD">
        <w:rPr>
          <w:rtl/>
        </w:rPr>
        <w:t>:</w:t>
      </w:r>
      <w:r w:rsidRPr="00FB75AD">
        <w:rPr>
          <w:rtl/>
          <w:lang w:val="en-US"/>
        </w:rPr>
        <w:tab/>
      </w:r>
      <w:r w:rsidRPr="00FB75AD">
        <w:rPr>
          <w:szCs w:val="20"/>
          <w:rtl/>
          <w:lang w:val="en-US"/>
        </w:rPr>
        <w:t>13</w:t>
      </w:r>
      <w:r w:rsidRPr="00FB75AD">
        <w:rPr>
          <w:rtl/>
          <w:lang w:val="en-US"/>
        </w:rPr>
        <w:t xml:space="preserve"> تموز/يوليه </w:t>
      </w:r>
      <w:r w:rsidRPr="00FB75AD">
        <w:rPr>
          <w:szCs w:val="20"/>
          <w:rtl/>
          <w:lang w:val="en-US"/>
        </w:rPr>
        <w:t>2021</w:t>
      </w:r>
    </w:p>
    <w:p w14:paraId="7FCA585A" w14:textId="19CB5483" w:rsidR="008D21EA" w:rsidRPr="00FB75AD" w:rsidRDefault="008D21EA" w:rsidP="00264402">
      <w:pPr>
        <w:pStyle w:val="SingleTxtGA"/>
        <w:tabs>
          <w:tab w:val="clear" w:pos="1928"/>
          <w:tab w:val="clear" w:pos="2608"/>
          <w:tab w:val="clear" w:pos="3289"/>
          <w:tab w:val="clear" w:pos="3969"/>
          <w:tab w:val="left" w:pos="4252"/>
        </w:tabs>
        <w:ind w:left="4252" w:hanging="3005"/>
        <w:rPr>
          <w:szCs w:val="20"/>
          <w:lang w:val="en-US" w:eastAsia="zh-TW"/>
        </w:rPr>
      </w:pPr>
      <w:r w:rsidRPr="00FB75AD">
        <w:rPr>
          <w:b/>
          <w:bCs/>
          <w:rtl/>
          <w:lang w:val="en-US"/>
        </w:rPr>
        <w:t>المواد المنتهكة</w:t>
      </w:r>
      <w:r w:rsidR="00264402" w:rsidRPr="00FB75AD">
        <w:rPr>
          <w:rtl/>
        </w:rPr>
        <w:t>:</w:t>
      </w:r>
      <w:r w:rsidRPr="00FB75AD">
        <w:rPr>
          <w:rtl/>
          <w:lang w:val="en-US"/>
        </w:rPr>
        <w:tab/>
        <w:t xml:space="preserve">المواد </w:t>
      </w:r>
      <w:r w:rsidRPr="00FB75AD">
        <w:rPr>
          <w:szCs w:val="20"/>
          <w:rtl/>
          <w:lang w:val="en-US"/>
        </w:rPr>
        <w:t>14(</w:t>
      </w:r>
      <w:r w:rsidR="00C11BB0" w:rsidRPr="00FB75AD">
        <w:rPr>
          <w:szCs w:val="20"/>
          <w:rtl/>
          <w:lang w:val="en-US"/>
        </w:rPr>
        <w:t>1)</w:t>
      </w:r>
      <w:r w:rsidR="00C11BB0" w:rsidRPr="00FB75AD">
        <w:rPr>
          <w:rtl/>
          <w:lang w:val="en-US"/>
        </w:rPr>
        <w:t xml:space="preserve"> </w:t>
      </w:r>
      <w:r w:rsidRPr="00FB75AD">
        <w:rPr>
          <w:rtl/>
          <w:lang w:val="en-US"/>
        </w:rPr>
        <w:t>و</w:t>
      </w:r>
      <w:r w:rsidRPr="00FB75AD">
        <w:rPr>
          <w:szCs w:val="20"/>
          <w:rtl/>
          <w:lang w:val="en-US"/>
        </w:rPr>
        <w:t>(</w:t>
      </w:r>
      <w:r w:rsidR="00C11BB0" w:rsidRPr="00FB75AD">
        <w:rPr>
          <w:szCs w:val="20"/>
          <w:rtl/>
          <w:lang w:val="en-US"/>
        </w:rPr>
        <w:t>5)</w:t>
      </w:r>
      <w:r w:rsidR="00C11BB0" w:rsidRPr="00FB75AD">
        <w:rPr>
          <w:rtl/>
          <w:lang w:val="en-US"/>
        </w:rPr>
        <w:t xml:space="preserve"> </w:t>
      </w:r>
      <w:r w:rsidRPr="00FB75AD">
        <w:rPr>
          <w:rtl/>
          <w:lang w:val="en-US"/>
        </w:rPr>
        <w:t>و</w:t>
      </w:r>
      <w:r w:rsidRPr="00FB75AD">
        <w:rPr>
          <w:szCs w:val="20"/>
          <w:rtl/>
          <w:lang w:val="en-US"/>
        </w:rPr>
        <w:t>15</w:t>
      </w:r>
    </w:p>
    <w:p w14:paraId="10AC6FE1" w14:textId="680A2342" w:rsidR="008D21EA" w:rsidRPr="00FB75AD" w:rsidRDefault="008D21EA" w:rsidP="00264402">
      <w:pPr>
        <w:pStyle w:val="SingleTxtGA"/>
        <w:tabs>
          <w:tab w:val="clear" w:pos="1928"/>
          <w:tab w:val="clear" w:pos="2608"/>
          <w:tab w:val="clear" w:pos="3289"/>
          <w:tab w:val="clear" w:pos="3969"/>
          <w:tab w:val="left" w:pos="4252"/>
        </w:tabs>
        <w:ind w:left="4252" w:hanging="3005"/>
        <w:rPr>
          <w:szCs w:val="20"/>
          <w:lang w:val="en-US" w:eastAsia="zh-TW"/>
        </w:rPr>
      </w:pPr>
      <w:r w:rsidRPr="00FB75AD">
        <w:rPr>
          <w:b/>
          <w:bCs/>
          <w:rtl/>
          <w:lang w:val="en-US"/>
        </w:rPr>
        <w:t>إجراء الانتصاف</w:t>
      </w:r>
      <w:r w:rsidR="00264402" w:rsidRPr="00FB75AD">
        <w:rPr>
          <w:rtl/>
        </w:rPr>
        <w:t>:</w:t>
      </w:r>
      <w:r w:rsidRPr="00FB75AD">
        <w:rPr>
          <w:rtl/>
          <w:lang w:val="en-US"/>
        </w:rPr>
        <w:tab/>
        <w:t>سبيل انتصاف فعال، بأشكال منها</w:t>
      </w:r>
      <w:r w:rsidR="00264402" w:rsidRPr="00FB75AD">
        <w:rPr>
          <w:rtl/>
        </w:rPr>
        <w:t>:</w:t>
      </w:r>
      <w:r w:rsidRPr="00FB75AD">
        <w:rPr>
          <w:rtl/>
          <w:lang w:val="en-US"/>
        </w:rPr>
        <w:t xml:space="preserve"> (أ) شطب السجل الجنائي لصاحب البلاغ؛ و(ب) منح صاحب البلاغ تعويضاً كافياً عن الضرر الذي لحق به؛ و(ج) اتخاذ الخطوات اللازمة لمنع حدوث انتهاكات مماثلة في المستقبل.</w:t>
      </w:r>
    </w:p>
    <w:p w14:paraId="424CD5E4" w14:textId="1FF511CD" w:rsidR="008D21EA" w:rsidRPr="00FB75AD" w:rsidRDefault="008D21EA" w:rsidP="00264402">
      <w:pPr>
        <w:pStyle w:val="SingleTxtGA"/>
        <w:tabs>
          <w:tab w:val="clear" w:pos="1928"/>
          <w:tab w:val="clear" w:pos="2608"/>
          <w:tab w:val="clear" w:pos="3289"/>
          <w:tab w:val="clear" w:pos="3969"/>
          <w:tab w:val="left" w:pos="4252"/>
        </w:tabs>
        <w:ind w:left="4252" w:hanging="3005"/>
        <w:rPr>
          <w:szCs w:val="20"/>
          <w:lang w:val="en-US" w:eastAsia="zh-TW"/>
        </w:rPr>
      </w:pPr>
      <w:r w:rsidRPr="00FB75AD">
        <w:rPr>
          <w:b/>
          <w:bCs/>
          <w:rtl/>
          <w:lang w:val="en-US"/>
        </w:rPr>
        <w:t>الموضوع</w:t>
      </w:r>
      <w:r w:rsidR="00264402" w:rsidRPr="00FB75AD">
        <w:rPr>
          <w:rtl/>
        </w:rPr>
        <w:t>:</w:t>
      </w:r>
      <w:r w:rsidRPr="00FB75AD">
        <w:rPr>
          <w:rtl/>
          <w:lang w:val="en-US"/>
        </w:rPr>
        <w:tab/>
        <w:t>مقاضاة قاض بتهمة تعمد إساءة استعمال السلطة</w:t>
      </w:r>
    </w:p>
    <w:p w14:paraId="18B66CCA" w14:textId="218B2009" w:rsidR="008D21EA" w:rsidRPr="00FB75AD" w:rsidRDefault="008D21EA" w:rsidP="00264402">
      <w:pPr>
        <w:pStyle w:val="SingleTxtGA"/>
        <w:tabs>
          <w:tab w:val="clear" w:pos="1928"/>
          <w:tab w:val="clear" w:pos="2608"/>
          <w:tab w:val="clear" w:pos="3289"/>
          <w:tab w:val="clear" w:pos="3969"/>
          <w:tab w:val="left" w:pos="4252"/>
        </w:tabs>
        <w:ind w:left="4252" w:hanging="3005"/>
        <w:rPr>
          <w:szCs w:val="20"/>
          <w:lang w:val="en-US" w:eastAsia="zh-TW"/>
        </w:rPr>
      </w:pPr>
      <w:r w:rsidRPr="00FB75AD">
        <w:rPr>
          <w:b/>
          <w:bCs/>
          <w:rtl/>
          <w:lang w:val="en-US"/>
        </w:rPr>
        <w:t>معلومات المتابعة المقدمة سابقاً</w:t>
      </w:r>
      <w:r w:rsidR="00264402" w:rsidRPr="00FB75AD">
        <w:rPr>
          <w:rtl/>
        </w:rPr>
        <w:t>:</w:t>
      </w:r>
      <w:r w:rsidRPr="00FB75AD">
        <w:rPr>
          <w:rtl/>
          <w:lang w:val="en-US"/>
        </w:rPr>
        <w:tab/>
        <w:t>لا يوجد</w:t>
      </w:r>
    </w:p>
    <w:p w14:paraId="29783682" w14:textId="74774F92" w:rsidR="008D21EA" w:rsidRPr="00FB75AD" w:rsidRDefault="008D21EA" w:rsidP="00264402">
      <w:pPr>
        <w:pStyle w:val="SingleTxtGA"/>
        <w:tabs>
          <w:tab w:val="clear" w:pos="1928"/>
          <w:tab w:val="clear" w:pos="2608"/>
          <w:tab w:val="clear" w:pos="3289"/>
          <w:tab w:val="clear" w:pos="3969"/>
          <w:tab w:val="left" w:pos="4252"/>
        </w:tabs>
        <w:ind w:left="4252" w:hanging="3005"/>
        <w:rPr>
          <w:rStyle w:val="FootnoteReference"/>
          <w:szCs w:val="20"/>
          <w:lang w:val="en-US" w:eastAsia="zh-TW"/>
        </w:rPr>
      </w:pPr>
      <w:r w:rsidRPr="00FB75AD">
        <w:rPr>
          <w:b/>
          <w:bCs/>
          <w:rtl/>
          <w:lang w:val="en-US"/>
        </w:rPr>
        <w:lastRenderedPageBreak/>
        <w:t>المعلومات المقدمة من الدولة الطرف</w:t>
      </w:r>
      <w:r w:rsidR="00264402" w:rsidRPr="00FB75AD">
        <w:rPr>
          <w:rtl/>
        </w:rPr>
        <w:t>:</w:t>
      </w:r>
      <w:r w:rsidRPr="00FB75AD">
        <w:rPr>
          <w:rtl/>
          <w:lang w:val="en-US"/>
        </w:rPr>
        <w:tab/>
      </w:r>
      <w:r w:rsidRPr="00FB75AD">
        <w:rPr>
          <w:szCs w:val="20"/>
          <w:rtl/>
          <w:lang w:val="en-US"/>
        </w:rPr>
        <w:t>11</w:t>
      </w:r>
      <w:r w:rsidRPr="00FB75AD">
        <w:rPr>
          <w:rtl/>
          <w:lang w:val="en-US"/>
        </w:rPr>
        <w:t xml:space="preserve"> أيار/مايو </w:t>
      </w:r>
      <w:r w:rsidRPr="00FB75AD">
        <w:rPr>
          <w:szCs w:val="20"/>
          <w:rtl/>
          <w:lang w:val="en-US"/>
        </w:rPr>
        <w:t>2022</w:t>
      </w:r>
      <w:r w:rsidR="00C11BB0" w:rsidRPr="00FB75AD">
        <w:rPr>
          <w:vertAlign w:val="superscript"/>
          <w:rtl/>
          <w:lang w:val="en-US"/>
        </w:rPr>
        <w:t>(</w:t>
      </w:r>
      <w:r w:rsidR="00C11BB0" w:rsidRPr="00FB75AD">
        <w:rPr>
          <w:vertAlign w:val="superscript"/>
          <w:rtl/>
          <w:lang w:val="en-US"/>
        </w:rPr>
        <w:footnoteReference w:id="21"/>
      </w:r>
      <w:r w:rsidR="00C11BB0" w:rsidRPr="00FB75AD">
        <w:rPr>
          <w:vertAlign w:val="superscript"/>
          <w:rtl/>
          <w:lang w:val="en-US"/>
        </w:rPr>
        <w:t>)</w:t>
      </w:r>
    </w:p>
    <w:p w14:paraId="03CFEAC1" w14:textId="214549F4" w:rsidR="008D21EA" w:rsidRPr="00FB75AD" w:rsidRDefault="008D21EA" w:rsidP="008D21EA">
      <w:pPr>
        <w:pStyle w:val="SingleTxtGA"/>
        <w:rPr>
          <w:szCs w:val="20"/>
          <w:lang w:val="en-US" w:eastAsia="zh-TW"/>
        </w:rPr>
      </w:pPr>
      <w:r w:rsidRPr="00FB75AD">
        <w:rPr>
          <w:rtl/>
          <w:lang w:val="en-US"/>
        </w:rPr>
        <w:tab/>
        <w:t xml:space="preserve">تدفع الدولة الطرف بأن صاحب البلاغ لم يقدم أي طلب إلى السلطات الإسبانية المختصة لشطب سجله الجنائي أو للحصول على تعويض كاف عن الضرر الذي لحق به. وفيما يتعلق بالتوصية باتخاذ خطوات لمنع حدوث انتهاكات مماثلة في المستقبل، سلمت اللجنة، في الفقرة </w:t>
      </w:r>
      <w:r w:rsidRPr="00FB75AD">
        <w:rPr>
          <w:szCs w:val="20"/>
          <w:rtl/>
          <w:lang w:val="en-US"/>
        </w:rPr>
        <w:t>5-16</w:t>
      </w:r>
      <w:r w:rsidRPr="00FB75AD">
        <w:rPr>
          <w:rtl/>
          <w:lang w:val="en-US"/>
        </w:rPr>
        <w:t xml:space="preserve"> من آرائها، بأن تفسير صاحب البلاغ للتشريع الإجرائي الحالي المتعلق باعتراض الاتصالات بين المحامين وموكليهم تفسير صحيح. وفيما يتعلق بانتهاك المادة </w:t>
      </w:r>
      <w:r w:rsidRPr="00FB75AD">
        <w:rPr>
          <w:szCs w:val="20"/>
          <w:rtl/>
          <w:lang w:val="en-US"/>
        </w:rPr>
        <w:t>14(</w:t>
      </w:r>
      <w:r w:rsidR="00C11BB0" w:rsidRPr="00FB75AD">
        <w:rPr>
          <w:szCs w:val="20"/>
          <w:rtl/>
          <w:lang w:val="en-US"/>
        </w:rPr>
        <w:t>5)</w:t>
      </w:r>
      <w:r w:rsidR="00C11BB0" w:rsidRPr="00FB75AD">
        <w:rPr>
          <w:rtl/>
          <w:lang w:val="en-US"/>
        </w:rPr>
        <w:t xml:space="preserve"> </w:t>
      </w:r>
      <w:r w:rsidRPr="00FB75AD">
        <w:rPr>
          <w:rtl/>
          <w:lang w:val="en-US"/>
        </w:rPr>
        <w:t>من العهد، اعتبرت المحكمة الأوروبية لحقوق الإنسان المقاضاة أمام أعلى سلطة قضائية ضمانة كافية للمحاكمة العادلة. ولذلك تفهم الدولة الطرف أنه ليس مطلوبا</w:t>
      </w:r>
      <w:r w:rsidR="001B0504" w:rsidRPr="00FB75AD">
        <w:rPr>
          <w:rFonts w:hint="cs"/>
          <w:rtl/>
          <w:lang w:val="en-US"/>
        </w:rPr>
        <w:t>ً</w:t>
      </w:r>
      <w:r w:rsidRPr="00FB75AD">
        <w:rPr>
          <w:rtl/>
          <w:lang w:val="en-US"/>
        </w:rPr>
        <w:t xml:space="preserve"> منها اتخاذ أي إجراء أو تدبير معين في ضوء التوصية العامة للجنة بشأن عدم التكرار. وقد أولت الدولة الطرف الاعتبار الواجب للتوصية الواردة في آراء اللجنة وهي تطلب إغلاق إجراء المتابعة المتعلق بهذا البلاغ.</w:t>
      </w:r>
      <w:bookmarkStart w:id="7" w:name="_Hlk157700391"/>
      <w:bookmarkEnd w:id="7"/>
    </w:p>
    <w:p w14:paraId="5A6D9334" w14:textId="19480161" w:rsidR="008D21EA" w:rsidRPr="00FB75AD" w:rsidRDefault="008D21EA" w:rsidP="008D21EA">
      <w:pPr>
        <w:pStyle w:val="SingleTxtGA"/>
        <w:rPr>
          <w:rStyle w:val="FootnoteReference"/>
          <w:szCs w:val="20"/>
          <w:lang w:val="en-US" w:eastAsia="zh-TW"/>
        </w:rPr>
      </w:pPr>
      <w:r w:rsidRPr="00FB75AD">
        <w:rPr>
          <w:b/>
          <w:bCs/>
          <w:rtl/>
          <w:lang w:val="en-US"/>
        </w:rPr>
        <w:t>المعلومات المقدمة من محامي صاحب البلاغ</w:t>
      </w:r>
      <w:r w:rsidR="00264402" w:rsidRPr="00FB75AD">
        <w:rPr>
          <w:rtl/>
        </w:rPr>
        <w:t>:</w:t>
      </w:r>
      <w:r w:rsidRPr="00FB75AD">
        <w:rPr>
          <w:rtl/>
          <w:lang w:val="en-US"/>
        </w:rPr>
        <w:t xml:space="preserve"> </w:t>
      </w:r>
      <w:r w:rsidRPr="00FB75AD">
        <w:rPr>
          <w:szCs w:val="20"/>
          <w:rtl/>
          <w:lang w:val="en-US"/>
        </w:rPr>
        <w:t>26</w:t>
      </w:r>
      <w:r w:rsidRPr="00FB75AD">
        <w:rPr>
          <w:rtl/>
          <w:lang w:val="en-US"/>
        </w:rPr>
        <w:t xml:space="preserve"> أيلول/سبتمبر و</w:t>
      </w:r>
      <w:r w:rsidRPr="00FB75AD">
        <w:rPr>
          <w:szCs w:val="20"/>
          <w:rtl/>
          <w:lang w:val="en-US"/>
        </w:rPr>
        <w:t>2</w:t>
      </w:r>
      <w:r w:rsidRPr="00FB75AD">
        <w:rPr>
          <w:rtl/>
          <w:lang w:val="en-US"/>
        </w:rPr>
        <w:t xml:space="preserve"> تشرين الثاني/نوفمبر </w:t>
      </w:r>
      <w:r w:rsidRPr="00FB75AD">
        <w:rPr>
          <w:szCs w:val="20"/>
          <w:rtl/>
          <w:lang w:val="en-US"/>
        </w:rPr>
        <w:t>2022</w:t>
      </w:r>
      <w:r w:rsidR="00C11BB0" w:rsidRPr="00FB75AD">
        <w:rPr>
          <w:vertAlign w:val="superscript"/>
          <w:rtl/>
          <w:lang w:val="en-US"/>
        </w:rPr>
        <w:t>(</w:t>
      </w:r>
      <w:r w:rsidR="00C11BB0" w:rsidRPr="00FB75AD">
        <w:rPr>
          <w:vertAlign w:val="superscript"/>
          <w:rtl/>
          <w:lang w:val="en-US"/>
        </w:rPr>
        <w:footnoteReference w:id="22"/>
      </w:r>
      <w:r w:rsidR="00C11BB0" w:rsidRPr="00FB75AD">
        <w:rPr>
          <w:vertAlign w:val="superscript"/>
          <w:rtl/>
          <w:lang w:val="en-US"/>
        </w:rPr>
        <w:t>)</w:t>
      </w:r>
    </w:p>
    <w:p w14:paraId="1549D8D9" w14:textId="27D64732" w:rsidR="00C11BB0" w:rsidRPr="00FB75AD" w:rsidRDefault="008D21EA" w:rsidP="008D21EA">
      <w:pPr>
        <w:pStyle w:val="SingleTxtGA"/>
        <w:rPr>
          <w:szCs w:val="20"/>
          <w:lang w:val="en-US" w:eastAsia="zh-TW"/>
        </w:rPr>
      </w:pPr>
      <w:r w:rsidRPr="00FB75AD">
        <w:rPr>
          <w:rtl/>
          <w:lang w:val="en-US"/>
        </w:rPr>
        <w:tab/>
        <w:t>يؤكد المحامي أن الحجج التي قدمتها الدولة الطرف خاطئة تماما</w:t>
      </w:r>
      <w:r w:rsidR="001B0504" w:rsidRPr="00FB75AD">
        <w:rPr>
          <w:rFonts w:hint="cs"/>
          <w:rtl/>
          <w:lang w:val="en-US"/>
        </w:rPr>
        <w:t>ً</w:t>
      </w:r>
      <w:r w:rsidRPr="00FB75AD">
        <w:rPr>
          <w:rtl/>
          <w:lang w:val="en-US"/>
        </w:rPr>
        <w:t>، لا بل تقوض أيضا</w:t>
      </w:r>
      <w:r w:rsidR="001B0504" w:rsidRPr="00FB75AD">
        <w:rPr>
          <w:rFonts w:hint="cs"/>
          <w:rtl/>
          <w:lang w:val="en-US"/>
        </w:rPr>
        <w:t>ً</w:t>
      </w:r>
      <w:r w:rsidRPr="00FB75AD">
        <w:rPr>
          <w:rtl/>
          <w:lang w:val="en-US"/>
        </w:rPr>
        <w:t xml:space="preserve"> سلطة اللجنة. وينفي المحامي تأكيد الدولة الطرف بأنه لم يقدَّم إلى السلطات الإسبانية المختصة أي طلب لشطب السجل الجنائي لصاحب البلاغ ومنحه تعويضا</w:t>
      </w:r>
      <w:r w:rsidR="001B0504" w:rsidRPr="00FB75AD">
        <w:rPr>
          <w:rFonts w:hint="cs"/>
          <w:rtl/>
          <w:lang w:val="en-US"/>
        </w:rPr>
        <w:t>ً</w:t>
      </w:r>
      <w:r w:rsidRPr="00FB75AD">
        <w:rPr>
          <w:rtl/>
          <w:lang w:val="en-US"/>
        </w:rPr>
        <w:t xml:space="preserve"> عن الضرر الذي لحق به. ومن واجب الدولة الطرف، لا الضحية، ضمان امتثال الآراء. وطُلب من وزارة العدل صراحة تنفيذ كلا الإجراءين، في </w:t>
      </w:r>
      <w:r w:rsidRPr="00FB75AD">
        <w:rPr>
          <w:szCs w:val="20"/>
          <w:rtl/>
          <w:lang w:val="en-US"/>
        </w:rPr>
        <w:t>18</w:t>
      </w:r>
      <w:r w:rsidRPr="00FB75AD">
        <w:rPr>
          <w:rtl/>
          <w:lang w:val="en-US"/>
        </w:rPr>
        <w:t xml:space="preserve"> كانون الثاني/يناير و</w:t>
      </w:r>
      <w:r w:rsidRPr="00FB75AD">
        <w:rPr>
          <w:szCs w:val="20"/>
          <w:rtl/>
          <w:lang w:val="en-US"/>
        </w:rPr>
        <w:t>23</w:t>
      </w:r>
      <w:r w:rsidRPr="00FB75AD">
        <w:rPr>
          <w:rtl/>
          <w:lang w:val="en-US"/>
        </w:rPr>
        <w:t xml:space="preserve"> شباط/فبراير </w:t>
      </w:r>
      <w:r w:rsidRPr="00FB75AD">
        <w:rPr>
          <w:szCs w:val="20"/>
          <w:rtl/>
          <w:lang w:val="en-US"/>
        </w:rPr>
        <w:t>202</w:t>
      </w:r>
      <w:r w:rsidR="00C11BB0" w:rsidRPr="00FB75AD">
        <w:rPr>
          <w:szCs w:val="20"/>
          <w:rtl/>
          <w:lang w:val="en-US"/>
        </w:rPr>
        <w:t>2.</w:t>
      </w:r>
      <w:r w:rsidR="00C11BB0" w:rsidRPr="00FB75AD">
        <w:rPr>
          <w:rtl/>
          <w:lang w:val="en-US"/>
        </w:rPr>
        <w:t xml:space="preserve"> </w:t>
      </w:r>
      <w:r w:rsidRPr="00FB75AD">
        <w:rPr>
          <w:rtl/>
          <w:lang w:val="en-US"/>
        </w:rPr>
        <w:t xml:space="preserve">وفي </w:t>
      </w:r>
      <w:r w:rsidRPr="00FB75AD">
        <w:rPr>
          <w:szCs w:val="20"/>
          <w:rtl/>
          <w:lang w:val="en-US"/>
        </w:rPr>
        <w:t>26</w:t>
      </w:r>
      <w:r w:rsidRPr="00FB75AD">
        <w:rPr>
          <w:rtl/>
          <w:lang w:val="en-US"/>
        </w:rPr>
        <w:t xml:space="preserve"> نيسان/أبريل </w:t>
      </w:r>
      <w:r w:rsidRPr="00FB75AD">
        <w:rPr>
          <w:szCs w:val="20"/>
          <w:rtl/>
          <w:lang w:val="en-US"/>
        </w:rPr>
        <w:t>2022</w:t>
      </w:r>
      <w:r w:rsidRPr="00FB75AD">
        <w:rPr>
          <w:rtl/>
          <w:lang w:val="en-US"/>
        </w:rPr>
        <w:t>، ردت الوزارة باعتراض رسمي، وهو ما أثار شكوكاً حول صحة التوكيل الذي منحه صاحب البلاغ. وأوضح المحامي ذلك للدولة الطرف وقدم توكيلا</w:t>
      </w:r>
      <w:r w:rsidR="001B0504" w:rsidRPr="00FB75AD">
        <w:rPr>
          <w:rFonts w:hint="cs"/>
          <w:rtl/>
          <w:lang w:val="en-US"/>
        </w:rPr>
        <w:t>ً</w:t>
      </w:r>
      <w:r w:rsidRPr="00FB75AD">
        <w:rPr>
          <w:rtl/>
          <w:lang w:val="en-US"/>
        </w:rPr>
        <w:t xml:space="preserve"> رسميا</w:t>
      </w:r>
      <w:r w:rsidR="001B0504" w:rsidRPr="00FB75AD">
        <w:rPr>
          <w:rFonts w:hint="cs"/>
          <w:rtl/>
          <w:lang w:val="en-US"/>
        </w:rPr>
        <w:t>ً</w:t>
      </w:r>
      <w:r w:rsidRPr="00FB75AD">
        <w:rPr>
          <w:rtl/>
          <w:lang w:val="en-US"/>
        </w:rPr>
        <w:t xml:space="preserve"> آخر في </w:t>
      </w:r>
      <w:r w:rsidRPr="00FB75AD">
        <w:rPr>
          <w:szCs w:val="20"/>
          <w:rtl/>
          <w:lang w:val="en-US"/>
        </w:rPr>
        <w:t>3</w:t>
      </w:r>
      <w:r w:rsidRPr="00FB75AD">
        <w:rPr>
          <w:rtl/>
          <w:lang w:val="en-US"/>
        </w:rPr>
        <w:t xml:space="preserve"> أيار/مايو </w:t>
      </w:r>
      <w:r w:rsidRPr="00FB75AD">
        <w:rPr>
          <w:szCs w:val="20"/>
          <w:rtl/>
          <w:lang w:val="en-US"/>
        </w:rPr>
        <w:t>202</w:t>
      </w:r>
      <w:r w:rsidR="00C11BB0" w:rsidRPr="00FB75AD">
        <w:rPr>
          <w:szCs w:val="20"/>
          <w:rtl/>
          <w:lang w:val="en-US"/>
        </w:rPr>
        <w:t>2</w:t>
      </w:r>
      <w:r w:rsidR="00C11BB0" w:rsidRPr="00FB75AD">
        <w:rPr>
          <w:rtl/>
          <w:lang w:val="en-US"/>
        </w:rPr>
        <w:t>.</w:t>
      </w:r>
    </w:p>
    <w:p w14:paraId="140E7C6E" w14:textId="2ABF25D3" w:rsidR="008D21EA" w:rsidRPr="00FB75AD" w:rsidRDefault="008D21EA" w:rsidP="008D21EA">
      <w:pPr>
        <w:pStyle w:val="SingleTxtGA"/>
        <w:rPr>
          <w:szCs w:val="20"/>
          <w:lang w:val="en-US" w:eastAsia="zh-TW"/>
        </w:rPr>
      </w:pPr>
      <w:r w:rsidRPr="00FB75AD">
        <w:rPr>
          <w:rtl/>
          <w:lang w:val="en-US"/>
        </w:rPr>
        <w:tab/>
        <w:t xml:space="preserve">ويأسف المحامي لأن الدولة الطرف ترى أنه لا ينبغي لها أن تتخذ أي تدابير محددة لمنع حدوث انتهاكات مماثلة في المستقبل. وعلى الرغم من أن الدولة الطرف ترى أن تشريعاتها الإجرائية القائمة تشكل ضمانة بعدم التكرار كافية لمنع حدوث انتهاكات مماثلة للمادة </w:t>
      </w:r>
      <w:r w:rsidRPr="00FB75AD">
        <w:rPr>
          <w:szCs w:val="20"/>
          <w:rtl/>
          <w:lang w:val="en-US"/>
        </w:rPr>
        <w:t>15</w:t>
      </w:r>
      <w:r w:rsidRPr="00FB75AD">
        <w:rPr>
          <w:rtl/>
          <w:lang w:val="en-US"/>
        </w:rPr>
        <w:t xml:space="preserve"> من العهد، يلاحظ المحامي أن الفقرة</w:t>
      </w:r>
      <w:r w:rsidR="001B0504" w:rsidRPr="00FB75AD">
        <w:rPr>
          <w:rFonts w:hint="cs"/>
          <w:rtl/>
          <w:lang w:val="en-US"/>
        </w:rPr>
        <w:t> </w:t>
      </w:r>
      <w:r w:rsidRPr="00FB75AD">
        <w:rPr>
          <w:szCs w:val="20"/>
          <w:rtl/>
          <w:lang w:val="en-US"/>
        </w:rPr>
        <w:t>5-7</w:t>
      </w:r>
      <w:r w:rsidR="00C11BB0" w:rsidRPr="00FB75AD">
        <w:rPr>
          <w:vertAlign w:val="superscript"/>
          <w:rtl/>
          <w:lang w:val="en-US"/>
        </w:rPr>
        <w:t>(</w:t>
      </w:r>
      <w:r w:rsidR="00C11BB0" w:rsidRPr="00FB75AD">
        <w:rPr>
          <w:vertAlign w:val="superscript"/>
          <w:rtl/>
          <w:lang w:val="en-US"/>
        </w:rPr>
        <w:footnoteReference w:id="23"/>
      </w:r>
      <w:r w:rsidR="00C11BB0" w:rsidRPr="00FB75AD">
        <w:rPr>
          <w:vertAlign w:val="superscript"/>
          <w:rtl/>
          <w:lang w:val="en-US"/>
        </w:rPr>
        <w:t>)</w:t>
      </w:r>
      <w:r w:rsidRPr="00FB75AD">
        <w:rPr>
          <w:rtl/>
          <w:lang w:val="en-US"/>
        </w:rPr>
        <w:t xml:space="preserve"> من الآراء لا تشير تحديدا</w:t>
      </w:r>
      <w:r w:rsidR="001B0504" w:rsidRPr="00FB75AD">
        <w:rPr>
          <w:rFonts w:hint="cs"/>
          <w:rtl/>
          <w:lang w:val="en-US"/>
        </w:rPr>
        <w:t>ً</w:t>
      </w:r>
      <w:r w:rsidRPr="00FB75AD">
        <w:rPr>
          <w:rtl/>
          <w:lang w:val="en-US"/>
        </w:rPr>
        <w:t xml:space="preserve"> إلى ذلك التشريع، بل إلى القانون الموضوعي وجريمة المراوغة بموجب المادة </w:t>
      </w:r>
      <w:r w:rsidRPr="00FB75AD">
        <w:rPr>
          <w:szCs w:val="20"/>
          <w:rtl/>
          <w:lang w:val="en-US"/>
        </w:rPr>
        <w:t>446</w:t>
      </w:r>
      <w:r w:rsidRPr="00FB75AD">
        <w:rPr>
          <w:rtl/>
          <w:lang w:val="en-US"/>
        </w:rPr>
        <w:t xml:space="preserve"> من القانون الجنائي الإسباني. والواقع أن اللجنة رأت أن الحكم ليس صريحا</w:t>
      </w:r>
      <w:r w:rsidR="001B0504" w:rsidRPr="00FB75AD">
        <w:rPr>
          <w:rFonts w:hint="cs"/>
          <w:rtl/>
          <w:lang w:val="en-US"/>
        </w:rPr>
        <w:t>ً</w:t>
      </w:r>
      <w:r w:rsidRPr="00FB75AD">
        <w:rPr>
          <w:rtl/>
          <w:lang w:val="en-US"/>
        </w:rPr>
        <w:t xml:space="preserve"> وواضحا</w:t>
      </w:r>
      <w:r w:rsidR="001B0504" w:rsidRPr="00FB75AD">
        <w:rPr>
          <w:rFonts w:hint="cs"/>
          <w:rtl/>
          <w:lang w:val="en-US"/>
        </w:rPr>
        <w:t>ً</w:t>
      </w:r>
      <w:r w:rsidRPr="00FB75AD">
        <w:rPr>
          <w:rtl/>
          <w:lang w:val="en-US"/>
        </w:rPr>
        <w:t xml:space="preserve"> ودقيقا</w:t>
      </w:r>
      <w:r w:rsidR="001B0504" w:rsidRPr="00FB75AD">
        <w:rPr>
          <w:rFonts w:hint="cs"/>
          <w:rtl/>
          <w:lang w:val="en-US"/>
        </w:rPr>
        <w:t>ً</w:t>
      </w:r>
      <w:r w:rsidRPr="00FB75AD">
        <w:rPr>
          <w:rtl/>
          <w:lang w:val="en-US"/>
        </w:rPr>
        <w:t xml:space="preserve"> بما فيه الكفاية لامتثال مبدأ إمكانية التنبؤ بالقانون الجنائي. ولا تعرض ملاحظات المتابعة التي قدمتها الدولة الطرف أي قرار فيما يتعلق بانتهاك المادة </w:t>
      </w:r>
      <w:r w:rsidRPr="00FB75AD">
        <w:rPr>
          <w:szCs w:val="20"/>
          <w:rtl/>
          <w:lang w:val="en-US"/>
        </w:rPr>
        <w:t>14(</w:t>
      </w:r>
      <w:r w:rsidR="00C11BB0" w:rsidRPr="00FB75AD">
        <w:rPr>
          <w:szCs w:val="20"/>
          <w:rtl/>
          <w:lang w:val="en-US"/>
        </w:rPr>
        <w:t>1)</w:t>
      </w:r>
      <w:r w:rsidR="00C11BB0" w:rsidRPr="00FB75AD">
        <w:rPr>
          <w:rtl/>
          <w:lang w:val="en-US"/>
        </w:rPr>
        <w:t xml:space="preserve"> </w:t>
      </w:r>
      <w:r w:rsidRPr="00FB75AD">
        <w:rPr>
          <w:rtl/>
          <w:lang w:val="en-US"/>
        </w:rPr>
        <w:t xml:space="preserve">من العهد. ويبدو أن الدولة الطرف تقلل من مسؤوليتها بادعائها أن المحكمة الأوروبية لحقوق الإنسان اعتبرت أن صدور حكم وحيد من المحكمة العليا يشكل "ضمانة كافية لحقوق المتهم". وهذا أمر لا وجاهة له في سياق الآراء؛ ولم تحل المشكلة في الدولة الطرف بصدور حكم وحيد عن المحكمة العليا. ولا يتعارض حكم المحكمة الأوروبية مع آراء اللجنة فيما يتعلق بانتهاك حقوق صاحب البلاغ بموجب المادة </w:t>
      </w:r>
      <w:r w:rsidRPr="00FB75AD">
        <w:rPr>
          <w:szCs w:val="20"/>
          <w:rtl/>
          <w:lang w:val="en-US"/>
        </w:rPr>
        <w:t>14(</w:t>
      </w:r>
      <w:r w:rsidR="00C11BB0" w:rsidRPr="00FB75AD">
        <w:rPr>
          <w:szCs w:val="20"/>
          <w:rtl/>
          <w:lang w:val="en-US"/>
        </w:rPr>
        <w:t>1)</w:t>
      </w:r>
      <w:r w:rsidR="00C11BB0" w:rsidRPr="00FB75AD">
        <w:rPr>
          <w:rtl/>
          <w:lang w:val="en-US"/>
        </w:rPr>
        <w:t xml:space="preserve"> </w:t>
      </w:r>
      <w:r w:rsidRPr="00FB75AD">
        <w:rPr>
          <w:rtl/>
          <w:lang w:val="en-US"/>
        </w:rPr>
        <w:t>من العهد، ولا سيما عدم نزاهة القضاة والطابع التعسفي للإجراءات الجنائية التي واجهها صاحب البلاغ.</w:t>
      </w:r>
    </w:p>
    <w:p w14:paraId="0AC8349F" w14:textId="7759D0B2" w:rsidR="008D21EA" w:rsidRPr="00FB75AD" w:rsidRDefault="008D21EA" w:rsidP="008D21EA">
      <w:pPr>
        <w:pStyle w:val="SingleTxtGA"/>
        <w:rPr>
          <w:szCs w:val="20"/>
          <w:lang w:val="en-US" w:eastAsia="zh-TW"/>
        </w:rPr>
      </w:pPr>
      <w:r w:rsidRPr="00FB75AD">
        <w:rPr>
          <w:rtl/>
          <w:lang w:val="en-US"/>
        </w:rPr>
        <w:tab/>
        <w:t>ولا يعد نشر آراء اللجنة على الموقع الشبكي لوزارة العدل، دون تقديم أي سياق للقضية أو تقديم اعتذار علني لصاحب البلاغ عن انتهاك حقوقه، امتثالا</w:t>
      </w:r>
      <w:r w:rsidR="001B0504" w:rsidRPr="00FB75AD">
        <w:rPr>
          <w:rFonts w:hint="cs"/>
          <w:rtl/>
          <w:lang w:val="en-US"/>
        </w:rPr>
        <w:t>ً</w:t>
      </w:r>
      <w:r w:rsidRPr="00FB75AD">
        <w:rPr>
          <w:rtl/>
          <w:lang w:val="en-US"/>
        </w:rPr>
        <w:t xml:space="preserve"> لآراء اللجنة. ويعني نشر الآراء على نطاق واسع </w:t>
      </w:r>
      <w:r w:rsidRPr="00FB75AD">
        <w:rPr>
          <w:rtl/>
          <w:lang w:val="en-US"/>
        </w:rPr>
        <w:lastRenderedPageBreak/>
        <w:t xml:space="preserve">نشرها في </w:t>
      </w:r>
      <w:r w:rsidRPr="00FB75AD">
        <w:rPr>
          <w:i/>
          <w:iCs/>
          <w:rtl/>
          <w:lang w:val="en-US"/>
        </w:rPr>
        <w:t>الجريدة الرسمية</w:t>
      </w:r>
      <w:r w:rsidRPr="00FB75AD">
        <w:rPr>
          <w:rtl/>
          <w:lang w:val="en-US"/>
        </w:rPr>
        <w:t>. وبالنظر إلى التغطية الإعلامية الواسعة للقضية، التي أثرت سلبا</w:t>
      </w:r>
      <w:r w:rsidR="001B0504" w:rsidRPr="00FB75AD">
        <w:rPr>
          <w:rFonts w:hint="cs"/>
          <w:rtl/>
          <w:lang w:val="en-US"/>
        </w:rPr>
        <w:t>ً</w:t>
      </w:r>
      <w:r w:rsidRPr="00FB75AD">
        <w:rPr>
          <w:rtl/>
          <w:lang w:val="en-US"/>
        </w:rPr>
        <w:t xml:space="preserve"> على سمعة صاحب البلاغ، فإن تنفيذ الآراء يتطلب أيضا</w:t>
      </w:r>
      <w:r w:rsidR="001B0504" w:rsidRPr="00FB75AD">
        <w:rPr>
          <w:rFonts w:hint="cs"/>
          <w:rtl/>
          <w:lang w:val="en-US"/>
        </w:rPr>
        <w:t>ً</w:t>
      </w:r>
      <w:r w:rsidRPr="00FB75AD">
        <w:rPr>
          <w:rtl/>
          <w:lang w:val="en-US"/>
        </w:rPr>
        <w:t xml:space="preserve"> تغطية واسعة في مختلف وسائل الإعلام والقنوات الرسمية. وينبغي أيضا</w:t>
      </w:r>
      <w:r w:rsidR="001B0504" w:rsidRPr="00FB75AD">
        <w:rPr>
          <w:rFonts w:hint="cs"/>
          <w:rtl/>
          <w:lang w:val="en-US"/>
        </w:rPr>
        <w:t>ً</w:t>
      </w:r>
      <w:r w:rsidRPr="00FB75AD">
        <w:rPr>
          <w:rtl/>
          <w:lang w:val="en-US"/>
        </w:rPr>
        <w:t xml:space="preserve"> إبلاغ الآراء رسميا</w:t>
      </w:r>
      <w:r w:rsidR="001B0504" w:rsidRPr="00FB75AD">
        <w:rPr>
          <w:rFonts w:hint="cs"/>
          <w:rtl/>
          <w:lang w:val="en-US"/>
        </w:rPr>
        <w:t>ً</w:t>
      </w:r>
      <w:r w:rsidRPr="00FB75AD">
        <w:rPr>
          <w:rtl/>
          <w:lang w:val="en-US"/>
        </w:rPr>
        <w:t xml:space="preserve"> إلى جميع الهيئات المؤسسية في الفروع التنفيذية والتشريعية والقضائية، وإلى الهيئات القضائية الأخرى، والرابطات المهنية للمحامين والمستشارين، والمنظمات غير الحكومية. ويخلص المحامي إلى أن الدولة الطرف، باستثناء نشر آراء اللجنة على الموقع الرسمي على شبكة الإنترنت، لا تتخذ أي إجراء لامتثال الآراء فعليا</w:t>
      </w:r>
      <w:r w:rsidR="00B748CE" w:rsidRPr="00FB75AD">
        <w:rPr>
          <w:rFonts w:hint="cs"/>
          <w:rtl/>
          <w:lang w:val="en-US"/>
        </w:rPr>
        <w:t>ً</w:t>
      </w:r>
      <w:r w:rsidRPr="00FB75AD">
        <w:rPr>
          <w:rtl/>
          <w:lang w:val="en-US"/>
        </w:rPr>
        <w:t>. ويحث المحامي ال</w:t>
      </w:r>
      <w:r w:rsidR="00C11BB0" w:rsidRPr="00FB75AD">
        <w:rPr>
          <w:rtl/>
          <w:lang w:val="en-US"/>
        </w:rPr>
        <w:t>مقرر</w:t>
      </w:r>
      <w:r w:rsidRPr="00FB75AD">
        <w:rPr>
          <w:rtl/>
          <w:lang w:val="en-US"/>
        </w:rPr>
        <w:t>ين الخاصين للجنة المعنيين بمتابعة الآراء على إدانة عدم تنفيذ الدولة الطرف للآراء.</w:t>
      </w:r>
    </w:p>
    <w:p w14:paraId="3D977521" w14:textId="4414C6CB" w:rsidR="008D21EA" w:rsidRPr="00FB75AD" w:rsidRDefault="008D21EA" w:rsidP="008D21EA">
      <w:pPr>
        <w:pStyle w:val="SingleTxtGA"/>
        <w:rPr>
          <w:szCs w:val="20"/>
          <w:lang w:val="en-US" w:eastAsia="zh-TW"/>
        </w:rPr>
      </w:pPr>
      <w:r w:rsidRPr="00FB75AD">
        <w:rPr>
          <w:b/>
          <w:bCs/>
          <w:rtl/>
          <w:lang w:val="en-US"/>
        </w:rPr>
        <w:t>تقييم اللجنة</w:t>
      </w:r>
      <w:r w:rsidR="00264402" w:rsidRPr="00FB75AD">
        <w:rPr>
          <w:rtl/>
        </w:rPr>
        <w:t>:</w:t>
      </w:r>
      <w:r w:rsidRPr="00FB75AD">
        <w:rPr>
          <w:rtl/>
          <w:lang w:val="en-US"/>
        </w:rPr>
        <w:t xml:space="preserve"> </w:t>
      </w:r>
    </w:p>
    <w:p w14:paraId="767543C2" w14:textId="6B6B8997" w:rsidR="008D21EA" w:rsidRPr="00FB75AD" w:rsidRDefault="003548F1" w:rsidP="008D21EA">
      <w:pPr>
        <w:pStyle w:val="SingleTxtGA"/>
        <w:rPr>
          <w:szCs w:val="20"/>
          <w:lang w:val="en-US" w:eastAsia="zh-TW"/>
        </w:rPr>
      </w:pPr>
      <w:r w:rsidRPr="00FB75AD">
        <w:rPr>
          <w:rtl/>
          <w:lang w:val="en-US"/>
        </w:rPr>
        <w:tab/>
      </w:r>
      <w:r w:rsidR="008D21EA" w:rsidRPr="00FB75AD">
        <w:rPr>
          <w:rtl/>
          <w:lang w:val="en-US"/>
        </w:rPr>
        <w:t>(أ)</w:t>
      </w:r>
      <w:r w:rsidR="008D21EA" w:rsidRPr="00FB75AD">
        <w:rPr>
          <w:rtl/>
          <w:lang w:val="en-US"/>
        </w:rPr>
        <w:tab/>
        <w:t>شطب السجل الجنائي لصاحب البلاغ</w:t>
      </w:r>
      <w:r w:rsidR="00264402" w:rsidRPr="00FB75AD">
        <w:rPr>
          <w:rtl/>
        </w:rPr>
        <w:t>:</w:t>
      </w:r>
      <w:r w:rsidR="008D21EA" w:rsidRPr="00FB75AD">
        <w:rPr>
          <w:rtl/>
          <w:lang w:val="en-US"/>
        </w:rPr>
        <w:t xml:space="preserve"> جيم؛</w:t>
      </w:r>
    </w:p>
    <w:p w14:paraId="0BB56257" w14:textId="33B39C9C" w:rsidR="008D21EA" w:rsidRPr="00FB75AD" w:rsidRDefault="003548F1" w:rsidP="008D21EA">
      <w:pPr>
        <w:pStyle w:val="SingleTxtGA"/>
        <w:rPr>
          <w:szCs w:val="20"/>
          <w:lang w:val="en-US" w:eastAsia="zh-TW"/>
        </w:rPr>
      </w:pPr>
      <w:r w:rsidRPr="00FB75AD">
        <w:rPr>
          <w:rtl/>
          <w:lang w:val="en-US"/>
        </w:rPr>
        <w:tab/>
      </w:r>
      <w:r w:rsidR="008D21EA" w:rsidRPr="00FB75AD">
        <w:rPr>
          <w:rtl/>
          <w:lang w:val="en-US"/>
        </w:rPr>
        <w:t>(ب)</w:t>
      </w:r>
      <w:r w:rsidR="008D21EA" w:rsidRPr="00FB75AD">
        <w:rPr>
          <w:rtl/>
          <w:lang w:val="en-US"/>
        </w:rPr>
        <w:tab/>
        <w:t>تقديم تعويض مناسب</w:t>
      </w:r>
      <w:r w:rsidR="00264402" w:rsidRPr="00FB75AD">
        <w:rPr>
          <w:rtl/>
        </w:rPr>
        <w:t>:</w:t>
      </w:r>
      <w:r w:rsidR="008D21EA" w:rsidRPr="00FB75AD">
        <w:rPr>
          <w:rtl/>
          <w:lang w:val="en-US"/>
        </w:rPr>
        <w:t xml:space="preserve"> جيم؛</w:t>
      </w:r>
    </w:p>
    <w:p w14:paraId="488A56A2" w14:textId="6E369FD6" w:rsidR="008D21EA" w:rsidRPr="00FB75AD" w:rsidRDefault="003548F1" w:rsidP="008D21EA">
      <w:pPr>
        <w:pStyle w:val="SingleTxtGA"/>
        <w:rPr>
          <w:szCs w:val="20"/>
          <w:lang w:val="en-US" w:eastAsia="zh-TW"/>
        </w:rPr>
      </w:pPr>
      <w:r w:rsidRPr="00FB75AD">
        <w:rPr>
          <w:rtl/>
          <w:lang w:val="en-US"/>
        </w:rPr>
        <w:tab/>
      </w:r>
      <w:r w:rsidR="008D21EA" w:rsidRPr="00FB75AD">
        <w:rPr>
          <w:rtl/>
          <w:lang w:val="en-US"/>
        </w:rPr>
        <w:t>(ج)</w:t>
      </w:r>
      <w:r w:rsidR="008D21EA" w:rsidRPr="00FB75AD">
        <w:rPr>
          <w:rtl/>
          <w:lang w:val="en-US"/>
        </w:rPr>
        <w:tab/>
        <w:t>عدم التكرار</w:t>
      </w:r>
      <w:r w:rsidR="00264402" w:rsidRPr="00FB75AD">
        <w:rPr>
          <w:rtl/>
        </w:rPr>
        <w:t>:</w:t>
      </w:r>
      <w:r w:rsidR="008D21EA" w:rsidRPr="00FB75AD">
        <w:rPr>
          <w:rtl/>
          <w:lang w:val="en-US"/>
        </w:rPr>
        <w:t xml:space="preserve"> هاء.</w:t>
      </w:r>
    </w:p>
    <w:p w14:paraId="7E2A5313" w14:textId="273F8664" w:rsidR="008D21EA" w:rsidRPr="00FB75AD" w:rsidRDefault="008D21EA" w:rsidP="008D21EA">
      <w:pPr>
        <w:pStyle w:val="SingleTxtGA"/>
        <w:rPr>
          <w:b/>
          <w:spacing w:val="-2"/>
          <w:szCs w:val="20"/>
          <w:lang w:val="en-US" w:eastAsia="zh-TW"/>
        </w:rPr>
      </w:pPr>
      <w:r w:rsidRPr="00FB75AD">
        <w:rPr>
          <w:bCs/>
          <w:spacing w:val="-2"/>
          <w:rtl/>
          <w:lang w:val="en-US"/>
        </w:rPr>
        <w:t>قرار اللجنة</w:t>
      </w:r>
      <w:r w:rsidR="00264402" w:rsidRPr="00FB75AD">
        <w:rPr>
          <w:spacing w:val="-2"/>
          <w:rtl/>
        </w:rPr>
        <w:t>:</w:t>
      </w:r>
      <w:r w:rsidRPr="00FB75AD">
        <w:rPr>
          <w:bCs/>
          <w:spacing w:val="-2"/>
          <w:rtl/>
          <w:lang w:val="en-US"/>
        </w:rPr>
        <w:t xml:space="preserve"> </w:t>
      </w:r>
      <w:r w:rsidRPr="00FB75AD">
        <w:rPr>
          <w:b/>
          <w:spacing w:val="-2"/>
          <w:rtl/>
          <w:lang w:val="en-US"/>
        </w:rPr>
        <w:t>مواصلة حوار المتابعة. ستواصل اللجنة حوار المتابعة مع الدولة الطرف في إطار التقارير الدورية التي تقدمها الدولة الطرف إلى اللجنة عن التدابير المعتمدة لإعمال الحقوق المعترف بها في العهد.</w:t>
      </w:r>
    </w:p>
    <w:p w14:paraId="38C1F205" w14:textId="3A89F2C1" w:rsidR="008D21EA" w:rsidRPr="00FB75AD" w:rsidRDefault="0074432C" w:rsidP="0074432C">
      <w:pPr>
        <w:pStyle w:val="H23GA"/>
        <w:rPr>
          <w:szCs w:val="20"/>
          <w:lang w:val="en-US" w:eastAsia="zh-TW"/>
        </w:rPr>
      </w:pPr>
      <w:r w:rsidRPr="00FB75AD">
        <w:rPr>
          <w:szCs w:val="20"/>
          <w:rtl/>
          <w:lang w:val="en-US"/>
        </w:rPr>
        <w:tab/>
      </w:r>
      <w:r w:rsidR="008D21EA" w:rsidRPr="00FB75AD">
        <w:rPr>
          <w:szCs w:val="20"/>
          <w:rtl/>
          <w:lang w:val="en-US"/>
        </w:rPr>
        <w:t>6-</w:t>
      </w:r>
      <w:r w:rsidR="008D21EA" w:rsidRPr="00FB75AD">
        <w:rPr>
          <w:rtl/>
          <w:lang w:val="en-US"/>
        </w:rPr>
        <w:tab/>
        <w:t>تركمانستان</w:t>
      </w:r>
    </w:p>
    <w:p w14:paraId="036E75DF" w14:textId="66F36487" w:rsidR="008D21EA" w:rsidRPr="00FB75AD" w:rsidRDefault="008D21EA" w:rsidP="0074432C">
      <w:pPr>
        <w:pStyle w:val="H23GA"/>
        <w:rPr>
          <w:szCs w:val="20"/>
          <w:lang w:val="en-US" w:eastAsia="zh-TW"/>
        </w:rPr>
      </w:pPr>
      <w:r w:rsidRPr="00FB75AD">
        <w:rPr>
          <w:rtl/>
          <w:lang w:val="en-US"/>
        </w:rPr>
        <w:tab/>
      </w:r>
      <w:r w:rsidRPr="00FB75AD">
        <w:rPr>
          <w:rtl/>
          <w:lang w:val="en-US"/>
        </w:rPr>
        <w:tab/>
        <w:t>البلاغ رقم</w:t>
      </w:r>
      <w:r w:rsidR="00C11BB0" w:rsidRPr="00FB75AD">
        <w:rPr>
          <w:rtl/>
          <w:lang w:val="en-US"/>
        </w:rPr>
        <w:t xml:space="preserve"> 2227/2012،</w:t>
      </w:r>
      <w:r w:rsidRPr="00FB75AD">
        <w:rPr>
          <w:rtl/>
          <w:lang w:val="en-US"/>
        </w:rPr>
        <w:t xml:space="preserve"> </w:t>
      </w:r>
      <w:r w:rsidRPr="00FB75AD">
        <w:rPr>
          <w:i/>
          <w:iCs/>
          <w:rtl/>
          <w:lang w:val="en-US"/>
        </w:rPr>
        <w:t>يجيندوردييف</w:t>
      </w:r>
    </w:p>
    <w:p w14:paraId="3FACAD80" w14:textId="44977041" w:rsidR="008D21EA" w:rsidRPr="00FB75AD" w:rsidRDefault="008D21EA" w:rsidP="00264402">
      <w:pPr>
        <w:pStyle w:val="SingleTxtGA"/>
        <w:tabs>
          <w:tab w:val="clear" w:pos="1928"/>
          <w:tab w:val="clear" w:pos="2608"/>
          <w:tab w:val="clear" w:pos="3289"/>
          <w:tab w:val="clear" w:pos="3969"/>
          <w:tab w:val="left" w:pos="4252"/>
        </w:tabs>
        <w:ind w:left="4252" w:hanging="3005"/>
        <w:rPr>
          <w:szCs w:val="20"/>
          <w:lang w:val="en-US" w:eastAsia="zh-TW"/>
        </w:rPr>
      </w:pPr>
      <w:r w:rsidRPr="00FB75AD">
        <w:rPr>
          <w:b/>
          <w:bCs/>
          <w:rtl/>
          <w:lang w:val="en-US"/>
        </w:rPr>
        <w:t>تاريخ اعتماد الآراء</w:t>
      </w:r>
      <w:r w:rsidR="00264402" w:rsidRPr="00FB75AD">
        <w:rPr>
          <w:rtl/>
        </w:rPr>
        <w:t>:</w:t>
      </w:r>
      <w:r w:rsidRPr="00FB75AD">
        <w:rPr>
          <w:rtl/>
          <w:lang w:val="en-US"/>
        </w:rPr>
        <w:tab/>
      </w:r>
      <w:r w:rsidRPr="00FB75AD">
        <w:rPr>
          <w:szCs w:val="20"/>
          <w:rtl/>
          <w:lang w:val="en-US"/>
        </w:rPr>
        <w:t>14</w:t>
      </w:r>
      <w:r w:rsidRPr="00FB75AD">
        <w:rPr>
          <w:rtl/>
          <w:lang w:val="en-US"/>
        </w:rPr>
        <w:t xml:space="preserve"> تموز/يوليه </w:t>
      </w:r>
      <w:r w:rsidRPr="00FB75AD">
        <w:rPr>
          <w:szCs w:val="20"/>
          <w:rtl/>
          <w:lang w:val="en-US"/>
        </w:rPr>
        <w:t>2016</w:t>
      </w:r>
    </w:p>
    <w:p w14:paraId="3D3F819A" w14:textId="03B8F14F" w:rsidR="00C11BB0" w:rsidRPr="00FB75AD" w:rsidRDefault="008D21EA" w:rsidP="00264402">
      <w:pPr>
        <w:pStyle w:val="SingleTxtGA"/>
        <w:tabs>
          <w:tab w:val="clear" w:pos="1928"/>
          <w:tab w:val="clear" w:pos="2608"/>
          <w:tab w:val="clear" w:pos="3289"/>
          <w:tab w:val="clear" w:pos="3969"/>
          <w:tab w:val="left" w:pos="4252"/>
        </w:tabs>
        <w:ind w:left="4252" w:hanging="3005"/>
        <w:rPr>
          <w:szCs w:val="20"/>
          <w:lang w:val="en-US" w:eastAsia="zh-TW"/>
        </w:rPr>
      </w:pPr>
      <w:r w:rsidRPr="00FB75AD">
        <w:rPr>
          <w:b/>
          <w:bCs/>
          <w:rtl/>
          <w:lang w:val="en-US"/>
        </w:rPr>
        <w:t>المواد المنتهكة</w:t>
      </w:r>
      <w:r w:rsidR="00264402" w:rsidRPr="00FB75AD">
        <w:rPr>
          <w:rtl/>
        </w:rPr>
        <w:t>:</w:t>
      </w:r>
      <w:r w:rsidRPr="00FB75AD">
        <w:rPr>
          <w:rtl/>
          <w:lang w:val="en-US"/>
        </w:rPr>
        <w:tab/>
        <w:t xml:space="preserve">المواد </w:t>
      </w:r>
      <w:r w:rsidRPr="00FB75AD">
        <w:rPr>
          <w:szCs w:val="20"/>
          <w:rtl/>
          <w:lang w:val="en-US"/>
        </w:rPr>
        <w:t>7</w:t>
      </w:r>
      <w:r w:rsidRPr="00FB75AD">
        <w:rPr>
          <w:rtl/>
          <w:lang w:val="en-US"/>
        </w:rPr>
        <w:t xml:space="preserve"> و</w:t>
      </w:r>
      <w:r w:rsidRPr="00FB75AD">
        <w:rPr>
          <w:szCs w:val="20"/>
          <w:rtl/>
          <w:lang w:val="en-US"/>
        </w:rPr>
        <w:t>10(</w:t>
      </w:r>
      <w:r w:rsidR="00C11BB0" w:rsidRPr="00FB75AD">
        <w:rPr>
          <w:szCs w:val="20"/>
          <w:rtl/>
          <w:lang w:val="en-US"/>
        </w:rPr>
        <w:t>1)</w:t>
      </w:r>
      <w:r w:rsidR="00C11BB0" w:rsidRPr="00FB75AD">
        <w:rPr>
          <w:rtl/>
          <w:lang w:val="en-US"/>
        </w:rPr>
        <w:t xml:space="preserve"> </w:t>
      </w:r>
      <w:r w:rsidRPr="00FB75AD">
        <w:rPr>
          <w:rtl/>
          <w:lang w:val="en-US"/>
        </w:rPr>
        <w:t>و</w:t>
      </w:r>
      <w:r w:rsidRPr="00FB75AD">
        <w:rPr>
          <w:szCs w:val="20"/>
          <w:rtl/>
          <w:lang w:val="en-US"/>
        </w:rPr>
        <w:t>18(</w:t>
      </w:r>
      <w:r w:rsidR="00C11BB0" w:rsidRPr="00FB75AD">
        <w:rPr>
          <w:szCs w:val="20"/>
          <w:rtl/>
          <w:lang w:val="en-US"/>
        </w:rPr>
        <w:t>1)</w:t>
      </w:r>
    </w:p>
    <w:p w14:paraId="42CF6893" w14:textId="4C6B6EF8" w:rsidR="008D21EA" w:rsidRPr="00FB75AD" w:rsidRDefault="008D21EA" w:rsidP="00264402">
      <w:pPr>
        <w:pStyle w:val="SingleTxtGA"/>
        <w:tabs>
          <w:tab w:val="clear" w:pos="1928"/>
          <w:tab w:val="clear" w:pos="2608"/>
          <w:tab w:val="clear" w:pos="3289"/>
          <w:tab w:val="clear" w:pos="3969"/>
          <w:tab w:val="left" w:pos="4252"/>
        </w:tabs>
        <w:ind w:left="4252" w:hanging="3005"/>
        <w:rPr>
          <w:spacing w:val="-2"/>
          <w:szCs w:val="20"/>
          <w:lang w:val="en-US" w:eastAsia="zh-TW"/>
        </w:rPr>
      </w:pPr>
      <w:r w:rsidRPr="00FB75AD">
        <w:rPr>
          <w:b/>
          <w:bCs/>
          <w:spacing w:val="-2"/>
          <w:rtl/>
          <w:lang w:val="en-US"/>
        </w:rPr>
        <w:t>إجراء الانتصاف</w:t>
      </w:r>
      <w:r w:rsidR="00264402" w:rsidRPr="00FB75AD">
        <w:rPr>
          <w:spacing w:val="-2"/>
          <w:rtl/>
        </w:rPr>
        <w:t>:</w:t>
      </w:r>
      <w:r w:rsidRPr="00FB75AD">
        <w:rPr>
          <w:spacing w:val="-2"/>
          <w:rtl/>
          <w:lang w:val="en-US"/>
        </w:rPr>
        <w:tab/>
        <w:t>سبيل انتصاف فعال، بأشكال منها</w:t>
      </w:r>
      <w:r w:rsidR="00264402" w:rsidRPr="00FB75AD">
        <w:rPr>
          <w:spacing w:val="-2"/>
          <w:rtl/>
        </w:rPr>
        <w:t>:</w:t>
      </w:r>
      <w:r w:rsidRPr="00FB75AD">
        <w:rPr>
          <w:spacing w:val="-2"/>
          <w:rtl/>
          <w:lang w:val="en-US"/>
        </w:rPr>
        <w:t xml:space="preserve"> (أ) إجراء تحقيق نزيه وفعال وشامل في ادعاءات صاحب البلاغ بحدوث انتهاكات للمادة </w:t>
      </w:r>
      <w:r w:rsidRPr="00FB75AD">
        <w:rPr>
          <w:spacing w:val="-2"/>
          <w:szCs w:val="20"/>
          <w:rtl/>
          <w:lang w:val="en-US"/>
        </w:rPr>
        <w:t>7</w:t>
      </w:r>
      <w:r w:rsidRPr="00FB75AD">
        <w:rPr>
          <w:spacing w:val="-2"/>
          <w:rtl/>
          <w:lang w:val="en-US"/>
        </w:rPr>
        <w:t xml:space="preserve">؛ و(ب) مقاضاة أي شخص أو أشخاص يتبين أنهم مسؤولون عن ارتكاب تلك الانتهاكات؛ و(ج) شطب السجل الجنائي لصاحب البلاغ؛ و(د) تقديم تعويض مناسب له؛ و(ه) تجنب حدوث انتهاكات مماثلة في المستقبل بتنقيح تشريعات الدولة الطرف وفقاً لالتزامها بموجب المادة </w:t>
      </w:r>
      <w:r w:rsidRPr="00FB75AD">
        <w:rPr>
          <w:spacing w:val="-2"/>
          <w:szCs w:val="20"/>
          <w:rtl/>
          <w:lang w:val="en-US"/>
        </w:rPr>
        <w:t>2(2</w:t>
      </w:r>
      <w:r w:rsidR="00C11BB0" w:rsidRPr="00FB75AD">
        <w:rPr>
          <w:spacing w:val="-2"/>
          <w:szCs w:val="20"/>
          <w:rtl/>
          <w:lang w:val="en-US"/>
        </w:rPr>
        <w:t>)</w:t>
      </w:r>
      <w:r w:rsidR="00C11BB0" w:rsidRPr="00FB75AD">
        <w:rPr>
          <w:spacing w:val="-2"/>
          <w:rtl/>
          <w:lang w:val="en-US"/>
        </w:rPr>
        <w:t xml:space="preserve">، </w:t>
      </w:r>
      <w:r w:rsidRPr="00FB75AD">
        <w:rPr>
          <w:spacing w:val="-2"/>
          <w:rtl/>
          <w:lang w:val="en-US"/>
        </w:rPr>
        <w:t>ولا سيما قانون الواجب العسكري والخدمة العسكرية، بصيغته المعدلة في</w:t>
      </w:r>
      <w:r w:rsidR="002D7DB1" w:rsidRPr="00FB75AD">
        <w:rPr>
          <w:rFonts w:hint="cs"/>
          <w:spacing w:val="-2"/>
          <w:rtl/>
          <w:lang w:val="en-US"/>
        </w:rPr>
        <w:t> </w:t>
      </w:r>
      <w:r w:rsidRPr="00FB75AD">
        <w:rPr>
          <w:spacing w:val="-2"/>
          <w:szCs w:val="20"/>
          <w:rtl/>
          <w:lang w:val="en-US"/>
        </w:rPr>
        <w:t>25</w:t>
      </w:r>
      <w:r w:rsidRPr="00FB75AD">
        <w:rPr>
          <w:spacing w:val="-2"/>
          <w:rtl/>
          <w:lang w:val="en-US"/>
        </w:rPr>
        <w:t xml:space="preserve"> أيلول/سبتمبر </w:t>
      </w:r>
      <w:r w:rsidRPr="00FB75AD">
        <w:rPr>
          <w:spacing w:val="-2"/>
          <w:szCs w:val="20"/>
          <w:rtl/>
          <w:lang w:val="en-US"/>
        </w:rPr>
        <w:t>2010</w:t>
      </w:r>
      <w:r w:rsidRPr="00FB75AD">
        <w:rPr>
          <w:spacing w:val="-2"/>
          <w:rtl/>
          <w:lang w:val="en-US"/>
        </w:rPr>
        <w:t xml:space="preserve">، بغية كفالة الضمان الفعال للحق في الاستنكاف الضميري بموجب المادة </w:t>
      </w:r>
      <w:r w:rsidRPr="00FB75AD">
        <w:rPr>
          <w:spacing w:val="-2"/>
          <w:szCs w:val="20"/>
          <w:rtl/>
          <w:lang w:val="en-US"/>
        </w:rPr>
        <w:t>18(</w:t>
      </w:r>
      <w:r w:rsidR="00C11BB0" w:rsidRPr="00FB75AD">
        <w:rPr>
          <w:spacing w:val="-2"/>
          <w:szCs w:val="20"/>
          <w:rtl/>
          <w:lang w:val="en-US"/>
        </w:rPr>
        <w:t>1)</w:t>
      </w:r>
      <w:r w:rsidR="00C11BB0" w:rsidRPr="00FB75AD">
        <w:rPr>
          <w:spacing w:val="-2"/>
          <w:rtl/>
          <w:lang w:val="en-US"/>
        </w:rPr>
        <w:t xml:space="preserve"> </w:t>
      </w:r>
      <w:r w:rsidRPr="00FB75AD">
        <w:rPr>
          <w:spacing w:val="-2"/>
          <w:rtl/>
          <w:lang w:val="en-US"/>
        </w:rPr>
        <w:t>من العهد.</w:t>
      </w:r>
      <w:bookmarkStart w:id="8" w:name="_Hlk126233038"/>
      <w:bookmarkEnd w:id="8"/>
    </w:p>
    <w:p w14:paraId="29EB96F6" w14:textId="1792382A" w:rsidR="008D21EA" w:rsidRPr="00FB75AD" w:rsidRDefault="008D21EA" w:rsidP="00264402">
      <w:pPr>
        <w:pStyle w:val="SingleTxtGA"/>
        <w:tabs>
          <w:tab w:val="clear" w:pos="1928"/>
          <w:tab w:val="clear" w:pos="2608"/>
          <w:tab w:val="clear" w:pos="3289"/>
          <w:tab w:val="clear" w:pos="3969"/>
          <w:tab w:val="left" w:pos="4252"/>
        </w:tabs>
        <w:ind w:left="4252" w:hanging="3005"/>
        <w:rPr>
          <w:szCs w:val="20"/>
          <w:lang w:val="en-US" w:eastAsia="zh-TW"/>
        </w:rPr>
      </w:pPr>
      <w:r w:rsidRPr="00FB75AD">
        <w:rPr>
          <w:b/>
          <w:bCs/>
          <w:rtl/>
          <w:lang w:val="en-US"/>
        </w:rPr>
        <w:t>الموضوع</w:t>
      </w:r>
      <w:r w:rsidR="00264402" w:rsidRPr="00FB75AD">
        <w:rPr>
          <w:rtl/>
        </w:rPr>
        <w:t>:</w:t>
      </w:r>
      <w:r w:rsidRPr="00FB75AD">
        <w:rPr>
          <w:rtl/>
          <w:lang w:val="en-US"/>
        </w:rPr>
        <w:tab/>
        <w:t>الاستنكاف الضميري من الخدمة العسكرية الإلزامية؛ المعاملة اللاإنسانية والمهينة؛ ظروف الاحتجاز</w:t>
      </w:r>
    </w:p>
    <w:p w14:paraId="4E0B20C0" w14:textId="005C36CD" w:rsidR="008D21EA" w:rsidRPr="00FB75AD" w:rsidRDefault="008D21EA" w:rsidP="00264402">
      <w:pPr>
        <w:pStyle w:val="SingleTxtGA"/>
        <w:tabs>
          <w:tab w:val="clear" w:pos="1928"/>
          <w:tab w:val="clear" w:pos="2608"/>
          <w:tab w:val="clear" w:pos="3289"/>
          <w:tab w:val="clear" w:pos="3969"/>
          <w:tab w:val="left" w:pos="4252"/>
        </w:tabs>
        <w:ind w:left="4252" w:hanging="3005"/>
        <w:rPr>
          <w:szCs w:val="20"/>
          <w:lang w:val="en-US" w:eastAsia="zh-TW"/>
        </w:rPr>
      </w:pPr>
      <w:r w:rsidRPr="00FB75AD">
        <w:rPr>
          <w:b/>
          <w:bCs/>
          <w:rtl/>
          <w:lang w:val="en-US"/>
        </w:rPr>
        <w:t>معلومات المتابعة المقدمة سابقاً</w:t>
      </w:r>
      <w:r w:rsidR="00264402" w:rsidRPr="00FB75AD">
        <w:rPr>
          <w:rtl/>
        </w:rPr>
        <w:t>:</w:t>
      </w:r>
      <w:r w:rsidRPr="00FB75AD">
        <w:rPr>
          <w:rtl/>
          <w:lang w:val="en-US"/>
        </w:rPr>
        <w:tab/>
        <w:t>لا يوجد</w:t>
      </w:r>
    </w:p>
    <w:p w14:paraId="1BF4473C" w14:textId="10575563" w:rsidR="008D21EA" w:rsidRPr="00FB75AD" w:rsidRDefault="008D21EA" w:rsidP="00264402">
      <w:pPr>
        <w:pStyle w:val="SingleTxtGA"/>
        <w:tabs>
          <w:tab w:val="clear" w:pos="1928"/>
          <w:tab w:val="clear" w:pos="2608"/>
          <w:tab w:val="clear" w:pos="3289"/>
          <w:tab w:val="clear" w:pos="3969"/>
          <w:tab w:val="left" w:pos="4252"/>
        </w:tabs>
        <w:ind w:left="4252" w:hanging="3005"/>
        <w:rPr>
          <w:rStyle w:val="FootnoteReference"/>
          <w:szCs w:val="20"/>
          <w:lang w:val="en-US" w:eastAsia="zh-TW"/>
        </w:rPr>
      </w:pPr>
      <w:r w:rsidRPr="00FB75AD">
        <w:rPr>
          <w:b/>
          <w:bCs/>
          <w:rtl/>
          <w:lang w:val="en-US"/>
        </w:rPr>
        <w:t>المعلومات المقدمة من الدولة الطرف</w:t>
      </w:r>
      <w:r w:rsidR="00264402" w:rsidRPr="00FB75AD">
        <w:rPr>
          <w:rtl/>
        </w:rPr>
        <w:t>:</w:t>
      </w:r>
      <w:r w:rsidRPr="00FB75AD">
        <w:rPr>
          <w:rtl/>
          <w:lang w:val="en-US"/>
        </w:rPr>
        <w:tab/>
      </w:r>
      <w:r w:rsidRPr="00FB75AD">
        <w:rPr>
          <w:szCs w:val="20"/>
          <w:rtl/>
          <w:lang w:val="en-US"/>
        </w:rPr>
        <w:t>3</w:t>
      </w:r>
      <w:r w:rsidRPr="00FB75AD">
        <w:rPr>
          <w:rtl/>
          <w:lang w:val="en-US"/>
        </w:rPr>
        <w:t xml:space="preserve"> كانون الثاني/يناير </w:t>
      </w:r>
      <w:r w:rsidRPr="00FB75AD">
        <w:rPr>
          <w:szCs w:val="20"/>
          <w:rtl/>
          <w:lang w:val="en-US"/>
        </w:rPr>
        <w:t>2022</w:t>
      </w:r>
      <w:r w:rsidR="00C11BB0" w:rsidRPr="00FB75AD">
        <w:rPr>
          <w:vertAlign w:val="superscript"/>
          <w:rtl/>
          <w:lang w:val="en-US"/>
        </w:rPr>
        <w:t>(</w:t>
      </w:r>
      <w:r w:rsidR="00C11BB0" w:rsidRPr="00FB75AD">
        <w:rPr>
          <w:vertAlign w:val="superscript"/>
          <w:rtl/>
          <w:lang w:val="en-US"/>
        </w:rPr>
        <w:footnoteReference w:id="24"/>
      </w:r>
      <w:r w:rsidR="00C11BB0" w:rsidRPr="00FB75AD">
        <w:rPr>
          <w:vertAlign w:val="superscript"/>
          <w:rtl/>
          <w:lang w:val="en-US"/>
        </w:rPr>
        <w:t>)</w:t>
      </w:r>
    </w:p>
    <w:p w14:paraId="055D8857" w14:textId="64C9540E" w:rsidR="008D21EA" w:rsidRPr="00FB75AD" w:rsidRDefault="008D21EA" w:rsidP="008D21EA">
      <w:pPr>
        <w:pStyle w:val="SingleTxtGA"/>
        <w:rPr>
          <w:szCs w:val="20"/>
          <w:lang w:val="en-US" w:eastAsia="zh-TW"/>
        </w:rPr>
      </w:pPr>
      <w:r w:rsidRPr="00FB75AD">
        <w:rPr>
          <w:rtl/>
          <w:lang w:val="en-US"/>
        </w:rPr>
        <w:lastRenderedPageBreak/>
        <w:tab/>
        <w:t xml:space="preserve">تذكّر الدولة الطرف بأنه لما كانت المادة </w:t>
      </w:r>
      <w:r w:rsidRPr="00FB75AD">
        <w:rPr>
          <w:szCs w:val="20"/>
          <w:rtl/>
          <w:lang w:val="en-US"/>
        </w:rPr>
        <w:t>58</w:t>
      </w:r>
      <w:r w:rsidRPr="00FB75AD">
        <w:rPr>
          <w:rtl/>
          <w:lang w:val="en-US"/>
        </w:rPr>
        <w:t xml:space="preserve"> من دستورها تنص على أن حماية تركمانستان واجب مقدس على كل مواطن، فإن الخدمة العسكرية إلزامية لجميع المواطنين الذكور في تركمانستان. وكانت المحاكم محقة في عدم مراعاة حجة صاحب البلاغ بأنه اضطر إلى رفض أداء الخدمة العسكرية بسبب معتقداته في حركة شهود يهوه الدينية غير المسجلة، لأن قوانين تركمانستان العلمانية لا تنص على أي إعفاء من هذا القبيل من الخدمة. وتتضمن المادة </w:t>
      </w:r>
      <w:r w:rsidRPr="00FB75AD">
        <w:rPr>
          <w:szCs w:val="20"/>
          <w:rtl/>
          <w:lang w:val="en-US"/>
        </w:rPr>
        <w:t>18</w:t>
      </w:r>
      <w:r w:rsidRPr="00FB75AD">
        <w:rPr>
          <w:rtl/>
          <w:lang w:val="en-US"/>
        </w:rPr>
        <w:t xml:space="preserve"> من قانون الواجب العسكري والخدمة العسكرية قائمة بأسباب الإعفاء من الخدمة العسكرية؛ والانتماء إلى منظمة دينية لا يعفي المجند من أداء واجباته العسكرية. ولذلك وصفت المحاكم أفعال صاحب البلاغ وصفا</w:t>
      </w:r>
      <w:r w:rsidR="001B0504" w:rsidRPr="00FB75AD">
        <w:rPr>
          <w:rFonts w:hint="cs"/>
          <w:rtl/>
          <w:lang w:val="en-US"/>
        </w:rPr>
        <w:t>ً</w:t>
      </w:r>
      <w:r w:rsidRPr="00FB75AD">
        <w:rPr>
          <w:rtl/>
          <w:lang w:val="en-US"/>
        </w:rPr>
        <w:t xml:space="preserve"> صحيحا</w:t>
      </w:r>
      <w:r w:rsidR="001B0504" w:rsidRPr="00FB75AD">
        <w:rPr>
          <w:rFonts w:hint="cs"/>
          <w:rtl/>
          <w:lang w:val="en-US"/>
        </w:rPr>
        <w:t>ً</w:t>
      </w:r>
      <w:r w:rsidRPr="00FB75AD">
        <w:rPr>
          <w:rtl/>
          <w:lang w:val="en-US"/>
        </w:rPr>
        <w:t xml:space="preserve"> وفرضت العقوبة في ضوء الجريمة التي ارتكبها، وفقا</w:t>
      </w:r>
      <w:r w:rsidR="001B0504" w:rsidRPr="00FB75AD">
        <w:rPr>
          <w:rFonts w:hint="cs"/>
          <w:rtl/>
          <w:lang w:val="en-US"/>
        </w:rPr>
        <w:t>ً</w:t>
      </w:r>
      <w:r w:rsidRPr="00FB75AD">
        <w:rPr>
          <w:rtl/>
          <w:lang w:val="en-US"/>
        </w:rPr>
        <w:t xml:space="preserve"> للقانون. ولم تؤخذ ادعاءات صاحب البلاغ المتعلقة بالخدمة المدنية البديلة في الاعتبار، لأن القانون لا ينص على هذه الخدمة في تركمانستان.</w:t>
      </w:r>
    </w:p>
    <w:p w14:paraId="70442647" w14:textId="4BA83287" w:rsidR="008D21EA" w:rsidRPr="00FB75AD" w:rsidRDefault="008D21EA" w:rsidP="008D21EA">
      <w:pPr>
        <w:pStyle w:val="SingleTxtGA"/>
        <w:rPr>
          <w:szCs w:val="20"/>
          <w:lang w:val="en-US" w:eastAsia="zh-TW"/>
        </w:rPr>
      </w:pPr>
      <w:r w:rsidRPr="00FB75AD">
        <w:rPr>
          <w:rtl/>
          <w:lang w:val="en-US"/>
        </w:rPr>
        <w:tab/>
        <w:t>وتنفي الدولة الطرف ادعاءات صاحب البلاغ فيما يتعلق بظروف الاحتجاز السيئة. وتدفع بأن الأفراد الذين يقضون عقوبات في المرافق الإصلاحية يفعلون ذلك في ظل الظروف المعيشية المطلوبة. وتلبي أماكن الإقامة المقدمة للمدانين، بما في ذلك لأغراض النوم والصحة والنظافة، جميع متطلبات الصحة والنظافة وهي مناسبة للظروف المناخية المحلية. وأثناء قضاء مدة عقوبته في إقليم ليباب، كان صاحب البلاغ ينال ما يكفي من الطعام والمياه النظيفة وأتيحت له فرصة السير في الهواء الطلق يوميا</w:t>
      </w:r>
      <w:r w:rsidR="00B748CE" w:rsidRPr="00FB75AD">
        <w:rPr>
          <w:rFonts w:hint="cs"/>
          <w:rtl/>
          <w:lang w:val="en-US"/>
        </w:rPr>
        <w:t>ً</w:t>
      </w:r>
      <w:r w:rsidRPr="00FB75AD">
        <w:rPr>
          <w:rtl/>
          <w:lang w:val="en-US"/>
        </w:rPr>
        <w:t>. ويفي مستوى الإضاءة والتدفئة والتهوية والراحة في المرافق الإصلاحية بمتطلبات حماية صحة المدانين. وفيما يتعلق بادعاءات صاحب البلاغ بأنه كان يتقاسم زنزانة مع مدانين مصابين بنوع نشط من السل وبالتالي كان من الممكن أن يصاب بها هو نفسه بسهولة، تدفع الدولة الطرف بوجود أجنحة طبية في مرافق الاحتجاز للرعاية الطبية للمدانين ومرفق إصلاحي طبي منفصل لعلاج المرضى الداخليين المصابين بنوع نشط من السل. ويُنقل المدانون المحتاجون إلى هذه الخدمات الطبية المتخصصة إلى مستشفى مديرية الشرطة المركزية في إقليم ماري، الذي يضم عيادة متخصصة مزودة بالتهوية المناسبة. وتدفع الدولة الطرف بأن صاحب البلاغ لم يتعرض للتعذيب أو لأي شكل آخر من أشكال سوء المعاملة أثناء وجوده في السجن.</w:t>
      </w:r>
    </w:p>
    <w:p w14:paraId="017D663C" w14:textId="45B5AC7B" w:rsidR="008D21EA" w:rsidRPr="00FB75AD" w:rsidRDefault="008D21EA" w:rsidP="008D21EA">
      <w:pPr>
        <w:pStyle w:val="SingleTxtGA"/>
        <w:rPr>
          <w:rStyle w:val="FootnoteReference"/>
          <w:szCs w:val="20"/>
          <w:lang w:val="en-US" w:eastAsia="zh-TW"/>
        </w:rPr>
      </w:pPr>
      <w:r w:rsidRPr="00FB75AD">
        <w:rPr>
          <w:b/>
          <w:bCs/>
          <w:rtl/>
          <w:lang w:val="en-US"/>
        </w:rPr>
        <w:t>المعلومات المقدمة من محامي صاحب البلاغ</w:t>
      </w:r>
      <w:r w:rsidR="00264402" w:rsidRPr="00FB75AD">
        <w:rPr>
          <w:rFonts w:hint="cs"/>
          <w:rtl/>
        </w:rPr>
        <w:t>:</w:t>
      </w:r>
      <w:r w:rsidRPr="00FB75AD">
        <w:rPr>
          <w:rtl/>
          <w:lang w:val="en-US"/>
        </w:rPr>
        <w:t xml:space="preserve"> </w:t>
      </w:r>
      <w:r w:rsidRPr="00FB75AD">
        <w:rPr>
          <w:szCs w:val="20"/>
          <w:rtl/>
          <w:lang w:val="en-US"/>
        </w:rPr>
        <w:t>21</w:t>
      </w:r>
      <w:r w:rsidRPr="00FB75AD">
        <w:rPr>
          <w:rtl/>
          <w:lang w:val="en-US"/>
        </w:rPr>
        <w:t xml:space="preserve"> آذار/مارس </w:t>
      </w:r>
      <w:r w:rsidRPr="00FB75AD">
        <w:rPr>
          <w:szCs w:val="20"/>
          <w:rtl/>
          <w:lang w:val="en-US"/>
        </w:rPr>
        <w:t>2022</w:t>
      </w:r>
      <w:r w:rsidR="00C11BB0" w:rsidRPr="00FB75AD">
        <w:rPr>
          <w:vertAlign w:val="superscript"/>
          <w:rtl/>
          <w:lang w:val="en-US"/>
        </w:rPr>
        <w:t>(</w:t>
      </w:r>
      <w:r w:rsidR="00C11BB0" w:rsidRPr="00FB75AD">
        <w:rPr>
          <w:vertAlign w:val="superscript"/>
          <w:rtl/>
          <w:lang w:val="en-US"/>
        </w:rPr>
        <w:footnoteReference w:id="25"/>
      </w:r>
      <w:r w:rsidR="00C11BB0" w:rsidRPr="00FB75AD">
        <w:rPr>
          <w:vertAlign w:val="superscript"/>
          <w:rtl/>
          <w:lang w:val="en-US"/>
        </w:rPr>
        <w:t>)</w:t>
      </w:r>
    </w:p>
    <w:p w14:paraId="42C7C9C3" w14:textId="1C5999A6" w:rsidR="008D21EA" w:rsidRPr="00FB75AD" w:rsidRDefault="008D21EA" w:rsidP="008D21EA">
      <w:pPr>
        <w:pStyle w:val="SingleTxtGA"/>
        <w:rPr>
          <w:szCs w:val="20"/>
          <w:lang w:val="en-US" w:eastAsia="zh-TW"/>
        </w:rPr>
      </w:pPr>
      <w:r w:rsidRPr="00FB75AD">
        <w:rPr>
          <w:rtl/>
          <w:lang w:val="en-US"/>
        </w:rPr>
        <w:tab/>
        <w:t>يؤكد المحامي أن الدولة الطرف لم تنفذ بعد أيا</w:t>
      </w:r>
      <w:r w:rsidR="001B0504" w:rsidRPr="00FB75AD">
        <w:rPr>
          <w:rFonts w:hint="cs"/>
          <w:rtl/>
          <w:lang w:val="en-US"/>
        </w:rPr>
        <w:t>ً</w:t>
      </w:r>
      <w:r w:rsidRPr="00FB75AD">
        <w:rPr>
          <w:rtl/>
          <w:lang w:val="en-US"/>
        </w:rPr>
        <w:t xml:space="preserve"> من سبل الانتصاف المذكورة في آراء اللجنة. وعلاوة على ذلك، منذ تاريخ صدور قرار اللجنة، أدين وسُجن ما لا يقل عن </w:t>
      </w:r>
      <w:r w:rsidRPr="00FB75AD">
        <w:rPr>
          <w:szCs w:val="20"/>
          <w:rtl/>
          <w:lang w:val="en-US"/>
        </w:rPr>
        <w:t>32</w:t>
      </w:r>
      <w:r w:rsidRPr="00FB75AD">
        <w:rPr>
          <w:rtl/>
          <w:lang w:val="en-US"/>
        </w:rPr>
        <w:t xml:space="preserve"> شخصا</w:t>
      </w:r>
      <w:r w:rsidR="001B0504" w:rsidRPr="00FB75AD">
        <w:rPr>
          <w:rFonts w:hint="cs"/>
          <w:rtl/>
          <w:lang w:val="en-US"/>
        </w:rPr>
        <w:t>ً</w:t>
      </w:r>
      <w:r w:rsidRPr="00FB75AD">
        <w:rPr>
          <w:rtl/>
          <w:lang w:val="en-US"/>
        </w:rPr>
        <w:t xml:space="preserve"> آخر من شهود يهوه في تركمانستان بسبب استنكافهم الضميري من الخدمة العسكرية الإلزامية. وفي أوائل عام </w:t>
      </w:r>
      <w:r w:rsidRPr="00FB75AD">
        <w:rPr>
          <w:szCs w:val="20"/>
          <w:rtl/>
          <w:lang w:val="en-US"/>
        </w:rPr>
        <w:t>2021</w:t>
      </w:r>
      <w:r w:rsidRPr="00FB75AD">
        <w:rPr>
          <w:rtl/>
          <w:lang w:val="en-US"/>
        </w:rPr>
        <w:t xml:space="preserve"> وحده، سُجن ستة من شهود يهوه بسبب استنكافهم الضميري من الخدمة العسكرية</w:t>
      </w:r>
      <w:r w:rsidR="00C11BB0" w:rsidRPr="00FB75AD">
        <w:rPr>
          <w:vertAlign w:val="superscript"/>
          <w:rtl/>
          <w:lang w:val="en-US"/>
        </w:rPr>
        <w:t>(</w:t>
      </w:r>
      <w:r w:rsidR="00C11BB0" w:rsidRPr="00FB75AD">
        <w:rPr>
          <w:vertAlign w:val="superscript"/>
          <w:rtl/>
          <w:lang w:val="en-US"/>
        </w:rPr>
        <w:footnoteReference w:id="26"/>
      </w:r>
      <w:r w:rsidR="00C11BB0" w:rsidRPr="00FB75AD">
        <w:rPr>
          <w:vertAlign w:val="superscript"/>
          <w:rtl/>
          <w:lang w:val="en-US"/>
        </w:rPr>
        <w:t>)</w:t>
      </w:r>
      <w:r w:rsidRPr="00FB75AD">
        <w:rPr>
          <w:rtl/>
          <w:lang w:val="en-US"/>
        </w:rPr>
        <w:t xml:space="preserve">. وفي </w:t>
      </w:r>
      <w:r w:rsidRPr="00FB75AD">
        <w:rPr>
          <w:szCs w:val="20"/>
          <w:rtl/>
          <w:lang w:val="en-US"/>
        </w:rPr>
        <w:t>7</w:t>
      </w:r>
      <w:r w:rsidRPr="00FB75AD">
        <w:rPr>
          <w:rtl/>
          <w:lang w:val="en-US"/>
        </w:rPr>
        <w:t xml:space="preserve"> أيار/</w:t>
      </w:r>
      <w:r w:rsidR="002D7DB1" w:rsidRPr="00FB75AD">
        <w:rPr>
          <w:rFonts w:hint="cs"/>
          <w:rtl/>
          <w:lang w:val="en-US"/>
        </w:rPr>
        <w:t xml:space="preserve"> </w:t>
      </w:r>
      <w:r w:rsidRPr="00FB75AD">
        <w:rPr>
          <w:rtl/>
          <w:lang w:val="en-US"/>
        </w:rPr>
        <w:t>مايو</w:t>
      </w:r>
      <w:r w:rsidR="002D7DB1" w:rsidRPr="00FB75AD">
        <w:rPr>
          <w:rFonts w:hint="cs"/>
          <w:rtl/>
          <w:lang w:val="en-US"/>
        </w:rPr>
        <w:t> </w:t>
      </w:r>
      <w:r w:rsidRPr="00FB75AD">
        <w:rPr>
          <w:szCs w:val="20"/>
          <w:rtl/>
          <w:lang w:val="en-US"/>
        </w:rPr>
        <w:t>2021</w:t>
      </w:r>
      <w:r w:rsidRPr="00FB75AD">
        <w:rPr>
          <w:rtl/>
          <w:lang w:val="en-US"/>
        </w:rPr>
        <w:t>، وقع رئيس تركمانستان مرسوما</w:t>
      </w:r>
      <w:r w:rsidR="001B0504" w:rsidRPr="00FB75AD">
        <w:rPr>
          <w:rFonts w:hint="cs"/>
          <w:rtl/>
          <w:lang w:val="en-US"/>
        </w:rPr>
        <w:t>ً</w:t>
      </w:r>
      <w:r w:rsidRPr="00FB75AD">
        <w:rPr>
          <w:rtl/>
          <w:lang w:val="en-US"/>
        </w:rPr>
        <w:t xml:space="preserve"> لمنح العفو، إلى جانب أمور أخرى، ل</w:t>
      </w:r>
      <w:r w:rsidR="001B0504" w:rsidRPr="00FB75AD">
        <w:rPr>
          <w:rFonts w:hint="cs"/>
          <w:rtl/>
          <w:lang w:val="en-US"/>
        </w:rPr>
        <w:t>‍ </w:t>
      </w:r>
      <w:r w:rsidRPr="00FB75AD">
        <w:rPr>
          <w:szCs w:val="20"/>
          <w:rtl/>
          <w:lang w:val="en-US"/>
        </w:rPr>
        <w:t>16</w:t>
      </w:r>
      <w:r w:rsidRPr="00FB75AD">
        <w:rPr>
          <w:rtl/>
          <w:lang w:val="en-US"/>
        </w:rPr>
        <w:t xml:space="preserve"> من شهود يهوه سُجنوا بسبب استنكافهم الضميري من الخدمة العسكرية. وقد أُطلق سراحهم جميعا</w:t>
      </w:r>
      <w:r w:rsidR="001B0504" w:rsidRPr="00FB75AD">
        <w:rPr>
          <w:rFonts w:hint="cs"/>
          <w:rtl/>
          <w:lang w:val="en-US"/>
        </w:rPr>
        <w:t>ً</w:t>
      </w:r>
      <w:r w:rsidRPr="00FB75AD">
        <w:rPr>
          <w:rtl/>
          <w:lang w:val="en-US"/>
        </w:rPr>
        <w:t xml:space="preserve"> في </w:t>
      </w:r>
      <w:r w:rsidRPr="00FB75AD">
        <w:rPr>
          <w:szCs w:val="20"/>
          <w:rtl/>
          <w:lang w:val="en-US"/>
        </w:rPr>
        <w:t>8</w:t>
      </w:r>
      <w:r w:rsidRPr="00FB75AD">
        <w:rPr>
          <w:rtl/>
          <w:lang w:val="en-US"/>
        </w:rPr>
        <w:t xml:space="preserve"> أيار/مايو </w:t>
      </w:r>
      <w:r w:rsidRPr="00FB75AD">
        <w:rPr>
          <w:szCs w:val="20"/>
          <w:rtl/>
          <w:lang w:val="en-US"/>
        </w:rPr>
        <w:t>202</w:t>
      </w:r>
      <w:r w:rsidR="00C11BB0" w:rsidRPr="00FB75AD">
        <w:rPr>
          <w:szCs w:val="20"/>
          <w:rtl/>
          <w:lang w:val="en-US"/>
        </w:rPr>
        <w:t>1.</w:t>
      </w:r>
      <w:r w:rsidR="00C11BB0" w:rsidRPr="00FB75AD">
        <w:rPr>
          <w:rtl/>
          <w:lang w:val="en-US"/>
        </w:rPr>
        <w:t xml:space="preserve"> </w:t>
      </w:r>
      <w:r w:rsidRPr="00FB75AD">
        <w:rPr>
          <w:rtl/>
          <w:lang w:val="en-US"/>
        </w:rPr>
        <w:t>ومع أن المحامي يرحب بهذا التطور، فإنه يأسف لأن العفو لم يشطب سجلاتهم الجنائية أو يزيل احتمال تكرار محاكمة أولئك الذين استُدعوا وحوكموا مرة واحدة فقط.</w:t>
      </w:r>
    </w:p>
    <w:p w14:paraId="05942000" w14:textId="5D04288F" w:rsidR="008D21EA" w:rsidRPr="00FB75AD" w:rsidRDefault="008D21EA" w:rsidP="008D21EA">
      <w:pPr>
        <w:pStyle w:val="SingleTxtGA"/>
        <w:rPr>
          <w:spacing w:val="-2"/>
          <w:szCs w:val="20"/>
          <w:lang w:val="en-US" w:eastAsia="zh-TW"/>
        </w:rPr>
      </w:pPr>
      <w:r w:rsidRPr="00FB75AD">
        <w:rPr>
          <w:spacing w:val="-2"/>
          <w:rtl/>
          <w:lang w:val="en-US"/>
        </w:rPr>
        <w:tab/>
        <w:t xml:space="preserve">وعقب صدور ذلك العفو الرئاسي، لم تُتخذ في تركمانستان أي إجراءات جنائية ضد أي شهود يهوه آخرين بلغوا سن الخدمة العسكرية. غير أن ملاحظات الدولة الطرف بشأن البلاغ تدل على أن موقف </w:t>
      </w:r>
      <w:r w:rsidRPr="00FB75AD">
        <w:rPr>
          <w:spacing w:val="-2"/>
          <w:rtl/>
          <w:lang w:val="en-US"/>
        </w:rPr>
        <w:lastRenderedPageBreak/>
        <w:t>الحكومة من المستنكفين ضميريا</w:t>
      </w:r>
      <w:r w:rsidR="001B0504" w:rsidRPr="00FB75AD">
        <w:rPr>
          <w:rFonts w:hint="cs"/>
          <w:spacing w:val="-2"/>
          <w:rtl/>
          <w:lang w:val="en-US"/>
        </w:rPr>
        <w:t>ً</w:t>
      </w:r>
      <w:r w:rsidRPr="00FB75AD">
        <w:rPr>
          <w:spacing w:val="-2"/>
          <w:rtl/>
          <w:lang w:val="en-US"/>
        </w:rPr>
        <w:t xml:space="preserve"> لا يزال غير واضح. وتصر الدولة الطرف على استخدام نفس الحجج التي رفضتها اللجنة في آرائها. وعلاوة على ذلك، لا ترى الدولة الطرف ضرورة لتنقيح تشريعاتها وجعلها تتماشى مع التزامها بموجب المادة </w:t>
      </w:r>
      <w:r w:rsidRPr="00FB75AD">
        <w:rPr>
          <w:spacing w:val="-2"/>
          <w:szCs w:val="20"/>
          <w:rtl/>
          <w:lang w:val="en-US"/>
        </w:rPr>
        <w:t>2(</w:t>
      </w:r>
      <w:r w:rsidR="00C11BB0" w:rsidRPr="00FB75AD">
        <w:rPr>
          <w:spacing w:val="-2"/>
          <w:szCs w:val="20"/>
          <w:rtl/>
          <w:lang w:val="en-US"/>
        </w:rPr>
        <w:t>2)</w:t>
      </w:r>
      <w:r w:rsidR="00C11BB0" w:rsidRPr="00FB75AD">
        <w:rPr>
          <w:spacing w:val="-2"/>
          <w:rtl/>
          <w:lang w:val="en-US"/>
        </w:rPr>
        <w:t xml:space="preserve"> </w:t>
      </w:r>
      <w:r w:rsidRPr="00FB75AD">
        <w:rPr>
          <w:spacing w:val="-2"/>
          <w:rtl/>
          <w:lang w:val="en-US"/>
        </w:rPr>
        <w:t>من العهد وضمان الحق في الاستنكاف الضميري فعليا</w:t>
      </w:r>
      <w:r w:rsidR="001B0504" w:rsidRPr="00FB75AD">
        <w:rPr>
          <w:rFonts w:hint="cs"/>
          <w:spacing w:val="-2"/>
          <w:rtl/>
          <w:lang w:val="en-US"/>
        </w:rPr>
        <w:t>ً</w:t>
      </w:r>
      <w:r w:rsidRPr="00FB75AD">
        <w:rPr>
          <w:spacing w:val="-2"/>
          <w:rtl/>
          <w:lang w:val="en-US"/>
        </w:rPr>
        <w:t xml:space="preserve"> بموجب المادة </w:t>
      </w:r>
      <w:r w:rsidRPr="00FB75AD">
        <w:rPr>
          <w:spacing w:val="-2"/>
          <w:szCs w:val="20"/>
          <w:rtl/>
          <w:lang w:val="en-US"/>
        </w:rPr>
        <w:t>18(</w:t>
      </w:r>
      <w:r w:rsidR="00C11BB0" w:rsidRPr="00FB75AD">
        <w:rPr>
          <w:spacing w:val="-2"/>
          <w:szCs w:val="20"/>
          <w:rtl/>
          <w:lang w:val="en-US"/>
        </w:rPr>
        <w:t>1)</w:t>
      </w:r>
      <w:r w:rsidR="00C11BB0" w:rsidRPr="00FB75AD">
        <w:rPr>
          <w:spacing w:val="-2"/>
          <w:rtl/>
          <w:lang w:val="en-US"/>
        </w:rPr>
        <w:t xml:space="preserve"> </w:t>
      </w:r>
      <w:r w:rsidRPr="00FB75AD">
        <w:rPr>
          <w:spacing w:val="-2"/>
          <w:rtl/>
          <w:lang w:val="en-US"/>
        </w:rPr>
        <w:t>من العهد. ودعت اللجنة تركمانستان مرارا</w:t>
      </w:r>
      <w:r w:rsidR="001B0504" w:rsidRPr="00FB75AD">
        <w:rPr>
          <w:rFonts w:hint="cs"/>
          <w:spacing w:val="-2"/>
          <w:rtl/>
          <w:lang w:val="en-US"/>
        </w:rPr>
        <w:t>ً</w:t>
      </w:r>
      <w:r w:rsidRPr="00FB75AD">
        <w:rPr>
          <w:spacing w:val="-2"/>
          <w:rtl/>
          <w:lang w:val="en-US"/>
        </w:rPr>
        <w:t xml:space="preserve"> إلى تنقيح تشريعاتها دون تأخير لا مبرر له، بغية الاعتراف بوضوح بالحق في الاستنكاف الضميري من الخدمة العسكرية، وإتاحة خدمة بديلة ذات طابع مدني للمستنكفين ضميرياً خارج المجال العسكري ولا تخضع للقيادة العسكرية، ووقف جميع الملاحقات القضائية بحق الأفراد الذين يرفضون أداء الخدمة العسكرية لأسباب تتعلق بالضمير، والإفراج عن الذين يقضون حالياً أحكاماً بالسجن</w:t>
      </w:r>
      <w:r w:rsidRPr="00FB75AD">
        <w:rPr>
          <w:spacing w:val="-2"/>
          <w:szCs w:val="20"/>
          <w:rtl/>
          <w:lang w:val="en-US"/>
        </w:rPr>
        <w:t>(</w:t>
      </w:r>
      <w:r w:rsidR="00C11BB0" w:rsidRPr="00FB75AD">
        <w:rPr>
          <w:spacing w:val="-2"/>
          <w:vertAlign w:val="superscript"/>
          <w:rtl/>
          <w:lang w:val="en-US"/>
        </w:rPr>
        <w:t>(</w:t>
      </w:r>
      <w:r w:rsidR="00C11BB0" w:rsidRPr="00FB75AD">
        <w:rPr>
          <w:spacing w:val="-2"/>
          <w:vertAlign w:val="superscript"/>
          <w:rtl/>
          <w:lang w:val="en-US"/>
        </w:rPr>
        <w:footnoteReference w:id="27"/>
      </w:r>
      <w:r w:rsidR="00C11BB0" w:rsidRPr="00FB75AD">
        <w:rPr>
          <w:spacing w:val="-2"/>
          <w:vertAlign w:val="superscript"/>
          <w:rtl/>
          <w:lang w:val="en-US"/>
        </w:rPr>
        <w:t>)</w:t>
      </w:r>
      <w:r w:rsidR="00C11BB0" w:rsidRPr="00FB75AD">
        <w:rPr>
          <w:spacing w:val="-2"/>
          <w:szCs w:val="20"/>
          <w:rtl/>
          <w:lang w:val="en-US"/>
        </w:rPr>
        <w:t>).</w:t>
      </w:r>
      <w:r w:rsidR="00C11BB0" w:rsidRPr="00FB75AD">
        <w:rPr>
          <w:spacing w:val="-2"/>
          <w:rtl/>
          <w:lang w:val="en-US"/>
        </w:rPr>
        <w:t xml:space="preserve"> </w:t>
      </w:r>
      <w:r w:rsidRPr="00FB75AD">
        <w:rPr>
          <w:spacing w:val="-2"/>
          <w:rtl/>
          <w:lang w:val="en-US"/>
        </w:rPr>
        <w:t>ومن المؤسف أن تركمانستان لم تنفذ تلك التوصيات حتى الآن.</w:t>
      </w:r>
    </w:p>
    <w:p w14:paraId="1E9C5CFE" w14:textId="69410F87" w:rsidR="008D21EA" w:rsidRPr="00FB75AD" w:rsidRDefault="008D21EA" w:rsidP="008D21EA">
      <w:pPr>
        <w:pStyle w:val="SingleTxtGA"/>
        <w:rPr>
          <w:szCs w:val="20"/>
          <w:lang w:val="en-US" w:eastAsia="zh-TW"/>
        </w:rPr>
      </w:pPr>
      <w:r w:rsidRPr="00FB75AD">
        <w:rPr>
          <w:rtl/>
          <w:lang w:val="en-US"/>
        </w:rPr>
        <w:tab/>
        <w:t>ويجيز التشريع الحالي الاستدعاء المتكرر للأشخاص الذين وُجهت إليهم تهم جنائية وأدينوا لرفضهم أداء الخدمة العسكرية</w:t>
      </w:r>
      <w:r w:rsidR="00C11BB0" w:rsidRPr="00FB75AD">
        <w:rPr>
          <w:vertAlign w:val="superscript"/>
          <w:rtl/>
          <w:lang w:val="en-US"/>
        </w:rPr>
        <w:t>(</w:t>
      </w:r>
      <w:r w:rsidR="00C11BB0" w:rsidRPr="00FB75AD">
        <w:rPr>
          <w:vertAlign w:val="superscript"/>
          <w:rtl/>
          <w:lang w:val="en-US"/>
        </w:rPr>
        <w:footnoteReference w:id="28"/>
      </w:r>
      <w:r w:rsidR="00C11BB0" w:rsidRPr="00FB75AD">
        <w:rPr>
          <w:vertAlign w:val="superscript"/>
          <w:rtl/>
          <w:lang w:val="en-US"/>
        </w:rPr>
        <w:t>)</w:t>
      </w:r>
      <w:r w:rsidRPr="00FB75AD">
        <w:rPr>
          <w:rtl/>
          <w:lang w:val="en-US"/>
        </w:rPr>
        <w:t>. وهذا يعني أن كل مواطن ذكر في تركمانستان في سن الخدمة العسكرية يريد ممارسة حقه في الاستنكاف الضميري من الخدمة العسكرية معرض لخطر استدعائه ومحاكمته مرة ثانية.</w:t>
      </w:r>
    </w:p>
    <w:p w14:paraId="6FA85091" w14:textId="537FCE21" w:rsidR="008D21EA" w:rsidRPr="00FB75AD" w:rsidRDefault="008D21EA" w:rsidP="008D21EA">
      <w:pPr>
        <w:pStyle w:val="SingleTxtGA"/>
        <w:rPr>
          <w:szCs w:val="20"/>
          <w:lang w:val="en-US" w:eastAsia="zh-TW"/>
        </w:rPr>
      </w:pPr>
      <w:r w:rsidRPr="00FB75AD">
        <w:rPr>
          <w:b/>
          <w:bCs/>
          <w:rtl/>
          <w:lang w:val="en-US"/>
        </w:rPr>
        <w:t>تقييم اللجنة</w:t>
      </w:r>
      <w:r w:rsidR="00264402" w:rsidRPr="00FB75AD">
        <w:rPr>
          <w:rtl/>
        </w:rPr>
        <w:t>:</w:t>
      </w:r>
    </w:p>
    <w:p w14:paraId="2727B1C7" w14:textId="33957845" w:rsidR="008D21EA" w:rsidRPr="00FB75AD" w:rsidRDefault="0074432C" w:rsidP="008D21EA">
      <w:pPr>
        <w:pStyle w:val="SingleTxtGA"/>
        <w:rPr>
          <w:szCs w:val="20"/>
          <w:lang w:val="en-US" w:eastAsia="zh-TW"/>
        </w:rPr>
      </w:pPr>
      <w:r w:rsidRPr="00FB75AD">
        <w:rPr>
          <w:rtl/>
          <w:lang w:val="en-US"/>
        </w:rPr>
        <w:tab/>
      </w:r>
      <w:r w:rsidR="008D21EA" w:rsidRPr="00FB75AD">
        <w:rPr>
          <w:rtl/>
          <w:lang w:val="en-US"/>
        </w:rPr>
        <w:t>(أ)</w:t>
      </w:r>
      <w:r w:rsidR="008D21EA" w:rsidRPr="00FB75AD">
        <w:rPr>
          <w:rtl/>
          <w:lang w:val="en-US"/>
        </w:rPr>
        <w:tab/>
        <w:t xml:space="preserve">التحقيق في ادعاءات صاحب البلاغ بحدوث انتهاكات للمادة </w:t>
      </w:r>
      <w:r w:rsidR="00C11BB0" w:rsidRPr="00FB75AD">
        <w:rPr>
          <w:szCs w:val="20"/>
          <w:rtl/>
          <w:lang w:val="en-US"/>
        </w:rPr>
        <w:t>7</w:t>
      </w:r>
      <w:r w:rsidR="00264402" w:rsidRPr="00FB75AD">
        <w:rPr>
          <w:rtl/>
        </w:rPr>
        <w:t>:</w:t>
      </w:r>
      <w:r w:rsidR="00C11BB0" w:rsidRPr="00FB75AD">
        <w:rPr>
          <w:rtl/>
          <w:lang w:val="en-US"/>
        </w:rPr>
        <w:t xml:space="preserve"> </w:t>
      </w:r>
      <w:r w:rsidR="008D21EA" w:rsidRPr="00FB75AD">
        <w:rPr>
          <w:rtl/>
          <w:lang w:val="en-US"/>
        </w:rPr>
        <w:t>جيم؛</w:t>
      </w:r>
    </w:p>
    <w:p w14:paraId="38DBF6BC" w14:textId="46EB6FBA" w:rsidR="008D21EA" w:rsidRPr="00FB75AD" w:rsidRDefault="0074432C" w:rsidP="008D21EA">
      <w:pPr>
        <w:pStyle w:val="SingleTxtGA"/>
        <w:rPr>
          <w:szCs w:val="20"/>
          <w:lang w:val="en-US" w:eastAsia="zh-TW"/>
        </w:rPr>
      </w:pPr>
      <w:r w:rsidRPr="00FB75AD">
        <w:rPr>
          <w:rtl/>
          <w:lang w:val="en-US"/>
        </w:rPr>
        <w:tab/>
      </w:r>
      <w:r w:rsidR="008D21EA" w:rsidRPr="00FB75AD">
        <w:rPr>
          <w:rtl/>
          <w:lang w:val="en-US"/>
        </w:rPr>
        <w:t>(ب)</w:t>
      </w:r>
      <w:r w:rsidR="008D21EA" w:rsidRPr="00FB75AD">
        <w:rPr>
          <w:rtl/>
          <w:lang w:val="en-US"/>
        </w:rPr>
        <w:tab/>
        <w:t>مقاضاة الأشخاص المسؤولين عن ارتكاب هذه الانتهاكات</w:t>
      </w:r>
      <w:r w:rsidR="00264402" w:rsidRPr="00FB75AD">
        <w:rPr>
          <w:rtl/>
        </w:rPr>
        <w:t>:</w:t>
      </w:r>
      <w:r w:rsidR="008D21EA" w:rsidRPr="00FB75AD">
        <w:rPr>
          <w:rtl/>
          <w:lang w:val="en-US"/>
        </w:rPr>
        <w:t xml:space="preserve"> جيم؛</w:t>
      </w:r>
    </w:p>
    <w:p w14:paraId="69956329" w14:textId="5627DE6F" w:rsidR="008D21EA" w:rsidRPr="00FB75AD" w:rsidRDefault="0074432C" w:rsidP="008D21EA">
      <w:pPr>
        <w:pStyle w:val="SingleTxtGA"/>
        <w:rPr>
          <w:szCs w:val="20"/>
          <w:lang w:val="en-US" w:eastAsia="zh-TW"/>
        </w:rPr>
      </w:pPr>
      <w:r w:rsidRPr="00FB75AD">
        <w:rPr>
          <w:rtl/>
          <w:lang w:val="en-US"/>
        </w:rPr>
        <w:tab/>
      </w:r>
      <w:r w:rsidR="008D21EA" w:rsidRPr="00FB75AD">
        <w:rPr>
          <w:rtl/>
          <w:lang w:val="en-US"/>
        </w:rPr>
        <w:t>(ج)</w:t>
      </w:r>
      <w:r w:rsidR="008D21EA" w:rsidRPr="00FB75AD">
        <w:rPr>
          <w:rtl/>
          <w:lang w:val="en-US"/>
        </w:rPr>
        <w:tab/>
        <w:t>شطب السجل الجنائي لصاحب البلاغ</w:t>
      </w:r>
      <w:r w:rsidR="00264402" w:rsidRPr="00FB75AD">
        <w:rPr>
          <w:rtl/>
        </w:rPr>
        <w:t>:</w:t>
      </w:r>
      <w:r w:rsidR="008D21EA" w:rsidRPr="00FB75AD">
        <w:rPr>
          <w:rtl/>
          <w:lang w:val="en-US"/>
        </w:rPr>
        <w:t xml:space="preserve"> جيم؛</w:t>
      </w:r>
    </w:p>
    <w:p w14:paraId="230A0612" w14:textId="0E78137F" w:rsidR="008D21EA" w:rsidRPr="00FB75AD" w:rsidRDefault="0074432C" w:rsidP="008D21EA">
      <w:pPr>
        <w:pStyle w:val="SingleTxtGA"/>
        <w:rPr>
          <w:szCs w:val="20"/>
          <w:lang w:val="en-US" w:eastAsia="zh-TW"/>
        </w:rPr>
      </w:pPr>
      <w:r w:rsidRPr="00FB75AD">
        <w:rPr>
          <w:rtl/>
          <w:lang w:val="en-US"/>
        </w:rPr>
        <w:tab/>
      </w:r>
      <w:r w:rsidR="008D21EA" w:rsidRPr="00FB75AD">
        <w:rPr>
          <w:rtl/>
          <w:lang w:val="en-US"/>
        </w:rPr>
        <w:t>(د)</w:t>
      </w:r>
      <w:r w:rsidR="008D21EA" w:rsidRPr="00FB75AD">
        <w:rPr>
          <w:rtl/>
          <w:lang w:val="en-US"/>
        </w:rPr>
        <w:tab/>
        <w:t>تقديم تعويض مناسب له</w:t>
      </w:r>
      <w:r w:rsidR="00264402" w:rsidRPr="00FB75AD">
        <w:rPr>
          <w:rtl/>
        </w:rPr>
        <w:t>:</w:t>
      </w:r>
      <w:r w:rsidR="008D21EA" w:rsidRPr="00FB75AD">
        <w:rPr>
          <w:rtl/>
          <w:lang w:val="en-US"/>
        </w:rPr>
        <w:t xml:space="preserve"> جيم؛</w:t>
      </w:r>
    </w:p>
    <w:p w14:paraId="5297A2C6" w14:textId="5DEB8DFA" w:rsidR="008D21EA" w:rsidRPr="00FB75AD" w:rsidRDefault="0074432C" w:rsidP="008D21EA">
      <w:pPr>
        <w:pStyle w:val="SingleTxtGA"/>
        <w:rPr>
          <w:szCs w:val="20"/>
          <w:lang w:val="en-US" w:eastAsia="zh-TW"/>
        </w:rPr>
      </w:pPr>
      <w:r w:rsidRPr="00FB75AD">
        <w:rPr>
          <w:rtl/>
          <w:lang w:val="en-US"/>
        </w:rPr>
        <w:tab/>
      </w:r>
      <w:r w:rsidR="008D21EA" w:rsidRPr="00FB75AD">
        <w:rPr>
          <w:rtl/>
          <w:lang w:val="en-US"/>
        </w:rPr>
        <w:t>(</w:t>
      </w:r>
      <w:r w:rsidRPr="00FB75AD">
        <w:rPr>
          <w:rtl/>
          <w:lang w:val="en-US"/>
        </w:rPr>
        <w:t>ه</w:t>
      </w:r>
      <w:r w:rsidR="008D21EA" w:rsidRPr="00FB75AD">
        <w:rPr>
          <w:rtl/>
          <w:lang w:val="en-US"/>
        </w:rPr>
        <w:t>)</w:t>
      </w:r>
      <w:r w:rsidR="008D21EA" w:rsidRPr="00FB75AD">
        <w:rPr>
          <w:rtl/>
          <w:lang w:val="en-US"/>
        </w:rPr>
        <w:tab/>
        <w:t>عدم التكرار</w:t>
      </w:r>
      <w:r w:rsidR="00264402" w:rsidRPr="00FB75AD">
        <w:rPr>
          <w:rtl/>
        </w:rPr>
        <w:t>:</w:t>
      </w:r>
      <w:r w:rsidR="008D21EA" w:rsidRPr="00FB75AD">
        <w:rPr>
          <w:rtl/>
          <w:lang w:val="en-US"/>
        </w:rPr>
        <w:t xml:space="preserve"> جيم.</w:t>
      </w:r>
    </w:p>
    <w:p w14:paraId="1E4C75A6" w14:textId="4F1B0A40" w:rsidR="008D21EA" w:rsidRPr="00FB75AD" w:rsidRDefault="008D21EA" w:rsidP="008D21EA">
      <w:pPr>
        <w:pStyle w:val="SingleTxtGA"/>
        <w:rPr>
          <w:szCs w:val="20"/>
          <w:lang w:val="en-US" w:eastAsia="zh-TW"/>
        </w:rPr>
      </w:pPr>
      <w:r w:rsidRPr="00FB75AD">
        <w:rPr>
          <w:b/>
          <w:bCs/>
          <w:rtl/>
          <w:lang w:val="en-US"/>
        </w:rPr>
        <w:t>قرار اللجنة</w:t>
      </w:r>
      <w:r w:rsidR="00264402" w:rsidRPr="00FB75AD">
        <w:rPr>
          <w:rtl/>
        </w:rPr>
        <w:t>:</w:t>
      </w:r>
      <w:r w:rsidRPr="00FB75AD">
        <w:rPr>
          <w:rtl/>
          <w:lang w:val="en-US"/>
        </w:rPr>
        <w:t xml:space="preserve"> مواصلة حوار المتابعة.</w:t>
      </w:r>
    </w:p>
    <w:p w14:paraId="764A3479" w14:textId="623595F4" w:rsidR="008D21EA" w:rsidRPr="00FB75AD" w:rsidRDefault="0074432C" w:rsidP="0074432C">
      <w:pPr>
        <w:pStyle w:val="H23GA"/>
        <w:rPr>
          <w:szCs w:val="20"/>
          <w:lang w:val="en-US" w:eastAsia="zh-TW"/>
        </w:rPr>
      </w:pPr>
      <w:r w:rsidRPr="00FB75AD">
        <w:rPr>
          <w:szCs w:val="20"/>
          <w:rtl/>
          <w:lang w:val="en-US"/>
        </w:rPr>
        <w:tab/>
      </w:r>
      <w:r w:rsidR="008D21EA" w:rsidRPr="00FB75AD">
        <w:rPr>
          <w:szCs w:val="20"/>
          <w:rtl/>
          <w:lang w:val="en-US"/>
        </w:rPr>
        <w:t>7-</w:t>
      </w:r>
      <w:r w:rsidR="008D21EA" w:rsidRPr="00FB75AD">
        <w:rPr>
          <w:rtl/>
          <w:lang w:val="en-US"/>
        </w:rPr>
        <w:tab/>
        <w:t>أوكرانيا</w:t>
      </w:r>
    </w:p>
    <w:p w14:paraId="17CBF7A0" w14:textId="7FEBD542" w:rsidR="008D21EA" w:rsidRPr="00FB75AD" w:rsidRDefault="008D21EA" w:rsidP="0074432C">
      <w:pPr>
        <w:pStyle w:val="H23GA"/>
        <w:rPr>
          <w:szCs w:val="20"/>
          <w:lang w:val="en-US" w:eastAsia="zh-TW"/>
        </w:rPr>
      </w:pPr>
      <w:r w:rsidRPr="00FB75AD">
        <w:rPr>
          <w:rtl/>
          <w:lang w:val="en-US"/>
        </w:rPr>
        <w:tab/>
      </w:r>
      <w:r w:rsidRPr="00FB75AD">
        <w:rPr>
          <w:rtl/>
          <w:lang w:val="en-US"/>
        </w:rPr>
        <w:tab/>
        <w:t>البلاغ رقم</w:t>
      </w:r>
      <w:r w:rsidR="00C11BB0" w:rsidRPr="00FB75AD">
        <w:rPr>
          <w:rtl/>
          <w:lang w:val="en-US"/>
        </w:rPr>
        <w:t xml:space="preserve"> 2</w:t>
      </w:r>
      <w:r w:rsidR="003F6C52" w:rsidRPr="00FB75AD">
        <w:rPr>
          <w:rFonts w:hint="cs"/>
          <w:rtl/>
          <w:lang w:val="en-US"/>
        </w:rPr>
        <w:t>3</w:t>
      </w:r>
      <w:r w:rsidR="00C11BB0" w:rsidRPr="00FB75AD">
        <w:rPr>
          <w:rtl/>
          <w:lang w:val="en-US"/>
        </w:rPr>
        <w:t>68/2014،</w:t>
      </w:r>
      <w:r w:rsidRPr="00FB75AD">
        <w:rPr>
          <w:rtl/>
          <w:lang w:val="en-US"/>
        </w:rPr>
        <w:t xml:space="preserve"> </w:t>
      </w:r>
      <w:r w:rsidRPr="00FB75AD">
        <w:rPr>
          <w:i/>
          <w:iCs/>
          <w:rtl/>
          <w:lang w:val="en-US"/>
        </w:rPr>
        <w:t>تاران</w:t>
      </w:r>
      <w:bookmarkStart w:id="9" w:name="_Hlk157701152"/>
      <w:bookmarkEnd w:id="9"/>
    </w:p>
    <w:p w14:paraId="06E77DBC" w14:textId="52D605C8" w:rsidR="008D21EA" w:rsidRPr="00FB75AD" w:rsidRDefault="008D21EA" w:rsidP="00264402">
      <w:pPr>
        <w:pStyle w:val="SingleTxtGA"/>
        <w:tabs>
          <w:tab w:val="clear" w:pos="1928"/>
          <w:tab w:val="clear" w:pos="2608"/>
          <w:tab w:val="clear" w:pos="3289"/>
          <w:tab w:val="clear" w:pos="3969"/>
          <w:tab w:val="left" w:pos="4252"/>
        </w:tabs>
        <w:ind w:left="4252" w:hanging="3005"/>
        <w:rPr>
          <w:szCs w:val="20"/>
          <w:lang w:val="en-US" w:eastAsia="zh-TW"/>
        </w:rPr>
      </w:pPr>
      <w:r w:rsidRPr="00FB75AD">
        <w:rPr>
          <w:b/>
          <w:bCs/>
          <w:rtl/>
          <w:lang w:val="en-US"/>
        </w:rPr>
        <w:t>تاريخ اعتماد الآراء</w:t>
      </w:r>
      <w:r w:rsidR="00264402" w:rsidRPr="00FB75AD">
        <w:rPr>
          <w:rtl/>
        </w:rPr>
        <w:t>:</w:t>
      </w:r>
      <w:r w:rsidRPr="00FB75AD">
        <w:rPr>
          <w:rtl/>
          <w:lang w:val="en-US"/>
        </w:rPr>
        <w:tab/>
      </w:r>
      <w:r w:rsidRPr="00FB75AD">
        <w:rPr>
          <w:szCs w:val="20"/>
          <w:rtl/>
          <w:lang w:val="en-US"/>
        </w:rPr>
        <w:t>12</w:t>
      </w:r>
      <w:r w:rsidRPr="00FB75AD">
        <w:rPr>
          <w:rtl/>
          <w:lang w:val="en-US"/>
        </w:rPr>
        <w:t xml:space="preserve"> آذار/مارس </w:t>
      </w:r>
      <w:r w:rsidRPr="00FB75AD">
        <w:rPr>
          <w:szCs w:val="20"/>
          <w:rtl/>
          <w:lang w:val="en-US"/>
        </w:rPr>
        <w:t>2020</w:t>
      </w:r>
    </w:p>
    <w:p w14:paraId="4D51369B" w14:textId="1BDFCD73" w:rsidR="00C11BB0" w:rsidRPr="00FB75AD" w:rsidRDefault="008D21EA" w:rsidP="00264402">
      <w:pPr>
        <w:pStyle w:val="SingleTxtGA"/>
        <w:tabs>
          <w:tab w:val="clear" w:pos="1928"/>
          <w:tab w:val="clear" w:pos="2608"/>
          <w:tab w:val="clear" w:pos="3289"/>
          <w:tab w:val="clear" w:pos="3969"/>
          <w:tab w:val="left" w:pos="4252"/>
        </w:tabs>
        <w:ind w:left="4252" w:hanging="3005"/>
        <w:rPr>
          <w:szCs w:val="20"/>
          <w:lang w:val="en-US" w:eastAsia="zh-TW"/>
        </w:rPr>
      </w:pPr>
      <w:r w:rsidRPr="00FB75AD">
        <w:rPr>
          <w:b/>
          <w:bCs/>
          <w:rtl/>
          <w:lang w:val="en-US"/>
        </w:rPr>
        <w:t>المواد المنتهكة</w:t>
      </w:r>
      <w:r w:rsidR="00264402" w:rsidRPr="00FB75AD">
        <w:rPr>
          <w:rtl/>
        </w:rPr>
        <w:t>:</w:t>
      </w:r>
      <w:r w:rsidRPr="00FB75AD">
        <w:rPr>
          <w:rtl/>
          <w:lang w:val="en-US"/>
        </w:rPr>
        <w:tab/>
        <w:t xml:space="preserve">المادة </w:t>
      </w:r>
      <w:r w:rsidRPr="00FB75AD">
        <w:rPr>
          <w:szCs w:val="20"/>
          <w:rtl/>
          <w:lang w:val="en-US"/>
        </w:rPr>
        <w:t>7</w:t>
      </w:r>
      <w:r w:rsidRPr="00FB75AD">
        <w:rPr>
          <w:rtl/>
          <w:lang w:val="en-US"/>
        </w:rPr>
        <w:t xml:space="preserve">، مقروءة بمفردها وبالاقتران مع المادة </w:t>
      </w:r>
      <w:r w:rsidRPr="00FB75AD">
        <w:rPr>
          <w:szCs w:val="20"/>
          <w:rtl/>
          <w:lang w:val="en-US"/>
        </w:rPr>
        <w:t>2(</w:t>
      </w:r>
      <w:r w:rsidR="00C11BB0" w:rsidRPr="00FB75AD">
        <w:rPr>
          <w:szCs w:val="20"/>
          <w:rtl/>
          <w:lang w:val="en-US"/>
        </w:rPr>
        <w:t>3)</w:t>
      </w:r>
      <w:r w:rsidR="00C11BB0" w:rsidRPr="00FB75AD">
        <w:rPr>
          <w:rtl/>
          <w:lang w:val="en-US"/>
        </w:rPr>
        <w:t xml:space="preserve"> </w:t>
      </w:r>
      <w:r w:rsidRPr="00FB75AD">
        <w:rPr>
          <w:rtl/>
          <w:lang w:val="en-US"/>
        </w:rPr>
        <w:t xml:space="preserve">والمادة </w:t>
      </w:r>
      <w:r w:rsidRPr="00FB75AD">
        <w:rPr>
          <w:szCs w:val="20"/>
          <w:rtl/>
          <w:lang w:val="en-US"/>
        </w:rPr>
        <w:t>9</w:t>
      </w:r>
      <w:r w:rsidRPr="00FB75AD">
        <w:rPr>
          <w:rtl/>
          <w:lang w:val="en-US"/>
        </w:rPr>
        <w:t xml:space="preserve"> والمادة </w:t>
      </w:r>
      <w:r w:rsidRPr="00FB75AD">
        <w:rPr>
          <w:szCs w:val="20"/>
          <w:rtl/>
          <w:lang w:val="en-US"/>
        </w:rPr>
        <w:t>14(</w:t>
      </w:r>
      <w:r w:rsidR="00C11BB0" w:rsidRPr="00FB75AD">
        <w:rPr>
          <w:szCs w:val="20"/>
          <w:rtl/>
          <w:lang w:val="en-US"/>
        </w:rPr>
        <w:t>3)</w:t>
      </w:r>
      <w:r w:rsidRPr="00FB75AD">
        <w:rPr>
          <w:szCs w:val="20"/>
          <w:rtl/>
          <w:lang w:val="en-US"/>
        </w:rPr>
        <w:t>(</w:t>
      </w:r>
      <w:r w:rsidRPr="00FB75AD">
        <w:rPr>
          <w:rtl/>
          <w:lang w:val="en-US"/>
        </w:rPr>
        <w:t>ب</w:t>
      </w:r>
      <w:r w:rsidRPr="00FB75AD">
        <w:rPr>
          <w:szCs w:val="20"/>
          <w:rtl/>
          <w:lang w:val="en-US"/>
        </w:rPr>
        <w:t>)</w:t>
      </w:r>
      <w:r w:rsidRPr="00FB75AD">
        <w:rPr>
          <w:rtl/>
          <w:lang w:val="en-US"/>
        </w:rPr>
        <w:t xml:space="preserve"> و(ز) و</w:t>
      </w:r>
      <w:r w:rsidRPr="00FB75AD">
        <w:rPr>
          <w:szCs w:val="20"/>
          <w:rtl/>
          <w:lang w:val="en-US"/>
        </w:rPr>
        <w:t>(</w:t>
      </w:r>
      <w:r w:rsidR="00C11BB0" w:rsidRPr="00FB75AD">
        <w:rPr>
          <w:szCs w:val="20"/>
          <w:rtl/>
          <w:lang w:val="en-US"/>
        </w:rPr>
        <w:t>5)</w:t>
      </w:r>
    </w:p>
    <w:p w14:paraId="203604F5" w14:textId="364720F7" w:rsidR="008D21EA" w:rsidRPr="00FB75AD" w:rsidRDefault="008D21EA" w:rsidP="00264402">
      <w:pPr>
        <w:pStyle w:val="SingleTxtGA"/>
        <w:tabs>
          <w:tab w:val="clear" w:pos="1928"/>
          <w:tab w:val="clear" w:pos="2608"/>
          <w:tab w:val="clear" w:pos="3289"/>
          <w:tab w:val="clear" w:pos="3969"/>
          <w:tab w:val="left" w:pos="4252"/>
        </w:tabs>
        <w:ind w:left="4252" w:hanging="3005"/>
        <w:rPr>
          <w:spacing w:val="-4"/>
          <w:szCs w:val="20"/>
          <w:lang w:val="en-US" w:eastAsia="zh-TW"/>
        </w:rPr>
      </w:pPr>
      <w:r w:rsidRPr="00FB75AD">
        <w:rPr>
          <w:b/>
          <w:bCs/>
          <w:spacing w:val="-4"/>
          <w:rtl/>
          <w:lang w:val="en-US"/>
        </w:rPr>
        <w:t>إجراء الانتصاف</w:t>
      </w:r>
      <w:r w:rsidR="00264402" w:rsidRPr="00FB75AD">
        <w:rPr>
          <w:spacing w:val="-4"/>
          <w:rtl/>
        </w:rPr>
        <w:t>:</w:t>
      </w:r>
      <w:r w:rsidRPr="00FB75AD">
        <w:rPr>
          <w:spacing w:val="-4"/>
          <w:rtl/>
          <w:lang w:val="en-US"/>
        </w:rPr>
        <w:tab/>
        <w:t>سبيل انتصاف فعال، بأشكال منها اتخاذ خطوات مناسبة من أجل</w:t>
      </w:r>
      <w:r w:rsidR="00264402" w:rsidRPr="00FB75AD">
        <w:rPr>
          <w:spacing w:val="-4"/>
          <w:rtl/>
        </w:rPr>
        <w:t>:</w:t>
      </w:r>
      <w:r w:rsidRPr="00FB75AD">
        <w:rPr>
          <w:spacing w:val="-4"/>
          <w:rtl/>
          <w:lang w:val="en-US"/>
        </w:rPr>
        <w:t xml:space="preserve"> (أ) إبطال إدانة صاحب البلاغ وإجراء محاكمة جديدة عند اللزوم، وفقا</w:t>
      </w:r>
      <w:r w:rsidR="001B0504" w:rsidRPr="00FB75AD">
        <w:rPr>
          <w:rFonts w:hint="cs"/>
          <w:spacing w:val="-4"/>
          <w:rtl/>
          <w:lang w:val="en-US"/>
        </w:rPr>
        <w:t>ً</w:t>
      </w:r>
      <w:r w:rsidRPr="00FB75AD">
        <w:rPr>
          <w:spacing w:val="-4"/>
          <w:rtl/>
          <w:lang w:val="en-US"/>
        </w:rPr>
        <w:t xml:space="preserve"> لمبادئ المحاكمة العادلة ولغيرها من الضمانات الإجرائية؛ و(ب) إجراء تحقيق شامل وسريع ونزيه في ادعاءات صاحب البلاغ تعرضه للتعذيب؛ و(ج)</w:t>
      </w:r>
      <w:r w:rsidR="00D75351" w:rsidRPr="00FB75AD">
        <w:rPr>
          <w:rFonts w:hint="cs"/>
          <w:spacing w:val="-4"/>
          <w:rtl/>
          <w:lang w:val="en-US"/>
        </w:rPr>
        <w:t> </w:t>
      </w:r>
      <w:r w:rsidRPr="00FB75AD">
        <w:rPr>
          <w:spacing w:val="-4"/>
          <w:rtl/>
          <w:lang w:val="en-US"/>
        </w:rPr>
        <w:t>منح صاحب البلاغ تعويضا</w:t>
      </w:r>
      <w:r w:rsidR="001B0504" w:rsidRPr="00FB75AD">
        <w:rPr>
          <w:rFonts w:hint="cs"/>
          <w:spacing w:val="-4"/>
          <w:rtl/>
          <w:lang w:val="en-US"/>
        </w:rPr>
        <w:t>ً</w:t>
      </w:r>
      <w:r w:rsidRPr="00FB75AD">
        <w:rPr>
          <w:spacing w:val="-4"/>
          <w:rtl/>
          <w:lang w:val="en-US"/>
        </w:rPr>
        <w:t xml:space="preserve"> مناسبا</w:t>
      </w:r>
      <w:r w:rsidR="001B0504" w:rsidRPr="00FB75AD">
        <w:rPr>
          <w:rFonts w:hint="cs"/>
          <w:spacing w:val="-4"/>
          <w:rtl/>
          <w:lang w:val="en-US"/>
        </w:rPr>
        <w:t>ً</w:t>
      </w:r>
      <w:r w:rsidRPr="00FB75AD">
        <w:rPr>
          <w:spacing w:val="-4"/>
          <w:rtl/>
          <w:lang w:val="en-US"/>
        </w:rPr>
        <w:t xml:space="preserve"> واتخاذ الإجراءات الأخرى الكفيلة بترضيته على </w:t>
      </w:r>
      <w:r w:rsidRPr="00FB75AD">
        <w:rPr>
          <w:spacing w:val="-4"/>
          <w:rtl/>
          <w:lang w:val="en-US"/>
        </w:rPr>
        <w:lastRenderedPageBreak/>
        <w:t>الانتهاكات التي حصلت؛ و(د) اتخاذ جميع الخطوات اللازمة لمنع حدوث انتهاكات مماثلة في المستقبل.</w:t>
      </w:r>
    </w:p>
    <w:p w14:paraId="5368EFDD" w14:textId="603341FD" w:rsidR="008D21EA" w:rsidRPr="00FB75AD" w:rsidRDefault="008D21EA" w:rsidP="00264402">
      <w:pPr>
        <w:pStyle w:val="SingleTxtGA"/>
        <w:tabs>
          <w:tab w:val="clear" w:pos="1928"/>
          <w:tab w:val="clear" w:pos="2608"/>
          <w:tab w:val="clear" w:pos="3289"/>
          <w:tab w:val="clear" w:pos="3969"/>
          <w:tab w:val="left" w:pos="4252"/>
        </w:tabs>
        <w:ind w:left="4252" w:hanging="3005"/>
        <w:rPr>
          <w:szCs w:val="20"/>
          <w:lang w:val="en-US" w:eastAsia="zh-TW"/>
        </w:rPr>
      </w:pPr>
      <w:r w:rsidRPr="00FB75AD">
        <w:rPr>
          <w:b/>
          <w:bCs/>
          <w:rtl/>
          <w:lang w:val="en-US"/>
        </w:rPr>
        <w:t>الموضوع</w:t>
      </w:r>
      <w:r w:rsidR="00264402" w:rsidRPr="00FB75AD">
        <w:rPr>
          <w:rtl/>
        </w:rPr>
        <w:t>:</w:t>
      </w:r>
      <w:r w:rsidRPr="00FB75AD">
        <w:rPr>
          <w:rtl/>
          <w:lang w:val="en-US"/>
        </w:rPr>
        <w:tab/>
        <w:t>الاحتجاز غير القانوني والتعذيب وسوء المعاملة</w:t>
      </w:r>
    </w:p>
    <w:p w14:paraId="7BC6C859" w14:textId="684B036E" w:rsidR="008D21EA" w:rsidRPr="00FB75AD" w:rsidRDefault="008D21EA" w:rsidP="00264402">
      <w:pPr>
        <w:pStyle w:val="SingleTxtGA"/>
        <w:tabs>
          <w:tab w:val="clear" w:pos="1928"/>
          <w:tab w:val="clear" w:pos="2608"/>
          <w:tab w:val="clear" w:pos="3289"/>
          <w:tab w:val="clear" w:pos="3969"/>
          <w:tab w:val="left" w:pos="4252"/>
        </w:tabs>
        <w:ind w:left="4252" w:hanging="3005"/>
        <w:rPr>
          <w:bCs/>
          <w:szCs w:val="20"/>
          <w:lang w:val="en-US" w:eastAsia="zh-TW"/>
        </w:rPr>
      </w:pPr>
      <w:r w:rsidRPr="00FB75AD">
        <w:rPr>
          <w:b/>
          <w:bCs/>
          <w:rtl/>
          <w:lang w:val="en-US"/>
        </w:rPr>
        <w:t>معلومات المتابعة المقدمة سابقاً</w:t>
      </w:r>
      <w:r w:rsidR="00264402" w:rsidRPr="00FB75AD">
        <w:rPr>
          <w:rtl/>
        </w:rPr>
        <w:t>:</w:t>
      </w:r>
      <w:r w:rsidRPr="00FB75AD">
        <w:rPr>
          <w:rtl/>
          <w:lang w:val="en-US"/>
        </w:rPr>
        <w:tab/>
        <w:t>لا يوجد</w:t>
      </w:r>
    </w:p>
    <w:p w14:paraId="14010116" w14:textId="552E10DC" w:rsidR="008D21EA" w:rsidRPr="00FB75AD" w:rsidRDefault="008D21EA" w:rsidP="00264402">
      <w:pPr>
        <w:pStyle w:val="SingleTxtGA"/>
        <w:tabs>
          <w:tab w:val="clear" w:pos="1928"/>
          <w:tab w:val="clear" w:pos="2608"/>
          <w:tab w:val="clear" w:pos="3289"/>
          <w:tab w:val="clear" w:pos="3969"/>
          <w:tab w:val="left" w:pos="4252"/>
        </w:tabs>
        <w:ind w:left="4252" w:hanging="3005"/>
        <w:rPr>
          <w:rStyle w:val="FootnoteReference"/>
          <w:szCs w:val="20"/>
          <w:lang w:val="en-US" w:eastAsia="zh-TW"/>
        </w:rPr>
      </w:pPr>
      <w:r w:rsidRPr="00FB75AD">
        <w:rPr>
          <w:b/>
          <w:bCs/>
          <w:rtl/>
          <w:lang w:val="en-US"/>
        </w:rPr>
        <w:t>المعلومات المقدمة من الدولة الطرف</w:t>
      </w:r>
      <w:r w:rsidR="00264402" w:rsidRPr="00FB75AD">
        <w:rPr>
          <w:rtl/>
        </w:rPr>
        <w:t>:</w:t>
      </w:r>
      <w:r w:rsidRPr="00FB75AD">
        <w:rPr>
          <w:rtl/>
          <w:lang w:val="en-US"/>
        </w:rPr>
        <w:tab/>
      </w:r>
      <w:r w:rsidRPr="00FB75AD">
        <w:rPr>
          <w:szCs w:val="20"/>
          <w:rtl/>
          <w:lang w:val="en-US"/>
        </w:rPr>
        <w:t>8</w:t>
      </w:r>
      <w:r w:rsidRPr="00FB75AD">
        <w:rPr>
          <w:rtl/>
          <w:lang w:val="en-US"/>
        </w:rPr>
        <w:t xml:space="preserve"> تشرين الثاني/نوفمبر </w:t>
      </w:r>
      <w:r w:rsidRPr="00FB75AD">
        <w:rPr>
          <w:szCs w:val="20"/>
          <w:rtl/>
          <w:lang w:val="en-US"/>
        </w:rPr>
        <w:t>2021</w:t>
      </w:r>
      <w:r w:rsidR="00C11BB0" w:rsidRPr="00FB75AD">
        <w:rPr>
          <w:vertAlign w:val="superscript"/>
          <w:rtl/>
          <w:lang w:val="en-US"/>
        </w:rPr>
        <w:t>(</w:t>
      </w:r>
      <w:r w:rsidR="00C11BB0" w:rsidRPr="00FB75AD">
        <w:rPr>
          <w:vertAlign w:val="superscript"/>
          <w:rtl/>
          <w:lang w:val="en-US"/>
        </w:rPr>
        <w:footnoteReference w:id="29"/>
      </w:r>
      <w:r w:rsidR="00C11BB0" w:rsidRPr="00FB75AD">
        <w:rPr>
          <w:vertAlign w:val="superscript"/>
          <w:rtl/>
          <w:lang w:val="en-US"/>
        </w:rPr>
        <w:t>)</w:t>
      </w:r>
    </w:p>
    <w:p w14:paraId="05935B20" w14:textId="77777777" w:rsidR="008D21EA" w:rsidRPr="00FB75AD" w:rsidRDefault="008D21EA" w:rsidP="008D21EA">
      <w:pPr>
        <w:pStyle w:val="SingleTxtGA"/>
        <w:rPr>
          <w:szCs w:val="20"/>
          <w:lang w:val="en-US" w:eastAsia="zh-TW"/>
        </w:rPr>
      </w:pPr>
      <w:r w:rsidRPr="00FB75AD">
        <w:rPr>
          <w:rtl/>
          <w:lang w:val="en-US"/>
        </w:rPr>
        <w:tab/>
        <w:t>تدفع الدولة الطرف بأن آراء اللجنة تُرجمت إلى اللغة الأوكرانية ونُشرت على المواقع الشبكية الرسمية وأُرسلت إلى جميع السلطات المختصة.</w:t>
      </w:r>
    </w:p>
    <w:p w14:paraId="011B7B99" w14:textId="6BB6F79B" w:rsidR="008D21EA" w:rsidRPr="00FB75AD" w:rsidRDefault="008D21EA" w:rsidP="008D21EA">
      <w:pPr>
        <w:pStyle w:val="SingleTxtGA"/>
        <w:rPr>
          <w:szCs w:val="20"/>
          <w:lang w:val="en-US" w:eastAsia="zh-TW"/>
        </w:rPr>
      </w:pPr>
      <w:r w:rsidRPr="00FB75AD">
        <w:rPr>
          <w:rtl/>
          <w:lang w:val="en-US"/>
        </w:rPr>
        <w:tab/>
        <w:t xml:space="preserve">وفي </w:t>
      </w:r>
      <w:r w:rsidRPr="00FB75AD">
        <w:rPr>
          <w:szCs w:val="20"/>
          <w:rtl/>
          <w:lang w:val="en-US"/>
        </w:rPr>
        <w:t>10</w:t>
      </w:r>
      <w:r w:rsidRPr="00FB75AD">
        <w:rPr>
          <w:rtl/>
          <w:lang w:val="en-US"/>
        </w:rPr>
        <w:t xml:space="preserve"> حزيران/يونيه </w:t>
      </w:r>
      <w:r w:rsidRPr="00FB75AD">
        <w:rPr>
          <w:szCs w:val="20"/>
          <w:rtl/>
          <w:lang w:val="en-US"/>
        </w:rPr>
        <w:t>2021</w:t>
      </w:r>
      <w:r w:rsidRPr="00FB75AD">
        <w:rPr>
          <w:rtl/>
          <w:lang w:val="en-US"/>
        </w:rPr>
        <w:t xml:space="preserve">، قررت محكمة سوفوروفسكي المحلية في أوديسا عدم تأييد الطلب المقدم من صاحب البلاغ لمراجعة الحكم الصادر في </w:t>
      </w:r>
      <w:r w:rsidRPr="00FB75AD">
        <w:rPr>
          <w:szCs w:val="20"/>
          <w:rtl/>
          <w:lang w:val="en-US"/>
        </w:rPr>
        <w:t>10</w:t>
      </w:r>
      <w:r w:rsidRPr="00FB75AD">
        <w:rPr>
          <w:rtl/>
          <w:lang w:val="en-US"/>
        </w:rPr>
        <w:t xml:space="preserve"> تشرين الأول/أكتوبر </w:t>
      </w:r>
      <w:r w:rsidRPr="00FB75AD">
        <w:rPr>
          <w:szCs w:val="20"/>
          <w:rtl/>
          <w:lang w:val="en-US"/>
        </w:rPr>
        <w:t>2005</w:t>
      </w:r>
      <w:r w:rsidRPr="00FB75AD">
        <w:rPr>
          <w:rtl/>
          <w:lang w:val="en-US"/>
        </w:rPr>
        <w:t xml:space="preserve"> عن محكمة الاستئناف في مقاطعة أوديسا، في ظل ظروف اكتُشفت حديثا</w:t>
      </w:r>
      <w:r w:rsidR="001B0504" w:rsidRPr="00FB75AD">
        <w:rPr>
          <w:rFonts w:hint="cs"/>
          <w:rtl/>
          <w:lang w:val="en-US"/>
        </w:rPr>
        <w:t>ً</w:t>
      </w:r>
      <w:r w:rsidRPr="00FB75AD">
        <w:rPr>
          <w:rtl/>
          <w:lang w:val="en-US"/>
        </w:rPr>
        <w:t xml:space="preserve"> أو ظروف استثنائية، عملا</w:t>
      </w:r>
      <w:r w:rsidR="001B0504" w:rsidRPr="00FB75AD">
        <w:rPr>
          <w:rFonts w:hint="cs"/>
          <w:rtl/>
          <w:lang w:val="en-US"/>
        </w:rPr>
        <w:t>ً</w:t>
      </w:r>
      <w:r w:rsidRPr="00FB75AD">
        <w:rPr>
          <w:rtl/>
          <w:lang w:val="en-US"/>
        </w:rPr>
        <w:t xml:space="preserve"> بالمادة </w:t>
      </w:r>
      <w:r w:rsidRPr="00FB75AD">
        <w:rPr>
          <w:szCs w:val="20"/>
          <w:rtl/>
          <w:lang w:val="en-US"/>
        </w:rPr>
        <w:t>460(</w:t>
      </w:r>
      <w:r w:rsidR="00C11BB0" w:rsidRPr="00FB75AD">
        <w:rPr>
          <w:szCs w:val="20"/>
          <w:rtl/>
          <w:lang w:val="en-US"/>
        </w:rPr>
        <w:t>1)</w:t>
      </w:r>
      <w:r w:rsidR="00C11BB0" w:rsidRPr="00FB75AD">
        <w:rPr>
          <w:rtl/>
          <w:lang w:val="en-US"/>
        </w:rPr>
        <w:t xml:space="preserve"> </w:t>
      </w:r>
      <w:r w:rsidRPr="00FB75AD">
        <w:rPr>
          <w:rtl/>
          <w:lang w:val="en-US"/>
        </w:rPr>
        <w:t xml:space="preserve">من قانون الإجراءات الجنائية. واستأنف محامي صاحب البلاغ هذا القرار، وفي </w:t>
      </w:r>
      <w:r w:rsidRPr="00FB75AD">
        <w:rPr>
          <w:szCs w:val="20"/>
          <w:rtl/>
          <w:lang w:val="en-US"/>
        </w:rPr>
        <w:t>7</w:t>
      </w:r>
      <w:r w:rsidRPr="00FB75AD">
        <w:rPr>
          <w:rtl/>
          <w:lang w:val="en-US"/>
        </w:rPr>
        <w:t xml:space="preserve"> تموز/يوليه </w:t>
      </w:r>
      <w:r w:rsidRPr="00FB75AD">
        <w:rPr>
          <w:szCs w:val="20"/>
          <w:rtl/>
          <w:lang w:val="en-US"/>
        </w:rPr>
        <w:t>2021</w:t>
      </w:r>
      <w:r w:rsidRPr="00FB75AD">
        <w:rPr>
          <w:rtl/>
          <w:lang w:val="en-US"/>
        </w:rPr>
        <w:t>، قُبل عرض الاستئناف على محكمة الاستئناف في مقاطعة أوديسا. ولم يُبت حتى الآن في هذا الاستئناف.</w:t>
      </w:r>
      <w:bookmarkStart w:id="10" w:name="_Hlk86924895"/>
      <w:bookmarkEnd w:id="10"/>
    </w:p>
    <w:p w14:paraId="16614D10" w14:textId="3B5633B2" w:rsidR="008D21EA" w:rsidRPr="00FB75AD" w:rsidRDefault="008D21EA" w:rsidP="008D21EA">
      <w:pPr>
        <w:pStyle w:val="SingleTxtGA"/>
        <w:rPr>
          <w:szCs w:val="20"/>
          <w:lang w:val="en-US" w:eastAsia="zh-TW"/>
        </w:rPr>
      </w:pPr>
      <w:r w:rsidRPr="00FB75AD">
        <w:rPr>
          <w:rtl/>
          <w:lang w:val="en-US"/>
        </w:rPr>
        <w:tab/>
        <w:t>ويجري مكتب التحقيقات الحكومي حاليا</w:t>
      </w:r>
      <w:r w:rsidR="00B748CE" w:rsidRPr="00FB75AD">
        <w:rPr>
          <w:rFonts w:hint="cs"/>
          <w:rtl/>
          <w:lang w:val="en-US"/>
        </w:rPr>
        <w:t>ً</w:t>
      </w:r>
      <w:r w:rsidRPr="00FB75AD">
        <w:rPr>
          <w:rtl/>
          <w:lang w:val="en-US"/>
        </w:rPr>
        <w:t>، بقيادة مكتب المدعي العام الإقليمي في أوديسا، تحقيقا</w:t>
      </w:r>
      <w:r w:rsidR="001B0504" w:rsidRPr="00FB75AD">
        <w:rPr>
          <w:rFonts w:hint="cs"/>
          <w:rtl/>
          <w:lang w:val="en-US"/>
        </w:rPr>
        <w:t>ً</w:t>
      </w:r>
      <w:r w:rsidRPr="00FB75AD">
        <w:rPr>
          <w:rtl/>
          <w:lang w:val="en-US"/>
        </w:rPr>
        <w:t xml:space="preserve"> سابقا</w:t>
      </w:r>
      <w:r w:rsidR="001B0504" w:rsidRPr="00FB75AD">
        <w:rPr>
          <w:rFonts w:hint="cs"/>
          <w:rtl/>
          <w:lang w:val="en-US"/>
        </w:rPr>
        <w:t>ً</w:t>
      </w:r>
      <w:r w:rsidRPr="00FB75AD">
        <w:rPr>
          <w:rtl/>
          <w:lang w:val="en-US"/>
        </w:rPr>
        <w:t xml:space="preserve"> للمحاكمة في ادعاءات صاحب البلاغ بالتعرض للتعذيب. ويحاول المكتب تحديد مكان أفراد الميليشيات المسؤولين عن أحداث عام </w:t>
      </w:r>
      <w:r w:rsidRPr="00FB75AD">
        <w:rPr>
          <w:szCs w:val="20"/>
          <w:rtl/>
          <w:lang w:val="en-US"/>
        </w:rPr>
        <w:t>2002</w:t>
      </w:r>
      <w:r w:rsidRPr="00FB75AD">
        <w:rPr>
          <w:rtl/>
          <w:lang w:val="en-US"/>
        </w:rPr>
        <w:t xml:space="preserve"> لاستجوابهم.</w:t>
      </w:r>
    </w:p>
    <w:p w14:paraId="2DD6264C" w14:textId="0EA7343F" w:rsidR="008D21EA" w:rsidRPr="00FB75AD" w:rsidRDefault="008D21EA" w:rsidP="008D21EA">
      <w:pPr>
        <w:pStyle w:val="SingleTxtGA"/>
        <w:rPr>
          <w:szCs w:val="20"/>
          <w:lang w:val="en-US" w:eastAsia="zh-TW"/>
        </w:rPr>
      </w:pPr>
      <w:r w:rsidRPr="00FB75AD">
        <w:rPr>
          <w:rtl/>
          <w:lang w:val="en-US"/>
        </w:rPr>
        <w:tab/>
        <w:t>وفيما يتعلق بالتعويض، لم يصدر حكم بالبراءة، والإجراءات الجنائية المتعلقة بصاحب البلاغ ليست مغلقة، عملا</w:t>
      </w:r>
      <w:r w:rsidR="001B0504" w:rsidRPr="00FB75AD">
        <w:rPr>
          <w:rFonts w:hint="cs"/>
          <w:rtl/>
          <w:lang w:val="en-US"/>
        </w:rPr>
        <w:t>ً</w:t>
      </w:r>
      <w:r w:rsidRPr="00FB75AD">
        <w:rPr>
          <w:rtl/>
          <w:lang w:val="en-US"/>
        </w:rPr>
        <w:t xml:space="preserve"> بالإجراء المنصوص عليه في قانون الإجراءات الجنائية</w:t>
      </w:r>
      <w:r w:rsidR="00C11BB0" w:rsidRPr="00FB75AD">
        <w:rPr>
          <w:vertAlign w:val="superscript"/>
          <w:rtl/>
          <w:lang w:val="en-US"/>
        </w:rPr>
        <w:t>(</w:t>
      </w:r>
      <w:r w:rsidR="00C11BB0" w:rsidRPr="00FB75AD">
        <w:rPr>
          <w:vertAlign w:val="superscript"/>
          <w:rtl/>
          <w:lang w:val="en-US"/>
        </w:rPr>
        <w:footnoteReference w:id="30"/>
      </w:r>
      <w:r w:rsidR="00C11BB0" w:rsidRPr="00FB75AD">
        <w:rPr>
          <w:vertAlign w:val="superscript"/>
          <w:rtl/>
          <w:lang w:val="en-US"/>
        </w:rPr>
        <w:t>)</w:t>
      </w:r>
      <w:r w:rsidRPr="00FB75AD">
        <w:rPr>
          <w:rtl/>
          <w:lang w:val="en-US"/>
        </w:rPr>
        <w:t>. وبالتالي، لا توجد أسس قانونية لتعويض صاحب البلاغ عن الضرر الناجم عن الأفعال غير القانونية التي ارتكبتها هيئة التحقيق السابق للمحاكمة أو مكتب المدعي العام أو المحاكم. وعلاوة على ذلك، لم يثر صاحب البلاغ مسألة التعويض، عند الشروع في مراجعة قضيته الجنائية في ظل ظروف اكتُشفت حديثا</w:t>
      </w:r>
      <w:r w:rsidR="00B748CE" w:rsidRPr="00FB75AD">
        <w:rPr>
          <w:rFonts w:hint="cs"/>
          <w:rtl/>
          <w:lang w:val="en-US"/>
        </w:rPr>
        <w:t>ً</w:t>
      </w:r>
      <w:r w:rsidRPr="00FB75AD">
        <w:rPr>
          <w:rtl/>
          <w:lang w:val="en-US"/>
        </w:rPr>
        <w:t>.</w:t>
      </w:r>
    </w:p>
    <w:p w14:paraId="2FA0812D" w14:textId="1DF68F8B" w:rsidR="00C11BB0" w:rsidRPr="00FB75AD" w:rsidRDefault="008D21EA" w:rsidP="008D21EA">
      <w:pPr>
        <w:pStyle w:val="SingleTxtGA"/>
        <w:rPr>
          <w:szCs w:val="20"/>
          <w:lang w:val="en-US" w:eastAsia="zh-TW"/>
        </w:rPr>
      </w:pPr>
      <w:r w:rsidRPr="00FB75AD">
        <w:rPr>
          <w:rtl/>
          <w:lang w:val="en-US"/>
        </w:rPr>
        <w:tab/>
        <w:t xml:space="preserve">وفيما يتعلق بمنع حدوث انتهاكات مماثلة في المستقبل، اتُخذت منذ عام </w:t>
      </w:r>
      <w:r w:rsidRPr="00FB75AD">
        <w:rPr>
          <w:szCs w:val="20"/>
          <w:rtl/>
          <w:lang w:val="en-US"/>
        </w:rPr>
        <w:t>2019</w:t>
      </w:r>
      <w:r w:rsidRPr="00FB75AD">
        <w:rPr>
          <w:rtl/>
          <w:lang w:val="en-US"/>
        </w:rPr>
        <w:t xml:space="preserve"> الخطوات التالية لمنع ادعاءات سوء المعاملة والتعذيب التي يرتكبها الموظفون المكلفون بإنفاذ القانون والتحقيق فيها</w:t>
      </w:r>
      <w:r w:rsidR="00264402" w:rsidRPr="00FB75AD">
        <w:rPr>
          <w:rtl/>
        </w:rPr>
        <w:t>:</w:t>
      </w:r>
      <w:r w:rsidRPr="00FB75AD">
        <w:rPr>
          <w:rtl/>
          <w:lang w:val="en-US"/>
        </w:rPr>
        <w:t xml:space="preserve"> (أ)</w:t>
      </w:r>
      <w:r w:rsidR="00B748CE" w:rsidRPr="00FB75AD">
        <w:rPr>
          <w:rFonts w:hint="cs"/>
          <w:rtl/>
          <w:lang w:val="en-US"/>
        </w:rPr>
        <w:t> </w:t>
      </w:r>
      <w:r w:rsidRPr="00FB75AD">
        <w:rPr>
          <w:rtl/>
          <w:lang w:val="en-US"/>
        </w:rPr>
        <w:t xml:space="preserve">عُين </w:t>
      </w:r>
      <w:r w:rsidRPr="00FB75AD">
        <w:rPr>
          <w:szCs w:val="20"/>
          <w:rtl/>
          <w:lang w:val="en-US"/>
        </w:rPr>
        <w:t>70</w:t>
      </w:r>
      <w:r w:rsidRPr="00FB75AD">
        <w:rPr>
          <w:rtl/>
          <w:lang w:val="en-US"/>
        </w:rPr>
        <w:t xml:space="preserve"> محققا</w:t>
      </w:r>
      <w:r w:rsidR="00B748CE" w:rsidRPr="00FB75AD">
        <w:rPr>
          <w:rFonts w:hint="cs"/>
          <w:rtl/>
          <w:lang w:val="en-US"/>
        </w:rPr>
        <w:t>ً</w:t>
      </w:r>
      <w:r w:rsidRPr="00FB75AD">
        <w:rPr>
          <w:rtl/>
          <w:lang w:val="en-US"/>
        </w:rPr>
        <w:t xml:space="preserve"> متمرسا</w:t>
      </w:r>
      <w:r w:rsidR="00B748CE" w:rsidRPr="00FB75AD">
        <w:rPr>
          <w:rFonts w:hint="cs"/>
          <w:rtl/>
          <w:lang w:val="en-US"/>
        </w:rPr>
        <w:t>ً</w:t>
      </w:r>
      <w:r w:rsidRPr="00FB75AD">
        <w:rPr>
          <w:rtl/>
          <w:lang w:val="en-US"/>
        </w:rPr>
        <w:t xml:space="preserve"> في مكتب التحقيقات الحكومي؛ و(ب) في عام </w:t>
      </w:r>
      <w:r w:rsidRPr="00FB75AD">
        <w:rPr>
          <w:szCs w:val="20"/>
          <w:rtl/>
          <w:lang w:val="en-US"/>
        </w:rPr>
        <w:t>2020</w:t>
      </w:r>
      <w:r w:rsidRPr="00FB75AD">
        <w:rPr>
          <w:rtl/>
          <w:lang w:val="en-US"/>
        </w:rPr>
        <w:t xml:space="preserve">، قُدمت إلى المحكمة </w:t>
      </w:r>
      <w:r w:rsidRPr="00FB75AD">
        <w:rPr>
          <w:szCs w:val="20"/>
          <w:rtl/>
          <w:lang w:val="en-US"/>
        </w:rPr>
        <w:t>83</w:t>
      </w:r>
      <w:r w:rsidRPr="00FB75AD">
        <w:rPr>
          <w:rtl/>
          <w:lang w:val="en-US"/>
        </w:rPr>
        <w:t xml:space="preserve"> لائحة اتهام ضد </w:t>
      </w:r>
      <w:r w:rsidRPr="00FB75AD">
        <w:rPr>
          <w:szCs w:val="20"/>
          <w:rtl/>
          <w:lang w:val="en-US"/>
        </w:rPr>
        <w:t>117</w:t>
      </w:r>
      <w:r w:rsidRPr="00FB75AD">
        <w:rPr>
          <w:rtl/>
          <w:lang w:val="en-US"/>
        </w:rPr>
        <w:t xml:space="preserve"> ضابطا</w:t>
      </w:r>
      <w:r w:rsidR="00B748CE" w:rsidRPr="00FB75AD">
        <w:rPr>
          <w:rFonts w:hint="cs"/>
          <w:rtl/>
          <w:lang w:val="en-US"/>
        </w:rPr>
        <w:t>ً</w:t>
      </w:r>
      <w:r w:rsidRPr="00FB75AD">
        <w:rPr>
          <w:rtl/>
          <w:lang w:val="en-US"/>
        </w:rPr>
        <w:t xml:space="preserve"> في جرائم تعذيب أو سوء معاملة أو اعتداء، وتم التحقيق في </w:t>
      </w:r>
      <w:r w:rsidRPr="00FB75AD">
        <w:rPr>
          <w:szCs w:val="20"/>
          <w:rtl/>
          <w:lang w:val="en-US"/>
        </w:rPr>
        <w:t>155</w:t>
      </w:r>
      <w:r w:rsidRPr="00FB75AD">
        <w:rPr>
          <w:rtl/>
          <w:lang w:val="en-US"/>
        </w:rPr>
        <w:t xml:space="preserve"> دعوى جنائية حتى الآن في عام </w:t>
      </w:r>
      <w:r w:rsidRPr="00FB75AD">
        <w:rPr>
          <w:szCs w:val="20"/>
          <w:rtl/>
          <w:lang w:val="en-US"/>
        </w:rPr>
        <w:t>2021</w:t>
      </w:r>
      <w:r w:rsidRPr="00FB75AD">
        <w:rPr>
          <w:rtl/>
          <w:lang w:val="en-US"/>
        </w:rPr>
        <w:t xml:space="preserve">؛ و(ج) في تموز/يوليه </w:t>
      </w:r>
      <w:r w:rsidRPr="00FB75AD">
        <w:rPr>
          <w:szCs w:val="20"/>
          <w:rtl/>
          <w:lang w:val="en-US"/>
        </w:rPr>
        <w:t>2020</w:t>
      </w:r>
      <w:r w:rsidRPr="00FB75AD">
        <w:rPr>
          <w:rtl/>
          <w:lang w:val="en-US"/>
        </w:rPr>
        <w:t>، عُقد أول اجتماع تنسيقي لجميع رؤساء وكالات إنفاذ القانون بشأن مكافحة التعذيب وسوء المعاملة؛ و(د) عقب ذلك الاجتماع، أنشأت وزارة الداخلية نظاما</w:t>
      </w:r>
      <w:r w:rsidR="00B748CE" w:rsidRPr="00FB75AD">
        <w:rPr>
          <w:rFonts w:hint="cs"/>
          <w:rtl/>
          <w:lang w:val="en-US"/>
        </w:rPr>
        <w:t>ً</w:t>
      </w:r>
      <w:r w:rsidRPr="00FB75AD">
        <w:rPr>
          <w:rtl/>
          <w:lang w:val="en-US"/>
        </w:rPr>
        <w:t xml:space="preserve"> إلكترونيا</w:t>
      </w:r>
      <w:r w:rsidR="00B748CE" w:rsidRPr="00FB75AD">
        <w:rPr>
          <w:rFonts w:hint="cs"/>
          <w:rtl/>
          <w:lang w:val="en-US"/>
        </w:rPr>
        <w:t>ً</w:t>
      </w:r>
      <w:r w:rsidRPr="00FB75AD">
        <w:rPr>
          <w:rtl/>
          <w:lang w:val="en-US"/>
        </w:rPr>
        <w:t xml:space="preserve"> لسجلات الاحتجاز؛ و(ه) في كانون الثاني/يناير </w:t>
      </w:r>
      <w:r w:rsidRPr="00FB75AD">
        <w:rPr>
          <w:szCs w:val="20"/>
          <w:rtl/>
          <w:lang w:val="en-US"/>
        </w:rPr>
        <w:t>2021</w:t>
      </w:r>
      <w:r w:rsidRPr="00FB75AD">
        <w:rPr>
          <w:rtl/>
          <w:lang w:val="en-US"/>
        </w:rPr>
        <w:t>، أنشأ مكتب المدعي العام إدارة مكافحة انتهاكات حقوق الإنسان في مجال إنفاذ القانون والسجون؛ و(و) وضع مكتب المدعي العام، بالاشتراك مع وزارة الصحة، توجيهات بشأن تحديد الإصابات الخارجية استنادا</w:t>
      </w:r>
      <w:r w:rsidR="00B748CE" w:rsidRPr="00FB75AD">
        <w:rPr>
          <w:rFonts w:hint="cs"/>
          <w:rtl/>
          <w:lang w:val="en-US"/>
        </w:rPr>
        <w:t>ً</w:t>
      </w:r>
      <w:r w:rsidRPr="00FB75AD">
        <w:rPr>
          <w:rtl/>
          <w:lang w:val="en-US"/>
        </w:rPr>
        <w:t xml:space="preserve"> إلى مبادئ وإجراءات دليل التقصي والتوثيق الفعالين للتعذيب وغيره من ضروب المعاملة أو العقوبة القاسية أو اللاإنسانية أو</w:t>
      </w:r>
      <w:r w:rsidR="002D7DB1" w:rsidRPr="00FB75AD">
        <w:rPr>
          <w:rFonts w:hint="cs"/>
          <w:rtl/>
          <w:lang w:val="en-US"/>
        </w:rPr>
        <w:t> </w:t>
      </w:r>
      <w:r w:rsidRPr="00FB75AD">
        <w:rPr>
          <w:rtl/>
          <w:lang w:val="en-US"/>
        </w:rPr>
        <w:t>المهينة (بروتوكول اسطنبول</w:t>
      </w:r>
      <w:r w:rsidR="00C11BB0" w:rsidRPr="00FB75AD">
        <w:rPr>
          <w:rtl/>
          <w:lang w:val="en-US"/>
        </w:rPr>
        <w:t xml:space="preserve">)، </w:t>
      </w:r>
      <w:r w:rsidRPr="00FB75AD">
        <w:rPr>
          <w:rtl/>
          <w:lang w:val="en-US"/>
        </w:rPr>
        <w:t>غير أنها لم تنفَّذ بعد تنفيذا</w:t>
      </w:r>
      <w:r w:rsidR="00B748CE" w:rsidRPr="00FB75AD">
        <w:rPr>
          <w:rFonts w:hint="cs"/>
          <w:rtl/>
          <w:lang w:val="en-US"/>
        </w:rPr>
        <w:t>ً</w:t>
      </w:r>
      <w:r w:rsidRPr="00FB75AD">
        <w:rPr>
          <w:rtl/>
          <w:lang w:val="en-US"/>
        </w:rPr>
        <w:t xml:space="preserve"> كاملا</w:t>
      </w:r>
      <w:r w:rsidR="00B748CE" w:rsidRPr="00FB75AD">
        <w:rPr>
          <w:rFonts w:hint="cs"/>
          <w:rtl/>
          <w:lang w:val="en-US"/>
        </w:rPr>
        <w:t>ً</w:t>
      </w:r>
      <w:r w:rsidRPr="00FB75AD">
        <w:rPr>
          <w:rtl/>
          <w:lang w:val="en-US"/>
        </w:rPr>
        <w:t>؛ و(ز) يقوم مكتب التحقيقات الحكومي حاليا</w:t>
      </w:r>
      <w:r w:rsidR="00B748CE" w:rsidRPr="00FB75AD">
        <w:rPr>
          <w:rFonts w:hint="cs"/>
          <w:rtl/>
          <w:lang w:val="en-US"/>
        </w:rPr>
        <w:t>ً</w:t>
      </w:r>
      <w:r w:rsidRPr="00FB75AD">
        <w:rPr>
          <w:rtl/>
          <w:lang w:val="en-US"/>
        </w:rPr>
        <w:t xml:space="preserve"> بتعديل إجراءاته المتعلقة بالموظفين الطبيين للكشف عن الإصابات عند الإبلاغ عن ادعاءات </w:t>
      </w:r>
      <w:r w:rsidRPr="00FB75AD">
        <w:rPr>
          <w:rtl/>
          <w:lang w:val="en-US"/>
        </w:rPr>
        <w:lastRenderedPageBreak/>
        <w:t xml:space="preserve">التعذيب أو سوء المعاملة؛ و(ح) في </w:t>
      </w:r>
      <w:r w:rsidRPr="00FB75AD">
        <w:rPr>
          <w:szCs w:val="20"/>
          <w:rtl/>
          <w:lang w:val="en-US"/>
        </w:rPr>
        <w:t>28</w:t>
      </w:r>
      <w:r w:rsidRPr="00FB75AD">
        <w:rPr>
          <w:rtl/>
          <w:lang w:val="en-US"/>
        </w:rPr>
        <w:t xml:space="preserve"> تشرين الأول/أكتوبر </w:t>
      </w:r>
      <w:r w:rsidRPr="00FB75AD">
        <w:rPr>
          <w:szCs w:val="20"/>
          <w:rtl/>
          <w:lang w:val="en-US"/>
        </w:rPr>
        <w:t>2021</w:t>
      </w:r>
      <w:r w:rsidRPr="00FB75AD">
        <w:rPr>
          <w:rtl/>
          <w:lang w:val="en-US"/>
        </w:rPr>
        <w:t xml:space="preserve">، وافقت الدولة الطرف على استراتيجية وخطة عمل جديدتين لمكافحة التعذيب في نظام العدالة الجنائية </w:t>
      </w:r>
      <w:r w:rsidRPr="00FB75AD">
        <w:rPr>
          <w:szCs w:val="20"/>
          <w:rtl/>
          <w:lang w:val="en-US"/>
        </w:rPr>
        <w:t>(</w:t>
      </w:r>
      <w:r w:rsidR="00CC72EC" w:rsidRPr="00FB75AD">
        <w:rPr>
          <w:rFonts w:hint="cs"/>
          <w:szCs w:val="20"/>
          <w:rtl/>
          <w:lang w:val="en-US"/>
        </w:rPr>
        <w:t>2021-2023</w:t>
      </w:r>
      <w:r w:rsidR="00C11BB0" w:rsidRPr="00FB75AD">
        <w:rPr>
          <w:szCs w:val="20"/>
          <w:rtl/>
          <w:lang w:val="en-US"/>
        </w:rPr>
        <w:t>)</w:t>
      </w:r>
      <w:r w:rsidR="00C11BB0" w:rsidRPr="00FB75AD">
        <w:rPr>
          <w:rtl/>
          <w:lang w:val="en-US"/>
        </w:rPr>
        <w:t xml:space="preserve">. </w:t>
      </w:r>
      <w:r w:rsidRPr="00FB75AD">
        <w:rPr>
          <w:rtl/>
          <w:lang w:val="en-US"/>
        </w:rPr>
        <w:t xml:space="preserve">وعلاوة على ذلك، دخل قانون الشرطة الوطنية، الذي ينظم الاستخدام المفرط للقوة والتعذيب وسوء المعاملة من جانب أفراد الشرطة، حيز التنفيذ في </w:t>
      </w:r>
      <w:r w:rsidRPr="00FB75AD">
        <w:rPr>
          <w:szCs w:val="20"/>
          <w:rtl/>
          <w:lang w:val="en-US"/>
        </w:rPr>
        <w:t>7</w:t>
      </w:r>
      <w:r w:rsidRPr="00FB75AD">
        <w:rPr>
          <w:rtl/>
          <w:lang w:val="en-US"/>
        </w:rPr>
        <w:t xml:space="preserve"> تشرين الثاني/نوفمبر </w:t>
      </w:r>
      <w:r w:rsidRPr="00FB75AD">
        <w:rPr>
          <w:szCs w:val="20"/>
          <w:rtl/>
          <w:lang w:val="en-US"/>
        </w:rPr>
        <w:t>201</w:t>
      </w:r>
      <w:r w:rsidR="00C11BB0" w:rsidRPr="00FB75AD">
        <w:rPr>
          <w:szCs w:val="20"/>
          <w:rtl/>
          <w:lang w:val="en-US"/>
        </w:rPr>
        <w:t>5</w:t>
      </w:r>
      <w:r w:rsidR="00C11BB0" w:rsidRPr="00FB75AD">
        <w:rPr>
          <w:rtl/>
          <w:lang w:val="en-US"/>
        </w:rPr>
        <w:t>.</w:t>
      </w:r>
    </w:p>
    <w:p w14:paraId="7AC937ED" w14:textId="1633E83F" w:rsidR="008D21EA" w:rsidRPr="00FB75AD" w:rsidRDefault="008D21EA" w:rsidP="008D21EA">
      <w:pPr>
        <w:pStyle w:val="SingleTxtGA"/>
        <w:rPr>
          <w:rStyle w:val="FootnoteReference"/>
          <w:szCs w:val="20"/>
          <w:lang w:val="en-US" w:eastAsia="zh-TW"/>
        </w:rPr>
      </w:pPr>
      <w:r w:rsidRPr="00FB75AD">
        <w:rPr>
          <w:b/>
          <w:bCs/>
          <w:rtl/>
          <w:lang w:val="en-US"/>
        </w:rPr>
        <w:t>المعلومات المقدمة من محامي صاحب البلاغ</w:t>
      </w:r>
      <w:r w:rsidR="00264402" w:rsidRPr="00FB75AD">
        <w:rPr>
          <w:rtl/>
        </w:rPr>
        <w:t>:</w:t>
      </w:r>
      <w:r w:rsidRPr="00FB75AD">
        <w:rPr>
          <w:rtl/>
          <w:lang w:val="en-US"/>
        </w:rPr>
        <w:t xml:space="preserve"> </w:t>
      </w:r>
      <w:r w:rsidRPr="00FB75AD">
        <w:rPr>
          <w:szCs w:val="20"/>
          <w:rtl/>
          <w:lang w:val="en-US"/>
        </w:rPr>
        <w:t>1</w:t>
      </w:r>
      <w:r w:rsidRPr="00FB75AD">
        <w:rPr>
          <w:rtl/>
          <w:lang w:val="en-US"/>
        </w:rPr>
        <w:t xml:space="preserve"> تشرين الثاني/نوفمبر </w:t>
      </w:r>
      <w:r w:rsidRPr="00FB75AD">
        <w:rPr>
          <w:szCs w:val="20"/>
          <w:rtl/>
          <w:lang w:val="en-US"/>
        </w:rPr>
        <w:t>2022</w:t>
      </w:r>
      <w:r w:rsidR="00C11BB0" w:rsidRPr="00FB75AD">
        <w:rPr>
          <w:vertAlign w:val="superscript"/>
          <w:rtl/>
          <w:lang w:val="en-US"/>
        </w:rPr>
        <w:t>(</w:t>
      </w:r>
      <w:r w:rsidR="00C11BB0" w:rsidRPr="00FB75AD">
        <w:rPr>
          <w:vertAlign w:val="superscript"/>
          <w:rtl/>
          <w:lang w:val="en-US"/>
        </w:rPr>
        <w:footnoteReference w:id="31"/>
      </w:r>
      <w:r w:rsidR="00C11BB0" w:rsidRPr="00FB75AD">
        <w:rPr>
          <w:vertAlign w:val="superscript"/>
          <w:rtl/>
          <w:lang w:val="en-US"/>
        </w:rPr>
        <w:t>)</w:t>
      </w:r>
    </w:p>
    <w:p w14:paraId="14738B67" w14:textId="41BA262C" w:rsidR="008D21EA" w:rsidRPr="00FB75AD" w:rsidRDefault="008D21EA" w:rsidP="008D21EA">
      <w:pPr>
        <w:pStyle w:val="SingleTxtGA"/>
        <w:rPr>
          <w:szCs w:val="20"/>
          <w:lang w:val="en-US" w:eastAsia="zh-TW"/>
        </w:rPr>
      </w:pPr>
      <w:r w:rsidRPr="00FB75AD">
        <w:rPr>
          <w:rtl/>
          <w:lang w:val="en-US"/>
        </w:rPr>
        <w:tab/>
        <w:t>يؤكد المحامي أن الدولة الطرف لم تتصل به بشأن تنفيذ الآراء. ولم يتلق نسخة من الآراء، سواء باللغة الإنكليزية الأصلية</w:t>
      </w:r>
      <w:r w:rsidR="00C11BB0" w:rsidRPr="00FB75AD">
        <w:rPr>
          <w:vertAlign w:val="superscript"/>
          <w:rtl/>
          <w:lang w:val="en-US"/>
        </w:rPr>
        <w:t>(</w:t>
      </w:r>
      <w:r w:rsidR="00C11BB0" w:rsidRPr="00FB75AD">
        <w:rPr>
          <w:vertAlign w:val="superscript"/>
          <w:rtl/>
          <w:lang w:val="en-US"/>
        </w:rPr>
        <w:footnoteReference w:id="32"/>
      </w:r>
      <w:r w:rsidR="00C11BB0" w:rsidRPr="00FB75AD">
        <w:rPr>
          <w:vertAlign w:val="superscript"/>
          <w:rtl/>
          <w:lang w:val="en-US"/>
        </w:rPr>
        <w:t>)</w:t>
      </w:r>
      <w:r w:rsidRPr="00FB75AD">
        <w:rPr>
          <w:rtl/>
          <w:lang w:val="en-US"/>
        </w:rPr>
        <w:t> أو مترجمة إلى الأوكرانية. ولم تتح له فرصة تقديم طلب إلى وزارة العدل أو</w:t>
      </w:r>
      <w:r w:rsidR="00B748CE" w:rsidRPr="00FB75AD">
        <w:rPr>
          <w:rFonts w:hint="cs"/>
          <w:rtl/>
          <w:lang w:val="en-US"/>
        </w:rPr>
        <w:t> </w:t>
      </w:r>
      <w:r w:rsidRPr="00FB75AD">
        <w:rPr>
          <w:rtl/>
          <w:lang w:val="en-US"/>
        </w:rPr>
        <w:t>محاكم الدولة الطرف أو مكتب المدعي العام لضمان تنفيذ الآراء.</w:t>
      </w:r>
    </w:p>
    <w:p w14:paraId="2FB7B9DF" w14:textId="3F8C0823" w:rsidR="008D21EA" w:rsidRPr="00FB75AD" w:rsidRDefault="008D21EA" w:rsidP="008D21EA">
      <w:pPr>
        <w:pStyle w:val="SingleTxtGA"/>
        <w:rPr>
          <w:szCs w:val="20"/>
          <w:lang w:val="en-US" w:eastAsia="zh-TW"/>
        </w:rPr>
      </w:pPr>
      <w:r w:rsidRPr="00FB75AD">
        <w:rPr>
          <w:rtl/>
          <w:lang w:val="en-US"/>
        </w:rPr>
        <w:tab/>
        <w:t>وقد أساءت الدولة الطرف عرض التدابير التي اتخذتها السلطات لتنفيذ الآراء الواردة في هذا البلاغ. وفي حين أن صاحب البلاغ قد شرع بالفعل في مراجعة قضيته الجنائية استنادا</w:t>
      </w:r>
      <w:r w:rsidR="00B748CE" w:rsidRPr="00FB75AD">
        <w:rPr>
          <w:rFonts w:hint="cs"/>
          <w:rtl/>
          <w:lang w:val="en-US"/>
        </w:rPr>
        <w:t>ً</w:t>
      </w:r>
      <w:r w:rsidRPr="00FB75AD">
        <w:rPr>
          <w:rtl/>
          <w:lang w:val="en-US"/>
        </w:rPr>
        <w:t xml:space="preserve"> إلى ظروف مكتشفة حديثا</w:t>
      </w:r>
      <w:r w:rsidR="00B748CE" w:rsidRPr="00FB75AD">
        <w:rPr>
          <w:rFonts w:hint="cs"/>
          <w:rtl/>
          <w:lang w:val="en-US"/>
        </w:rPr>
        <w:t>ً</w:t>
      </w:r>
      <w:r w:rsidRPr="00FB75AD">
        <w:rPr>
          <w:rtl/>
          <w:lang w:val="en-US"/>
        </w:rPr>
        <w:t xml:space="preserve">، فقد رفضت محكمة سوفوروفسكي المحلية في أوديسا طلبه في </w:t>
      </w:r>
      <w:r w:rsidRPr="00FB75AD">
        <w:rPr>
          <w:szCs w:val="20"/>
          <w:rtl/>
          <w:lang w:val="en-US"/>
        </w:rPr>
        <w:t>10</w:t>
      </w:r>
      <w:r w:rsidRPr="00FB75AD">
        <w:rPr>
          <w:rtl/>
          <w:lang w:val="en-US"/>
        </w:rPr>
        <w:t xml:space="preserve"> حزيران/يونيه </w:t>
      </w:r>
      <w:r w:rsidRPr="00FB75AD">
        <w:rPr>
          <w:szCs w:val="20"/>
          <w:rtl/>
          <w:lang w:val="en-US"/>
        </w:rPr>
        <w:t>202</w:t>
      </w:r>
      <w:r w:rsidR="00C11BB0" w:rsidRPr="00FB75AD">
        <w:rPr>
          <w:szCs w:val="20"/>
          <w:rtl/>
          <w:lang w:val="en-US"/>
        </w:rPr>
        <w:t>1.</w:t>
      </w:r>
      <w:r w:rsidR="00C11BB0" w:rsidRPr="00FB75AD">
        <w:rPr>
          <w:rtl/>
          <w:lang w:val="en-US"/>
        </w:rPr>
        <w:t xml:space="preserve"> </w:t>
      </w:r>
      <w:r w:rsidRPr="00FB75AD">
        <w:rPr>
          <w:rtl/>
          <w:lang w:val="en-US"/>
        </w:rPr>
        <w:t xml:space="preserve">وفي </w:t>
      </w:r>
      <w:r w:rsidRPr="00FB75AD">
        <w:rPr>
          <w:szCs w:val="20"/>
          <w:rtl/>
          <w:lang w:val="en-US"/>
        </w:rPr>
        <w:t>7</w:t>
      </w:r>
      <w:r w:rsidRPr="00FB75AD">
        <w:rPr>
          <w:rtl/>
          <w:lang w:val="en-US"/>
        </w:rPr>
        <w:t xml:space="preserve"> تموز/يوليه </w:t>
      </w:r>
      <w:r w:rsidRPr="00FB75AD">
        <w:rPr>
          <w:szCs w:val="20"/>
          <w:rtl/>
          <w:lang w:val="en-US"/>
        </w:rPr>
        <w:t>2021</w:t>
      </w:r>
      <w:r w:rsidRPr="00FB75AD">
        <w:rPr>
          <w:rtl/>
          <w:lang w:val="en-US"/>
        </w:rPr>
        <w:t>، طعن وكيل صاحب البلاغ في هذا القرار أمام محكمة الاستئناف في مقاطعة أوديسا، محتجا</w:t>
      </w:r>
      <w:r w:rsidR="00B748CE" w:rsidRPr="00FB75AD">
        <w:rPr>
          <w:rFonts w:hint="cs"/>
          <w:rtl/>
          <w:lang w:val="en-US"/>
        </w:rPr>
        <w:t>ً</w:t>
      </w:r>
      <w:r w:rsidRPr="00FB75AD">
        <w:rPr>
          <w:rtl/>
          <w:lang w:val="en-US"/>
        </w:rPr>
        <w:t xml:space="preserve"> بأنه ينبغي مراجعة الحكم الصادر بحق صاحب البلاغ على أساس القرار الذي اتخذته المحكمة الأوروبية لحقوق الإنسان بشأن المدعى عليه الآخر مع صاحب البلاغ</w:t>
      </w:r>
      <w:r w:rsidR="00C11BB0" w:rsidRPr="00FB75AD">
        <w:rPr>
          <w:vertAlign w:val="superscript"/>
          <w:rtl/>
          <w:lang w:val="en-US"/>
        </w:rPr>
        <w:t>(</w:t>
      </w:r>
      <w:r w:rsidR="00C11BB0" w:rsidRPr="00FB75AD">
        <w:rPr>
          <w:vertAlign w:val="superscript"/>
          <w:rtl/>
          <w:lang w:val="en-US"/>
        </w:rPr>
        <w:footnoteReference w:id="33"/>
      </w:r>
      <w:r w:rsidR="00C11BB0" w:rsidRPr="00FB75AD">
        <w:rPr>
          <w:vertAlign w:val="superscript"/>
          <w:rtl/>
          <w:lang w:val="en-US"/>
        </w:rPr>
        <w:t>)</w:t>
      </w:r>
      <w:r w:rsidRPr="00FB75AD">
        <w:rPr>
          <w:rtl/>
          <w:lang w:val="en-US"/>
        </w:rPr>
        <w:t xml:space="preserve">. ولذلك، لا صلة لإجراءات المراجعة الجارية بتنفيذ آراء اللجنة. وبالإضافة إلى ذلك، اكتمل منذ فترة طويلة التحقيق السابق للمحاكمة في ادعاءات صاحب البلاغ بأنه تعرض لسوء المعاملة والتعذيب على أيدي أفراد الشرطة في المديرية الرئيسية لوزارة الداخلية في مقاطعة أوديسا أثناء احتجازه في عام </w:t>
      </w:r>
      <w:r w:rsidRPr="00FB75AD">
        <w:rPr>
          <w:szCs w:val="20"/>
          <w:rtl/>
          <w:lang w:val="en-US"/>
        </w:rPr>
        <w:t>2002</w:t>
      </w:r>
      <w:r w:rsidRPr="00FB75AD">
        <w:rPr>
          <w:rtl/>
          <w:lang w:val="en-US"/>
        </w:rPr>
        <w:t xml:space="preserve"> وأُغلقت القضية رسميا</w:t>
      </w:r>
      <w:r w:rsidR="00B748CE" w:rsidRPr="00FB75AD">
        <w:rPr>
          <w:rFonts w:hint="cs"/>
          <w:rtl/>
          <w:lang w:val="en-US"/>
        </w:rPr>
        <w:t>ً</w:t>
      </w:r>
      <w:r w:rsidRPr="00FB75AD">
        <w:rPr>
          <w:rtl/>
          <w:lang w:val="en-US"/>
        </w:rPr>
        <w:t>. ولم تتخذ الشرطة أو المدعون العامون أو المحاكم أو وزارة العدل أي إجراء لتنفيذ آراء اللجنة.</w:t>
      </w:r>
    </w:p>
    <w:p w14:paraId="3662767B" w14:textId="64C9A21A" w:rsidR="008D21EA" w:rsidRPr="00FB75AD" w:rsidRDefault="008D21EA" w:rsidP="008D21EA">
      <w:pPr>
        <w:pStyle w:val="SingleTxtGA"/>
        <w:rPr>
          <w:szCs w:val="20"/>
          <w:lang w:val="en-US" w:eastAsia="zh-TW"/>
        </w:rPr>
      </w:pPr>
      <w:r w:rsidRPr="00FB75AD">
        <w:rPr>
          <w:rtl/>
          <w:lang w:val="en-US"/>
        </w:rPr>
        <w:tab/>
        <w:t>وقد وافق صاحب البلاغ، الذي يقضي حاليا</w:t>
      </w:r>
      <w:r w:rsidR="00B748CE" w:rsidRPr="00FB75AD">
        <w:rPr>
          <w:rFonts w:hint="cs"/>
          <w:rtl/>
          <w:lang w:val="en-US"/>
        </w:rPr>
        <w:t>ً</w:t>
      </w:r>
      <w:r w:rsidRPr="00FB75AD">
        <w:rPr>
          <w:rtl/>
          <w:lang w:val="en-US"/>
        </w:rPr>
        <w:t xml:space="preserve"> مدة عقوبته في مؤسسة جيتومير الإصلاحية رقم</w:t>
      </w:r>
      <w:r w:rsidR="00B748CE" w:rsidRPr="00FB75AD">
        <w:rPr>
          <w:rFonts w:hint="cs"/>
          <w:rtl/>
          <w:lang w:val="en-US"/>
        </w:rPr>
        <w:t> </w:t>
      </w:r>
      <w:r w:rsidRPr="00FB75AD">
        <w:rPr>
          <w:szCs w:val="20"/>
          <w:rtl/>
          <w:lang w:val="en-US"/>
        </w:rPr>
        <w:t>8</w:t>
      </w:r>
      <w:r w:rsidRPr="00FB75AD">
        <w:rPr>
          <w:rtl/>
          <w:lang w:val="en-US"/>
        </w:rPr>
        <w:t>، طوعا</w:t>
      </w:r>
      <w:r w:rsidR="00B748CE" w:rsidRPr="00FB75AD">
        <w:rPr>
          <w:rFonts w:hint="cs"/>
          <w:rtl/>
          <w:lang w:val="en-US"/>
        </w:rPr>
        <w:t>ً</w:t>
      </w:r>
      <w:r w:rsidRPr="00FB75AD">
        <w:rPr>
          <w:rtl/>
          <w:lang w:val="en-US"/>
        </w:rPr>
        <w:t xml:space="preserve"> على المشاركة في الدفاع عن أوكرانيا في سياق النزاع المسلح الدائر مع الاتحاد الروسي.</w:t>
      </w:r>
    </w:p>
    <w:p w14:paraId="7A6817AF" w14:textId="1641A98B" w:rsidR="008D21EA" w:rsidRPr="00FB75AD" w:rsidRDefault="008D21EA" w:rsidP="008D21EA">
      <w:pPr>
        <w:pStyle w:val="SingleTxtGA"/>
        <w:rPr>
          <w:szCs w:val="20"/>
          <w:lang w:val="en-US" w:eastAsia="zh-TW"/>
        </w:rPr>
      </w:pPr>
      <w:bookmarkStart w:id="11" w:name="_Hlk120782241"/>
      <w:r w:rsidRPr="00FB75AD">
        <w:rPr>
          <w:b/>
          <w:bCs/>
          <w:rtl/>
          <w:lang w:val="en-US"/>
        </w:rPr>
        <w:t>تقييم اللجنة</w:t>
      </w:r>
      <w:r w:rsidR="00264402" w:rsidRPr="00FB75AD">
        <w:rPr>
          <w:rtl/>
        </w:rPr>
        <w:t>:</w:t>
      </w:r>
    </w:p>
    <w:p w14:paraId="06618DF6" w14:textId="7D4C40A4" w:rsidR="008D21EA" w:rsidRPr="00FB75AD" w:rsidRDefault="0074432C" w:rsidP="008D21EA">
      <w:pPr>
        <w:pStyle w:val="SingleTxtGA"/>
        <w:rPr>
          <w:szCs w:val="20"/>
          <w:lang w:val="en-US" w:eastAsia="zh-TW"/>
        </w:rPr>
      </w:pPr>
      <w:r w:rsidRPr="00FB75AD">
        <w:rPr>
          <w:rtl/>
          <w:lang w:val="en-US"/>
        </w:rPr>
        <w:tab/>
      </w:r>
      <w:r w:rsidR="008D21EA" w:rsidRPr="00FB75AD">
        <w:rPr>
          <w:rtl/>
          <w:lang w:val="en-US"/>
        </w:rPr>
        <w:t>(أ)</w:t>
      </w:r>
      <w:r w:rsidR="008D21EA" w:rsidRPr="00FB75AD">
        <w:rPr>
          <w:rtl/>
          <w:lang w:val="en-US"/>
        </w:rPr>
        <w:tab/>
        <w:t>إبطال إدانة صاحب البلاغ وإجراء محاكمة جديدة عند اللزوم</w:t>
      </w:r>
      <w:r w:rsidR="00264402" w:rsidRPr="00FB75AD">
        <w:rPr>
          <w:rtl/>
        </w:rPr>
        <w:t>:</w:t>
      </w:r>
      <w:r w:rsidR="008D21EA" w:rsidRPr="00FB75AD">
        <w:rPr>
          <w:rtl/>
          <w:lang w:val="en-US"/>
        </w:rPr>
        <w:t xml:space="preserve"> جيم؛</w:t>
      </w:r>
    </w:p>
    <w:p w14:paraId="678FD3BB" w14:textId="74E19282" w:rsidR="008D21EA" w:rsidRPr="00FB75AD" w:rsidRDefault="0074432C" w:rsidP="008D21EA">
      <w:pPr>
        <w:pStyle w:val="SingleTxtGA"/>
        <w:rPr>
          <w:szCs w:val="20"/>
          <w:lang w:val="en-US" w:eastAsia="zh-TW"/>
        </w:rPr>
      </w:pPr>
      <w:r w:rsidRPr="00FB75AD">
        <w:rPr>
          <w:rtl/>
          <w:lang w:val="en-US"/>
        </w:rPr>
        <w:tab/>
      </w:r>
      <w:r w:rsidR="008D21EA" w:rsidRPr="00FB75AD">
        <w:rPr>
          <w:rtl/>
          <w:lang w:val="en-US"/>
        </w:rPr>
        <w:t>(ب)</w:t>
      </w:r>
      <w:r w:rsidR="008D21EA" w:rsidRPr="00FB75AD">
        <w:rPr>
          <w:rtl/>
          <w:lang w:val="en-US"/>
        </w:rPr>
        <w:tab/>
        <w:t>إجراء تحقيق شامل وسريع ونزيه في ادعاءات صاحب البلاغ تعرضه للتعذيب</w:t>
      </w:r>
      <w:r w:rsidR="00264402" w:rsidRPr="00FB75AD">
        <w:rPr>
          <w:rtl/>
        </w:rPr>
        <w:t>:</w:t>
      </w:r>
      <w:r w:rsidR="008D21EA" w:rsidRPr="00FB75AD">
        <w:rPr>
          <w:rtl/>
          <w:lang w:val="en-US"/>
        </w:rPr>
        <w:t xml:space="preserve"> باء؛</w:t>
      </w:r>
    </w:p>
    <w:p w14:paraId="13BAA413" w14:textId="022EB470" w:rsidR="008D21EA" w:rsidRPr="00FB75AD" w:rsidRDefault="0074432C" w:rsidP="008D21EA">
      <w:pPr>
        <w:pStyle w:val="SingleTxtGA"/>
        <w:rPr>
          <w:szCs w:val="20"/>
          <w:lang w:val="en-US" w:eastAsia="zh-TW"/>
        </w:rPr>
      </w:pPr>
      <w:r w:rsidRPr="00FB75AD">
        <w:rPr>
          <w:rtl/>
          <w:lang w:val="en-US"/>
        </w:rPr>
        <w:tab/>
      </w:r>
      <w:r w:rsidR="008D21EA" w:rsidRPr="00FB75AD">
        <w:rPr>
          <w:rtl/>
          <w:lang w:val="en-US"/>
        </w:rPr>
        <w:t>(ج)</w:t>
      </w:r>
      <w:r w:rsidR="008D21EA" w:rsidRPr="00FB75AD">
        <w:rPr>
          <w:rtl/>
          <w:lang w:val="en-US"/>
        </w:rPr>
        <w:tab/>
        <w:t>منح تعويض مناسب واتخاذ تدابير أخرى للترضية</w:t>
      </w:r>
      <w:r w:rsidR="00264402" w:rsidRPr="00FB75AD">
        <w:rPr>
          <w:rtl/>
        </w:rPr>
        <w:t>:</w:t>
      </w:r>
      <w:r w:rsidR="008D21EA" w:rsidRPr="00FB75AD">
        <w:rPr>
          <w:rtl/>
          <w:lang w:val="en-US"/>
        </w:rPr>
        <w:t xml:space="preserve"> جيم؛</w:t>
      </w:r>
    </w:p>
    <w:p w14:paraId="7A351908" w14:textId="53FF8E93" w:rsidR="008D21EA" w:rsidRPr="00FB75AD" w:rsidRDefault="0074432C" w:rsidP="008D21EA">
      <w:pPr>
        <w:pStyle w:val="SingleTxtGA"/>
        <w:rPr>
          <w:szCs w:val="20"/>
          <w:lang w:val="en-US" w:eastAsia="zh-TW"/>
        </w:rPr>
      </w:pPr>
      <w:r w:rsidRPr="00FB75AD">
        <w:rPr>
          <w:rtl/>
          <w:lang w:val="en-US"/>
        </w:rPr>
        <w:tab/>
      </w:r>
      <w:r w:rsidR="008D21EA" w:rsidRPr="00FB75AD">
        <w:rPr>
          <w:rtl/>
          <w:lang w:val="en-US"/>
        </w:rPr>
        <w:t>(د)</w:t>
      </w:r>
      <w:r w:rsidR="008D21EA" w:rsidRPr="00FB75AD">
        <w:rPr>
          <w:rtl/>
          <w:lang w:val="en-US"/>
        </w:rPr>
        <w:tab/>
        <w:t>عدم التكرار</w:t>
      </w:r>
      <w:r w:rsidR="00264402" w:rsidRPr="00FB75AD">
        <w:rPr>
          <w:rtl/>
        </w:rPr>
        <w:t>:</w:t>
      </w:r>
      <w:r w:rsidR="008D21EA" w:rsidRPr="00FB75AD">
        <w:rPr>
          <w:rtl/>
          <w:lang w:val="en-US"/>
        </w:rPr>
        <w:t xml:space="preserve"> باء.</w:t>
      </w:r>
    </w:p>
    <w:p w14:paraId="620E4795" w14:textId="3975AB3A" w:rsidR="008D21EA" w:rsidRPr="00FB75AD" w:rsidRDefault="008D21EA" w:rsidP="008D21EA">
      <w:pPr>
        <w:pStyle w:val="SingleTxtGA"/>
        <w:rPr>
          <w:szCs w:val="20"/>
          <w:lang w:val="en-US" w:eastAsia="zh-TW"/>
        </w:rPr>
      </w:pPr>
      <w:r w:rsidRPr="00FB75AD">
        <w:rPr>
          <w:b/>
          <w:bCs/>
          <w:rtl/>
          <w:lang w:val="en-US"/>
        </w:rPr>
        <w:t>قرار اللجنة</w:t>
      </w:r>
      <w:r w:rsidR="00264402" w:rsidRPr="00FB75AD">
        <w:rPr>
          <w:rtl/>
        </w:rPr>
        <w:t>:</w:t>
      </w:r>
      <w:r w:rsidRPr="00FB75AD">
        <w:rPr>
          <w:rtl/>
          <w:lang w:val="en-US"/>
        </w:rPr>
        <w:t xml:space="preserve"> مواصلة حوار المتابعة.</w:t>
      </w:r>
      <w:bookmarkEnd w:id="11"/>
    </w:p>
    <w:p w14:paraId="58DD0CBF" w14:textId="0F052174" w:rsidR="008D21EA" w:rsidRPr="00FB75AD" w:rsidRDefault="0074432C" w:rsidP="0074432C">
      <w:pPr>
        <w:pStyle w:val="H23GA"/>
        <w:rPr>
          <w:szCs w:val="20"/>
          <w:lang w:val="en-US" w:eastAsia="zh-TW"/>
        </w:rPr>
      </w:pPr>
      <w:r w:rsidRPr="00FB75AD">
        <w:rPr>
          <w:szCs w:val="20"/>
          <w:rtl/>
          <w:lang w:val="en-US"/>
        </w:rPr>
        <w:lastRenderedPageBreak/>
        <w:tab/>
      </w:r>
      <w:r w:rsidR="008D21EA" w:rsidRPr="00FB75AD">
        <w:rPr>
          <w:szCs w:val="20"/>
          <w:rtl/>
          <w:lang w:val="en-US"/>
        </w:rPr>
        <w:t>8-</w:t>
      </w:r>
      <w:r w:rsidR="008D21EA" w:rsidRPr="00FB75AD">
        <w:rPr>
          <w:rtl/>
          <w:lang w:val="en-US"/>
        </w:rPr>
        <w:tab/>
        <w:t>أوزبكستان</w:t>
      </w:r>
    </w:p>
    <w:p w14:paraId="333EF1A0" w14:textId="1ECE738F" w:rsidR="008D21EA" w:rsidRPr="00FB75AD" w:rsidRDefault="008D21EA" w:rsidP="0074432C">
      <w:pPr>
        <w:pStyle w:val="H23GA"/>
        <w:rPr>
          <w:szCs w:val="20"/>
          <w:lang w:val="en-US" w:eastAsia="zh-TW"/>
        </w:rPr>
      </w:pPr>
      <w:r w:rsidRPr="00FB75AD">
        <w:rPr>
          <w:rtl/>
          <w:lang w:val="en-US"/>
        </w:rPr>
        <w:tab/>
      </w:r>
      <w:r w:rsidRPr="00FB75AD">
        <w:rPr>
          <w:rtl/>
          <w:lang w:val="en-US"/>
        </w:rPr>
        <w:tab/>
        <w:t>البلاغ رقم</w:t>
      </w:r>
      <w:r w:rsidR="00C11BB0" w:rsidRPr="00FB75AD">
        <w:rPr>
          <w:rtl/>
          <w:lang w:val="en-US"/>
        </w:rPr>
        <w:t xml:space="preserve"> </w:t>
      </w:r>
      <w:r w:rsidR="003F6C52" w:rsidRPr="00FB75AD">
        <w:rPr>
          <w:rFonts w:hint="cs"/>
          <w:rtl/>
          <w:lang w:val="en-US"/>
        </w:rPr>
        <w:t>2577/2015</w:t>
      </w:r>
      <w:r w:rsidR="00C11BB0" w:rsidRPr="00FB75AD">
        <w:rPr>
          <w:rtl/>
          <w:lang w:val="en-US"/>
        </w:rPr>
        <w:t>،</w:t>
      </w:r>
      <w:r w:rsidRPr="00FB75AD">
        <w:rPr>
          <w:rtl/>
          <w:lang w:val="en-US"/>
        </w:rPr>
        <w:t xml:space="preserve"> </w:t>
      </w:r>
      <w:r w:rsidRPr="00FB75AD">
        <w:rPr>
          <w:i/>
          <w:iCs/>
          <w:rtl/>
          <w:lang w:val="en-US"/>
        </w:rPr>
        <w:t>ياكوبوفا</w:t>
      </w:r>
    </w:p>
    <w:p w14:paraId="10C852BB" w14:textId="4EC9FDF2" w:rsidR="008D21EA" w:rsidRPr="00FB75AD" w:rsidRDefault="008D21EA" w:rsidP="00CC72EC">
      <w:pPr>
        <w:pStyle w:val="SingleTxtGA"/>
        <w:tabs>
          <w:tab w:val="clear" w:pos="1928"/>
          <w:tab w:val="clear" w:pos="2608"/>
          <w:tab w:val="clear" w:pos="3289"/>
          <w:tab w:val="clear" w:pos="3969"/>
          <w:tab w:val="left" w:pos="4252"/>
        </w:tabs>
        <w:ind w:left="4252" w:hanging="3005"/>
        <w:rPr>
          <w:szCs w:val="20"/>
          <w:lang w:val="en-US" w:eastAsia="zh-TW"/>
        </w:rPr>
      </w:pPr>
      <w:r w:rsidRPr="00FB75AD">
        <w:rPr>
          <w:b/>
          <w:bCs/>
          <w:rtl/>
          <w:lang w:val="en-US"/>
        </w:rPr>
        <w:t>تاريخ اعتماد الآراء</w:t>
      </w:r>
      <w:r w:rsidR="00264402" w:rsidRPr="00FB75AD">
        <w:rPr>
          <w:rtl/>
        </w:rPr>
        <w:t>:</w:t>
      </w:r>
      <w:r w:rsidRPr="00FB75AD">
        <w:rPr>
          <w:rtl/>
          <w:lang w:val="en-US"/>
        </w:rPr>
        <w:tab/>
      </w:r>
      <w:r w:rsidRPr="00FB75AD">
        <w:rPr>
          <w:szCs w:val="20"/>
          <w:rtl/>
          <w:lang w:val="en-US"/>
        </w:rPr>
        <w:t>6</w:t>
      </w:r>
      <w:r w:rsidRPr="00FB75AD">
        <w:rPr>
          <w:rtl/>
          <w:lang w:val="en-US"/>
        </w:rPr>
        <w:t xml:space="preserve"> نيسان/أبريل </w:t>
      </w:r>
      <w:r w:rsidRPr="00FB75AD">
        <w:rPr>
          <w:szCs w:val="20"/>
          <w:rtl/>
          <w:lang w:val="en-US"/>
        </w:rPr>
        <w:t>2018</w:t>
      </w:r>
    </w:p>
    <w:p w14:paraId="0E05C72A" w14:textId="213DCC70" w:rsidR="00C11BB0" w:rsidRPr="00FB75AD" w:rsidRDefault="008D21EA" w:rsidP="00CC72EC">
      <w:pPr>
        <w:pStyle w:val="SingleTxtGA"/>
        <w:tabs>
          <w:tab w:val="clear" w:pos="1928"/>
          <w:tab w:val="clear" w:pos="2608"/>
          <w:tab w:val="clear" w:pos="3289"/>
          <w:tab w:val="clear" w:pos="3969"/>
          <w:tab w:val="left" w:pos="4252"/>
        </w:tabs>
        <w:ind w:left="4252" w:hanging="3005"/>
        <w:rPr>
          <w:szCs w:val="20"/>
          <w:lang w:val="en-US" w:eastAsia="zh-TW"/>
        </w:rPr>
      </w:pPr>
      <w:r w:rsidRPr="00FB75AD">
        <w:rPr>
          <w:b/>
          <w:bCs/>
          <w:rtl/>
          <w:lang w:val="en-US"/>
        </w:rPr>
        <w:t>المواد المنتهكة</w:t>
      </w:r>
      <w:r w:rsidR="00264402" w:rsidRPr="00FB75AD">
        <w:rPr>
          <w:rtl/>
        </w:rPr>
        <w:t>:</w:t>
      </w:r>
      <w:r w:rsidRPr="00FB75AD">
        <w:rPr>
          <w:rtl/>
          <w:lang w:val="en-US"/>
        </w:rPr>
        <w:tab/>
        <w:t xml:space="preserve">المادة </w:t>
      </w:r>
      <w:r w:rsidRPr="00FB75AD">
        <w:rPr>
          <w:szCs w:val="20"/>
          <w:rtl/>
          <w:lang w:val="en-US"/>
        </w:rPr>
        <w:t>7</w:t>
      </w:r>
      <w:r w:rsidRPr="00FB75AD">
        <w:rPr>
          <w:rtl/>
          <w:lang w:val="en-US"/>
        </w:rPr>
        <w:t xml:space="preserve">، مقروءة بمفردها وبالاقتران مع المادة </w:t>
      </w:r>
      <w:r w:rsidRPr="00FB75AD">
        <w:rPr>
          <w:szCs w:val="20"/>
          <w:rtl/>
          <w:lang w:val="en-US"/>
        </w:rPr>
        <w:t>2(3</w:t>
      </w:r>
      <w:r w:rsidR="00C11BB0" w:rsidRPr="00FB75AD">
        <w:rPr>
          <w:szCs w:val="20"/>
          <w:rtl/>
          <w:lang w:val="en-US"/>
        </w:rPr>
        <w:t>)</w:t>
      </w:r>
      <w:r w:rsidR="00C11BB0" w:rsidRPr="00FB75AD">
        <w:rPr>
          <w:rtl/>
          <w:lang w:val="en-US"/>
        </w:rPr>
        <w:t xml:space="preserve">، </w:t>
      </w:r>
      <w:r w:rsidRPr="00FB75AD">
        <w:rPr>
          <w:rtl/>
          <w:lang w:val="en-US"/>
        </w:rPr>
        <w:t xml:space="preserve">والمواد </w:t>
      </w:r>
      <w:r w:rsidRPr="00FB75AD">
        <w:rPr>
          <w:szCs w:val="20"/>
          <w:rtl/>
          <w:lang w:val="en-US"/>
        </w:rPr>
        <w:t>9(</w:t>
      </w:r>
      <w:r w:rsidR="00C11BB0" w:rsidRPr="00FB75AD">
        <w:rPr>
          <w:szCs w:val="20"/>
          <w:rtl/>
          <w:lang w:val="en-US"/>
        </w:rPr>
        <w:t>1)</w:t>
      </w:r>
      <w:r w:rsidR="00C11BB0" w:rsidRPr="00FB75AD">
        <w:rPr>
          <w:rtl/>
          <w:lang w:val="en-US"/>
        </w:rPr>
        <w:t xml:space="preserve"> </w:t>
      </w:r>
      <w:r w:rsidR="00434DD6" w:rsidRPr="00FB75AD">
        <w:rPr>
          <w:rtl/>
          <w:lang w:val="en-US"/>
        </w:rPr>
        <w:t>و</w:t>
      </w:r>
      <w:r w:rsidRPr="00FB75AD">
        <w:rPr>
          <w:szCs w:val="20"/>
          <w:rtl/>
          <w:lang w:val="en-US"/>
        </w:rPr>
        <w:t>14(</w:t>
      </w:r>
      <w:r w:rsidR="00C11BB0" w:rsidRPr="00FB75AD">
        <w:rPr>
          <w:szCs w:val="20"/>
          <w:rtl/>
          <w:lang w:val="en-US"/>
        </w:rPr>
        <w:t>2)</w:t>
      </w:r>
      <w:r w:rsidR="00C11BB0" w:rsidRPr="00FB75AD">
        <w:rPr>
          <w:rtl/>
          <w:lang w:val="en-US"/>
        </w:rPr>
        <w:t xml:space="preserve"> </w:t>
      </w:r>
      <w:r w:rsidR="00434DD6" w:rsidRPr="00FB75AD">
        <w:rPr>
          <w:rtl/>
          <w:lang w:val="en-US"/>
        </w:rPr>
        <w:t>و</w:t>
      </w:r>
      <w:r w:rsidRPr="00FB75AD">
        <w:rPr>
          <w:szCs w:val="20"/>
          <w:rtl/>
          <w:lang w:val="en-US"/>
        </w:rPr>
        <w:t>(</w:t>
      </w:r>
      <w:r w:rsidR="00C11BB0" w:rsidRPr="00FB75AD">
        <w:rPr>
          <w:szCs w:val="20"/>
          <w:rtl/>
          <w:lang w:val="en-US"/>
        </w:rPr>
        <w:t>3)</w:t>
      </w:r>
      <w:r w:rsidRPr="00FB75AD">
        <w:rPr>
          <w:szCs w:val="20"/>
          <w:rtl/>
          <w:lang w:val="en-US"/>
        </w:rPr>
        <w:t>(</w:t>
      </w:r>
      <w:r w:rsidRPr="00FB75AD">
        <w:rPr>
          <w:rtl/>
          <w:lang w:val="en-US"/>
        </w:rPr>
        <w:t>ب</w:t>
      </w:r>
      <w:r w:rsidRPr="00FB75AD">
        <w:rPr>
          <w:szCs w:val="20"/>
          <w:rtl/>
          <w:lang w:val="en-US"/>
        </w:rPr>
        <w:t>)</w:t>
      </w:r>
      <w:r w:rsidR="00434DD6" w:rsidRPr="00FB75AD">
        <w:rPr>
          <w:rtl/>
          <w:lang w:val="en-US"/>
        </w:rPr>
        <w:t xml:space="preserve"> و</w:t>
      </w:r>
      <w:r w:rsidRPr="00FB75AD">
        <w:rPr>
          <w:rtl/>
          <w:lang w:val="en-US"/>
        </w:rPr>
        <w:t>(د)</w:t>
      </w:r>
      <w:r w:rsidR="00434DD6" w:rsidRPr="00FB75AD">
        <w:rPr>
          <w:rtl/>
          <w:lang w:val="en-US"/>
        </w:rPr>
        <w:t xml:space="preserve"> و</w:t>
      </w:r>
      <w:r w:rsidRPr="00FB75AD">
        <w:rPr>
          <w:rtl/>
          <w:lang w:val="en-US"/>
        </w:rPr>
        <w:t>(ز)</w:t>
      </w:r>
      <w:r w:rsidR="00434DD6" w:rsidRPr="00FB75AD">
        <w:rPr>
          <w:rtl/>
          <w:lang w:val="en-US"/>
        </w:rPr>
        <w:t xml:space="preserve"> و</w:t>
      </w:r>
      <w:r w:rsidRPr="00FB75AD">
        <w:rPr>
          <w:szCs w:val="20"/>
          <w:rtl/>
          <w:lang w:val="en-US"/>
        </w:rPr>
        <w:t>19(</w:t>
      </w:r>
      <w:r w:rsidR="00C11BB0" w:rsidRPr="00FB75AD">
        <w:rPr>
          <w:szCs w:val="20"/>
          <w:rtl/>
          <w:lang w:val="en-US"/>
        </w:rPr>
        <w:t>2)</w:t>
      </w:r>
    </w:p>
    <w:p w14:paraId="45C57295" w14:textId="7604AB39" w:rsidR="008D21EA" w:rsidRPr="00FB75AD" w:rsidRDefault="008D21EA" w:rsidP="00CC72EC">
      <w:pPr>
        <w:pStyle w:val="SingleTxtGA"/>
        <w:tabs>
          <w:tab w:val="clear" w:pos="1928"/>
          <w:tab w:val="clear" w:pos="2608"/>
          <w:tab w:val="clear" w:pos="3289"/>
          <w:tab w:val="clear" w:pos="3969"/>
          <w:tab w:val="left" w:pos="4252"/>
        </w:tabs>
        <w:ind w:left="4252" w:hanging="3005"/>
        <w:rPr>
          <w:szCs w:val="20"/>
          <w:lang w:val="en-US" w:eastAsia="zh-TW"/>
        </w:rPr>
      </w:pPr>
      <w:r w:rsidRPr="00FB75AD">
        <w:rPr>
          <w:b/>
          <w:bCs/>
          <w:rtl/>
          <w:lang w:val="en-US"/>
        </w:rPr>
        <w:t>إجراء الانتصاف</w:t>
      </w:r>
      <w:r w:rsidR="00264402" w:rsidRPr="00FB75AD">
        <w:rPr>
          <w:rtl/>
        </w:rPr>
        <w:t>:</w:t>
      </w:r>
      <w:r w:rsidRPr="00FB75AD">
        <w:rPr>
          <w:rtl/>
          <w:lang w:val="en-US"/>
        </w:rPr>
        <w:tab/>
        <w:t>سبيل انتصاف فعال، بأشكال منها</w:t>
      </w:r>
      <w:r w:rsidR="00264402" w:rsidRPr="00FB75AD">
        <w:rPr>
          <w:rtl/>
        </w:rPr>
        <w:t>:</w:t>
      </w:r>
      <w:r w:rsidRPr="00FB75AD">
        <w:rPr>
          <w:rtl/>
          <w:lang w:val="en-US"/>
        </w:rPr>
        <w:t xml:space="preserve"> (أ) إجراء تحقيق شامل وفعال في ادعاءات السيد فورمونوف بالتعرض للتعذيب، ومقاضاة المسؤولين ومحاكمتهم ومعاقبتهم إن ثبت ذلك؛ و(ب) إلغاء أحكام المحكمة الابتدائية؛ و(ج) منح السيد فورمونوف تعويضا</w:t>
      </w:r>
      <w:r w:rsidR="00B748CE" w:rsidRPr="00FB75AD">
        <w:rPr>
          <w:rFonts w:hint="cs"/>
          <w:rtl/>
          <w:lang w:val="en-US"/>
        </w:rPr>
        <w:t>ً</w:t>
      </w:r>
      <w:r w:rsidRPr="00FB75AD">
        <w:rPr>
          <w:rtl/>
          <w:lang w:val="en-US"/>
        </w:rPr>
        <w:t xml:space="preserve"> مناسبا</w:t>
      </w:r>
      <w:r w:rsidR="00B748CE" w:rsidRPr="00FB75AD">
        <w:rPr>
          <w:rFonts w:hint="cs"/>
          <w:rtl/>
          <w:lang w:val="en-US"/>
        </w:rPr>
        <w:t>ً</w:t>
      </w:r>
      <w:r w:rsidRPr="00FB75AD">
        <w:rPr>
          <w:rtl/>
          <w:lang w:val="en-US"/>
        </w:rPr>
        <w:t xml:space="preserve"> عن الانتهاكات التي تعرض لها؛ و(د)</w:t>
      </w:r>
      <w:r w:rsidR="00B748CE" w:rsidRPr="00FB75AD">
        <w:rPr>
          <w:rFonts w:hint="cs"/>
          <w:rtl/>
          <w:lang w:val="en-US"/>
        </w:rPr>
        <w:t> </w:t>
      </w:r>
      <w:r w:rsidRPr="00FB75AD">
        <w:rPr>
          <w:rtl/>
          <w:lang w:val="en-US"/>
        </w:rPr>
        <w:t>اتخاذ جميع الخطوات اللازمة لمنع حدوث انتهاكات مماثلة في المستقبل.</w:t>
      </w:r>
    </w:p>
    <w:p w14:paraId="42C991F9" w14:textId="54D867DB" w:rsidR="008D21EA" w:rsidRPr="00FB75AD" w:rsidRDefault="008D21EA" w:rsidP="00CC72EC">
      <w:pPr>
        <w:pStyle w:val="SingleTxtGA"/>
        <w:tabs>
          <w:tab w:val="clear" w:pos="1928"/>
          <w:tab w:val="clear" w:pos="2608"/>
          <w:tab w:val="clear" w:pos="3289"/>
          <w:tab w:val="clear" w:pos="3969"/>
          <w:tab w:val="left" w:pos="4252"/>
        </w:tabs>
        <w:ind w:left="4252" w:hanging="3005"/>
        <w:rPr>
          <w:szCs w:val="20"/>
          <w:lang w:val="en-US" w:eastAsia="zh-TW"/>
        </w:rPr>
      </w:pPr>
      <w:r w:rsidRPr="00FB75AD">
        <w:rPr>
          <w:b/>
          <w:bCs/>
          <w:rtl/>
          <w:lang w:val="en-US"/>
        </w:rPr>
        <w:t>الموضوع</w:t>
      </w:r>
      <w:r w:rsidR="00264402" w:rsidRPr="00FB75AD">
        <w:rPr>
          <w:rtl/>
        </w:rPr>
        <w:t>:</w:t>
      </w:r>
      <w:r w:rsidRPr="00FB75AD">
        <w:rPr>
          <w:rtl/>
          <w:lang w:val="en-US"/>
        </w:rPr>
        <w:tab/>
        <w:t>الاحتجاز التعسفي؛ والتعذيب؛ والمحاكمة غير العادلة لناشط في مجال حقوق الإنسان</w:t>
      </w:r>
    </w:p>
    <w:p w14:paraId="49F1E11D" w14:textId="002554E8" w:rsidR="008D21EA" w:rsidRPr="00FB75AD" w:rsidRDefault="008D21EA" w:rsidP="00CC72EC">
      <w:pPr>
        <w:pStyle w:val="SingleTxtGA"/>
        <w:tabs>
          <w:tab w:val="clear" w:pos="1928"/>
          <w:tab w:val="clear" w:pos="2608"/>
          <w:tab w:val="clear" w:pos="3289"/>
          <w:tab w:val="clear" w:pos="3969"/>
          <w:tab w:val="left" w:pos="4252"/>
        </w:tabs>
        <w:ind w:left="4252" w:hanging="3005"/>
        <w:rPr>
          <w:bCs/>
          <w:szCs w:val="20"/>
          <w:lang w:val="en-US" w:eastAsia="zh-TW"/>
        </w:rPr>
      </w:pPr>
      <w:r w:rsidRPr="00FB75AD">
        <w:rPr>
          <w:b/>
          <w:bCs/>
          <w:rtl/>
          <w:lang w:val="en-US"/>
        </w:rPr>
        <w:t>معلومات المتابعة المقدمة سابقاً</w:t>
      </w:r>
      <w:r w:rsidR="00264402" w:rsidRPr="00FB75AD">
        <w:rPr>
          <w:rtl/>
        </w:rPr>
        <w:t>:</w:t>
      </w:r>
      <w:r w:rsidRPr="00FB75AD">
        <w:rPr>
          <w:rtl/>
          <w:lang w:val="en-US"/>
        </w:rPr>
        <w:tab/>
        <w:t>لا يوجد</w:t>
      </w:r>
    </w:p>
    <w:p w14:paraId="5F55DF57" w14:textId="60BB23C2" w:rsidR="008D21EA" w:rsidRPr="00FB75AD" w:rsidRDefault="008D21EA" w:rsidP="00CC72EC">
      <w:pPr>
        <w:pStyle w:val="SingleTxtGA"/>
        <w:tabs>
          <w:tab w:val="clear" w:pos="1928"/>
          <w:tab w:val="clear" w:pos="2608"/>
          <w:tab w:val="clear" w:pos="3289"/>
          <w:tab w:val="clear" w:pos="3969"/>
          <w:tab w:val="left" w:pos="4252"/>
        </w:tabs>
        <w:ind w:left="4252" w:hanging="3005"/>
        <w:rPr>
          <w:rStyle w:val="FootnoteReference"/>
          <w:szCs w:val="20"/>
          <w:lang w:val="en-US" w:eastAsia="zh-TW"/>
        </w:rPr>
      </w:pPr>
      <w:r w:rsidRPr="00FB75AD">
        <w:rPr>
          <w:b/>
          <w:bCs/>
          <w:rtl/>
          <w:lang w:val="en-US"/>
        </w:rPr>
        <w:t>المعلومات المقدمة من الدولة الطرف</w:t>
      </w:r>
      <w:r w:rsidR="00264402" w:rsidRPr="00FB75AD">
        <w:rPr>
          <w:rtl/>
        </w:rPr>
        <w:t>:</w:t>
      </w:r>
      <w:r w:rsidRPr="00FB75AD">
        <w:rPr>
          <w:rtl/>
          <w:lang w:val="en-US"/>
        </w:rPr>
        <w:tab/>
      </w:r>
      <w:r w:rsidRPr="00FB75AD">
        <w:rPr>
          <w:szCs w:val="20"/>
          <w:rtl/>
          <w:lang w:val="en-US"/>
        </w:rPr>
        <w:t>1</w:t>
      </w:r>
      <w:r w:rsidRPr="00FB75AD">
        <w:rPr>
          <w:rtl/>
          <w:lang w:val="en-US"/>
        </w:rPr>
        <w:t xml:space="preserve"> آذار/مارس </w:t>
      </w:r>
      <w:r w:rsidRPr="00FB75AD">
        <w:rPr>
          <w:szCs w:val="20"/>
          <w:rtl/>
          <w:lang w:val="en-US"/>
        </w:rPr>
        <w:t>2019</w:t>
      </w:r>
      <w:r w:rsidR="00C11BB0" w:rsidRPr="00FB75AD">
        <w:rPr>
          <w:vertAlign w:val="superscript"/>
          <w:rtl/>
          <w:lang w:val="en-US"/>
        </w:rPr>
        <w:t>(</w:t>
      </w:r>
      <w:r w:rsidR="00C11BB0" w:rsidRPr="00FB75AD">
        <w:rPr>
          <w:vertAlign w:val="superscript"/>
          <w:rtl/>
          <w:lang w:val="en-US"/>
        </w:rPr>
        <w:footnoteReference w:id="34"/>
      </w:r>
      <w:r w:rsidR="00C11BB0" w:rsidRPr="00FB75AD">
        <w:rPr>
          <w:vertAlign w:val="superscript"/>
          <w:rtl/>
          <w:lang w:val="en-US"/>
        </w:rPr>
        <w:t>)</w:t>
      </w:r>
    </w:p>
    <w:p w14:paraId="7C65E338" w14:textId="77777777" w:rsidR="008D21EA" w:rsidRPr="00FB75AD" w:rsidRDefault="008D21EA" w:rsidP="008D21EA">
      <w:pPr>
        <w:pStyle w:val="SingleTxtGA"/>
        <w:rPr>
          <w:szCs w:val="20"/>
          <w:lang w:val="en-US" w:eastAsia="zh-TW"/>
        </w:rPr>
      </w:pPr>
      <w:r w:rsidRPr="00FB75AD">
        <w:rPr>
          <w:rtl/>
          <w:lang w:val="en-US"/>
        </w:rPr>
        <w:tab/>
        <w:t>تعرب الدولة الطرف عن عدم موافقتها على استنتاجات اللجنة الواردة في آرائها. وتدفع الدولة الطرف بأن السلطات المحلية درست بدقة الحجج الواردة في الآراء، ولكنها لم تتمكن من تأكيد الحجج بسبب عدم وجود وقائع تدعم الانتهاكات المزعومة.</w:t>
      </w:r>
    </w:p>
    <w:p w14:paraId="6BCADAA5" w14:textId="60838938" w:rsidR="008D21EA" w:rsidRPr="00FB75AD" w:rsidRDefault="008D21EA" w:rsidP="008D21EA">
      <w:pPr>
        <w:pStyle w:val="SingleTxtGA"/>
        <w:rPr>
          <w:szCs w:val="20"/>
          <w:lang w:val="en-US" w:eastAsia="zh-TW"/>
        </w:rPr>
      </w:pPr>
      <w:r w:rsidRPr="00FB75AD">
        <w:rPr>
          <w:rtl/>
          <w:lang w:val="en-US"/>
        </w:rPr>
        <w:tab/>
        <w:t xml:space="preserve">وفي </w:t>
      </w:r>
      <w:r w:rsidRPr="00FB75AD">
        <w:rPr>
          <w:szCs w:val="20"/>
          <w:rtl/>
          <w:lang w:val="en-US"/>
        </w:rPr>
        <w:t>15</w:t>
      </w:r>
      <w:r w:rsidRPr="00FB75AD">
        <w:rPr>
          <w:rtl/>
          <w:lang w:val="en-US"/>
        </w:rPr>
        <w:t xml:space="preserve"> حزيران/يونيه </w:t>
      </w:r>
      <w:r w:rsidRPr="00FB75AD">
        <w:rPr>
          <w:szCs w:val="20"/>
          <w:rtl/>
          <w:lang w:val="en-US"/>
        </w:rPr>
        <w:t>2006</w:t>
      </w:r>
      <w:r w:rsidRPr="00FB75AD">
        <w:rPr>
          <w:rtl/>
          <w:lang w:val="en-US"/>
        </w:rPr>
        <w:t xml:space="preserve">، أدين السيد فورمونوف بموجب المادة </w:t>
      </w:r>
      <w:r w:rsidRPr="00FB75AD">
        <w:rPr>
          <w:szCs w:val="20"/>
          <w:rtl/>
          <w:lang w:val="en-US"/>
        </w:rPr>
        <w:t>165 (</w:t>
      </w:r>
      <w:r w:rsidRPr="00FB75AD">
        <w:rPr>
          <w:rtl/>
          <w:lang w:val="en-US"/>
        </w:rPr>
        <w:t>الابتزاز</w:t>
      </w:r>
      <w:r w:rsidRPr="00FB75AD">
        <w:rPr>
          <w:szCs w:val="20"/>
          <w:rtl/>
          <w:lang w:val="en-US"/>
        </w:rPr>
        <w:t>)</w:t>
      </w:r>
      <w:r w:rsidRPr="00FB75AD">
        <w:rPr>
          <w:rtl/>
          <w:lang w:val="en-US"/>
        </w:rPr>
        <w:t xml:space="preserve"> من القانون الجنائي لأوزبكستان وحُكم عليه بالسجن مدة تسع سنوات في سجن عام. وأيدت محكمة أعلى هذا الحكم. وثبتت إدانة السيد فورمونوف وجرت المحاكمة وفقا</w:t>
      </w:r>
      <w:r w:rsidR="00B748CE" w:rsidRPr="00FB75AD">
        <w:rPr>
          <w:rFonts w:hint="cs"/>
          <w:rtl/>
          <w:lang w:val="en-US"/>
        </w:rPr>
        <w:t>ً</w:t>
      </w:r>
      <w:r w:rsidRPr="00FB75AD">
        <w:rPr>
          <w:rtl/>
          <w:lang w:val="en-US"/>
        </w:rPr>
        <w:t xml:space="preserve"> لأحكام التشريعات الوطنية وللمعايير والمبادئ المقبولة عموما</w:t>
      </w:r>
      <w:r w:rsidR="00B748CE" w:rsidRPr="00FB75AD">
        <w:rPr>
          <w:rFonts w:hint="cs"/>
          <w:rtl/>
          <w:lang w:val="en-US"/>
        </w:rPr>
        <w:t>ً</w:t>
      </w:r>
      <w:r w:rsidRPr="00FB75AD">
        <w:rPr>
          <w:rtl/>
          <w:lang w:val="en-US"/>
        </w:rPr>
        <w:t>. وصُنفت أفعال السيد فورمونوف الإجرامية تصنيفا</w:t>
      </w:r>
      <w:r w:rsidR="00B748CE" w:rsidRPr="00FB75AD">
        <w:rPr>
          <w:rFonts w:hint="cs"/>
          <w:rtl/>
          <w:lang w:val="en-US"/>
        </w:rPr>
        <w:t>ً</w:t>
      </w:r>
      <w:r w:rsidRPr="00FB75AD">
        <w:rPr>
          <w:rtl/>
          <w:lang w:val="en-US"/>
        </w:rPr>
        <w:t xml:space="preserve"> صحيحا</w:t>
      </w:r>
      <w:r w:rsidR="00B748CE" w:rsidRPr="00FB75AD">
        <w:rPr>
          <w:rFonts w:hint="cs"/>
          <w:rtl/>
          <w:lang w:val="en-US"/>
        </w:rPr>
        <w:t>ً</w:t>
      </w:r>
      <w:r w:rsidRPr="00FB75AD">
        <w:rPr>
          <w:rtl/>
          <w:lang w:val="en-US"/>
        </w:rPr>
        <w:t xml:space="preserve"> وكانت العقوبة المفروضة متناسبة مع الجريمة ومتوافقة مع القانون. وادعاء صاحبة البلاغ أن السيد فورمونوف حوكم بسبب "أنشطة حقوق الإنسان" ادعاء غير صحيح وهو لم يتعرض لأي تدابير غير قانونية فيما يتعلق بهذه الأنشطة. وانتهك السيد فورمونوف أثناء قضاء عقوبته قواعد السجن مرارا</w:t>
      </w:r>
      <w:r w:rsidR="00B748CE" w:rsidRPr="00FB75AD">
        <w:rPr>
          <w:rFonts w:hint="cs"/>
          <w:rtl/>
          <w:lang w:val="en-US"/>
        </w:rPr>
        <w:t>ً</w:t>
      </w:r>
      <w:r w:rsidRPr="00FB75AD">
        <w:rPr>
          <w:rtl/>
          <w:lang w:val="en-US"/>
        </w:rPr>
        <w:t xml:space="preserve"> وبسوء نية. ونتيجة لذلك، حُكم عليه في </w:t>
      </w:r>
      <w:r w:rsidRPr="00FB75AD">
        <w:rPr>
          <w:szCs w:val="20"/>
          <w:rtl/>
          <w:lang w:val="en-US"/>
        </w:rPr>
        <w:t>1</w:t>
      </w:r>
      <w:r w:rsidRPr="00FB75AD">
        <w:rPr>
          <w:rtl/>
          <w:lang w:val="en-US"/>
        </w:rPr>
        <w:t xml:space="preserve"> أيار/مايو </w:t>
      </w:r>
      <w:r w:rsidRPr="00FB75AD">
        <w:rPr>
          <w:szCs w:val="20"/>
          <w:rtl/>
          <w:lang w:val="en-US"/>
        </w:rPr>
        <w:t>2015</w:t>
      </w:r>
      <w:r w:rsidRPr="00FB75AD">
        <w:rPr>
          <w:rtl/>
          <w:lang w:val="en-US"/>
        </w:rPr>
        <w:t xml:space="preserve"> بالسجن مدة خمس سنوات إضافية و</w:t>
      </w:r>
      <w:r w:rsidRPr="00FB75AD">
        <w:rPr>
          <w:szCs w:val="20"/>
          <w:rtl/>
          <w:lang w:val="en-US"/>
        </w:rPr>
        <w:t>26</w:t>
      </w:r>
      <w:r w:rsidRPr="00FB75AD">
        <w:rPr>
          <w:rtl/>
          <w:lang w:val="en-US"/>
        </w:rPr>
        <w:t xml:space="preserve"> يوما</w:t>
      </w:r>
      <w:r w:rsidR="00B748CE" w:rsidRPr="00FB75AD">
        <w:rPr>
          <w:rFonts w:hint="cs"/>
          <w:rtl/>
          <w:lang w:val="en-US"/>
        </w:rPr>
        <w:t>ً</w:t>
      </w:r>
      <w:r w:rsidRPr="00FB75AD">
        <w:rPr>
          <w:rtl/>
          <w:lang w:val="en-US"/>
        </w:rPr>
        <w:t>. واستُعيض عن جزء من الحكم الإضافي (سنتان وستة أشهر و</w:t>
      </w:r>
      <w:r w:rsidRPr="00FB75AD">
        <w:rPr>
          <w:szCs w:val="20"/>
          <w:rtl/>
          <w:lang w:val="en-US"/>
        </w:rPr>
        <w:t>27</w:t>
      </w:r>
      <w:r w:rsidRPr="00FB75AD">
        <w:rPr>
          <w:rtl/>
          <w:lang w:val="en-US"/>
        </w:rPr>
        <w:t xml:space="preserve"> يوما) بالخدمة المجتمعية.</w:t>
      </w:r>
    </w:p>
    <w:p w14:paraId="6032DD28" w14:textId="64C1BD65" w:rsidR="008D21EA" w:rsidRPr="00FB75AD" w:rsidRDefault="008D21EA" w:rsidP="008D21EA">
      <w:pPr>
        <w:pStyle w:val="SingleTxtGA"/>
        <w:rPr>
          <w:szCs w:val="20"/>
          <w:lang w:val="en-US" w:eastAsia="zh-TW"/>
        </w:rPr>
      </w:pPr>
      <w:r w:rsidRPr="00FB75AD">
        <w:rPr>
          <w:rtl/>
          <w:lang w:val="en-US"/>
        </w:rPr>
        <w:tab/>
        <w:t xml:space="preserve">وفيما يتعلق بانتهاك المادة </w:t>
      </w:r>
      <w:r w:rsidRPr="00FB75AD">
        <w:rPr>
          <w:szCs w:val="20"/>
          <w:rtl/>
          <w:lang w:val="en-US"/>
        </w:rPr>
        <w:t>7</w:t>
      </w:r>
      <w:r w:rsidRPr="00FB75AD">
        <w:rPr>
          <w:rtl/>
          <w:lang w:val="en-US"/>
        </w:rPr>
        <w:t xml:space="preserve">، مقروءة بمفردها وبالاقتران مع المادة </w:t>
      </w:r>
      <w:r w:rsidRPr="00FB75AD">
        <w:rPr>
          <w:szCs w:val="20"/>
          <w:rtl/>
          <w:lang w:val="en-US"/>
        </w:rPr>
        <w:t>2(</w:t>
      </w:r>
      <w:r w:rsidR="00C11BB0" w:rsidRPr="00FB75AD">
        <w:rPr>
          <w:szCs w:val="20"/>
          <w:rtl/>
          <w:lang w:val="en-US"/>
        </w:rPr>
        <w:t>3)</w:t>
      </w:r>
      <w:r w:rsidR="00C11BB0" w:rsidRPr="00FB75AD">
        <w:rPr>
          <w:rtl/>
          <w:lang w:val="en-US"/>
        </w:rPr>
        <w:t xml:space="preserve"> </w:t>
      </w:r>
      <w:r w:rsidRPr="00FB75AD">
        <w:rPr>
          <w:rtl/>
          <w:lang w:val="en-US"/>
        </w:rPr>
        <w:t xml:space="preserve">من العهد، أجرت سلطات الادعاء تحقيقات عديدة في شكاوى السيد فورمونوف بشأن تعرضه للتعذيب. ولم يجد المحققون أي دليل يدعم مزاعمه. ولذلك، لم يحدث انتهاك للمادة </w:t>
      </w:r>
      <w:r w:rsidRPr="00FB75AD">
        <w:rPr>
          <w:szCs w:val="20"/>
          <w:rtl/>
          <w:lang w:val="en-US"/>
        </w:rPr>
        <w:t>7</w:t>
      </w:r>
      <w:r w:rsidRPr="00FB75AD">
        <w:rPr>
          <w:rtl/>
          <w:lang w:val="en-US"/>
        </w:rPr>
        <w:t xml:space="preserve">، مقروءة بمفردها وبالاقتران مع المادة </w:t>
      </w:r>
      <w:r w:rsidRPr="00FB75AD">
        <w:rPr>
          <w:szCs w:val="20"/>
          <w:rtl/>
          <w:lang w:val="en-US"/>
        </w:rPr>
        <w:t>2(</w:t>
      </w:r>
      <w:r w:rsidR="00C11BB0" w:rsidRPr="00FB75AD">
        <w:rPr>
          <w:szCs w:val="20"/>
          <w:rtl/>
          <w:lang w:val="en-US"/>
        </w:rPr>
        <w:t>3)</w:t>
      </w:r>
      <w:r w:rsidR="00C11BB0" w:rsidRPr="00FB75AD">
        <w:rPr>
          <w:rtl/>
          <w:lang w:val="en-US"/>
        </w:rPr>
        <w:t xml:space="preserve"> </w:t>
      </w:r>
      <w:r w:rsidRPr="00FB75AD">
        <w:rPr>
          <w:rtl/>
          <w:lang w:val="en-US"/>
        </w:rPr>
        <w:t xml:space="preserve">من العهد. وفيما يتعلق بما خلصت إليه اللجنة من انتهاك حقوق السيد فورمونوف بموجب المادتين </w:t>
      </w:r>
      <w:r w:rsidRPr="00FB75AD">
        <w:rPr>
          <w:szCs w:val="20"/>
          <w:rtl/>
          <w:lang w:val="en-US"/>
        </w:rPr>
        <w:t>9(</w:t>
      </w:r>
      <w:r w:rsidR="00C11BB0" w:rsidRPr="00FB75AD">
        <w:rPr>
          <w:szCs w:val="20"/>
          <w:rtl/>
          <w:lang w:val="en-US"/>
        </w:rPr>
        <w:t>1)</w:t>
      </w:r>
      <w:r w:rsidR="00C11BB0" w:rsidRPr="00FB75AD">
        <w:rPr>
          <w:rtl/>
          <w:lang w:val="en-US"/>
        </w:rPr>
        <w:t xml:space="preserve"> </w:t>
      </w:r>
      <w:r w:rsidRPr="00FB75AD">
        <w:rPr>
          <w:rtl/>
          <w:lang w:val="en-US"/>
        </w:rPr>
        <w:t>و</w:t>
      </w:r>
      <w:r w:rsidRPr="00FB75AD">
        <w:rPr>
          <w:szCs w:val="20"/>
          <w:rtl/>
          <w:lang w:val="en-US"/>
        </w:rPr>
        <w:t>19(</w:t>
      </w:r>
      <w:r w:rsidR="00C11BB0" w:rsidRPr="00FB75AD">
        <w:rPr>
          <w:szCs w:val="20"/>
          <w:rtl/>
          <w:lang w:val="en-US"/>
        </w:rPr>
        <w:t>2)</w:t>
      </w:r>
      <w:r w:rsidR="00C11BB0" w:rsidRPr="00FB75AD">
        <w:rPr>
          <w:rtl/>
          <w:lang w:val="en-US"/>
        </w:rPr>
        <w:t xml:space="preserve"> </w:t>
      </w:r>
      <w:r w:rsidRPr="00FB75AD">
        <w:rPr>
          <w:rtl/>
          <w:lang w:val="en-US"/>
        </w:rPr>
        <w:t xml:space="preserve">من العهد، ثبتت إدانة السيد فورمونوف، في جملة أمور، من خلال رسائله التفسيرية، وإفادات </w:t>
      </w:r>
      <w:r w:rsidRPr="00FB75AD">
        <w:rPr>
          <w:rtl/>
          <w:lang w:val="en-US"/>
        </w:rPr>
        <w:lastRenderedPageBreak/>
        <w:t xml:space="preserve">الشهود، وفحص مسرح الجريمة، ومصادرة معدات إلكترونية وغيرها من الأدلة. ولذلك، لا أساس لادعاء صاحبة البلاغ حدوث انتهاك للمادتين </w:t>
      </w:r>
      <w:r w:rsidRPr="00FB75AD">
        <w:rPr>
          <w:szCs w:val="20"/>
          <w:rtl/>
          <w:lang w:val="en-US"/>
        </w:rPr>
        <w:t>9(</w:t>
      </w:r>
      <w:r w:rsidR="00C11BB0" w:rsidRPr="00FB75AD">
        <w:rPr>
          <w:szCs w:val="20"/>
          <w:rtl/>
          <w:lang w:val="en-US"/>
        </w:rPr>
        <w:t>1)</w:t>
      </w:r>
      <w:r w:rsidR="00C11BB0" w:rsidRPr="00FB75AD">
        <w:rPr>
          <w:rtl/>
          <w:lang w:val="en-US"/>
        </w:rPr>
        <w:t xml:space="preserve"> </w:t>
      </w:r>
      <w:r w:rsidRPr="00FB75AD">
        <w:rPr>
          <w:rtl/>
          <w:lang w:val="en-US"/>
        </w:rPr>
        <w:t>و</w:t>
      </w:r>
      <w:r w:rsidRPr="00FB75AD">
        <w:rPr>
          <w:szCs w:val="20"/>
          <w:rtl/>
          <w:lang w:val="en-US"/>
        </w:rPr>
        <w:t>19(</w:t>
      </w:r>
      <w:r w:rsidR="00C11BB0" w:rsidRPr="00FB75AD">
        <w:rPr>
          <w:szCs w:val="20"/>
          <w:rtl/>
          <w:lang w:val="en-US"/>
        </w:rPr>
        <w:t>2)</w:t>
      </w:r>
      <w:r w:rsidR="00C11BB0" w:rsidRPr="00FB75AD">
        <w:rPr>
          <w:rtl/>
          <w:lang w:val="en-US"/>
        </w:rPr>
        <w:t xml:space="preserve"> </w:t>
      </w:r>
      <w:r w:rsidRPr="00FB75AD">
        <w:rPr>
          <w:rtl/>
          <w:lang w:val="en-US"/>
        </w:rPr>
        <w:t>من العهد.</w:t>
      </w:r>
    </w:p>
    <w:p w14:paraId="1A5B330E" w14:textId="5AD8A5F3" w:rsidR="008D21EA" w:rsidRPr="00FB75AD" w:rsidRDefault="008D21EA" w:rsidP="008D21EA">
      <w:pPr>
        <w:pStyle w:val="SingleTxtGA"/>
        <w:rPr>
          <w:szCs w:val="20"/>
          <w:lang w:val="en-US" w:eastAsia="zh-TW"/>
        </w:rPr>
      </w:pPr>
      <w:r w:rsidRPr="00FB75AD">
        <w:rPr>
          <w:rtl/>
          <w:lang w:val="en-US"/>
        </w:rPr>
        <w:tab/>
        <w:t xml:space="preserve">وفيما يتعلق بانتهاك المادة </w:t>
      </w:r>
      <w:r w:rsidRPr="00FB75AD">
        <w:rPr>
          <w:szCs w:val="20"/>
          <w:rtl/>
          <w:lang w:val="en-US"/>
        </w:rPr>
        <w:t>14(</w:t>
      </w:r>
      <w:r w:rsidR="00C11BB0" w:rsidRPr="00FB75AD">
        <w:rPr>
          <w:szCs w:val="20"/>
          <w:rtl/>
          <w:lang w:val="en-US"/>
        </w:rPr>
        <w:t>2)</w:t>
      </w:r>
      <w:r w:rsidR="00C11BB0" w:rsidRPr="00FB75AD">
        <w:rPr>
          <w:rtl/>
          <w:lang w:val="en-US"/>
        </w:rPr>
        <w:t xml:space="preserve"> </w:t>
      </w:r>
      <w:r w:rsidRPr="00FB75AD">
        <w:rPr>
          <w:rtl/>
          <w:lang w:val="en-US"/>
        </w:rPr>
        <w:t xml:space="preserve">من العهد، تشير الدولة الطرف إلى أحكام تشريعاتها الوطنية وتؤكد من جديد أن احتجاز السيد فورمونوف قبل المحاكمة ومدته (من </w:t>
      </w:r>
      <w:r w:rsidRPr="00FB75AD">
        <w:rPr>
          <w:szCs w:val="20"/>
          <w:rtl/>
          <w:lang w:val="en-US"/>
        </w:rPr>
        <w:t>29</w:t>
      </w:r>
      <w:r w:rsidRPr="00FB75AD">
        <w:rPr>
          <w:rtl/>
          <w:lang w:val="en-US"/>
        </w:rPr>
        <w:t xml:space="preserve"> نيسان/أبريل إلى </w:t>
      </w:r>
      <w:r w:rsidRPr="00FB75AD">
        <w:rPr>
          <w:szCs w:val="20"/>
          <w:rtl/>
          <w:lang w:val="en-US"/>
        </w:rPr>
        <w:t>15</w:t>
      </w:r>
      <w:r w:rsidRPr="00FB75AD">
        <w:rPr>
          <w:rtl/>
          <w:lang w:val="en-US"/>
        </w:rPr>
        <w:t xml:space="preserve"> حزيران/يونيه </w:t>
      </w:r>
      <w:r w:rsidRPr="00FB75AD">
        <w:rPr>
          <w:szCs w:val="20"/>
          <w:rtl/>
          <w:lang w:val="en-US"/>
        </w:rPr>
        <w:t>200</w:t>
      </w:r>
      <w:r w:rsidR="00C11BB0" w:rsidRPr="00FB75AD">
        <w:rPr>
          <w:szCs w:val="20"/>
          <w:rtl/>
          <w:lang w:val="en-US"/>
        </w:rPr>
        <w:t>6)</w:t>
      </w:r>
      <w:r w:rsidR="00C11BB0" w:rsidRPr="00FB75AD">
        <w:rPr>
          <w:rtl/>
          <w:lang w:val="en-US"/>
        </w:rPr>
        <w:t xml:space="preserve"> </w:t>
      </w:r>
      <w:r w:rsidRPr="00FB75AD">
        <w:rPr>
          <w:rtl/>
          <w:lang w:val="en-US"/>
        </w:rPr>
        <w:t xml:space="preserve">يمتثلان قانون الإجراءات الجنائية. ولذلك، لا يوجد سبب للاعتقاد بأن حقوق السيد فورمونوف بموجب المادة </w:t>
      </w:r>
      <w:r w:rsidRPr="00FB75AD">
        <w:rPr>
          <w:szCs w:val="20"/>
          <w:rtl/>
          <w:lang w:val="en-US"/>
        </w:rPr>
        <w:t>14(</w:t>
      </w:r>
      <w:r w:rsidR="00C11BB0" w:rsidRPr="00FB75AD">
        <w:rPr>
          <w:szCs w:val="20"/>
          <w:rtl/>
          <w:lang w:val="en-US"/>
        </w:rPr>
        <w:t>2)</w:t>
      </w:r>
      <w:r w:rsidR="00C11BB0" w:rsidRPr="00FB75AD">
        <w:rPr>
          <w:rtl/>
          <w:lang w:val="en-US"/>
        </w:rPr>
        <w:t xml:space="preserve"> </w:t>
      </w:r>
      <w:r w:rsidRPr="00FB75AD">
        <w:rPr>
          <w:rtl/>
          <w:lang w:val="en-US"/>
        </w:rPr>
        <w:t xml:space="preserve">من العهد قد انتُهكت. وفيما يتعلق بانتهاك الحقوق المكفولة بموجب المادة </w:t>
      </w:r>
      <w:r w:rsidRPr="00FB75AD">
        <w:rPr>
          <w:szCs w:val="20"/>
          <w:rtl/>
          <w:lang w:val="en-US"/>
        </w:rPr>
        <w:t>14(3)(</w:t>
      </w:r>
      <w:r w:rsidRPr="00FB75AD">
        <w:rPr>
          <w:rtl/>
          <w:lang w:val="en-US"/>
        </w:rPr>
        <w:t>ب</w:t>
      </w:r>
      <w:r w:rsidRPr="00FB75AD">
        <w:rPr>
          <w:szCs w:val="20"/>
          <w:rtl/>
          <w:lang w:val="en-US"/>
        </w:rPr>
        <w:t>)</w:t>
      </w:r>
      <w:r w:rsidRPr="00FB75AD">
        <w:rPr>
          <w:rtl/>
          <w:lang w:val="en-US"/>
        </w:rPr>
        <w:t xml:space="preserve"> و(د) و(ز) من العهد، لم تجد الدراسة التي أجرتها سلطات الادعاء الوطنية أي دليل على الانتهاكات الإجرائية المزعومة.</w:t>
      </w:r>
    </w:p>
    <w:p w14:paraId="37C26CAA" w14:textId="6E76E5AF" w:rsidR="008D21EA" w:rsidRPr="00FB75AD" w:rsidRDefault="008D21EA" w:rsidP="008D21EA">
      <w:pPr>
        <w:pStyle w:val="SingleTxtGA"/>
        <w:rPr>
          <w:rStyle w:val="FootnoteReference"/>
          <w:szCs w:val="20"/>
          <w:lang w:val="en-US" w:eastAsia="zh-TW"/>
        </w:rPr>
      </w:pPr>
      <w:r w:rsidRPr="00FB75AD">
        <w:rPr>
          <w:b/>
          <w:bCs/>
          <w:rtl/>
          <w:lang w:val="en-US"/>
        </w:rPr>
        <w:t>المعلومات المقدمة من محامي صاحبة البلاغ</w:t>
      </w:r>
      <w:r w:rsidR="00264402" w:rsidRPr="00FB75AD">
        <w:rPr>
          <w:rtl/>
        </w:rPr>
        <w:t>:</w:t>
      </w:r>
      <w:r w:rsidRPr="00FB75AD">
        <w:rPr>
          <w:rtl/>
          <w:lang w:val="en-US"/>
        </w:rPr>
        <w:t xml:space="preserve"> </w:t>
      </w:r>
      <w:r w:rsidRPr="00FB75AD">
        <w:rPr>
          <w:szCs w:val="20"/>
          <w:rtl/>
          <w:lang w:val="en-US"/>
        </w:rPr>
        <w:t>22</w:t>
      </w:r>
      <w:r w:rsidRPr="00FB75AD">
        <w:rPr>
          <w:rtl/>
          <w:lang w:val="en-US"/>
        </w:rPr>
        <w:t xml:space="preserve"> شباط/فبراير </w:t>
      </w:r>
      <w:r w:rsidRPr="00FB75AD">
        <w:rPr>
          <w:szCs w:val="20"/>
          <w:rtl/>
          <w:lang w:val="en-US"/>
        </w:rPr>
        <w:t>2022</w:t>
      </w:r>
      <w:r w:rsidR="00C11BB0" w:rsidRPr="00FB75AD">
        <w:rPr>
          <w:vertAlign w:val="superscript"/>
          <w:rtl/>
          <w:lang w:val="en-US"/>
        </w:rPr>
        <w:t>(</w:t>
      </w:r>
      <w:r w:rsidR="00C11BB0" w:rsidRPr="00FB75AD">
        <w:rPr>
          <w:vertAlign w:val="superscript"/>
          <w:rtl/>
          <w:lang w:val="en-US"/>
        </w:rPr>
        <w:footnoteReference w:id="35"/>
      </w:r>
      <w:r w:rsidR="00C11BB0" w:rsidRPr="00FB75AD">
        <w:rPr>
          <w:vertAlign w:val="superscript"/>
          <w:rtl/>
          <w:lang w:val="en-US"/>
        </w:rPr>
        <w:t>)</w:t>
      </w:r>
    </w:p>
    <w:p w14:paraId="38CF81A9" w14:textId="31341CF6" w:rsidR="008D21EA" w:rsidRPr="00FB75AD" w:rsidRDefault="008D21EA" w:rsidP="008D21EA">
      <w:pPr>
        <w:pStyle w:val="SingleTxtGA"/>
        <w:rPr>
          <w:rStyle w:val="FootnoteReference"/>
          <w:szCs w:val="20"/>
          <w:lang w:val="en-US" w:eastAsia="zh-TW"/>
        </w:rPr>
      </w:pPr>
      <w:r w:rsidRPr="00FB75AD">
        <w:rPr>
          <w:rtl/>
          <w:lang w:val="en-US"/>
        </w:rPr>
        <w:tab/>
        <w:t>يؤكد المحامي أن الدولة الطرف لم تتناول على نحو واف الادعاءات الواردة في البلاغ الأول وأن ردها على استنتاجات اللجنة غير صحيح. وبدلا</w:t>
      </w:r>
      <w:r w:rsidR="00B748CE" w:rsidRPr="00FB75AD">
        <w:rPr>
          <w:rFonts w:hint="cs"/>
          <w:rtl/>
          <w:lang w:val="en-US"/>
        </w:rPr>
        <w:t>ً</w:t>
      </w:r>
      <w:r w:rsidRPr="00FB75AD">
        <w:rPr>
          <w:rtl/>
          <w:lang w:val="en-US"/>
        </w:rPr>
        <w:t xml:space="preserve"> من تناول الادعاءات المحددة، اكتفت الدولة الطرف بتكرار موقفها ونفت أن تكون الانتهاكات التي أثبتتها اللجنة في الآراء قد حدثت فعلا</w:t>
      </w:r>
      <w:r w:rsidR="00B748CE" w:rsidRPr="00FB75AD">
        <w:rPr>
          <w:rFonts w:hint="cs"/>
          <w:rtl/>
          <w:lang w:val="en-US"/>
        </w:rPr>
        <w:t>ً</w:t>
      </w:r>
      <w:r w:rsidRPr="00FB75AD">
        <w:rPr>
          <w:rtl/>
          <w:lang w:val="en-US"/>
        </w:rPr>
        <w:t>. وفيما يتعلق بما</w:t>
      </w:r>
      <w:r w:rsidR="00B748CE" w:rsidRPr="00FB75AD">
        <w:rPr>
          <w:rFonts w:hint="cs"/>
          <w:rtl/>
          <w:lang w:val="en-US"/>
        </w:rPr>
        <w:t> </w:t>
      </w:r>
      <w:r w:rsidRPr="00FB75AD">
        <w:rPr>
          <w:rtl/>
          <w:lang w:val="en-US"/>
        </w:rPr>
        <w:t>ذكرته الدولة الطرف من أن سلطاتها المختصة لم تجد دليلا</w:t>
      </w:r>
      <w:r w:rsidR="00B748CE" w:rsidRPr="00FB75AD">
        <w:rPr>
          <w:rFonts w:hint="cs"/>
          <w:rtl/>
          <w:lang w:val="en-US"/>
        </w:rPr>
        <w:t>ً</w:t>
      </w:r>
      <w:r w:rsidRPr="00FB75AD">
        <w:rPr>
          <w:rtl/>
          <w:lang w:val="en-US"/>
        </w:rPr>
        <w:t xml:space="preserve"> على ادعاءات التعذيب التي قدمتها صاحبة البلاغ، يشير المحامي إلى أن الدولة الطرف لم تقدم أي أدلة مستندية تبين أن تحقيقا</w:t>
      </w:r>
      <w:r w:rsidR="00B748CE" w:rsidRPr="00FB75AD">
        <w:rPr>
          <w:rFonts w:hint="cs"/>
          <w:rtl/>
          <w:lang w:val="en-US"/>
        </w:rPr>
        <w:t>ً</w:t>
      </w:r>
      <w:r w:rsidRPr="00FB75AD">
        <w:rPr>
          <w:rtl/>
          <w:lang w:val="en-US"/>
        </w:rPr>
        <w:t xml:space="preserve"> في شكاوى السيد فورمونوف قد أجري فعلا</w:t>
      </w:r>
      <w:r w:rsidR="00B748CE" w:rsidRPr="00FB75AD">
        <w:rPr>
          <w:rFonts w:hint="cs"/>
          <w:rtl/>
          <w:lang w:val="en-US"/>
        </w:rPr>
        <w:t>ً</w:t>
      </w:r>
      <w:r w:rsidRPr="00FB75AD">
        <w:rPr>
          <w:rtl/>
          <w:lang w:val="en-US"/>
        </w:rPr>
        <w:t>. وتقدم الدولة الطرف في ملاحظاتها معلومات متناقضة بشأن السلطة التي يُفترض أنها أجرت التحقيق في ادعاءات السيد فورمونوف بشأن تعرضه للتعذيب</w:t>
      </w:r>
      <w:r w:rsidR="00C11BB0" w:rsidRPr="00FB75AD">
        <w:rPr>
          <w:vertAlign w:val="superscript"/>
          <w:rtl/>
          <w:lang w:val="en-US"/>
        </w:rPr>
        <w:t>(</w:t>
      </w:r>
      <w:r w:rsidR="00C11BB0" w:rsidRPr="00FB75AD">
        <w:rPr>
          <w:vertAlign w:val="superscript"/>
          <w:rtl/>
          <w:lang w:val="en-US"/>
        </w:rPr>
        <w:footnoteReference w:id="36"/>
      </w:r>
      <w:r w:rsidR="00C11BB0" w:rsidRPr="00FB75AD">
        <w:rPr>
          <w:vertAlign w:val="superscript"/>
          <w:rtl/>
          <w:lang w:val="en-US"/>
        </w:rPr>
        <w:t>)</w:t>
      </w:r>
      <w:r w:rsidRPr="00FB75AD">
        <w:rPr>
          <w:rtl/>
          <w:lang w:val="en-US"/>
        </w:rPr>
        <w:t>. ولم ترد الدولة الطرف، في ملاحظات المتابعة التي قدمتها، على الادعاءات القائلة بأن الأدلة المستخدمة لإدانة السيد فورمونوف مزورة وأن اعترافه انتُزع بالإكراه البدني. ويشير المحامي إلى السرد المتضارب الوارد في قرار المحكمة، والذي يصف السيد فورمونوف بأنه أوقف تارة "في حالة تلبس" وهو يتلقى أموال الابتزاز وتارة أخرى عندما استُردت الأموال من داخل حاسوبه أثناء تفتيش شقته في وقت لاحق</w:t>
      </w:r>
      <w:r w:rsidR="00C11BB0" w:rsidRPr="00FB75AD">
        <w:rPr>
          <w:vertAlign w:val="superscript"/>
          <w:rtl/>
          <w:lang w:val="en-US"/>
        </w:rPr>
        <w:t>(</w:t>
      </w:r>
      <w:r w:rsidR="00C11BB0" w:rsidRPr="00FB75AD">
        <w:rPr>
          <w:vertAlign w:val="superscript"/>
          <w:rtl/>
          <w:lang w:val="en-US"/>
        </w:rPr>
        <w:footnoteReference w:id="37"/>
      </w:r>
      <w:r w:rsidR="00C11BB0" w:rsidRPr="00FB75AD">
        <w:rPr>
          <w:vertAlign w:val="superscript"/>
          <w:rtl/>
          <w:lang w:val="en-US"/>
        </w:rPr>
        <w:t>)</w:t>
      </w:r>
      <w:r w:rsidRPr="00FB75AD">
        <w:rPr>
          <w:rtl/>
          <w:lang w:val="en-US"/>
        </w:rPr>
        <w:t>.</w:t>
      </w:r>
    </w:p>
    <w:p w14:paraId="0BAE0A50" w14:textId="3747C742" w:rsidR="008D21EA" w:rsidRPr="00FB75AD" w:rsidRDefault="008D21EA" w:rsidP="008D21EA">
      <w:pPr>
        <w:pStyle w:val="SingleTxtGA"/>
        <w:rPr>
          <w:szCs w:val="20"/>
          <w:lang w:val="en-US" w:eastAsia="zh-TW"/>
        </w:rPr>
      </w:pPr>
      <w:r w:rsidRPr="00FB75AD">
        <w:rPr>
          <w:rtl/>
          <w:lang w:val="en-US"/>
        </w:rPr>
        <w:tab/>
        <w:t>كما أن الدولة الطرف لم تتناول الادعاءات القائلة بأن السيد فورمونوف استُهدف بسبب نشاطه في مجال حقوق الإنسان لمنعه من ممارسة حقه في حرية التعبير. وبعد تفتيش شقة السيد فورمونوف دون أمر قضائي صالح وبطريقة وحشية نادرة، صادر أفراد الشرطة أشياء ومواد تتعلق بأنشطته في مجال حقوق الإنسان ولا صلة لها بتهم الابتزاز الموجهة إليه. وينفي المحامي تأكيد الدولة الطرف أنه لم تحدث انتهاكات إجرائية أثناء محاكمة السيد فورمونوف. بل على العكس من ذلك، لم تُفحص الأدلة أثناء المحاكمة ولم يُستجوب أي شهود بحضور السيد فورمونوف أو وكيله. وعلاوة على ذلك، لم تعترض الدولة الطرف قط على ما ذُكر من أن محاميا</w:t>
      </w:r>
      <w:r w:rsidR="00B748CE" w:rsidRPr="00FB75AD">
        <w:rPr>
          <w:rFonts w:hint="cs"/>
          <w:rtl/>
          <w:lang w:val="en-US"/>
        </w:rPr>
        <w:t>ً</w:t>
      </w:r>
      <w:r w:rsidRPr="00FB75AD">
        <w:rPr>
          <w:rtl/>
          <w:lang w:val="en-US"/>
        </w:rPr>
        <w:t xml:space="preserve"> اختاره محامي السيد فورمونوف سُمح له بالاطلاع على مواد ملف قضيته مدة </w:t>
      </w:r>
      <w:r w:rsidRPr="00FB75AD">
        <w:rPr>
          <w:szCs w:val="20"/>
          <w:rtl/>
          <w:lang w:val="en-US"/>
        </w:rPr>
        <w:t>11,5</w:t>
      </w:r>
      <w:r w:rsidRPr="00FB75AD">
        <w:rPr>
          <w:rtl/>
          <w:lang w:val="en-US"/>
        </w:rPr>
        <w:t xml:space="preserve"> ساعة فقط قبل إبعاده عن المحاكمة تماما</w:t>
      </w:r>
      <w:r w:rsidR="00B748CE" w:rsidRPr="00FB75AD">
        <w:rPr>
          <w:rFonts w:hint="cs"/>
          <w:rtl/>
          <w:lang w:val="en-US"/>
        </w:rPr>
        <w:t>ً</w:t>
      </w:r>
      <w:r w:rsidRPr="00FB75AD">
        <w:rPr>
          <w:rtl/>
          <w:lang w:val="en-US"/>
        </w:rPr>
        <w:t>. وتخلفت الدولة الطرف أيضا</w:t>
      </w:r>
      <w:r w:rsidR="00B748CE" w:rsidRPr="00FB75AD">
        <w:rPr>
          <w:rFonts w:hint="cs"/>
          <w:rtl/>
          <w:lang w:val="en-US"/>
        </w:rPr>
        <w:t>ً</w:t>
      </w:r>
      <w:r w:rsidRPr="00FB75AD">
        <w:rPr>
          <w:rtl/>
          <w:lang w:val="en-US"/>
        </w:rPr>
        <w:t xml:space="preserve"> عن الرد على انتهاكات إجرائية محددة أخرى وردت في البلاغ</w:t>
      </w:r>
      <w:r w:rsidR="00C11BB0" w:rsidRPr="00FB75AD">
        <w:rPr>
          <w:vertAlign w:val="superscript"/>
          <w:rtl/>
          <w:lang w:val="en-US"/>
        </w:rPr>
        <w:t>(</w:t>
      </w:r>
      <w:r w:rsidR="00C11BB0" w:rsidRPr="00FB75AD">
        <w:rPr>
          <w:vertAlign w:val="superscript"/>
          <w:rtl/>
          <w:lang w:val="en-US"/>
        </w:rPr>
        <w:footnoteReference w:id="38"/>
      </w:r>
      <w:r w:rsidR="00C11BB0" w:rsidRPr="00FB75AD">
        <w:rPr>
          <w:vertAlign w:val="superscript"/>
          <w:rtl/>
          <w:lang w:val="en-US"/>
        </w:rPr>
        <w:t>)</w:t>
      </w:r>
      <w:r w:rsidRPr="00FB75AD">
        <w:rPr>
          <w:rtl/>
          <w:lang w:val="en-US"/>
        </w:rPr>
        <w:t xml:space="preserve">. ورواية الدولة الطرف لانتهاكات السيد فورمونوف المزعومة لقواعد السجن متناقضة وكانت مجرد ذريعة لتمديد حكم السجن الأول الصادر بحق السيد </w:t>
      </w:r>
      <w:r w:rsidRPr="00FB75AD">
        <w:rPr>
          <w:rtl/>
          <w:lang w:val="en-US"/>
        </w:rPr>
        <w:lastRenderedPageBreak/>
        <w:t xml:space="preserve">فورمونوف. وعلى الرغم من إطلاق سراح السيد فورمونوف من السجن في </w:t>
      </w:r>
      <w:r w:rsidRPr="00FB75AD">
        <w:rPr>
          <w:szCs w:val="20"/>
          <w:rtl/>
          <w:lang w:val="en-US"/>
        </w:rPr>
        <w:t>3</w:t>
      </w:r>
      <w:r w:rsidRPr="00FB75AD">
        <w:rPr>
          <w:rtl/>
          <w:lang w:val="en-US"/>
        </w:rPr>
        <w:t xml:space="preserve"> تشرين الأول/أكتوبر </w:t>
      </w:r>
      <w:r w:rsidRPr="00FB75AD">
        <w:rPr>
          <w:szCs w:val="20"/>
          <w:rtl/>
          <w:lang w:val="en-US"/>
        </w:rPr>
        <w:t>2017</w:t>
      </w:r>
      <w:r w:rsidRPr="00FB75AD">
        <w:rPr>
          <w:rtl/>
          <w:lang w:val="en-US"/>
        </w:rPr>
        <w:t>، تظل الدولة الطرف ملزمة بامتثال آراء اللجنة.</w:t>
      </w:r>
    </w:p>
    <w:p w14:paraId="2ECE5157" w14:textId="28C6C08E" w:rsidR="008D21EA" w:rsidRPr="00FB75AD" w:rsidRDefault="008D21EA" w:rsidP="008D21EA">
      <w:pPr>
        <w:pStyle w:val="SingleTxtGA"/>
        <w:rPr>
          <w:rStyle w:val="FootnoteReference"/>
          <w:szCs w:val="20"/>
          <w:lang w:val="en-US" w:eastAsia="zh-TW"/>
        </w:rPr>
      </w:pPr>
      <w:r w:rsidRPr="00FB75AD">
        <w:rPr>
          <w:b/>
          <w:bCs/>
          <w:rtl/>
          <w:lang w:val="en-US"/>
        </w:rPr>
        <w:t>المعلومات المقدمة من الدولة الطرف</w:t>
      </w:r>
      <w:r w:rsidR="00264402" w:rsidRPr="00FB75AD">
        <w:rPr>
          <w:rtl/>
        </w:rPr>
        <w:t>:</w:t>
      </w:r>
      <w:r w:rsidRPr="00FB75AD">
        <w:rPr>
          <w:rtl/>
          <w:lang w:val="en-US"/>
        </w:rPr>
        <w:t xml:space="preserve"> </w:t>
      </w:r>
      <w:r w:rsidRPr="00FB75AD">
        <w:rPr>
          <w:szCs w:val="20"/>
          <w:rtl/>
          <w:lang w:val="en-US"/>
        </w:rPr>
        <w:t>6</w:t>
      </w:r>
      <w:r w:rsidRPr="00FB75AD">
        <w:rPr>
          <w:rtl/>
          <w:lang w:val="en-US"/>
        </w:rPr>
        <w:t xml:space="preserve"> أيار/مايو </w:t>
      </w:r>
      <w:r w:rsidRPr="00FB75AD">
        <w:rPr>
          <w:szCs w:val="20"/>
          <w:rtl/>
          <w:lang w:val="en-US"/>
        </w:rPr>
        <w:t>2022</w:t>
      </w:r>
      <w:r w:rsidR="00C11BB0" w:rsidRPr="00FB75AD">
        <w:rPr>
          <w:vertAlign w:val="superscript"/>
          <w:rtl/>
          <w:lang w:val="en-US"/>
        </w:rPr>
        <w:t>(</w:t>
      </w:r>
      <w:r w:rsidR="00C11BB0" w:rsidRPr="00FB75AD">
        <w:rPr>
          <w:vertAlign w:val="superscript"/>
          <w:rtl/>
          <w:lang w:val="en-US"/>
        </w:rPr>
        <w:footnoteReference w:id="39"/>
      </w:r>
      <w:r w:rsidR="00C11BB0" w:rsidRPr="00FB75AD">
        <w:rPr>
          <w:vertAlign w:val="superscript"/>
          <w:rtl/>
          <w:lang w:val="en-US"/>
        </w:rPr>
        <w:t>)</w:t>
      </w:r>
    </w:p>
    <w:p w14:paraId="3C134BE0" w14:textId="55C2CFCC" w:rsidR="008D21EA" w:rsidRPr="00FB75AD" w:rsidRDefault="008D21EA" w:rsidP="008D21EA">
      <w:pPr>
        <w:pStyle w:val="SingleTxtGA"/>
        <w:rPr>
          <w:szCs w:val="20"/>
          <w:lang w:val="en-US" w:eastAsia="zh-TW"/>
        </w:rPr>
      </w:pPr>
      <w:r w:rsidRPr="00FB75AD">
        <w:rPr>
          <w:rtl/>
          <w:lang w:val="en-US"/>
        </w:rPr>
        <w:tab/>
        <w:t xml:space="preserve">فيما يتعلق بادعاءات السيد فورمونوف بشأن تعرضه للتعذيب، تشير الدولة الطرف إلى أن الحجج التي ساقها محامي صاحب البلاغ درستها سلطات الادعاء بدقة واعتبرت أن لا أساس لها من الصحة. ولم يحدث انتهاك لحقوق السيد فورمونوف بموجب المادة </w:t>
      </w:r>
      <w:r w:rsidRPr="00FB75AD">
        <w:rPr>
          <w:szCs w:val="20"/>
          <w:rtl/>
          <w:lang w:val="en-US"/>
        </w:rPr>
        <w:t>7</w:t>
      </w:r>
      <w:r w:rsidRPr="00FB75AD">
        <w:rPr>
          <w:rtl/>
          <w:lang w:val="en-US"/>
        </w:rPr>
        <w:t xml:space="preserve"> من العهد. وتأكيد صاحبة البلاغ أن السيد فورمونوف قد حوكم بسبب أنشطته في مجال حقوق الإنسان غير صحيح. وفي </w:t>
      </w:r>
      <w:r w:rsidRPr="00FB75AD">
        <w:rPr>
          <w:szCs w:val="20"/>
          <w:rtl/>
          <w:lang w:val="en-US"/>
        </w:rPr>
        <w:t>15</w:t>
      </w:r>
      <w:r w:rsidRPr="00FB75AD">
        <w:rPr>
          <w:rtl/>
          <w:lang w:val="en-US"/>
        </w:rPr>
        <w:t xml:space="preserve"> حزيران/</w:t>
      </w:r>
      <w:r w:rsidR="00B748CE" w:rsidRPr="00FB75AD">
        <w:rPr>
          <w:rFonts w:hint="cs"/>
          <w:rtl/>
          <w:lang w:val="en-US"/>
        </w:rPr>
        <w:t xml:space="preserve"> </w:t>
      </w:r>
      <w:r w:rsidRPr="00FB75AD">
        <w:rPr>
          <w:rtl/>
          <w:lang w:val="en-US"/>
        </w:rPr>
        <w:t>يونيه</w:t>
      </w:r>
      <w:r w:rsidR="00B748CE" w:rsidRPr="00FB75AD">
        <w:rPr>
          <w:rFonts w:hint="cs"/>
          <w:rtl/>
          <w:lang w:val="en-US"/>
        </w:rPr>
        <w:t> </w:t>
      </w:r>
      <w:r w:rsidRPr="00FB75AD">
        <w:rPr>
          <w:szCs w:val="20"/>
          <w:rtl/>
          <w:lang w:val="en-US"/>
        </w:rPr>
        <w:t>2006</w:t>
      </w:r>
      <w:r w:rsidRPr="00FB75AD">
        <w:rPr>
          <w:rtl/>
          <w:lang w:val="en-US"/>
        </w:rPr>
        <w:t xml:space="preserve">، أدين السيد فورمونوف بموجب المادة </w:t>
      </w:r>
      <w:r w:rsidRPr="00FB75AD">
        <w:rPr>
          <w:szCs w:val="20"/>
          <w:rtl/>
          <w:lang w:val="en-US"/>
        </w:rPr>
        <w:t>165</w:t>
      </w:r>
      <w:r w:rsidRPr="00FB75AD">
        <w:rPr>
          <w:rtl/>
          <w:lang w:val="en-US"/>
        </w:rPr>
        <w:t xml:space="preserve"> من القانون الجنائي (الابتزاز</w:t>
      </w:r>
      <w:r w:rsidR="00C11BB0" w:rsidRPr="00FB75AD">
        <w:rPr>
          <w:rtl/>
          <w:lang w:val="en-US"/>
        </w:rPr>
        <w:t xml:space="preserve">). </w:t>
      </w:r>
      <w:r w:rsidRPr="00FB75AD">
        <w:rPr>
          <w:rtl/>
          <w:lang w:val="en-US"/>
        </w:rPr>
        <w:t>وتقدم الدولة الطرف معلومات مفصلة عن الظروف الوقائعية التي استندت إليها إدانته</w:t>
      </w:r>
      <w:r w:rsidR="00C11BB0" w:rsidRPr="00FB75AD">
        <w:rPr>
          <w:vertAlign w:val="superscript"/>
          <w:rtl/>
          <w:lang w:val="en-US"/>
        </w:rPr>
        <w:t>(</w:t>
      </w:r>
      <w:r w:rsidR="00C11BB0" w:rsidRPr="00FB75AD">
        <w:rPr>
          <w:vertAlign w:val="superscript"/>
          <w:rtl/>
          <w:lang w:val="en-US"/>
        </w:rPr>
        <w:footnoteReference w:id="40"/>
      </w:r>
      <w:r w:rsidR="00C11BB0" w:rsidRPr="00FB75AD">
        <w:rPr>
          <w:vertAlign w:val="superscript"/>
          <w:rtl/>
          <w:lang w:val="en-US"/>
        </w:rPr>
        <w:t>)</w:t>
      </w:r>
      <w:r w:rsidRPr="00FB75AD">
        <w:rPr>
          <w:rtl/>
          <w:lang w:val="en-US"/>
        </w:rPr>
        <w:t>. وقد ثبتت إدانة السيد فورمونوف بما لا يدع مجالا</w:t>
      </w:r>
      <w:r w:rsidR="00B748CE" w:rsidRPr="00FB75AD">
        <w:rPr>
          <w:rFonts w:hint="cs"/>
          <w:rtl/>
          <w:lang w:val="en-US"/>
        </w:rPr>
        <w:t>ً</w:t>
      </w:r>
      <w:r w:rsidRPr="00FB75AD">
        <w:rPr>
          <w:rtl/>
          <w:lang w:val="en-US"/>
        </w:rPr>
        <w:t xml:space="preserve"> للشك، وصُنفت أفعاله تصنيفا</w:t>
      </w:r>
      <w:r w:rsidR="00B748CE" w:rsidRPr="00FB75AD">
        <w:rPr>
          <w:rFonts w:hint="cs"/>
          <w:rtl/>
          <w:lang w:val="en-US"/>
        </w:rPr>
        <w:t>ً</w:t>
      </w:r>
      <w:r w:rsidRPr="00FB75AD">
        <w:rPr>
          <w:rtl/>
          <w:lang w:val="en-US"/>
        </w:rPr>
        <w:t xml:space="preserve"> صحيحا</w:t>
      </w:r>
      <w:r w:rsidR="00B748CE" w:rsidRPr="00FB75AD">
        <w:rPr>
          <w:rFonts w:hint="cs"/>
          <w:rtl/>
          <w:lang w:val="en-US"/>
        </w:rPr>
        <w:t>ً</w:t>
      </w:r>
      <w:r w:rsidRPr="00FB75AD">
        <w:rPr>
          <w:rtl/>
          <w:lang w:val="en-US"/>
        </w:rPr>
        <w:t xml:space="preserve"> في القانون، وكانت العقوبة المفروضة متناسبة مع الجريمة التي ارتكبها وكانت متوافقة مع القانون. وعليه، تنفي الدولة الطرف ما خلصت إليه اللجنة من انتهاك لحقوق السيد فورمونوف بموجب المادة </w:t>
      </w:r>
      <w:r w:rsidRPr="00FB75AD">
        <w:rPr>
          <w:szCs w:val="20"/>
          <w:rtl/>
          <w:lang w:val="en-US"/>
        </w:rPr>
        <w:t>19(</w:t>
      </w:r>
      <w:r w:rsidR="00C11BB0" w:rsidRPr="00FB75AD">
        <w:rPr>
          <w:szCs w:val="20"/>
          <w:rtl/>
          <w:lang w:val="en-US"/>
        </w:rPr>
        <w:t>2)</w:t>
      </w:r>
      <w:r w:rsidR="00C11BB0" w:rsidRPr="00FB75AD">
        <w:rPr>
          <w:rtl/>
          <w:lang w:val="en-US"/>
        </w:rPr>
        <w:t xml:space="preserve"> </w:t>
      </w:r>
      <w:r w:rsidRPr="00FB75AD">
        <w:rPr>
          <w:rtl/>
          <w:lang w:val="en-US"/>
        </w:rPr>
        <w:t xml:space="preserve">من العهد وتذكر بأن المادة </w:t>
      </w:r>
      <w:r w:rsidRPr="00FB75AD">
        <w:rPr>
          <w:szCs w:val="20"/>
          <w:rtl/>
          <w:lang w:val="en-US"/>
        </w:rPr>
        <w:t>19(</w:t>
      </w:r>
      <w:r w:rsidR="00C11BB0" w:rsidRPr="00FB75AD">
        <w:rPr>
          <w:szCs w:val="20"/>
          <w:rtl/>
          <w:lang w:val="en-US"/>
        </w:rPr>
        <w:t>3)</w:t>
      </w:r>
      <w:r w:rsidR="00C11BB0" w:rsidRPr="00FB75AD">
        <w:rPr>
          <w:rtl/>
          <w:lang w:val="en-US"/>
        </w:rPr>
        <w:t xml:space="preserve"> </w:t>
      </w:r>
      <w:r w:rsidRPr="00FB75AD">
        <w:rPr>
          <w:rtl/>
          <w:lang w:val="en-US"/>
        </w:rPr>
        <w:t>من العهد تجيز فرض قيود مشروعة على الحق في حرية التعبير. كما تطلب إلى اللجنة أن تحيط علما</w:t>
      </w:r>
      <w:r w:rsidR="00B748CE" w:rsidRPr="00FB75AD">
        <w:rPr>
          <w:rFonts w:hint="cs"/>
          <w:rtl/>
          <w:lang w:val="en-US"/>
        </w:rPr>
        <w:t>ً</w:t>
      </w:r>
      <w:r w:rsidRPr="00FB75AD">
        <w:rPr>
          <w:rtl/>
          <w:lang w:val="en-US"/>
        </w:rPr>
        <w:t xml:space="preserve"> بأن صاحبة البلاغ نفسها قد انتهكت حقها في حرية التعبير في بلاغها إلى اللجنة.</w:t>
      </w:r>
    </w:p>
    <w:p w14:paraId="4B529EF9" w14:textId="3D915D25" w:rsidR="008D21EA" w:rsidRPr="00FB75AD" w:rsidRDefault="008D21EA" w:rsidP="008D21EA">
      <w:pPr>
        <w:pStyle w:val="SingleTxtGA"/>
        <w:rPr>
          <w:lang w:val="en-US"/>
        </w:rPr>
      </w:pPr>
      <w:r w:rsidRPr="00FB75AD">
        <w:rPr>
          <w:rtl/>
          <w:lang w:val="en-US"/>
        </w:rPr>
        <w:tab/>
        <w:t xml:space="preserve">وفيما يتعلق بادعاء صاحب البلاغ أن شقة السيد فورمونوف فُتشت دون أمر قضائي صالح وبوحشية نادرة، تلاحظ الدولة الطرف أنه بموجب المادة </w:t>
      </w:r>
      <w:r w:rsidRPr="00FB75AD">
        <w:rPr>
          <w:szCs w:val="20"/>
          <w:rtl/>
          <w:lang w:val="en-US"/>
        </w:rPr>
        <w:t>161</w:t>
      </w:r>
      <w:r w:rsidRPr="00FB75AD">
        <w:rPr>
          <w:rtl/>
          <w:lang w:val="en-US"/>
        </w:rPr>
        <w:t xml:space="preserve"> من قانون الإجراءات الجنائية، يجوز في الحالات العاجلة إجراء تفتيش دون إذن مسبق من المدعي العام، شريطة إخطار المدعي العام في وقت لاحق في غضون </w:t>
      </w:r>
      <w:r w:rsidRPr="00FB75AD">
        <w:rPr>
          <w:szCs w:val="20"/>
          <w:rtl/>
          <w:lang w:val="en-US"/>
        </w:rPr>
        <w:t>24</w:t>
      </w:r>
      <w:r w:rsidRPr="00FB75AD">
        <w:rPr>
          <w:rtl/>
          <w:lang w:val="en-US"/>
        </w:rPr>
        <w:t xml:space="preserve"> ساعة</w:t>
      </w:r>
      <w:r w:rsidR="00C11BB0" w:rsidRPr="00FB75AD">
        <w:rPr>
          <w:vertAlign w:val="superscript"/>
          <w:rtl/>
          <w:lang w:val="en-US"/>
        </w:rPr>
        <w:t>(</w:t>
      </w:r>
      <w:r w:rsidR="00C11BB0" w:rsidRPr="00FB75AD">
        <w:rPr>
          <w:vertAlign w:val="superscript"/>
          <w:rtl/>
          <w:lang w:val="en-US"/>
        </w:rPr>
        <w:footnoteReference w:id="41"/>
      </w:r>
      <w:r w:rsidR="00C11BB0" w:rsidRPr="00FB75AD">
        <w:rPr>
          <w:vertAlign w:val="superscript"/>
          <w:rtl/>
          <w:lang w:val="en-US"/>
        </w:rPr>
        <w:t>)</w:t>
      </w:r>
      <w:r w:rsidRPr="00FB75AD">
        <w:rPr>
          <w:rtl/>
          <w:lang w:val="en-US"/>
        </w:rPr>
        <w:t>.</w:t>
      </w:r>
    </w:p>
    <w:p w14:paraId="3BA9A50D" w14:textId="2DAAB4E7" w:rsidR="008D21EA" w:rsidRPr="00FB75AD" w:rsidRDefault="008D21EA" w:rsidP="008D21EA">
      <w:pPr>
        <w:pStyle w:val="SingleTxtGA"/>
        <w:rPr>
          <w:szCs w:val="20"/>
          <w:lang w:val="en-US" w:eastAsia="zh-TW"/>
        </w:rPr>
      </w:pPr>
      <w:r w:rsidRPr="00FB75AD">
        <w:rPr>
          <w:rtl/>
          <w:lang w:val="en-US"/>
        </w:rPr>
        <w:tab/>
        <w:t>وفيما يتعلق بما ذكره صاحب البلاغ من أن أفراد الشرطة صادروا أشياء ومواد تتعلق بأنشطة السيد فورمونوف في مجال حقوق الإنسان (آلة النسخ التصويري وجميع منشوراته المتعلقة بحقوق الإنسان</w:t>
      </w:r>
      <w:r w:rsidR="00C11BB0" w:rsidRPr="00FB75AD">
        <w:rPr>
          <w:rtl/>
          <w:lang w:val="en-US"/>
        </w:rPr>
        <w:t xml:space="preserve">)، </w:t>
      </w:r>
      <w:r w:rsidRPr="00FB75AD">
        <w:rPr>
          <w:rtl/>
          <w:lang w:val="en-US"/>
        </w:rPr>
        <w:t>تلاحظ الدولة الطرف أن السيد فورمونوف استخدم أيضا</w:t>
      </w:r>
      <w:r w:rsidR="00B748CE" w:rsidRPr="00FB75AD">
        <w:rPr>
          <w:rFonts w:hint="cs"/>
          <w:rtl/>
          <w:lang w:val="en-US"/>
        </w:rPr>
        <w:t>ً</w:t>
      </w:r>
      <w:r w:rsidRPr="00FB75AD">
        <w:rPr>
          <w:rtl/>
          <w:lang w:val="en-US"/>
        </w:rPr>
        <w:t xml:space="preserve"> المواد المعنية أثناء ارتكاب جريمة الابتزاز</w:t>
      </w:r>
      <w:r w:rsidR="00C11BB0" w:rsidRPr="00FB75AD">
        <w:rPr>
          <w:vertAlign w:val="superscript"/>
          <w:rtl/>
          <w:lang w:val="en-US"/>
        </w:rPr>
        <w:t>(</w:t>
      </w:r>
      <w:r w:rsidR="00C11BB0" w:rsidRPr="00FB75AD">
        <w:rPr>
          <w:vertAlign w:val="superscript"/>
          <w:rtl/>
          <w:lang w:val="en-US"/>
        </w:rPr>
        <w:footnoteReference w:id="42"/>
      </w:r>
      <w:r w:rsidR="00C11BB0" w:rsidRPr="00FB75AD">
        <w:rPr>
          <w:vertAlign w:val="superscript"/>
          <w:rtl/>
          <w:lang w:val="en-US"/>
        </w:rPr>
        <w:t>)</w:t>
      </w:r>
      <w:r w:rsidRPr="00FB75AD">
        <w:rPr>
          <w:rtl/>
          <w:lang w:val="en-US"/>
        </w:rPr>
        <w:t xml:space="preserve">. وعليه، تدفع الدولة الطرف بأن مصادرة الأشياء والمواد المعنية كانت مبررة. وتدفع الدولة الطرف بأن المحامي لم يقدم أي دليل يدعم ادعاءات صاحبة البلاغ بأن الأدلة ضد السيد فورمونوف مزورة. وقد أدانت المحاكم السيد فورمونوف في عدة تهم. ومثله محاميان طوال الإجراءات واعترف بارتكابه جريمة منصوص عليها في المادة </w:t>
      </w:r>
      <w:r w:rsidRPr="00FB75AD">
        <w:rPr>
          <w:szCs w:val="20"/>
          <w:rtl/>
          <w:lang w:val="en-US"/>
        </w:rPr>
        <w:t>168</w:t>
      </w:r>
      <w:r w:rsidRPr="00FB75AD">
        <w:rPr>
          <w:rtl/>
          <w:lang w:val="en-US"/>
        </w:rPr>
        <w:t xml:space="preserve"> من القانون الجنائي (الاحتيال</w:t>
      </w:r>
      <w:r w:rsidR="00C11BB0" w:rsidRPr="00FB75AD">
        <w:rPr>
          <w:rtl/>
          <w:lang w:val="en-US"/>
        </w:rPr>
        <w:t xml:space="preserve">). </w:t>
      </w:r>
      <w:r w:rsidRPr="00FB75AD">
        <w:rPr>
          <w:rtl/>
          <w:lang w:val="en-US"/>
        </w:rPr>
        <w:t>ولم يشتك لا في مرحلة التحقيق ولا أثناء إجراءات المحكمة من تعرضه للتعذيب. وقد أُخرج من قاعة المحكمة لسلوكه غير اللائق، ثم رفض الإدلاء بأقواله الختامية بعد إعادته إلى قاعة المحكمة.</w:t>
      </w:r>
    </w:p>
    <w:p w14:paraId="762DC174" w14:textId="08EADC0F" w:rsidR="008D21EA" w:rsidRPr="00FB75AD" w:rsidRDefault="008D21EA" w:rsidP="008D21EA">
      <w:pPr>
        <w:pStyle w:val="SingleTxtGA"/>
        <w:rPr>
          <w:szCs w:val="20"/>
          <w:lang w:val="en-US" w:eastAsia="zh-TW"/>
        </w:rPr>
      </w:pPr>
      <w:r w:rsidRPr="00FB75AD">
        <w:rPr>
          <w:rtl/>
          <w:lang w:val="en-US"/>
        </w:rPr>
        <w:tab/>
        <w:t xml:space="preserve">وأثناء قضاء فترة سجنه الأولى، انتهك السيد فورمونوف بانتظام قواعد السجون، وصدرت بحقه بسببها </w:t>
      </w:r>
      <w:r w:rsidRPr="00FB75AD">
        <w:rPr>
          <w:szCs w:val="20"/>
          <w:rtl/>
          <w:lang w:val="en-US"/>
        </w:rPr>
        <w:t>20</w:t>
      </w:r>
      <w:r w:rsidRPr="00FB75AD">
        <w:rPr>
          <w:rtl/>
          <w:lang w:val="en-US"/>
        </w:rPr>
        <w:t xml:space="preserve"> عقوبة تأديبية ومُددت عقوبته بالسجن خمس سنوات و</w:t>
      </w:r>
      <w:r w:rsidRPr="00FB75AD">
        <w:rPr>
          <w:szCs w:val="20"/>
          <w:rtl/>
          <w:lang w:val="en-US"/>
        </w:rPr>
        <w:t>26</w:t>
      </w:r>
      <w:r w:rsidRPr="00FB75AD">
        <w:rPr>
          <w:rtl/>
          <w:lang w:val="en-US"/>
        </w:rPr>
        <w:t xml:space="preserve"> يوما</w:t>
      </w:r>
      <w:r w:rsidR="00B748CE" w:rsidRPr="00FB75AD">
        <w:rPr>
          <w:rFonts w:hint="cs"/>
          <w:rtl/>
          <w:lang w:val="en-US"/>
        </w:rPr>
        <w:t>ً</w:t>
      </w:r>
      <w:r w:rsidRPr="00FB75AD">
        <w:rPr>
          <w:rtl/>
          <w:lang w:val="en-US"/>
        </w:rPr>
        <w:t xml:space="preserve"> إضافية. ولم يحسن السيد فورمونوف سلوكه أثناء قضاء العقوبة الإضافية. وبين عامي </w:t>
      </w:r>
      <w:r w:rsidRPr="00FB75AD">
        <w:rPr>
          <w:szCs w:val="20"/>
          <w:rtl/>
          <w:lang w:val="en-US"/>
        </w:rPr>
        <w:t>2015</w:t>
      </w:r>
      <w:r w:rsidRPr="00FB75AD">
        <w:rPr>
          <w:rtl/>
          <w:lang w:val="en-US"/>
        </w:rPr>
        <w:t xml:space="preserve"> و</w:t>
      </w:r>
      <w:r w:rsidRPr="00FB75AD">
        <w:rPr>
          <w:szCs w:val="20"/>
          <w:rtl/>
          <w:lang w:val="en-US"/>
        </w:rPr>
        <w:t>2016</w:t>
      </w:r>
      <w:r w:rsidRPr="00FB75AD">
        <w:rPr>
          <w:rtl/>
          <w:lang w:val="en-US"/>
        </w:rPr>
        <w:t xml:space="preserve">، مُنح السيد فورمونوف الحق </w:t>
      </w:r>
      <w:r w:rsidRPr="00FB75AD">
        <w:rPr>
          <w:rtl/>
          <w:lang w:val="en-US"/>
        </w:rPr>
        <w:lastRenderedPageBreak/>
        <w:t xml:space="preserve">في ست زيارات أسرية. ولم يطلب محامياه زيارته ولم يقدم السيد فورمونوف أي طلب إلى إدارة السجن لمقابلة محاميَيه. وعليه، تطلب الدولة الطرف إلى اللجنة أن تخلص إلى عدم حدوث انتهاك لحقوق السيد فورمونوف بموجب المادة </w:t>
      </w:r>
      <w:r w:rsidRPr="00FB75AD">
        <w:rPr>
          <w:szCs w:val="20"/>
          <w:rtl/>
          <w:lang w:val="en-US"/>
        </w:rPr>
        <w:t>14</w:t>
      </w:r>
      <w:r w:rsidRPr="00FB75AD">
        <w:rPr>
          <w:rtl/>
          <w:lang w:val="en-US"/>
        </w:rPr>
        <w:t xml:space="preserve"> من العهد. وفي ضوء ما تقدم، تطلب الدولة الطرف إلى اللجنة أن تعلن عدم مقبولية البلاغ لعدم وجود أدلة موثوقة على حدوث انتهاك لحقوق السيد فورمونوف بموجب العهد.</w:t>
      </w:r>
    </w:p>
    <w:p w14:paraId="54638842" w14:textId="05AC15FE" w:rsidR="008D21EA" w:rsidRPr="00FB75AD" w:rsidRDefault="008D21EA" w:rsidP="008D21EA">
      <w:pPr>
        <w:pStyle w:val="SingleTxtGA"/>
        <w:rPr>
          <w:rStyle w:val="FootnoteReference"/>
          <w:szCs w:val="20"/>
          <w:lang w:val="en-US" w:eastAsia="zh-TW"/>
        </w:rPr>
      </w:pPr>
      <w:r w:rsidRPr="00FB75AD">
        <w:rPr>
          <w:b/>
          <w:bCs/>
          <w:rtl/>
          <w:lang w:val="en-US"/>
        </w:rPr>
        <w:t>المعلومات المقدمة من محامي صاحبة البلاغ</w:t>
      </w:r>
      <w:r w:rsidR="00264402" w:rsidRPr="00FB75AD">
        <w:rPr>
          <w:rtl/>
        </w:rPr>
        <w:t>:</w:t>
      </w:r>
      <w:r w:rsidRPr="00FB75AD">
        <w:rPr>
          <w:rtl/>
          <w:lang w:val="en-US"/>
        </w:rPr>
        <w:t xml:space="preserve"> </w:t>
      </w:r>
      <w:r w:rsidRPr="00FB75AD">
        <w:rPr>
          <w:szCs w:val="20"/>
          <w:rtl/>
          <w:lang w:val="en-US"/>
        </w:rPr>
        <w:t>7</w:t>
      </w:r>
      <w:r w:rsidRPr="00FB75AD">
        <w:rPr>
          <w:rtl/>
          <w:lang w:val="en-US"/>
        </w:rPr>
        <w:t xml:space="preserve"> تشرين الأول/أكتوبر </w:t>
      </w:r>
      <w:r w:rsidRPr="00FB75AD">
        <w:rPr>
          <w:szCs w:val="20"/>
          <w:rtl/>
          <w:lang w:val="en-US"/>
        </w:rPr>
        <w:t>2022</w:t>
      </w:r>
      <w:r w:rsidR="00C11BB0" w:rsidRPr="00FB75AD">
        <w:rPr>
          <w:vertAlign w:val="superscript"/>
          <w:rtl/>
          <w:lang w:val="en-US"/>
        </w:rPr>
        <w:t>(</w:t>
      </w:r>
      <w:r w:rsidR="00C11BB0" w:rsidRPr="00FB75AD">
        <w:rPr>
          <w:vertAlign w:val="superscript"/>
          <w:rtl/>
          <w:lang w:val="en-US"/>
        </w:rPr>
        <w:footnoteReference w:id="43"/>
      </w:r>
      <w:r w:rsidR="00C11BB0" w:rsidRPr="00FB75AD">
        <w:rPr>
          <w:vertAlign w:val="superscript"/>
          <w:rtl/>
          <w:lang w:val="en-US"/>
        </w:rPr>
        <w:t>)</w:t>
      </w:r>
    </w:p>
    <w:p w14:paraId="096F3568" w14:textId="448A5733" w:rsidR="008D21EA" w:rsidRPr="00FB75AD" w:rsidRDefault="008D21EA" w:rsidP="008D21EA">
      <w:pPr>
        <w:pStyle w:val="SingleTxtGA"/>
        <w:rPr>
          <w:szCs w:val="20"/>
          <w:lang w:val="en-US" w:eastAsia="zh-TW"/>
        </w:rPr>
      </w:pPr>
      <w:r w:rsidRPr="00FB75AD">
        <w:rPr>
          <w:rtl/>
          <w:lang w:val="en-US"/>
        </w:rPr>
        <w:tab/>
        <w:t>فيما يتعلق بالتزام الدولة الطرف إجراء تحقيق شامل وفعال في ادعاءات السيد فورمونوف بالتعرض للتعذيب، يؤكد محامي صاحبة البلاغ أن الدولة الطرف لم تبدأ أي تحقيق في هذه الادعاءات. أما فيما يتعلق بالتزام الدولة الطرف إلغاء أحكام المحكمة الابتدائية، كتب المحامي إلى المحكمة العليا والمدعي العام خمس مرات طلب فيها إلغاء أحكام المحكمة الابتدائية منذ إطلاق سراح السيد فورمونوف. وقد رُفضت جميع الطلبات الخمسة. وفيما يتعلق بالتزام الدولة الطرف منح السيد فورمونوف تعويضا</w:t>
      </w:r>
      <w:r w:rsidR="00B748CE" w:rsidRPr="00FB75AD">
        <w:rPr>
          <w:rFonts w:hint="cs"/>
          <w:rtl/>
          <w:lang w:val="en-US"/>
        </w:rPr>
        <w:t>ً</w:t>
      </w:r>
      <w:r w:rsidRPr="00FB75AD">
        <w:rPr>
          <w:rtl/>
          <w:lang w:val="en-US"/>
        </w:rPr>
        <w:t xml:space="preserve"> مناسبا</w:t>
      </w:r>
      <w:r w:rsidR="00B748CE" w:rsidRPr="00FB75AD">
        <w:rPr>
          <w:rFonts w:hint="cs"/>
          <w:rtl/>
          <w:lang w:val="en-US"/>
        </w:rPr>
        <w:t>ً</w:t>
      </w:r>
      <w:r w:rsidRPr="00FB75AD">
        <w:rPr>
          <w:rtl/>
          <w:lang w:val="en-US"/>
        </w:rPr>
        <w:t xml:space="preserve"> عن الانتهاكات التي تعرض لها، يذكر المحامي بأن السيد فورمونوف لم يتلق لا هو ولا زوجته أي</w:t>
      </w:r>
      <w:r w:rsidR="0063104D" w:rsidRPr="00FB75AD">
        <w:rPr>
          <w:rFonts w:hint="cs"/>
          <w:rtl/>
          <w:lang w:val="en-US"/>
        </w:rPr>
        <w:t> </w:t>
      </w:r>
      <w:r w:rsidRPr="00FB75AD">
        <w:rPr>
          <w:rtl/>
          <w:lang w:val="en-US"/>
        </w:rPr>
        <w:t>تعويض. وفيما يتعلق بالتزام الدولة الطرف باتخاذ جميع الخطوات اللازمة لمنع حدوث انتهاكات مماثلة في المستقبل، يؤكد المحامي أن الدولة الطرف تعكف حاليا</w:t>
      </w:r>
      <w:r w:rsidR="00B748CE" w:rsidRPr="00FB75AD">
        <w:rPr>
          <w:rFonts w:hint="cs"/>
          <w:rtl/>
          <w:lang w:val="en-US"/>
        </w:rPr>
        <w:t>ً</w:t>
      </w:r>
      <w:r w:rsidRPr="00FB75AD">
        <w:rPr>
          <w:rtl/>
          <w:lang w:val="en-US"/>
        </w:rPr>
        <w:t xml:space="preserve"> على وضع قانون جنائي جديد. ومع ذلك، لا تُحدث التعديلات التشريعية المقترحة تغييرات ذات شأن في أي من القوانين التي رأت اللجنة أو</w:t>
      </w:r>
      <w:r w:rsidR="0063104D" w:rsidRPr="00FB75AD">
        <w:rPr>
          <w:rFonts w:hint="cs"/>
          <w:rtl/>
          <w:lang w:val="en-US"/>
        </w:rPr>
        <w:t> </w:t>
      </w:r>
      <w:r w:rsidRPr="00FB75AD">
        <w:rPr>
          <w:rtl/>
          <w:lang w:val="en-US"/>
        </w:rPr>
        <w:t>غيرها من هيئات المعاهدات أنها تنتهك القانون الدولي لحقوق الإنسان.</w:t>
      </w:r>
    </w:p>
    <w:p w14:paraId="0A6079B4" w14:textId="2E7ABED2" w:rsidR="008D21EA" w:rsidRPr="00FB75AD" w:rsidRDefault="008D21EA" w:rsidP="008D21EA">
      <w:pPr>
        <w:pStyle w:val="SingleTxtGA"/>
        <w:rPr>
          <w:szCs w:val="20"/>
          <w:lang w:val="en-US" w:eastAsia="zh-TW"/>
        </w:rPr>
      </w:pPr>
      <w:r w:rsidRPr="00FB75AD">
        <w:rPr>
          <w:b/>
          <w:bCs/>
          <w:rtl/>
          <w:lang w:val="en-US"/>
        </w:rPr>
        <w:t>تقييم اللجنة</w:t>
      </w:r>
      <w:r w:rsidR="00264402" w:rsidRPr="00FB75AD">
        <w:rPr>
          <w:rtl/>
        </w:rPr>
        <w:t>:</w:t>
      </w:r>
    </w:p>
    <w:p w14:paraId="3229943B" w14:textId="6D9234EF" w:rsidR="008D21EA" w:rsidRPr="00FB75AD" w:rsidRDefault="0074432C" w:rsidP="008D21EA">
      <w:pPr>
        <w:pStyle w:val="SingleTxtGA"/>
        <w:rPr>
          <w:szCs w:val="20"/>
          <w:lang w:val="en-US" w:eastAsia="zh-TW"/>
        </w:rPr>
      </w:pPr>
      <w:r w:rsidRPr="00FB75AD">
        <w:rPr>
          <w:rtl/>
          <w:lang w:val="en-US"/>
        </w:rPr>
        <w:tab/>
      </w:r>
      <w:r w:rsidR="008D21EA" w:rsidRPr="00FB75AD">
        <w:rPr>
          <w:rtl/>
          <w:lang w:val="en-US"/>
        </w:rPr>
        <w:t>(أ)</w:t>
      </w:r>
      <w:r w:rsidR="008D21EA" w:rsidRPr="00FB75AD">
        <w:rPr>
          <w:rtl/>
          <w:lang w:val="en-US"/>
        </w:rPr>
        <w:tab/>
        <w:t>إجراء تحقيق ومقاضاة المسؤولين</w:t>
      </w:r>
      <w:r w:rsidR="00264402" w:rsidRPr="00FB75AD">
        <w:rPr>
          <w:rtl/>
        </w:rPr>
        <w:t>:</w:t>
      </w:r>
      <w:r w:rsidR="008D21EA" w:rsidRPr="00FB75AD">
        <w:rPr>
          <w:rtl/>
          <w:lang w:val="en-US"/>
        </w:rPr>
        <w:t xml:space="preserve"> هاء؛</w:t>
      </w:r>
    </w:p>
    <w:p w14:paraId="00286ADD" w14:textId="7B8F06DC" w:rsidR="008D21EA" w:rsidRPr="00FB75AD" w:rsidRDefault="0074432C" w:rsidP="008D21EA">
      <w:pPr>
        <w:pStyle w:val="SingleTxtGA"/>
        <w:rPr>
          <w:szCs w:val="20"/>
          <w:lang w:val="en-US" w:eastAsia="zh-TW"/>
        </w:rPr>
      </w:pPr>
      <w:r w:rsidRPr="00FB75AD">
        <w:rPr>
          <w:rtl/>
          <w:lang w:val="en-US"/>
        </w:rPr>
        <w:tab/>
      </w:r>
      <w:r w:rsidR="008D21EA" w:rsidRPr="00FB75AD">
        <w:rPr>
          <w:rtl/>
          <w:lang w:val="en-US"/>
        </w:rPr>
        <w:t>(ب)</w:t>
      </w:r>
      <w:r w:rsidR="008D21EA" w:rsidRPr="00FB75AD">
        <w:rPr>
          <w:rtl/>
          <w:lang w:val="en-US"/>
        </w:rPr>
        <w:tab/>
        <w:t>إلغاء أحكام المحكمة الابتدائية</w:t>
      </w:r>
      <w:r w:rsidR="00264402" w:rsidRPr="00FB75AD">
        <w:rPr>
          <w:rtl/>
        </w:rPr>
        <w:t>:</w:t>
      </w:r>
      <w:r w:rsidR="008D21EA" w:rsidRPr="00FB75AD">
        <w:rPr>
          <w:rtl/>
          <w:lang w:val="en-US"/>
        </w:rPr>
        <w:t xml:space="preserve"> هاء؛</w:t>
      </w:r>
    </w:p>
    <w:p w14:paraId="29984214" w14:textId="628AC894" w:rsidR="008D21EA" w:rsidRPr="00FB75AD" w:rsidRDefault="0074432C" w:rsidP="008D21EA">
      <w:pPr>
        <w:pStyle w:val="SingleTxtGA"/>
        <w:rPr>
          <w:szCs w:val="20"/>
          <w:lang w:val="en-US" w:eastAsia="zh-TW"/>
        </w:rPr>
      </w:pPr>
      <w:r w:rsidRPr="00FB75AD">
        <w:rPr>
          <w:rtl/>
          <w:lang w:val="en-US"/>
        </w:rPr>
        <w:tab/>
      </w:r>
      <w:r w:rsidR="008D21EA" w:rsidRPr="00FB75AD">
        <w:rPr>
          <w:rtl/>
          <w:lang w:val="en-US"/>
        </w:rPr>
        <w:t>(ج)</w:t>
      </w:r>
      <w:r w:rsidR="008D21EA" w:rsidRPr="00FB75AD">
        <w:rPr>
          <w:rtl/>
          <w:lang w:val="en-US"/>
        </w:rPr>
        <w:tab/>
        <w:t>تقديم تعويض مناسب</w:t>
      </w:r>
      <w:r w:rsidR="00264402" w:rsidRPr="00FB75AD">
        <w:rPr>
          <w:rtl/>
        </w:rPr>
        <w:t>:</w:t>
      </w:r>
      <w:r w:rsidR="008D21EA" w:rsidRPr="00FB75AD">
        <w:rPr>
          <w:rtl/>
          <w:lang w:val="en-US"/>
        </w:rPr>
        <w:t xml:space="preserve"> هاء؛</w:t>
      </w:r>
    </w:p>
    <w:p w14:paraId="512BD009" w14:textId="3ABC8E7C" w:rsidR="008D21EA" w:rsidRPr="00FB75AD" w:rsidRDefault="0074432C" w:rsidP="008D21EA">
      <w:pPr>
        <w:pStyle w:val="SingleTxtGA"/>
        <w:rPr>
          <w:szCs w:val="20"/>
          <w:lang w:val="en-US" w:eastAsia="zh-TW"/>
        </w:rPr>
      </w:pPr>
      <w:r w:rsidRPr="00FB75AD">
        <w:rPr>
          <w:rtl/>
          <w:lang w:val="en-US"/>
        </w:rPr>
        <w:tab/>
      </w:r>
      <w:r w:rsidR="008D21EA" w:rsidRPr="00FB75AD">
        <w:rPr>
          <w:rtl/>
          <w:lang w:val="en-US"/>
        </w:rPr>
        <w:t>(د)</w:t>
      </w:r>
      <w:r w:rsidR="008D21EA" w:rsidRPr="00FB75AD">
        <w:rPr>
          <w:rtl/>
          <w:lang w:val="en-US"/>
        </w:rPr>
        <w:tab/>
        <w:t>عدم التكرار</w:t>
      </w:r>
      <w:r w:rsidR="00264402" w:rsidRPr="00FB75AD">
        <w:rPr>
          <w:rtl/>
        </w:rPr>
        <w:t>:</w:t>
      </w:r>
      <w:r w:rsidR="008D21EA" w:rsidRPr="00FB75AD">
        <w:rPr>
          <w:rtl/>
          <w:lang w:val="en-US"/>
        </w:rPr>
        <w:t xml:space="preserve"> هاء.</w:t>
      </w:r>
    </w:p>
    <w:p w14:paraId="18D8B82C" w14:textId="631D4921" w:rsidR="008D21EA" w:rsidRPr="00FB75AD" w:rsidRDefault="008D21EA" w:rsidP="008D21EA">
      <w:pPr>
        <w:pStyle w:val="SingleTxtGA"/>
        <w:rPr>
          <w:szCs w:val="20"/>
          <w:lang w:val="en-US" w:eastAsia="zh-TW"/>
        </w:rPr>
      </w:pPr>
      <w:r w:rsidRPr="00FB75AD">
        <w:rPr>
          <w:b/>
          <w:bCs/>
          <w:rtl/>
          <w:lang w:val="en-US"/>
        </w:rPr>
        <w:t>قرار اللجنة</w:t>
      </w:r>
      <w:r w:rsidR="00264402" w:rsidRPr="00FB75AD">
        <w:rPr>
          <w:rtl/>
        </w:rPr>
        <w:t>:</w:t>
      </w:r>
      <w:r w:rsidRPr="00FB75AD">
        <w:rPr>
          <w:rtl/>
          <w:lang w:val="en-US"/>
        </w:rPr>
        <w:t xml:space="preserve"> مواصلة حوار المتابعة.</w:t>
      </w:r>
    </w:p>
    <w:p w14:paraId="73417ADD" w14:textId="5F49DAAC" w:rsidR="00B54045" w:rsidRPr="00FB75AD" w:rsidRDefault="0074432C" w:rsidP="0074432C">
      <w:pPr>
        <w:pStyle w:val="SingleTxtGA"/>
        <w:jc w:val="center"/>
        <w:rPr>
          <w:u w:val="single"/>
          <w:rtl/>
          <w:lang w:val="en-US"/>
        </w:rPr>
      </w:pPr>
      <w:r w:rsidRPr="00FB75AD">
        <w:rPr>
          <w:u w:val="single"/>
          <w:rtl/>
          <w:lang w:val="en-US"/>
        </w:rPr>
        <w:tab/>
      </w:r>
      <w:r w:rsidRPr="00FB75AD">
        <w:rPr>
          <w:u w:val="single"/>
          <w:rtl/>
          <w:lang w:val="en-US"/>
        </w:rPr>
        <w:tab/>
      </w:r>
      <w:r w:rsidRPr="00FB75AD">
        <w:rPr>
          <w:u w:val="single"/>
          <w:rtl/>
          <w:lang w:val="en-US"/>
        </w:rPr>
        <w:tab/>
      </w:r>
    </w:p>
    <w:sectPr w:rsidR="00B54045" w:rsidRPr="00FB75AD" w:rsidSect="00BC10E5">
      <w:headerReference w:type="even" r:id="rId15"/>
      <w:headerReference w:type="default" r:id="rId16"/>
      <w:footerReference w:type="even" r:id="rId17"/>
      <w:footerReference w:type="default" r:id="rId18"/>
      <w:footerReference w:type="first" r:id="rId1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70397" w14:textId="77777777" w:rsidR="007531B7" w:rsidRPr="002901D9" w:rsidRDefault="007531B7" w:rsidP="00DC4D4B">
      <w:pPr>
        <w:spacing w:after="60" w:line="240" w:lineRule="auto"/>
        <w:ind w:left="57"/>
        <w:rPr>
          <w:i/>
          <w:iCs/>
        </w:rPr>
      </w:pPr>
      <w:r>
        <w:rPr>
          <w:rFonts w:hint="cs"/>
          <w:i/>
          <w:iCs/>
          <w:rtl/>
        </w:rPr>
        <w:t>الحواشي</w:t>
      </w:r>
    </w:p>
  </w:endnote>
  <w:endnote w:type="continuationSeparator" w:id="0">
    <w:p w14:paraId="79EC7B39" w14:textId="77777777" w:rsidR="007531B7" w:rsidRDefault="007531B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51A4A" w14:textId="77BE220F" w:rsidR="00CD4995" w:rsidRPr="00CD4995" w:rsidRDefault="00CD4995" w:rsidP="00CD4995">
    <w:pPr>
      <w:pStyle w:val="Footer"/>
      <w:tabs>
        <w:tab w:val="right" w:pos="9638"/>
      </w:tabs>
      <w:rPr>
        <w:b/>
        <w:sz w:val="18"/>
        <w:lang w:val="en-US"/>
      </w:rPr>
    </w:pPr>
    <w:r>
      <w:rPr>
        <w:lang w:val="en-US"/>
      </w:rPr>
      <w:t>GE.23-10380</w:t>
    </w:r>
    <w:r>
      <w:rPr>
        <w:lang w:val="en-US"/>
      </w:rPr>
      <w:tab/>
    </w:r>
    <w:r w:rsidRPr="00CD4995">
      <w:rPr>
        <w:b/>
        <w:sz w:val="18"/>
        <w:lang w:val="en-US"/>
      </w:rPr>
      <w:fldChar w:fldCharType="begin"/>
    </w:r>
    <w:r w:rsidRPr="00CD4995">
      <w:rPr>
        <w:b/>
        <w:sz w:val="18"/>
        <w:lang w:val="en-US"/>
      </w:rPr>
      <w:instrText xml:space="preserve"> PAGE  \* MERGEFORMAT </w:instrText>
    </w:r>
    <w:r w:rsidRPr="00CD4995">
      <w:rPr>
        <w:b/>
        <w:sz w:val="18"/>
        <w:lang w:val="en-US"/>
      </w:rPr>
      <w:fldChar w:fldCharType="separate"/>
    </w:r>
    <w:r w:rsidRPr="00CD4995">
      <w:rPr>
        <w:b/>
        <w:noProof/>
        <w:sz w:val="18"/>
        <w:lang w:val="en-US"/>
      </w:rPr>
      <w:t>2</w:t>
    </w:r>
    <w:r w:rsidRPr="00CD499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2AF95" w14:textId="0EE83B76" w:rsidR="006959B0" w:rsidRPr="00CD4995" w:rsidRDefault="00CD4995" w:rsidP="00CD499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GE.23-10380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A4044" w14:textId="400F9C1A" w:rsidR="00DE50B1" w:rsidRPr="00CD4995" w:rsidRDefault="00CD4995" w:rsidP="00CD4995">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1FF7EC00" wp14:editId="11EEFAD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23-10380 (A)</w:t>
    </w:r>
    <w:r>
      <w:rPr>
        <w:noProof/>
        <w:sz w:val="20"/>
        <w:lang w:val="en-US"/>
      </w:rPr>
      <w:drawing>
        <wp:anchor distT="0" distB="0" distL="114300" distR="114300" simplePos="0" relativeHeight="251659264" behindDoc="0" locked="0" layoutInCell="1" allowOverlap="1" wp14:anchorId="30C4EFF7" wp14:editId="48BE7795">
          <wp:simplePos x="0" y="0"/>
          <wp:positionH relativeFrom="margin">
            <wp:posOffset>0</wp:posOffset>
          </wp:positionH>
          <wp:positionV relativeFrom="margin">
            <wp:posOffset>8891905</wp:posOffset>
          </wp:positionV>
          <wp:extent cx="628650" cy="628650"/>
          <wp:effectExtent l="0" t="0" r="0" b="0"/>
          <wp:wrapNone/>
          <wp:docPr id="73786370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6370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83CEE" w14:textId="77777777" w:rsidR="007531B7" w:rsidRPr="008A49D2" w:rsidRDefault="007531B7"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523887F" w14:textId="77777777" w:rsidR="007531B7" w:rsidRDefault="007531B7" w:rsidP="00656392">
      <w:pPr>
        <w:spacing w:line="240" w:lineRule="auto"/>
      </w:pPr>
      <w:r>
        <w:continuationSeparator/>
      </w:r>
    </w:p>
  </w:footnote>
  <w:footnote w:id="1">
    <w:p w14:paraId="1C496161"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r>
      <w:hyperlink r:id="rId1" w:history="1">
        <w:r w:rsidRPr="00FB75AD">
          <w:rPr>
            <w:rStyle w:val="Hyperlink"/>
          </w:rPr>
          <w:t>CCPR/C/162</w:t>
        </w:r>
      </w:hyperlink>
      <w:r w:rsidRPr="00FB75AD">
        <w:rPr>
          <w:rtl/>
        </w:rPr>
        <w:t xml:space="preserve">. </w:t>
      </w:r>
    </w:p>
  </w:footnote>
  <w:footnote w:id="2">
    <w:p w14:paraId="594D017E"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r>
      <w:hyperlink r:id="rId2" w:history="1">
        <w:r w:rsidRPr="00FB75AD">
          <w:rPr>
            <w:rStyle w:val="Hyperlink"/>
          </w:rPr>
          <w:t>CCPR/C/SR.3991</w:t>
        </w:r>
      </w:hyperlink>
      <w:r w:rsidRPr="00FB75AD">
        <w:rPr>
          <w:rtl/>
        </w:rPr>
        <w:t xml:space="preserve">، الفقرات 38-75. </w:t>
      </w:r>
    </w:p>
  </w:footnote>
  <w:footnote w:id="3">
    <w:p w14:paraId="4355FD63" w14:textId="33E52970" w:rsidR="00C11BB0" w:rsidRPr="00FB75AD" w:rsidRDefault="00C11BB0" w:rsidP="00766349">
      <w:pPr>
        <w:pStyle w:val="FootnoteText1"/>
      </w:pPr>
      <w:r w:rsidRPr="00FB75AD">
        <w:rPr>
          <w:rtl/>
        </w:rPr>
        <w:t>(</w:t>
      </w:r>
      <w:r w:rsidRPr="00FB75AD">
        <w:footnoteRef/>
      </w:r>
      <w:r w:rsidRPr="00FB75AD">
        <w:rPr>
          <w:rtl/>
        </w:rPr>
        <w:t>)</w:t>
      </w:r>
      <w:r w:rsidRPr="00FB75AD">
        <w:rPr>
          <w:rtl/>
        </w:rPr>
        <w:tab/>
        <w:t>أُرسل إقرار باستلام المعلومات إلى الدولة الطرف وأُحيلت المعلومات إلى محامي أصحاب البلاغ، في 22 كانون الأول/</w:t>
      </w:r>
      <w:r w:rsidR="00CC72EC" w:rsidRPr="00FB75AD">
        <w:rPr>
          <w:rFonts w:hint="cs"/>
          <w:rtl/>
        </w:rPr>
        <w:t xml:space="preserve"> </w:t>
      </w:r>
      <w:r w:rsidRPr="00FB75AD">
        <w:rPr>
          <w:rtl/>
        </w:rPr>
        <w:t>ديسمبر</w:t>
      </w:r>
      <w:r w:rsidR="00CC72EC" w:rsidRPr="00FB75AD">
        <w:rPr>
          <w:rFonts w:hint="cs"/>
          <w:rtl/>
        </w:rPr>
        <w:t> </w:t>
      </w:r>
      <w:r w:rsidRPr="00FB75AD">
        <w:rPr>
          <w:rtl/>
        </w:rPr>
        <w:t xml:space="preserve">2021، لكي يبدي تعليقاته عليها. </w:t>
      </w:r>
    </w:p>
  </w:footnote>
  <w:footnote w:id="4">
    <w:p w14:paraId="63FA42C5"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أُرسل إقرار باستلام المعلومات إلى محامي أصحاب البلاغ وأحيلت المعلومات إلى الدولة الطرف، في 17 آذار/مارس 2022، للعلم بها. </w:t>
      </w:r>
    </w:p>
  </w:footnote>
  <w:footnote w:id="5">
    <w:p w14:paraId="48CAC4E4"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يقدم أصحاب البلاغ نسخة من قرار محكمة مقاطعة لواندا 415/17 المؤرخ 7 تشرين الثاني/نوفمبر 2017. </w:t>
      </w:r>
    </w:p>
  </w:footnote>
  <w:footnote w:id="6">
    <w:p w14:paraId="08127F42" w14:textId="5D4618B1" w:rsidR="00C11BB0" w:rsidRPr="00FB75AD" w:rsidRDefault="00C11BB0" w:rsidP="00766349">
      <w:pPr>
        <w:pStyle w:val="FootnoteText1"/>
      </w:pPr>
      <w:r w:rsidRPr="00FB75AD">
        <w:rPr>
          <w:rtl/>
        </w:rPr>
        <w:t>(</w:t>
      </w:r>
      <w:r w:rsidRPr="00FB75AD">
        <w:footnoteRef/>
      </w:r>
      <w:r w:rsidRPr="00FB75AD">
        <w:rPr>
          <w:rtl/>
        </w:rPr>
        <w:t>)</w:t>
      </w:r>
      <w:r w:rsidRPr="00FB75AD">
        <w:rPr>
          <w:rtl/>
        </w:rPr>
        <w:tab/>
        <w:t>لا يزال أصحاب البلاغات التالية يقيمون في أنغولا</w:t>
      </w:r>
      <w:r w:rsidR="00264402" w:rsidRPr="00FB75AD">
        <w:rPr>
          <w:rtl/>
        </w:rPr>
        <w:t>:</w:t>
      </w:r>
      <w:r w:rsidRPr="00FB75AD">
        <w:rPr>
          <w:rtl/>
        </w:rPr>
        <w:t xml:space="preserve"> رقم 3106/2018، ورقم 3108/2016، ورقم 3109/2018، ورقم</w:t>
      </w:r>
      <w:r w:rsidRPr="00FB75AD">
        <w:rPr>
          <w:rFonts w:hint="cs"/>
          <w:rtl/>
        </w:rPr>
        <w:t> </w:t>
      </w:r>
      <w:r w:rsidRPr="00FB75AD">
        <w:rPr>
          <w:rtl/>
        </w:rPr>
        <w:t xml:space="preserve">3111/2018–3113/2018، ورقم 3116/2018، ورقم 3115/2018، ورقم 3121/2018. </w:t>
      </w:r>
    </w:p>
  </w:footnote>
  <w:footnote w:id="7">
    <w:p w14:paraId="4535DEE0" w14:textId="2E440D4A"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يحال إلى البلاغين رقم 3109/2015 ورقم 3115/2018. </w:t>
      </w:r>
    </w:p>
  </w:footnote>
  <w:footnote w:id="8">
    <w:p w14:paraId="45C5B117"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أُرسل إقرار باستلام المعلومات إلى الدولة الطرف وأُحيلت المعلومات إلى صاحبة البلاغ، في 18 كانون الثاني/يناير 2022، لكي تبدي تعليقاتها عليها. </w:t>
      </w:r>
    </w:p>
  </w:footnote>
  <w:footnote w:id="9">
    <w:p w14:paraId="756F4C8F"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r>
      <w:hyperlink r:id="rId3" w:history="1">
        <w:r w:rsidRPr="00FB75AD">
          <w:rPr>
            <w:rStyle w:val="Hyperlink"/>
          </w:rPr>
          <w:t>CCPR/C/125/3</w:t>
        </w:r>
      </w:hyperlink>
      <w:r w:rsidRPr="00FB75AD">
        <w:rPr>
          <w:rtl/>
        </w:rPr>
        <w:t xml:space="preserve">، الصفحتان 13 و14. </w:t>
      </w:r>
    </w:p>
  </w:footnote>
  <w:footnote w:id="10">
    <w:p w14:paraId="1628DA6A"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أُرسل إقرار باستلام المعلومات إلى صاحبة البلاغ وأحيلت المعلومات إلى الدولة الطرف، في 13 شباط/فبراير 2023، للعلم بها. </w:t>
      </w:r>
    </w:p>
  </w:footnote>
  <w:footnote w:id="11">
    <w:p w14:paraId="08DD4017"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r>
      <w:hyperlink r:id="rId4" w:history="1">
        <w:r w:rsidRPr="00FB75AD">
          <w:rPr>
            <w:rStyle w:val="Hyperlink"/>
          </w:rPr>
          <w:t>CCPR/C/CZE/CO/4</w:t>
        </w:r>
      </w:hyperlink>
      <w:r w:rsidRPr="00FB75AD">
        <w:rPr>
          <w:rtl/>
        </w:rPr>
        <w:t xml:space="preserve">. </w:t>
      </w:r>
    </w:p>
  </w:footnote>
  <w:footnote w:id="12">
    <w:p w14:paraId="46D32127"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التقرير متاح في </w:t>
      </w:r>
      <w:r w:rsidRPr="00FB75AD">
        <w:t>ZprávaVLP_2003_pom.doc (justice.cz)</w:t>
      </w:r>
      <w:r w:rsidRPr="00FB75AD">
        <w:rPr>
          <w:rtl/>
        </w:rPr>
        <w:t xml:space="preserve"> (باللغة التشيكية). </w:t>
      </w:r>
    </w:p>
  </w:footnote>
  <w:footnote w:id="13">
    <w:p w14:paraId="369617B3"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أُرسل إقرار باستلام المعلومات إلى الدولة الطرف وأُحيلت المعلومات إلى صاحب البلاغ، في 21 كانون الأول/ديسمبر 2021، لكي يبدي تعليقاته عليها. </w:t>
      </w:r>
    </w:p>
  </w:footnote>
  <w:footnote w:id="14">
    <w:p w14:paraId="2512C03E" w14:textId="46F4C4FD" w:rsidR="00C11BB0" w:rsidRPr="00FB75AD" w:rsidRDefault="00C11BB0" w:rsidP="00766349">
      <w:pPr>
        <w:pStyle w:val="FootnoteText1"/>
      </w:pPr>
      <w:r w:rsidRPr="00FB75AD">
        <w:rPr>
          <w:rtl/>
        </w:rPr>
        <w:t>(</w:t>
      </w:r>
      <w:r w:rsidRPr="00FB75AD">
        <w:footnoteRef/>
      </w:r>
      <w:r w:rsidRPr="00FB75AD">
        <w:rPr>
          <w:rtl/>
        </w:rPr>
        <w:t>)</w:t>
      </w:r>
      <w:r w:rsidRPr="00FB75AD">
        <w:rPr>
          <w:rtl/>
        </w:rPr>
        <w:tab/>
      </w:r>
      <w:hyperlink r:id="rId5" w:history="1">
        <w:r w:rsidRPr="00FB75AD">
          <w:rPr>
            <w:rStyle w:val="Hyperlink"/>
          </w:rPr>
          <w:t>CCPR/C/130/D/2500/2014</w:t>
        </w:r>
      </w:hyperlink>
      <w:r w:rsidRPr="00FB75AD">
        <w:rPr>
          <w:rtl/>
        </w:rPr>
        <w:t>، الفقرات 6-3 و</w:t>
      </w:r>
      <w:r w:rsidR="00CC72EC" w:rsidRPr="00FB75AD">
        <w:rPr>
          <w:rFonts w:hint="cs"/>
          <w:rtl/>
        </w:rPr>
        <w:t>7-3</w:t>
      </w:r>
      <w:r w:rsidRPr="00FB75AD">
        <w:rPr>
          <w:rtl/>
        </w:rPr>
        <w:t xml:space="preserve"> و</w:t>
      </w:r>
      <w:r w:rsidR="00CC72EC" w:rsidRPr="00FB75AD">
        <w:rPr>
          <w:rFonts w:hint="cs"/>
          <w:rtl/>
        </w:rPr>
        <w:t>7-4</w:t>
      </w:r>
      <w:r w:rsidRPr="00FB75AD">
        <w:rPr>
          <w:rtl/>
        </w:rPr>
        <w:t xml:space="preserve">. </w:t>
      </w:r>
    </w:p>
  </w:footnote>
  <w:footnote w:id="15">
    <w:p w14:paraId="00FCCFB5" w14:textId="77777777" w:rsidR="00C11BB0" w:rsidRPr="00FB75AD" w:rsidRDefault="00C11BB0" w:rsidP="00766349">
      <w:pPr>
        <w:pStyle w:val="FootnoteText1"/>
        <w:rPr>
          <w:spacing w:val="-4"/>
        </w:rPr>
      </w:pPr>
      <w:r w:rsidRPr="00FB75AD">
        <w:rPr>
          <w:spacing w:val="-4"/>
          <w:rtl/>
        </w:rPr>
        <w:t>(</w:t>
      </w:r>
      <w:r w:rsidRPr="00FB75AD">
        <w:rPr>
          <w:spacing w:val="-4"/>
        </w:rPr>
        <w:footnoteRef/>
      </w:r>
      <w:r w:rsidRPr="00FB75AD">
        <w:rPr>
          <w:spacing w:val="-4"/>
          <w:rtl/>
        </w:rPr>
        <w:t>)</w:t>
      </w:r>
      <w:r w:rsidRPr="00FB75AD">
        <w:rPr>
          <w:spacing w:val="-4"/>
          <w:rtl/>
        </w:rPr>
        <w:tab/>
        <w:t xml:space="preserve">أُرسل إقرار باستلام المعلومات إلى صاحب البلاغ وأحيلت المعلومات إلى الدولة الطرف، في 28 كانون الثاني/يناير 2022، للعلم بها. </w:t>
      </w:r>
    </w:p>
  </w:footnote>
  <w:footnote w:id="16">
    <w:p w14:paraId="5D599519" w14:textId="77777777" w:rsidR="00C11BB0" w:rsidRPr="00FB75AD" w:rsidRDefault="00C11BB0" w:rsidP="00132596">
      <w:pPr>
        <w:pStyle w:val="FootnoteText1"/>
        <w:rPr>
          <w:rtl/>
        </w:rPr>
      </w:pPr>
      <w:r w:rsidRPr="00FB75AD">
        <w:rPr>
          <w:rtl/>
        </w:rPr>
        <w:t>(</w:t>
      </w:r>
      <w:r w:rsidR="00132596" w:rsidRPr="00FB75AD">
        <w:footnoteRef/>
      </w:r>
      <w:r w:rsidRPr="00FB75AD">
        <w:rPr>
          <w:rtl/>
        </w:rPr>
        <w:t>)</w:t>
      </w:r>
      <w:r w:rsidR="00132596" w:rsidRPr="00FB75AD">
        <w:rPr>
          <w:rtl/>
        </w:rPr>
        <w:tab/>
      </w:r>
      <w:hyperlink r:id="rId6" w:history="1">
        <w:r w:rsidRPr="00FB75AD">
          <w:rPr>
            <w:rStyle w:val="Hyperlink"/>
          </w:rPr>
          <w:t>CCPR/C/130/D/2500/2014</w:t>
        </w:r>
      </w:hyperlink>
      <w:r w:rsidRPr="00FB75AD">
        <w:t>, para. 7.3</w:t>
      </w:r>
      <w:r w:rsidRPr="00FB75AD">
        <w:rPr>
          <w:rtl/>
        </w:rPr>
        <w:t xml:space="preserve">. </w:t>
      </w:r>
    </w:p>
  </w:footnote>
  <w:footnote w:id="17">
    <w:p w14:paraId="5937FC3F" w14:textId="77777777" w:rsidR="00C11BB0" w:rsidRPr="00FB75AD" w:rsidRDefault="00C11BB0" w:rsidP="00766349">
      <w:pPr>
        <w:pStyle w:val="FootnoteText1"/>
        <w:rPr>
          <w:spacing w:val="-4"/>
        </w:rPr>
      </w:pPr>
      <w:r w:rsidRPr="00FB75AD">
        <w:rPr>
          <w:spacing w:val="-4"/>
          <w:rtl/>
        </w:rPr>
        <w:t>(</w:t>
      </w:r>
      <w:r w:rsidRPr="00FB75AD">
        <w:rPr>
          <w:spacing w:val="-4"/>
        </w:rPr>
        <w:footnoteRef/>
      </w:r>
      <w:r w:rsidRPr="00FB75AD">
        <w:rPr>
          <w:spacing w:val="-4"/>
          <w:rtl/>
        </w:rPr>
        <w:t>)</w:t>
      </w:r>
      <w:r w:rsidRPr="00FB75AD">
        <w:rPr>
          <w:spacing w:val="-4"/>
          <w:rtl/>
        </w:rPr>
        <w:tab/>
        <w:t xml:space="preserve">أُرسل إقرار باستلام المعلومات إلى محامي صاحب البلاغ وأُحيلت المعلومات إلى الدولة الطرف، في 21 كانون الأول/ديسمبر 2021، لكي تبدي تعليقاتها عليها. </w:t>
      </w:r>
    </w:p>
  </w:footnote>
  <w:footnote w:id="18">
    <w:p w14:paraId="51BDEDA2" w14:textId="0DF8B8CD" w:rsidR="00C11BB0" w:rsidRPr="00FB75AD" w:rsidRDefault="00C11BB0" w:rsidP="00766349">
      <w:pPr>
        <w:pStyle w:val="FootnoteText1"/>
      </w:pPr>
      <w:r w:rsidRPr="00FB75AD">
        <w:rPr>
          <w:rtl/>
        </w:rPr>
        <w:t>(</w:t>
      </w:r>
      <w:r w:rsidRPr="00FB75AD">
        <w:footnoteRef/>
      </w:r>
      <w:r w:rsidRPr="00FB75AD">
        <w:rPr>
          <w:rtl/>
        </w:rPr>
        <w:t>)</w:t>
      </w:r>
      <w:r w:rsidRPr="00FB75AD">
        <w:rPr>
          <w:rtl/>
        </w:rPr>
        <w:tab/>
      </w:r>
      <w:bookmarkStart w:id="4" w:name="_Hlk127624578"/>
      <w:bookmarkStart w:id="5" w:name="_Hlk127625005"/>
      <w:bookmarkEnd w:id="4"/>
      <w:bookmarkEnd w:id="5"/>
      <w:r w:rsidRPr="00FB75AD">
        <w:rPr>
          <w:rtl/>
        </w:rPr>
        <w:t>يشير المحامي إلى البيانين اللذين أدلى بهما ممثل الدولة الطرف لدى المحكمة الأوروبية لحقوق الإنسان والقاضي المعين من الدولة الطرف في المحكمة الأوروبية لحقوق الإنسان، اللذين شككا علنا</w:t>
      </w:r>
      <w:r w:rsidR="00BF4B9E" w:rsidRPr="00FB75AD">
        <w:rPr>
          <w:rFonts w:hint="cs"/>
          <w:rtl/>
        </w:rPr>
        <w:t>ً</w:t>
      </w:r>
      <w:r w:rsidRPr="00FB75AD">
        <w:rPr>
          <w:rtl/>
        </w:rPr>
        <w:t xml:space="preserve"> في الطابع الملزم لآراء اللجنة (انظر على سبيل المثال </w:t>
      </w:r>
      <w:hyperlink r:id="rId7" w:history="1">
        <w:r w:rsidRPr="00FB75AD">
          <w:rPr>
            <w:rStyle w:val="Hyperlink"/>
          </w:rPr>
          <w:t>https</w:t>
        </w:r>
        <w:r w:rsidR="00264402" w:rsidRPr="00FB75AD">
          <w:rPr>
            <w:rStyle w:val="Hyperlink"/>
          </w:rPr>
          <w:t>:</w:t>
        </w:r>
        <w:r w:rsidRPr="00FB75AD">
          <w:rPr>
            <w:rStyle w:val="Hyperlink"/>
          </w:rPr>
          <w:t>//youtu.be/mBExIr8cTLM</w:t>
        </w:r>
      </w:hyperlink>
      <w:r w:rsidRPr="00FB75AD">
        <w:rPr>
          <w:rtl/>
        </w:rPr>
        <w:t>). ويدعي المحامي أيضا</w:t>
      </w:r>
      <w:r w:rsidR="00BF4B9E" w:rsidRPr="00FB75AD">
        <w:rPr>
          <w:rFonts w:hint="cs"/>
          <w:rtl/>
        </w:rPr>
        <w:t>ً</w:t>
      </w:r>
      <w:r w:rsidRPr="00FB75AD">
        <w:rPr>
          <w:rtl/>
        </w:rPr>
        <w:t xml:space="preserve"> أن هذين الموظفين الحكوميين حاولا التشهير به انتقاما</w:t>
      </w:r>
      <w:r w:rsidR="00BF4B9E" w:rsidRPr="00FB75AD">
        <w:rPr>
          <w:rFonts w:hint="cs"/>
          <w:rtl/>
        </w:rPr>
        <w:t>ً</w:t>
      </w:r>
      <w:r w:rsidRPr="00FB75AD">
        <w:rPr>
          <w:rtl/>
        </w:rPr>
        <w:t xml:space="preserve"> منه بسبب عمله محاميا</w:t>
      </w:r>
      <w:r w:rsidR="00BF4B9E" w:rsidRPr="00FB75AD">
        <w:rPr>
          <w:rFonts w:hint="cs"/>
          <w:rtl/>
        </w:rPr>
        <w:t>ً</w:t>
      </w:r>
      <w:r w:rsidRPr="00FB75AD">
        <w:rPr>
          <w:rtl/>
        </w:rPr>
        <w:t xml:space="preserve"> في مجال حقوق الإنسان. </w:t>
      </w:r>
    </w:p>
  </w:footnote>
  <w:footnote w:id="19">
    <w:p w14:paraId="269B2A4F"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أُرسل إقرار باستلام المعلومات إلى الدولة الطرف وأُحيلت المعلومات إلى محامي صاحب البلاغ، في 11 آب/أغسطس 2022، لكي يبدي تعليقاته عليها. </w:t>
      </w:r>
    </w:p>
  </w:footnote>
  <w:footnote w:id="20">
    <w:p w14:paraId="5414948E"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أُرسل إقرار باستلام المعلومات إلى محامي صاحب البلاغ وأحيلت المعلومات إلى الدولة الطرف، في 20 شباط/فبراير 2023، للعلم بها. </w:t>
      </w:r>
    </w:p>
  </w:footnote>
  <w:footnote w:id="21">
    <w:p w14:paraId="1DCAF218" w14:textId="4A76A92E" w:rsidR="00C11BB0" w:rsidRPr="00FB75AD" w:rsidRDefault="00C11BB0" w:rsidP="00766349">
      <w:pPr>
        <w:pStyle w:val="FootnoteText1"/>
      </w:pPr>
      <w:r w:rsidRPr="00FB75AD">
        <w:rPr>
          <w:rtl/>
        </w:rPr>
        <w:t>(</w:t>
      </w:r>
      <w:r w:rsidRPr="00FB75AD">
        <w:footnoteRef/>
      </w:r>
      <w:r w:rsidRPr="00FB75AD">
        <w:rPr>
          <w:rtl/>
        </w:rPr>
        <w:t>)</w:t>
      </w:r>
      <w:r w:rsidRPr="00FB75AD">
        <w:rPr>
          <w:rtl/>
        </w:rPr>
        <w:tab/>
        <w:t>أُرسل إقرار باستلام المعلومات إلى الدولة الطرف في 11 آب/أغسطس 2022 وأُحيلت المعلومات إلى محامي صاحب البلاغ في</w:t>
      </w:r>
      <w:r w:rsidR="00146FBF" w:rsidRPr="00FB75AD">
        <w:rPr>
          <w:rFonts w:hint="cs"/>
          <w:rtl/>
        </w:rPr>
        <w:t> </w:t>
      </w:r>
      <w:r w:rsidRPr="00FB75AD">
        <w:rPr>
          <w:rtl/>
        </w:rPr>
        <w:t xml:space="preserve">15 أيلول/سبتمبر 2022، لكي يبدي تعليقاته عليها. </w:t>
      </w:r>
    </w:p>
  </w:footnote>
  <w:footnote w:id="22">
    <w:p w14:paraId="6B94E4AF" w14:textId="61CC25A2" w:rsidR="00C11BB0" w:rsidRPr="00FB75AD" w:rsidRDefault="00C11BB0" w:rsidP="00766349">
      <w:pPr>
        <w:pStyle w:val="FootnoteText1"/>
      </w:pPr>
      <w:r w:rsidRPr="00FB75AD">
        <w:rPr>
          <w:rtl/>
        </w:rPr>
        <w:t>(</w:t>
      </w:r>
      <w:r w:rsidRPr="00FB75AD">
        <w:footnoteRef/>
      </w:r>
      <w:r w:rsidRPr="00FB75AD">
        <w:rPr>
          <w:rtl/>
        </w:rPr>
        <w:t>)</w:t>
      </w:r>
      <w:r w:rsidRPr="00FB75AD">
        <w:rPr>
          <w:rtl/>
        </w:rPr>
        <w:tab/>
        <w:t>أُرسل إقرار باستلام المعلومات إلى محامي صاحب البلاغ وأحيلت المعلومات إلى الدولة الطرف، في 24 كانون الثاني/</w:t>
      </w:r>
      <w:r w:rsidR="00146FBF" w:rsidRPr="00FB75AD">
        <w:rPr>
          <w:rFonts w:hint="cs"/>
          <w:rtl/>
        </w:rPr>
        <w:t xml:space="preserve"> </w:t>
      </w:r>
      <w:r w:rsidRPr="00FB75AD">
        <w:rPr>
          <w:rtl/>
        </w:rPr>
        <w:t>يناير</w:t>
      </w:r>
      <w:r w:rsidR="00146FBF" w:rsidRPr="00FB75AD">
        <w:rPr>
          <w:rFonts w:hint="cs"/>
          <w:rtl/>
        </w:rPr>
        <w:t> </w:t>
      </w:r>
      <w:r w:rsidRPr="00FB75AD">
        <w:rPr>
          <w:rtl/>
        </w:rPr>
        <w:t xml:space="preserve">2023، للعلم بها. </w:t>
      </w:r>
    </w:p>
  </w:footnote>
  <w:footnote w:id="23">
    <w:p w14:paraId="1E7B2F15"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يجب أن تكون الإشارة المرجعية الصحيحة إلى الفقرة 5-17 من الآراء. </w:t>
      </w:r>
    </w:p>
  </w:footnote>
  <w:footnote w:id="24">
    <w:p w14:paraId="59E25495" w14:textId="77777777" w:rsidR="00C11BB0" w:rsidRPr="00FB75AD" w:rsidRDefault="00C11BB0" w:rsidP="00766349">
      <w:pPr>
        <w:pStyle w:val="FootnoteText1"/>
        <w:rPr>
          <w:spacing w:val="-2"/>
        </w:rPr>
      </w:pPr>
      <w:r w:rsidRPr="00FB75AD">
        <w:rPr>
          <w:spacing w:val="-2"/>
          <w:rtl/>
        </w:rPr>
        <w:t>(</w:t>
      </w:r>
      <w:r w:rsidRPr="00FB75AD">
        <w:rPr>
          <w:spacing w:val="-2"/>
        </w:rPr>
        <w:footnoteRef/>
      </w:r>
      <w:r w:rsidRPr="00FB75AD">
        <w:rPr>
          <w:spacing w:val="-2"/>
          <w:rtl/>
        </w:rPr>
        <w:t>)</w:t>
      </w:r>
      <w:r w:rsidRPr="00FB75AD">
        <w:rPr>
          <w:spacing w:val="-2"/>
          <w:rtl/>
        </w:rPr>
        <w:tab/>
        <w:t xml:space="preserve">أُرسل إقرار باستلام المعلومات إلى الدولة الطرف وأُحيلت المعلومات إلى محامي صاحب البلاغ، في 20 كانون الثاني/يناير 2022، لكي يبدي تعليقاته عليها. </w:t>
      </w:r>
    </w:p>
  </w:footnote>
  <w:footnote w:id="25">
    <w:p w14:paraId="05571D20"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أُرسل إقرار باستلام المعلومات إلى محامي صاحب البلاغ وأحيلت المعلومات إلى الدولة الطرف، في 2 شباط/فبراير 2023، للعلم بها. </w:t>
      </w:r>
    </w:p>
  </w:footnote>
  <w:footnote w:id="26">
    <w:p w14:paraId="4A8907BA" w14:textId="0C5D8253" w:rsidR="00C11BB0" w:rsidRPr="00FB75AD" w:rsidRDefault="00C11BB0" w:rsidP="00132596">
      <w:pPr>
        <w:pStyle w:val="FootnoteText1"/>
      </w:pPr>
      <w:r w:rsidRPr="00FB75AD">
        <w:rPr>
          <w:rtl/>
        </w:rPr>
        <w:t>(</w:t>
      </w:r>
      <w:r w:rsidRPr="00FB75AD">
        <w:footnoteRef/>
      </w:r>
      <w:r w:rsidRPr="00FB75AD">
        <w:rPr>
          <w:rtl/>
        </w:rPr>
        <w:t>)</w:t>
      </w:r>
      <w:r w:rsidRPr="00FB75AD">
        <w:rPr>
          <w:rtl/>
        </w:rPr>
        <w:tab/>
        <w:t>انظر</w:t>
      </w:r>
      <w:r w:rsidR="00264402" w:rsidRPr="00FB75AD">
        <w:rPr>
          <w:rtl/>
        </w:rPr>
        <w:t>:</w:t>
      </w:r>
      <w:r w:rsidRPr="00FB75AD">
        <w:rPr>
          <w:rtl/>
        </w:rPr>
        <w:t xml:space="preserve"> </w:t>
      </w:r>
      <w:r w:rsidRPr="00FB75AD">
        <w:t>Forum 18, “TURKMENISTAN</w:t>
      </w:r>
      <w:r w:rsidR="00264402" w:rsidRPr="00FB75AD">
        <w:t>:</w:t>
      </w:r>
      <w:r w:rsidRPr="00FB75AD">
        <w:t xml:space="preserve"> 8 conscientious objectors jailed in 2021, UN special procedures ignored”, 19 March 2021</w:t>
      </w:r>
      <w:r w:rsidRPr="00FB75AD">
        <w:rPr>
          <w:rtl/>
        </w:rPr>
        <w:t>، و</w:t>
      </w:r>
      <w:r w:rsidRPr="00FB75AD">
        <w:t>“TURKMENISTAN</w:t>
      </w:r>
      <w:r w:rsidR="00264402" w:rsidRPr="00FB75AD">
        <w:t>:</w:t>
      </w:r>
      <w:r w:rsidRPr="00FB75AD">
        <w:t xml:space="preserve"> 16 conscientious objectors freed, Muslim prisoners of conscience remain”, 10 May 2021</w:t>
      </w:r>
      <w:r w:rsidRPr="00FB75AD">
        <w:rPr>
          <w:rtl/>
        </w:rPr>
        <w:t xml:space="preserve">. </w:t>
      </w:r>
    </w:p>
  </w:footnote>
  <w:footnote w:id="27">
    <w:p w14:paraId="0B9B8C66"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r>
      <w:hyperlink r:id="rId8" w:history="1">
        <w:r w:rsidRPr="00FB75AD">
          <w:rPr>
            <w:rStyle w:val="Hyperlink"/>
          </w:rPr>
          <w:t>CCPR/C/TKM/CO/2</w:t>
        </w:r>
      </w:hyperlink>
      <w:r w:rsidRPr="00FB75AD">
        <w:rPr>
          <w:rtl/>
        </w:rPr>
        <w:t>، الفقرتان 40 و41، و</w:t>
      </w:r>
      <w:r w:rsidRPr="00FB75AD">
        <w:rPr>
          <w:i/>
          <w:iCs/>
          <w:rtl/>
        </w:rPr>
        <w:t>ناصرلاييف ضد تركمانستان</w:t>
      </w:r>
      <w:r w:rsidRPr="00FB75AD">
        <w:rPr>
          <w:rtl/>
        </w:rPr>
        <w:t xml:space="preserve"> (</w:t>
      </w:r>
      <w:hyperlink r:id="rId9" w:history="1">
        <w:r w:rsidRPr="00FB75AD">
          <w:rPr>
            <w:rStyle w:val="Hyperlink"/>
          </w:rPr>
          <w:t>CCPR/C/117/D/2219/2012</w:t>
        </w:r>
      </w:hyperlink>
      <w:r w:rsidRPr="00FB75AD">
        <w:rPr>
          <w:rtl/>
        </w:rPr>
        <w:t xml:space="preserve">)، الفقرة 10. </w:t>
      </w:r>
    </w:p>
  </w:footnote>
  <w:footnote w:id="28">
    <w:p w14:paraId="7FFD9032" w14:textId="1822DB5F"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انظر، في جملة أمور، </w:t>
      </w:r>
      <w:r w:rsidRPr="00FB75AD">
        <w:rPr>
          <w:i/>
          <w:iCs/>
          <w:rtl/>
        </w:rPr>
        <w:t>ناصرلاييف ضد تركمانستان</w:t>
      </w:r>
      <w:r w:rsidRPr="00FB75AD">
        <w:rPr>
          <w:rtl/>
        </w:rPr>
        <w:t>، الفقرتان 8-4 و</w:t>
      </w:r>
      <w:r w:rsidR="00CC72EC" w:rsidRPr="00FB75AD">
        <w:rPr>
          <w:rFonts w:hint="cs"/>
          <w:rtl/>
        </w:rPr>
        <w:t>8-5</w:t>
      </w:r>
      <w:r w:rsidRPr="00FB75AD">
        <w:rPr>
          <w:rtl/>
        </w:rPr>
        <w:t xml:space="preserve">. </w:t>
      </w:r>
    </w:p>
  </w:footnote>
  <w:footnote w:id="29">
    <w:p w14:paraId="3F09F5B3" w14:textId="4D56D2C8" w:rsidR="00C11BB0" w:rsidRPr="00FB75AD" w:rsidRDefault="00C11BB0" w:rsidP="00766349">
      <w:pPr>
        <w:pStyle w:val="FootnoteText1"/>
      </w:pPr>
      <w:r w:rsidRPr="00FB75AD">
        <w:rPr>
          <w:rtl/>
        </w:rPr>
        <w:t>(</w:t>
      </w:r>
      <w:r w:rsidRPr="00FB75AD">
        <w:footnoteRef/>
      </w:r>
      <w:r w:rsidRPr="00FB75AD">
        <w:rPr>
          <w:rtl/>
        </w:rPr>
        <w:t>)</w:t>
      </w:r>
      <w:r w:rsidRPr="00FB75AD">
        <w:rPr>
          <w:rtl/>
        </w:rPr>
        <w:tab/>
        <w:t>أُرسل إقرار باستلام المعلومات إلى الدولة الطرف وأُحيلت المعلومات إلى محامي صاحب البلاغ، في 22 تشرين الثاني/</w:t>
      </w:r>
      <w:r w:rsidR="00A6180E" w:rsidRPr="00FB75AD">
        <w:rPr>
          <w:rFonts w:hint="cs"/>
          <w:rtl/>
        </w:rPr>
        <w:t xml:space="preserve"> </w:t>
      </w:r>
      <w:r w:rsidRPr="00FB75AD">
        <w:rPr>
          <w:rtl/>
        </w:rPr>
        <w:t>نوفمبر</w:t>
      </w:r>
      <w:r w:rsidR="00A6180E" w:rsidRPr="00FB75AD">
        <w:rPr>
          <w:rFonts w:hint="cs"/>
          <w:rtl/>
        </w:rPr>
        <w:t> </w:t>
      </w:r>
      <w:r w:rsidRPr="00FB75AD">
        <w:rPr>
          <w:rtl/>
        </w:rPr>
        <w:t xml:space="preserve">2021، لكي يبدي تعليقاته عليها. وأرسلت رسالة تذكيرية إلى محامي صاحب البلاغ في 29 أيلول/سبتمبر 2022. </w:t>
      </w:r>
    </w:p>
  </w:footnote>
  <w:footnote w:id="30">
    <w:p w14:paraId="11D040C5"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المادة 128(1) و(7) من قانون الإجراءات الجنائية، وقانون إجراءات التعويض عن الأضرار التي تلحق بالمواطنين بسبب الأفعال غير القانونية التي تقوم بها هيئات التحقيق السابق للمحاكمة ومكاتب المدعين العامين والمحاكم، المادتان 2 و3. </w:t>
      </w:r>
    </w:p>
  </w:footnote>
  <w:footnote w:id="31">
    <w:p w14:paraId="647842AA" w14:textId="7D13AD6F" w:rsidR="00C11BB0" w:rsidRPr="00FB75AD" w:rsidRDefault="00C11BB0" w:rsidP="00766349">
      <w:pPr>
        <w:pStyle w:val="FootnoteText1"/>
      </w:pPr>
      <w:r w:rsidRPr="00FB75AD">
        <w:rPr>
          <w:rtl/>
        </w:rPr>
        <w:t>(</w:t>
      </w:r>
      <w:r w:rsidRPr="00FB75AD">
        <w:footnoteRef/>
      </w:r>
      <w:r w:rsidRPr="00FB75AD">
        <w:rPr>
          <w:rtl/>
        </w:rPr>
        <w:t>)</w:t>
      </w:r>
      <w:r w:rsidRPr="00FB75AD">
        <w:rPr>
          <w:rtl/>
        </w:rPr>
        <w:tab/>
        <w:t>أُرسل إقرار باستلام المعلومات إلى محامي صاحب البلاغ وأحيلت المعلومات إلى الدولة الطرف، في 12 كانون الثاني/</w:t>
      </w:r>
      <w:r w:rsidR="00CC72EC" w:rsidRPr="00FB75AD">
        <w:rPr>
          <w:rFonts w:hint="cs"/>
          <w:rtl/>
        </w:rPr>
        <w:t xml:space="preserve"> </w:t>
      </w:r>
      <w:r w:rsidRPr="00FB75AD">
        <w:rPr>
          <w:rtl/>
        </w:rPr>
        <w:t>يناير</w:t>
      </w:r>
      <w:r w:rsidR="00CC72EC" w:rsidRPr="00FB75AD">
        <w:rPr>
          <w:rFonts w:hint="cs"/>
          <w:rtl/>
        </w:rPr>
        <w:t> </w:t>
      </w:r>
      <w:r w:rsidRPr="00FB75AD">
        <w:rPr>
          <w:rtl/>
        </w:rPr>
        <w:t xml:space="preserve">2023، للعلم بها. </w:t>
      </w:r>
    </w:p>
  </w:footnote>
  <w:footnote w:id="32">
    <w:p w14:paraId="147C01B8"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أحيل نص الآراء المسبق وغير المحرر باللغة الإنكليزية إلى الطرفين في 29 أيار/مايو 2020. وأحيل إليهما نص الآراء باللغة الروسية في 8 آذار/مارس 2021. وفي 12 كانون الثاني/يناير 2023، أعيد إرسال النسختين الرسميتين الإنكليزية والروسية من الآراء إلى محامي صاحب البلاغ بناء على طلبه. </w:t>
      </w:r>
    </w:p>
  </w:footnote>
  <w:footnote w:id="33">
    <w:p w14:paraId="142E5102" w14:textId="34870CD9" w:rsidR="00C11BB0" w:rsidRPr="00FB75AD" w:rsidRDefault="00C11BB0" w:rsidP="00766349">
      <w:pPr>
        <w:pStyle w:val="FootnoteText1"/>
      </w:pPr>
      <w:r w:rsidRPr="00FB75AD">
        <w:rPr>
          <w:rtl/>
        </w:rPr>
        <w:t>(</w:t>
      </w:r>
      <w:r w:rsidRPr="00FB75AD">
        <w:footnoteRef/>
      </w:r>
      <w:r w:rsidRPr="00FB75AD">
        <w:rPr>
          <w:rtl/>
        </w:rPr>
        <w:t>)</w:t>
      </w:r>
      <w:r w:rsidRPr="00FB75AD">
        <w:rPr>
          <w:rtl/>
        </w:rPr>
        <w:tab/>
      </w:r>
      <w:r w:rsidR="00A6180E" w:rsidRPr="00FB75AD">
        <w:t>European Court of Human Rights,</w:t>
      </w:r>
      <w:r w:rsidR="00A6180E" w:rsidRPr="00FB75AD">
        <w:rPr>
          <w:i/>
          <w:iCs/>
        </w:rPr>
        <w:t xml:space="preserve"> Grigoryev v. Ukraine</w:t>
      </w:r>
      <w:r w:rsidR="00A6180E" w:rsidRPr="00FB75AD">
        <w:t>, Application No. 51671/07, Judgment, 15 May 2012</w:t>
      </w:r>
      <w:r w:rsidRPr="00FB75AD">
        <w:rPr>
          <w:rtl/>
        </w:rPr>
        <w:t xml:space="preserve">. </w:t>
      </w:r>
    </w:p>
  </w:footnote>
  <w:footnote w:id="34">
    <w:p w14:paraId="4FF3BDCB"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أُرسل إقرار باستلام المعلومات إلى الدولة الطرف وأُحيلت المعلومات إلى محامي صاحبة البلاغ، في 6 آذار/مارس 2019، لكي يبدي تعليقاته عليها. وأرسلت رسالة تذكيرية إلى محامي صاحبة البلاغ في 20 كانون الأول/ديسمبر 2021. </w:t>
      </w:r>
    </w:p>
  </w:footnote>
  <w:footnote w:id="35">
    <w:p w14:paraId="477CE57D" w14:textId="77777777" w:rsidR="00C11BB0" w:rsidRPr="00FB75AD" w:rsidRDefault="00C11BB0" w:rsidP="00766349">
      <w:pPr>
        <w:pStyle w:val="FootnoteText1"/>
        <w:rPr>
          <w:spacing w:val="-4"/>
        </w:rPr>
      </w:pPr>
      <w:r w:rsidRPr="00FB75AD">
        <w:rPr>
          <w:spacing w:val="-4"/>
          <w:rtl/>
        </w:rPr>
        <w:t>(</w:t>
      </w:r>
      <w:r w:rsidRPr="00FB75AD">
        <w:rPr>
          <w:spacing w:val="-4"/>
        </w:rPr>
        <w:footnoteRef/>
      </w:r>
      <w:r w:rsidRPr="00FB75AD">
        <w:rPr>
          <w:spacing w:val="-4"/>
          <w:rtl/>
        </w:rPr>
        <w:t>)</w:t>
      </w:r>
      <w:r w:rsidRPr="00FB75AD">
        <w:rPr>
          <w:spacing w:val="-4"/>
          <w:rtl/>
        </w:rPr>
        <w:tab/>
        <w:t xml:space="preserve">أُرسل إقرار باستلام المعلومات إلى محامي صاحب البلاغ وأحيلت المعلومات إلى الدولة الطرف، في 2 آذار/مارس 2022، للعلم بها. </w:t>
      </w:r>
    </w:p>
  </w:footnote>
  <w:footnote w:id="36">
    <w:p w14:paraId="1BD9330A" w14:textId="0D463B75" w:rsidR="00C11BB0" w:rsidRPr="00FB75AD" w:rsidRDefault="00C11BB0" w:rsidP="00766349">
      <w:pPr>
        <w:pStyle w:val="FootnoteText1"/>
      </w:pPr>
      <w:r w:rsidRPr="00FB75AD">
        <w:rPr>
          <w:rtl/>
        </w:rPr>
        <w:t>(</w:t>
      </w:r>
      <w:r w:rsidRPr="00FB75AD">
        <w:footnoteRef/>
      </w:r>
      <w:r w:rsidRPr="00FB75AD">
        <w:rPr>
          <w:rtl/>
        </w:rPr>
        <w:t>)</w:t>
      </w:r>
      <w:r w:rsidRPr="00FB75AD">
        <w:rPr>
          <w:rtl/>
        </w:rPr>
        <w:tab/>
        <w:t>وفقا</w:t>
      </w:r>
      <w:r w:rsidR="00BF4B9E" w:rsidRPr="00FB75AD">
        <w:rPr>
          <w:rFonts w:hint="cs"/>
          <w:rtl/>
        </w:rPr>
        <w:t>ً</w:t>
      </w:r>
      <w:r w:rsidRPr="00FB75AD">
        <w:rPr>
          <w:rtl/>
        </w:rPr>
        <w:t xml:space="preserve"> لملاحظات الدولة الطرف المؤرخة 25 تشرين الأول/أكتوبر 2016، والتي قُدمت قبل اعتماد اللجنة آراءها، نظرت محكمة الاستئناف في شكاوى السيد فورمونوف بشأن تعرضه للتعذيب. ومع ذلك، ورد في ملاحظات المتابعة التي قدمتها الدولة الطرف في 1 آذار/مارس 2019 أن هذه الشكاوى نظر فيها مدع عام. </w:t>
      </w:r>
    </w:p>
  </w:footnote>
  <w:footnote w:id="37">
    <w:p w14:paraId="472F2AF4"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r>
      <w:hyperlink r:id="rId10" w:history="1">
        <w:r w:rsidRPr="00FB75AD">
          <w:rPr>
            <w:rStyle w:val="Hyperlink"/>
          </w:rPr>
          <w:t>CCPR/C/122/D/2577/2015</w:t>
        </w:r>
      </w:hyperlink>
      <w:r w:rsidRPr="00FB75AD">
        <w:rPr>
          <w:rtl/>
        </w:rPr>
        <w:t xml:space="preserve">، الفقرة 5-4. </w:t>
      </w:r>
    </w:p>
  </w:footnote>
  <w:footnote w:id="38">
    <w:p w14:paraId="1D8FF2DA"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يشير المحامي إلى حقوق السيد فورمونوف في عدم إكراهه على الاعتراف بالذنب، وفي الحصول على ما يكفي من الوقت والتسهيلات لإعداد دفاعه والاتصال بمحام من اختياره، وفي استجواب الشهود، وفي محاكمة عادلة وعلنية أمام محكمة محايدة. </w:t>
      </w:r>
    </w:p>
  </w:footnote>
  <w:footnote w:id="39">
    <w:p w14:paraId="09820B6D"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أُرسل إقرار باستلام المعلومات إلى الدولة الطرف وأُحيلت المعلومات إلى محامي صاحبة البلاغ، في 22 أيلول/سبتمبر 2022، لكي يبدي تعليقاته عليها. </w:t>
      </w:r>
    </w:p>
  </w:footnote>
  <w:footnote w:id="40">
    <w:p w14:paraId="414497D2" w14:textId="3AD185CF" w:rsidR="00C11BB0" w:rsidRPr="00FB75AD" w:rsidRDefault="00C11BB0" w:rsidP="00766349">
      <w:pPr>
        <w:pStyle w:val="FootnoteText1"/>
      </w:pPr>
      <w:r w:rsidRPr="00FB75AD">
        <w:rPr>
          <w:rtl/>
        </w:rPr>
        <w:t>(</w:t>
      </w:r>
      <w:r w:rsidRPr="00FB75AD">
        <w:footnoteRef/>
      </w:r>
      <w:r w:rsidRPr="00FB75AD">
        <w:rPr>
          <w:rtl/>
        </w:rPr>
        <w:t>)</w:t>
      </w:r>
      <w:r w:rsidRPr="00FB75AD">
        <w:rPr>
          <w:rtl/>
        </w:rPr>
        <w:tab/>
        <w:t>ذكرت الدولة الطرف أن السيد فورمونوف، الذي يعرف نفسه بأنه ممثل جمعية حقوق الإنسان في إقليم سيرداريا، أرسل تقريرا</w:t>
      </w:r>
      <w:r w:rsidR="00BF4B9E" w:rsidRPr="00FB75AD">
        <w:rPr>
          <w:rFonts w:hint="cs"/>
          <w:rtl/>
        </w:rPr>
        <w:t>ً</w:t>
      </w:r>
      <w:r w:rsidRPr="00FB75AD">
        <w:rPr>
          <w:rtl/>
        </w:rPr>
        <w:t xml:space="preserve"> إلى رئيس شركة نفط يصف فيه مخالفات في تسليم المنتجات النفطية، ما سيؤدي إلى فصل أحد وكلاء توزيع النفط. وادعت الدولة الطرف أن السيد فورمونوف هدد بنشر التقرير على الإنترنت ما لم يعطه الوكيل المعني مبلغا</w:t>
      </w:r>
      <w:r w:rsidR="00BF4B9E" w:rsidRPr="00FB75AD">
        <w:rPr>
          <w:rFonts w:hint="cs"/>
          <w:rtl/>
        </w:rPr>
        <w:t>ً</w:t>
      </w:r>
      <w:r w:rsidRPr="00FB75AD">
        <w:rPr>
          <w:rtl/>
        </w:rPr>
        <w:t xml:space="preserve"> قدره 000 600 سوم (</w:t>
      </w:r>
      <w:hyperlink r:id="rId11" w:history="1">
        <w:r w:rsidRPr="00FB75AD">
          <w:rPr>
            <w:rStyle w:val="Hyperlink"/>
          </w:rPr>
          <w:t>CCPR/C/122/D/2577/2015</w:t>
        </w:r>
      </w:hyperlink>
      <w:r w:rsidRPr="00FB75AD">
        <w:rPr>
          <w:rtl/>
        </w:rPr>
        <w:t xml:space="preserve">، الفقرتان 4-2 و4-3). </w:t>
      </w:r>
    </w:p>
  </w:footnote>
  <w:footnote w:id="41">
    <w:p w14:paraId="0CAF2345"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لا توضح الدولة الطرف ما إذا كان الإجراء المعني اتُبع في قضية السيد فورمونوف. </w:t>
      </w:r>
    </w:p>
  </w:footnote>
  <w:footnote w:id="42">
    <w:p w14:paraId="7D06B691" w14:textId="77777777" w:rsidR="00C11BB0" w:rsidRPr="00FB75AD" w:rsidRDefault="00C11BB0" w:rsidP="00766349">
      <w:pPr>
        <w:pStyle w:val="FootnoteText1"/>
      </w:pPr>
      <w:r w:rsidRPr="00FB75AD">
        <w:rPr>
          <w:rtl/>
        </w:rPr>
        <w:t>(</w:t>
      </w:r>
      <w:r w:rsidRPr="00FB75AD">
        <w:footnoteRef/>
      </w:r>
      <w:r w:rsidRPr="00FB75AD">
        <w:rPr>
          <w:rtl/>
        </w:rPr>
        <w:t>)</w:t>
      </w:r>
      <w:r w:rsidRPr="00FB75AD">
        <w:rPr>
          <w:rtl/>
        </w:rPr>
        <w:tab/>
        <w:t xml:space="preserve">لا توضح الدولة الطرف الصلة بين المنشورات المصادرة المتعلقة بحقوق الإنسان وتهم الابتزاز. </w:t>
      </w:r>
    </w:p>
  </w:footnote>
  <w:footnote w:id="43">
    <w:p w14:paraId="068BC496" w14:textId="7912F2A6" w:rsidR="00C11BB0" w:rsidRPr="00FB75AD" w:rsidRDefault="00C11BB0" w:rsidP="00766349">
      <w:pPr>
        <w:pStyle w:val="FootnoteText1"/>
      </w:pPr>
      <w:r w:rsidRPr="00FB75AD">
        <w:rPr>
          <w:rtl/>
        </w:rPr>
        <w:t>(</w:t>
      </w:r>
      <w:r w:rsidRPr="00FB75AD">
        <w:footnoteRef/>
      </w:r>
      <w:r w:rsidRPr="00FB75AD">
        <w:rPr>
          <w:rtl/>
        </w:rPr>
        <w:t>)</w:t>
      </w:r>
      <w:r w:rsidRPr="00FB75AD">
        <w:rPr>
          <w:rtl/>
        </w:rPr>
        <w:tab/>
        <w:t>أُرسل إقرار باستلام المعلومات إلى محامي صاحبة البلاغ وأحيلت المعلومات إلى الدولة الطرف، في 31 كانون الثاني/</w:t>
      </w:r>
      <w:r w:rsidR="00BF4B9E" w:rsidRPr="00FB75AD">
        <w:rPr>
          <w:rFonts w:hint="cs"/>
          <w:rtl/>
        </w:rPr>
        <w:t xml:space="preserve"> </w:t>
      </w:r>
      <w:r w:rsidRPr="00FB75AD">
        <w:rPr>
          <w:rtl/>
        </w:rPr>
        <w:t>يناير</w:t>
      </w:r>
      <w:r w:rsidR="00BF4B9E" w:rsidRPr="00FB75AD">
        <w:rPr>
          <w:rFonts w:hint="cs"/>
          <w:rtl/>
        </w:rPr>
        <w:t> </w:t>
      </w:r>
      <w:r w:rsidRPr="00FB75AD">
        <w:rPr>
          <w:rtl/>
        </w:rPr>
        <w:t xml:space="preserve">2023، للعلم بها.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CC841" w14:textId="6586DA8D" w:rsidR="00CD4995" w:rsidRPr="00CD4995" w:rsidRDefault="00CD4995" w:rsidP="00CD499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D5247">
      <w:t>CCPR/C/137/3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688D1" w14:textId="71C69F14" w:rsidR="00CD4995" w:rsidRPr="00CD4995" w:rsidRDefault="00CD4995" w:rsidP="00CD499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D5247">
      <w:t>CCPR/C/137/3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6"/>
  </w:num>
  <w:num w:numId="2" w16cid:durableId="86507678">
    <w:abstractNumId w:val="13"/>
  </w:num>
  <w:num w:numId="3" w16cid:durableId="1883010587">
    <w:abstractNumId w:val="2"/>
  </w:num>
  <w:num w:numId="4" w16cid:durableId="1134904035">
    <w:abstractNumId w:val="12"/>
  </w:num>
  <w:num w:numId="5" w16cid:durableId="582225738">
    <w:abstractNumId w:val="9"/>
  </w:num>
  <w:num w:numId="6" w16cid:durableId="1842348231">
    <w:abstractNumId w:val="5"/>
  </w:num>
  <w:num w:numId="7" w16cid:durableId="795608028">
    <w:abstractNumId w:val="18"/>
  </w:num>
  <w:num w:numId="8" w16cid:durableId="1537087664">
    <w:abstractNumId w:val="2"/>
  </w:num>
  <w:num w:numId="9" w16cid:durableId="20471345">
    <w:abstractNumId w:val="12"/>
  </w:num>
  <w:num w:numId="10" w16cid:durableId="447552648">
    <w:abstractNumId w:val="5"/>
  </w:num>
  <w:num w:numId="11" w16cid:durableId="1101219560">
    <w:abstractNumId w:val="18"/>
  </w:num>
  <w:num w:numId="12" w16cid:durableId="837623146">
    <w:abstractNumId w:val="2"/>
  </w:num>
  <w:num w:numId="13" w16cid:durableId="1790929681">
    <w:abstractNumId w:val="12"/>
  </w:num>
  <w:num w:numId="14" w16cid:durableId="128211787">
    <w:abstractNumId w:val="9"/>
  </w:num>
  <w:num w:numId="15" w16cid:durableId="75715976">
    <w:abstractNumId w:val="5"/>
  </w:num>
  <w:num w:numId="16" w16cid:durableId="10186755">
    <w:abstractNumId w:val="18"/>
  </w:num>
  <w:num w:numId="17" w16cid:durableId="850677991">
    <w:abstractNumId w:val="4"/>
  </w:num>
  <w:num w:numId="18" w16cid:durableId="1684279746">
    <w:abstractNumId w:val="3"/>
  </w:num>
  <w:num w:numId="19" w16cid:durableId="1630162967">
    <w:abstractNumId w:val="17"/>
  </w:num>
  <w:num w:numId="20" w16cid:durableId="746918632">
    <w:abstractNumId w:val="14"/>
  </w:num>
  <w:num w:numId="21" w16cid:durableId="81338248">
    <w:abstractNumId w:val="1"/>
  </w:num>
  <w:num w:numId="22" w16cid:durableId="12075602">
    <w:abstractNumId w:val="15"/>
  </w:num>
  <w:num w:numId="23" w16cid:durableId="583026102">
    <w:abstractNumId w:val="0"/>
  </w:num>
  <w:num w:numId="24" w16cid:durableId="864558659">
    <w:abstractNumId w:val="10"/>
  </w:num>
  <w:num w:numId="25" w16cid:durableId="311058547">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 w:numId="33" w16cid:durableId="19527785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1B7"/>
    <w:rsid w:val="000076D5"/>
    <w:rsid w:val="00043663"/>
    <w:rsid w:val="000437B8"/>
    <w:rsid w:val="000505CF"/>
    <w:rsid w:val="00076E80"/>
    <w:rsid w:val="000D701C"/>
    <w:rsid w:val="000E2A71"/>
    <w:rsid w:val="00132596"/>
    <w:rsid w:val="00145577"/>
    <w:rsid w:val="00146FBF"/>
    <w:rsid w:val="00160263"/>
    <w:rsid w:val="0017125E"/>
    <w:rsid w:val="00181F96"/>
    <w:rsid w:val="001872B1"/>
    <w:rsid w:val="001A1371"/>
    <w:rsid w:val="001B043F"/>
    <w:rsid w:val="001B0504"/>
    <w:rsid w:val="001B346A"/>
    <w:rsid w:val="001E1CAD"/>
    <w:rsid w:val="001E290D"/>
    <w:rsid w:val="001F4FD6"/>
    <w:rsid w:val="002144FA"/>
    <w:rsid w:val="0023469A"/>
    <w:rsid w:val="00243C8A"/>
    <w:rsid w:val="00264402"/>
    <w:rsid w:val="00267A0E"/>
    <w:rsid w:val="002901D9"/>
    <w:rsid w:val="002976C2"/>
    <w:rsid w:val="002D7DB1"/>
    <w:rsid w:val="003068BC"/>
    <w:rsid w:val="003260FF"/>
    <w:rsid w:val="00343D95"/>
    <w:rsid w:val="003548F1"/>
    <w:rsid w:val="00363A18"/>
    <w:rsid w:val="00374341"/>
    <w:rsid w:val="003B4237"/>
    <w:rsid w:val="003D1062"/>
    <w:rsid w:val="003F6C52"/>
    <w:rsid w:val="00402051"/>
    <w:rsid w:val="00420D7B"/>
    <w:rsid w:val="00434DD6"/>
    <w:rsid w:val="00450B21"/>
    <w:rsid w:val="00453B63"/>
    <w:rsid w:val="00455780"/>
    <w:rsid w:val="0046323F"/>
    <w:rsid w:val="004B0A1C"/>
    <w:rsid w:val="004B0B19"/>
    <w:rsid w:val="004B27E0"/>
    <w:rsid w:val="004D298E"/>
    <w:rsid w:val="004F204D"/>
    <w:rsid w:val="005044B3"/>
    <w:rsid w:val="00514FA3"/>
    <w:rsid w:val="00517BC9"/>
    <w:rsid w:val="0054472E"/>
    <w:rsid w:val="005662A9"/>
    <w:rsid w:val="005827D4"/>
    <w:rsid w:val="0058508B"/>
    <w:rsid w:val="0059622A"/>
    <w:rsid w:val="005B51C4"/>
    <w:rsid w:val="005C0061"/>
    <w:rsid w:val="005C5878"/>
    <w:rsid w:val="005C7CEA"/>
    <w:rsid w:val="005D3C0B"/>
    <w:rsid w:val="005D5247"/>
    <w:rsid w:val="005E5217"/>
    <w:rsid w:val="005E7825"/>
    <w:rsid w:val="005F0FA4"/>
    <w:rsid w:val="005F30EE"/>
    <w:rsid w:val="005F5271"/>
    <w:rsid w:val="0060473A"/>
    <w:rsid w:val="00617024"/>
    <w:rsid w:val="00621120"/>
    <w:rsid w:val="0063104D"/>
    <w:rsid w:val="00652221"/>
    <w:rsid w:val="00656392"/>
    <w:rsid w:val="006645EC"/>
    <w:rsid w:val="0068781D"/>
    <w:rsid w:val="006959B0"/>
    <w:rsid w:val="006B3E27"/>
    <w:rsid w:val="006B6507"/>
    <w:rsid w:val="006C104C"/>
    <w:rsid w:val="006C632E"/>
    <w:rsid w:val="00717FB3"/>
    <w:rsid w:val="00730446"/>
    <w:rsid w:val="00733704"/>
    <w:rsid w:val="0074432C"/>
    <w:rsid w:val="007531B7"/>
    <w:rsid w:val="00766349"/>
    <w:rsid w:val="007762CC"/>
    <w:rsid w:val="0078071A"/>
    <w:rsid w:val="00787022"/>
    <w:rsid w:val="00787E1E"/>
    <w:rsid w:val="00852A9A"/>
    <w:rsid w:val="008A49D2"/>
    <w:rsid w:val="008D21EA"/>
    <w:rsid w:val="008F49E1"/>
    <w:rsid w:val="0090370F"/>
    <w:rsid w:val="009077C3"/>
    <w:rsid w:val="009269D2"/>
    <w:rsid w:val="00942135"/>
    <w:rsid w:val="009521B0"/>
    <w:rsid w:val="00957437"/>
    <w:rsid w:val="00982139"/>
    <w:rsid w:val="009867A8"/>
    <w:rsid w:val="00991F44"/>
    <w:rsid w:val="00996849"/>
    <w:rsid w:val="009A0CFB"/>
    <w:rsid w:val="009A7E9F"/>
    <w:rsid w:val="009B5E14"/>
    <w:rsid w:val="009C17EC"/>
    <w:rsid w:val="009E5018"/>
    <w:rsid w:val="00A03700"/>
    <w:rsid w:val="00A053F2"/>
    <w:rsid w:val="00A12B37"/>
    <w:rsid w:val="00A54828"/>
    <w:rsid w:val="00A6180E"/>
    <w:rsid w:val="00A97E1F"/>
    <w:rsid w:val="00AB512E"/>
    <w:rsid w:val="00AB6758"/>
    <w:rsid w:val="00AB727F"/>
    <w:rsid w:val="00B13763"/>
    <w:rsid w:val="00B477A4"/>
    <w:rsid w:val="00B54045"/>
    <w:rsid w:val="00B63ADD"/>
    <w:rsid w:val="00B748CE"/>
    <w:rsid w:val="00BB09A0"/>
    <w:rsid w:val="00BB6591"/>
    <w:rsid w:val="00BC10E5"/>
    <w:rsid w:val="00BF4B9E"/>
    <w:rsid w:val="00C11BB0"/>
    <w:rsid w:val="00C175A6"/>
    <w:rsid w:val="00C41DCF"/>
    <w:rsid w:val="00C42AF7"/>
    <w:rsid w:val="00C438D7"/>
    <w:rsid w:val="00C62C20"/>
    <w:rsid w:val="00C81B50"/>
    <w:rsid w:val="00C902EF"/>
    <w:rsid w:val="00CB0011"/>
    <w:rsid w:val="00CB6622"/>
    <w:rsid w:val="00CC72EC"/>
    <w:rsid w:val="00CD1801"/>
    <w:rsid w:val="00CD4995"/>
    <w:rsid w:val="00CF56F9"/>
    <w:rsid w:val="00CF65C6"/>
    <w:rsid w:val="00D00A89"/>
    <w:rsid w:val="00D10EF1"/>
    <w:rsid w:val="00D42810"/>
    <w:rsid w:val="00D60DD5"/>
    <w:rsid w:val="00D75351"/>
    <w:rsid w:val="00D914A7"/>
    <w:rsid w:val="00DC4D4B"/>
    <w:rsid w:val="00DD13C3"/>
    <w:rsid w:val="00DD596E"/>
    <w:rsid w:val="00DD621E"/>
    <w:rsid w:val="00DE50B1"/>
    <w:rsid w:val="00DF0138"/>
    <w:rsid w:val="00DF0575"/>
    <w:rsid w:val="00E2228E"/>
    <w:rsid w:val="00E70E04"/>
    <w:rsid w:val="00E77E6C"/>
    <w:rsid w:val="00E83ED5"/>
    <w:rsid w:val="00E953B4"/>
    <w:rsid w:val="00EC05A7"/>
    <w:rsid w:val="00EC4B6B"/>
    <w:rsid w:val="00EC68A5"/>
    <w:rsid w:val="00ED7442"/>
    <w:rsid w:val="00EF1EE5"/>
    <w:rsid w:val="00EF5C43"/>
    <w:rsid w:val="00F10DAB"/>
    <w:rsid w:val="00F46D42"/>
    <w:rsid w:val="00F763B4"/>
    <w:rsid w:val="00F900C3"/>
    <w:rsid w:val="00FB75AD"/>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A92258F"/>
  <w15:docId w15:val="{BC8BC30A-4533-402E-B9C1-5C31D0E8F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qFormat/>
    <w:rsid w:val="008D21EA"/>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8D21EA"/>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link w:val="H23GChar"/>
    <w:qFormat/>
    <w:rsid w:val="008D21EA"/>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SingleTxtG">
    <w:name w:val="_ Single Txt_G"/>
    <w:basedOn w:val="Normal"/>
    <w:link w:val="SingleTxtGChar"/>
    <w:qFormat/>
    <w:rsid w:val="008D21EA"/>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Bullet1G">
    <w:name w:val="_Bullet 1_G"/>
    <w:basedOn w:val="Normal"/>
    <w:qFormat/>
    <w:rsid w:val="008D21EA"/>
    <w:pPr>
      <w:numPr>
        <w:numId w:val="33"/>
      </w:numPr>
      <w:suppressAutoHyphens/>
      <w:bidi w:val="0"/>
      <w:spacing w:after="120"/>
      <w:ind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8D21EA"/>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8D21EA"/>
    <w:rPr>
      <w:rFonts w:ascii="Times New Roman" w:eastAsia="SimSun" w:hAnsiTheme="minorHAnsi" w:cs="Simplified Arabic"/>
      <w:sz w:val="18"/>
      <w:szCs w:val="30"/>
      <w:lang w:val="en-GB" w:eastAsia="zh-CN"/>
    </w:rPr>
  </w:style>
  <w:style w:type="character" w:styleId="FootnoteReference">
    <w:name w:val="footnote reference"/>
    <w:aliases w:val="4_G"/>
    <w:rsid w:val="008D21EA"/>
    <w:rPr>
      <w:rFonts w:ascii="Times New Roman" w:hAnsi="Times New Roman"/>
      <w:sz w:val="18"/>
      <w:vertAlign w:val="superscript"/>
    </w:rPr>
  </w:style>
  <w:style w:type="character" w:customStyle="1" w:styleId="SingleTxtGChar">
    <w:name w:val="_ Single Txt_G Char"/>
    <w:link w:val="SingleTxtG"/>
    <w:qFormat/>
    <w:locked/>
    <w:rsid w:val="008D21EA"/>
    <w:rPr>
      <w:rFonts w:ascii="Times New Roman" w:eastAsia="SimSun" w:hAnsiTheme="minorHAnsi" w:cs="Simplified Arabic"/>
      <w:szCs w:val="30"/>
      <w:lang w:val="en-GB" w:eastAsia="zh-CN"/>
    </w:rPr>
  </w:style>
  <w:style w:type="character" w:customStyle="1" w:styleId="H23GChar">
    <w:name w:val="_ H_2/3_G Char"/>
    <w:link w:val="H23G"/>
    <w:rsid w:val="008D21EA"/>
    <w:rPr>
      <w:rFonts w:ascii="Times New Roman" w:eastAsia="SimSun" w:hAnsiTheme="minorHAnsi" w:cs="Simplified Arabic"/>
      <w:b/>
      <w:szCs w:val="30"/>
      <w:lang w:val="en-GB" w:eastAsia="zh-CN"/>
    </w:rPr>
  </w:style>
  <w:style w:type="character" w:styleId="UnresolvedMention">
    <w:name w:val="Unresolved Mention"/>
    <w:basedOn w:val="DefaultParagraphFont"/>
    <w:uiPriority w:val="99"/>
    <w:semiHidden/>
    <w:unhideWhenUsed/>
    <w:rsid w:val="00C11B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CCPR/C/125/3"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ndocs.org/ar/A/62/4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A/60/40/Corr.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undocs.org/ar/A/61/4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undocs.org/ar/A/60/40" TargetMode="External"/><Relationship Id="rId14" Type="http://schemas.openxmlformats.org/officeDocument/2006/relationships/hyperlink" Target="https://undocs.org/ar/CCPR/C/131/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TKM/CO/2" TargetMode="External"/><Relationship Id="rId3" Type="http://schemas.openxmlformats.org/officeDocument/2006/relationships/hyperlink" Target="https://undocs.org/ar/CCPR/C/125/3" TargetMode="External"/><Relationship Id="rId7" Type="http://schemas.openxmlformats.org/officeDocument/2006/relationships/hyperlink" Target="https://youtu.be/mBExIr8cTLM" TargetMode="External"/><Relationship Id="rId2" Type="http://schemas.openxmlformats.org/officeDocument/2006/relationships/hyperlink" Target="https://undocs.org/ar/CCPR/C/SR.3991" TargetMode="External"/><Relationship Id="rId1" Type="http://schemas.openxmlformats.org/officeDocument/2006/relationships/hyperlink" Target="https://undocs.org/ar/CCPR/C/162" TargetMode="External"/><Relationship Id="rId6" Type="http://schemas.openxmlformats.org/officeDocument/2006/relationships/hyperlink" Target="https://undocs.org/ar/CCPR/C/130/D/2500/2014" TargetMode="External"/><Relationship Id="rId11" Type="http://schemas.openxmlformats.org/officeDocument/2006/relationships/hyperlink" Target="https://undocs.org/ar/CCPR/C/122/D/2577/2015" TargetMode="External"/><Relationship Id="rId5" Type="http://schemas.openxmlformats.org/officeDocument/2006/relationships/hyperlink" Target="https://undocs.org/ar/CCPR/C/130/D/2500/2014" TargetMode="External"/><Relationship Id="rId10" Type="http://schemas.openxmlformats.org/officeDocument/2006/relationships/hyperlink" Target="https://undocs.org/ar/CCPR/C/122/D/2577/2015" TargetMode="External"/><Relationship Id="rId4" Type="http://schemas.openxmlformats.org/officeDocument/2006/relationships/hyperlink" Target="https://undocs.org/ar/CCPR/C/CZE/CO/4" TargetMode="External"/><Relationship Id="rId9" Type="http://schemas.openxmlformats.org/officeDocument/2006/relationships/hyperlink" Target="https://undocs.org/ar/CCPR/C/117/D/2219/20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20</Pages>
  <Words>7119</Words>
  <Characters>39157</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CCPR/C/137/3</vt:lpstr>
    </vt:vector>
  </TitlesOfParts>
  <Company>DCM</Company>
  <LinksUpToDate>false</LinksUpToDate>
  <CharactersWithSpaces>46184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CCPR/C/137/3</dc:title>
  <dc:subject>GE.2310380(A)</dc:subject>
  <dc:creator>Mohamed EL-BAHNASSAWY - </dc:creator>
  <cp:keywords>GE.(A)</cp:keywords>
  <dc:description>General_x000d_
_x000d_
Arabic_x000d_
English</dc:description>
  <cp:lastModifiedBy>Jamila Chedad</cp:lastModifiedBy>
  <cp:revision>3</cp:revision>
  <cp:lastPrinted>2024-04-02T10:46:00Z</cp:lastPrinted>
  <dcterms:created xsi:type="dcterms:W3CDTF">2024-04-02T10:46:00Z</dcterms:created>
  <dcterms:modified xsi:type="dcterms:W3CDTF">2024-04-02T10:47:00Z</dcterms:modified>
  <cp:category>Finale</cp:category>
</cp:coreProperties>
</file>