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D86A88">
        <w:trPr>
          <w:trHeight w:hRule="exact" w:val="851"/>
        </w:trPr>
        <w:tc>
          <w:tcPr>
            <w:tcW w:w="1276" w:type="dxa"/>
            <w:tcBorders>
              <w:bottom w:val="single" w:sz="4" w:space="0" w:color="auto"/>
            </w:tcBorders>
          </w:tcPr>
          <w:p w:rsidR="00B4770A" w:rsidRPr="00DB58B5" w:rsidRDefault="00B4770A" w:rsidP="00F776EB"/>
        </w:tc>
        <w:tc>
          <w:tcPr>
            <w:tcW w:w="2268" w:type="dxa"/>
            <w:tcBorders>
              <w:bottom w:val="single" w:sz="4" w:space="0" w:color="auto"/>
            </w:tcBorders>
            <w:vAlign w:val="bottom"/>
          </w:tcPr>
          <w:p w:rsidR="00B4770A" w:rsidRPr="00DB58B5" w:rsidRDefault="00B4770A"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F776EB" w:rsidP="00F776EB">
            <w:pPr>
              <w:jc w:val="right"/>
            </w:pPr>
            <w:r w:rsidRPr="00F776EB">
              <w:rPr>
                <w:sz w:val="40"/>
              </w:rPr>
              <w:t>CAT</w:t>
            </w:r>
            <w:r>
              <w:t>/OP/29/1</w:t>
            </w:r>
          </w:p>
        </w:tc>
      </w:tr>
      <w:tr w:rsidR="00B4770A" w:rsidRPr="00DB58B5" w:rsidTr="00C070F4">
        <w:trPr>
          <w:trHeight w:hRule="exact" w:val="2835"/>
        </w:trPr>
        <w:tc>
          <w:tcPr>
            <w:tcW w:w="1276" w:type="dxa"/>
            <w:tcBorders>
              <w:top w:val="single" w:sz="4" w:space="0" w:color="auto"/>
              <w:bottom w:val="single" w:sz="12" w:space="0" w:color="auto"/>
            </w:tcBorders>
          </w:tcPr>
          <w:p w:rsidR="00B4770A" w:rsidRPr="00DB58B5" w:rsidRDefault="00B4770A" w:rsidP="00C070F4">
            <w:pPr>
              <w:spacing w:before="120"/>
              <w:jc w:val="center"/>
            </w:pPr>
            <w:r>
              <w:rPr>
                <w:noProof/>
                <w:lang w:eastAsia="fr-CH"/>
              </w:rPr>
              <w:drawing>
                <wp:inline distT="0" distB="0" distL="0" distR="0" wp14:anchorId="4D81AD0A" wp14:editId="02D82A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C070F4">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F776EB" w:rsidP="00C070F4">
            <w:pPr>
              <w:spacing w:before="240"/>
            </w:pPr>
            <w:r>
              <w:t>Distr. générale</w:t>
            </w:r>
          </w:p>
          <w:p w:rsidR="00F776EB" w:rsidRDefault="00F776EB" w:rsidP="00F776EB">
            <w:pPr>
              <w:spacing w:line="240" w:lineRule="exact"/>
            </w:pPr>
            <w:r>
              <w:t>18 juillet 2016</w:t>
            </w:r>
          </w:p>
          <w:p w:rsidR="00F776EB" w:rsidRDefault="00F776EB" w:rsidP="00F776EB">
            <w:pPr>
              <w:spacing w:line="240" w:lineRule="exact"/>
            </w:pPr>
            <w:r>
              <w:t>Français</w:t>
            </w:r>
          </w:p>
          <w:p w:rsidR="00F776EB" w:rsidRDefault="00F776EB" w:rsidP="00F776EB">
            <w:pPr>
              <w:spacing w:line="240" w:lineRule="exact"/>
            </w:pPr>
            <w:r>
              <w:t>Original : anglais</w:t>
            </w:r>
          </w:p>
          <w:p w:rsidR="00F776EB" w:rsidRPr="00DB58B5" w:rsidRDefault="00F776EB" w:rsidP="00F776EB">
            <w:pPr>
              <w:spacing w:line="240" w:lineRule="exact"/>
            </w:pPr>
            <w:r w:rsidRPr="00B5542A">
              <w:rPr>
                <w:szCs w:val="24"/>
                <w:lang w:val="fr-FR"/>
              </w:rPr>
              <w:t>Anglais, espagnol et français seulement</w:t>
            </w:r>
          </w:p>
        </w:tc>
      </w:tr>
    </w:tbl>
    <w:p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206E84" w:rsidRDefault="00F776EB" w:rsidP="00F776EB">
      <w:pPr>
        <w:pStyle w:val="HChG"/>
        <w:rPr>
          <w:lang w:val="fr-FR"/>
        </w:rPr>
      </w:pPr>
      <w:r>
        <w:rPr>
          <w:lang w:val="fr-FR"/>
        </w:rPr>
        <w:tab/>
      </w:r>
      <w:r>
        <w:rPr>
          <w:lang w:val="fr-FR"/>
        </w:rPr>
        <w:tab/>
      </w:r>
      <w:r w:rsidRPr="00B5542A">
        <w:rPr>
          <w:lang w:val="fr-FR"/>
        </w:rPr>
        <w:t>Décision concernant les États parties qui accusent</w:t>
      </w:r>
      <w:r w:rsidR="009177B2">
        <w:rPr>
          <w:lang w:val="fr-FR"/>
        </w:rPr>
        <w:t xml:space="preserve"> </w:t>
      </w:r>
      <w:r w:rsidRPr="00B5542A">
        <w:rPr>
          <w:lang w:val="fr-FR"/>
        </w:rPr>
        <w:t>un retard très important dans le respect de leurs obligations au titre de</w:t>
      </w:r>
      <w:r w:rsidR="009177B2">
        <w:rPr>
          <w:lang w:val="fr-FR"/>
        </w:rPr>
        <w:t> </w:t>
      </w:r>
      <w:r w:rsidRPr="00B5542A">
        <w:rPr>
          <w:lang w:val="fr-FR"/>
        </w:rPr>
        <w:t>l</w:t>
      </w:r>
      <w:r>
        <w:rPr>
          <w:lang w:val="fr-FR"/>
        </w:rPr>
        <w:t>’</w:t>
      </w:r>
      <w:r w:rsidRPr="00B5542A">
        <w:rPr>
          <w:lang w:val="fr-FR"/>
        </w:rPr>
        <w:t>article 17 du Protocole facultatif se rapportant à la Convention contre la torture et autres peines ou traitements cruels, inhuma</w:t>
      </w:r>
      <w:r>
        <w:rPr>
          <w:lang w:val="fr-FR"/>
        </w:rPr>
        <w:t>ins ou dégradants</w:t>
      </w:r>
    </w:p>
    <w:p w:rsidR="00F776EB" w:rsidRPr="00F776EB" w:rsidRDefault="00F776EB" w:rsidP="00F776EB">
      <w:pPr>
        <w:pStyle w:val="ParNoG"/>
        <w:rPr>
          <w:lang w:val="en-GB"/>
        </w:rPr>
      </w:pPr>
      <w:r w:rsidRPr="00F776EB">
        <w:rPr>
          <w:lang w:val="fr-FR"/>
        </w:rPr>
        <w:t>Le présent document est soumis en application de la décision prise par le Sous</w:t>
      </w:r>
      <w:r w:rsidR="009177B2">
        <w:rPr>
          <w:lang w:val="fr-FR"/>
        </w:rPr>
        <w:noBreakHyphen/>
      </w:r>
      <w:r w:rsidRPr="00F776EB">
        <w:rPr>
          <w:lang w:val="fr-FR"/>
        </w:rPr>
        <w:t>Comité à sa vingt-neuvième session, tenue du 13 au 17 juin 2016, d’adopter une décision concernant les États parties qui accusent un retard d’au moins trois ans dans le respect de leurs obligations au titre de l’article 17 du Protocole facultatif se rapportant à la Convention contre la torture et autres peines ou traitements cruels, inhumains ou dégradants, et de publier cette décision et la liste des États parties concernés sur son site Web. Le Sous-Comité a demandé que le présent document, qui s’inscrit dans le cadre de son mandat défini à l’article 11 du Protocole facultatif, soit disponible dans ses trois langues de travail.</w:t>
      </w:r>
    </w:p>
    <w:p w:rsidR="00F776EB" w:rsidRPr="00F776EB" w:rsidRDefault="00F776EB" w:rsidP="009177B2">
      <w:pPr>
        <w:pStyle w:val="ParNoG"/>
        <w:rPr>
          <w:lang w:val="en-GB"/>
        </w:rPr>
      </w:pPr>
      <w:r w:rsidRPr="00F776EB">
        <w:rPr>
          <w:lang w:val="fr-FR"/>
        </w:rPr>
        <w:t>À sa vingt-huitième session, tenue du 15 au 19 février 2016, le Sous-Comité a décidé de prendre de nouvelles mesures concernant les États qui accusaient un retard très important dans le respect de leurs obligations au titre de l’article 17 du Protocole facultatif. Ledit article dispose que chaque État partie administre, désigne ou met en place au plus tard un an après l’entrée en vigueur ou la ratification du Protocole facultatif, ou son adhésion audit Protocole, un ou plusieurs mécanismes nationaux de prévention indépendants en vue de prévenir la tortur</w:t>
      </w:r>
      <w:bookmarkStart w:id="0" w:name="_GoBack"/>
      <w:bookmarkEnd w:id="0"/>
      <w:r w:rsidRPr="00F776EB">
        <w:rPr>
          <w:lang w:val="fr-FR"/>
        </w:rPr>
        <w:t>e à l’échelon national.</w:t>
      </w:r>
    </w:p>
    <w:p w:rsidR="00F776EB" w:rsidRPr="00F776EB" w:rsidRDefault="00F776EB" w:rsidP="009177B2">
      <w:pPr>
        <w:pStyle w:val="ParNoG"/>
        <w:rPr>
          <w:lang w:val="en-GB"/>
        </w:rPr>
      </w:pPr>
      <w:r w:rsidRPr="00F776EB">
        <w:rPr>
          <w:lang w:val="fr-FR"/>
        </w:rPr>
        <w:t>En avril 2016, le Sous-Comité a adressé aux États parties qui accusaient un retard d’au moins trois ans dans le respect de l’article </w:t>
      </w:r>
      <w:r w:rsidR="00700F79">
        <w:rPr>
          <w:lang w:val="fr-FR"/>
        </w:rPr>
        <w:t>17 du Protocole facultatif</w:t>
      </w:r>
      <w:r w:rsidRPr="00F776EB">
        <w:rPr>
          <w:lang w:val="fr-FR"/>
        </w:rPr>
        <w:t xml:space="preserve"> une lettre</w:t>
      </w:r>
      <w:r w:rsidR="00700F79">
        <w:rPr>
          <w:lang w:val="fr-FR"/>
        </w:rPr>
        <w:t>,</w:t>
      </w:r>
      <w:r w:rsidRPr="00F776EB">
        <w:rPr>
          <w:lang w:val="fr-FR"/>
        </w:rPr>
        <w:t xml:space="preserve"> par laquelle </w:t>
      </w:r>
      <w:r w:rsidR="009177B2" w:rsidRPr="00F776EB">
        <w:rPr>
          <w:lang w:val="fr-FR"/>
        </w:rPr>
        <w:t>il les invitait</w:t>
      </w:r>
      <w:r w:rsidRPr="00F776EB">
        <w:rPr>
          <w:lang w:val="fr-FR"/>
        </w:rPr>
        <w:t xml:space="preserve"> à fournir des informations écrites sur les mesures prises pour se conformer à leurs obligations au titre de cette disposition. Il a également informé les États parties concernés qu’à sa vingt-neuvième session il publierait une liste des États parties qui accuseraient un retard d’au moins trois ans dans le respect de l’article 17.</w:t>
      </w:r>
    </w:p>
    <w:p w:rsidR="00F776EB" w:rsidRPr="00F776EB" w:rsidRDefault="00F776EB" w:rsidP="009177B2">
      <w:pPr>
        <w:pStyle w:val="ParNoG"/>
        <w:rPr>
          <w:lang w:val="en-GB"/>
        </w:rPr>
      </w:pPr>
      <w:r w:rsidRPr="00F776EB">
        <w:rPr>
          <w:lang w:val="fr-FR"/>
        </w:rPr>
        <w:t>La lettre en question a été adressée aux États parties suivants : Argentine, Bénin, Burkina Faso, Cambodge, Chili, Gabon, Liban, Libéria, Nigéria, Panama et République démocratique du Congo. Des réponses ont été reçues de l’Argentine, du Burkina Faso, du Liban et du Panama. Après un examen approfondi des</w:t>
      </w:r>
      <w:r w:rsidR="009177B2">
        <w:rPr>
          <w:lang w:val="fr-FR"/>
        </w:rPr>
        <w:t xml:space="preserve"> informations fournies, le Sous</w:t>
      </w:r>
      <w:r w:rsidR="009177B2">
        <w:rPr>
          <w:lang w:val="fr-FR"/>
        </w:rPr>
        <w:noBreakHyphen/>
      </w:r>
      <w:r w:rsidRPr="00F776EB">
        <w:rPr>
          <w:lang w:val="fr-FR"/>
        </w:rPr>
        <w:t>Comité a décidé de maintenir sur la liste tous les pays susmentionnés.</w:t>
      </w:r>
    </w:p>
    <w:p w:rsidR="00F776EB" w:rsidRPr="00F776EB" w:rsidRDefault="00F776EB" w:rsidP="009177B2">
      <w:pPr>
        <w:pStyle w:val="ParNoG"/>
        <w:rPr>
          <w:bCs/>
          <w:lang w:val="en-GB"/>
        </w:rPr>
      </w:pPr>
      <w:r w:rsidRPr="00F776EB">
        <w:rPr>
          <w:lang w:val="fr-FR"/>
        </w:rPr>
        <w:lastRenderedPageBreak/>
        <w:t>Les États parties suivants accusent un retard très important dans le respect de leurs obligations au titre de l’article 17 du Protocole facultatif :</w:t>
      </w:r>
    </w:p>
    <w:p w:rsidR="00F776EB" w:rsidRPr="00F776EB" w:rsidRDefault="00F776EB" w:rsidP="009177B2">
      <w:pPr>
        <w:pStyle w:val="SingleTxtG"/>
        <w:ind w:firstLine="567"/>
        <w:rPr>
          <w:lang w:val="en-GB"/>
        </w:rPr>
      </w:pPr>
      <w:r w:rsidRPr="00F776EB">
        <w:rPr>
          <w:lang w:val="fr-FR"/>
        </w:rPr>
        <w:t>a)</w:t>
      </w:r>
      <w:r w:rsidRPr="00F776EB">
        <w:rPr>
          <w:lang w:val="fr-FR"/>
        </w:rPr>
        <w:tab/>
        <w:t>Argentine ;</w:t>
      </w:r>
    </w:p>
    <w:p w:rsidR="00F776EB" w:rsidRPr="00F776EB" w:rsidRDefault="00F776EB" w:rsidP="009177B2">
      <w:pPr>
        <w:pStyle w:val="SingleTxtG"/>
        <w:ind w:firstLine="567"/>
        <w:rPr>
          <w:lang w:val="en-GB"/>
        </w:rPr>
      </w:pPr>
      <w:r w:rsidRPr="00F776EB">
        <w:rPr>
          <w:lang w:val="fr-FR"/>
        </w:rPr>
        <w:t>b)</w:t>
      </w:r>
      <w:r w:rsidRPr="00F776EB">
        <w:rPr>
          <w:lang w:val="fr-FR"/>
        </w:rPr>
        <w:tab/>
        <w:t>Bénin ;</w:t>
      </w:r>
    </w:p>
    <w:p w:rsidR="00F776EB" w:rsidRPr="00F776EB" w:rsidRDefault="00F776EB" w:rsidP="009177B2">
      <w:pPr>
        <w:pStyle w:val="SingleTxtG"/>
        <w:ind w:firstLine="567"/>
        <w:rPr>
          <w:lang w:val="en-GB"/>
        </w:rPr>
      </w:pPr>
      <w:r w:rsidRPr="00F776EB">
        <w:rPr>
          <w:lang w:val="fr-FR"/>
        </w:rPr>
        <w:t>c)</w:t>
      </w:r>
      <w:r w:rsidRPr="00F776EB">
        <w:rPr>
          <w:lang w:val="fr-FR"/>
        </w:rPr>
        <w:tab/>
        <w:t>Burkina Faso ;</w:t>
      </w:r>
    </w:p>
    <w:p w:rsidR="00F776EB" w:rsidRPr="00F776EB" w:rsidRDefault="00F776EB" w:rsidP="009177B2">
      <w:pPr>
        <w:pStyle w:val="SingleTxtG"/>
        <w:ind w:firstLine="567"/>
        <w:rPr>
          <w:lang w:val="en-GB"/>
        </w:rPr>
      </w:pPr>
      <w:r w:rsidRPr="00F776EB">
        <w:rPr>
          <w:lang w:val="fr-FR"/>
        </w:rPr>
        <w:t>d)</w:t>
      </w:r>
      <w:r w:rsidRPr="00F776EB">
        <w:rPr>
          <w:lang w:val="fr-FR"/>
        </w:rPr>
        <w:tab/>
        <w:t>Cambodge ;</w:t>
      </w:r>
    </w:p>
    <w:p w:rsidR="00F776EB" w:rsidRPr="00F776EB" w:rsidRDefault="00F776EB" w:rsidP="009177B2">
      <w:pPr>
        <w:pStyle w:val="SingleTxtG"/>
        <w:ind w:firstLine="567"/>
        <w:rPr>
          <w:lang w:val="en-GB"/>
        </w:rPr>
      </w:pPr>
      <w:r w:rsidRPr="00F776EB">
        <w:rPr>
          <w:lang w:val="fr-FR"/>
        </w:rPr>
        <w:t>e)</w:t>
      </w:r>
      <w:r w:rsidRPr="00F776EB">
        <w:rPr>
          <w:lang w:val="fr-FR"/>
        </w:rPr>
        <w:tab/>
        <w:t>Chili ;</w:t>
      </w:r>
    </w:p>
    <w:p w:rsidR="00F776EB" w:rsidRPr="00F776EB" w:rsidRDefault="00F776EB" w:rsidP="009177B2">
      <w:pPr>
        <w:pStyle w:val="SingleTxtG"/>
        <w:ind w:firstLine="567"/>
        <w:rPr>
          <w:lang w:val="en-GB"/>
        </w:rPr>
      </w:pPr>
      <w:r w:rsidRPr="00F776EB">
        <w:rPr>
          <w:lang w:val="fr-FR"/>
        </w:rPr>
        <w:t>f)</w:t>
      </w:r>
      <w:r w:rsidRPr="00F776EB">
        <w:rPr>
          <w:lang w:val="fr-FR"/>
        </w:rPr>
        <w:tab/>
        <w:t>République démocratique du Congo ;</w:t>
      </w:r>
    </w:p>
    <w:p w:rsidR="00F776EB" w:rsidRPr="00F776EB" w:rsidRDefault="00F776EB" w:rsidP="009177B2">
      <w:pPr>
        <w:pStyle w:val="SingleTxtG"/>
        <w:ind w:firstLine="567"/>
        <w:rPr>
          <w:lang w:val="en-GB"/>
        </w:rPr>
      </w:pPr>
      <w:r w:rsidRPr="00F776EB">
        <w:rPr>
          <w:lang w:val="fr-FR"/>
        </w:rPr>
        <w:t>g)</w:t>
      </w:r>
      <w:r w:rsidRPr="00F776EB">
        <w:rPr>
          <w:lang w:val="fr-FR"/>
        </w:rPr>
        <w:tab/>
        <w:t>Gabon ;</w:t>
      </w:r>
    </w:p>
    <w:p w:rsidR="00F776EB" w:rsidRPr="00F776EB" w:rsidRDefault="00F776EB" w:rsidP="009177B2">
      <w:pPr>
        <w:pStyle w:val="SingleTxtG"/>
        <w:ind w:firstLine="567"/>
        <w:rPr>
          <w:lang w:val="en-GB"/>
        </w:rPr>
      </w:pPr>
      <w:r w:rsidRPr="00F776EB">
        <w:rPr>
          <w:lang w:val="fr-FR"/>
        </w:rPr>
        <w:t>h)</w:t>
      </w:r>
      <w:r w:rsidRPr="00F776EB">
        <w:rPr>
          <w:lang w:val="fr-FR"/>
        </w:rPr>
        <w:tab/>
        <w:t>Liban ;</w:t>
      </w:r>
    </w:p>
    <w:p w:rsidR="00F776EB" w:rsidRPr="00F776EB" w:rsidRDefault="00F776EB" w:rsidP="009177B2">
      <w:pPr>
        <w:pStyle w:val="SingleTxtG"/>
        <w:ind w:firstLine="567"/>
        <w:rPr>
          <w:lang w:val="en-GB"/>
        </w:rPr>
      </w:pPr>
      <w:r w:rsidRPr="00F776EB">
        <w:rPr>
          <w:lang w:val="fr-FR"/>
        </w:rPr>
        <w:t>i)</w:t>
      </w:r>
      <w:r w:rsidRPr="00F776EB">
        <w:rPr>
          <w:lang w:val="fr-FR"/>
        </w:rPr>
        <w:tab/>
        <w:t>Libéria ;</w:t>
      </w:r>
    </w:p>
    <w:p w:rsidR="00F776EB" w:rsidRPr="00F776EB" w:rsidRDefault="00F776EB" w:rsidP="009177B2">
      <w:pPr>
        <w:pStyle w:val="SingleTxtG"/>
        <w:ind w:firstLine="567"/>
        <w:rPr>
          <w:lang w:val="fr-FR"/>
        </w:rPr>
      </w:pPr>
      <w:r w:rsidRPr="00F776EB">
        <w:rPr>
          <w:lang w:val="fr-FR"/>
        </w:rPr>
        <w:t>j)</w:t>
      </w:r>
      <w:r w:rsidRPr="00F776EB">
        <w:rPr>
          <w:lang w:val="fr-FR"/>
        </w:rPr>
        <w:tab/>
        <w:t>Nigéria ;</w:t>
      </w:r>
    </w:p>
    <w:p w:rsidR="00F776EB" w:rsidRPr="00F776EB" w:rsidRDefault="00F776EB" w:rsidP="009177B2">
      <w:pPr>
        <w:pStyle w:val="SingleTxtG"/>
        <w:ind w:firstLine="567"/>
        <w:rPr>
          <w:lang w:val="en-GB"/>
        </w:rPr>
      </w:pPr>
      <w:r w:rsidRPr="00F776EB">
        <w:rPr>
          <w:lang w:val="fr-FR"/>
        </w:rPr>
        <w:t>k)</w:t>
      </w:r>
      <w:r w:rsidRPr="00F776EB">
        <w:rPr>
          <w:lang w:val="fr-FR"/>
        </w:rPr>
        <w:tab/>
        <w:t>Panama.</w:t>
      </w:r>
    </w:p>
    <w:p w:rsidR="00F776EB" w:rsidRPr="00F776EB" w:rsidRDefault="00F776EB" w:rsidP="009177B2">
      <w:pPr>
        <w:pStyle w:val="ParNoG"/>
        <w:rPr>
          <w:lang w:val="en-GB"/>
        </w:rPr>
      </w:pPr>
      <w:r w:rsidRPr="00F776EB">
        <w:rPr>
          <w:lang w:val="fr-FR"/>
        </w:rPr>
        <w:t>Le Sous-Comité examinera la liste périodiquement et en retirera immédiatement les États qui se seront conformés à l’article 17 du Protocole facultatif.</w:t>
      </w:r>
    </w:p>
    <w:p w:rsidR="00F776EB" w:rsidRPr="009177B2" w:rsidRDefault="00F776EB" w:rsidP="009177B2">
      <w:pPr>
        <w:pStyle w:val="ParNoG"/>
      </w:pPr>
      <w:r w:rsidRPr="00F776EB">
        <w:rPr>
          <w:lang w:val="fr-FR"/>
        </w:rPr>
        <w:t>Le Sous-Comité demeure résolu à coopérer avec les États parties en leur fournissant aide et conseils dans la création de mécanismes nationaux de prévention.</w:t>
      </w:r>
    </w:p>
    <w:p w:rsidR="009177B2" w:rsidRPr="009177B2" w:rsidRDefault="009177B2" w:rsidP="009177B2">
      <w:pPr>
        <w:pStyle w:val="SingleTxtG"/>
        <w:spacing w:before="240" w:after="0"/>
        <w:jc w:val="center"/>
        <w:rPr>
          <w:u w:val="single"/>
        </w:rPr>
      </w:pPr>
      <w:r>
        <w:rPr>
          <w:u w:val="single"/>
        </w:rPr>
        <w:tab/>
      </w:r>
      <w:r>
        <w:rPr>
          <w:u w:val="single"/>
        </w:rPr>
        <w:tab/>
      </w:r>
      <w:r>
        <w:rPr>
          <w:u w:val="single"/>
        </w:rPr>
        <w:tab/>
      </w:r>
    </w:p>
    <w:sectPr w:rsidR="009177B2" w:rsidRPr="009177B2" w:rsidSect="00F776E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BF6" w:rsidRPr="009C4D45" w:rsidRDefault="00221BF6" w:rsidP="009C4D45">
      <w:pPr>
        <w:pStyle w:val="Pieddepage"/>
      </w:pPr>
    </w:p>
  </w:endnote>
  <w:endnote w:type="continuationSeparator" w:id="0">
    <w:p w:rsidR="00221BF6" w:rsidRPr="009C4D45" w:rsidRDefault="00221BF6" w:rsidP="009C4D45">
      <w:pPr>
        <w:pStyle w:val="Pieddepage"/>
      </w:pPr>
    </w:p>
  </w:endnote>
  <w:endnote w:type="continuationNotice" w:id="1">
    <w:p w:rsidR="00221BF6" w:rsidRDefault="00221B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EB" w:rsidRPr="00F776EB" w:rsidRDefault="00F776EB" w:rsidP="00F776EB">
    <w:pPr>
      <w:pStyle w:val="Pieddepage"/>
      <w:tabs>
        <w:tab w:val="right" w:pos="9638"/>
      </w:tabs>
    </w:pPr>
    <w:r w:rsidRPr="00F776EB">
      <w:rPr>
        <w:b/>
        <w:sz w:val="18"/>
      </w:rPr>
      <w:fldChar w:fldCharType="begin"/>
    </w:r>
    <w:r w:rsidRPr="00F776EB">
      <w:rPr>
        <w:b/>
        <w:sz w:val="18"/>
      </w:rPr>
      <w:instrText xml:space="preserve"> PAGE  \* MERGEFORMAT </w:instrText>
    </w:r>
    <w:r w:rsidRPr="00F776EB">
      <w:rPr>
        <w:b/>
        <w:sz w:val="18"/>
      </w:rPr>
      <w:fldChar w:fldCharType="separate"/>
    </w:r>
    <w:r w:rsidR="00700F79">
      <w:rPr>
        <w:b/>
        <w:noProof/>
        <w:sz w:val="18"/>
      </w:rPr>
      <w:t>2</w:t>
    </w:r>
    <w:r w:rsidRPr="00F776EB">
      <w:rPr>
        <w:b/>
        <w:sz w:val="18"/>
      </w:rPr>
      <w:fldChar w:fldCharType="end"/>
    </w:r>
    <w:r>
      <w:rPr>
        <w:b/>
        <w:sz w:val="18"/>
      </w:rPr>
      <w:tab/>
    </w:r>
    <w:r>
      <w:t>GE.16-12212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EB" w:rsidRPr="00F776EB" w:rsidRDefault="00F776EB" w:rsidP="00F776EB">
    <w:pPr>
      <w:pStyle w:val="Pieddepage"/>
      <w:tabs>
        <w:tab w:val="right" w:pos="9638"/>
      </w:tabs>
      <w:rPr>
        <w:b/>
        <w:sz w:val="18"/>
      </w:rPr>
    </w:pPr>
    <w:r>
      <w:t>GE.16-12212</w:t>
    </w:r>
    <w:r>
      <w:tab/>
    </w:r>
    <w:r w:rsidRPr="00F776EB">
      <w:rPr>
        <w:b/>
        <w:sz w:val="18"/>
      </w:rPr>
      <w:fldChar w:fldCharType="begin"/>
    </w:r>
    <w:r w:rsidRPr="00F776EB">
      <w:rPr>
        <w:b/>
        <w:sz w:val="18"/>
      </w:rPr>
      <w:instrText xml:space="preserve"> PAGE  \* MERGEFORMAT </w:instrText>
    </w:r>
    <w:r w:rsidRPr="00F776EB">
      <w:rPr>
        <w:b/>
        <w:sz w:val="18"/>
      </w:rPr>
      <w:fldChar w:fldCharType="separate"/>
    </w:r>
    <w:r>
      <w:rPr>
        <w:b/>
        <w:noProof/>
        <w:sz w:val="18"/>
      </w:rPr>
      <w:t>3</w:t>
    </w:r>
    <w:r w:rsidRPr="00F776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A88" w:rsidRPr="00F776EB" w:rsidRDefault="00F776EB" w:rsidP="00F776EB">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1507337C" wp14:editId="504EDA1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16-12212  (F)    041016    101016</w:t>
    </w:r>
    <w:r>
      <w:rPr>
        <w:sz w:val="20"/>
      </w:rPr>
      <w:br/>
    </w:r>
    <w:r w:rsidRPr="00F776EB">
      <w:rPr>
        <w:rFonts w:ascii="C39T30Lfz" w:hAnsi="C39T30Lfz"/>
        <w:sz w:val="56"/>
      </w:rPr>
      <w:t></w:t>
    </w:r>
    <w:r w:rsidRPr="00F776EB">
      <w:rPr>
        <w:rFonts w:ascii="C39T30Lfz" w:hAnsi="C39T30Lfz"/>
        <w:sz w:val="56"/>
      </w:rPr>
      <w:t></w:t>
    </w:r>
    <w:r w:rsidRPr="00F776EB">
      <w:rPr>
        <w:rFonts w:ascii="C39T30Lfz" w:hAnsi="C39T30Lfz"/>
        <w:sz w:val="56"/>
      </w:rPr>
      <w:t></w:t>
    </w:r>
    <w:r w:rsidRPr="00F776EB">
      <w:rPr>
        <w:rFonts w:ascii="C39T30Lfz" w:hAnsi="C39T30Lfz"/>
        <w:sz w:val="56"/>
      </w:rPr>
      <w:t></w:t>
    </w:r>
    <w:r w:rsidRPr="00F776EB">
      <w:rPr>
        <w:rFonts w:ascii="C39T30Lfz" w:hAnsi="C39T30Lfz"/>
        <w:sz w:val="56"/>
      </w:rPr>
      <w:t></w:t>
    </w:r>
    <w:r w:rsidRPr="00F776EB">
      <w:rPr>
        <w:rFonts w:ascii="C39T30Lfz" w:hAnsi="C39T30Lfz"/>
        <w:sz w:val="56"/>
      </w:rPr>
      <w:t></w:t>
    </w:r>
    <w:r w:rsidRPr="00F776EB">
      <w:rPr>
        <w:rFonts w:ascii="C39T30Lfz" w:hAnsi="C39T30Lfz"/>
        <w:sz w:val="56"/>
      </w:rPr>
      <w:t></w:t>
    </w:r>
    <w:r w:rsidRPr="00F776EB">
      <w:rPr>
        <w:rFonts w:ascii="C39T30Lfz" w:hAnsi="C39T30Lfz"/>
        <w:sz w:val="56"/>
      </w:rPr>
      <w:t></w:t>
    </w:r>
    <w:r w:rsidRPr="00F776E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OP/2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OP/2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BF6" w:rsidRPr="009C4D45" w:rsidRDefault="00221BF6" w:rsidP="009C4D45">
      <w:pPr>
        <w:pStyle w:val="Pieddepage"/>
        <w:tabs>
          <w:tab w:val="right" w:pos="2155"/>
        </w:tabs>
        <w:spacing w:after="80" w:line="240" w:lineRule="atLeast"/>
        <w:ind w:left="680"/>
        <w:rPr>
          <w:u w:val="single"/>
        </w:rPr>
      </w:pPr>
      <w:r>
        <w:rPr>
          <w:u w:val="single"/>
        </w:rPr>
        <w:tab/>
      </w:r>
    </w:p>
  </w:footnote>
  <w:footnote w:type="continuationSeparator" w:id="0">
    <w:p w:rsidR="00221BF6" w:rsidRPr="00206E84" w:rsidRDefault="00221BF6" w:rsidP="00206E84">
      <w:pPr>
        <w:pStyle w:val="Pieddepage"/>
        <w:tabs>
          <w:tab w:val="right" w:pos="2155"/>
        </w:tabs>
        <w:spacing w:after="80" w:line="240" w:lineRule="atLeast"/>
        <w:ind w:left="680"/>
        <w:rPr>
          <w:u w:val="single"/>
        </w:rPr>
      </w:pPr>
      <w:r>
        <w:rPr>
          <w:u w:val="single"/>
        </w:rPr>
        <w:tab/>
      </w:r>
    </w:p>
  </w:footnote>
  <w:footnote w:type="continuationNotice" w:id="1">
    <w:p w:rsidR="00221BF6" w:rsidRPr="00206E84" w:rsidRDefault="00221BF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EB" w:rsidRPr="00F776EB" w:rsidRDefault="00F776EB">
    <w:pPr>
      <w:pStyle w:val="En-tte"/>
    </w:pPr>
    <w:r>
      <w:t>CAT/OP/29/1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EB" w:rsidRPr="00F776EB" w:rsidRDefault="00F776EB" w:rsidP="00F776EB">
    <w:pPr>
      <w:pStyle w:val="En-tte"/>
      <w:jc w:val="right"/>
    </w:pPr>
    <w:r>
      <w:t>CAT/OP/29/1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BF6"/>
    <w:rsid w:val="00023842"/>
    <w:rsid w:val="0007796D"/>
    <w:rsid w:val="000A642C"/>
    <w:rsid w:val="00111F2F"/>
    <w:rsid w:val="0014365E"/>
    <w:rsid w:val="00176178"/>
    <w:rsid w:val="001B559B"/>
    <w:rsid w:val="001F525A"/>
    <w:rsid w:val="00206E84"/>
    <w:rsid w:val="00221BF6"/>
    <w:rsid w:val="00446FE5"/>
    <w:rsid w:val="00573BE5"/>
    <w:rsid w:val="00586ED3"/>
    <w:rsid w:val="00587A52"/>
    <w:rsid w:val="005B4E23"/>
    <w:rsid w:val="005F5AC4"/>
    <w:rsid w:val="00684D6C"/>
    <w:rsid w:val="00700F79"/>
    <w:rsid w:val="0071601D"/>
    <w:rsid w:val="0080684C"/>
    <w:rsid w:val="00871C75"/>
    <w:rsid w:val="008776DC"/>
    <w:rsid w:val="009177B2"/>
    <w:rsid w:val="009705C8"/>
    <w:rsid w:val="009C4D45"/>
    <w:rsid w:val="00AA0CD3"/>
    <w:rsid w:val="00AE323C"/>
    <w:rsid w:val="00B4770A"/>
    <w:rsid w:val="00C02897"/>
    <w:rsid w:val="00D86A88"/>
    <w:rsid w:val="00DB1831"/>
    <w:rsid w:val="00DD3BFD"/>
    <w:rsid w:val="00F660DF"/>
    <w:rsid w:val="00F776E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F5AC4"/>
    <w:rPr>
      <w:color w:val="0000FF"/>
      <w:u w:val="none"/>
    </w:rPr>
  </w:style>
  <w:style w:type="character" w:styleId="Lienhypertextesuivivisit">
    <w:name w:val="FollowedHyperlink"/>
    <w:basedOn w:val="Policepardfaut"/>
    <w:unhideWhenUsed/>
    <w:rsid w:val="005F5AC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F5AC4"/>
    <w:rPr>
      <w:color w:val="0000FF"/>
      <w:u w:val="none"/>
    </w:rPr>
  </w:style>
  <w:style w:type="character" w:styleId="Lienhypertextesuivivisit">
    <w:name w:val="FollowedHyperlink"/>
    <w:basedOn w:val="Policepardfaut"/>
    <w:unhideWhenUsed/>
    <w:rsid w:val="005F5AC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B6744-100B-4C93-A72C-CD989382C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Pages>
  <Words>568</Words>
  <Characters>2960</Characters>
  <Application>Microsoft Office Word</Application>
  <DocSecurity>0</DocSecurity>
  <Lines>67</Lines>
  <Paragraphs>28</Paragraphs>
  <ScaleCrop>false</ScaleCrop>
  <HeadingPairs>
    <vt:vector size="2" baseType="variant">
      <vt:variant>
        <vt:lpstr>Titre</vt:lpstr>
      </vt:variant>
      <vt:variant>
        <vt:i4>1</vt:i4>
      </vt:variant>
    </vt:vector>
  </HeadingPairs>
  <TitlesOfParts>
    <vt:vector size="1" baseType="lpstr">
      <vt:lpstr>CAT/OP/29/1</vt:lpstr>
    </vt:vector>
  </TitlesOfParts>
  <Company>DCM</Company>
  <LinksUpToDate>false</LinksUpToDate>
  <CharactersWithSpaces>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CAT/OP/29/1</dc:title>
  <dc:subject/>
  <dc:creator>Moret</dc:creator>
  <cp:keywords/>
  <dc:description/>
  <cp:lastModifiedBy>Moret</cp:lastModifiedBy>
  <cp:revision>2</cp:revision>
  <cp:lastPrinted>2016-10-10T13:01:00Z</cp:lastPrinted>
  <dcterms:created xsi:type="dcterms:W3CDTF">2016-10-10T13:14:00Z</dcterms:created>
  <dcterms:modified xsi:type="dcterms:W3CDTF">2016-10-10T13:14:00Z</dcterms:modified>
</cp:coreProperties>
</file>