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/>
      </w:tblPr>
      <w:tblGrid>
        <w:gridCol w:w="1276"/>
        <w:gridCol w:w="2268"/>
        <w:gridCol w:w="3260"/>
        <w:gridCol w:w="2835"/>
      </w:tblGrid>
      <w:tr w:rsidR="002E0D40" w:rsidRPr="00DB58B5" w:rsidTr="0078670C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2E0D40" w:rsidRPr="00DB58B5" w:rsidRDefault="002E0D40" w:rsidP="00593658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2E0D40" w:rsidRPr="00DB58B5" w:rsidRDefault="002E0D40" w:rsidP="00593658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2E0D40" w:rsidRPr="00DB58B5" w:rsidRDefault="00F12B49" w:rsidP="00F12B49">
            <w:pPr>
              <w:jc w:val="right"/>
            </w:pPr>
            <w:r w:rsidRPr="00F12B49">
              <w:rPr>
                <w:sz w:val="40"/>
              </w:rPr>
              <w:t>CERD</w:t>
            </w:r>
            <w:r>
              <w:t>/C/JPN/Q/7-9</w:t>
            </w:r>
          </w:p>
        </w:tc>
      </w:tr>
      <w:tr w:rsidR="002E0D40" w:rsidRPr="00DB58B5" w:rsidTr="00593658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2E0D40" w:rsidRPr="00DB58B5" w:rsidRDefault="002E0D40" w:rsidP="00593658">
            <w:pPr>
              <w:spacing w:before="120"/>
              <w:jc w:val="center"/>
            </w:pPr>
            <w:r w:rsidRPr="00DB58B5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E0D40" w:rsidRPr="00740562" w:rsidRDefault="002E0D40" w:rsidP="00593658">
            <w:pPr>
              <w:spacing w:before="120" w:line="380" w:lineRule="exact"/>
              <w:rPr>
                <w:b/>
                <w:sz w:val="40"/>
                <w:szCs w:val="40"/>
              </w:rPr>
            </w:pPr>
            <w:r>
              <w:rPr>
                <w:b/>
                <w:sz w:val="34"/>
                <w:szCs w:val="34"/>
              </w:rPr>
              <w:t>Convention internationale sur</w:t>
            </w:r>
            <w:r>
              <w:rPr>
                <w:b/>
                <w:sz w:val="34"/>
                <w:szCs w:val="34"/>
              </w:rPr>
              <w:br/>
              <w:t>l</w:t>
            </w:r>
            <w:r w:rsidR="00F12B49">
              <w:rPr>
                <w:b/>
                <w:sz w:val="34"/>
                <w:szCs w:val="34"/>
              </w:rPr>
              <w:t>’</w:t>
            </w:r>
            <w:r>
              <w:rPr>
                <w:b/>
                <w:sz w:val="34"/>
                <w:szCs w:val="34"/>
              </w:rPr>
              <w:t>élimination de toutes les formes</w:t>
            </w:r>
            <w:r>
              <w:rPr>
                <w:b/>
                <w:sz w:val="34"/>
                <w:szCs w:val="34"/>
              </w:rPr>
              <w:br/>
              <w:t>de discrimination raciale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F12B49" w:rsidRDefault="00F12B49" w:rsidP="00593658">
            <w:pPr>
              <w:spacing w:before="240"/>
            </w:pPr>
            <w:r>
              <w:t>Distr. générale</w:t>
            </w:r>
          </w:p>
          <w:p w:rsidR="00F12B49" w:rsidRDefault="00F12B49" w:rsidP="00F12B49">
            <w:pPr>
              <w:spacing w:line="240" w:lineRule="exact"/>
            </w:pPr>
            <w:r>
              <w:t>5 juin 2014</w:t>
            </w:r>
          </w:p>
          <w:p w:rsidR="00F12B49" w:rsidRDefault="00F12B49" w:rsidP="00F12B49">
            <w:pPr>
              <w:spacing w:line="240" w:lineRule="exact"/>
            </w:pPr>
            <w:r>
              <w:t>Français</w:t>
            </w:r>
          </w:p>
          <w:p w:rsidR="002E0D40" w:rsidRPr="00DB58B5" w:rsidRDefault="00F12B49" w:rsidP="00F12B49">
            <w:pPr>
              <w:spacing w:line="240" w:lineRule="exact"/>
            </w:pPr>
            <w:r>
              <w:t>Original: anglais</w:t>
            </w:r>
          </w:p>
        </w:tc>
      </w:tr>
    </w:tbl>
    <w:p w:rsidR="00FF1DBD" w:rsidRDefault="0078670C" w:rsidP="00F12B49">
      <w:pPr>
        <w:spacing w:before="120"/>
        <w:rPr>
          <w:b/>
          <w:sz w:val="24"/>
          <w:szCs w:val="24"/>
        </w:rPr>
      </w:pPr>
      <w:r w:rsidRPr="00C56102">
        <w:rPr>
          <w:b/>
          <w:sz w:val="24"/>
          <w:szCs w:val="24"/>
        </w:rPr>
        <w:t>Comité pour l</w:t>
      </w:r>
      <w:r w:rsidR="00F12B49">
        <w:rPr>
          <w:b/>
          <w:sz w:val="24"/>
          <w:szCs w:val="24"/>
        </w:rPr>
        <w:t>’</w:t>
      </w:r>
      <w:r w:rsidRPr="00C56102">
        <w:rPr>
          <w:b/>
          <w:sz w:val="24"/>
          <w:szCs w:val="24"/>
        </w:rPr>
        <w:t>éliminati</w:t>
      </w:r>
      <w:r w:rsidR="00F12B49">
        <w:rPr>
          <w:b/>
          <w:sz w:val="24"/>
          <w:szCs w:val="24"/>
        </w:rPr>
        <w:t>on de la discrimination raciale</w:t>
      </w:r>
    </w:p>
    <w:p w:rsidR="00F12B49" w:rsidRDefault="00F12B49" w:rsidP="00F12B49">
      <w:pPr>
        <w:rPr>
          <w:b/>
        </w:rPr>
      </w:pPr>
      <w:r w:rsidRPr="00BA2EDA">
        <w:rPr>
          <w:b/>
        </w:rPr>
        <w:t>Quatre-vingt-</w:t>
      </w:r>
      <w:r>
        <w:rPr>
          <w:b/>
        </w:rPr>
        <w:t>cinquième</w:t>
      </w:r>
      <w:r w:rsidRPr="00BA2EDA">
        <w:rPr>
          <w:b/>
        </w:rPr>
        <w:t xml:space="preserve"> session</w:t>
      </w:r>
    </w:p>
    <w:p w:rsidR="00F12B49" w:rsidRDefault="00F12B49" w:rsidP="00F12B49">
      <w:r>
        <w:t>11-29 août 2014</w:t>
      </w:r>
    </w:p>
    <w:p w:rsidR="00F12B49" w:rsidRDefault="00F12B49" w:rsidP="00F12B49">
      <w:r>
        <w:t>Point 4 de l’ordre du jour provisoire</w:t>
      </w:r>
    </w:p>
    <w:p w:rsidR="00F12B49" w:rsidRPr="00BA2EDA" w:rsidRDefault="00F12B49" w:rsidP="00F12B49">
      <w:pPr>
        <w:rPr>
          <w:b/>
        </w:rPr>
      </w:pPr>
      <w:r w:rsidRPr="00BA2EDA">
        <w:rPr>
          <w:b/>
        </w:rPr>
        <w:t>Examen des rapports, observations et renseignements soumis</w:t>
      </w:r>
      <w:r>
        <w:rPr>
          <w:b/>
        </w:rPr>
        <w:br/>
      </w:r>
      <w:r w:rsidRPr="00BA2EDA">
        <w:rPr>
          <w:b/>
        </w:rPr>
        <w:t>par les États parties en application de l</w:t>
      </w:r>
      <w:r>
        <w:rPr>
          <w:b/>
        </w:rPr>
        <w:t>’</w:t>
      </w:r>
      <w:r w:rsidRPr="00BA2EDA">
        <w:rPr>
          <w:b/>
        </w:rPr>
        <w:t>article 9 de la Convention</w:t>
      </w:r>
    </w:p>
    <w:p w:rsidR="00F12B49" w:rsidRPr="00BA2EDA" w:rsidRDefault="00F12B49" w:rsidP="00F12B49">
      <w:pPr>
        <w:pStyle w:val="HChG"/>
      </w:pPr>
      <w:r>
        <w:tab/>
      </w:r>
      <w:r>
        <w:tab/>
      </w:r>
      <w:r w:rsidRPr="00864012">
        <w:t xml:space="preserve">Liste de thèmes </w:t>
      </w:r>
      <w:r>
        <w:t>concernant les</w:t>
      </w:r>
      <w:r w:rsidRPr="00BA2EDA">
        <w:t xml:space="preserve"> </w:t>
      </w:r>
      <w:r>
        <w:t xml:space="preserve">septième </w:t>
      </w:r>
      <w:r w:rsidRPr="00BA2EDA">
        <w:t xml:space="preserve">à </w:t>
      </w:r>
      <w:r>
        <w:t>neuvième</w:t>
      </w:r>
      <w:r w:rsidRPr="00BA2EDA">
        <w:t xml:space="preserve"> rapports périodiques </w:t>
      </w:r>
      <w:r>
        <w:t xml:space="preserve">du Japon, présentés en un seul document </w:t>
      </w:r>
      <w:r w:rsidRPr="00BA2EDA">
        <w:t>(CERD/C/</w:t>
      </w:r>
      <w:r>
        <w:t>JPN</w:t>
      </w:r>
      <w:r w:rsidRPr="00BA2EDA">
        <w:t>/</w:t>
      </w:r>
      <w:r>
        <w:t>7-9</w:t>
      </w:r>
      <w:r w:rsidRPr="00BA2EDA">
        <w:t>)</w:t>
      </w:r>
    </w:p>
    <w:p w:rsidR="00F12B49" w:rsidRDefault="00F12B49" w:rsidP="00F12B49">
      <w:pPr>
        <w:pStyle w:val="H1G"/>
      </w:pPr>
      <w:r>
        <w:tab/>
      </w:r>
      <w:r>
        <w:tab/>
      </w:r>
      <w:r w:rsidRPr="00BA2EDA">
        <w:t xml:space="preserve">Note du Rapporteur </w:t>
      </w:r>
      <w:r>
        <w:t>pour le</w:t>
      </w:r>
      <w:r w:rsidRPr="00BA2EDA">
        <w:t xml:space="preserve"> pays</w:t>
      </w:r>
    </w:p>
    <w:tbl>
      <w:tblPr>
        <w:tblStyle w:val="TableGrid"/>
        <w:tblW w:w="765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</w:tblBorders>
        <w:tblLayout w:type="fixed"/>
        <w:tblCellMar>
          <w:left w:w="142" w:type="dxa"/>
          <w:right w:w="142" w:type="dxa"/>
        </w:tblCellMar>
        <w:tblLook w:val="01E0"/>
      </w:tblPr>
      <w:tblGrid>
        <w:gridCol w:w="7653"/>
      </w:tblGrid>
      <w:tr w:rsidR="00F12B49" w:rsidTr="00F12B49">
        <w:trPr>
          <w:trHeight w:hRule="exact" w:val="240"/>
          <w:jc w:val="center"/>
        </w:trPr>
        <w:tc>
          <w:tcPr>
            <w:tcW w:w="76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12B49" w:rsidRDefault="00F12B49" w:rsidP="00F12B49"/>
        </w:tc>
      </w:tr>
      <w:tr w:rsidR="00F12B49" w:rsidTr="00F12B49">
        <w:trPr>
          <w:jc w:val="center"/>
        </w:trPr>
        <w:tc>
          <w:tcPr>
            <w:tcW w:w="7653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12B49" w:rsidRDefault="00F12B49" w:rsidP="00F12B49">
            <w:pPr>
              <w:spacing w:after="120"/>
              <w:ind w:firstLine="567"/>
              <w:jc w:val="both"/>
            </w:pPr>
            <w:r w:rsidRPr="00F12B49">
              <w:t>À sa soixante-seizième session, le Comité pour l</w:t>
            </w:r>
            <w:r>
              <w:t>’</w:t>
            </w:r>
            <w:r w:rsidRPr="00F12B49">
              <w:t>élimination de la discrimination raciale a décidé (A/65/18, par. 85) que le Rapporteur pour le pays ferait parvenir à l</w:t>
            </w:r>
            <w:r>
              <w:t>’</w:t>
            </w:r>
            <w:r w:rsidRPr="00F12B49">
              <w:t>État partie concerné une courte liste de thèmes en vue de guider et de structurer le dialogue entre la délégation de l</w:t>
            </w:r>
            <w:r>
              <w:t>’</w:t>
            </w:r>
            <w:r w:rsidRPr="00F12B49">
              <w:t>État partie et le Comité pendant l</w:t>
            </w:r>
            <w:r>
              <w:t>’</w:t>
            </w:r>
            <w:r w:rsidRPr="00F12B49">
              <w:t>examen du rapport de l</w:t>
            </w:r>
            <w:r>
              <w:t>’</w:t>
            </w:r>
            <w:r w:rsidRPr="00F12B49">
              <w:t>État partie. On trouvera ci-après une liste de thèmes non exhaustive, d</w:t>
            </w:r>
            <w:r>
              <w:t>’</w:t>
            </w:r>
            <w:r w:rsidRPr="00F12B49">
              <w:t>autres questions pouvant être traitées au cours du dialogue. Cette liste n</w:t>
            </w:r>
            <w:r>
              <w:t>’</w:t>
            </w:r>
            <w:r w:rsidRPr="00F12B49">
              <w:t>appelle pas de réponses écrites.</w:t>
            </w:r>
          </w:p>
        </w:tc>
      </w:tr>
      <w:tr w:rsidR="00F12B49" w:rsidTr="00F12B49">
        <w:trPr>
          <w:trHeight w:hRule="exact" w:val="23"/>
          <w:jc w:val="center"/>
        </w:trPr>
        <w:tc>
          <w:tcPr>
            <w:tcW w:w="76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2B49" w:rsidRDefault="00F12B49" w:rsidP="00F12B49"/>
        </w:tc>
      </w:tr>
    </w:tbl>
    <w:p w:rsidR="00F12B49" w:rsidRDefault="00F12B49" w:rsidP="00F12B49">
      <w:pPr>
        <w:pStyle w:val="H23G"/>
      </w:pPr>
      <w:r>
        <w:tab/>
        <w:t>1.</w:t>
      </w:r>
      <w:r w:rsidRPr="00CB3EF5">
        <w:tab/>
      </w:r>
      <w:r w:rsidRPr="00793557">
        <w:t>La Convention dans le droit int</w:t>
      </w:r>
      <w:r>
        <w:t>erne et le cadre institutionnel</w:t>
      </w:r>
      <w:r>
        <w:br/>
      </w:r>
      <w:r w:rsidRPr="00793557">
        <w:t xml:space="preserve">et politique de son </w:t>
      </w:r>
      <w:r>
        <w:t>application (art. </w:t>
      </w:r>
      <w:r w:rsidRPr="00793557">
        <w:t>2, 4, 6 et 7)</w:t>
      </w:r>
    </w:p>
    <w:p w:rsidR="00F12B49" w:rsidRPr="00742D4A" w:rsidRDefault="00F12B49" w:rsidP="00F12B49">
      <w:pPr>
        <w:pStyle w:val="SingleTxtG"/>
        <w:ind w:firstLine="567"/>
      </w:pPr>
      <w:r w:rsidRPr="00742D4A">
        <w:t>a)</w:t>
      </w:r>
      <w:r w:rsidRPr="00742D4A">
        <w:tab/>
        <w:t>Progr</w:t>
      </w:r>
      <w:r>
        <w:t xml:space="preserve">ès concernant l’adoption d’une loi spécifique contre la discrimination </w:t>
      </w:r>
      <w:r w:rsidRPr="00742D4A">
        <w:t xml:space="preserve">(CERD/C/JPN/CO/3-6, par. 9) </w:t>
      </w:r>
      <w:r>
        <w:t>qui comprend une définition de la discrimination raciale pleinement conforme à celle du paragraphe 1 de l’article premier de la Convention (CERD/C/JPN/CO/3-6, par</w:t>
      </w:r>
      <w:r w:rsidRPr="00742D4A">
        <w:t xml:space="preserve">. 8); </w:t>
      </w:r>
      <w:r>
        <w:t>et</w:t>
      </w:r>
      <w:r w:rsidRPr="00742D4A">
        <w:t xml:space="preserve"> progr</w:t>
      </w:r>
      <w:r>
        <w:t>è</w:t>
      </w:r>
      <w:r w:rsidRPr="00742D4A">
        <w:t xml:space="preserve">s </w:t>
      </w:r>
      <w:r>
        <w:t xml:space="preserve">accomplis dans la mise en place d’une </w:t>
      </w:r>
      <w:r w:rsidRPr="00203A79">
        <w:t>institution nationale des droits de l</w:t>
      </w:r>
      <w:r>
        <w:t>’</w:t>
      </w:r>
      <w:r w:rsidRPr="00203A79">
        <w:t xml:space="preserve">homme conforme aux </w:t>
      </w:r>
      <w:r>
        <w:t>P</w:t>
      </w:r>
      <w:r w:rsidRPr="00644414">
        <w:t>rincipes concernant le statut des institutions nationales pour la promotion et la protection des droits de l</w:t>
      </w:r>
      <w:r>
        <w:t>’</w:t>
      </w:r>
      <w:r w:rsidRPr="00644414">
        <w:t>homme</w:t>
      </w:r>
      <w:r w:rsidRPr="00742D4A">
        <w:t xml:space="preserve"> </w:t>
      </w:r>
      <w:r>
        <w:t>(</w:t>
      </w:r>
      <w:r w:rsidRPr="00203A79">
        <w:t>Principes de Paris</w:t>
      </w:r>
      <w:r>
        <w:t xml:space="preserve">) </w:t>
      </w:r>
      <w:r w:rsidRPr="00742D4A">
        <w:t>(CERD/C/JPN/7-9, par. 67</w:t>
      </w:r>
      <w:r>
        <w:t xml:space="preserve"> et</w:t>
      </w:r>
      <w:r w:rsidRPr="00742D4A">
        <w:t xml:space="preserve"> CERD/C/JPN/CO/3-6, par. 12);</w:t>
      </w:r>
    </w:p>
    <w:p w:rsidR="00F12B49" w:rsidRPr="00334012" w:rsidRDefault="00F12B49" w:rsidP="00F12B49">
      <w:pPr>
        <w:pStyle w:val="SingleTxtG"/>
        <w:ind w:firstLine="567"/>
      </w:pPr>
      <w:r w:rsidRPr="00742D4A">
        <w:t>b)</w:t>
      </w:r>
      <w:r w:rsidRPr="00742D4A">
        <w:tab/>
        <w:t>Progr</w:t>
      </w:r>
      <w:r>
        <w:t>è</w:t>
      </w:r>
      <w:r w:rsidRPr="00742D4A">
        <w:t xml:space="preserve">s </w:t>
      </w:r>
      <w:r>
        <w:t>réalisés</w:t>
      </w:r>
      <w:r w:rsidRPr="00742D4A">
        <w:t xml:space="preserve"> </w:t>
      </w:r>
      <w:r>
        <w:t xml:space="preserve">dans la promulgation d’une loi spécifique qui interdit expressément les comportements racistes et xénophobes </w:t>
      </w:r>
      <w:r w:rsidRPr="00742D4A">
        <w:t xml:space="preserve">(CERD/C/JPN/CO/3-6, par. 14); </w:t>
      </w:r>
      <w:r>
        <w:t>et renseignements sur l’application</w:t>
      </w:r>
      <w:r w:rsidRPr="00742D4A">
        <w:t xml:space="preserve"> </w:t>
      </w:r>
      <w:r>
        <w:t xml:space="preserve">de la loi sur la radiodiffusion et de la </w:t>
      </w:r>
      <w:r w:rsidRPr="00334012">
        <w:t>loi limitant la responsabilité des prestataires</w:t>
      </w:r>
      <w:r w:rsidRPr="00DD43B7">
        <w:t xml:space="preserve"> </w:t>
      </w:r>
      <w:r>
        <w:t>s’agissant</w:t>
      </w:r>
      <w:r w:rsidRPr="00DD43B7">
        <w:t xml:space="preserve"> d</w:t>
      </w:r>
      <w:r>
        <w:t>’</w:t>
      </w:r>
      <w:r w:rsidRPr="00DD43B7">
        <w:t xml:space="preserve">affaires de xénophobie et de discrimination raciale, </w:t>
      </w:r>
      <w:r w:rsidR="00463A39">
        <w:t>y </w:t>
      </w:r>
      <w:r w:rsidRPr="00DD43B7">
        <w:t>compris sur In</w:t>
      </w:r>
      <w:r>
        <w:t xml:space="preserve">ternet (CERD/C/JPN/7-9, par. 87 à </w:t>
      </w:r>
      <w:r w:rsidRPr="00DD43B7">
        <w:t>90);</w:t>
      </w:r>
    </w:p>
    <w:p w:rsidR="00F12B49" w:rsidRPr="00334012" w:rsidRDefault="00F12B49" w:rsidP="00F12B49">
      <w:pPr>
        <w:pStyle w:val="SingleTxtG"/>
        <w:ind w:firstLine="567"/>
      </w:pPr>
      <w:r w:rsidRPr="00DD43B7">
        <w:t>c)</w:t>
      </w:r>
      <w:r w:rsidRPr="00DD43B7">
        <w:tab/>
        <w:t>Renseignements supplémentaires sur</w:t>
      </w:r>
      <w:r>
        <w:t xml:space="preserve"> </w:t>
      </w:r>
      <w:r w:rsidRPr="00DD43B7">
        <w:t>les plaintes, les poursuites et les décisions rendues par les juridictions nationales dans des affaires de</w:t>
      </w:r>
      <w:r>
        <w:t xml:space="preserve"> </w:t>
      </w:r>
      <w:r w:rsidRPr="00DD43B7">
        <w:t xml:space="preserve">discrimination raciale, y compris des affaires liées à la </w:t>
      </w:r>
      <w:r>
        <w:t xml:space="preserve">propagande et à la </w:t>
      </w:r>
      <w:r w:rsidRPr="00DD43B7">
        <w:t>diffusion d</w:t>
      </w:r>
      <w:r>
        <w:t>’</w:t>
      </w:r>
      <w:r w:rsidRPr="00DD43B7">
        <w:t xml:space="preserve">idées racistes et de propos haineux, et sur les réparations accordées aux victimes (CERD/C/JPN/CO/3-6, par. 13 et CERD/C/JPN/7-9, par. 140); </w:t>
      </w:r>
      <w:r>
        <w:t>e</w:t>
      </w:r>
      <w:r w:rsidRPr="00DD43B7">
        <w:t>t eff</w:t>
      </w:r>
      <w:r>
        <w:t>icacit</w:t>
      </w:r>
      <w:r w:rsidRPr="00DD43B7">
        <w:t xml:space="preserve">é des garanties </w:t>
      </w:r>
      <w:r>
        <w:t xml:space="preserve">d’accès à des </w:t>
      </w:r>
      <w:r w:rsidRPr="00DD43B7">
        <w:t xml:space="preserve">recours judiciaires et non judiciaires </w:t>
      </w:r>
      <w:r>
        <w:t xml:space="preserve">pour combattre </w:t>
      </w:r>
      <w:r w:rsidRPr="00DD43B7">
        <w:t xml:space="preserve">les actes de discrimination raciale (CERD/C/JPN/CO/3-6, par. 13 </w:t>
      </w:r>
      <w:r>
        <w:t>et</w:t>
      </w:r>
      <w:r w:rsidRPr="00DD43B7">
        <w:t xml:space="preserve"> 14</w:t>
      </w:r>
      <w:r>
        <w:t>,</w:t>
      </w:r>
      <w:r w:rsidRPr="00DD43B7">
        <w:t xml:space="preserve"> et CERD/C/JPN/7-9, par. 141</w:t>
      </w:r>
      <w:r>
        <w:t xml:space="preserve"> à </w:t>
      </w:r>
      <w:r w:rsidRPr="00DD43B7">
        <w:t>155);</w:t>
      </w:r>
    </w:p>
    <w:p w:rsidR="00F12B49" w:rsidRDefault="00F12B49" w:rsidP="00F12B49">
      <w:pPr>
        <w:pStyle w:val="SingleTxtG"/>
        <w:ind w:firstLine="567"/>
      </w:pPr>
      <w:r w:rsidRPr="00DD43B7">
        <w:t>d)</w:t>
      </w:r>
      <w:r w:rsidRPr="00DD43B7">
        <w:tab/>
      </w:r>
      <w:r>
        <w:t>Renseignements sur</w:t>
      </w:r>
      <w:r w:rsidRPr="00DD43B7">
        <w:t xml:space="preserve"> </w:t>
      </w:r>
      <w:r>
        <w:t xml:space="preserve">les effets </w:t>
      </w:r>
      <w:r w:rsidRPr="00DD43B7">
        <w:t xml:space="preserve">des programmes de formation et de sensibilisation visant à lutter contre la discrimination raciale, qui ont été </w:t>
      </w:r>
      <w:r>
        <w:t xml:space="preserve">mis en place </w:t>
      </w:r>
      <w:r w:rsidRPr="00DD43B7">
        <w:t>par l</w:t>
      </w:r>
      <w:r>
        <w:t>’</w:t>
      </w:r>
      <w:r w:rsidRPr="00DD43B7">
        <w:t xml:space="preserve">État partie </w:t>
      </w:r>
      <w:r>
        <w:t xml:space="preserve">à l’intention des </w:t>
      </w:r>
      <w:r w:rsidRPr="00DD43B7">
        <w:t xml:space="preserve">fonctionnaires, </w:t>
      </w:r>
      <w:r>
        <w:t xml:space="preserve">agents </w:t>
      </w:r>
      <w:r w:rsidRPr="00DD43B7">
        <w:t xml:space="preserve">de police, </w:t>
      </w:r>
      <w:r>
        <w:t>membres du parquet</w:t>
      </w:r>
      <w:r w:rsidRPr="00DD43B7">
        <w:t xml:space="preserve">, </w:t>
      </w:r>
      <w:r>
        <w:t xml:space="preserve">agents </w:t>
      </w:r>
      <w:r w:rsidRPr="00DD43B7">
        <w:t>pénitentiaires</w:t>
      </w:r>
      <w:r>
        <w:t>,</w:t>
      </w:r>
      <w:r w:rsidRPr="00DD43B7">
        <w:t xml:space="preserve"> juges, enseignants et autres agents de l</w:t>
      </w:r>
      <w:r>
        <w:t>’</w:t>
      </w:r>
      <w:r w:rsidRPr="00DD43B7">
        <w:t xml:space="preserve">État (CERD/C/JPN/7-9, par. 68 à 80 et HRI/CORE/JPN/2012, par. 174 à 187); </w:t>
      </w:r>
      <w:r>
        <w:t>i</w:t>
      </w:r>
      <w:r w:rsidRPr="00DD43B7">
        <w:t xml:space="preserve">nformations à jour sur la mise en œuvre du </w:t>
      </w:r>
      <w:r w:rsidRPr="00334012">
        <w:t>Projet de promotion de la recherche sur l</w:t>
      </w:r>
      <w:r>
        <w:t>’</w:t>
      </w:r>
      <w:r w:rsidRPr="00334012">
        <w:t>éducation aux droits de l</w:t>
      </w:r>
      <w:r>
        <w:t>’</w:t>
      </w:r>
      <w:r w:rsidRPr="00334012">
        <w:t>homme</w:t>
      </w:r>
      <w:r w:rsidRPr="00DD43B7">
        <w:t xml:space="preserve"> </w:t>
      </w:r>
      <w:r>
        <w:t xml:space="preserve">mené par </w:t>
      </w:r>
      <w:r w:rsidRPr="00DD43B7">
        <w:t>l</w:t>
      </w:r>
      <w:r>
        <w:t>’</w:t>
      </w:r>
      <w:r w:rsidRPr="00DD43B7">
        <w:t xml:space="preserve">État </w:t>
      </w:r>
      <w:r>
        <w:t xml:space="preserve">partie et son incidence sur la </w:t>
      </w:r>
      <w:r w:rsidRPr="00DD43B7">
        <w:t>discrimination raciale</w:t>
      </w:r>
      <w:r>
        <w:t xml:space="preserve"> (CERD/C/JPN/7-9, par</w:t>
      </w:r>
      <w:r w:rsidRPr="00742D4A">
        <w:t>. 169</w:t>
      </w:r>
      <w:r>
        <w:t xml:space="preserve"> à </w:t>
      </w:r>
      <w:r w:rsidRPr="00742D4A">
        <w:t xml:space="preserve">171); </w:t>
      </w:r>
      <w:r>
        <w:t>et renseignements sur l’é</w:t>
      </w:r>
      <w:r w:rsidRPr="00742D4A">
        <w:t>ducation</w:t>
      </w:r>
      <w:r>
        <w:t xml:space="preserve"> aux droits de l’homme</w:t>
      </w:r>
      <w:r w:rsidRPr="00742D4A">
        <w:t xml:space="preserve">, </w:t>
      </w:r>
      <w:r>
        <w:t>le rôle des médias et les efforts déployés pour lutter contre les propos tendancieux et racistes dans les médias</w:t>
      </w:r>
      <w:r w:rsidRPr="00742D4A">
        <w:t xml:space="preserve"> (CERD/C/JPN/CO/3-6, par. 26).</w:t>
      </w:r>
    </w:p>
    <w:p w:rsidR="00F12B49" w:rsidRDefault="00F12B49" w:rsidP="00F12B49">
      <w:pPr>
        <w:pStyle w:val="H23G"/>
      </w:pPr>
      <w:r>
        <w:tab/>
        <w:t>2.</w:t>
      </w:r>
      <w:r>
        <w:tab/>
      </w:r>
      <w:r w:rsidRPr="00793557">
        <w:t xml:space="preserve">Situation des </w:t>
      </w:r>
      <w:r>
        <w:t>minorités</w:t>
      </w:r>
      <w:r w:rsidRPr="00793557">
        <w:t xml:space="preserve"> </w:t>
      </w:r>
      <w:r>
        <w:t>et des peuples autochtones (art. </w:t>
      </w:r>
      <w:r w:rsidRPr="00793557">
        <w:t>2</w:t>
      </w:r>
      <w:r>
        <w:t xml:space="preserve"> à</w:t>
      </w:r>
      <w:r w:rsidRPr="00793557">
        <w:t xml:space="preserve"> 7)</w:t>
      </w:r>
    </w:p>
    <w:p w:rsidR="00F12B49" w:rsidRPr="00742D4A" w:rsidRDefault="00F12B49" w:rsidP="00F12B49">
      <w:pPr>
        <w:pStyle w:val="SingleTxtG"/>
        <w:ind w:firstLine="567"/>
      </w:pPr>
      <w:r w:rsidRPr="00742D4A">
        <w:t>a)</w:t>
      </w:r>
      <w:r w:rsidRPr="00742D4A">
        <w:tab/>
      </w:r>
      <w:r>
        <w:t xml:space="preserve">Les </w:t>
      </w:r>
      <w:r w:rsidRPr="00742D4A">
        <w:rPr>
          <w:iCs/>
        </w:rPr>
        <w:t>Burakumin</w:t>
      </w:r>
      <w:r w:rsidRPr="00742D4A">
        <w:t xml:space="preserve">: </w:t>
      </w:r>
      <w:r>
        <w:t>p</w:t>
      </w:r>
      <w:r w:rsidRPr="00742D4A">
        <w:t>rogr</w:t>
      </w:r>
      <w:r>
        <w:t xml:space="preserve">ès accomplis pour combattre efficacement la </w:t>
      </w:r>
      <w:r w:rsidRPr="00742D4A">
        <w:t xml:space="preserve">discrimination </w:t>
      </w:r>
      <w:r>
        <w:t>en matière d’accès à l’emploi</w:t>
      </w:r>
      <w:r w:rsidRPr="00742D4A">
        <w:t xml:space="preserve">, </w:t>
      </w:r>
      <w:r>
        <w:t>au logement</w:t>
      </w:r>
      <w:r w:rsidRPr="00742D4A">
        <w:t xml:space="preserve">, </w:t>
      </w:r>
      <w:r>
        <w:t>à la propriété foncière et à l’é</w:t>
      </w:r>
      <w:r w:rsidRPr="00742D4A">
        <w:t xml:space="preserve">ducation; </w:t>
      </w:r>
      <w:r>
        <w:t xml:space="preserve">et renseignements à jour sur la promulgation d’une loi relative à la </w:t>
      </w:r>
      <w:r w:rsidRPr="00742D4A">
        <w:t>protection</w:t>
      </w:r>
      <w:r>
        <w:t xml:space="preserve"> des droits de l’homme,</w:t>
      </w:r>
      <w:r w:rsidRPr="00742D4A">
        <w:t xml:space="preserve"> </w:t>
      </w:r>
      <w:r>
        <w:t>comme convenu avec les organisations de Burakumin,</w:t>
      </w:r>
      <w:r w:rsidRPr="00742D4A">
        <w:t xml:space="preserve"> </w:t>
      </w:r>
      <w:r>
        <w:t>et la</w:t>
      </w:r>
      <w:r w:rsidRPr="00742D4A">
        <w:t xml:space="preserve"> création </w:t>
      </w:r>
      <w:r w:rsidRPr="004A3610">
        <w:t>d</w:t>
      </w:r>
      <w:r>
        <w:t>’</w:t>
      </w:r>
      <w:r w:rsidRPr="004A3610">
        <w:t xml:space="preserve">un organisme </w:t>
      </w:r>
      <w:r>
        <w:t xml:space="preserve">public </w:t>
      </w:r>
      <w:r w:rsidRPr="004A3610">
        <w:t>chargé de s</w:t>
      </w:r>
      <w:r>
        <w:t>’</w:t>
      </w:r>
      <w:r w:rsidRPr="004A3610">
        <w:t>occuper des questions relatives aux Burakumin</w:t>
      </w:r>
      <w:r>
        <w:rPr>
          <w:b/>
          <w:bCs/>
        </w:rPr>
        <w:t xml:space="preserve"> </w:t>
      </w:r>
      <w:r>
        <w:t>(CERD/C/JPN/CO/3-6, par. 19);</w:t>
      </w:r>
    </w:p>
    <w:p w:rsidR="00F12B49" w:rsidRPr="00742D4A" w:rsidRDefault="00F12B49" w:rsidP="00F12B49">
      <w:pPr>
        <w:pStyle w:val="SingleTxtG"/>
        <w:ind w:firstLine="567"/>
      </w:pPr>
      <w:r w:rsidRPr="00742D4A">
        <w:t>b)</w:t>
      </w:r>
      <w:r w:rsidRPr="00742D4A">
        <w:tab/>
      </w:r>
      <w:r>
        <w:t>Peuples d’O</w:t>
      </w:r>
      <w:r w:rsidRPr="00742D4A">
        <w:rPr>
          <w:iCs/>
        </w:rPr>
        <w:t>kinawa</w:t>
      </w:r>
      <w:r>
        <w:rPr>
          <w:iCs/>
        </w:rPr>
        <w:t>/Ryükyü</w:t>
      </w:r>
      <w:r w:rsidRPr="00742D4A">
        <w:rPr>
          <w:iCs/>
        </w:rPr>
        <w:t>:</w:t>
      </w:r>
      <w:r w:rsidRPr="00742D4A">
        <w:t xml:space="preserve"> </w:t>
      </w:r>
      <w:r>
        <w:t>mesures spéciales prises pour promouvoir l’exercice des droits</w:t>
      </w:r>
      <w:r w:rsidRPr="00742D4A">
        <w:t xml:space="preserve"> </w:t>
      </w:r>
      <w:r>
        <w:t>économiques, sociaux et culturels par les peuples d’</w:t>
      </w:r>
      <w:r w:rsidRPr="00742D4A">
        <w:rPr>
          <w:iCs/>
        </w:rPr>
        <w:t>Okinawa</w:t>
      </w:r>
      <w:r>
        <w:rPr>
          <w:iCs/>
        </w:rPr>
        <w:t>/</w:t>
      </w:r>
      <w:r w:rsidRPr="00742D4A">
        <w:rPr>
          <w:iCs/>
        </w:rPr>
        <w:t>Ryükyü</w:t>
      </w:r>
      <w:r>
        <w:rPr>
          <w:iCs/>
        </w:rPr>
        <w:t xml:space="preserve"> </w:t>
      </w:r>
      <w:r>
        <w:t xml:space="preserve">(CERD/C/JPN/CO/3-6, </w:t>
      </w:r>
      <w:r w:rsidRPr="00742D4A">
        <w:t xml:space="preserve">par. 21); </w:t>
      </w:r>
      <w:r w:rsidR="005B333A">
        <w:t>e</w:t>
      </w:r>
      <w:r>
        <w:t xml:space="preserve">t renseignements concernant les </w:t>
      </w:r>
      <w:r w:rsidR="00463A39">
        <w:t>effets</w:t>
      </w:r>
      <w:r>
        <w:t xml:space="preserve"> de la mise en œuvre</w:t>
      </w:r>
      <w:r w:rsidRPr="00742D4A">
        <w:t xml:space="preserve"> </w:t>
      </w:r>
      <w:r>
        <w:t>du plan de promotion d’Okinawa sur la</w:t>
      </w:r>
      <w:r w:rsidRPr="00742D4A">
        <w:t xml:space="preserve"> situation </w:t>
      </w:r>
      <w:r>
        <w:t>des</w:t>
      </w:r>
      <w:r w:rsidRPr="00742D4A">
        <w:t xml:space="preserve"> Okinawa</w:t>
      </w:r>
      <w:r>
        <w:t>is</w:t>
      </w:r>
      <w:r w:rsidRPr="00742D4A">
        <w:t xml:space="preserve"> (CERD/C/JPN/CO/3-6/Add.1, par. 11</w:t>
      </w:r>
      <w:r>
        <w:t xml:space="preserve"> à 13);</w:t>
      </w:r>
    </w:p>
    <w:p w:rsidR="00F12B49" w:rsidRDefault="00F12B49" w:rsidP="00F12B49">
      <w:pPr>
        <w:pStyle w:val="SingleTxtG"/>
        <w:ind w:firstLine="567"/>
      </w:pPr>
      <w:r w:rsidRPr="00742D4A">
        <w:t>c)</w:t>
      </w:r>
      <w:r w:rsidRPr="00742D4A">
        <w:tab/>
      </w:r>
      <w:r>
        <w:t>Peuple aïnou:</w:t>
      </w:r>
      <w:r w:rsidRPr="00742D4A">
        <w:t xml:space="preserve"> </w:t>
      </w:r>
      <w:r>
        <w:t>plans et mesures spécifiques adoptés pour combattre la</w:t>
      </w:r>
      <w:r w:rsidRPr="00742D4A">
        <w:t xml:space="preserve"> discrimination</w:t>
      </w:r>
      <w:r>
        <w:t xml:space="preserve"> raciale et améliorer les </w:t>
      </w:r>
      <w:r w:rsidRPr="00742D4A">
        <w:t>conditions</w:t>
      </w:r>
      <w:r>
        <w:t xml:space="preserve"> de vie du peuple aïnou</w:t>
      </w:r>
      <w:r w:rsidRPr="00742D4A">
        <w:t xml:space="preserve">, </w:t>
      </w:r>
      <w:r>
        <w:t>notamment l’accès des enfants aïnous à l’éducation</w:t>
      </w:r>
      <w:r w:rsidRPr="00742D4A">
        <w:t xml:space="preserve">, </w:t>
      </w:r>
      <w:r>
        <w:t xml:space="preserve">et pour faire connaître l’histoire et la culture du peuple aïnou </w:t>
      </w:r>
      <w:r w:rsidRPr="00742D4A">
        <w:t xml:space="preserve">(CERD/C/JPN/CO/3-6, par. 20 </w:t>
      </w:r>
      <w:r>
        <w:t>et</w:t>
      </w:r>
      <w:r w:rsidRPr="00742D4A">
        <w:t xml:space="preserve"> 22 </w:t>
      </w:r>
      <w:r>
        <w:t xml:space="preserve">et </w:t>
      </w:r>
      <w:r w:rsidRPr="00742D4A">
        <w:t>CERD/C/JPN/7-9, par. 15</w:t>
      </w:r>
      <w:r>
        <w:t xml:space="preserve"> à </w:t>
      </w:r>
      <w:r w:rsidRPr="00742D4A">
        <w:t>22).</w:t>
      </w:r>
    </w:p>
    <w:p w:rsidR="00F12B49" w:rsidRPr="00BD6549" w:rsidRDefault="00F12B49" w:rsidP="00F12B49">
      <w:pPr>
        <w:pStyle w:val="H23G"/>
      </w:pPr>
      <w:r>
        <w:tab/>
        <w:t>3.</w:t>
      </w:r>
      <w:r>
        <w:tab/>
      </w:r>
      <w:r w:rsidRPr="00BD6549">
        <w:t>Discrimination à l</w:t>
      </w:r>
      <w:r>
        <w:t>’</w:t>
      </w:r>
      <w:r w:rsidRPr="00BD6549">
        <w:t>égard des non-ressorti</w:t>
      </w:r>
      <w:r>
        <w:t>ssants, notamment des migrants,</w:t>
      </w:r>
      <w:r>
        <w:br/>
      </w:r>
      <w:r w:rsidRPr="00BD6549">
        <w:t>des réfugiés et des demandeurs d</w:t>
      </w:r>
      <w:r>
        <w:t>’asile (art. </w:t>
      </w:r>
      <w:r w:rsidRPr="00BD6549">
        <w:t>5</w:t>
      </w:r>
      <w:r>
        <w:t xml:space="preserve"> </w:t>
      </w:r>
      <w:r w:rsidRPr="00BD6549">
        <w:t>et 7)</w:t>
      </w:r>
    </w:p>
    <w:p w:rsidR="00F12B49" w:rsidRPr="00742D4A" w:rsidRDefault="00F12B49" w:rsidP="00F12B49">
      <w:pPr>
        <w:pStyle w:val="SingleTxtG"/>
        <w:ind w:firstLine="567"/>
      </w:pPr>
      <w:r w:rsidRPr="00742D4A">
        <w:t>a)</w:t>
      </w:r>
      <w:r w:rsidRPr="00742D4A">
        <w:tab/>
      </w:r>
      <w:r w:rsidRPr="00742D4A">
        <w:rPr>
          <w:iCs/>
        </w:rPr>
        <w:t>Migrants</w:t>
      </w:r>
      <w:r w:rsidRPr="00742D4A">
        <w:t xml:space="preserve">: </w:t>
      </w:r>
      <w:r>
        <w:t>p</w:t>
      </w:r>
      <w:r w:rsidRPr="00742D4A">
        <w:t>rogr</w:t>
      </w:r>
      <w:r>
        <w:t>è</w:t>
      </w:r>
      <w:r w:rsidRPr="00742D4A">
        <w:t>s</w:t>
      </w:r>
      <w:r>
        <w:t xml:space="preserve"> réalisés</w:t>
      </w:r>
      <w:r w:rsidRPr="00742D4A">
        <w:t xml:space="preserve"> </w:t>
      </w:r>
      <w:r>
        <w:t xml:space="preserve">concernant l’adoption d’une </w:t>
      </w:r>
      <w:r w:rsidRPr="00B01B12">
        <w:t xml:space="preserve">politique </w:t>
      </w:r>
      <w:r>
        <w:t>complète sur l’immigration</w:t>
      </w:r>
      <w:r w:rsidRPr="00742D4A">
        <w:t xml:space="preserve">; </w:t>
      </w:r>
      <w:r>
        <w:t>m</w:t>
      </w:r>
      <w:r w:rsidRPr="00742D4A">
        <w:t xml:space="preserve">esures </w:t>
      </w:r>
      <w:r>
        <w:t>adoptées pour combattre les actes discriminatoires et les propos xénophobes à l’encontre des</w:t>
      </w:r>
      <w:r w:rsidRPr="00742D4A">
        <w:t xml:space="preserve"> migrants, </w:t>
      </w:r>
      <w:r>
        <w:t>en particulier les</w:t>
      </w:r>
      <w:r w:rsidRPr="00742D4A">
        <w:t xml:space="preserve"> migrants</w:t>
      </w:r>
      <w:r>
        <w:t xml:space="preserve"> coréens et chinois</w:t>
      </w:r>
      <w:r w:rsidRPr="00742D4A">
        <w:t xml:space="preserve">; </w:t>
      </w:r>
      <w:r>
        <w:t>m</w:t>
      </w:r>
      <w:r w:rsidRPr="00742D4A">
        <w:t xml:space="preserve">esures </w:t>
      </w:r>
      <w:r>
        <w:t xml:space="preserve">adoptées pour lutter contre la </w:t>
      </w:r>
      <w:r w:rsidRPr="00742D4A">
        <w:t xml:space="preserve">discrimination </w:t>
      </w:r>
      <w:r>
        <w:t>en matière d’accès au logement et à l’emploi</w:t>
      </w:r>
      <w:r w:rsidRPr="00742D4A">
        <w:t xml:space="preserve">, </w:t>
      </w:r>
      <w:r>
        <w:t>notamment en faveur des femmes migrantes</w:t>
      </w:r>
      <w:r w:rsidRPr="00742D4A">
        <w:t xml:space="preserve">; </w:t>
      </w:r>
      <w:r>
        <w:t>renseignements sur l’a</w:t>
      </w:r>
      <w:r w:rsidRPr="00742D4A">
        <w:t>pplication effective</w:t>
      </w:r>
      <w:r>
        <w:t xml:space="preserve"> de la législation relative au travail et au logement</w:t>
      </w:r>
      <w:r w:rsidRPr="00742D4A">
        <w:t xml:space="preserve"> (CERD/C/JPN/7-9, par. 118);</w:t>
      </w:r>
      <w:r w:rsidRPr="00742D4A">
        <w:rPr>
          <w:rStyle w:val="FootnoteReference"/>
        </w:rPr>
        <w:t>.</w:t>
      </w:r>
      <w:r>
        <w:t xml:space="preserve"> p</w:t>
      </w:r>
      <w:r w:rsidRPr="00742D4A">
        <w:t>rogr</w:t>
      </w:r>
      <w:r>
        <w:t>è</w:t>
      </w:r>
      <w:r w:rsidRPr="00742D4A">
        <w:t>s</w:t>
      </w:r>
      <w:r>
        <w:t xml:space="preserve"> accomplis en vue de faciliter l’accès des enfants migrants au système éducatif japonais</w:t>
      </w:r>
      <w:r w:rsidRPr="00742D4A">
        <w:t xml:space="preserve">; </w:t>
      </w:r>
      <w:r>
        <w:t>renseignements à jour sur les</w:t>
      </w:r>
      <w:r w:rsidRPr="00742D4A">
        <w:t xml:space="preserve"> conditions </w:t>
      </w:r>
      <w:r>
        <w:t xml:space="preserve">d’accréditation des écoles étrangères, en particulier des écoles coréennes et chinoises </w:t>
      </w:r>
      <w:r w:rsidRPr="00742D4A">
        <w:t xml:space="preserve">(CERD/C/JPN/CO/3-6, par. 22); </w:t>
      </w:r>
      <w:r>
        <w:t>me</w:t>
      </w:r>
      <w:r w:rsidRPr="00742D4A">
        <w:t xml:space="preserve">sures </w:t>
      </w:r>
      <w:r>
        <w:t>prises pour</w:t>
      </w:r>
      <w:r w:rsidRPr="00742D4A">
        <w:t xml:space="preserve"> combat</w:t>
      </w:r>
      <w:r>
        <w:t>tre la</w:t>
      </w:r>
      <w:r w:rsidRPr="00742D4A">
        <w:t xml:space="preserve"> discrimination </w:t>
      </w:r>
      <w:r>
        <w:t>à l’égard des</w:t>
      </w:r>
      <w:r w:rsidRPr="00742D4A">
        <w:t xml:space="preserve"> migrants </w:t>
      </w:r>
      <w:r>
        <w:t>et des autochtones, en ce qui concerne l’accès</w:t>
      </w:r>
      <w:r w:rsidRPr="00062E17">
        <w:t xml:space="preserve"> à des lieux ou </w:t>
      </w:r>
      <w:r>
        <w:t>à des services, comme l</w:t>
      </w:r>
      <w:r w:rsidRPr="00062E17">
        <w:t xml:space="preserve">es restaurants, </w:t>
      </w:r>
      <w:r>
        <w:t xml:space="preserve">les </w:t>
      </w:r>
      <w:r w:rsidRPr="00062E17">
        <w:t xml:space="preserve">bains publics familiaux, </w:t>
      </w:r>
      <w:r>
        <w:t xml:space="preserve">les </w:t>
      </w:r>
      <w:r w:rsidRPr="00062E17">
        <w:t xml:space="preserve">magasins et </w:t>
      </w:r>
      <w:r>
        <w:t xml:space="preserve">les </w:t>
      </w:r>
      <w:r w:rsidRPr="00062E17">
        <w:t>hôtels</w:t>
      </w:r>
      <w:r>
        <w:t xml:space="preserve"> </w:t>
      </w:r>
      <w:r w:rsidRPr="00742D4A">
        <w:t xml:space="preserve">(CERD/C/JPN/CO/3-6, para. 24); </w:t>
      </w:r>
      <w:r>
        <w:t xml:space="preserve">et </w:t>
      </w:r>
      <w:r w:rsidRPr="00742D4A">
        <w:t xml:space="preserve">mesures </w:t>
      </w:r>
      <w:r>
        <w:t>prises pour prévenir la traite des êtres humains</w:t>
      </w:r>
      <w:r w:rsidRPr="00742D4A">
        <w:t>,</w:t>
      </w:r>
      <w:r>
        <w:t xml:space="preserve"> protéger les droits des </w:t>
      </w:r>
      <w:r w:rsidRPr="00742D4A">
        <w:t>victim</w:t>
      </w:r>
      <w:r>
        <w:t>e</w:t>
      </w:r>
      <w:r w:rsidRPr="00742D4A">
        <w:t xml:space="preserve">s </w:t>
      </w:r>
      <w:r>
        <w:t>de la traite et</w:t>
      </w:r>
      <w:r w:rsidRPr="00742D4A">
        <w:t xml:space="preserve"> </w:t>
      </w:r>
      <w:r>
        <w:t>leur fournir une aide appropriée</w:t>
      </w:r>
      <w:r w:rsidRPr="00742D4A">
        <w:t xml:space="preserve"> (A/HRC/WG.6/14/JPN/3, par. 35); </w:t>
      </w:r>
    </w:p>
    <w:p w:rsidR="00F12B49" w:rsidRDefault="00F12B49" w:rsidP="00F12B49">
      <w:pPr>
        <w:pStyle w:val="SingleTxtG"/>
        <w:ind w:firstLine="567"/>
      </w:pPr>
      <w:r w:rsidRPr="00742D4A">
        <w:t>b)</w:t>
      </w:r>
      <w:r w:rsidRPr="00742D4A">
        <w:tab/>
      </w:r>
      <w:r w:rsidRPr="00742D4A">
        <w:rPr>
          <w:iCs/>
        </w:rPr>
        <w:t>R</w:t>
      </w:r>
      <w:r>
        <w:rPr>
          <w:iCs/>
        </w:rPr>
        <w:t>é</w:t>
      </w:r>
      <w:r w:rsidRPr="00742D4A">
        <w:rPr>
          <w:iCs/>
        </w:rPr>
        <w:t>fug</w:t>
      </w:r>
      <w:r>
        <w:rPr>
          <w:iCs/>
        </w:rPr>
        <w:t>ié</w:t>
      </w:r>
      <w:r w:rsidRPr="00742D4A">
        <w:rPr>
          <w:iCs/>
        </w:rPr>
        <w:t xml:space="preserve">s </w:t>
      </w:r>
      <w:r>
        <w:rPr>
          <w:iCs/>
        </w:rPr>
        <w:t>et demandeurs d’asile</w:t>
      </w:r>
      <w:r w:rsidRPr="00742D4A">
        <w:rPr>
          <w:iCs/>
        </w:rPr>
        <w:t xml:space="preserve">: </w:t>
      </w:r>
      <w:r>
        <w:t>me</w:t>
      </w:r>
      <w:r w:rsidRPr="00742D4A">
        <w:t xml:space="preserve">sures </w:t>
      </w:r>
      <w:r>
        <w:t xml:space="preserve">prises pour remédier à la rétention systématique et prolongée des réfugiés </w:t>
      </w:r>
      <w:r>
        <w:rPr>
          <w:iCs/>
        </w:rPr>
        <w:t>et des demandeurs d’asile</w:t>
      </w:r>
      <w:r w:rsidRPr="00742D4A">
        <w:t xml:space="preserve">; </w:t>
      </w:r>
      <w:r>
        <w:t>mesures prises pour prévenir la discrimination</w:t>
      </w:r>
      <w:r w:rsidRPr="00742D4A">
        <w:t xml:space="preserve"> </w:t>
      </w:r>
      <w:r>
        <w:t xml:space="preserve">concernant les normes appliquées aux procédures d’asile </w:t>
      </w:r>
      <w:r w:rsidRPr="00742D4A">
        <w:t xml:space="preserve">(CERD/C/JPN/CO/3-6, par. 23 </w:t>
      </w:r>
      <w:r>
        <w:t xml:space="preserve">et </w:t>
      </w:r>
      <w:r w:rsidRPr="00742D4A">
        <w:t xml:space="preserve">CERD/C/JPN/7-9, par. 55); </w:t>
      </w:r>
      <w:r>
        <w:t>mesures adoptées pour remédier à la médiocrité des conditions de détention pour les demandeurs d’asile; et mesures adoptées pour empêcher l’utilisation excessive de la force lors des expulsions.</w:t>
      </w:r>
    </w:p>
    <w:p w:rsidR="00F12B49" w:rsidRPr="00F12B49" w:rsidRDefault="00F12B49" w:rsidP="00F12B49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F12B49" w:rsidRPr="00F12B49" w:rsidSect="00F12B49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3210" w:rsidRDefault="00093210"/>
  </w:endnote>
  <w:endnote w:type="continuationSeparator" w:id="0">
    <w:p w:rsidR="00093210" w:rsidRDefault="00093210"/>
  </w:endnote>
  <w:endnote w:type="continuationNotice" w:id="1">
    <w:p w:rsidR="00093210" w:rsidRPr="00201F68" w:rsidRDefault="00093210" w:rsidP="00201F68">
      <w:pPr>
        <w:spacing w:line="240" w:lineRule="auto"/>
        <w:rPr>
          <w:sz w:val="2"/>
          <w:szCs w:val="2"/>
        </w:rPr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B49" w:rsidRPr="00F12B49" w:rsidRDefault="00F12B49" w:rsidP="00F12B49">
    <w:pPr>
      <w:pStyle w:val="Footer"/>
      <w:tabs>
        <w:tab w:val="right" w:pos="9638"/>
      </w:tabs>
    </w:pPr>
    <w:r w:rsidRPr="00F12B49">
      <w:rPr>
        <w:b/>
        <w:sz w:val="18"/>
      </w:rPr>
      <w:fldChar w:fldCharType="begin"/>
    </w:r>
    <w:r w:rsidRPr="00F12B49">
      <w:rPr>
        <w:b/>
        <w:sz w:val="18"/>
      </w:rPr>
      <w:instrText xml:space="preserve"> PAGE  \* MERGEFORMAT </w:instrText>
    </w:r>
    <w:r w:rsidRPr="00F12B49">
      <w:rPr>
        <w:b/>
        <w:sz w:val="18"/>
      </w:rPr>
      <w:fldChar w:fldCharType="separate"/>
    </w:r>
    <w:r w:rsidR="00183EB5">
      <w:rPr>
        <w:b/>
        <w:noProof/>
        <w:sz w:val="18"/>
      </w:rPr>
      <w:t>2</w:t>
    </w:r>
    <w:r w:rsidRPr="00F12B49">
      <w:rPr>
        <w:b/>
        <w:sz w:val="18"/>
      </w:rPr>
      <w:fldChar w:fldCharType="end"/>
    </w:r>
    <w:r>
      <w:rPr>
        <w:b/>
        <w:sz w:val="18"/>
      </w:rPr>
      <w:tab/>
    </w:r>
    <w:r>
      <w:t>GE.14-04362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B49" w:rsidRPr="00F12B49" w:rsidRDefault="00F12B49" w:rsidP="00F12B49">
    <w:pPr>
      <w:pStyle w:val="Footer"/>
      <w:tabs>
        <w:tab w:val="right" w:pos="9638"/>
      </w:tabs>
      <w:rPr>
        <w:b/>
        <w:sz w:val="18"/>
      </w:rPr>
    </w:pPr>
    <w:r>
      <w:t>GE.14-04362</w:t>
    </w:r>
    <w:r>
      <w:tab/>
    </w:r>
    <w:r w:rsidRPr="00F12B49">
      <w:rPr>
        <w:b/>
        <w:sz w:val="18"/>
      </w:rPr>
      <w:fldChar w:fldCharType="begin"/>
    </w:r>
    <w:r w:rsidRPr="00F12B49">
      <w:rPr>
        <w:b/>
        <w:sz w:val="18"/>
      </w:rPr>
      <w:instrText xml:space="preserve"> PAGE  \* MERGEFORMAT </w:instrText>
    </w:r>
    <w:r w:rsidRPr="00F12B49">
      <w:rPr>
        <w:b/>
        <w:sz w:val="18"/>
      </w:rPr>
      <w:fldChar w:fldCharType="separate"/>
    </w:r>
    <w:r w:rsidR="00463A39">
      <w:rPr>
        <w:b/>
        <w:noProof/>
        <w:sz w:val="18"/>
      </w:rPr>
      <w:t>3</w:t>
    </w:r>
    <w:r w:rsidRPr="00F12B49">
      <w:rPr>
        <w:b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3210" w:rsidRPr="00F12B49" w:rsidRDefault="00F12B49" w:rsidP="00F12B49">
    <w:pPr>
      <w:pStyle w:val="Footer"/>
      <w:spacing w:before="120"/>
      <w:rPr>
        <w:sz w:val="20"/>
      </w:rPr>
    </w:pPr>
    <w:r>
      <w:rPr>
        <w:sz w:val="20"/>
      </w:rPr>
      <w:t>GE.</w:t>
    </w:r>
    <w:r w:rsidR="00093210">
      <w:rPr>
        <w:noProof/>
        <w:lang w:val="fr-FR" w:eastAsia="fr-F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40.15pt;margin-top:651.95pt;width:86.95pt;height:18.35pt;z-index:1;mso-position-horizontal-relative:margin;mso-position-vertical-relative:margin">
          <v:imagedata r:id="rId1" o:title="recycle_French"/>
          <w10:wrap anchorx="margin" anchory="margin"/>
        </v:shape>
      </w:pict>
    </w:r>
    <w:r>
      <w:rPr>
        <w:sz w:val="20"/>
      </w:rPr>
      <w:t>14-04362  (F)    260614    260614</w:t>
    </w:r>
    <w:r>
      <w:rPr>
        <w:sz w:val="20"/>
      </w:rPr>
      <w:br/>
    </w:r>
    <w:r w:rsidRPr="00F12B49">
      <w:rPr>
        <w:rFonts w:ascii="C39T30Lfz" w:hAnsi="C39T30Lfz"/>
        <w:sz w:val="56"/>
      </w:rPr>
      <w:t></w:t>
    </w:r>
    <w:r w:rsidRPr="00F12B49">
      <w:rPr>
        <w:rFonts w:ascii="C39T30Lfz" w:hAnsi="C39T30Lfz"/>
        <w:sz w:val="56"/>
      </w:rPr>
      <w:t></w:t>
    </w:r>
    <w:r w:rsidRPr="00F12B49">
      <w:rPr>
        <w:rFonts w:ascii="C39T30Lfz" w:hAnsi="C39T30Lfz"/>
        <w:sz w:val="56"/>
      </w:rPr>
      <w:t></w:t>
    </w:r>
    <w:r w:rsidRPr="00F12B49">
      <w:rPr>
        <w:rFonts w:ascii="C39T30Lfz" w:hAnsi="C39T30Lfz"/>
        <w:sz w:val="56"/>
      </w:rPr>
      <w:t></w:t>
    </w:r>
    <w:r w:rsidRPr="00F12B49">
      <w:rPr>
        <w:rFonts w:ascii="C39T30Lfz" w:hAnsi="C39T30Lfz"/>
        <w:sz w:val="56"/>
      </w:rPr>
      <w:t></w:t>
    </w:r>
    <w:r w:rsidRPr="00F12B49">
      <w:rPr>
        <w:rFonts w:ascii="C39T30Lfz" w:hAnsi="C39T30Lfz"/>
        <w:sz w:val="56"/>
      </w:rPr>
      <w:t></w:t>
    </w:r>
    <w:r w:rsidRPr="00F12B49">
      <w:rPr>
        <w:rFonts w:ascii="C39T30Lfz" w:hAnsi="C39T30Lfz"/>
        <w:sz w:val="56"/>
      </w:rPr>
      <w:t></w:t>
    </w:r>
    <w:r w:rsidRPr="00F12B49">
      <w:rPr>
        <w:rFonts w:ascii="C39T30Lfz" w:hAnsi="C39T30Lfz"/>
        <w:sz w:val="56"/>
      </w:rPr>
      <w:t></w:t>
    </w:r>
    <w:r w:rsidRPr="00F12B49">
      <w:rPr>
        <w:rFonts w:ascii="C39T30Lfz" w:hAnsi="C39T30Lfz"/>
        <w:sz w:val="56"/>
      </w:rPr>
      <w:t></w:t>
    </w:r>
    <w:r>
      <w:rPr>
        <w:noProof/>
        <w:sz w:val="20"/>
        <w:lang w:val="fr-FR" w:eastAsia="fr-FR"/>
      </w:rPr>
      <w:pict>
        <v:shape id="_x0000_s2050" type="#_x0000_t75" style="position:absolute;margin-left:432.25pt;margin-top:632.1pt;width:50.25pt;height:50.25pt;z-index:2;mso-position-horizontal-relative:margin;mso-position-vertical-relative:margin">
          <v:imagedata r:id="rId2" o:title="7-9&amp;Size=2&amp;Lang=F"/>
          <w10:wrap anchorx="margin" anchory="margi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3210" w:rsidRPr="00D27D5E" w:rsidRDefault="00093210" w:rsidP="00D27D5E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093210" w:rsidRPr="00AA7FE7" w:rsidRDefault="00093210" w:rsidP="00AA7FE7">
      <w:pPr>
        <w:tabs>
          <w:tab w:val="right" w:pos="2155"/>
        </w:tabs>
        <w:spacing w:after="80"/>
        <w:ind w:left="680"/>
        <w:rPr>
          <w:u w:val="single"/>
        </w:rPr>
      </w:pPr>
      <w:r w:rsidRPr="00AA7FE7">
        <w:rPr>
          <w:u w:val="single"/>
        </w:rPr>
        <w:tab/>
      </w:r>
    </w:p>
  </w:footnote>
  <w:footnote w:type="continuationNotice" w:id="1">
    <w:p w:rsidR="00093210" w:rsidRPr="00201F68" w:rsidRDefault="00093210" w:rsidP="00201F68">
      <w:pPr>
        <w:spacing w:line="240" w:lineRule="auto"/>
        <w:rPr>
          <w:sz w:val="2"/>
          <w:szCs w:val="2"/>
        </w:rPr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B49" w:rsidRPr="00F12B49" w:rsidRDefault="00F12B49">
    <w:pPr>
      <w:pStyle w:val="Header"/>
    </w:pPr>
    <w:r>
      <w:t>CERD/C/JPN/Q/7-9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B49" w:rsidRPr="00F12B49" w:rsidRDefault="00F12B49" w:rsidP="00F12B49">
    <w:pPr>
      <w:pStyle w:val="Header"/>
      <w:jc w:val="right"/>
    </w:pPr>
    <w:r>
      <w:t>CERD/C/JPN/Q/7-9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2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"/>
  </w:num>
  <w:num w:numId="5">
    <w:abstractNumId w:val="1"/>
  </w:num>
  <w:num w:numId="6">
    <w:abstractNumId w:val="0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en-GB" w:vendorID="64" w:dllVersion="131077" w:nlCheck="1" w:checkStyle="1"/>
  <w:activeWritingStyle w:appName="MSWord" w:lang="fr-CH" w:vendorID="64" w:dllVersion="131078" w:nlCheck="1" w:checkStyle="1"/>
  <w:proofState w:spelling="clean"/>
  <w:attachedTemplate r:id="rId1"/>
  <w:stylePaneFormatFilter w:val="3001"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93210"/>
    <w:rsid w:val="00016AC5"/>
    <w:rsid w:val="00054609"/>
    <w:rsid w:val="00093210"/>
    <w:rsid w:val="000A6F55"/>
    <w:rsid w:val="000E7579"/>
    <w:rsid w:val="000F41F2"/>
    <w:rsid w:val="001231AD"/>
    <w:rsid w:val="001450E6"/>
    <w:rsid w:val="00150465"/>
    <w:rsid w:val="00160540"/>
    <w:rsid w:val="00183EB5"/>
    <w:rsid w:val="00192EEB"/>
    <w:rsid w:val="00197832"/>
    <w:rsid w:val="001A20FB"/>
    <w:rsid w:val="001B3867"/>
    <w:rsid w:val="001D72C5"/>
    <w:rsid w:val="001D7F8A"/>
    <w:rsid w:val="001E3FEB"/>
    <w:rsid w:val="001E4A02"/>
    <w:rsid w:val="00201F68"/>
    <w:rsid w:val="00225A8C"/>
    <w:rsid w:val="002626D4"/>
    <w:rsid w:val="002659F1"/>
    <w:rsid w:val="00265CD7"/>
    <w:rsid w:val="00287E79"/>
    <w:rsid w:val="002928F9"/>
    <w:rsid w:val="002A5D07"/>
    <w:rsid w:val="002D3F03"/>
    <w:rsid w:val="002E0D40"/>
    <w:rsid w:val="002E5B0C"/>
    <w:rsid w:val="00300D06"/>
    <w:rsid w:val="003016B7"/>
    <w:rsid w:val="003515AA"/>
    <w:rsid w:val="00374106"/>
    <w:rsid w:val="003976D5"/>
    <w:rsid w:val="003D6C68"/>
    <w:rsid w:val="004159D0"/>
    <w:rsid w:val="00463A39"/>
    <w:rsid w:val="00472145"/>
    <w:rsid w:val="00531842"/>
    <w:rsid w:val="00540389"/>
    <w:rsid w:val="00543D5E"/>
    <w:rsid w:val="00571F41"/>
    <w:rsid w:val="00593658"/>
    <w:rsid w:val="005B333A"/>
    <w:rsid w:val="005E5D1F"/>
    <w:rsid w:val="006034FC"/>
    <w:rsid w:val="00611D43"/>
    <w:rsid w:val="00612D48"/>
    <w:rsid w:val="00616B45"/>
    <w:rsid w:val="00630D9B"/>
    <w:rsid w:val="00631953"/>
    <w:rsid w:val="006439EC"/>
    <w:rsid w:val="0065167E"/>
    <w:rsid w:val="00657120"/>
    <w:rsid w:val="00693E16"/>
    <w:rsid w:val="006B4590"/>
    <w:rsid w:val="006C340C"/>
    <w:rsid w:val="006D7B0B"/>
    <w:rsid w:val="006E6AE5"/>
    <w:rsid w:val="006F39E4"/>
    <w:rsid w:val="0070347C"/>
    <w:rsid w:val="007176C1"/>
    <w:rsid w:val="007231EF"/>
    <w:rsid w:val="007244D6"/>
    <w:rsid w:val="00776E83"/>
    <w:rsid w:val="0078670C"/>
    <w:rsid w:val="007F55CB"/>
    <w:rsid w:val="00837DF8"/>
    <w:rsid w:val="00844750"/>
    <w:rsid w:val="008B44C4"/>
    <w:rsid w:val="008D2259"/>
    <w:rsid w:val="008E7FAE"/>
    <w:rsid w:val="00911BF7"/>
    <w:rsid w:val="00977EC8"/>
    <w:rsid w:val="009C17F5"/>
    <w:rsid w:val="009D3A8C"/>
    <w:rsid w:val="009D6F78"/>
    <w:rsid w:val="009E7956"/>
    <w:rsid w:val="00A2492E"/>
    <w:rsid w:val="00A82B6C"/>
    <w:rsid w:val="00AA7FE7"/>
    <w:rsid w:val="00AB3173"/>
    <w:rsid w:val="00AC01AA"/>
    <w:rsid w:val="00AC67A1"/>
    <w:rsid w:val="00AC7977"/>
    <w:rsid w:val="00AE352C"/>
    <w:rsid w:val="00B32E2D"/>
    <w:rsid w:val="00B61990"/>
    <w:rsid w:val="00BF0556"/>
    <w:rsid w:val="00C03431"/>
    <w:rsid w:val="00C261F8"/>
    <w:rsid w:val="00C31A65"/>
    <w:rsid w:val="00C33100"/>
    <w:rsid w:val="00CD1A71"/>
    <w:rsid w:val="00CD1FBB"/>
    <w:rsid w:val="00D016B5"/>
    <w:rsid w:val="00D034F1"/>
    <w:rsid w:val="00D27D5E"/>
    <w:rsid w:val="00D37345"/>
    <w:rsid w:val="00DC156C"/>
    <w:rsid w:val="00DE6D90"/>
    <w:rsid w:val="00DF002F"/>
    <w:rsid w:val="00E0244D"/>
    <w:rsid w:val="00E1753A"/>
    <w:rsid w:val="00E42D5E"/>
    <w:rsid w:val="00E81E94"/>
    <w:rsid w:val="00E82607"/>
    <w:rsid w:val="00EC5A42"/>
    <w:rsid w:val="00F12B49"/>
    <w:rsid w:val="00F63BC6"/>
    <w:rsid w:val="00FA5A79"/>
    <w:rsid w:val="00FB0BFE"/>
    <w:rsid w:val="00FB4C51"/>
    <w:rsid w:val="00FF1D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31842"/>
    <w:pPr>
      <w:suppressAutoHyphens/>
      <w:spacing w:line="240" w:lineRule="atLeast"/>
    </w:pPr>
    <w:rPr>
      <w:lang w:val="fr-CH"/>
    </w:rPr>
  </w:style>
  <w:style w:type="paragraph" w:styleId="Heading1">
    <w:name w:val="heading 1"/>
    <w:aliases w:val="Table_G"/>
    <w:basedOn w:val="SingleTxtG"/>
    <w:next w:val="SingleTxtG"/>
    <w:qFormat/>
    <w:rsid w:val="00531842"/>
    <w:pPr>
      <w:keepNext/>
      <w:keepLines/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531842"/>
    <w:pPr>
      <w:outlineLvl w:val="1"/>
    </w:pPr>
  </w:style>
  <w:style w:type="paragraph" w:styleId="Heading3">
    <w:name w:val="heading 3"/>
    <w:basedOn w:val="Normal"/>
    <w:next w:val="Normal"/>
    <w:qFormat/>
    <w:rsid w:val="00531842"/>
    <w:pPr>
      <w:outlineLvl w:val="2"/>
    </w:pPr>
  </w:style>
  <w:style w:type="paragraph" w:styleId="Heading4">
    <w:name w:val="heading 4"/>
    <w:basedOn w:val="Normal"/>
    <w:next w:val="Normal"/>
    <w:qFormat/>
    <w:rsid w:val="00531842"/>
    <w:pPr>
      <w:outlineLvl w:val="3"/>
    </w:pPr>
  </w:style>
  <w:style w:type="paragraph" w:styleId="Heading5">
    <w:name w:val="heading 5"/>
    <w:basedOn w:val="Normal"/>
    <w:next w:val="Normal"/>
    <w:qFormat/>
    <w:rsid w:val="00531842"/>
    <w:pPr>
      <w:outlineLvl w:val="4"/>
    </w:pPr>
  </w:style>
  <w:style w:type="paragraph" w:styleId="Heading6">
    <w:name w:val="heading 6"/>
    <w:basedOn w:val="Normal"/>
    <w:next w:val="Normal"/>
    <w:qFormat/>
    <w:rsid w:val="00531842"/>
    <w:pPr>
      <w:outlineLvl w:val="5"/>
    </w:pPr>
  </w:style>
  <w:style w:type="paragraph" w:styleId="Heading7">
    <w:name w:val="heading 7"/>
    <w:basedOn w:val="Normal"/>
    <w:next w:val="Normal"/>
    <w:qFormat/>
    <w:rsid w:val="00531842"/>
    <w:pPr>
      <w:outlineLvl w:val="6"/>
    </w:pPr>
  </w:style>
  <w:style w:type="paragraph" w:styleId="Heading8">
    <w:name w:val="heading 8"/>
    <w:basedOn w:val="Normal"/>
    <w:next w:val="Normal"/>
    <w:qFormat/>
    <w:rsid w:val="00531842"/>
    <w:pPr>
      <w:outlineLvl w:val="7"/>
    </w:pPr>
  </w:style>
  <w:style w:type="paragraph" w:styleId="Heading9">
    <w:name w:val="heading 9"/>
    <w:basedOn w:val="Normal"/>
    <w:next w:val="Normal"/>
    <w:qFormat/>
    <w:rsid w:val="00531842"/>
    <w:pPr>
      <w:outlineLvl w:val="8"/>
    </w:pPr>
  </w:style>
  <w:style w:type="character" w:default="1" w:styleId="DefaultParagraphFont">
    <w:name w:val="Default Paragraph Font"/>
    <w:semiHidden/>
    <w:rsid w:val="00531842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531842"/>
  </w:style>
  <w:style w:type="paragraph" w:customStyle="1" w:styleId="HMG">
    <w:name w:val="_ H __M_G"/>
    <w:basedOn w:val="Normal"/>
    <w:next w:val="Normal"/>
    <w:rsid w:val="00531842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531842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531842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531842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531842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531842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rsid w:val="00531842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531842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531842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531842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531842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531842"/>
    <w:pPr>
      <w:numPr>
        <w:numId w:val="4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531842"/>
    <w:pPr>
      <w:numPr>
        <w:numId w:val="5"/>
      </w:numPr>
      <w:spacing w:after="120"/>
      <w:ind w:right="1134"/>
      <w:jc w:val="both"/>
    </w:pPr>
  </w:style>
  <w:style w:type="character" w:styleId="FootnoteReference">
    <w:name w:val="footnote reference"/>
    <w:aliases w:val="4_G"/>
    <w:basedOn w:val="DefaultParagraphFont"/>
    <w:rsid w:val="00531842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rsid w:val="00531842"/>
  </w:style>
  <w:style w:type="paragraph" w:styleId="Header">
    <w:name w:val="header"/>
    <w:aliases w:val="6_G"/>
    <w:basedOn w:val="Normal"/>
    <w:next w:val="Normal"/>
    <w:rsid w:val="00531842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styleId="FootnoteText">
    <w:name w:val="footnote text"/>
    <w:aliases w:val="5_G"/>
    <w:basedOn w:val="Normal"/>
    <w:rsid w:val="00531842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531842"/>
  </w:style>
  <w:style w:type="character" w:styleId="PageNumber">
    <w:name w:val="page number"/>
    <w:aliases w:val="7_G"/>
    <w:basedOn w:val="DefaultParagraphFont"/>
    <w:rsid w:val="00531842"/>
    <w:rPr>
      <w:rFonts w:ascii="Times New Roman" w:hAnsi="Times New Roman"/>
      <w:b/>
      <w:sz w:val="18"/>
      <w:lang w:val="fr-CH"/>
    </w:rPr>
  </w:style>
  <w:style w:type="paragraph" w:styleId="Footer">
    <w:name w:val="footer"/>
    <w:aliases w:val="3_G"/>
    <w:basedOn w:val="Normal"/>
    <w:next w:val="Normal"/>
    <w:rsid w:val="00531842"/>
    <w:pPr>
      <w:spacing w:line="240" w:lineRule="auto"/>
    </w:pPr>
    <w:rPr>
      <w:sz w:val="16"/>
    </w:rPr>
  </w:style>
  <w:style w:type="character" w:styleId="Hyperlink">
    <w:name w:val="Hyperlink"/>
    <w:basedOn w:val="DefaultParagraphFont"/>
    <w:semiHidden/>
    <w:rsid w:val="00531842"/>
    <w:rPr>
      <w:color w:val="0000FF"/>
      <w:u w:val="none"/>
    </w:rPr>
  </w:style>
  <w:style w:type="character" w:styleId="FollowedHyperlink">
    <w:name w:val="FollowedHyperlink"/>
    <w:basedOn w:val="DefaultParagraphFont"/>
    <w:semiHidden/>
    <w:rsid w:val="00531842"/>
    <w:rPr>
      <w:color w:val="0000FF"/>
      <w:u w:val="none"/>
    </w:rPr>
  </w:style>
  <w:style w:type="paragraph" w:customStyle="1" w:styleId="ParNoG">
    <w:name w:val="_ParNo_G"/>
    <w:basedOn w:val="SingleTxtG"/>
    <w:rsid w:val="00531842"/>
    <w:pPr>
      <w:numPr>
        <w:numId w:val="6"/>
      </w:numPr>
    </w:pPr>
  </w:style>
  <w:style w:type="table" w:styleId="TableGrid">
    <w:name w:val="Table Grid"/>
    <w:basedOn w:val="TableNormal"/>
    <w:semiHidden/>
    <w:rsid w:val="00531842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</Template>
  <TotalTime>0</TotalTime>
  <Pages>3</Pages>
  <Words>1027</Words>
  <Characters>5650</Characters>
  <Application>Microsoft Office Outlook</Application>
  <DocSecurity>4</DocSecurity>
  <Lines>47</Lines>
  <Paragraphs>13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CERD/C/JPN/Q/7-9</vt:lpstr>
    </vt:vector>
  </TitlesOfParts>
  <Company>CSD</Company>
  <LinksUpToDate>false</LinksUpToDate>
  <CharactersWithSpaces>6664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CERD/C/JPN/Q/7-9</dc:title>
  <dc:subject>FINAL</dc:subject>
  <dc:creator>Dariche</dc:creator>
  <cp:keywords/>
  <dc:description/>
  <cp:lastModifiedBy>Dariche</cp:lastModifiedBy>
  <cp:revision>2</cp:revision>
  <cp:lastPrinted>2014-06-26T12:09:00Z</cp:lastPrinted>
  <dcterms:created xsi:type="dcterms:W3CDTF">2014-06-26T12:35:00Z</dcterms:created>
  <dcterms:modified xsi:type="dcterms:W3CDTF">2014-06-26T12:35:00Z</dcterms:modified>
</cp:coreProperties>
</file>