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B77308">
        <w:trPr>
          <w:cantSplit/>
          <w:trHeight w:hRule="exact" w:val="851"/>
        </w:trPr>
        <w:tc>
          <w:tcPr>
            <w:tcW w:w="1276" w:type="dxa"/>
            <w:tcBorders>
              <w:bottom w:val="single" w:sz="4" w:space="0" w:color="auto"/>
            </w:tcBorders>
            <w:vAlign w:val="bottom"/>
          </w:tcPr>
          <w:p w:rsidR="00717266" w:rsidRDefault="00717266" w:rsidP="00B77308">
            <w:pPr>
              <w:spacing w:after="80"/>
            </w:pPr>
          </w:p>
        </w:tc>
        <w:tc>
          <w:tcPr>
            <w:tcW w:w="2268" w:type="dxa"/>
            <w:tcBorders>
              <w:bottom w:val="single" w:sz="4" w:space="0" w:color="auto"/>
            </w:tcBorders>
            <w:vAlign w:val="bottom"/>
          </w:tcPr>
          <w:p w:rsidR="00717266" w:rsidRPr="00B97172" w:rsidRDefault="00717266" w:rsidP="00B77308">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C9789E" w:rsidP="00B77308">
            <w:pPr>
              <w:spacing w:after="20"/>
              <w:jc w:val="right"/>
            </w:pPr>
            <w:r w:rsidRPr="00C9789E">
              <w:rPr>
                <w:sz w:val="40"/>
              </w:rPr>
              <w:t>E</w:t>
            </w:r>
            <w:r>
              <w:t>/C.12/NZL/4</w:t>
            </w:r>
          </w:p>
        </w:tc>
      </w:tr>
      <w:tr w:rsidR="00717266" w:rsidTr="00B77308">
        <w:trPr>
          <w:cantSplit/>
          <w:trHeight w:hRule="exact" w:val="2835"/>
        </w:trPr>
        <w:tc>
          <w:tcPr>
            <w:tcW w:w="1276" w:type="dxa"/>
            <w:tcBorders>
              <w:top w:val="single" w:sz="4" w:space="0" w:color="auto"/>
              <w:bottom w:val="single" w:sz="12" w:space="0" w:color="auto"/>
            </w:tcBorders>
          </w:tcPr>
          <w:p w:rsidR="00717266" w:rsidRDefault="00717266" w:rsidP="00B77308">
            <w:pPr>
              <w:spacing w:before="120"/>
            </w:pPr>
            <w:r>
              <w:rPr>
                <w:noProof/>
                <w:lang w:eastAsia="en-GB"/>
              </w:rPr>
              <w:drawing>
                <wp:inline distT="0" distB="0" distL="0" distR="0" wp14:anchorId="72310D29" wp14:editId="5ED2DEC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B77308">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C9789E" w:rsidP="00B77308">
            <w:pPr>
              <w:spacing w:before="240" w:line="240" w:lineRule="exact"/>
            </w:pPr>
            <w:r>
              <w:t>Distr.: General</w:t>
            </w:r>
          </w:p>
          <w:p w:rsidR="00C9789E" w:rsidRDefault="00963B49" w:rsidP="00B77308">
            <w:r>
              <w:t>6</w:t>
            </w:r>
            <w:r w:rsidR="0023775B">
              <w:t xml:space="preserve"> </w:t>
            </w:r>
            <w:r w:rsidR="00384249">
              <w:t>Octo</w:t>
            </w:r>
            <w:r w:rsidR="00C9789E">
              <w:t>ber 2017</w:t>
            </w:r>
          </w:p>
          <w:p w:rsidR="00C9789E" w:rsidRDefault="00C9789E" w:rsidP="00B77308"/>
          <w:p w:rsidR="00C9789E" w:rsidRDefault="00C9789E" w:rsidP="00B77308">
            <w:r>
              <w:t>Original: English</w:t>
            </w:r>
          </w:p>
          <w:p w:rsidR="00C9789E" w:rsidRDefault="00C9789E" w:rsidP="00B77308">
            <w:r w:rsidRPr="00F62F1C">
              <w:t>English, French and Spanish only</w:t>
            </w:r>
          </w:p>
        </w:tc>
      </w:tr>
    </w:tbl>
    <w:p w:rsidR="00C9789E" w:rsidRPr="00C9789E" w:rsidRDefault="00C9789E" w:rsidP="00C9789E">
      <w:pPr>
        <w:spacing w:before="120"/>
        <w:rPr>
          <w:b/>
          <w:sz w:val="24"/>
        </w:rPr>
      </w:pPr>
      <w:r w:rsidRPr="00C9789E">
        <w:rPr>
          <w:b/>
          <w:sz w:val="24"/>
        </w:rPr>
        <w:t>Committee on Economic, Social and Cultural Rights</w:t>
      </w:r>
    </w:p>
    <w:p w:rsidR="00C9789E" w:rsidRPr="00F62F1C" w:rsidRDefault="00C9789E" w:rsidP="00C9789E">
      <w:pPr>
        <w:pStyle w:val="HMG"/>
      </w:pPr>
      <w:r w:rsidRPr="00F62F1C">
        <w:tab/>
      </w:r>
      <w:r w:rsidRPr="00F62F1C">
        <w:tab/>
        <w:t xml:space="preserve">Fourth periodic report submitted by New Zealand under articles 16 and 17 of the Covenant, </w:t>
      </w:r>
      <w:r w:rsidR="00890CFD">
        <w:br/>
      </w:r>
      <w:r w:rsidRPr="00F62F1C">
        <w:t>due in 2017</w:t>
      </w:r>
      <w:r w:rsidRPr="00C9789E">
        <w:rPr>
          <w:rStyle w:val="FootnoteReference"/>
          <w:b w:val="0"/>
          <w:sz w:val="20"/>
          <w:vertAlign w:val="baseline"/>
        </w:rPr>
        <w:footnoteReference w:customMarkFollows="1" w:id="1"/>
        <w:t>*</w:t>
      </w:r>
    </w:p>
    <w:p w:rsidR="00C9789E" w:rsidRPr="00F62F1C" w:rsidRDefault="00C9789E" w:rsidP="00C9789E">
      <w:pPr>
        <w:pStyle w:val="SingleTxtG"/>
        <w:jc w:val="right"/>
      </w:pPr>
      <w:bookmarkStart w:id="0" w:name="_GoBack"/>
      <w:r w:rsidRPr="00F62F1C">
        <w:t>[</w:t>
      </w:r>
      <w:bookmarkEnd w:id="0"/>
      <w:r w:rsidRPr="00F62F1C">
        <w:t>Date received: 17 August 2017]</w:t>
      </w:r>
    </w:p>
    <w:p w:rsidR="00C9789E" w:rsidRDefault="00C9789E" w:rsidP="00C9789E">
      <w:pPr>
        <w:spacing w:after="120"/>
        <w:rPr>
          <w:sz w:val="28"/>
        </w:rPr>
      </w:pPr>
      <w:r w:rsidRPr="00F62F1C">
        <w:br w:type="page"/>
      </w:r>
      <w:r>
        <w:rPr>
          <w:sz w:val="28"/>
        </w:rPr>
        <w:lastRenderedPageBreak/>
        <w:t>Contents</w:t>
      </w:r>
    </w:p>
    <w:p w:rsidR="00C9789E" w:rsidRDefault="00C9789E" w:rsidP="00C9789E">
      <w:pPr>
        <w:tabs>
          <w:tab w:val="right" w:pos="9638"/>
        </w:tabs>
        <w:spacing w:after="120"/>
        <w:ind w:left="283"/>
        <w:rPr>
          <w:sz w:val="18"/>
        </w:rPr>
      </w:pPr>
      <w:r>
        <w:rPr>
          <w:i/>
          <w:sz w:val="18"/>
        </w:rPr>
        <w:tab/>
        <w:t>Page</w:t>
      </w:r>
    </w:p>
    <w:p w:rsidR="00F609E5" w:rsidRDefault="00F609E5" w:rsidP="00F609E5">
      <w:pPr>
        <w:tabs>
          <w:tab w:val="right" w:pos="850"/>
          <w:tab w:val="left" w:pos="1134"/>
          <w:tab w:val="left" w:pos="1559"/>
          <w:tab w:val="left" w:pos="1984"/>
          <w:tab w:val="left" w:leader="dot" w:pos="8787"/>
          <w:tab w:val="right" w:pos="9638"/>
        </w:tabs>
        <w:spacing w:after="120"/>
      </w:pPr>
      <w:r>
        <w:tab/>
        <w:t>I.</w:t>
      </w:r>
      <w:r>
        <w:tab/>
        <w:t>Introduction</w:t>
      </w:r>
      <w:r>
        <w:tab/>
      </w:r>
      <w:r w:rsidR="00B73031">
        <w:tab/>
      </w:r>
      <w:r>
        <w:t>3</w:t>
      </w:r>
    </w:p>
    <w:p w:rsidR="00F609E5" w:rsidRDefault="00B73031" w:rsidP="00F609E5">
      <w:pPr>
        <w:tabs>
          <w:tab w:val="right" w:pos="850"/>
          <w:tab w:val="left" w:pos="1134"/>
          <w:tab w:val="left" w:pos="1559"/>
          <w:tab w:val="left" w:pos="1984"/>
          <w:tab w:val="left" w:leader="dot" w:pos="8787"/>
          <w:tab w:val="right" w:pos="9638"/>
        </w:tabs>
        <w:spacing w:after="120"/>
      </w:pPr>
      <w:r>
        <w:tab/>
      </w:r>
      <w:r w:rsidR="00F609E5">
        <w:t>II.</w:t>
      </w:r>
      <w:r w:rsidR="00F609E5">
        <w:tab/>
        <w:t>Issues of particular relevance</w:t>
      </w:r>
      <w:r w:rsidR="00F609E5">
        <w:tab/>
      </w:r>
      <w:r>
        <w:tab/>
      </w:r>
      <w:r w:rsidR="00F609E5">
        <w:t>3</w:t>
      </w:r>
    </w:p>
    <w:p w:rsidR="00F609E5" w:rsidRDefault="00B73031" w:rsidP="00F609E5">
      <w:pPr>
        <w:tabs>
          <w:tab w:val="right" w:pos="850"/>
          <w:tab w:val="left" w:pos="1134"/>
          <w:tab w:val="left" w:pos="1559"/>
          <w:tab w:val="left" w:pos="1984"/>
          <w:tab w:val="left" w:leader="dot" w:pos="8787"/>
          <w:tab w:val="right" w:pos="9638"/>
        </w:tabs>
        <w:spacing w:after="120"/>
      </w:pPr>
      <w:r>
        <w:tab/>
      </w:r>
      <w:r w:rsidR="00F609E5">
        <w:t>III.</w:t>
      </w:r>
      <w:r w:rsidR="00F609E5">
        <w:tab/>
        <w:t>Implementation of the Covenant</w:t>
      </w:r>
      <w:r w:rsidR="00F609E5">
        <w:tab/>
      </w:r>
      <w:r>
        <w:tab/>
      </w:r>
      <w:r w:rsidR="00F609E5">
        <w:t>16</w:t>
      </w:r>
    </w:p>
    <w:p w:rsidR="00F609E5" w:rsidRDefault="00B73031" w:rsidP="00F609E5">
      <w:pPr>
        <w:tabs>
          <w:tab w:val="right" w:pos="850"/>
          <w:tab w:val="left" w:pos="1134"/>
          <w:tab w:val="left" w:pos="1559"/>
          <w:tab w:val="left" w:pos="1984"/>
          <w:tab w:val="left" w:leader="dot" w:pos="8787"/>
          <w:tab w:val="right" w:pos="9638"/>
        </w:tabs>
        <w:spacing w:after="120"/>
      </w:pPr>
      <w:r>
        <w:tab/>
      </w:r>
      <w:r>
        <w:tab/>
      </w:r>
      <w:r w:rsidR="00F609E5">
        <w:t>A.</w:t>
      </w:r>
      <w:r w:rsidR="00F609E5">
        <w:tab/>
        <w:t>Article 1 (2) — Right to freely dispose of natural wealth and resources</w:t>
      </w:r>
      <w:r w:rsidR="00F609E5">
        <w:tab/>
      </w:r>
      <w:r>
        <w:tab/>
      </w:r>
      <w:r w:rsidR="00F609E5">
        <w:t>16</w:t>
      </w:r>
    </w:p>
    <w:p w:rsidR="00F609E5" w:rsidRDefault="00B73031" w:rsidP="00F609E5">
      <w:pPr>
        <w:tabs>
          <w:tab w:val="right" w:pos="850"/>
          <w:tab w:val="left" w:pos="1134"/>
          <w:tab w:val="left" w:pos="1559"/>
          <w:tab w:val="left" w:pos="1984"/>
          <w:tab w:val="left" w:leader="dot" w:pos="8787"/>
          <w:tab w:val="right" w:pos="9638"/>
        </w:tabs>
        <w:spacing w:after="120"/>
      </w:pPr>
      <w:r>
        <w:tab/>
      </w:r>
      <w:r>
        <w:tab/>
      </w:r>
      <w:r w:rsidR="00F609E5">
        <w:t>B.</w:t>
      </w:r>
      <w:r w:rsidR="00F609E5">
        <w:tab/>
        <w:t>Article 2 (1) — Obligation to take steps to the maximum of available resources</w:t>
      </w:r>
      <w:r w:rsidR="00F609E5">
        <w:tab/>
      </w:r>
      <w:r>
        <w:tab/>
      </w:r>
      <w:r w:rsidR="00F609E5">
        <w:t>18</w:t>
      </w:r>
    </w:p>
    <w:p w:rsidR="00F609E5" w:rsidRDefault="00B73031" w:rsidP="00F609E5">
      <w:pPr>
        <w:tabs>
          <w:tab w:val="right" w:pos="850"/>
          <w:tab w:val="left" w:pos="1134"/>
          <w:tab w:val="left" w:pos="1559"/>
          <w:tab w:val="left" w:pos="1984"/>
          <w:tab w:val="left" w:leader="dot" w:pos="8787"/>
          <w:tab w:val="right" w:pos="9638"/>
        </w:tabs>
        <w:spacing w:after="120"/>
      </w:pPr>
      <w:r>
        <w:tab/>
      </w:r>
      <w:r>
        <w:tab/>
      </w:r>
      <w:r w:rsidR="00F609E5">
        <w:t>C.</w:t>
      </w:r>
      <w:r w:rsidR="00F609E5">
        <w:tab/>
        <w:t>Article 2 (2) — Non-discrimination</w:t>
      </w:r>
      <w:r w:rsidR="00F609E5">
        <w:tab/>
      </w:r>
      <w:r>
        <w:tab/>
      </w:r>
      <w:r w:rsidR="00F609E5">
        <w:t>20</w:t>
      </w:r>
    </w:p>
    <w:p w:rsidR="00F609E5" w:rsidRDefault="00B73031" w:rsidP="00F609E5">
      <w:pPr>
        <w:tabs>
          <w:tab w:val="right" w:pos="850"/>
          <w:tab w:val="left" w:pos="1134"/>
          <w:tab w:val="left" w:pos="1559"/>
          <w:tab w:val="left" w:pos="1984"/>
          <w:tab w:val="left" w:leader="dot" w:pos="8787"/>
          <w:tab w:val="right" w:pos="9638"/>
        </w:tabs>
        <w:spacing w:after="120"/>
      </w:pPr>
      <w:r>
        <w:tab/>
      </w:r>
      <w:r>
        <w:tab/>
      </w:r>
      <w:r w:rsidR="00F609E5">
        <w:t>D.</w:t>
      </w:r>
      <w:r w:rsidR="00F609E5">
        <w:tab/>
        <w:t>Article 3 — Equal rights of men and women</w:t>
      </w:r>
      <w:r w:rsidR="00F609E5">
        <w:tab/>
      </w:r>
      <w:r>
        <w:tab/>
      </w:r>
      <w:r w:rsidR="00F609E5">
        <w:t>22</w:t>
      </w:r>
    </w:p>
    <w:p w:rsidR="00F609E5" w:rsidRDefault="00B73031" w:rsidP="00F609E5">
      <w:pPr>
        <w:tabs>
          <w:tab w:val="right" w:pos="850"/>
          <w:tab w:val="left" w:pos="1134"/>
          <w:tab w:val="left" w:pos="1559"/>
          <w:tab w:val="left" w:pos="1984"/>
          <w:tab w:val="left" w:leader="dot" w:pos="8787"/>
          <w:tab w:val="right" w:pos="9638"/>
        </w:tabs>
        <w:spacing w:after="120"/>
      </w:pPr>
      <w:r>
        <w:tab/>
      </w:r>
      <w:r>
        <w:tab/>
      </w:r>
      <w:r w:rsidR="00F609E5">
        <w:t>E.</w:t>
      </w:r>
      <w:r w:rsidR="00F609E5">
        <w:tab/>
        <w:t>Article 6 — Right to work</w:t>
      </w:r>
      <w:r w:rsidR="00F609E5">
        <w:tab/>
      </w:r>
      <w:r>
        <w:tab/>
      </w:r>
      <w:r w:rsidR="00F609E5">
        <w:t>23</w:t>
      </w:r>
    </w:p>
    <w:p w:rsidR="00F609E5" w:rsidRDefault="00B73031" w:rsidP="00F609E5">
      <w:pPr>
        <w:tabs>
          <w:tab w:val="right" w:pos="850"/>
          <w:tab w:val="left" w:pos="1134"/>
          <w:tab w:val="left" w:pos="1559"/>
          <w:tab w:val="left" w:pos="1984"/>
          <w:tab w:val="left" w:leader="dot" w:pos="8787"/>
          <w:tab w:val="right" w:pos="9638"/>
        </w:tabs>
        <w:spacing w:after="120"/>
      </w:pPr>
      <w:r>
        <w:tab/>
      </w:r>
      <w:r>
        <w:tab/>
      </w:r>
      <w:r w:rsidR="00F609E5">
        <w:t>F.</w:t>
      </w:r>
      <w:r w:rsidR="00F609E5">
        <w:tab/>
        <w:t>Article 7 — Right to just and favourable conditions of work</w:t>
      </w:r>
      <w:r w:rsidR="00F609E5">
        <w:tab/>
      </w:r>
      <w:r>
        <w:tab/>
      </w:r>
      <w:r w:rsidR="00F609E5">
        <w:t>28</w:t>
      </w:r>
    </w:p>
    <w:p w:rsidR="00F609E5" w:rsidRDefault="00B73031" w:rsidP="00F609E5">
      <w:pPr>
        <w:tabs>
          <w:tab w:val="right" w:pos="850"/>
          <w:tab w:val="left" w:pos="1134"/>
          <w:tab w:val="left" w:pos="1559"/>
          <w:tab w:val="left" w:pos="1984"/>
          <w:tab w:val="left" w:leader="dot" w:pos="8787"/>
          <w:tab w:val="right" w:pos="9638"/>
        </w:tabs>
        <w:spacing w:after="120"/>
      </w:pPr>
      <w:r>
        <w:tab/>
      </w:r>
      <w:r>
        <w:tab/>
      </w:r>
      <w:r w:rsidR="00F609E5">
        <w:t>G.</w:t>
      </w:r>
      <w:r w:rsidR="00F609E5">
        <w:tab/>
        <w:t>Article 8 — Trade Union Rights</w:t>
      </w:r>
      <w:r w:rsidR="00F609E5">
        <w:tab/>
      </w:r>
      <w:r>
        <w:tab/>
      </w:r>
      <w:r w:rsidR="00F609E5">
        <w:t>31</w:t>
      </w:r>
    </w:p>
    <w:p w:rsidR="00F609E5" w:rsidRDefault="00B73031" w:rsidP="00F609E5">
      <w:pPr>
        <w:tabs>
          <w:tab w:val="right" w:pos="850"/>
          <w:tab w:val="left" w:pos="1134"/>
          <w:tab w:val="left" w:pos="1559"/>
          <w:tab w:val="left" w:pos="1984"/>
          <w:tab w:val="left" w:leader="dot" w:pos="8787"/>
          <w:tab w:val="right" w:pos="9638"/>
        </w:tabs>
        <w:spacing w:after="120"/>
      </w:pPr>
      <w:r>
        <w:tab/>
      </w:r>
      <w:r>
        <w:tab/>
      </w:r>
      <w:r w:rsidR="00F609E5">
        <w:t>H.</w:t>
      </w:r>
      <w:r w:rsidR="00F609E5">
        <w:tab/>
        <w:t>Article 9 — Right to social security</w:t>
      </w:r>
      <w:r w:rsidR="00F609E5">
        <w:tab/>
      </w:r>
      <w:r>
        <w:tab/>
      </w:r>
      <w:r w:rsidR="00F609E5">
        <w:t>31</w:t>
      </w:r>
    </w:p>
    <w:p w:rsidR="00F609E5" w:rsidRDefault="00B73031" w:rsidP="00F609E5">
      <w:pPr>
        <w:tabs>
          <w:tab w:val="right" w:pos="850"/>
          <w:tab w:val="left" w:pos="1134"/>
          <w:tab w:val="left" w:pos="1559"/>
          <w:tab w:val="left" w:pos="1984"/>
          <w:tab w:val="left" w:leader="dot" w:pos="8787"/>
          <w:tab w:val="right" w:pos="9638"/>
        </w:tabs>
        <w:spacing w:after="120"/>
      </w:pPr>
      <w:r>
        <w:tab/>
      </w:r>
      <w:r>
        <w:tab/>
      </w:r>
      <w:r w:rsidR="00F609E5">
        <w:t>I.</w:t>
      </w:r>
      <w:r w:rsidR="00F609E5">
        <w:tab/>
        <w:t>Article 11 — Right to an adequate standard of living</w:t>
      </w:r>
      <w:r w:rsidR="00F609E5">
        <w:tab/>
      </w:r>
      <w:r>
        <w:tab/>
      </w:r>
      <w:r w:rsidR="00F609E5">
        <w:t>32</w:t>
      </w:r>
    </w:p>
    <w:p w:rsidR="00F609E5" w:rsidRDefault="00B73031" w:rsidP="00F609E5">
      <w:pPr>
        <w:tabs>
          <w:tab w:val="right" w:pos="850"/>
          <w:tab w:val="left" w:pos="1134"/>
          <w:tab w:val="left" w:pos="1559"/>
          <w:tab w:val="left" w:pos="1984"/>
          <w:tab w:val="left" w:leader="dot" w:pos="8787"/>
          <w:tab w:val="right" w:pos="9638"/>
        </w:tabs>
        <w:spacing w:after="120"/>
      </w:pPr>
      <w:r>
        <w:tab/>
      </w:r>
      <w:r>
        <w:tab/>
      </w:r>
      <w:r w:rsidR="00F609E5">
        <w:t>J.</w:t>
      </w:r>
      <w:r w:rsidR="00F609E5">
        <w:tab/>
        <w:t>Article 12 — Right to physical and mental health</w:t>
      </w:r>
      <w:r w:rsidR="00F609E5">
        <w:tab/>
      </w:r>
      <w:r>
        <w:tab/>
      </w:r>
      <w:r w:rsidR="00F609E5">
        <w:t>38</w:t>
      </w:r>
    </w:p>
    <w:p w:rsidR="00F609E5" w:rsidRDefault="00B73031" w:rsidP="00F609E5">
      <w:pPr>
        <w:tabs>
          <w:tab w:val="right" w:pos="850"/>
          <w:tab w:val="left" w:pos="1134"/>
          <w:tab w:val="left" w:pos="1559"/>
          <w:tab w:val="left" w:pos="1984"/>
          <w:tab w:val="left" w:leader="dot" w:pos="8787"/>
          <w:tab w:val="right" w:pos="9638"/>
        </w:tabs>
        <w:spacing w:after="120"/>
      </w:pPr>
      <w:r>
        <w:tab/>
      </w:r>
      <w:r>
        <w:tab/>
      </w:r>
      <w:r w:rsidR="00F609E5">
        <w:t>K.</w:t>
      </w:r>
      <w:r w:rsidR="00F609E5">
        <w:tab/>
        <w:t>Articles 13 and 14 — Right to education</w:t>
      </w:r>
      <w:r w:rsidR="00F609E5">
        <w:tab/>
      </w:r>
      <w:r>
        <w:tab/>
      </w:r>
      <w:r w:rsidR="00F609E5">
        <w:t>41</w:t>
      </w:r>
    </w:p>
    <w:p w:rsidR="00F609E5" w:rsidRDefault="00B73031" w:rsidP="00F609E5">
      <w:pPr>
        <w:tabs>
          <w:tab w:val="right" w:pos="850"/>
          <w:tab w:val="left" w:pos="1134"/>
          <w:tab w:val="left" w:pos="1559"/>
          <w:tab w:val="left" w:pos="1984"/>
          <w:tab w:val="left" w:leader="dot" w:pos="8787"/>
          <w:tab w:val="right" w:pos="9638"/>
        </w:tabs>
        <w:spacing w:after="120"/>
      </w:pPr>
      <w:r>
        <w:tab/>
      </w:r>
      <w:r w:rsidR="00F609E5">
        <w:t>IV.</w:t>
      </w:r>
      <w:r w:rsidR="00F609E5">
        <w:tab/>
        <w:t>Good practices</w:t>
      </w:r>
      <w:r w:rsidR="00F609E5">
        <w:tab/>
      </w:r>
      <w:r>
        <w:tab/>
      </w:r>
      <w:r w:rsidR="00F609E5">
        <w:t>42</w:t>
      </w:r>
    </w:p>
    <w:p w:rsidR="0099212A" w:rsidRDefault="0099212A" w:rsidP="00F609E5">
      <w:pPr>
        <w:tabs>
          <w:tab w:val="right" w:pos="850"/>
          <w:tab w:val="left" w:pos="1134"/>
          <w:tab w:val="left" w:pos="1559"/>
          <w:tab w:val="left" w:pos="1984"/>
          <w:tab w:val="left" w:leader="dot" w:pos="8787"/>
          <w:tab w:val="right" w:pos="9638"/>
        </w:tabs>
        <w:spacing w:after="120"/>
      </w:pPr>
      <w:r>
        <w:tab/>
        <w:t xml:space="preserve">Annex </w:t>
      </w:r>
      <w:r>
        <w:rPr>
          <w:rStyle w:val="FootnoteReference"/>
        </w:rPr>
        <w:footnoteReference w:customMarkFollows="1" w:id="2"/>
        <w:t>**</w:t>
      </w:r>
    </w:p>
    <w:p w:rsidR="00C9789E" w:rsidRPr="00F62F1C" w:rsidRDefault="00C9789E" w:rsidP="00F609E5">
      <w:pPr>
        <w:pStyle w:val="HChG"/>
      </w:pPr>
      <w:r w:rsidRPr="00F62F1C">
        <w:br w:type="page"/>
      </w:r>
      <w:r w:rsidRPr="00F62F1C">
        <w:lastRenderedPageBreak/>
        <w:tab/>
      </w:r>
      <w:bookmarkStart w:id="1" w:name="_Toc494359750"/>
      <w:r w:rsidRPr="00F62F1C">
        <w:t>I.</w:t>
      </w:r>
      <w:r w:rsidRPr="00F62F1C">
        <w:tab/>
        <w:t>Introduction</w:t>
      </w:r>
      <w:bookmarkEnd w:id="1"/>
    </w:p>
    <w:p w:rsidR="00C9789E" w:rsidRPr="00F62F1C" w:rsidRDefault="00C9789E" w:rsidP="00706221">
      <w:pPr>
        <w:pStyle w:val="SingleTxtG"/>
      </w:pPr>
      <w:r w:rsidRPr="00F62F1C">
        <w:t>1.</w:t>
      </w:r>
      <w:r w:rsidRPr="00F62F1C">
        <w:tab/>
        <w:t>The Government of New Zealand is pleased to present its fourth periodic report to the United Nations Committee on Economic, Social and Cultural Rights (</w:t>
      </w:r>
      <w:r w:rsidR="00C8602C">
        <w:t>“</w:t>
      </w:r>
      <w:r w:rsidRPr="00F62F1C">
        <w:t>the Committee</w:t>
      </w:r>
      <w:r w:rsidR="00C8602C">
        <w:t>”</w:t>
      </w:r>
      <w:r w:rsidRPr="00F62F1C">
        <w:t>), under articles</w:t>
      </w:r>
      <w:r w:rsidR="000C03A3">
        <w:t xml:space="preserve"> </w:t>
      </w:r>
      <w:r w:rsidRPr="00F62F1C">
        <w:t>16 and 17 of the International Covenant on Economic, Social and Cultural Rights (the Covenant). The Report covers the period from January 2011 to May 2017.</w:t>
      </w:r>
    </w:p>
    <w:p w:rsidR="00C9789E" w:rsidRPr="00F62F1C" w:rsidRDefault="00C9789E" w:rsidP="00706221">
      <w:pPr>
        <w:pStyle w:val="SingleTxtG"/>
      </w:pPr>
      <w:r w:rsidRPr="00F62F1C">
        <w:t>2.</w:t>
      </w:r>
      <w:r w:rsidRPr="00F62F1C">
        <w:tab/>
        <w:t>The Report is prepared under the simplified reporting procedure (Res. 68/268) and responds, in sequential order, to the Committee</w:t>
      </w:r>
      <w:r w:rsidR="00D34D95">
        <w:t>’</w:t>
      </w:r>
      <w:r w:rsidRPr="00F62F1C">
        <w:t>s list of issues prepared prior to the submission of this Report (E/C.12/NZL/QPR/4).</w:t>
      </w:r>
      <w:r w:rsidR="0023775B">
        <w:t xml:space="preserve"> </w:t>
      </w:r>
      <w:r w:rsidRPr="00F62F1C">
        <w:t xml:space="preserve">The Report should be read with reference to the core document of New Zealand (HRI/CORE/1/Add.33). </w:t>
      </w:r>
    </w:p>
    <w:p w:rsidR="00C9789E" w:rsidRPr="00F62F1C" w:rsidRDefault="00C9789E" w:rsidP="00706221">
      <w:pPr>
        <w:pStyle w:val="SingleTxtG"/>
      </w:pPr>
      <w:r w:rsidRPr="00F62F1C">
        <w:t>3.</w:t>
      </w:r>
      <w:r w:rsidRPr="00F62F1C">
        <w:tab/>
        <w:t>Information about Parliament, the courts, and Government activity is readily available at www.govt.nz. Legislation referred to in this report can be found at www.legislation.govt.nz.</w:t>
      </w:r>
    </w:p>
    <w:p w:rsidR="00C9789E" w:rsidRPr="00F62F1C" w:rsidRDefault="00C9789E" w:rsidP="00706221">
      <w:pPr>
        <w:pStyle w:val="HChG"/>
      </w:pPr>
      <w:bookmarkStart w:id="2" w:name="_Toc456855160"/>
      <w:r w:rsidRPr="00F62F1C">
        <w:tab/>
      </w:r>
      <w:bookmarkStart w:id="3" w:name="_Toc494359751"/>
      <w:r w:rsidRPr="00F62F1C">
        <w:t>II.</w:t>
      </w:r>
      <w:r w:rsidRPr="00F62F1C">
        <w:tab/>
        <w:t>Issues of particular relevance</w:t>
      </w:r>
      <w:bookmarkEnd w:id="3"/>
      <w:r w:rsidRPr="00F62F1C">
        <w:t xml:space="preserve"> </w:t>
      </w:r>
      <w:bookmarkEnd w:id="2"/>
    </w:p>
    <w:p w:rsidR="00C9789E" w:rsidRPr="00F62F1C" w:rsidRDefault="00C9789E" w:rsidP="00706221">
      <w:pPr>
        <w:pStyle w:val="H1G"/>
      </w:pPr>
      <w:r w:rsidRPr="00F62F1C">
        <w:tab/>
      </w:r>
      <w:r w:rsidRPr="00F62F1C">
        <w:tab/>
      </w:r>
      <w:bookmarkStart w:id="4" w:name="_Toc494359752"/>
      <w:r w:rsidRPr="00F62F1C">
        <w:t>Constitutional Review Process</w:t>
      </w:r>
      <w:bookmarkEnd w:id="4"/>
    </w:p>
    <w:p w:rsidR="00C9789E" w:rsidRPr="00F62F1C" w:rsidRDefault="00C9789E" w:rsidP="00706221">
      <w:pPr>
        <w:pStyle w:val="SingleTxtG"/>
      </w:pPr>
      <w:r w:rsidRPr="00F62F1C">
        <w:t>4.</w:t>
      </w:r>
      <w:r w:rsidRPr="00F62F1C">
        <w:tab/>
        <w:t>An independent Constitutional Advisory Panel (the Panel) was appointed in 2010 to consider constitutional issues, including the status of the New Zealand Bill of Rights Act 1990 (NZBORA). The Panel reported to Government in December 2013.</w:t>
      </w:r>
      <w:r w:rsidRPr="00706221">
        <w:rPr>
          <w:rStyle w:val="FootnoteReference"/>
        </w:rPr>
        <w:footnoteReference w:id="3"/>
      </w:r>
      <w:r w:rsidRPr="00F62F1C">
        <w:t xml:space="preserve"> </w:t>
      </w:r>
    </w:p>
    <w:p w:rsidR="00C9789E" w:rsidRPr="00F62F1C" w:rsidRDefault="00C9789E" w:rsidP="00706221">
      <w:pPr>
        <w:pStyle w:val="SingleTxtG"/>
      </w:pPr>
      <w:r w:rsidRPr="00F62F1C">
        <w:t>5.</w:t>
      </w:r>
      <w:r w:rsidRPr="00F62F1C">
        <w:tab/>
        <w:t>A common theme throughout the report is that people need more information and need to be more involved in discussions about constitutional issues.</w:t>
      </w:r>
      <w:r w:rsidR="0023775B">
        <w:t xml:space="preserve"> </w:t>
      </w:r>
      <w:r w:rsidRPr="00F62F1C">
        <w:t>The report</w:t>
      </w:r>
      <w:r w:rsidR="00D34D95">
        <w:t>’</w:t>
      </w:r>
      <w:r w:rsidRPr="00F62F1C">
        <w:t xml:space="preserve">s key recommendation is for the Government to actively support a continuing conversation about the constitution. </w:t>
      </w:r>
    </w:p>
    <w:p w:rsidR="00C9789E" w:rsidRPr="00F62F1C" w:rsidRDefault="00C9789E" w:rsidP="00706221">
      <w:pPr>
        <w:pStyle w:val="H23G"/>
      </w:pPr>
      <w:r w:rsidRPr="00F62F1C">
        <w:tab/>
      </w:r>
      <w:r w:rsidRPr="00F62F1C">
        <w:tab/>
        <w:t>New Zealand Bill of Rights Act 1990</w:t>
      </w:r>
    </w:p>
    <w:p w:rsidR="00C9789E" w:rsidRPr="00F62F1C" w:rsidRDefault="00C9789E" w:rsidP="00706221">
      <w:pPr>
        <w:pStyle w:val="SingleTxtG"/>
      </w:pPr>
      <w:r w:rsidRPr="00F62F1C">
        <w:t>6.</w:t>
      </w:r>
      <w:r w:rsidRPr="00F62F1C">
        <w:tab/>
        <w:t>The Panel found broad support for exploring changes to the NZBORA and enhancing mechanisms for ensuring compliance with the standards set in the Act.</w:t>
      </w:r>
    </w:p>
    <w:p w:rsidR="00C9789E" w:rsidRPr="00F62F1C" w:rsidRDefault="00C9789E" w:rsidP="00706221">
      <w:pPr>
        <w:pStyle w:val="SingleTxtG"/>
      </w:pPr>
      <w:r w:rsidRPr="00F62F1C">
        <w:t>7.</w:t>
      </w:r>
      <w:r w:rsidRPr="00F62F1C">
        <w:tab/>
        <w:t>Ideas the Panel suggested be explored include adding economic, social and cultural rights, improving compliance by the Executive and Parliament with the standards in the Act, and giving the Judiciary powers to assess legislation for consistency with the Act.</w:t>
      </w:r>
    </w:p>
    <w:p w:rsidR="00C9789E" w:rsidRPr="00F62F1C" w:rsidRDefault="00C9789E" w:rsidP="00706221">
      <w:pPr>
        <w:pStyle w:val="SingleTxtG"/>
      </w:pPr>
      <w:r w:rsidRPr="00F62F1C">
        <w:t>8.</w:t>
      </w:r>
      <w:r w:rsidRPr="00F62F1C">
        <w:tab/>
        <w:t>The Government has no plans to review the NZBORA at this stage. The Panel</w:t>
      </w:r>
      <w:r w:rsidR="00D34D95">
        <w:t>’</w:t>
      </w:r>
      <w:r w:rsidRPr="00F62F1C">
        <w:t>s recommendations will be a useful starting point if such a review takes place in the future.</w:t>
      </w:r>
    </w:p>
    <w:p w:rsidR="00C9789E" w:rsidRPr="00F62F1C" w:rsidRDefault="00C9789E" w:rsidP="00706221">
      <w:pPr>
        <w:pStyle w:val="H23G"/>
      </w:pPr>
      <w:r w:rsidRPr="00F62F1C">
        <w:tab/>
      </w:r>
      <w:r w:rsidRPr="00F62F1C">
        <w:tab/>
        <w:t>The role of the Treaty of Waitangi</w:t>
      </w:r>
    </w:p>
    <w:p w:rsidR="00C9789E" w:rsidRPr="00F62F1C" w:rsidRDefault="00C9789E" w:rsidP="00706221">
      <w:pPr>
        <w:pStyle w:val="SingleTxtG"/>
      </w:pPr>
      <w:r w:rsidRPr="00F62F1C">
        <w:t>9.</w:t>
      </w:r>
      <w:r w:rsidRPr="00F62F1C">
        <w:tab/>
        <w:t>The Panel stressed the need to continue the conversation about the place of the Treaty of Waitangi in our constitution.</w:t>
      </w:r>
      <w:r w:rsidR="0023775B">
        <w:t xml:space="preserve"> </w:t>
      </w:r>
      <w:r w:rsidRPr="00F62F1C">
        <w:t>It recommended a Treaty education strategy be developed that includes the current role and status of the Treaty and the Treaty settlement process so people can inform themselves about the rights and obligations under the Treaty.</w:t>
      </w:r>
    </w:p>
    <w:p w:rsidR="00C9789E" w:rsidRPr="00F62F1C" w:rsidRDefault="00C9789E" w:rsidP="00706221">
      <w:pPr>
        <w:pStyle w:val="SingleTxtG"/>
      </w:pPr>
      <w:r w:rsidRPr="00F62F1C">
        <w:t>10.</w:t>
      </w:r>
      <w:r w:rsidRPr="00F62F1C">
        <w:tab/>
        <w:t>Education about the Treaty is a formal part of the New Zealand Curriculum and the national conversation about its place in our constitutional arrangements is ongoing.</w:t>
      </w:r>
    </w:p>
    <w:p w:rsidR="00C9789E" w:rsidRPr="00F62F1C" w:rsidRDefault="00C9789E" w:rsidP="0023775B">
      <w:pPr>
        <w:pStyle w:val="H4G"/>
      </w:pPr>
      <w:r w:rsidRPr="00F62F1C">
        <w:tab/>
      </w:r>
      <w:r w:rsidRPr="00F62F1C">
        <w:tab/>
        <w:t>Ensuring laws are consistent with human rights treaties, the NZBORA and the Treaty of Waitangi</w:t>
      </w:r>
    </w:p>
    <w:p w:rsidR="00C9789E" w:rsidRPr="00F62F1C" w:rsidRDefault="00C9789E" w:rsidP="00706221">
      <w:pPr>
        <w:pStyle w:val="SingleTxtG"/>
      </w:pPr>
      <w:r w:rsidRPr="00F62F1C">
        <w:t>11.</w:t>
      </w:r>
      <w:r w:rsidRPr="00F62F1C">
        <w:tab/>
        <w:t>New Zealand recognises the fundamental importance of the economic, social and cultural rights guaranteed under the Covenant. There are a variety of ways of ensuring laws are consistent with international treaties, the Treaty of Waitangi and the NZBORA.</w:t>
      </w:r>
      <w:r w:rsidR="0023775B">
        <w:t xml:space="preserve"> </w:t>
      </w:r>
    </w:p>
    <w:p w:rsidR="00C9789E" w:rsidRPr="00F62F1C" w:rsidRDefault="00C9789E" w:rsidP="00706221">
      <w:pPr>
        <w:pStyle w:val="SingleTxtG"/>
      </w:pPr>
      <w:r w:rsidRPr="00F62F1C">
        <w:lastRenderedPageBreak/>
        <w:t>12.</w:t>
      </w:r>
      <w:r w:rsidRPr="00F62F1C">
        <w:tab/>
        <w:t>While international treaties are not directly enforceable in New Zealand unless implemented into domestic law, wherever possible national legislation is interpreted and applied consistently with the Covenant. There is a general presumption that, in the absence of clear contrary intention, legislation (i.e. statutory powers) should be interpreted consistently with New Zealand</w:t>
      </w:r>
      <w:r w:rsidR="00D34D95">
        <w:t>’</w:t>
      </w:r>
      <w:r w:rsidRPr="00F62F1C">
        <w:t>s international obligations.</w:t>
      </w:r>
    </w:p>
    <w:p w:rsidR="00C9789E" w:rsidRPr="00F62F1C" w:rsidRDefault="00C9789E" w:rsidP="0023775B">
      <w:pPr>
        <w:pStyle w:val="H23G"/>
      </w:pPr>
      <w:r w:rsidRPr="00F62F1C">
        <w:tab/>
      </w:r>
      <w:r w:rsidRPr="00F62F1C">
        <w:tab/>
        <w:t>Legislation development</w:t>
      </w:r>
    </w:p>
    <w:p w:rsidR="00C9789E" w:rsidRPr="00F62F1C" w:rsidRDefault="00C9789E" w:rsidP="00706221">
      <w:pPr>
        <w:pStyle w:val="SingleTxtG"/>
      </w:pPr>
      <w:r w:rsidRPr="00F62F1C">
        <w:t>13.</w:t>
      </w:r>
      <w:r w:rsidRPr="00F62F1C">
        <w:tab/>
        <w:t>As legislation is developed in New Zealand, Ministers must confirm that bills comply with certain legal principles or obligations. In particular, Ministers must draw attention to any aspects of a bill that have implications for, or may be affected by:</w:t>
      </w:r>
    </w:p>
    <w:p w:rsidR="00C9789E" w:rsidRPr="00F62F1C" w:rsidRDefault="00C9789E" w:rsidP="00706221">
      <w:pPr>
        <w:pStyle w:val="SingleTxtG"/>
      </w:pPr>
      <w:r w:rsidRPr="00F62F1C">
        <w:tab/>
        <w:t>(a)</w:t>
      </w:r>
      <w:r w:rsidRPr="00F62F1C">
        <w:tab/>
      </w:r>
      <w:r w:rsidR="00C37DAD" w:rsidRPr="00F62F1C">
        <w:t xml:space="preserve">The </w:t>
      </w:r>
      <w:r w:rsidRPr="00F62F1C">
        <w:t>principles of the Treaty of Waitangi</w:t>
      </w:r>
      <w:r w:rsidR="00C37DAD">
        <w:t>;</w:t>
      </w:r>
    </w:p>
    <w:p w:rsidR="00C9789E" w:rsidRPr="00F62F1C" w:rsidRDefault="00C9789E" w:rsidP="00706221">
      <w:pPr>
        <w:pStyle w:val="SingleTxtG"/>
      </w:pPr>
      <w:r w:rsidRPr="00F62F1C">
        <w:tab/>
        <w:t>(b)</w:t>
      </w:r>
      <w:r w:rsidRPr="00F62F1C">
        <w:tab/>
      </w:r>
      <w:r w:rsidR="00C37DAD" w:rsidRPr="00F62F1C">
        <w:t xml:space="preserve">The </w:t>
      </w:r>
      <w:r w:rsidRPr="00F62F1C">
        <w:t>rights and freedoms contained in the NZBORA and the Human Rights Act 1993</w:t>
      </w:r>
      <w:r w:rsidR="00C37DAD">
        <w:t>;</w:t>
      </w:r>
    </w:p>
    <w:p w:rsidR="00C9789E" w:rsidRPr="00F62F1C" w:rsidRDefault="00C9789E" w:rsidP="00706221">
      <w:pPr>
        <w:pStyle w:val="SingleTxtG"/>
      </w:pPr>
      <w:r w:rsidRPr="00F62F1C">
        <w:tab/>
        <w:t>(c)</w:t>
      </w:r>
      <w:r w:rsidRPr="00F62F1C">
        <w:tab/>
      </w:r>
      <w:r w:rsidR="00C37DAD" w:rsidRPr="00F62F1C">
        <w:t xml:space="preserve">The </w:t>
      </w:r>
      <w:r w:rsidRPr="00F62F1C">
        <w:t>principles in the Privacy Act 1993</w:t>
      </w:r>
      <w:r w:rsidR="00C37DAD">
        <w:t>;</w:t>
      </w:r>
    </w:p>
    <w:p w:rsidR="00C9789E" w:rsidRPr="00F62F1C" w:rsidRDefault="00C9789E" w:rsidP="00706221">
      <w:pPr>
        <w:pStyle w:val="SingleTxtG"/>
      </w:pPr>
      <w:r w:rsidRPr="00F62F1C">
        <w:tab/>
        <w:t>(d)</w:t>
      </w:r>
      <w:r w:rsidRPr="00F62F1C">
        <w:tab/>
      </w:r>
      <w:r w:rsidR="00C37DAD" w:rsidRPr="00F62F1C">
        <w:t xml:space="preserve">International </w:t>
      </w:r>
      <w:r w:rsidRPr="00F62F1C">
        <w:t>obligations</w:t>
      </w:r>
      <w:r w:rsidR="00C37DAD">
        <w:t>;</w:t>
      </w:r>
    </w:p>
    <w:p w:rsidR="00C9789E" w:rsidRPr="00F62F1C" w:rsidRDefault="00C9789E" w:rsidP="00706221">
      <w:pPr>
        <w:pStyle w:val="SingleTxtG"/>
      </w:pPr>
      <w:r w:rsidRPr="00F62F1C">
        <w:tab/>
        <w:t>(e)</w:t>
      </w:r>
      <w:r w:rsidRPr="00F62F1C">
        <w:tab/>
      </w:r>
      <w:r w:rsidR="00C37DAD" w:rsidRPr="00F62F1C">
        <w:t xml:space="preserve">Guidance </w:t>
      </w:r>
      <w:r w:rsidRPr="00F62F1C">
        <w:t>contained in the Legislation Advisory Committee Guidelines</w:t>
      </w:r>
      <w:r w:rsidR="00C37DAD">
        <w:t>.</w:t>
      </w:r>
      <w:r w:rsidRPr="00706221">
        <w:rPr>
          <w:rStyle w:val="FootnoteReference"/>
        </w:rPr>
        <w:footnoteReference w:id="4"/>
      </w:r>
    </w:p>
    <w:p w:rsidR="00C9789E" w:rsidRPr="00F62F1C" w:rsidRDefault="00C9789E" w:rsidP="0023775B">
      <w:pPr>
        <w:pStyle w:val="H23G"/>
      </w:pPr>
      <w:r w:rsidRPr="00F62F1C">
        <w:tab/>
      </w:r>
      <w:r w:rsidRPr="00F62F1C">
        <w:tab/>
        <w:t>Disclosure Statements</w:t>
      </w:r>
    </w:p>
    <w:p w:rsidR="00C9789E" w:rsidRPr="00F62F1C" w:rsidRDefault="00C9789E" w:rsidP="00706221">
      <w:pPr>
        <w:pStyle w:val="SingleTxtG"/>
      </w:pPr>
      <w:r w:rsidRPr="00F62F1C">
        <w:t>14.</w:t>
      </w:r>
      <w:r w:rsidRPr="00F62F1C">
        <w:tab/>
        <w:t>A new mechanism to further ensure the compatibility of laws with international standards is to append disclosure statements to all Government Bills. Disclosure statements must indicate a bill</w:t>
      </w:r>
      <w:r w:rsidR="00D34D95">
        <w:t>’</w:t>
      </w:r>
      <w:r w:rsidRPr="00F62F1C">
        <w:t>s consistency with various standards including the NZBORA, the principles of the Treaty of Waitangi, relevant international obligations such as the Covenant, and the nature and extent of external consultation.</w:t>
      </w:r>
    </w:p>
    <w:p w:rsidR="00C9789E" w:rsidRPr="00F62F1C" w:rsidRDefault="00C9789E" w:rsidP="00706221">
      <w:pPr>
        <w:pStyle w:val="SingleTxtG"/>
      </w:pPr>
      <w:r w:rsidRPr="00F62F1C">
        <w:t>15.</w:t>
      </w:r>
      <w:r w:rsidRPr="00F62F1C">
        <w:tab/>
        <w:t>The publication of this information is intended to promote greater attention to existing expectations for the development of legislation. The Legislation Amendment Bill, currently before Parliament, will make disclosure statements a binding legal obligation for most Government Bills and most disallowable instruments.</w:t>
      </w:r>
    </w:p>
    <w:p w:rsidR="00C9789E" w:rsidRPr="00F62F1C" w:rsidRDefault="00C9789E" w:rsidP="00706221">
      <w:pPr>
        <w:pStyle w:val="SingleTxtG"/>
      </w:pPr>
      <w:r w:rsidRPr="00F62F1C">
        <w:t>16.</w:t>
      </w:r>
      <w:r w:rsidRPr="00F62F1C">
        <w:tab/>
        <w:t xml:space="preserve">Section 7 of the NZBORA provides that where any bill is introduced, the Attorney-General must bring to the attention of the House of Representatives any bill that appears to be inconsistent with any of the rights and freedoms contained in the NZBORA. To assist the Attorney-General in performing this function, the Ministry of Justice or Crown Law provides advice on every bill for consistency with the NZBORA. </w:t>
      </w:r>
    </w:p>
    <w:p w:rsidR="00C9789E" w:rsidRPr="00F62F1C" w:rsidRDefault="00C9789E" w:rsidP="00706221">
      <w:pPr>
        <w:pStyle w:val="SingleTxtG"/>
      </w:pPr>
      <w:r w:rsidRPr="00F62F1C">
        <w:t>17.</w:t>
      </w:r>
      <w:r w:rsidRPr="00F62F1C">
        <w:tab/>
        <w:t>In 2014, Parliament</w:t>
      </w:r>
      <w:r w:rsidR="00D34D95">
        <w:t>’</w:t>
      </w:r>
      <w:r w:rsidRPr="00F62F1C">
        <w:t>s Standing Orders Committee amended the Parliamentary Standing Orders. Now, reports from the Attorney General, which indicate a legislative bill</w:t>
      </w:r>
      <w:r w:rsidR="00D34D95">
        <w:t>’</w:t>
      </w:r>
      <w:r w:rsidRPr="00F62F1C">
        <w:t>s inconsistency with the NZBORA, must automatically be referred to a Parliamentary select committee for consideration.</w:t>
      </w:r>
      <w:r w:rsidR="0023775B">
        <w:t xml:space="preserve"> </w:t>
      </w:r>
      <w:r w:rsidRPr="00F62F1C">
        <w:t>This new requirement adds another layer of Parliamentary scrutiny to NZBORA consideration as officials can now be called to appear before the committee as witnesses to discuss the details of the report.</w:t>
      </w:r>
      <w:r w:rsidR="0023775B">
        <w:t xml:space="preserve"> </w:t>
      </w:r>
      <w:r w:rsidRPr="00F62F1C">
        <w:t>These submissions are delivered in public hearings, and may include the media.</w:t>
      </w:r>
    </w:p>
    <w:p w:rsidR="00C9789E" w:rsidRPr="00F62F1C" w:rsidRDefault="00C9789E" w:rsidP="00706221">
      <w:pPr>
        <w:pStyle w:val="SingleTxtG"/>
      </w:pPr>
      <w:r w:rsidRPr="00F62F1C">
        <w:t>18.</w:t>
      </w:r>
      <w:r w:rsidRPr="00F62F1C">
        <w:tab/>
        <w:t xml:space="preserve">The Ministry of Justice continues to work with other Government agencies to ensure fundamental human rights affirmed in international human rights treaties and in legislation are considered in policy development. </w:t>
      </w:r>
    </w:p>
    <w:p w:rsidR="00C9789E" w:rsidRPr="00F62F1C" w:rsidRDefault="00C9789E" w:rsidP="0023775B">
      <w:pPr>
        <w:pStyle w:val="H23G"/>
      </w:pPr>
      <w:r w:rsidRPr="00F62F1C">
        <w:tab/>
      </w:r>
      <w:r w:rsidRPr="00F62F1C">
        <w:tab/>
        <w:t>Waitangi Tribunal</w:t>
      </w:r>
    </w:p>
    <w:p w:rsidR="00C9789E" w:rsidRPr="00F62F1C" w:rsidRDefault="00C9789E" w:rsidP="00706221">
      <w:pPr>
        <w:pStyle w:val="SingleTxtG"/>
      </w:pPr>
      <w:r w:rsidRPr="00F62F1C">
        <w:t>19.</w:t>
      </w:r>
      <w:r w:rsidRPr="00F62F1C">
        <w:tab/>
        <w:t>The Waitangi Tribunal has jurisdiction to consider whether acts, regulations or other statutory instruments, policy or practice, and Crown actions or omissions are consistent with the principles of the Treaty of Waitangi. Where the Tribunal finds a claim is well founded, it can make recommendations to the Crown for action to be taken to compensate for or remove the prejudice, or prevent other persons from being similarly affected in the future.</w:t>
      </w:r>
    </w:p>
    <w:p w:rsidR="00C9789E" w:rsidRPr="00F62F1C" w:rsidRDefault="00C9789E" w:rsidP="0023775B">
      <w:pPr>
        <w:pStyle w:val="H23G"/>
      </w:pPr>
      <w:r w:rsidRPr="00F62F1C">
        <w:lastRenderedPageBreak/>
        <w:tab/>
      </w:r>
      <w:r w:rsidRPr="00F62F1C">
        <w:tab/>
        <w:t>Judicial review of statutory decisions</w:t>
      </w:r>
    </w:p>
    <w:p w:rsidR="00C9789E" w:rsidRPr="00F62F1C" w:rsidRDefault="00C9789E" w:rsidP="00706221">
      <w:pPr>
        <w:pStyle w:val="SingleTxtG"/>
      </w:pPr>
      <w:r w:rsidRPr="00F62F1C">
        <w:t>20.</w:t>
      </w:r>
      <w:r w:rsidRPr="00F62F1C">
        <w:tab/>
        <w:t xml:space="preserve">An application for judicial review may be considered for any exercise, refusal to exercise, or proposed or purported exercise by any person of a statutory power. </w:t>
      </w:r>
      <w:r w:rsidR="00DA3757">
        <w:t>“</w:t>
      </w:r>
      <w:r w:rsidRPr="00F62F1C">
        <w:t>Statutory power</w:t>
      </w:r>
      <w:r w:rsidR="00DA3757">
        <w:t>”</w:t>
      </w:r>
      <w:r w:rsidRPr="00F62F1C">
        <w:t xml:space="preserve"> is widely defined and includes (but is not limited to) the power or right to make regulations and rules, and to exercise a statutory power of decision. Judicial review in the context of Covenant rights will be focussed primarily on the rights as expressed in the particular statute, but, where applicable, the Court will also have regard to the Convention.</w:t>
      </w:r>
    </w:p>
    <w:p w:rsidR="00C9789E" w:rsidRPr="00F62F1C" w:rsidRDefault="00C9789E" w:rsidP="00F304B7">
      <w:pPr>
        <w:pStyle w:val="H23G"/>
      </w:pPr>
      <w:r w:rsidRPr="00F62F1C">
        <w:tab/>
      </w:r>
      <w:r w:rsidRPr="00F62F1C">
        <w:tab/>
        <w:t>Declarations of inconsistency under the Human Rights Act 1993</w:t>
      </w:r>
    </w:p>
    <w:p w:rsidR="00C9789E" w:rsidRPr="00F62F1C" w:rsidRDefault="00C9789E" w:rsidP="00706221">
      <w:pPr>
        <w:pStyle w:val="SingleTxtG"/>
      </w:pPr>
      <w:r w:rsidRPr="00F62F1C">
        <w:t>21.</w:t>
      </w:r>
      <w:r w:rsidRPr="00F62F1C">
        <w:tab/>
        <w:t xml:space="preserve">Section 92I of the Human Rights Act 1993 makes one of the remedies available in the Human Rights Tribunal a declaration that the defendant has breached the Act. If the Tribunal finds an enactment is inconsistent with the right to freedom from discrimination affirmed in section </w:t>
      </w:r>
      <w:proofErr w:type="gramStart"/>
      <w:r w:rsidRPr="00F62F1C">
        <w:t>19</w:t>
      </w:r>
      <w:r w:rsidR="004D1027">
        <w:t>.</w:t>
      </w:r>
      <w:r w:rsidRPr="00F62F1C">
        <w:t>(</w:t>
      </w:r>
      <w:proofErr w:type="gramEnd"/>
      <w:r w:rsidRPr="00F62F1C">
        <w:t>1) of the NZBORA, the only remedy the Tribunal may grant is a declaration of inconsistency.</w:t>
      </w:r>
      <w:r w:rsidR="0023775B">
        <w:t xml:space="preserve"> </w:t>
      </w:r>
      <w:r w:rsidRPr="00F62F1C">
        <w:t xml:space="preserve">The declaration does not affect the validity of an act. </w:t>
      </w:r>
    </w:p>
    <w:p w:rsidR="00C9789E" w:rsidRPr="00F62F1C" w:rsidRDefault="00C9789E" w:rsidP="00706221">
      <w:pPr>
        <w:pStyle w:val="SingleTxtG"/>
      </w:pPr>
      <w:r w:rsidRPr="00F62F1C">
        <w:t>22.</w:t>
      </w:r>
      <w:r w:rsidRPr="00F62F1C">
        <w:tab/>
        <w:t>This declaration is public and allows for transparency when breaches of the right to be free from discrimination are identified.</w:t>
      </w:r>
      <w:r w:rsidR="0023775B">
        <w:t xml:space="preserve"> </w:t>
      </w:r>
      <w:r w:rsidRPr="00F62F1C">
        <w:t>The Minister responsible for the enactment has 120 days to present the declaration, and the Government</w:t>
      </w:r>
      <w:r w:rsidR="00D34D95">
        <w:t>’</w:t>
      </w:r>
      <w:r w:rsidRPr="00F62F1C">
        <w:t xml:space="preserve">s response, to the House of Representatives. This enables Parliament to consider the opinion of the Tribunal and how to address the inconsistency. </w:t>
      </w:r>
    </w:p>
    <w:p w:rsidR="00C9789E" w:rsidRPr="00F62F1C" w:rsidRDefault="00C9789E" w:rsidP="00706221">
      <w:pPr>
        <w:pStyle w:val="SingleTxtG"/>
      </w:pPr>
      <w:r w:rsidRPr="00F62F1C">
        <w:t>23.</w:t>
      </w:r>
      <w:r w:rsidRPr="00F62F1C">
        <w:tab/>
        <w:t xml:space="preserve">Four declarations of inconsistency have been issued by the Tribunal against the Government under the Human Rights Act. These declarations related to discrimination on the basis of age, sex, marital status and disability and are discussed below. </w:t>
      </w:r>
    </w:p>
    <w:p w:rsidR="00C9789E" w:rsidRPr="00F62F1C" w:rsidRDefault="00C9789E" w:rsidP="00F304B7">
      <w:pPr>
        <w:pStyle w:val="H4G"/>
      </w:pPr>
      <w:r w:rsidRPr="00F62F1C">
        <w:tab/>
      </w:r>
      <w:r w:rsidRPr="00F62F1C">
        <w:tab/>
        <w:t>Howard v</w:t>
      </w:r>
      <w:r w:rsidR="004D1027">
        <w:t>.</w:t>
      </w:r>
      <w:r w:rsidR="00D96C85">
        <w:t xml:space="preserve"> Attorney-General</w:t>
      </w:r>
    </w:p>
    <w:p w:rsidR="00C9789E" w:rsidRPr="00F62F1C" w:rsidRDefault="00C9789E" w:rsidP="00706221">
      <w:pPr>
        <w:pStyle w:val="SingleTxtG"/>
      </w:pPr>
      <w:r w:rsidRPr="00F62F1C">
        <w:t>24.</w:t>
      </w:r>
      <w:r w:rsidRPr="00F62F1C">
        <w:tab/>
        <w:t xml:space="preserve">The first declaration of inconsistency was issued in May 2008 in </w:t>
      </w:r>
      <w:r w:rsidRPr="00161B26">
        <w:rPr>
          <w:i/>
        </w:rPr>
        <w:t>Howard v</w:t>
      </w:r>
      <w:r w:rsidR="004D1027">
        <w:rPr>
          <w:i/>
        </w:rPr>
        <w:t>.</w:t>
      </w:r>
      <w:r w:rsidRPr="00161B26">
        <w:rPr>
          <w:i/>
        </w:rPr>
        <w:t xml:space="preserve"> Attorney-General</w:t>
      </w:r>
      <w:r w:rsidRPr="00F62F1C">
        <w:t>. The plaintiff argued that he had suffered age discrimination when he could not get vocational rehabilitation from the Accident Compensation Corporation (ACC) because he was over 65 years. The Tribunal found that the relevant section in the ACC legislation did discriminate against the plaintiff on the grounds of age and that this discrimination was not justified.</w:t>
      </w:r>
      <w:r w:rsidR="0023775B">
        <w:t xml:space="preserve"> </w:t>
      </w:r>
      <w:r w:rsidRPr="00F62F1C">
        <w:t>The Tribunal issued a declaration of inconsistency. On 1 October 2008 the Government addressed the declaration by removing age limits for vocational rehabilitation in the legislation.</w:t>
      </w:r>
    </w:p>
    <w:p w:rsidR="00C9789E" w:rsidRPr="00F62F1C" w:rsidRDefault="00C9789E" w:rsidP="00161B26">
      <w:pPr>
        <w:pStyle w:val="H4G"/>
      </w:pPr>
      <w:r w:rsidRPr="00F62F1C">
        <w:tab/>
      </w:r>
      <w:r w:rsidRPr="00F62F1C">
        <w:tab/>
        <w:t>Ministry of Health</w:t>
      </w:r>
      <w:r w:rsidR="00A73A2B">
        <w:t xml:space="preserve"> v. </w:t>
      </w:r>
      <w:r w:rsidRPr="00F62F1C">
        <w:t>Atkinson</w:t>
      </w:r>
    </w:p>
    <w:p w:rsidR="00C9789E" w:rsidRPr="00F62F1C" w:rsidRDefault="00C9789E" w:rsidP="00706221">
      <w:pPr>
        <w:pStyle w:val="SingleTxtG"/>
      </w:pPr>
      <w:r w:rsidRPr="00F62F1C">
        <w:t>25.</w:t>
      </w:r>
      <w:r w:rsidRPr="00F62F1C">
        <w:tab/>
        <w:t xml:space="preserve">In January 2010 the Human Rights Review Tribunal issued a declaration in Ministry of </w:t>
      </w:r>
      <w:r w:rsidRPr="00161B26">
        <w:rPr>
          <w:i/>
        </w:rPr>
        <w:t>Health v</w:t>
      </w:r>
      <w:r w:rsidR="00975BD1">
        <w:rPr>
          <w:i/>
        </w:rPr>
        <w:t>.</w:t>
      </w:r>
      <w:r w:rsidRPr="00161B26">
        <w:rPr>
          <w:i/>
        </w:rPr>
        <w:t xml:space="preserve"> Atkinson</w:t>
      </w:r>
      <w:r w:rsidRPr="00F62F1C">
        <w:t xml:space="preserve"> in relation to a Ministry of Health policy that affected the way in which disabled people are assessed as being in need of disability support services funded by the Ministry. It found the Ministry</w:t>
      </w:r>
      <w:r w:rsidR="00D34D95">
        <w:t>’</w:t>
      </w:r>
      <w:r w:rsidRPr="00F62F1C">
        <w:t xml:space="preserve">s policy or practice of paying external providers to supply support services to disabled persons in their family homes, and declining to pay family members willing to supply those services, was unjustifiably discriminatory under the NZBORA. That decision was the first occasion on which a declaration of inconsistency had been made in relation to Government policy under the Human Rights Act 1993. As a </w:t>
      </w:r>
      <w:proofErr w:type="gramStart"/>
      <w:r w:rsidRPr="00F62F1C">
        <w:t>result</w:t>
      </w:r>
      <w:proofErr w:type="gramEnd"/>
      <w:r w:rsidRPr="00F62F1C">
        <w:t xml:space="preserve"> the Ministry of Health introduced a new policy permitting family members to be employed to support highly disabled relatives. </w:t>
      </w:r>
    </w:p>
    <w:p w:rsidR="00C9789E" w:rsidRPr="00F62F1C" w:rsidRDefault="00C9789E" w:rsidP="00161B26">
      <w:pPr>
        <w:pStyle w:val="H4G"/>
      </w:pPr>
      <w:r w:rsidRPr="00F62F1C">
        <w:tab/>
      </w:r>
      <w:r w:rsidRPr="00F62F1C">
        <w:tab/>
        <w:t>Heads v</w:t>
      </w:r>
      <w:r w:rsidR="004D1027">
        <w:t>.</w:t>
      </w:r>
      <w:r w:rsidRPr="00F62F1C">
        <w:t xml:space="preserve"> Attorney-General</w:t>
      </w:r>
    </w:p>
    <w:p w:rsidR="00C9789E" w:rsidRPr="00F62F1C" w:rsidRDefault="00C9789E" w:rsidP="00706221">
      <w:pPr>
        <w:pStyle w:val="SingleTxtG"/>
      </w:pPr>
      <w:r w:rsidRPr="00F62F1C">
        <w:t>26.</w:t>
      </w:r>
      <w:r w:rsidRPr="00F62F1C">
        <w:tab/>
        <w:t xml:space="preserve">In May 2015, the Human Rights Review Tribunal issued its third declaration of inconsistency under the Human Rights Act 1993. In </w:t>
      </w:r>
      <w:r w:rsidRPr="00161B26">
        <w:rPr>
          <w:i/>
        </w:rPr>
        <w:t xml:space="preserve">Heads </w:t>
      </w:r>
      <w:proofErr w:type="gramStart"/>
      <w:r w:rsidRPr="00161B26">
        <w:rPr>
          <w:i/>
        </w:rPr>
        <w:t>v</w:t>
      </w:r>
      <w:r w:rsidR="008C7C2F">
        <w:rPr>
          <w:i/>
        </w:rPr>
        <w:t>.</w:t>
      </w:r>
      <w:proofErr w:type="gramEnd"/>
      <w:r w:rsidRPr="00161B26">
        <w:rPr>
          <w:i/>
        </w:rPr>
        <w:t xml:space="preserve"> Attorney-General</w:t>
      </w:r>
      <w:r w:rsidRPr="00F62F1C">
        <w:t>, the Tribunal found that a provision of the Accident Compensation Act 2001 discriminates on the basis of age against people over 65 years old.</w:t>
      </w:r>
      <w:r w:rsidR="0023775B">
        <w:t xml:space="preserve"> </w:t>
      </w:r>
      <w:r w:rsidRPr="00F62F1C">
        <w:t>Where a person who has cover for personal injury dies as a result of a fatal injury, ACC pays the surviving spouse weekly compensation for five years.</w:t>
      </w:r>
      <w:r w:rsidR="0023775B">
        <w:t xml:space="preserve"> </w:t>
      </w:r>
      <w:r w:rsidRPr="00F62F1C">
        <w:t>However, if the surviving spouse qualifies for New Zealand superannuation, that person is entitled to compensation for no more than twelve months from the time they reach that age unless they suspend their superannuation for the remaining period.</w:t>
      </w:r>
    </w:p>
    <w:p w:rsidR="00C9789E" w:rsidRPr="00F62F1C" w:rsidRDefault="00C9789E" w:rsidP="00706221">
      <w:pPr>
        <w:pStyle w:val="SingleTxtG"/>
      </w:pPr>
      <w:r w:rsidRPr="00F62F1C">
        <w:lastRenderedPageBreak/>
        <w:t>27.</w:t>
      </w:r>
      <w:r w:rsidRPr="00F62F1C">
        <w:tab/>
        <w:t xml:space="preserve">The Government plans to introduce legislation amending the ACC Act so that </w:t>
      </w:r>
      <w:proofErr w:type="spellStart"/>
      <w:r w:rsidRPr="00F62F1C">
        <w:t>superannuitants</w:t>
      </w:r>
      <w:proofErr w:type="spellEnd"/>
      <w:r w:rsidRPr="00F62F1C">
        <w:t xml:space="preserve"> can receive both NZ superannuation and surviving spouse weekly compensation for a five-year period.</w:t>
      </w:r>
    </w:p>
    <w:p w:rsidR="00C9789E" w:rsidRPr="00F62F1C" w:rsidRDefault="00C9789E" w:rsidP="00FC000E">
      <w:pPr>
        <w:pStyle w:val="H4G"/>
      </w:pPr>
      <w:r w:rsidRPr="00F62F1C">
        <w:tab/>
      </w:r>
      <w:r w:rsidRPr="00F62F1C">
        <w:tab/>
        <w:t>Adoption Action Incorporated v</w:t>
      </w:r>
      <w:r w:rsidR="00425FF4">
        <w:t>.</w:t>
      </w:r>
      <w:r w:rsidRPr="00F62F1C">
        <w:t xml:space="preserve"> Attorney-General</w:t>
      </w:r>
    </w:p>
    <w:p w:rsidR="00C9789E" w:rsidRPr="00F62F1C" w:rsidRDefault="00C9789E" w:rsidP="00706221">
      <w:pPr>
        <w:pStyle w:val="SingleTxtG"/>
      </w:pPr>
      <w:r w:rsidRPr="00F62F1C">
        <w:t>28.</w:t>
      </w:r>
      <w:r w:rsidRPr="00F62F1C">
        <w:tab/>
        <w:t>The Human Rights Review Tribunal issued its fourth declaration of inconsistency in March 2016.</w:t>
      </w:r>
      <w:r w:rsidR="0023775B">
        <w:t xml:space="preserve"> </w:t>
      </w:r>
      <w:r w:rsidRPr="00F62F1C">
        <w:t xml:space="preserve">The Tribunal found there were a number of provisions in the Adoption Act 1955 and the Adult Adoption Information Act 1985 that were inconsistent with the right to freedom from discrimination affirmed by section 19 of the NZBORA and issued a declaration of inconsistency under section 92J of the Human Rights Act 1993. </w:t>
      </w:r>
    </w:p>
    <w:p w:rsidR="00C9789E" w:rsidRPr="00F62F1C" w:rsidRDefault="00C9789E" w:rsidP="00706221">
      <w:pPr>
        <w:pStyle w:val="SingleTxtG"/>
      </w:pPr>
      <w:r w:rsidRPr="00F62F1C">
        <w:t>29.</w:t>
      </w:r>
      <w:r w:rsidRPr="00F62F1C">
        <w:tab/>
        <w:t>The Government does not agree with the Tribunal</w:t>
      </w:r>
      <w:r w:rsidR="00D34D95">
        <w:t>’</w:t>
      </w:r>
      <w:r w:rsidRPr="00F62F1C">
        <w:t>s findings that the following two provisions are inconsistent with section 19 of NZBORA:</w:t>
      </w:r>
    </w:p>
    <w:p w:rsidR="00C9789E" w:rsidRPr="00F62F1C" w:rsidRDefault="0084360E" w:rsidP="00FC000E">
      <w:pPr>
        <w:pStyle w:val="Bullet1G"/>
      </w:pPr>
      <w:r w:rsidRPr="00F62F1C">
        <w:t xml:space="preserve">Section </w:t>
      </w:r>
      <w:r w:rsidR="00C9789E" w:rsidRPr="00F62F1C">
        <w:t xml:space="preserve">3(2) of the Adoption Act 1955 which provides that a joint adoption order must be made in favour of </w:t>
      </w:r>
      <w:r w:rsidR="00D34D95">
        <w:t>“</w:t>
      </w:r>
      <w:r w:rsidR="00C9789E" w:rsidRPr="00F62F1C">
        <w:t>two spouses</w:t>
      </w:r>
      <w:r w:rsidR="00D34D95">
        <w:t>”</w:t>
      </w:r>
      <w:r w:rsidR="00C9789E" w:rsidRPr="00F62F1C">
        <w:t>, and</w:t>
      </w:r>
    </w:p>
    <w:p w:rsidR="00C9789E" w:rsidRPr="00F62F1C" w:rsidRDefault="0084360E" w:rsidP="00FC000E">
      <w:pPr>
        <w:pStyle w:val="Bullet1G"/>
      </w:pPr>
      <w:r w:rsidRPr="00F62F1C">
        <w:t xml:space="preserve">Section </w:t>
      </w:r>
      <w:r w:rsidR="00C9789E" w:rsidRPr="00F62F1C">
        <w:t>7(2)(b) of the Adoption Act which requires the spouse of a sole applicant for an adoption order to consent to any such order being made when the couple are living together.</w:t>
      </w:r>
    </w:p>
    <w:p w:rsidR="00C9789E" w:rsidRPr="00F62F1C" w:rsidRDefault="00C9789E" w:rsidP="00706221">
      <w:pPr>
        <w:pStyle w:val="SingleTxtG"/>
      </w:pPr>
      <w:r w:rsidRPr="00F62F1C">
        <w:t>30.</w:t>
      </w:r>
      <w:r w:rsidRPr="00F62F1C">
        <w:tab/>
        <w:t xml:space="preserve">The Tribunal found that </w:t>
      </w:r>
      <w:r w:rsidR="00D34D95">
        <w:t>“</w:t>
      </w:r>
      <w:r w:rsidRPr="00F62F1C">
        <w:t>spouse</w:t>
      </w:r>
      <w:r w:rsidR="00D34D95">
        <w:t>”</w:t>
      </w:r>
      <w:r w:rsidRPr="00F62F1C">
        <w:t xml:space="preserve"> excludes civil union couples and same-sex de facto couples for the purposes of section 3(2) of the Adoption Act. A Family Court decision released subsequent to the hearing, but prior to the decision in this proceeding, held de facto partners in a same-sex relationship fall within the definition of </w:t>
      </w:r>
      <w:r w:rsidR="00D34D95">
        <w:t>“</w:t>
      </w:r>
      <w:r w:rsidRPr="00F62F1C">
        <w:t>spouse</w:t>
      </w:r>
      <w:r w:rsidR="00D34D95">
        <w:t>”</w:t>
      </w:r>
      <w:r w:rsidR="006C7198">
        <w:t>.</w:t>
      </w:r>
      <w:r w:rsidRPr="00706221">
        <w:rPr>
          <w:rStyle w:val="FootnoteReference"/>
        </w:rPr>
        <w:footnoteReference w:id="5"/>
      </w:r>
      <w:r w:rsidRPr="00F62F1C">
        <w:t xml:space="preserve"> Further, in 2010, the High Court held that partners in an opposite sex de facto relationship fell within the definition of </w:t>
      </w:r>
      <w:r w:rsidR="00D34D95">
        <w:t>“</w:t>
      </w:r>
      <w:r w:rsidRPr="00F62F1C">
        <w:t>spouse</w:t>
      </w:r>
      <w:r w:rsidR="00D34D95">
        <w:t>”</w:t>
      </w:r>
      <w:r w:rsidRPr="00F62F1C">
        <w:t>.</w:t>
      </w:r>
      <w:r w:rsidRPr="00706221">
        <w:rPr>
          <w:rStyle w:val="FootnoteReference"/>
        </w:rPr>
        <w:footnoteReference w:id="6"/>
      </w:r>
      <w:r w:rsidRPr="00F62F1C">
        <w:t xml:space="preserve"> The Government is aware of further decisions in the Family Court subsequently applying this finding in granting joint adoption orders in favour of de facto opposite-sex couples.</w:t>
      </w:r>
      <w:r w:rsidRPr="00706221">
        <w:rPr>
          <w:rStyle w:val="FootnoteReference"/>
        </w:rPr>
        <w:footnoteReference w:id="7"/>
      </w:r>
    </w:p>
    <w:p w:rsidR="00C9789E" w:rsidRPr="00F62F1C" w:rsidRDefault="00C9789E" w:rsidP="00706221">
      <w:pPr>
        <w:pStyle w:val="SingleTxtG"/>
      </w:pPr>
      <w:r w:rsidRPr="00F62F1C">
        <w:t>31.</w:t>
      </w:r>
      <w:r w:rsidRPr="00F62F1C">
        <w:tab/>
        <w:t>Current Government practice recognises same-sex de facto couples as legitimate adoptive parents by continuing to place both civil union and de facto couples in the adoption pool. It is for the Government and, ultimately, the Courts to continue to apply the Adoption Act in a way that reflects modern legal and social contexts, and that, in practice, results in rights-consistent application.</w:t>
      </w:r>
    </w:p>
    <w:p w:rsidR="00C9789E" w:rsidRPr="00F62F1C" w:rsidRDefault="00C9789E" w:rsidP="00366526">
      <w:pPr>
        <w:pStyle w:val="H23G"/>
      </w:pPr>
      <w:r w:rsidRPr="00F62F1C">
        <w:tab/>
      </w:r>
      <w:r w:rsidRPr="00F62F1C">
        <w:tab/>
        <w:t>Declarations of inconsistency under the NZBORA</w:t>
      </w:r>
    </w:p>
    <w:p w:rsidR="00C9789E" w:rsidRPr="00F62F1C" w:rsidRDefault="00C9789E" w:rsidP="00706221">
      <w:pPr>
        <w:pStyle w:val="SingleTxtG"/>
      </w:pPr>
      <w:r w:rsidRPr="00F62F1C">
        <w:t>32.</w:t>
      </w:r>
      <w:r w:rsidRPr="00F62F1C">
        <w:tab/>
        <w:t>The NZBORA does not contain specific remedies for breaches and the Courts have developed appropriate remedies over time. In July 2015 the High Court issued a declaration of inconsistency under the NZBORA which was the first time a Court has issued a formal declaration as a remedy for a breach of the Act.</w:t>
      </w:r>
      <w:r w:rsidRPr="00706221">
        <w:rPr>
          <w:rStyle w:val="FootnoteReference"/>
        </w:rPr>
        <w:footnoteReference w:id="8"/>
      </w:r>
      <w:r w:rsidRPr="00F62F1C">
        <w:t xml:space="preserve"> </w:t>
      </w:r>
    </w:p>
    <w:p w:rsidR="00C9789E" w:rsidRPr="00F62F1C" w:rsidRDefault="00C9789E" w:rsidP="00706221">
      <w:pPr>
        <w:pStyle w:val="SingleTxtG"/>
      </w:pPr>
      <w:r w:rsidRPr="00F62F1C">
        <w:t>33.</w:t>
      </w:r>
      <w:r w:rsidRPr="00F62F1C">
        <w:tab/>
        <w:t xml:space="preserve">In </w:t>
      </w:r>
      <w:r w:rsidRPr="00366526">
        <w:rPr>
          <w:i/>
        </w:rPr>
        <w:t>Taylor v</w:t>
      </w:r>
      <w:r w:rsidR="002E395B">
        <w:rPr>
          <w:i/>
        </w:rPr>
        <w:t>.</w:t>
      </w:r>
      <w:r w:rsidRPr="00366526">
        <w:rPr>
          <w:i/>
        </w:rPr>
        <w:t xml:space="preserve"> Attorney-General</w:t>
      </w:r>
      <w:r w:rsidRPr="00F62F1C">
        <w:t>, the plaintiffs sought a declaration that s 80(1)(d) of the Electoral Act 1993, as amended, is inconsistent with the NZBORA because it disqualifies sentenced prisoners who are in prison from registering as electors.</w:t>
      </w:r>
      <w:r w:rsidR="0023775B">
        <w:t xml:space="preserve"> </w:t>
      </w:r>
      <w:r w:rsidRPr="00F62F1C">
        <w:t>The complete ban on voting by sentenced prisoners was introduced by the Electoral (Disqualification of Sentenced Prisoners) Amendment Act 2010.</w:t>
      </w:r>
      <w:r w:rsidR="0023775B">
        <w:t xml:space="preserve"> </w:t>
      </w:r>
      <w:r w:rsidRPr="00F62F1C">
        <w:t>Prior to that amendment, prisoners could vote if they were serving a sentence of less than three years.</w:t>
      </w:r>
    </w:p>
    <w:p w:rsidR="00C9789E" w:rsidRPr="00F62F1C" w:rsidRDefault="00C9789E" w:rsidP="00706221">
      <w:pPr>
        <w:pStyle w:val="SingleTxtG"/>
      </w:pPr>
      <w:r w:rsidRPr="00F62F1C">
        <w:t>34.</w:t>
      </w:r>
      <w:r w:rsidRPr="00F62F1C">
        <w:tab/>
        <w:t>In 2010, the Attorney-General had advised the House of Representatives that the new ban on prisoner voting appeared to be an unjustifiable limit on the right to vote affirmed in section 12(a) of the NZBORA. The declaration from the High Court mirrored the conclusion reached by the Attorney-General in his report to Parliament.</w:t>
      </w:r>
    </w:p>
    <w:p w:rsidR="00C9789E" w:rsidRPr="00F62F1C" w:rsidRDefault="00C9789E" w:rsidP="00706221">
      <w:pPr>
        <w:pStyle w:val="SingleTxtG"/>
      </w:pPr>
      <w:r w:rsidRPr="00F62F1C">
        <w:t>35.</w:t>
      </w:r>
      <w:r w:rsidRPr="00F62F1C">
        <w:tab/>
        <w:t>The Court of Appeal subsequently affirmed that the High Court has the authority to make a declaration that a statute is inconsistent with the NZBORA.</w:t>
      </w:r>
      <w:r w:rsidR="0023775B">
        <w:t xml:space="preserve"> </w:t>
      </w:r>
      <w:r w:rsidRPr="00F62F1C">
        <w:t xml:space="preserve">The judgment confirms </w:t>
      </w:r>
      <w:r w:rsidRPr="00F62F1C">
        <w:lastRenderedPageBreak/>
        <w:t>that a declaration of inconsistency (DOI) is a NZBORA remedy.</w:t>
      </w:r>
      <w:r w:rsidR="0023775B">
        <w:t xml:space="preserve"> </w:t>
      </w:r>
      <w:r w:rsidRPr="00F62F1C">
        <w:t>The Government has sought leave to appeal this decision to the Supreme Court, in order to test the legal basis and scope of this new form of remedy.</w:t>
      </w:r>
    </w:p>
    <w:p w:rsidR="00C9789E" w:rsidRPr="00F62F1C" w:rsidRDefault="00C9789E" w:rsidP="00041918">
      <w:pPr>
        <w:pStyle w:val="H4G"/>
      </w:pPr>
      <w:r w:rsidRPr="00F62F1C">
        <w:tab/>
      </w:r>
      <w:r w:rsidRPr="00F62F1C">
        <w:tab/>
        <w:t>Case law</w:t>
      </w:r>
    </w:p>
    <w:p w:rsidR="00C9789E" w:rsidRPr="00F62F1C" w:rsidRDefault="00C9789E" w:rsidP="00706221">
      <w:pPr>
        <w:pStyle w:val="SingleTxtG"/>
      </w:pPr>
      <w:r w:rsidRPr="00F62F1C">
        <w:t>36.</w:t>
      </w:r>
      <w:r w:rsidRPr="00F62F1C">
        <w:tab/>
        <w:t>As reported previously, the Covenant has not been directly incorporated into domestic law.</w:t>
      </w:r>
      <w:r w:rsidR="0023775B">
        <w:t xml:space="preserve"> </w:t>
      </w:r>
      <w:r w:rsidRPr="00F62F1C">
        <w:t xml:space="preserve">However, statutory powers do have to be interpreted consistently with international obligations (where possible). There are a number of immigration cases referring to the Covenant, but otherwise the nature of the cases </w:t>
      </w:r>
      <w:proofErr w:type="gramStart"/>
      <w:r w:rsidRPr="00F62F1C">
        <w:t>are</w:t>
      </w:r>
      <w:proofErr w:type="gramEnd"/>
      <w:r w:rsidRPr="00F62F1C">
        <w:t xml:space="preserve"> such that they are probably best described as those that involve the principles underpinning the Covenant.</w:t>
      </w:r>
      <w:r w:rsidR="0023775B">
        <w:t xml:space="preserve"> </w:t>
      </w:r>
      <w:r w:rsidRPr="00F62F1C">
        <w:t>Examples of New Zealand cases referring to the Covenant between 2012 and 2016 include:</w:t>
      </w:r>
      <w:r w:rsidR="0023775B">
        <w:t xml:space="preserve"> </w:t>
      </w:r>
    </w:p>
    <w:p w:rsidR="00C9789E" w:rsidRPr="00F62F1C" w:rsidRDefault="00C9789E" w:rsidP="00A105F6">
      <w:pPr>
        <w:pStyle w:val="Bullet1G"/>
      </w:pPr>
      <w:r w:rsidRPr="00366526">
        <w:rPr>
          <w:i/>
        </w:rPr>
        <w:t>Ministry of Health v</w:t>
      </w:r>
      <w:r w:rsidR="00133E57">
        <w:rPr>
          <w:i/>
        </w:rPr>
        <w:t>.</w:t>
      </w:r>
      <w:r w:rsidRPr="00366526">
        <w:rPr>
          <w:i/>
        </w:rPr>
        <w:t xml:space="preserve"> Atkinson</w:t>
      </w:r>
      <w:r w:rsidRPr="00706221">
        <w:rPr>
          <w:rStyle w:val="FootnoteReference"/>
        </w:rPr>
        <w:footnoteReference w:id="9"/>
      </w:r>
      <w:r w:rsidRPr="00F62F1C">
        <w:t xml:space="preserve"> (article 2 of the Covenant</w:t>
      </w:r>
      <w:r w:rsidR="00251668">
        <w:t xml:space="preserve"> — </w:t>
      </w:r>
      <w:r w:rsidRPr="00F62F1C">
        <w:t>non-discrimination and article 26</w:t>
      </w:r>
      <w:r w:rsidR="00251668">
        <w:t xml:space="preserve"> — </w:t>
      </w:r>
      <w:r w:rsidRPr="00F62F1C">
        <w:t>equality before the law)</w:t>
      </w:r>
      <w:r w:rsidR="00384249">
        <w:t>;</w:t>
      </w:r>
    </w:p>
    <w:p w:rsidR="00C9789E" w:rsidRPr="00F62F1C" w:rsidRDefault="00C9789E" w:rsidP="00A105F6">
      <w:pPr>
        <w:pStyle w:val="Bullet1G"/>
      </w:pPr>
      <w:r w:rsidRPr="00366526">
        <w:rPr>
          <w:i/>
        </w:rPr>
        <w:t>Ministry of Health</w:t>
      </w:r>
      <w:r w:rsidR="00A73A2B">
        <w:rPr>
          <w:i/>
        </w:rPr>
        <w:t xml:space="preserve"> v. </w:t>
      </w:r>
      <w:r w:rsidRPr="00366526">
        <w:rPr>
          <w:i/>
        </w:rPr>
        <w:t>Spencer</w:t>
      </w:r>
      <w:r w:rsidRPr="00706221">
        <w:rPr>
          <w:rStyle w:val="FootnoteReference"/>
        </w:rPr>
        <w:footnoteReference w:id="10"/>
      </w:r>
      <w:r w:rsidRPr="00F62F1C">
        <w:t xml:space="preserve"> (article 2 of the Covenant</w:t>
      </w:r>
      <w:r w:rsidR="00251668">
        <w:t xml:space="preserve"> — </w:t>
      </w:r>
      <w:r w:rsidRPr="00F62F1C">
        <w:t>non-discrimination and article 26</w:t>
      </w:r>
      <w:r w:rsidR="00251668">
        <w:t xml:space="preserve"> — </w:t>
      </w:r>
      <w:r w:rsidRPr="00F62F1C">
        <w:t>equality before the law)</w:t>
      </w:r>
      <w:r w:rsidR="00384249">
        <w:t>;</w:t>
      </w:r>
    </w:p>
    <w:p w:rsidR="00C9789E" w:rsidRPr="00CD481B" w:rsidRDefault="00C9789E" w:rsidP="00A105F6">
      <w:pPr>
        <w:pStyle w:val="Bullet1G"/>
        <w:rPr>
          <w:i/>
        </w:rPr>
      </w:pPr>
      <w:proofErr w:type="spellStart"/>
      <w:r w:rsidRPr="00CD481B">
        <w:rPr>
          <w:i/>
        </w:rPr>
        <w:t>Teitiota</w:t>
      </w:r>
      <w:proofErr w:type="spellEnd"/>
      <w:r w:rsidRPr="00CD481B">
        <w:rPr>
          <w:i/>
        </w:rPr>
        <w:t xml:space="preserve"> v</w:t>
      </w:r>
      <w:r w:rsidR="000922A4" w:rsidRPr="00CD481B">
        <w:rPr>
          <w:i/>
        </w:rPr>
        <w:t>.</w:t>
      </w:r>
      <w:r w:rsidRPr="00CD481B">
        <w:rPr>
          <w:i/>
        </w:rPr>
        <w:t xml:space="preserve"> Chief Executive of Ministry of Business, Innovation and Employment</w:t>
      </w:r>
      <w:r w:rsidRPr="00CD481B">
        <w:rPr>
          <w:rStyle w:val="FootnoteReference"/>
          <w:i/>
        </w:rPr>
        <w:footnoteReference w:id="11"/>
      </w:r>
      <w:r w:rsidRPr="00CD481B">
        <w:rPr>
          <w:i/>
        </w:rPr>
        <w:t xml:space="preserve"> (article 11 of the Covenant</w:t>
      </w:r>
      <w:r w:rsidR="00251668" w:rsidRPr="00CD481B">
        <w:rPr>
          <w:i/>
        </w:rPr>
        <w:t xml:space="preserve"> — </w:t>
      </w:r>
      <w:r w:rsidRPr="00CD481B">
        <w:rPr>
          <w:i/>
        </w:rPr>
        <w:t>the right to adequate food, clothing and housing)</w:t>
      </w:r>
      <w:r w:rsidR="00384249">
        <w:rPr>
          <w:i/>
        </w:rPr>
        <w:t>;</w:t>
      </w:r>
    </w:p>
    <w:p w:rsidR="00C9789E" w:rsidRPr="00CD481B" w:rsidRDefault="00C9789E" w:rsidP="00A105F6">
      <w:pPr>
        <w:pStyle w:val="Bullet1G"/>
        <w:rPr>
          <w:i/>
        </w:rPr>
      </w:pPr>
      <w:proofErr w:type="spellStart"/>
      <w:r w:rsidRPr="00CD481B">
        <w:rPr>
          <w:i/>
        </w:rPr>
        <w:t>Harlen</w:t>
      </w:r>
      <w:proofErr w:type="spellEnd"/>
      <w:r w:rsidRPr="00CD481B">
        <w:rPr>
          <w:i/>
        </w:rPr>
        <w:t xml:space="preserve"> v</w:t>
      </w:r>
      <w:r w:rsidR="000922A4" w:rsidRPr="00CD481B">
        <w:rPr>
          <w:i/>
        </w:rPr>
        <w:t>.</w:t>
      </w:r>
      <w:r w:rsidRPr="00CD481B">
        <w:rPr>
          <w:i/>
        </w:rPr>
        <w:t xml:space="preserve"> Ministry of Social Development</w:t>
      </w:r>
      <w:r w:rsidRPr="00CD481B">
        <w:rPr>
          <w:rStyle w:val="FootnoteReference"/>
        </w:rPr>
        <w:footnoteReference w:id="12"/>
      </w:r>
      <w:r w:rsidRPr="00CD481B">
        <w:rPr>
          <w:i/>
        </w:rPr>
        <w:t xml:space="preserve"> (article 9 of the Covenant</w:t>
      </w:r>
      <w:r w:rsidR="00251668" w:rsidRPr="00CD481B">
        <w:rPr>
          <w:i/>
        </w:rPr>
        <w:t xml:space="preserve"> — </w:t>
      </w:r>
      <w:r w:rsidRPr="00CD481B">
        <w:rPr>
          <w:i/>
        </w:rPr>
        <w:t>the right of everyone to social security, including social insurance; and article 11 of the Covenant</w:t>
      </w:r>
      <w:r w:rsidR="00251668" w:rsidRPr="00CD481B">
        <w:rPr>
          <w:i/>
        </w:rPr>
        <w:t xml:space="preserve"> — </w:t>
      </w:r>
      <w:r w:rsidRPr="00CD481B">
        <w:rPr>
          <w:i/>
        </w:rPr>
        <w:t>the right of everyone to an adequate standard of living for himself and his family, including adequate food, clothing and housing, and to the continuous improvement of living conditions)</w:t>
      </w:r>
      <w:r w:rsidR="00384249">
        <w:rPr>
          <w:i/>
        </w:rPr>
        <w:t>;</w:t>
      </w:r>
    </w:p>
    <w:p w:rsidR="00C9789E" w:rsidRPr="00CD481B" w:rsidRDefault="00C9789E" w:rsidP="00A105F6">
      <w:pPr>
        <w:pStyle w:val="Bullet1G"/>
        <w:rPr>
          <w:i/>
        </w:rPr>
      </w:pPr>
      <w:r w:rsidRPr="00CD481B">
        <w:rPr>
          <w:i/>
        </w:rPr>
        <w:t xml:space="preserve">Child Poverty Action Group </w:t>
      </w:r>
      <w:proofErr w:type="spellStart"/>
      <w:r w:rsidRPr="00CD481B">
        <w:rPr>
          <w:i/>
        </w:rPr>
        <w:t>Inc</w:t>
      </w:r>
      <w:proofErr w:type="spellEnd"/>
      <w:r w:rsidRPr="00CD481B">
        <w:rPr>
          <w:i/>
        </w:rPr>
        <w:t xml:space="preserve"> (CPAG)</w:t>
      </w:r>
      <w:r w:rsidR="00A73A2B" w:rsidRPr="00CD481B">
        <w:rPr>
          <w:i/>
        </w:rPr>
        <w:t xml:space="preserve"> v. </w:t>
      </w:r>
      <w:r w:rsidRPr="00CD481B">
        <w:rPr>
          <w:i/>
        </w:rPr>
        <w:t>the Attorney-General</w:t>
      </w:r>
      <w:r w:rsidRPr="00CD481B">
        <w:rPr>
          <w:rStyle w:val="FootnoteReference"/>
          <w:i/>
        </w:rPr>
        <w:footnoteReference w:id="13"/>
      </w:r>
      <w:r w:rsidRPr="00CD481B">
        <w:rPr>
          <w:i/>
        </w:rPr>
        <w:t xml:space="preserve"> (article 10(2) of the Covenant</w:t>
      </w:r>
      <w:r w:rsidR="001F5C90" w:rsidRPr="00CD481B">
        <w:rPr>
          <w:i/>
        </w:rPr>
        <w:t xml:space="preserve"> — </w:t>
      </w:r>
      <w:r w:rsidRPr="00CD481B">
        <w:rPr>
          <w:i/>
        </w:rPr>
        <w:t>obligations relating to the family)</w:t>
      </w:r>
      <w:r w:rsidR="00384249">
        <w:rPr>
          <w:i/>
        </w:rPr>
        <w:t>;</w:t>
      </w:r>
    </w:p>
    <w:p w:rsidR="00C9789E" w:rsidRPr="00CD481B" w:rsidRDefault="00C9789E" w:rsidP="00A105F6">
      <w:pPr>
        <w:pStyle w:val="Bullet1G"/>
        <w:rPr>
          <w:i/>
        </w:rPr>
      </w:pPr>
      <w:r w:rsidRPr="00CD481B">
        <w:rPr>
          <w:i/>
        </w:rPr>
        <w:t>Chan v</w:t>
      </w:r>
      <w:r w:rsidR="000922A4" w:rsidRPr="00CD481B">
        <w:rPr>
          <w:i/>
        </w:rPr>
        <w:t>.</w:t>
      </w:r>
      <w:r w:rsidRPr="00CD481B">
        <w:rPr>
          <w:i/>
        </w:rPr>
        <w:t xml:space="preserve"> Minister of Immigration</w:t>
      </w:r>
      <w:r w:rsidRPr="00CD481B">
        <w:rPr>
          <w:rStyle w:val="FootnoteReference"/>
        </w:rPr>
        <w:footnoteReference w:id="14"/>
      </w:r>
      <w:r w:rsidRPr="00CD481B">
        <w:rPr>
          <w:i/>
        </w:rPr>
        <w:t xml:space="preserve"> (article 11 of the Covenant</w:t>
      </w:r>
      <w:r w:rsidR="00251668" w:rsidRPr="00CD481B">
        <w:rPr>
          <w:i/>
        </w:rPr>
        <w:t xml:space="preserve"> — </w:t>
      </w:r>
      <w:r w:rsidRPr="00CD481B">
        <w:rPr>
          <w:i/>
        </w:rPr>
        <w:t>the right of everyone to an adequate standard of living for himself and his family, including adequate food, clothing and housing)</w:t>
      </w:r>
      <w:r w:rsidR="00384249">
        <w:rPr>
          <w:i/>
        </w:rPr>
        <w:t>;</w:t>
      </w:r>
    </w:p>
    <w:p w:rsidR="00C9789E" w:rsidRPr="00CD481B" w:rsidRDefault="00C9789E" w:rsidP="00A105F6">
      <w:pPr>
        <w:pStyle w:val="Bullet1G"/>
        <w:rPr>
          <w:i/>
        </w:rPr>
      </w:pPr>
      <w:proofErr w:type="spellStart"/>
      <w:r w:rsidRPr="00CD481B">
        <w:rPr>
          <w:i/>
        </w:rPr>
        <w:t>Entwistle</w:t>
      </w:r>
      <w:proofErr w:type="spellEnd"/>
      <w:r w:rsidRPr="00CD481B">
        <w:rPr>
          <w:i/>
        </w:rPr>
        <w:t xml:space="preserve"> v</w:t>
      </w:r>
      <w:r w:rsidR="000922A4" w:rsidRPr="00CD481B">
        <w:rPr>
          <w:i/>
        </w:rPr>
        <w:t>.</w:t>
      </w:r>
      <w:r w:rsidRPr="00CD481B">
        <w:rPr>
          <w:i/>
        </w:rPr>
        <w:t xml:space="preserve"> Wellington City Council</w:t>
      </w:r>
      <w:r w:rsidRPr="00CD481B">
        <w:rPr>
          <w:rStyle w:val="FootnoteReference"/>
          <w:i/>
        </w:rPr>
        <w:footnoteReference w:id="15"/>
      </w:r>
      <w:r w:rsidRPr="00CD481B">
        <w:rPr>
          <w:i/>
        </w:rPr>
        <w:t xml:space="preserve"> (article 11 of the Covenant</w:t>
      </w:r>
      <w:r w:rsidR="00251668" w:rsidRPr="00CD481B">
        <w:rPr>
          <w:i/>
        </w:rPr>
        <w:t xml:space="preserve"> — </w:t>
      </w:r>
      <w:r w:rsidRPr="00CD481B">
        <w:rPr>
          <w:i/>
        </w:rPr>
        <w:t>the right to adequate food, clothing and housing)</w:t>
      </w:r>
      <w:r w:rsidR="00384249">
        <w:rPr>
          <w:i/>
        </w:rPr>
        <w:t>;</w:t>
      </w:r>
    </w:p>
    <w:p w:rsidR="00C9789E" w:rsidRPr="00CD481B" w:rsidRDefault="00C9789E" w:rsidP="00A105F6">
      <w:pPr>
        <w:pStyle w:val="Bullet1G"/>
        <w:rPr>
          <w:i/>
        </w:rPr>
      </w:pPr>
      <w:r w:rsidRPr="00CD481B">
        <w:rPr>
          <w:i/>
        </w:rPr>
        <w:t xml:space="preserve">New Health New Zealand </w:t>
      </w:r>
      <w:proofErr w:type="spellStart"/>
      <w:r w:rsidRPr="00CD481B">
        <w:rPr>
          <w:i/>
        </w:rPr>
        <w:t>Inc</w:t>
      </w:r>
      <w:proofErr w:type="spellEnd"/>
      <w:r w:rsidRPr="00CD481B">
        <w:rPr>
          <w:i/>
        </w:rPr>
        <w:t xml:space="preserve"> v</w:t>
      </w:r>
      <w:r w:rsidR="000922A4" w:rsidRPr="00CD481B">
        <w:rPr>
          <w:i/>
        </w:rPr>
        <w:t>.</w:t>
      </w:r>
      <w:r w:rsidRPr="00CD481B">
        <w:rPr>
          <w:i/>
        </w:rPr>
        <w:t xml:space="preserve"> South Taranaki District Council</w:t>
      </w:r>
      <w:r w:rsidRPr="00CD481B">
        <w:rPr>
          <w:rStyle w:val="FootnoteReference"/>
          <w:i/>
        </w:rPr>
        <w:footnoteReference w:id="16"/>
      </w:r>
      <w:r w:rsidRPr="00CD481B">
        <w:rPr>
          <w:i/>
        </w:rPr>
        <w:t xml:space="preserve"> (article 12 of the Covenant</w:t>
      </w:r>
      <w:r w:rsidR="001F5C90" w:rsidRPr="00CD481B">
        <w:rPr>
          <w:i/>
        </w:rPr>
        <w:t xml:space="preserve"> — </w:t>
      </w:r>
      <w:r w:rsidRPr="00CD481B">
        <w:rPr>
          <w:i/>
        </w:rPr>
        <w:t>the right of everyone to the enjoyment of the highest attainable standard of physical and mental health)</w:t>
      </w:r>
      <w:r w:rsidR="00384249">
        <w:rPr>
          <w:i/>
        </w:rPr>
        <w:t>;</w:t>
      </w:r>
    </w:p>
    <w:p w:rsidR="00C9789E" w:rsidRPr="00AC14DB" w:rsidRDefault="00C9789E" w:rsidP="00A105F6">
      <w:pPr>
        <w:pStyle w:val="Bullet1G"/>
        <w:rPr>
          <w:i/>
        </w:rPr>
      </w:pPr>
      <w:r w:rsidRPr="00366526">
        <w:rPr>
          <w:i/>
        </w:rPr>
        <w:t>M v</w:t>
      </w:r>
      <w:r w:rsidR="000922A4">
        <w:rPr>
          <w:i/>
        </w:rPr>
        <w:t>.</w:t>
      </w:r>
      <w:r w:rsidRPr="00366526">
        <w:rPr>
          <w:i/>
        </w:rPr>
        <w:t xml:space="preserve"> Minister of Immigration</w:t>
      </w:r>
      <w:r w:rsidRPr="00706221">
        <w:rPr>
          <w:rStyle w:val="FootnoteReference"/>
        </w:rPr>
        <w:footnoteReference w:id="17"/>
      </w:r>
      <w:r w:rsidRPr="00F62F1C">
        <w:t xml:space="preserve"> </w:t>
      </w:r>
      <w:r w:rsidRPr="00AC14DB">
        <w:rPr>
          <w:i/>
        </w:rPr>
        <w:t>(article 10 of the Covenant</w:t>
      </w:r>
      <w:r w:rsidR="00251668" w:rsidRPr="00AC14DB">
        <w:rPr>
          <w:i/>
        </w:rPr>
        <w:t xml:space="preserve"> — </w:t>
      </w:r>
      <w:r w:rsidRPr="00AC14DB">
        <w:rPr>
          <w:i/>
        </w:rPr>
        <w:t xml:space="preserve">protection of family). </w:t>
      </w:r>
    </w:p>
    <w:p w:rsidR="00C9789E" w:rsidRPr="00F62F1C" w:rsidRDefault="00C9789E" w:rsidP="00706221">
      <w:pPr>
        <w:pStyle w:val="SingleTxtG"/>
      </w:pPr>
      <w:r w:rsidRPr="00F62F1C">
        <w:t>37.</w:t>
      </w:r>
      <w:r w:rsidRPr="00F62F1C">
        <w:tab/>
        <w:t>New Zealand takes a proactive approach to consultation on free trade agreements (FTAs) that includes:</w:t>
      </w:r>
    </w:p>
    <w:p w:rsidR="00C9789E" w:rsidRPr="00F62F1C" w:rsidRDefault="00C9789E" w:rsidP="00706221">
      <w:pPr>
        <w:pStyle w:val="SingleTxtG"/>
      </w:pPr>
      <w:r w:rsidRPr="00F62F1C">
        <w:tab/>
        <w:t>(a)</w:t>
      </w:r>
      <w:r w:rsidRPr="00F62F1C">
        <w:tab/>
      </w:r>
      <w:r w:rsidRPr="000C03A3">
        <w:rPr>
          <w:i/>
        </w:rPr>
        <w:t>Inter-departmental consultation process</w:t>
      </w:r>
      <w:r w:rsidRPr="00F62F1C">
        <w:t>: The negotiation of FTAs is conducted by a team that comprises officials from across Government. Other relevant departments are consulted during the negotiations in the preparation of New Zealand</w:t>
      </w:r>
      <w:r w:rsidR="00D34D95">
        <w:t>’</w:t>
      </w:r>
      <w:r w:rsidRPr="00F62F1C">
        <w:t xml:space="preserve">s negotiating position, including </w:t>
      </w:r>
      <w:proofErr w:type="spellStart"/>
      <w:r w:rsidRPr="00F62F1C">
        <w:t>Te</w:t>
      </w:r>
      <w:proofErr w:type="spellEnd"/>
      <w:r w:rsidRPr="00F62F1C">
        <w:t xml:space="preserve"> </w:t>
      </w:r>
      <w:proofErr w:type="spellStart"/>
      <w:r w:rsidRPr="00F62F1C">
        <w:t>Puni</w:t>
      </w:r>
      <w:proofErr w:type="spellEnd"/>
      <w:r w:rsidRPr="00F62F1C">
        <w:t xml:space="preserve"> </w:t>
      </w:r>
      <w:proofErr w:type="spellStart"/>
      <w:r w:rsidRPr="00F62F1C">
        <w:t>Kōkiri</w:t>
      </w:r>
      <w:proofErr w:type="spellEnd"/>
      <w:r w:rsidRPr="00F62F1C">
        <w:t xml:space="preserve"> (the Government department that leads Māori Public Policy and advises on po</w:t>
      </w:r>
      <w:r w:rsidR="00384249">
        <w:t>licy affecting Māori wellbeing);</w:t>
      </w:r>
    </w:p>
    <w:p w:rsidR="00C9789E" w:rsidRPr="00F62F1C" w:rsidRDefault="00C9789E" w:rsidP="00706221">
      <w:pPr>
        <w:pStyle w:val="SingleTxtG"/>
      </w:pPr>
      <w:r w:rsidRPr="00F62F1C">
        <w:lastRenderedPageBreak/>
        <w:tab/>
        <w:t>(b)</w:t>
      </w:r>
      <w:r w:rsidRPr="00F62F1C">
        <w:tab/>
      </w:r>
      <w:r w:rsidRPr="000C03A3">
        <w:rPr>
          <w:i/>
        </w:rPr>
        <w:t>Public consultation process</w:t>
      </w:r>
      <w:r w:rsidRPr="00F62F1C">
        <w:t>: The Government conducts a wide-ranging consultation programme to raise public awareness of negotiations and seek stakeholder views. Such consultation programmes typically use printed, emailed, and online information, supported by briefings, discussions and correspondence with key stakeholders with an interest in particular areas of the FTA. For many FTAs the Government provides a dedicated contact point available for public en</w:t>
      </w:r>
      <w:r w:rsidR="00384249">
        <w:t>quiries throughout negotiations;</w:t>
      </w:r>
    </w:p>
    <w:p w:rsidR="00C9789E" w:rsidRPr="00F62F1C" w:rsidRDefault="00C9789E" w:rsidP="00706221">
      <w:pPr>
        <w:pStyle w:val="SingleTxtG"/>
      </w:pPr>
      <w:r w:rsidRPr="00F62F1C">
        <w:tab/>
        <w:t>(c)</w:t>
      </w:r>
      <w:r w:rsidRPr="00F62F1C">
        <w:tab/>
      </w:r>
      <w:r w:rsidRPr="000C03A3">
        <w:rPr>
          <w:i/>
        </w:rPr>
        <w:t>Māori consultation process</w:t>
      </w:r>
      <w:r w:rsidRPr="00F62F1C">
        <w:t xml:space="preserve">: The </w:t>
      </w:r>
      <w:r w:rsidRPr="00CF4982">
        <w:rPr>
          <w:i/>
        </w:rPr>
        <w:t>2001 Government-mandated Strategy for Engagement with Māori on International Treaties</w:t>
      </w:r>
      <w:r w:rsidRPr="00F62F1C">
        <w:t xml:space="preserve"> lists the areas of developing international law of relevance to Māori and encourages a tailored approach to engagement according to the nature, extent, and relative strength of the Māori interest. In general terms, Māori involvement is expected on any treaty action affecting the control or enjoyment of Māori resources or </w:t>
      </w:r>
      <w:proofErr w:type="spellStart"/>
      <w:r w:rsidRPr="00F62F1C">
        <w:t>taonga</w:t>
      </w:r>
      <w:proofErr w:type="spellEnd"/>
      <w:r w:rsidRPr="00F62F1C">
        <w:t xml:space="preserve"> (an object or natural resource which is highly prized) as protected under the Treaty of Waitangi. </w:t>
      </w:r>
    </w:p>
    <w:p w:rsidR="00C9789E" w:rsidRPr="00F62F1C" w:rsidRDefault="00C9789E" w:rsidP="00706221">
      <w:pPr>
        <w:pStyle w:val="SingleTxtG"/>
      </w:pPr>
      <w:r w:rsidRPr="00F62F1C">
        <w:t>38.</w:t>
      </w:r>
      <w:r w:rsidRPr="00F62F1C">
        <w:tab/>
        <w:t>Following the conclusion of negotiations, there is a further process of public submissions as part of the Parliamentary treaty examination and legislative processes. This involves:</w:t>
      </w:r>
    </w:p>
    <w:p w:rsidR="00C9789E" w:rsidRPr="00F62F1C" w:rsidRDefault="00C9789E" w:rsidP="00706221">
      <w:pPr>
        <w:pStyle w:val="SingleTxtG"/>
      </w:pPr>
      <w:r w:rsidRPr="00F62F1C">
        <w:tab/>
        <w:t>(a)</w:t>
      </w:r>
      <w:r w:rsidRPr="00F62F1C">
        <w:tab/>
      </w:r>
      <w:r w:rsidRPr="000C03A3">
        <w:rPr>
          <w:i/>
        </w:rPr>
        <w:t>Parliamentary treaty examination</w:t>
      </w:r>
      <w:r w:rsidRPr="00F62F1C">
        <w:t>. All FTAs are presented to Parliament for examination prior to ratification. The text of the FTA, together with a National Interest Analysis, are presented to Parliament and referred to the Foreign Affairs, Defence and Trade Select Committee. The Select Committee invites the public to make submissions</w:t>
      </w:r>
      <w:r w:rsidR="00384249">
        <w:t xml:space="preserve"> and reports back to Parliament;</w:t>
      </w:r>
    </w:p>
    <w:p w:rsidR="00C9789E" w:rsidRPr="00F62F1C" w:rsidRDefault="00C9789E" w:rsidP="00706221">
      <w:pPr>
        <w:pStyle w:val="SingleTxtG"/>
      </w:pPr>
      <w:r w:rsidRPr="00F62F1C">
        <w:tab/>
        <w:t>(b)</w:t>
      </w:r>
      <w:r w:rsidRPr="00F62F1C">
        <w:tab/>
      </w:r>
      <w:r w:rsidRPr="000C03A3">
        <w:rPr>
          <w:i/>
        </w:rPr>
        <w:t>Parliament passes implementing domestic legislation</w:t>
      </w:r>
      <w:r w:rsidRPr="00F62F1C">
        <w:t>. Ratification of an FTA will not occur until the domestic legislative changes necessary to ensure New Zealand</w:t>
      </w:r>
      <w:r w:rsidR="00D34D95">
        <w:t>’</w:t>
      </w:r>
      <w:r w:rsidRPr="00F62F1C">
        <w:t>s compliance with the agreement are passed by Parliament. As with all legislation, the Minister must draw attention to any aspects of a Bill that has implications for, or may be affected by the principles of the Treaty of Waitangi, the rights and freedoms contained in the NZBORA and the Human Rights Act 1993, the principles in the Privacy Act 1993 and international obligations such as those contained in the Covenant. A disclosure statement must also be made.</w:t>
      </w:r>
    </w:p>
    <w:p w:rsidR="00C9789E" w:rsidRPr="00F62F1C" w:rsidRDefault="00C9789E" w:rsidP="000C03A3">
      <w:pPr>
        <w:pStyle w:val="H4G"/>
      </w:pPr>
      <w:r w:rsidRPr="00F62F1C">
        <w:tab/>
      </w:r>
      <w:r w:rsidRPr="00F62F1C">
        <w:tab/>
        <w:t>Trans-Pacific Partnership Agreement</w:t>
      </w:r>
      <w:r w:rsidR="0023775B">
        <w:t xml:space="preserve"> </w:t>
      </w:r>
    </w:p>
    <w:p w:rsidR="00C9789E" w:rsidRPr="00F62F1C" w:rsidRDefault="00C9789E" w:rsidP="00706221">
      <w:pPr>
        <w:pStyle w:val="SingleTxtG"/>
      </w:pPr>
      <w:r w:rsidRPr="00F62F1C">
        <w:t>39.</w:t>
      </w:r>
      <w:r w:rsidRPr="00F62F1C">
        <w:tab/>
        <w:t xml:space="preserve">The consultation process for the Trans-Pacific Partnership (TPP) was among the most extensive that the Government has undertaken for any trade negotiation. In addition, the Waitangi Tribunal conducted an urgent inquiry into two issues: the adequacy of the </w:t>
      </w:r>
      <w:r w:rsidR="007A370E">
        <w:t>“</w:t>
      </w:r>
      <w:r w:rsidRPr="00F62F1C">
        <w:t>Treaty of Waitangi exception</w:t>
      </w:r>
      <w:r w:rsidR="007A370E">
        <w:t>”</w:t>
      </w:r>
      <w:r w:rsidRPr="00F62F1C">
        <w:t xml:space="preserve"> in TPP; and what Māori engagement and input is now required over steps needed to ratify TPP. On 5 May 2016, the Tribunal released its report</w:t>
      </w:r>
      <w:bookmarkStart w:id="5" w:name="m_-7182805838541657058__ftnref1"/>
      <w:r w:rsidRPr="00F62F1C">
        <w:t xml:space="preserve"> [1]</w:t>
      </w:r>
      <w:bookmarkEnd w:id="5"/>
      <w:r w:rsidRPr="00F62F1C">
        <w:t>,</w:t>
      </w:r>
      <w:r w:rsidR="000C03A3">
        <w:t xml:space="preserve"> </w:t>
      </w:r>
      <w:r w:rsidRPr="00F62F1C">
        <w:t xml:space="preserve">finding that there was no breach of the Treaty of Waitangi principles arising from the inclusion of the Treaty of Waitangi exception clause (Article 29.6) in the TPP in its current form. It concluded that the exception clause offers a </w:t>
      </w:r>
      <w:r w:rsidR="00D34D95">
        <w:t>“</w:t>
      </w:r>
      <w:r w:rsidRPr="00F62F1C">
        <w:t>reasonable degree of protection</w:t>
      </w:r>
      <w:r w:rsidR="00D34D95">
        <w:t>”</w:t>
      </w:r>
      <w:r w:rsidRPr="00F62F1C">
        <w:t xml:space="preserve"> to Māori interests affected by TPP.</w:t>
      </w:r>
    </w:p>
    <w:p w:rsidR="00C9789E" w:rsidRPr="00F62F1C" w:rsidRDefault="00C9789E" w:rsidP="00706221">
      <w:pPr>
        <w:pStyle w:val="SingleTxtG"/>
      </w:pPr>
      <w:r w:rsidRPr="00F62F1C">
        <w:t>40.</w:t>
      </w:r>
      <w:r w:rsidRPr="00F62F1C">
        <w:tab/>
        <w:t>The Tribunal also considered engagement with Māori on the steps needed to ratify TPP, commenting on future engagement practice, and requesting further information concerning future engagement on implementation of the TPP obligation regarding plant variety rights. The government continues to advise the Tribunal of engagement with Māori concerning plant variety rights as directed.</w:t>
      </w:r>
      <w:r w:rsidR="0023775B">
        <w:t xml:space="preserve"> </w:t>
      </w:r>
      <w:r w:rsidRPr="00F62F1C">
        <w:t>The Tribunal made no findings of breach of the Treaty of Waitangi principles in relation to the TPP engagement process.</w:t>
      </w:r>
    </w:p>
    <w:p w:rsidR="00C9789E" w:rsidRPr="00F62F1C" w:rsidRDefault="00C9789E" w:rsidP="00706221">
      <w:pPr>
        <w:pStyle w:val="SingleTxtG"/>
      </w:pPr>
      <w:r w:rsidRPr="00F62F1C">
        <w:t>41.</w:t>
      </w:r>
      <w:r w:rsidRPr="00F62F1C">
        <w:tab/>
        <w:t>The Government continues to inform stakeholders on developments regarding TPP. On 12 May 2017, New Zealand having completed the necessary regulatory, administrative and legal steps ratified the TPP.</w:t>
      </w:r>
      <w:r w:rsidR="0023775B">
        <w:t xml:space="preserve"> </w:t>
      </w:r>
      <w:r w:rsidRPr="00F62F1C">
        <w:t>TPP obligations would come into effect when the agreement enters into force, not through ratification. The United States advised TPP signatories in January 2017 that it does not intend to become a party to the TPP.</w:t>
      </w:r>
      <w:r w:rsidR="0023775B">
        <w:t xml:space="preserve"> </w:t>
      </w:r>
      <w:r w:rsidRPr="00F62F1C">
        <w:t>The agreement cannot come into force without the United States</w:t>
      </w:r>
      <w:r w:rsidR="00D34D95">
        <w:t>’</w:t>
      </w:r>
      <w:r w:rsidRPr="00F62F1C">
        <w:t xml:space="preserve"> participation.</w:t>
      </w:r>
    </w:p>
    <w:p w:rsidR="00C9789E" w:rsidRPr="00F62F1C" w:rsidRDefault="00C9789E" w:rsidP="00706221">
      <w:pPr>
        <w:pStyle w:val="SingleTxtG"/>
      </w:pPr>
      <w:r w:rsidRPr="00F62F1C">
        <w:t>42.</w:t>
      </w:r>
      <w:r w:rsidRPr="00F62F1C">
        <w:tab/>
        <w:t>The Government has informed the Tribunal, claimants and the public that the remaining TPP partners, including New Zealand, are currently discussing possible next steps.</w:t>
      </w:r>
      <w:r w:rsidR="0023775B">
        <w:t xml:space="preserve"> </w:t>
      </w:r>
      <w:r w:rsidRPr="00F62F1C">
        <w:t xml:space="preserve">There are a range of possible scenarios relating to the TPP, including options without </w:t>
      </w:r>
      <w:r w:rsidRPr="00F62F1C">
        <w:lastRenderedPageBreak/>
        <w:t>the United States. At the time of writing, discussions between the remaining TPP countries have not been completed, so the next steps are unclear at this time. The New</w:t>
      </w:r>
      <w:r w:rsidR="000C03A3">
        <w:t xml:space="preserve"> </w:t>
      </w:r>
      <w:r w:rsidRPr="00F62F1C">
        <w:t>Zealand Government continues to inform stakeholders on developments regarding TPP, with a number of engagements planned for 2017 including specific engagement with Māori.</w:t>
      </w:r>
    </w:p>
    <w:p w:rsidR="00C9789E" w:rsidRPr="00F62F1C" w:rsidRDefault="00C9789E" w:rsidP="00997465">
      <w:pPr>
        <w:pStyle w:val="H4G"/>
      </w:pPr>
      <w:r w:rsidRPr="00F62F1C">
        <w:tab/>
      </w:r>
      <w:r w:rsidRPr="00F62F1C">
        <w:tab/>
        <w:t>Future FTA negotiations</w:t>
      </w:r>
    </w:p>
    <w:p w:rsidR="00C9789E" w:rsidRPr="00F62F1C" w:rsidRDefault="00C9789E" w:rsidP="00706221">
      <w:pPr>
        <w:pStyle w:val="SingleTxtG"/>
      </w:pPr>
      <w:r w:rsidRPr="00F62F1C">
        <w:t>43.</w:t>
      </w:r>
      <w:r w:rsidRPr="00F62F1C">
        <w:tab/>
        <w:t xml:space="preserve">The EU-NZ FTA is currently in a preparatory phase with formal negotiations expected to be launched in 2017. In early 2016, New Zealand ran a first round of public consultation involving asking for written submissions from the public regarding the prospect of an EU-NZ FTA. In the call for submissions, it was indicated that the Government was seeking input from those with an interest in the prospective FTA negotiations, including businesses, NGOs, Māori and members of the public. </w:t>
      </w:r>
      <w:r w:rsidR="00870DB3" w:rsidRPr="00F62F1C">
        <w:t>Twenty-four</w:t>
      </w:r>
      <w:r w:rsidRPr="00F62F1C">
        <w:t xml:space="preserve"> submissions were received and are available on the Ministry of Foreign Affairs website.</w:t>
      </w:r>
      <w:r w:rsidR="0023775B">
        <w:t xml:space="preserve"> </w:t>
      </w:r>
      <w:r w:rsidRPr="00F62F1C">
        <w:t>The EU ran a similar public consultation process and New Zealand stakeholders were encouraged to submit in to this process.</w:t>
      </w:r>
      <w:r w:rsidR="0023775B">
        <w:t xml:space="preserve"> </w:t>
      </w:r>
    </w:p>
    <w:p w:rsidR="00C9789E" w:rsidRPr="00F62F1C" w:rsidRDefault="00C9789E" w:rsidP="00706221">
      <w:pPr>
        <w:pStyle w:val="SingleTxtG"/>
      </w:pPr>
      <w:r w:rsidRPr="00F62F1C">
        <w:t>44.</w:t>
      </w:r>
      <w:r w:rsidRPr="00F62F1C">
        <w:tab/>
        <w:t>TPP would coexist with other international agreements, and allow governments to continue to advance work in other areas to address matters of international significance. Article 1.2 of TPP expressly recognises the Parties</w:t>
      </w:r>
      <w:r w:rsidR="00D34D95">
        <w:t>’</w:t>
      </w:r>
      <w:r w:rsidRPr="00F62F1C">
        <w:t xml:space="preserve"> intention for the TPP to coexist with their existing international agreements. </w:t>
      </w:r>
    </w:p>
    <w:p w:rsidR="00C9789E" w:rsidRPr="00F62F1C" w:rsidRDefault="00C9789E" w:rsidP="00706221">
      <w:pPr>
        <w:pStyle w:val="SingleTxtG"/>
      </w:pPr>
      <w:r w:rsidRPr="00F62F1C">
        <w:t>45.</w:t>
      </w:r>
      <w:r w:rsidRPr="00F62F1C">
        <w:tab/>
        <w:t>The TPP includes an investor-state dispute settlement (ISDS) mechanism. The ISDS mechanism applies only to investment provisions in the TPP. The provisions in the TPP ensure the Government</w:t>
      </w:r>
      <w:r w:rsidR="00D34D95">
        <w:t>’</w:t>
      </w:r>
      <w:r w:rsidRPr="00F62F1C">
        <w:t>s ability to regulate for legitimate public policy purposes is protected, including through the application of the same types of safeguards which are found in New Zealand</w:t>
      </w:r>
      <w:r w:rsidR="00D34D95">
        <w:t>’</w:t>
      </w:r>
      <w:r w:rsidRPr="00F62F1C">
        <w:t xml:space="preserve">s existing FTAs with ISDS. In a number of </w:t>
      </w:r>
      <w:proofErr w:type="gramStart"/>
      <w:r w:rsidRPr="00F62F1C">
        <w:t>areas</w:t>
      </w:r>
      <w:proofErr w:type="gramEnd"/>
      <w:r w:rsidRPr="00F62F1C">
        <w:t xml:space="preserve"> the TPP includes additional protections, including a provision that allows the Government to rule out ISDS challenges over tobacco control measures. </w:t>
      </w:r>
    </w:p>
    <w:p w:rsidR="00C9789E" w:rsidRPr="00F62F1C" w:rsidRDefault="00C9789E" w:rsidP="00706221">
      <w:pPr>
        <w:pStyle w:val="SingleTxtG"/>
      </w:pPr>
      <w:r w:rsidRPr="00F62F1C">
        <w:t>46.</w:t>
      </w:r>
      <w:r w:rsidRPr="00F62F1C">
        <w:tab/>
        <w:t>The TPP Investment Chapter deliberately includes certain safeguards to preserve the Government</w:t>
      </w:r>
      <w:r w:rsidR="00D34D95">
        <w:t>’</w:t>
      </w:r>
      <w:r w:rsidRPr="00F62F1C">
        <w:t>s right to regulate and to prevent unwarranted ISDS claims including:</w:t>
      </w:r>
      <w:bookmarkStart w:id="6" w:name="_Toc456855162"/>
    </w:p>
    <w:p w:rsidR="00C9789E" w:rsidRPr="00F62F1C" w:rsidRDefault="00C9789E" w:rsidP="00706221">
      <w:pPr>
        <w:pStyle w:val="SingleTxtG"/>
      </w:pPr>
      <w:r w:rsidRPr="00F62F1C">
        <w:tab/>
        <w:t>(a)</w:t>
      </w:r>
      <w:r w:rsidRPr="00F62F1C">
        <w:tab/>
        <w:t>Exceptions to the Investment Chapter</w:t>
      </w:r>
      <w:r w:rsidR="00D34D95">
        <w:t>’</w:t>
      </w:r>
      <w:r w:rsidRPr="00F62F1C">
        <w:t>s rules to limit the scope of the Chapter and therefore limit the scope of ISDS. For New Zealand, these exceptions cover important policy areas such as health and other public services, and the ongoing screening of foreign investment</w:t>
      </w:r>
      <w:bookmarkEnd w:id="6"/>
      <w:r w:rsidRPr="00F62F1C">
        <w:t>;</w:t>
      </w:r>
    </w:p>
    <w:p w:rsidR="00C9789E" w:rsidRPr="00F62F1C" w:rsidRDefault="00C9789E" w:rsidP="00706221">
      <w:pPr>
        <w:pStyle w:val="SingleTxtG"/>
      </w:pPr>
      <w:bookmarkStart w:id="7" w:name="_Toc456855163"/>
      <w:r w:rsidRPr="00F62F1C">
        <w:tab/>
        <w:t>(b)</w:t>
      </w:r>
      <w:r w:rsidRPr="00F62F1C">
        <w:tab/>
        <w:t>A provision that allows the Government to rule out ISDS challenges over tobacco control measures. The Government intends to exercise this provision</w:t>
      </w:r>
      <w:bookmarkEnd w:id="7"/>
      <w:r w:rsidRPr="00F62F1C">
        <w:t>;</w:t>
      </w:r>
    </w:p>
    <w:p w:rsidR="00C9789E" w:rsidRPr="00F62F1C" w:rsidRDefault="00C9789E" w:rsidP="00706221">
      <w:pPr>
        <w:pStyle w:val="SingleTxtG"/>
      </w:pPr>
      <w:bookmarkStart w:id="8" w:name="_Toc456855165"/>
      <w:r w:rsidRPr="00F62F1C">
        <w:tab/>
        <w:t>(c)</w:t>
      </w:r>
      <w:r w:rsidRPr="00F62F1C">
        <w:tab/>
        <w:t>Investment obligations have been drafted to impose a high burden of proof on investors to establish that a TPP government had breached obligations such as</w:t>
      </w:r>
      <w:r w:rsidR="00E64028">
        <w:t xml:space="preserve"> “</w:t>
      </w:r>
      <w:r w:rsidRPr="00F62F1C">
        <w:t>expropriation</w:t>
      </w:r>
      <w:r w:rsidR="00E64028">
        <w:t>”</w:t>
      </w:r>
      <w:r w:rsidRPr="00F62F1C">
        <w:t xml:space="preserve"> or </w:t>
      </w:r>
      <w:r w:rsidR="001075A6">
        <w:t>“</w:t>
      </w:r>
      <w:r w:rsidRPr="00F62F1C">
        <w:t>minimum standard of treatment</w:t>
      </w:r>
      <w:r w:rsidR="001075A6">
        <w:t>”</w:t>
      </w:r>
      <w:r w:rsidRPr="00F62F1C">
        <w:t>. The investor has the burden of proving all elements of its claims under the TPP</w:t>
      </w:r>
      <w:bookmarkEnd w:id="8"/>
      <w:r w:rsidRPr="00F62F1C">
        <w:t>;</w:t>
      </w:r>
    </w:p>
    <w:p w:rsidR="00C9789E" w:rsidRPr="00F62F1C" w:rsidRDefault="00C9789E" w:rsidP="00706221">
      <w:pPr>
        <w:pStyle w:val="SingleTxtG"/>
      </w:pPr>
      <w:bookmarkStart w:id="9" w:name="_Toc456855166"/>
      <w:r w:rsidRPr="00F62F1C">
        <w:tab/>
        <w:t>(d)</w:t>
      </w:r>
      <w:r w:rsidRPr="00F62F1C">
        <w:tab/>
        <w:t>Government action (or inaction) that is inconsistent with an investor</w:t>
      </w:r>
      <w:r w:rsidR="00D34D95">
        <w:t>’</w:t>
      </w:r>
      <w:r w:rsidRPr="00F62F1C">
        <w:t>s expectations will not in and of itself constitute a breach of the Investment Chapter leading to potential ISDS, even if there is loss or damage to the covered investment</w:t>
      </w:r>
      <w:bookmarkEnd w:id="9"/>
      <w:r w:rsidRPr="00F62F1C">
        <w:t>;</w:t>
      </w:r>
    </w:p>
    <w:p w:rsidR="00C9789E" w:rsidRPr="00F62F1C" w:rsidRDefault="00C9789E" w:rsidP="00706221">
      <w:pPr>
        <w:pStyle w:val="SingleTxtG"/>
      </w:pPr>
      <w:bookmarkStart w:id="10" w:name="_Toc456855167"/>
      <w:r w:rsidRPr="00F62F1C">
        <w:tab/>
        <w:t>(e)</w:t>
      </w:r>
      <w:r w:rsidRPr="00F62F1C">
        <w:tab/>
        <w:t>Government decisions not to issue, renew, or maintain decisions to modify or reduce subsidies or grants will not in and of itself constitute a breach of expropriation, or the minimum standard of treatment obligations leading to potential ISDS</w:t>
      </w:r>
      <w:bookmarkEnd w:id="10"/>
      <w:r w:rsidRPr="00F62F1C">
        <w:t>;</w:t>
      </w:r>
    </w:p>
    <w:p w:rsidR="00C9789E" w:rsidRPr="00F62F1C" w:rsidRDefault="00C9789E" w:rsidP="00706221">
      <w:pPr>
        <w:pStyle w:val="SingleTxtG"/>
      </w:pPr>
      <w:bookmarkStart w:id="11" w:name="_Toc456855168"/>
      <w:r w:rsidRPr="00F62F1C">
        <w:tab/>
        <w:t>(f)</w:t>
      </w:r>
      <w:r w:rsidRPr="00F62F1C">
        <w:tab/>
        <w:t>The consultation and negotiations processes are compulsory for any potential ISDS case. This provides an opportunity for any case to be resolved prior to it reaching a full arbitral hearing</w:t>
      </w:r>
      <w:bookmarkEnd w:id="11"/>
      <w:r w:rsidRPr="00F62F1C">
        <w:t>;</w:t>
      </w:r>
    </w:p>
    <w:p w:rsidR="00C9789E" w:rsidRPr="00F62F1C" w:rsidRDefault="00C9789E" w:rsidP="00706221">
      <w:pPr>
        <w:pStyle w:val="SingleTxtG"/>
      </w:pPr>
      <w:bookmarkStart w:id="12" w:name="_Toc456855169"/>
      <w:r w:rsidRPr="00F62F1C">
        <w:tab/>
        <w:t>(g)</w:t>
      </w:r>
      <w:r w:rsidRPr="00F62F1C">
        <w:tab/>
        <w:t>Limiting the types of monetary awards and damages that can be made against the Government. The Government cannot face claims for punitive damages and costs can also be awarded against an investor if their claim is ultimately unsuccessful</w:t>
      </w:r>
      <w:bookmarkEnd w:id="12"/>
      <w:r w:rsidRPr="00F62F1C">
        <w:t>;</w:t>
      </w:r>
    </w:p>
    <w:p w:rsidR="00C9789E" w:rsidRPr="00F62F1C" w:rsidRDefault="00C9789E" w:rsidP="00706221">
      <w:pPr>
        <w:pStyle w:val="SingleTxtG"/>
      </w:pPr>
      <w:bookmarkStart w:id="13" w:name="_Toc456855170"/>
      <w:r w:rsidRPr="00F62F1C">
        <w:tab/>
        <w:t>(h)</w:t>
      </w:r>
      <w:r w:rsidRPr="00F62F1C">
        <w:tab/>
        <w:t>In addition to existing arbitration procedures, the Government is expressly permitted to make a counterclaim and obtain damages when the investor is in the wrong under a covered investment agreement</w:t>
      </w:r>
      <w:bookmarkEnd w:id="13"/>
      <w:r w:rsidRPr="00F62F1C">
        <w:t>;</w:t>
      </w:r>
    </w:p>
    <w:p w:rsidR="00C9789E" w:rsidRPr="00F62F1C" w:rsidRDefault="00C9789E" w:rsidP="00706221">
      <w:pPr>
        <w:pStyle w:val="SingleTxtG"/>
      </w:pPr>
      <w:bookmarkStart w:id="14" w:name="_Toc456855171"/>
      <w:r w:rsidRPr="00F62F1C">
        <w:lastRenderedPageBreak/>
        <w:tab/>
        <w:t>(</w:t>
      </w:r>
      <w:proofErr w:type="spellStart"/>
      <w:r w:rsidRPr="00F62F1C">
        <w:t>i</w:t>
      </w:r>
      <w:proofErr w:type="spellEnd"/>
      <w:r w:rsidRPr="00F62F1C">
        <w:t>)</w:t>
      </w:r>
      <w:r w:rsidRPr="00F62F1C">
        <w:tab/>
        <w:t>Provisions allow TPPA governments to issue binding interpretations on ISDS tribunals</w:t>
      </w:r>
      <w:bookmarkEnd w:id="14"/>
      <w:r w:rsidRPr="00F62F1C">
        <w:t>;</w:t>
      </w:r>
    </w:p>
    <w:p w:rsidR="00C9789E" w:rsidRPr="00F62F1C" w:rsidRDefault="00C9789E" w:rsidP="00706221">
      <w:pPr>
        <w:pStyle w:val="SingleTxtG"/>
      </w:pPr>
      <w:bookmarkStart w:id="15" w:name="_Toc456855172"/>
      <w:r w:rsidRPr="00F62F1C">
        <w:tab/>
        <w:t>(j)</w:t>
      </w:r>
      <w:r w:rsidRPr="00F62F1C">
        <w:tab/>
        <w:t>Provisions mean hearings will be open to the public, and which allow tribunals to accept submissions from experts and the public</w:t>
      </w:r>
      <w:bookmarkEnd w:id="15"/>
      <w:r w:rsidRPr="00F62F1C">
        <w:t>;</w:t>
      </w:r>
    </w:p>
    <w:p w:rsidR="00C9789E" w:rsidRPr="00F62F1C" w:rsidRDefault="00C9789E" w:rsidP="00706221">
      <w:pPr>
        <w:pStyle w:val="SingleTxtG"/>
      </w:pPr>
      <w:bookmarkStart w:id="16" w:name="_Toc456855173"/>
      <w:r w:rsidRPr="00F62F1C">
        <w:tab/>
        <w:t>(k)</w:t>
      </w:r>
      <w:r w:rsidRPr="00F62F1C">
        <w:tab/>
        <w:t>Procedures and rules that limit the possibility of an ISDS claim being made in the first place. Claims must be submitted before three and a half years have passed, and the investor must initially enter into consultation and negotiations to attempt to resolve the claim with the Government. Any preliminary objections from the Government, for example that the claim goes beyond a tribunal</w:t>
      </w:r>
      <w:r w:rsidR="00D34D95">
        <w:t>’</w:t>
      </w:r>
      <w:r w:rsidRPr="00F62F1C">
        <w:t>s jurisdiction or is manifestly without legal merit, must be resolved before the full arbitration commences.</w:t>
      </w:r>
      <w:bookmarkEnd w:id="16"/>
    </w:p>
    <w:p w:rsidR="00C9789E" w:rsidRPr="00F62F1C" w:rsidRDefault="00C9789E" w:rsidP="00F06EC6">
      <w:pPr>
        <w:pStyle w:val="H23G"/>
      </w:pPr>
      <w:r w:rsidRPr="00F62F1C">
        <w:tab/>
      </w:r>
      <w:r w:rsidRPr="00F62F1C">
        <w:tab/>
        <w:t>Health</w:t>
      </w:r>
    </w:p>
    <w:p w:rsidR="00C9789E" w:rsidRPr="00F62F1C" w:rsidRDefault="00C9789E" w:rsidP="00706221">
      <w:pPr>
        <w:pStyle w:val="SingleTxtG"/>
      </w:pPr>
      <w:r w:rsidRPr="00F62F1C">
        <w:t>47.</w:t>
      </w:r>
      <w:r w:rsidRPr="00F62F1C">
        <w:tab/>
        <w:t>Within New Zealand, there are large disparities in health status between population groups, with Māori children, Pasifika children, and children from low-income families experiencing poorer health outcomes than the overall child population. The Government is addressing this by developing policies, structural arrangements and consultation mechanisms which recognise the disparities in health status that currently exist within these groups. Some examples of these are listed below.</w:t>
      </w:r>
    </w:p>
    <w:p w:rsidR="00C9789E" w:rsidRPr="00F62F1C" w:rsidRDefault="00C9789E" w:rsidP="00997465">
      <w:pPr>
        <w:pStyle w:val="H4G"/>
      </w:pPr>
      <w:r w:rsidRPr="00F62F1C">
        <w:tab/>
      </w:r>
      <w:r w:rsidRPr="00F62F1C">
        <w:tab/>
        <w:t>Well Child/</w:t>
      </w:r>
      <w:proofErr w:type="spellStart"/>
      <w:r w:rsidRPr="00F62F1C">
        <w:t>Tamariki</w:t>
      </w:r>
      <w:proofErr w:type="spellEnd"/>
      <w:r w:rsidRPr="00F62F1C">
        <w:t xml:space="preserve"> </w:t>
      </w:r>
      <w:proofErr w:type="spellStart"/>
      <w:r w:rsidRPr="00F62F1C">
        <w:t>Ora</w:t>
      </w:r>
      <w:proofErr w:type="spellEnd"/>
      <w:r w:rsidRPr="00F62F1C">
        <w:t xml:space="preserve"> universal services</w:t>
      </w:r>
    </w:p>
    <w:p w:rsidR="00C9789E" w:rsidRPr="00F62F1C" w:rsidRDefault="00C9789E" w:rsidP="00706221">
      <w:pPr>
        <w:pStyle w:val="SingleTxtG"/>
      </w:pPr>
      <w:r w:rsidRPr="00F62F1C">
        <w:t>48.</w:t>
      </w:r>
      <w:r w:rsidRPr="00F62F1C">
        <w:tab/>
        <w:t>The Well Child/</w:t>
      </w:r>
      <w:proofErr w:type="spellStart"/>
      <w:r w:rsidRPr="00F62F1C">
        <w:t>Tamariki</w:t>
      </w:r>
      <w:proofErr w:type="spellEnd"/>
      <w:r w:rsidRPr="00F62F1C">
        <w:t xml:space="preserve"> </w:t>
      </w:r>
      <w:proofErr w:type="spellStart"/>
      <w:r w:rsidRPr="00F62F1C">
        <w:t>Ora</w:t>
      </w:r>
      <w:proofErr w:type="spellEnd"/>
      <w:r w:rsidRPr="00F62F1C">
        <w:t xml:space="preserve"> (WCTO) programme supports and promotes the healthy development of children and their families from birth to five years. A key component of this programme is the provision of home visiting services by trained nurses and </w:t>
      </w:r>
      <w:proofErr w:type="spellStart"/>
      <w:r w:rsidRPr="00F62F1C">
        <w:t>Kaiawhina</w:t>
      </w:r>
      <w:proofErr w:type="spellEnd"/>
      <w:r w:rsidRPr="00F62F1C">
        <w:t xml:space="preserve"> (Māori community health workers). The Government has provided funding to lift the overall WCTO enrolment rate in each region. </w:t>
      </w:r>
    </w:p>
    <w:p w:rsidR="00C9789E" w:rsidRPr="00F62F1C" w:rsidRDefault="00C9789E" w:rsidP="00706221">
      <w:pPr>
        <w:pStyle w:val="SingleTxtG"/>
      </w:pPr>
      <w:r w:rsidRPr="00F62F1C">
        <w:t>49.</w:t>
      </w:r>
      <w:r w:rsidRPr="00F62F1C">
        <w:tab/>
        <w:t>In 2015, there were significant improvements in timeliness and completion of appointments for Māori children, Pasifika children and highly deprived children reducing the equality gap that has been reported in previous periods.</w:t>
      </w:r>
      <w:r w:rsidR="0023775B">
        <w:t xml:space="preserve"> </w:t>
      </w:r>
      <w:r w:rsidRPr="00F62F1C">
        <w:t xml:space="preserve">Initial analysis suggests that if improvement rates for Māori, Pacific and highly deprived children are maintained, equitable rates of coverage and delivery of the programme with the wider population could be achieved by 2018/19. The Government has initiated a review of WCTO content, timing and delivery modes to support expected gains in improvement rates. </w:t>
      </w:r>
    </w:p>
    <w:p w:rsidR="00C9789E" w:rsidRPr="00F62F1C" w:rsidRDefault="00C9789E" w:rsidP="00030C69">
      <w:pPr>
        <w:pStyle w:val="H4G"/>
      </w:pPr>
      <w:r w:rsidRPr="00F62F1C">
        <w:tab/>
      </w:r>
      <w:r w:rsidRPr="00F62F1C">
        <w:tab/>
        <w:t>Childhood Immunisation</w:t>
      </w:r>
    </w:p>
    <w:p w:rsidR="00C9789E" w:rsidRPr="00F62F1C" w:rsidRDefault="00C9789E" w:rsidP="00706221">
      <w:pPr>
        <w:pStyle w:val="SingleTxtG"/>
      </w:pPr>
      <w:r w:rsidRPr="00F62F1C">
        <w:t>50.</w:t>
      </w:r>
      <w:r w:rsidRPr="00F62F1C">
        <w:tab/>
        <w:t>The Government is committed to the World Health Organization goal of achieving the Global Vaccine Action Plan (GVAP) and uses this framework to develop and strengthen its national immunisation policy.</w:t>
      </w:r>
      <w:r w:rsidR="0023775B">
        <w:t xml:space="preserve"> </w:t>
      </w:r>
      <w:r w:rsidRPr="00F62F1C">
        <w:t xml:space="preserve">The government uses an immunisation information system that schedules vaccines and </w:t>
      </w:r>
      <w:proofErr w:type="spellStart"/>
      <w:r w:rsidRPr="00F62F1C">
        <w:t>precalls</w:t>
      </w:r>
      <w:proofErr w:type="spellEnd"/>
      <w:r w:rsidRPr="00F62F1C">
        <w:t>/recalls patients. This has led to successful health gains for Māori and Pasifika communities.</w:t>
      </w:r>
    </w:p>
    <w:p w:rsidR="00C9789E" w:rsidRPr="00F62F1C" w:rsidRDefault="00C9789E" w:rsidP="00706221">
      <w:pPr>
        <w:pStyle w:val="SingleTxtG"/>
      </w:pPr>
      <w:r w:rsidRPr="00F62F1C">
        <w:t>51.</w:t>
      </w:r>
      <w:r w:rsidRPr="00F62F1C">
        <w:tab/>
        <w:t>We continue to focus on achieving equitable coverage for all New Zealanders, including vulnerable and marginalised members of society by measuring immunisation coverage across all ethnicities and deprivation strata. Since 2008, immunisation rates have significantly improved, and gains have been made towards health equity.</w:t>
      </w:r>
      <w:r w:rsidR="0023775B">
        <w:t xml:space="preserve"> </w:t>
      </w:r>
      <w:r w:rsidRPr="00F62F1C">
        <w:t>The primary series of immunisations is given at ages 6 weeks, three months and five months.</w:t>
      </w:r>
      <w:r w:rsidR="0023775B">
        <w:t xml:space="preserve"> </w:t>
      </w:r>
      <w:r w:rsidRPr="00F62F1C">
        <w:t xml:space="preserve">Coverage for these immunisations measured at age 12 </w:t>
      </w:r>
      <w:proofErr w:type="gramStart"/>
      <w:r w:rsidRPr="00F62F1C">
        <w:t>months</w:t>
      </w:r>
      <w:proofErr w:type="gramEnd"/>
      <w:r w:rsidRPr="00F62F1C">
        <w:t xml:space="preserve"> highlights that between 94 and 95 percent of the total population are now fully immunised.</w:t>
      </w:r>
      <w:r w:rsidR="0023775B">
        <w:t xml:space="preserve"> </w:t>
      </w:r>
      <w:r w:rsidRPr="00F62F1C">
        <w:t>Māori coverage at this age is between 93 and 94 percent, and Pacific and Asian coverage is between 97 and 98 percent each.</w:t>
      </w:r>
      <w:r w:rsidR="0023775B">
        <w:t xml:space="preserve"> </w:t>
      </w:r>
      <w:r w:rsidRPr="00F62F1C">
        <w:t xml:space="preserve">Those living in the most deprived two deciles have 94 percent immunisation coverage at age 12 months. This compares with immunisation coverage rates of 83 percent overall and 76 percent for Māori at age 12 months in 2008. </w:t>
      </w:r>
    </w:p>
    <w:p w:rsidR="00C9789E" w:rsidRPr="00F62F1C" w:rsidRDefault="00C9789E" w:rsidP="00706221">
      <w:pPr>
        <w:pStyle w:val="SingleTxtG"/>
      </w:pPr>
      <w:r w:rsidRPr="00F62F1C">
        <w:t>52.</w:t>
      </w:r>
      <w:r w:rsidRPr="00F62F1C">
        <w:tab/>
        <w:t>Despite this we are still challenged with ensuring immunisations are given on time.</w:t>
      </w:r>
      <w:r w:rsidR="0023775B">
        <w:t xml:space="preserve"> </w:t>
      </w:r>
      <w:r w:rsidRPr="00F62F1C">
        <w:t>For example, coverage measured at eight months was 93 percent at 31 December 2016. Māori coverage at this age was 91 percent, and Pasifika coverage was 97 percent.</w:t>
      </w:r>
      <w:r w:rsidR="0023775B">
        <w:t xml:space="preserve"> </w:t>
      </w:r>
      <w:r w:rsidRPr="00F62F1C">
        <w:t xml:space="preserve">Those living in the most deprived two deciles had 92 percent immunisation coverage at age eight </w:t>
      </w:r>
      <w:r w:rsidRPr="00F62F1C">
        <w:lastRenderedPageBreak/>
        <w:t>months. Measuring coverage by ethnicity and deprivation at age two years shows similar results.</w:t>
      </w:r>
    </w:p>
    <w:p w:rsidR="00C9789E" w:rsidRPr="00F62F1C" w:rsidRDefault="00C9789E" w:rsidP="00706221">
      <w:pPr>
        <w:pStyle w:val="SingleTxtG"/>
      </w:pPr>
      <w:r w:rsidRPr="00F62F1C">
        <w:t>53.</w:t>
      </w:r>
      <w:r w:rsidRPr="00F62F1C">
        <w:tab/>
        <w:t xml:space="preserve">Structural inequalities were recognised early in the term of the immunisation target as having the potential to reduce overall coverage, but in particular the coverage of Māori children, and also those living in the most deprived communities. An outreach programme was developed addressing the impact of differential health literacy, and poorer access to primary health care and transport. </w:t>
      </w:r>
    </w:p>
    <w:p w:rsidR="00C9789E" w:rsidRPr="00F62F1C" w:rsidRDefault="00C9789E" w:rsidP="00030C69">
      <w:pPr>
        <w:pStyle w:val="H4G"/>
      </w:pPr>
      <w:r w:rsidRPr="00F62F1C">
        <w:tab/>
      </w:r>
      <w:r w:rsidRPr="00F62F1C">
        <w:tab/>
        <w:t>Youth Health</w:t>
      </w:r>
    </w:p>
    <w:p w:rsidR="00C9789E" w:rsidRPr="00F62F1C" w:rsidRDefault="00C9789E" w:rsidP="00706221">
      <w:pPr>
        <w:pStyle w:val="SingleTxtG"/>
      </w:pPr>
      <w:r w:rsidRPr="00F62F1C">
        <w:t>54.</w:t>
      </w:r>
      <w:r w:rsidRPr="00F62F1C">
        <w:tab/>
        <w:t>The YMHP was set up in 2012 as a cross-government project to improve services for youth aged 12 to 19 years with, or at risk of, developing mild to moderate mental health problems. It brings together 26 initiatives to improve the mental health and wellbeing of young people. An evaluation by the Social Policy Evaluation and Research Unit (</w:t>
      </w:r>
      <w:proofErr w:type="spellStart"/>
      <w:r w:rsidRPr="00F62F1C">
        <w:t>Superu</w:t>
      </w:r>
      <w:proofErr w:type="spellEnd"/>
      <w:r w:rsidRPr="00F62F1C">
        <w:t>) in November 2016 found that the YMHP was a worthwhile financial investment, generating both public and private benefits. As a result, more services and resources are available to identify, support and treat youth with, or at risk of developing mild to moderate mental health issues, with more than 180,000 youth reached so far.</w:t>
      </w:r>
    </w:p>
    <w:p w:rsidR="00C9789E" w:rsidRPr="00F62F1C" w:rsidRDefault="00C9789E" w:rsidP="00030C69">
      <w:pPr>
        <w:pStyle w:val="H23G"/>
      </w:pPr>
      <w:r w:rsidRPr="00F62F1C">
        <w:tab/>
      </w:r>
      <w:r w:rsidRPr="00F62F1C">
        <w:tab/>
        <w:t>Education</w:t>
      </w:r>
    </w:p>
    <w:p w:rsidR="00C9789E" w:rsidRPr="00F62F1C" w:rsidRDefault="00C9789E" w:rsidP="00706221">
      <w:pPr>
        <w:pStyle w:val="SingleTxtG"/>
      </w:pPr>
      <w:r w:rsidRPr="00F62F1C">
        <w:t>55.</w:t>
      </w:r>
      <w:r w:rsidRPr="00F62F1C">
        <w:tab/>
        <w:t>Over many years, the New Zealand education system has been characterised by relatively high levels of disparity. At every stage, the system is less successful for Māori and Pasifika students and students from low-income families. The Government has addressed this by developing policies and programmes recognising the disparity. Examples of these programmes and an assessment of how they have addressed structural inequalities are listed below.</w:t>
      </w:r>
    </w:p>
    <w:p w:rsidR="00C9789E" w:rsidRPr="00F62F1C" w:rsidRDefault="00C9789E" w:rsidP="00030C69">
      <w:pPr>
        <w:pStyle w:val="H4G"/>
      </w:pPr>
      <w:r w:rsidRPr="00F62F1C">
        <w:tab/>
      </w:r>
      <w:r w:rsidRPr="00F62F1C">
        <w:tab/>
        <w:t xml:space="preserve">Early Childhood Education Participation Programme </w:t>
      </w:r>
    </w:p>
    <w:p w:rsidR="00C9789E" w:rsidRPr="00F62F1C" w:rsidRDefault="00C9789E" w:rsidP="00706221">
      <w:pPr>
        <w:pStyle w:val="SingleTxtG"/>
      </w:pPr>
      <w:r w:rsidRPr="00F62F1C">
        <w:t>56.</w:t>
      </w:r>
      <w:r w:rsidRPr="00F62F1C">
        <w:tab/>
        <w:t>In 2010 the Early Childhood Education (ECE) participation programme was designed to raise participation of low socio-economic, Māori, and Pasifika children and their families, who have not engaged in ECE. The ECE participation programme supports the Government</w:t>
      </w:r>
      <w:r w:rsidR="00D34D95">
        <w:t>’</w:t>
      </w:r>
      <w:r w:rsidRPr="00F62F1C">
        <w:t xml:space="preserve">s Better Public Service goal that 98 percent of children starting school will have participated in quality ECE. It aims to reduce and remove barriers to participation that these families face. </w:t>
      </w:r>
    </w:p>
    <w:p w:rsidR="00C9789E" w:rsidRPr="00F62F1C" w:rsidRDefault="00C9789E" w:rsidP="00030C69">
      <w:pPr>
        <w:pStyle w:val="H23G"/>
      </w:pPr>
      <w:r w:rsidRPr="00F62F1C">
        <w:tab/>
      </w:r>
      <w:r w:rsidRPr="00F62F1C">
        <w:tab/>
        <w:t>Engaging Priority Families</w:t>
      </w:r>
    </w:p>
    <w:p w:rsidR="00C9789E" w:rsidRPr="00F62F1C" w:rsidRDefault="00C9789E" w:rsidP="00706221">
      <w:pPr>
        <w:pStyle w:val="SingleTxtG"/>
      </w:pPr>
      <w:r w:rsidRPr="00F62F1C">
        <w:t>57.</w:t>
      </w:r>
      <w:r w:rsidRPr="00F62F1C">
        <w:tab/>
        <w:t xml:space="preserve">This initiative provides intensive support to families with three and four year olds in target communities to enrol in ECE, sustain participation, and support successful transition to school. The Government currently contracts 20 providers for the initiative. These providers engage and support almost 1,000 children from Māori, Pasifika and low socio-economic status families with three or </w:t>
      </w:r>
      <w:r w:rsidR="00F63F0B" w:rsidRPr="00F62F1C">
        <w:t>four-year-old</w:t>
      </w:r>
      <w:r w:rsidRPr="00F62F1C">
        <w:t xml:space="preserve"> children at any given time. </w:t>
      </w:r>
    </w:p>
    <w:p w:rsidR="00C9789E" w:rsidRPr="00F62F1C" w:rsidRDefault="00C9789E" w:rsidP="00030C69">
      <w:pPr>
        <w:pStyle w:val="H23G"/>
      </w:pPr>
      <w:r w:rsidRPr="00F62F1C">
        <w:tab/>
      </w:r>
      <w:r w:rsidRPr="00F62F1C">
        <w:tab/>
        <w:t>Supported Playgroups</w:t>
      </w:r>
    </w:p>
    <w:p w:rsidR="00C9789E" w:rsidRPr="00F62F1C" w:rsidRDefault="00C9789E" w:rsidP="00706221">
      <w:pPr>
        <w:pStyle w:val="SingleTxtG"/>
      </w:pPr>
      <w:r w:rsidRPr="00F62F1C">
        <w:t>58.</w:t>
      </w:r>
      <w:r w:rsidRPr="00F62F1C">
        <w:tab/>
        <w:t>Supported Playgroups provide an ECE option for communities that have large numbers of non-participating children. It is often attractive to parents of younger children who want to remain with their child in ECE. The Government contracts nine Supported Playgroups in targeted areas with low participation in ECE, and has 265 children enrolled.</w:t>
      </w:r>
    </w:p>
    <w:p w:rsidR="00C9789E" w:rsidRPr="00F62F1C" w:rsidRDefault="00C9789E" w:rsidP="00030C69">
      <w:pPr>
        <w:pStyle w:val="H4G"/>
      </w:pPr>
      <w:r w:rsidRPr="00F62F1C">
        <w:tab/>
      </w:r>
      <w:r w:rsidRPr="00F62F1C">
        <w:tab/>
        <w:t xml:space="preserve">The Māori Education Strategy </w:t>
      </w:r>
    </w:p>
    <w:p w:rsidR="00C9789E" w:rsidRPr="00F62F1C" w:rsidRDefault="00C9789E" w:rsidP="00706221">
      <w:pPr>
        <w:pStyle w:val="SingleTxtG"/>
      </w:pPr>
      <w:r w:rsidRPr="00F62F1C">
        <w:t>59.</w:t>
      </w:r>
      <w:r w:rsidRPr="00F62F1C">
        <w:tab/>
        <w:t xml:space="preserve">The Māori Education Strategy </w:t>
      </w:r>
      <w:proofErr w:type="spellStart"/>
      <w:r w:rsidRPr="00F62F1C">
        <w:t>Ka</w:t>
      </w:r>
      <w:proofErr w:type="spellEnd"/>
      <w:r w:rsidRPr="00F62F1C">
        <w:t xml:space="preserve"> </w:t>
      </w:r>
      <w:proofErr w:type="spellStart"/>
      <w:r w:rsidRPr="00F62F1C">
        <w:t>Hikitia</w:t>
      </w:r>
      <w:proofErr w:type="spellEnd"/>
      <w:r w:rsidR="001F5C90">
        <w:t xml:space="preserve"> — </w:t>
      </w:r>
      <w:r w:rsidRPr="00F62F1C">
        <w:t xml:space="preserve">Accelerating Success 2013-2017 is to ensure every Māori student achieves their potential. A guiding principle of the strategy is that language, culture and identity are important for students to do better in education. </w:t>
      </w:r>
    </w:p>
    <w:p w:rsidR="00C9789E" w:rsidRPr="00F62F1C" w:rsidRDefault="00C9789E" w:rsidP="00030C69">
      <w:pPr>
        <w:pStyle w:val="H23G"/>
      </w:pPr>
      <w:r w:rsidRPr="00F62F1C">
        <w:lastRenderedPageBreak/>
        <w:tab/>
      </w:r>
      <w:r w:rsidRPr="00F62F1C">
        <w:tab/>
        <w:t>Progress of the Māori Education Strategy</w:t>
      </w:r>
    </w:p>
    <w:p w:rsidR="00C9789E" w:rsidRPr="00F62F1C" w:rsidRDefault="00C9789E" w:rsidP="00706221">
      <w:pPr>
        <w:pStyle w:val="SingleTxtG"/>
      </w:pPr>
      <w:r w:rsidRPr="00F62F1C">
        <w:t>60.</w:t>
      </w:r>
      <w:r w:rsidRPr="00F62F1C">
        <w:tab/>
        <w:t>The strategy has resulted in some progress towards achieving Government targets for Māori children. Prior participation in ECE for Māori children increased from 88.7 percent (June 2008) to 94 percent (June 2015).</w:t>
      </w:r>
    </w:p>
    <w:p w:rsidR="00C9789E" w:rsidRPr="00F62F1C" w:rsidRDefault="00C9789E" w:rsidP="00706221">
      <w:pPr>
        <w:pStyle w:val="SingleTxtG"/>
      </w:pPr>
      <w:r w:rsidRPr="00F62F1C">
        <w:t>61.</w:t>
      </w:r>
      <w:r w:rsidRPr="00F62F1C">
        <w:tab/>
        <w:t>Figure 1 shows the percentage of Māori performance in primary National Standards had improved slightly but remained approximately 10 percent behind rates for those who identify as European.</w:t>
      </w:r>
    </w:p>
    <w:p w:rsidR="00030C69" w:rsidRDefault="00C9789E" w:rsidP="00030C69">
      <w:pPr>
        <w:pStyle w:val="Heading1"/>
      </w:pPr>
      <w:bookmarkStart w:id="17" w:name="_Toc494359753"/>
      <w:r w:rsidRPr="00F62F1C">
        <w:t>Figure 1</w:t>
      </w:r>
      <w:bookmarkEnd w:id="17"/>
    </w:p>
    <w:p w:rsidR="00C9789E" w:rsidRPr="00030C69" w:rsidRDefault="00C9789E" w:rsidP="00706221">
      <w:pPr>
        <w:pStyle w:val="SingleTxtG"/>
        <w:rPr>
          <w:b/>
        </w:rPr>
      </w:pPr>
      <w:r w:rsidRPr="00030C69">
        <w:rPr>
          <w:b/>
        </w:rPr>
        <w:t>Proportion of students achieving at or above the National Standard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85"/>
        <w:gridCol w:w="687"/>
        <w:gridCol w:w="687"/>
        <w:gridCol w:w="691"/>
        <w:gridCol w:w="687"/>
        <w:gridCol w:w="687"/>
        <w:gridCol w:w="688"/>
        <w:gridCol w:w="687"/>
        <w:gridCol w:w="687"/>
        <w:gridCol w:w="684"/>
      </w:tblGrid>
      <w:tr w:rsidR="00C9789E" w:rsidRPr="00D713A6" w:rsidTr="001253A2">
        <w:trPr>
          <w:cantSplit/>
          <w:tblHeader/>
        </w:trPr>
        <w:tc>
          <w:tcPr>
            <w:tcW w:w="804" w:type="pct"/>
            <w:tcBorders>
              <w:top w:val="single" w:sz="4" w:space="0" w:color="auto"/>
              <w:bottom w:val="nil"/>
            </w:tcBorders>
            <w:shd w:val="clear" w:color="auto" w:fill="auto"/>
            <w:noWrap/>
            <w:vAlign w:val="bottom"/>
            <w:hideMark/>
          </w:tcPr>
          <w:p w:rsidR="00C9789E" w:rsidRPr="00D713A6" w:rsidRDefault="00C9789E" w:rsidP="00D713A6">
            <w:pPr>
              <w:pStyle w:val="SingleTxtG"/>
              <w:spacing w:before="80" w:after="80" w:line="200" w:lineRule="exact"/>
              <w:ind w:left="0" w:right="113"/>
              <w:jc w:val="left"/>
              <w:rPr>
                <w:i/>
                <w:sz w:val="16"/>
              </w:rPr>
            </w:pPr>
          </w:p>
        </w:tc>
        <w:tc>
          <w:tcPr>
            <w:tcW w:w="1401" w:type="pct"/>
            <w:gridSpan w:val="3"/>
            <w:tcBorders>
              <w:top w:val="single" w:sz="4" w:space="0" w:color="auto"/>
              <w:bottom w:val="single" w:sz="4" w:space="0" w:color="auto"/>
              <w:right w:val="single" w:sz="24" w:space="0" w:color="FFFFFF" w:themeColor="background1"/>
            </w:tcBorders>
            <w:shd w:val="clear" w:color="auto" w:fill="auto"/>
            <w:noWrap/>
            <w:vAlign w:val="bottom"/>
            <w:hideMark/>
          </w:tcPr>
          <w:p w:rsidR="00C9789E" w:rsidRPr="00D713A6" w:rsidRDefault="00C9789E" w:rsidP="009554F3">
            <w:pPr>
              <w:pStyle w:val="SingleTxtG"/>
              <w:spacing w:before="80" w:after="80" w:line="200" w:lineRule="exact"/>
              <w:ind w:left="0" w:right="113"/>
              <w:jc w:val="center"/>
              <w:rPr>
                <w:i/>
                <w:sz w:val="16"/>
              </w:rPr>
            </w:pPr>
            <w:r w:rsidRPr="00D713A6">
              <w:rPr>
                <w:i/>
                <w:sz w:val="16"/>
              </w:rPr>
              <w:t>Reading</w:t>
            </w:r>
          </w:p>
        </w:tc>
        <w:tc>
          <w:tcPr>
            <w:tcW w:w="1399" w:type="pct"/>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rsidR="00C9789E" w:rsidRPr="00D713A6" w:rsidRDefault="00C9789E" w:rsidP="009554F3">
            <w:pPr>
              <w:pStyle w:val="SingleTxtG"/>
              <w:spacing w:before="80" w:after="80" w:line="200" w:lineRule="exact"/>
              <w:ind w:left="0" w:right="113"/>
              <w:jc w:val="center"/>
              <w:rPr>
                <w:i/>
                <w:sz w:val="16"/>
              </w:rPr>
            </w:pPr>
            <w:r w:rsidRPr="00D713A6">
              <w:rPr>
                <w:i/>
                <w:sz w:val="16"/>
              </w:rPr>
              <w:t>Maths</w:t>
            </w:r>
          </w:p>
        </w:tc>
        <w:tc>
          <w:tcPr>
            <w:tcW w:w="1396" w:type="pct"/>
            <w:gridSpan w:val="3"/>
            <w:tcBorders>
              <w:top w:val="single" w:sz="4" w:space="0" w:color="auto"/>
              <w:left w:val="single" w:sz="24" w:space="0" w:color="FFFFFF" w:themeColor="background1"/>
              <w:bottom w:val="single" w:sz="4" w:space="0" w:color="auto"/>
            </w:tcBorders>
            <w:shd w:val="clear" w:color="auto" w:fill="auto"/>
            <w:noWrap/>
            <w:vAlign w:val="bottom"/>
            <w:hideMark/>
          </w:tcPr>
          <w:p w:rsidR="00C9789E" w:rsidRPr="00D713A6" w:rsidRDefault="00C9789E" w:rsidP="009554F3">
            <w:pPr>
              <w:pStyle w:val="SingleTxtG"/>
              <w:spacing w:before="80" w:after="80" w:line="200" w:lineRule="exact"/>
              <w:ind w:left="0" w:right="113"/>
              <w:jc w:val="center"/>
              <w:rPr>
                <w:i/>
                <w:sz w:val="16"/>
              </w:rPr>
            </w:pPr>
            <w:r w:rsidRPr="00D713A6">
              <w:rPr>
                <w:i/>
                <w:sz w:val="16"/>
              </w:rPr>
              <w:t>Writing</w:t>
            </w:r>
          </w:p>
        </w:tc>
      </w:tr>
      <w:tr w:rsidR="00C9789E" w:rsidRPr="009554F3" w:rsidTr="001253A2">
        <w:trPr>
          <w:cantSplit/>
        </w:trPr>
        <w:tc>
          <w:tcPr>
            <w:tcW w:w="804" w:type="pct"/>
            <w:tcBorders>
              <w:top w:val="nil"/>
              <w:bottom w:val="single" w:sz="12" w:space="0" w:color="auto"/>
            </w:tcBorders>
            <w:shd w:val="clear" w:color="auto" w:fill="auto"/>
            <w:noWrap/>
            <w:hideMark/>
          </w:tcPr>
          <w:p w:rsidR="00C9789E" w:rsidRPr="009554F3" w:rsidRDefault="000C03A3" w:rsidP="009554F3">
            <w:pPr>
              <w:pStyle w:val="SingleTxtG"/>
              <w:spacing w:before="80" w:after="80" w:line="200" w:lineRule="exact"/>
              <w:ind w:left="0" w:right="113"/>
              <w:jc w:val="right"/>
              <w:rPr>
                <w:i/>
                <w:sz w:val="16"/>
              </w:rPr>
            </w:pPr>
            <w:r w:rsidRPr="009554F3">
              <w:rPr>
                <w:i/>
                <w:sz w:val="16"/>
              </w:rPr>
              <w:t xml:space="preserve"> </w:t>
            </w:r>
          </w:p>
        </w:tc>
        <w:tc>
          <w:tcPr>
            <w:tcW w:w="466" w:type="pct"/>
            <w:tcBorders>
              <w:top w:val="single" w:sz="4" w:space="0" w:color="auto"/>
              <w:bottom w:val="single" w:sz="12" w:space="0" w:color="auto"/>
            </w:tcBorders>
            <w:shd w:val="clear" w:color="auto" w:fill="auto"/>
            <w:noWrap/>
            <w:vAlign w:val="bottom"/>
            <w:hideMark/>
          </w:tcPr>
          <w:p w:rsidR="00C9789E" w:rsidRPr="009554F3" w:rsidRDefault="00C9789E" w:rsidP="009554F3">
            <w:pPr>
              <w:pStyle w:val="SingleTxtG"/>
              <w:spacing w:before="80" w:after="80" w:line="200" w:lineRule="exact"/>
              <w:ind w:left="0" w:right="113"/>
              <w:jc w:val="right"/>
              <w:rPr>
                <w:i/>
                <w:sz w:val="16"/>
              </w:rPr>
            </w:pPr>
            <w:r w:rsidRPr="009554F3">
              <w:rPr>
                <w:i/>
                <w:sz w:val="16"/>
              </w:rPr>
              <w:t>2013</w:t>
            </w:r>
          </w:p>
        </w:tc>
        <w:tc>
          <w:tcPr>
            <w:tcW w:w="466" w:type="pct"/>
            <w:tcBorders>
              <w:top w:val="single" w:sz="4" w:space="0" w:color="auto"/>
              <w:bottom w:val="single" w:sz="12" w:space="0" w:color="auto"/>
            </w:tcBorders>
            <w:shd w:val="clear" w:color="auto" w:fill="auto"/>
            <w:noWrap/>
            <w:vAlign w:val="bottom"/>
            <w:hideMark/>
          </w:tcPr>
          <w:p w:rsidR="00C9789E" w:rsidRPr="009554F3" w:rsidRDefault="00C9789E" w:rsidP="009554F3">
            <w:pPr>
              <w:pStyle w:val="SingleTxtG"/>
              <w:spacing w:before="80" w:after="80" w:line="200" w:lineRule="exact"/>
              <w:ind w:left="0" w:right="113"/>
              <w:jc w:val="right"/>
              <w:rPr>
                <w:i/>
                <w:sz w:val="16"/>
              </w:rPr>
            </w:pPr>
            <w:r w:rsidRPr="009554F3">
              <w:rPr>
                <w:i/>
                <w:sz w:val="16"/>
              </w:rPr>
              <w:t>2014</w:t>
            </w:r>
          </w:p>
        </w:tc>
        <w:tc>
          <w:tcPr>
            <w:tcW w:w="469" w:type="pct"/>
            <w:tcBorders>
              <w:top w:val="single" w:sz="4" w:space="0" w:color="auto"/>
              <w:bottom w:val="single" w:sz="12" w:space="0" w:color="auto"/>
              <w:right w:val="single" w:sz="24" w:space="0" w:color="FFFFFF" w:themeColor="background1"/>
            </w:tcBorders>
            <w:shd w:val="clear" w:color="auto" w:fill="auto"/>
            <w:noWrap/>
            <w:vAlign w:val="bottom"/>
            <w:hideMark/>
          </w:tcPr>
          <w:p w:rsidR="00C9789E" w:rsidRPr="009554F3" w:rsidRDefault="00C9789E" w:rsidP="009554F3">
            <w:pPr>
              <w:pStyle w:val="SingleTxtG"/>
              <w:spacing w:before="80" w:after="80" w:line="200" w:lineRule="exact"/>
              <w:ind w:left="0" w:right="113"/>
              <w:jc w:val="right"/>
              <w:rPr>
                <w:i/>
                <w:sz w:val="16"/>
              </w:rPr>
            </w:pPr>
            <w:r w:rsidRPr="009554F3">
              <w:rPr>
                <w:i/>
                <w:sz w:val="16"/>
              </w:rPr>
              <w:t>2015</w:t>
            </w:r>
          </w:p>
        </w:tc>
        <w:tc>
          <w:tcPr>
            <w:tcW w:w="466" w:type="pct"/>
            <w:tcBorders>
              <w:top w:val="single" w:sz="4" w:space="0" w:color="auto"/>
              <w:left w:val="single" w:sz="24" w:space="0" w:color="FFFFFF" w:themeColor="background1"/>
              <w:bottom w:val="single" w:sz="12" w:space="0" w:color="auto"/>
            </w:tcBorders>
            <w:shd w:val="clear" w:color="auto" w:fill="auto"/>
            <w:noWrap/>
            <w:vAlign w:val="bottom"/>
            <w:hideMark/>
          </w:tcPr>
          <w:p w:rsidR="00C9789E" w:rsidRPr="009554F3" w:rsidRDefault="00C9789E" w:rsidP="009554F3">
            <w:pPr>
              <w:pStyle w:val="SingleTxtG"/>
              <w:spacing w:before="80" w:after="80" w:line="200" w:lineRule="exact"/>
              <w:ind w:left="0" w:right="113"/>
              <w:jc w:val="right"/>
              <w:rPr>
                <w:i/>
                <w:sz w:val="16"/>
              </w:rPr>
            </w:pPr>
            <w:r w:rsidRPr="009554F3">
              <w:rPr>
                <w:i/>
                <w:sz w:val="16"/>
              </w:rPr>
              <w:t>2013</w:t>
            </w:r>
          </w:p>
        </w:tc>
        <w:tc>
          <w:tcPr>
            <w:tcW w:w="466" w:type="pct"/>
            <w:tcBorders>
              <w:top w:val="single" w:sz="4" w:space="0" w:color="auto"/>
              <w:bottom w:val="single" w:sz="12" w:space="0" w:color="auto"/>
            </w:tcBorders>
            <w:shd w:val="clear" w:color="auto" w:fill="auto"/>
            <w:noWrap/>
            <w:vAlign w:val="bottom"/>
            <w:hideMark/>
          </w:tcPr>
          <w:p w:rsidR="00C9789E" w:rsidRPr="009554F3" w:rsidRDefault="00C9789E" w:rsidP="009554F3">
            <w:pPr>
              <w:pStyle w:val="SingleTxtG"/>
              <w:spacing w:before="80" w:after="80" w:line="200" w:lineRule="exact"/>
              <w:ind w:left="0" w:right="113"/>
              <w:jc w:val="right"/>
              <w:rPr>
                <w:i/>
                <w:sz w:val="16"/>
              </w:rPr>
            </w:pPr>
            <w:r w:rsidRPr="009554F3">
              <w:rPr>
                <w:i/>
                <w:sz w:val="16"/>
              </w:rPr>
              <w:t>2014</w:t>
            </w:r>
          </w:p>
        </w:tc>
        <w:tc>
          <w:tcPr>
            <w:tcW w:w="467" w:type="pct"/>
            <w:tcBorders>
              <w:top w:val="single" w:sz="4" w:space="0" w:color="auto"/>
              <w:bottom w:val="single" w:sz="12" w:space="0" w:color="auto"/>
              <w:right w:val="single" w:sz="24" w:space="0" w:color="FFFFFF" w:themeColor="background1"/>
            </w:tcBorders>
            <w:shd w:val="clear" w:color="auto" w:fill="auto"/>
            <w:noWrap/>
            <w:vAlign w:val="bottom"/>
            <w:hideMark/>
          </w:tcPr>
          <w:p w:rsidR="00C9789E" w:rsidRPr="009554F3" w:rsidRDefault="00C9789E" w:rsidP="009554F3">
            <w:pPr>
              <w:pStyle w:val="SingleTxtG"/>
              <w:spacing w:before="80" w:after="80" w:line="200" w:lineRule="exact"/>
              <w:ind w:left="0" w:right="113"/>
              <w:jc w:val="right"/>
              <w:rPr>
                <w:i/>
                <w:sz w:val="16"/>
              </w:rPr>
            </w:pPr>
            <w:r w:rsidRPr="009554F3">
              <w:rPr>
                <w:i/>
                <w:sz w:val="16"/>
              </w:rPr>
              <w:t>2015</w:t>
            </w:r>
          </w:p>
        </w:tc>
        <w:tc>
          <w:tcPr>
            <w:tcW w:w="466" w:type="pct"/>
            <w:tcBorders>
              <w:top w:val="single" w:sz="4" w:space="0" w:color="auto"/>
              <w:left w:val="single" w:sz="24" w:space="0" w:color="FFFFFF" w:themeColor="background1"/>
              <w:bottom w:val="single" w:sz="12" w:space="0" w:color="auto"/>
            </w:tcBorders>
            <w:shd w:val="clear" w:color="auto" w:fill="auto"/>
            <w:noWrap/>
            <w:vAlign w:val="bottom"/>
            <w:hideMark/>
          </w:tcPr>
          <w:p w:rsidR="00C9789E" w:rsidRPr="009554F3" w:rsidRDefault="00C9789E" w:rsidP="009554F3">
            <w:pPr>
              <w:pStyle w:val="SingleTxtG"/>
              <w:spacing w:before="80" w:after="80" w:line="200" w:lineRule="exact"/>
              <w:ind w:left="0" w:right="113"/>
              <w:jc w:val="right"/>
              <w:rPr>
                <w:i/>
                <w:sz w:val="16"/>
              </w:rPr>
            </w:pPr>
            <w:r w:rsidRPr="009554F3">
              <w:rPr>
                <w:i/>
                <w:sz w:val="16"/>
              </w:rPr>
              <w:t>2013</w:t>
            </w:r>
          </w:p>
        </w:tc>
        <w:tc>
          <w:tcPr>
            <w:tcW w:w="466" w:type="pct"/>
            <w:tcBorders>
              <w:top w:val="single" w:sz="4" w:space="0" w:color="auto"/>
              <w:bottom w:val="single" w:sz="12" w:space="0" w:color="auto"/>
            </w:tcBorders>
            <w:shd w:val="clear" w:color="auto" w:fill="auto"/>
            <w:noWrap/>
            <w:vAlign w:val="bottom"/>
            <w:hideMark/>
          </w:tcPr>
          <w:p w:rsidR="00C9789E" w:rsidRPr="009554F3" w:rsidRDefault="00C9789E" w:rsidP="009554F3">
            <w:pPr>
              <w:pStyle w:val="SingleTxtG"/>
              <w:spacing w:before="80" w:after="80" w:line="200" w:lineRule="exact"/>
              <w:ind w:left="0" w:right="113"/>
              <w:jc w:val="right"/>
              <w:rPr>
                <w:i/>
                <w:sz w:val="16"/>
              </w:rPr>
            </w:pPr>
            <w:r w:rsidRPr="009554F3">
              <w:rPr>
                <w:i/>
                <w:sz w:val="16"/>
              </w:rPr>
              <w:t>2014</w:t>
            </w:r>
          </w:p>
        </w:tc>
        <w:tc>
          <w:tcPr>
            <w:tcW w:w="464" w:type="pct"/>
            <w:tcBorders>
              <w:top w:val="single" w:sz="4" w:space="0" w:color="auto"/>
              <w:bottom w:val="single" w:sz="12" w:space="0" w:color="auto"/>
            </w:tcBorders>
            <w:shd w:val="clear" w:color="auto" w:fill="auto"/>
            <w:noWrap/>
            <w:vAlign w:val="bottom"/>
            <w:hideMark/>
          </w:tcPr>
          <w:p w:rsidR="00C9789E" w:rsidRPr="009554F3" w:rsidRDefault="00C9789E" w:rsidP="009554F3">
            <w:pPr>
              <w:pStyle w:val="SingleTxtG"/>
              <w:spacing w:before="80" w:after="80" w:line="200" w:lineRule="exact"/>
              <w:ind w:left="0" w:right="113"/>
              <w:jc w:val="right"/>
              <w:rPr>
                <w:i/>
                <w:sz w:val="16"/>
              </w:rPr>
            </w:pPr>
            <w:r w:rsidRPr="009554F3">
              <w:rPr>
                <w:i/>
                <w:sz w:val="16"/>
              </w:rPr>
              <w:t>2015</w:t>
            </w:r>
          </w:p>
        </w:tc>
      </w:tr>
      <w:tr w:rsidR="00C9789E" w:rsidRPr="00D713A6" w:rsidTr="00B77308">
        <w:trPr>
          <w:cantSplit/>
        </w:trPr>
        <w:tc>
          <w:tcPr>
            <w:tcW w:w="804" w:type="pct"/>
            <w:tcBorders>
              <w:top w:val="single" w:sz="12" w:space="0" w:color="auto"/>
            </w:tcBorders>
            <w:shd w:val="clear" w:color="auto" w:fill="auto"/>
            <w:hideMark/>
          </w:tcPr>
          <w:p w:rsidR="00C9789E" w:rsidRPr="00D713A6" w:rsidRDefault="00C9789E" w:rsidP="00D713A6">
            <w:pPr>
              <w:pStyle w:val="SingleTxtG"/>
              <w:spacing w:before="40" w:after="40" w:line="220" w:lineRule="exact"/>
              <w:ind w:left="0" w:right="113"/>
              <w:jc w:val="left"/>
              <w:rPr>
                <w:sz w:val="18"/>
              </w:rPr>
            </w:pPr>
            <w:r w:rsidRPr="00D713A6">
              <w:rPr>
                <w:sz w:val="18"/>
              </w:rPr>
              <w:t>Māori</w:t>
            </w:r>
          </w:p>
        </w:tc>
        <w:tc>
          <w:tcPr>
            <w:tcW w:w="466" w:type="pct"/>
            <w:tcBorders>
              <w:top w:val="single" w:sz="12" w:space="0" w:color="auto"/>
            </w:tcBorders>
            <w:shd w:val="clear" w:color="auto" w:fill="auto"/>
            <w:vAlign w:val="bottom"/>
            <w:hideMark/>
          </w:tcPr>
          <w:p w:rsidR="00C9789E" w:rsidRPr="00D713A6" w:rsidRDefault="00C9789E" w:rsidP="00D713A6">
            <w:pPr>
              <w:pStyle w:val="SingleTxtG"/>
              <w:spacing w:before="40" w:after="40" w:line="220" w:lineRule="exact"/>
              <w:ind w:left="0" w:right="113"/>
              <w:jc w:val="right"/>
              <w:rPr>
                <w:sz w:val="18"/>
              </w:rPr>
            </w:pPr>
            <w:r w:rsidRPr="00D713A6">
              <w:rPr>
                <w:sz w:val="18"/>
              </w:rPr>
              <w:t>68.7</w:t>
            </w:r>
          </w:p>
        </w:tc>
        <w:tc>
          <w:tcPr>
            <w:tcW w:w="466" w:type="pct"/>
            <w:tcBorders>
              <w:top w:val="single" w:sz="12" w:space="0" w:color="auto"/>
            </w:tcBorders>
            <w:shd w:val="clear" w:color="auto" w:fill="auto"/>
            <w:vAlign w:val="bottom"/>
            <w:hideMark/>
          </w:tcPr>
          <w:p w:rsidR="00C9789E" w:rsidRPr="00D713A6" w:rsidRDefault="00C9789E" w:rsidP="00D713A6">
            <w:pPr>
              <w:pStyle w:val="SingleTxtG"/>
              <w:spacing w:before="40" w:after="40" w:line="220" w:lineRule="exact"/>
              <w:ind w:left="0" w:right="113"/>
              <w:jc w:val="right"/>
              <w:rPr>
                <w:sz w:val="18"/>
              </w:rPr>
            </w:pPr>
            <w:r w:rsidRPr="00D713A6">
              <w:rPr>
                <w:sz w:val="18"/>
              </w:rPr>
              <w:t>68.6</w:t>
            </w:r>
          </w:p>
        </w:tc>
        <w:tc>
          <w:tcPr>
            <w:tcW w:w="469" w:type="pct"/>
            <w:tcBorders>
              <w:top w:val="single" w:sz="12" w:space="0" w:color="auto"/>
            </w:tcBorders>
            <w:shd w:val="clear" w:color="auto" w:fill="auto"/>
            <w:vAlign w:val="bottom"/>
            <w:hideMark/>
          </w:tcPr>
          <w:p w:rsidR="00C9789E" w:rsidRPr="00D713A6" w:rsidRDefault="00C9789E" w:rsidP="00D713A6">
            <w:pPr>
              <w:pStyle w:val="SingleTxtG"/>
              <w:spacing w:before="40" w:after="40" w:line="220" w:lineRule="exact"/>
              <w:ind w:left="0" w:right="113"/>
              <w:jc w:val="right"/>
              <w:rPr>
                <w:sz w:val="18"/>
              </w:rPr>
            </w:pPr>
            <w:r w:rsidRPr="00D713A6">
              <w:rPr>
                <w:sz w:val="18"/>
              </w:rPr>
              <w:t>68.8</w:t>
            </w:r>
          </w:p>
        </w:tc>
        <w:tc>
          <w:tcPr>
            <w:tcW w:w="466" w:type="pct"/>
            <w:tcBorders>
              <w:top w:val="single" w:sz="12" w:space="0" w:color="auto"/>
            </w:tcBorders>
            <w:shd w:val="clear" w:color="auto" w:fill="auto"/>
            <w:vAlign w:val="bottom"/>
            <w:hideMark/>
          </w:tcPr>
          <w:p w:rsidR="00C9789E" w:rsidRPr="00D713A6" w:rsidRDefault="00C9789E" w:rsidP="00D713A6">
            <w:pPr>
              <w:pStyle w:val="SingleTxtG"/>
              <w:spacing w:before="40" w:after="40" w:line="220" w:lineRule="exact"/>
              <w:ind w:left="0" w:right="113"/>
              <w:jc w:val="right"/>
              <w:rPr>
                <w:sz w:val="18"/>
              </w:rPr>
            </w:pPr>
            <w:r w:rsidRPr="00D713A6">
              <w:rPr>
                <w:sz w:val="18"/>
              </w:rPr>
              <w:t>64.6</w:t>
            </w:r>
          </w:p>
        </w:tc>
        <w:tc>
          <w:tcPr>
            <w:tcW w:w="466" w:type="pct"/>
            <w:tcBorders>
              <w:top w:val="single" w:sz="12" w:space="0" w:color="auto"/>
            </w:tcBorders>
            <w:shd w:val="clear" w:color="auto" w:fill="auto"/>
            <w:vAlign w:val="bottom"/>
            <w:hideMark/>
          </w:tcPr>
          <w:p w:rsidR="00C9789E" w:rsidRPr="00D713A6" w:rsidRDefault="00C9789E" w:rsidP="00D713A6">
            <w:pPr>
              <w:pStyle w:val="SingleTxtG"/>
              <w:spacing w:before="40" w:after="40" w:line="220" w:lineRule="exact"/>
              <w:ind w:left="0" w:right="113"/>
              <w:jc w:val="right"/>
              <w:rPr>
                <w:sz w:val="18"/>
              </w:rPr>
            </w:pPr>
            <w:r w:rsidRPr="00D713A6">
              <w:rPr>
                <w:sz w:val="18"/>
              </w:rPr>
              <w:t>65.0</w:t>
            </w:r>
          </w:p>
        </w:tc>
        <w:tc>
          <w:tcPr>
            <w:tcW w:w="467" w:type="pct"/>
            <w:tcBorders>
              <w:top w:val="single" w:sz="12" w:space="0" w:color="auto"/>
            </w:tcBorders>
            <w:shd w:val="clear" w:color="auto" w:fill="auto"/>
            <w:vAlign w:val="bottom"/>
            <w:hideMark/>
          </w:tcPr>
          <w:p w:rsidR="00C9789E" w:rsidRPr="00D713A6" w:rsidRDefault="00C9789E" w:rsidP="00D713A6">
            <w:pPr>
              <w:pStyle w:val="SingleTxtG"/>
              <w:spacing w:before="40" w:after="40" w:line="220" w:lineRule="exact"/>
              <w:ind w:left="0" w:right="113"/>
              <w:jc w:val="right"/>
              <w:rPr>
                <w:sz w:val="18"/>
              </w:rPr>
            </w:pPr>
            <w:r w:rsidRPr="00D713A6">
              <w:rPr>
                <w:sz w:val="18"/>
              </w:rPr>
              <w:t>65.4</w:t>
            </w:r>
          </w:p>
        </w:tc>
        <w:tc>
          <w:tcPr>
            <w:tcW w:w="466" w:type="pct"/>
            <w:tcBorders>
              <w:top w:val="single" w:sz="12" w:space="0" w:color="auto"/>
            </w:tcBorders>
            <w:shd w:val="clear" w:color="auto" w:fill="auto"/>
            <w:vAlign w:val="bottom"/>
            <w:hideMark/>
          </w:tcPr>
          <w:p w:rsidR="00C9789E" w:rsidRPr="00D713A6" w:rsidRDefault="00C9789E" w:rsidP="00D713A6">
            <w:pPr>
              <w:pStyle w:val="SingleTxtG"/>
              <w:spacing w:before="40" w:after="40" w:line="220" w:lineRule="exact"/>
              <w:ind w:left="0" w:right="113"/>
              <w:jc w:val="right"/>
              <w:rPr>
                <w:sz w:val="18"/>
              </w:rPr>
            </w:pPr>
            <w:r w:rsidRPr="00D713A6">
              <w:rPr>
                <w:sz w:val="18"/>
              </w:rPr>
              <w:t>60.8</w:t>
            </w:r>
          </w:p>
        </w:tc>
        <w:tc>
          <w:tcPr>
            <w:tcW w:w="466" w:type="pct"/>
            <w:tcBorders>
              <w:top w:val="single" w:sz="12" w:space="0" w:color="auto"/>
            </w:tcBorders>
            <w:shd w:val="clear" w:color="auto" w:fill="auto"/>
            <w:vAlign w:val="bottom"/>
            <w:hideMark/>
          </w:tcPr>
          <w:p w:rsidR="00C9789E" w:rsidRPr="00D713A6" w:rsidRDefault="00C9789E" w:rsidP="00D713A6">
            <w:pPr>
              <w:pStyle w:val="SingleTxtG"/>
              <w:spacing w:before="40" w:after="40" w:line="220" w:lineRule="exact"/>
              <w:ind w:left="0" w:right="113"/>
              <w:jc w:val="right"/>
              <w:rPr>
                <w:sz w:val="18"/>
              </w:rPr>
            </w:pPr>
            <w:r w:rsidRPr="00D713A6">
              <w:rPr>
                <w:sz w:val="18"/>
              </w:rPr>
              <w:t>61.2</w:t>
            </w:r>
          </w:p>
        </w:tc>
        <w:tc>
          <w:tcPr>
            <w:tcW w:w="464" w:type="pct"/>
            <w:tcBorders>
              <w:top w:val="single" w:sz="12" w:space="0" w:color="auto"/>
            </w:tcBorders>
            <w:shd w:val="clear" w:color="auto" w:fill="auto"/>
            <w:vAlign w:val="bottom"/>
            <w:hideMark/>
          </w:tcPr>
          <w:p w:rsidR="00C9789E" w:rsidRPr="00D713A6" w:rsidRDefault="00C9789E" w:rsidP="00D713A6">
            <w:pPr>
              <w:pStyle w:val="SingleTxtG"/>
              <w:spacing w:before="40" w:after="40" w:line="220" w:lineRule="exact"/>
              <w:ind w:left="0" w:right="113"/>
              <w:jc w:val="right"/>
              <w:rPr>
                <w:sz w:val="18"/>
              </w:rPr>
            </w:pPr>
            <w:r w:rsidRPr="00D713A6">
              <w:rPr>
                <w:sz w:val="18"/>
              </w:rPr>
              <w:t>61.6</w:t>
            </w:r>
          </w:p>
        </w:tc>
      </w:tr>
      <w:tr w:rsidR="00C9789E" w:rsidRPr="00D713A6" w:rsidTr="00B77308">
        <w:trPr>
          <w:cantSplit/>
        </w:trPr>
        <w:tc>
          <w:tcPr>
            <w:tcW w:w="804" w:type="pct"/>
            <w:shd w:val="clear" w:color="auto" w:fill="auto"/>
            <w:noWrap/>
            <w:hideMark/>
          </w:tcPr>
          <w:p w:rsidR="00C9789E" w:rsidRPr="00D713A6" w:rsidRDefault="00C9789E" w:rsidP="00D713A6">
            <w:pPr>
              <w:pStyle w:val="SingleTxtG"/>
              <w:spacing w:before="40" w:after="40" w:line="220" w:lineRule="exact"/>
              <w:ind w:left="0" w:right="113"/>
              <w:jc w:val="left"/>
              <w:rPr>
                <w:sz w:val="18"/>
              </w:rPr>
            </w:pPr>
            <w:r w:rsidRPr="00D713A6">
              <w:rPr>
                <w:sz w:val="18"/>
              </w:rPr>
              <w:t>European</w:t>
            </w:r>
          </w:p>
        </w:tc>
        <w:tc>
          <w:tcPr>
            <w:tcW w:w="466" w:type="pct"/>
            <w:shd w:val="clear" w:color="auto" w:fill="auto"/>
            <w:vAlign w:val="bottom"/>
            <w:hideMark/>
          </w:tcPr>
          <w:p w:rsidR="00C9789E" w:rsidRPr="00D713A6" w:rsidRDefault="00C9789E" w:rsidP="00D713A6">
            <w:pPr>
              <w:pStyle w:val="SingleTxtG"/>
              <w:spacing w:before="40" w:after="40" w:line="220" w:lineRule="exact"/>
              <w:ind w:left="0" w:right="113"/>
              <w:jc w:val="right"/>
              <w:rPr>
                <w:sz w:val="18"/>
              </w:rPr>
            </w:pPr>
            <w:r w:rsidRPr="00D713A6">
              <w:rPr>
                <w:sz w:val="18"/>
              </w:rPr>
              <w:t>84.0</w:t>
            </w:r>
          </w:p>
        </w:tc>
        <w:tc>
          <w:tcPr>
            <w:tcW w:w="466" w:type="pct"/>
            <w:shd w:val="clear" w:color="auto" w:fill="auto"/>
            <w:vAlign w:val="bottom"/>
            <w:hideMark/>
          </w:tcPr>
          <w:p w:rsidR="00C9789E" w:rsidRPr="00D713A6" w:rsidRDefault="00C9789E" w:rsidP="00D713A6">
            <w:pPr>
              <w:pStyle w:val="SingleTxtG"/>
              <w:spacing w:before="40" w:after="40" w:line="220" w:lineRule="exact"/>
              <w:ind w:left="0" w:right="113"/>
              <w:jc w:val="right"/>
              <w:rPr>
                <w:sz w:val="18"/>
              </w:rPr>
            </w:pPr>
            <w:r w:rsidRPr="00D713A6">
              <w:rPr>
                <w:sz w:val="18"/>
              </w:rPr>
              <w:t>84.3</w:t>
            </w:r>
          </w:p>
        </w:tc>
        <w:tc>
          <w:tcPr>
            <w:tcW w:w="469" w:type="pct"/>
            <w:shd w:val="clear" w:color="auto" w:fill="auto"/>
            <w:vAlign w:val="bottom"/>
            <w:hideMark/>
          </w:tcPr>
          <w:p w:rsidR="00C9789E" w:rsidRPr="00D713A6" w:rsidRDefault="00C9789E" w:rsidP="00D713A6">
            <w:pPr>
              <w:pStyle w:val="SingleTxtG"/>
              <w:spacing w:before="40" w:after="40" w:line="220" w:lineRule="exact"/>
              <w:ind w:left="0" w:right="113"/>
              <w:jc w:val="right"/>
              <w:rPr>
                <w:sz w:val="18"/>
              </w:rPr>
            </w:pPr>
            <w:r w:rsidRPr="00D713A6">
              <w:rPr>
                <w:sz w:val="18"/>
              </w:rPr>
              <w:t>84.3</w:t>
            </w:r>
          </w:p>
        </w:tc>
        <w:tc>
          <w:tcPr>
            <w:tcW w:w="466" w:type="pct"/>
            <w:shd w:val="clear" w:color="auto" w:fill="auto"/>
            <w:vAlign w:val="bottom"/>
            <w:hideMark/>
          </w:tcPr>
          <w:p w:rsidR="00C9789E" w:rsidRPr="00D713A6" w:rsidRDefault="00C9789E" w:rsidP="00D713A6">
            <w:pPr>
              <w:pStyle w:val="SingleTxtG"/>
              <w:spacing w:before="40" w:after="40" w:line="220" w:lineRule="exact"/>
              <w:ind w:left="0" w:right="113"/>
              <w:jc w:val="right"/>
              <w:rPr>
                <w:sz w:val="18"/>
              </w:rPr>
            </w:pPr>
            <w:r w:rsidRPr="00D713A6">
              <w:rPr>
                <w:sz w:val="18"/>
              </w:rPr>
              <w:t>79.8</w:t>
            </w:r>
          </w:p>
        </w:tc>
        <w:tc>
          <w:tcPr>
            <w:tcW w:w="466" w:type="pct"/>
            <w:shd w:val="clear" w:color="auto" w:fill="auto"/>
            <w:vAlign w:val="bottom"/>
            <w:hideMark/>
          </w:tcPr>
          <w:p w:rsidR="00C9789E" w:rsidRPr="00D713A6" w:rsidRDefault="00C9789E" w:rsidP="00D713A6">
            <w:pPr>
              <w:pStyle w:val="SingleTxtG"/>
              <w:spacing w:before="40" w:after="40" w:line="220" w:lineRule="exact"/>
              <w:ind w:left="0" w:right="113"/>
              <w:jc w:val="right"/>
              <w:rPr>
                <w:sz w:val="18"/>
              </w:rPr>
            </w:pPr>
            <w:r w:rsidRPr="00D713A6">
              <w:rPr>
                <w:sz w:val="18"/>
              </w:rPr>
              <w:t>80.5</w:t>
            </w:r>
          </w:p>
        </w:tc>
        <w:tc>
          <w:tcPr>
            <w:tcW w:w="467" w:type="pct"/>
            <w:shd w:val="clear" w:color="auto" w:fill="auto"/>
            <w:vAlign w:val="bottom"/>
            <w:hideMark/>
          </w:tcPr>
          <w:p w:rsidR="00C9789E" w:rsidRPr="00D713A6" w:rsidRDefault="00C9789E" w:rsidP="00D713A6">
            <w:pPr>
              <w:pStyle w:val="SingleTxtG"/>
              <w:spacing w:before="40" w:after="40" w:line="220" w:lineRule="exact"/>
              <w:ind w:left="0" w:right="113"/>
              <w:jc w:val="right"/>
              <w:rPr>
                <w:sz w:val="18"/>
              </w:rPr>
            </w:pPr>
            <w:r w:rsidRPr="00D713A6">
              <w:rPr>
                <w:sz w:val="18"/>
              </w:rPr>
              <w:t>80.7</w:t>
            </w:r>
          </w:p>
        </w:tc>
        <w:tc>
          <w:tcPr>
            <w:tcW w:w="466" w:type="pct"/>
            <w:shd w:val="clear" w:color="auto" w:fill="auto"/>
            <w:vAlign w:val="bottom"/>
            <w:hideMark/>
          </w:tcPr>
          <w:p w:rsidR="00C9789E" w:rsidRPr="00D713A6" w:rsidRDefault="00C9789E" w:rsidP="00D713A6">
            <w:pPr>
              <w:pStyle w:val="SingleTxtG"/>
              <w:spacing w:before="40" w:after="40" w:line="220" w:lineRule="exact"/>
              <w:ind w:left="0" w:right="113"/>
              <w:jc w:val="right"/>
              <w:rPr>
                <w:sz w:val="18"/>
              </w:rPr>
            </w:pPr>
            <w:r w:rsidRPr="00D713A6">
              <w:rPr>
                <w:sz w:val="18"/>
              </w:rPr>
              <w:t>76.3</w:t>
            </w:r>
          </w:p>
        </w:tc>
        <w:tc>
          <w:tcPr>
            <w:tcW w:w="466" w:type="pct"/>
            <w:shd w:val="clear" w:color="auto" w:fill="auto"/>
            <w:vAlign w:val="bottom"/>
            <w:hideMark/>
          </w:tcPr>
          <w:p w:rsidR="00C9789E" w:rsidRPr="00D713A6" w:rsidRDefault="00C9789E" w:rsidP="00D713A6">
            <w:pPr>
              <w:pStyle w:val="SingleTxtG"/>
              <w:spacing w:before="40" w:after="40" w:line="220" w:lineRule="exact"/>
              <w:ind w:left="0" w:right="113"/>
              <w:jc w:val="right"/>
              <w:rPr>
                <w:sz w:val="18"/>
              </w:rPr>
            </w:pPr>
            <w:r w:rsidRPr="00D713A6">
              <w:rPr>
                <w:sz w:val="18"/>
              </w:rPr>
              <w:t>76.8</w:t>
            </w:r>
          </w:p>
        </w:tc>
        <w:tc>
          <w:tcPr>
            <w:tcW w:w="464" w:type="pct"/>
            <w:shd w:val="clear" w:color="auto" w:fill="auto"/>
            <w:vAlign w:val="bottom"/>
            <w:hideMark/>
          </w:tcPr>
          <w:p w:rsidR="00C9789E" w:rsidRPr="00D713A6" w:rsidRDefault="00C9789E" w:rsidP="00D713A6">
            <w:pPr>
              <w:pStyle w:val="SingleTxtG"/>
              <w:spacing w:before="40" w:after="40" w:line="220" w:lineRule="exact"/>
              <w:ind w:left="0" w:right="113"/>
              <w:jc w:val="right"/>
              <w:rPr>
                <w:sz w:val="18"/>
              </w:rPr>
            </w:pPr>
            <w:r w:rsidRPr="00D713A6">
              <w:rPr>
                <w:sz w:val="18"/>
              </w:rPr>
              <w:t>77.3</w:t>
            </w:r>
          </w:p>
        </w:tc>
      </w:tr>
    </w:tbl>
    <w:p w:rsidR="00C9789E" w:rsidRPr="00F62F1C" w:rsidRDefault="00C9789E" w:rsidP="009554F3">
      <w:pPr>
        <w:pStyle w:val="H4G"/>
      </w:pPr>
      <w:r w:rsidRPr="00F62F1C">
        <w:tab/>
      </w:r>
      <w:r w:rsidRPr="00F62F1C">
        <w:tab/>
        <w:t>National Certificate of Educational Achievement (NCEA)</w:t>
      </w:r>
    </w:p>
    <w:p w:rsidR="00C9789E" w:rsidRPr="00F62F1C" w:rsidRDefault="00C9789E" w:rsidP="00706221">
      <w:pPr>
        <w:pStyle w:val="SingleTxtG"/>
      </w:pPr>
      <w:r w:rsidRPr="00F62F1C">
        <w:t>62.</w:t>
      </w:r>
      <w:r w:rsidRPr="00F62F1C">
        <w:tab/>
        <w:t>The number of Māori 18 year-olds with a National Certificate of Educational Achievement (NCEA) Level 2 qualification or equivalent increased to 67.7 percent which represents a 10 percentage point increase over the last three years. This is still significantly below the target of 85 percent.</w:t>
      </w:r>
    </w:p>
    <w:p w:rsidR="00C9789E" w:rsidRPr="00F62F1C" w:rsidRDefault="00C9789E" w:rsidP="00706221">
      <w:pPr>
        <w:pStyle w:val="SingleTxtG"/>
      </w:pPr>
      <w:r w:rsidRPr="00F62F1C">
        <w:t>63.</w:t>
      </w:r>
      <w:r w:rsidRPr="00F62F1C">
        <w:tab/>
        <w:t xml:space="preserve">Figure 2 shows an increase in Māori school leavers achieving University Entrance from 2009 to 2015. Although there has been a significant increase in the proportion of Māori school leavers achieving NCEA Level 3 or above, the gap between Māori and non-Māori achievement has narrowed only slightly (0.7 percentage points) since 2009. The goal of parity between the two groups to be achieved in 2017 will be unlikely. </w:t>
      </w:r>
    </w:p>
    <w:p w:rsidR="00C14577" w:rsidRDefault="00C9789E" w:rsidP="00C14577">
      <w:pPr>
        <w:pStyle w:val="Heading1"/>
      </w:pPr>
      <w:bookmarkStart w:id="18" w:name="_Toc494359754"/>
      <w:r w:rsidRPr="00F62F1C">
        <w:t>Figure 2</w:t>
      </w:r>
      <w:bookmarkEnd w:id="18"/>
    </w:p>
    <w:p w:rsidR="00C9789E" w:rsidRPr="00C14577" w:rsidRDefault="00C9789E" w:rsidP="00706221">
      <w:pPr>
        <w:pStyle w:val="SingleTxtG"/>
        <w:rPr>
          <w:b/>
        </w:rPr>
      </w:pPr>
      <w:r w:rsidRPr="00C14577">
        <w:rPr>
          <w:b/>
        </w:rPr>
        <w:t>Proportion of Māori school leavers achieving University Entrance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196"/>
        <w:gridCol w:w="1019"/>
        <w:gridCol w:w="1019"/>
        <w:gridCol w:w="1068"/>
        <w:gridCol w:w="1068"/>
      </w:tblGrid>
      <w:tr w:rsidR="00485296" w:rsidRPr="00D713A6" w:rsidTr="00485296">
        <w:trPr>
          <w:cantSplit/>
          <w:tblHeader/>
        </w:trPr>
        <w:tc>
          <w:tcPr>
            <w:tcW w:w="3196" w:type="dxa"/>
            <w:vMerge w:val="restart"/>
            <w:tcBorders>
              <w:top w:val="single" w:sz="4" w:space="0" w:color="auto"/>
            </w:tcBorders>
            <w:shd w:val="clear" w:color="auto" w:fill="auto"/>
            <w:vAlign w:val="bottom"/>
            <w:hideMark/>
          </w:tcPr>
          <w:p w:rsidR="00485296" w:rsidRPr="00D713A6" w:rsidRDefault="00485296" w:rsidP="00485296">
            <w:pPr>
              <w:pStyle w:val="SingleTxtG"/>
              <w:spacing w:before="80" w:after="80" w:line="200" w:lineRule="exact"/>
              <w:ind w:left="0" w:right="113"/>
              <w:jc w:val="left"/>
              <w:rPr>
                <w:i/>
                <w:sz w:val="16"/>
              </w:rPr>
            </w:pPr>
            <w:r w:rsidRPr="00485296">
              <w:rPr>
                <w:i/>
                <w:sz w:val="16"/>
              </w:rPr>
              <w:t>Year</w:t>
            </w:r>
          </w:p>
        </w:tc>
        <w:tc>
          <w:tcPr>
            <w:tcW w:w="2038" w:type="dxa"/>
            <w:gridSpan w:val="2"/>
            <w:tcBorders>
              <w:top w:val="single" w:sz="4" w:space="0" w:color="auto"/>
              <w:bottom w:val="single" w:sz="4" w:space="0" w:color="auto"/>
              <w:right w:val="single" w:sz="24" w:space="0" w:color="FFFFFF" w:themeColor="background1"/>
            </w:tcBorders>
            <w:shd w:val="clear" w:color="auto" w:fill="auto"/>
            <w:vAlign w:val="bottom"/>
            <w:hideMark/>
          </w:tcPr>
          <w:p w:rsidR="00485296" w:rsidRPr="00D713A6" w:rsidRDefault="00485296" w:rsidP="00C14577">
            <w:pPr>
              <w:pStyle w:val="SingleTxtG"/>
              <w:spacing w:before="80" w:after="80" w:line="200" w:lineRule="exact"/>
              <w:ind w:left="0" w:right="113"/>
              <w:jc w:val="center"/>
              <w:rPr>
                <w:i/>
                <w:sz w:val="16"/>
              </w:rPr>
            </w:pPr>
            <w:r w:rsidRPr="00D713A6">
              <w:rPr>
                <w:i/>
                <w:sz w:val="16"/>
              </w:rPr>
              <w:t>Māori</w:t>
            </w:r>
          </w:p>
        </w:tc>
        <w:tc>
          <w:tcPr>
            <w:tcW w:w="2136" w:type="dxa"/>
            <w:gridSpan w:val="2"/>
            <w:tcBorders>
              <w:top w:val="single" w:sz="4" w:space="0" w:color="auto"/>
              <w:left w:val="single" w:sz="24" w:space="0" w:color="FFFFFF" w:themeColor="background1"/>
              <w:bottom w:val="single" w:sz="4" w:space="0" w:color="auto"/>
            </w:tcBorders>
            <w:shd w:val="clear" w:color="auto" w:fill="auto"/>
            <w:vAlign w:val="bottom"/>
            <w:hideMark/>
          </w:tcPr>
          <w:p w:rsidR="00485296" w:rsidRPr="00D713A6" w:rsidRDefault="00485296" w:rsidP="00C14577">
            <w:pPr>
              <w:pStyle w:val="SingleTxtG"/>
              <w:spacing w:before="80" w:after="80" w:line="200" w:lineRule="exact"/>
              <w:ind w:left="0" w:right="113"/>
              <w:jc w:val="center"/>
              <w:rPr>
                <w:i/>
                <w:sz w:val="16"/>
              </w:rPr>
            </w:pPr>
            <w:r w:rsidRPr="00D713A6">
              <w:rPr>
                <w:i/>
                <w:sz w:val="16"/>
              </w:rPr>
              <w:t>Non-Māori</w:t>
            </w:r>
          </w:p>
        </w:tc>
      </w:tr>
      <w:tr w:rsidR="00485296" w:rsidRPr="00485296" w:rsidTr="00485296">
        <w:trPr>
          <w:cantSplit/>
        </w:trPr>
        <w:tc>
          <w:tcPr>
            <w:tcW w:w="3196" w:type="dxa"/>
            <w:vMerge/>
            <w:tcBorders>
              <w:bottom w:val="single" w:sz="12" w:space="0" w:color="auto"/>
            </w:tcBorders>
            <w:shd w:val="clear" w:color="auto" w:fill="auto"/>
            <w:hideMark/>
          </w:tcPr>
          <w:p w:rsidR="00485296" w:rsidRPr="00485296" w:rsidRDefault="00485296" w:rsidP="00485296">
            <w:pPr>
              <w:pStyle w:val="SingleTxtG"/>
              <w:spacing w:before="80" w:after="80" w:line="200" w:lineRule="exact"/>
              <w:ind w:left="0" w:right="113"/>
              <w:jc w:val="center"/>
              <w:rPr>
                <w:i/>
                <w:sz w:val="16"/>
              </w:rPr>
            </w:pPr>
          </w:p>
        </w:tc>
        <w:tc>
          <w:tcPr>
            <w:tcW w:w="1019" w:type="dxa"/>
            <w:tcBorders>
              <w:top w:val="single" w:sz="4" w:space="0" w:color="auto"/>
              <w:bottom w:val="single" w:sz="12" w:space="0" w:color="auto"/>
            </w:tcBorders>
            <w:shd w:val="clear" w:color="auto" w:fill="auto"/>
            <w:vAlign w:val="bottom"/>
            <w:hideMark/>
          </w:tcPr>
          <w:p w:rsidR="00485296" w:rsidRPr="00485296" w:rsidRDefault="00485296" w:rsidP="00485296">
            <w:pPr>
              <w:pStyle w:val="SingleTxtG"/>
              <w:spacing w:before="80" w:after="80" w:line="200" w:lineRule="exact"/>
              <w:ind w:left="0" w:right="113"/>
              <w:jc w:val="center"/>
              <w:rPr>
                <w:i/>
                <w:sz w:val="16"/>
              </w:rPr>
            </w:pPr>
            <w:r w:rsidRPr="00485296">
              <w:rPr>
                <w:i/>
                <w:sz w:val="16"/>
              </w:rPr>
              <w:t>2009</w:t>
            </w:r>
          </w:p>
        </w:tc>
        <w:tc>
          <w:tcPr>
            <w:tcW w:w="1019" w:type="dxa"/>
            <w:tcBorders>
              <w:top w:val="single" w:sz="4" w:space="0" w:color="auto"/>
              <w:bottom w:val="single" w:sz="12" w:space="0" w:color="auto"/>
              <w:right w:val="single" w:sz="24" w:space="0" w:color="FFFFFF" w:themeColor="background1"/>
            </w:tcBorders>
            <w:shd w:val="clear" w:color="auto" w:fill="auto"/>
            <w:vAlign w:val="bottom"/>
            <w:hideMark/>
          </w:tcPr>
          <w:p w:rsidR="00485296" w:rsidRPr="00485296" w:rsidRDefault="00485296" w:rsidP="00485296">
            <w:pPr>
              <w:pStyle w:val="SingleTxtG"/>
              <w:spacing w:before="80" w:after="80" w:line="200" w:lineRule="exact"/>
              <w:ind w:left="0" w:right="113"/>
              <w:jc w:val="center"/>
              <w:rPr>
                <w:i/>
                <w:sz w:val="16"/>
              </w:rPr>
            </w:pPr>
            <w:r w:rsidRPr="00485296">
              <w:rPr>
                <w:i/>
                <w:sz w:val="16"/>
              </w:rPr>
              <w:t>2015</w:t>
            </w:r>
          </w:p>
        </w:tc>
        <w:tc>
          <w:tcPr>
            <w:tcW w:w="1068" w:type="dxa"/>
            <w:tcBorders>
              <w:top w:val="single" w:sz="4" w:space="0" w:color="auto"/>
              <w:left w:val="single" w:sz="24" w:space="0" w:color="FFFFFF" w:themeColor="background1"/>
              <w:bottom w:val="single" w:sz="12" w:space="0" w:color="auto"/>
            </w:tcBorders>
            <w:shd w:val="clear" w:color="auto" w:fill="auto"/>
            <w:vAlign w:val="bottom"/>
            <w:hideMark/>
          </w:tcPr>
          <w:p w:rsidR="00485296" w:rsidRPr="00485296" w:rsidRDefault="00485296" w:rsidP="00485296">
            <w:pPr>
              <w:pStyle w:val="SingleTxtG"/>
              <w:spacing w:before="80" w:after="80" w:line="200" w:lineRule="exact"/>
              <w:ind w:left="0" w:right="113"/>
              <w:jc w:val="center"/>
              <w:rPr>
                <w:i/>
                <w:sz w:val="16"/>
              </w:rPr>
            </w:pPr>
            <w:r w:rsidRPr="00485296">
              <w:rPr>
                <w:i/>
                <w:sz w:val="16"/>
              </w:rPr>
              <w:t>2009</w:t>
            </w:r>
          </w:p>
        </w:tc>
        <w:tc>
          <w:tcPr>
            <w:tcW w:w="1068" w:type="dxa"/>
            <w:tcBorders>
              <w:top w:val="single" w:sz="4" w:space="0" w:color="auto"/>
              <w:bottom w:val="single" w:sz="12" w:space="0" w:color="auto"/>
            </w:tcBorders>
            <w:shd w:val="clear" w:color="auto" w:fill="auto"/>
            <w:vAlign w:val="bottom"/>
            <w:hideMark/>
          </w:tcPr>
          <w:p w:rsidR="00485296" w:rsidRPr="00485296" w:rsidRDefault="00485296" w:rsidP="00485296">
            <w:pPr>
              <w:pStyle w:val="SingleTxtG"/>
              <w:spacing w:before="80" w:after="80" w:line="200" w:lineRule="exact"/>
              <w:ind w:left="0" w:right="113"/>
              <w:jc w:val="center"/>
              <w:rPr>
                <w:i/>
                <w:sz w:val="16"/>
              </w:rPr>
            </w:pPr>
            <w:r w:rsidRPr="00485296">
              <w:rPr>
                <w:i/>
                <w:sz w:val="16"/>
              </w:rPr>
              <w:t>2015</w:t>
            </w:r>
          </w:p>
        </w:tc>
      </w:tr>
      <w:tr w:rsidR="00C9789E" w:rsidRPr="00D713A6" w:rsidTr="00485296">
        <w:trPr>
          <w:cantSplit/>
        </w:trPr>
        <w:tc>
          <w:tcPr>
            <w:tcW w:w="3196" w:type="dxa"/>
            <w:tcBorders>
              <w:top w:val="single" w:sz="12" w:space="0" w:color="auto"/>
            </w:tcBorders>
            <w:shd w:val="clear" w:color="auto" w:fill="auto"/>
            <w:hideMark/>
          </w:tcPr>
          <w:p w:rsidR="00C9789E" w:rsidRPr="00D713A6" w:rsidRDefault="00C9789E" w:rsidP="00D713A6">
            <w:pPr>
              <w:pStyle w:val="SingleTxtG"/>
              <w:spacing w:before="40" w:after="40" w:line="220" w:lineRule="exact"/>
              <w:ind w:left="0" w:right="113"/>
              <w:jc w:val="left"/>
              <w:rPr>
                <w:sz w:val="18"/>
              </w:rPr>
            </w:pPr>
            <w:r w:rsidRPr="00D713A6">
              <w:rPr>
                <w:sz w:val="18"/>
              </w:rPr>
              <w:t>Percentage</w:t>
            </w:r>
          </w:p>
        </w:tc>
        <w:tc>
          <w:tcPr>
            <w:tcW w:w="1019" w:type="dxa"/>
            <w:tcBorders>
              <w:top w:val="single" w:sz="12" w:space="0" w:color="auto"/>
            </w:tcBorders>
            <w:shd w:val="clear" w:color="auto" w:fill="auto"/>
            <w:vAlign w:val="bottom"/>
            <w:hideMark/>
          </w:tcPr>
          <w:p w:rsidR="00C9789E" w:rsidRPr="00D713A6" w:rsidRDefault="00C9789E" w:rsidP="00D713A6">
            <w:pPr>
              <w:pStyle w:val="SingleTxtG"/>
              <w:spacing w:before="40" w:after="40" w:line="220" w:lineRule="exact"/>
              <w:ind w:left="0" w:right="113"/>
              <w:jc w:val="right"/>
              <w:rPr>
                <w:sz w:val="18"/>
              </w:rPr>
            </w:pPr>
            <w:r w:rsidRPr="00D713A6">
              <w:rPr>
                <w:sz w:val="18"/>
              </w:rPr>
              <w:t>19.10</w:t>
            </w:r>
          </w:p>
        </w:tc>
        <w:tc>
          <w:tcPr>
            <w:tcW w:w="1019" w:type="dxa"/>
            <w:tcBorders>
              <w:top w:val="single" w:sz="12" w:space="0" w:color="auto"/>
            </w:tcBorders>
            <w:shd w:val="clear" w:color="auto" w:fill="auto"/>
            <w:vAlign w:val="bottom"/>
            <w:hideMark/>
          </w:tcPr>
          <w:p w:rsidR="00C9789E" w:rsidRPr="00D713A6" w:rsidRDefault="00C9789E" w:rsidP="00D713A6">
            <w:pPr>
              <w:pStyle w:val="SingleTxtG"/>
              <w:spacing w:before="40" w:after="40" w:line="220" w:lineRule="exact"/>
              <w:ind w:left="0" w:right="113"/>
              <w:jc w:val="right"/>
              <w:rPr>
                <w:sz w:val="18"/>
              </w:rPr>
            </w:pPr>
            <w:r w:rsidRPr="00D713A6">
              <w:rPr>
                <w:sz w:val="18"/>
              </w:rPr>
              <w:t>31.10</w:t>
            </w:r>
          </w:p>
        </w:tc>
        <w:tc>
          <w:tcPr>
            <w:tcW w:w="1068" w:type="dxa"/>
            <w:tcBorders>
              <w:top w:val="single" w:sz="12" w:space="0" w:color="auto"/>
            </w:tcBorders>
            <w:shd w:val="clear" w:color="auto" w:fill="auto"/>
            <w:vAlign w:val="bottom"/>
            <w:hideMark/>
          </w:tcPr>
          <w:p w:rsidR="00C9789E" w:rsidRPr="00D713A6" w:rsidRDefault="00C9789E" w:rsidP="00D713A6">
            <w:pPr>
              <w:pStyle w:val="SingleTxtG"/>
              <w:spacing w:before="40" w:after="40" w:line="220" w:lineRule="exact"/>
              <w:ind w:left="0" w:right="113"/>
              <w:jc w:val="right"/>
              <w:rPr>
                <w:sz w:val="18"/>
              </w:rPr>
            </w:pPr>
            <w:r w:rsidRPr="00D713A6">
              <w:rPr>
                <w:sz w:val="18"/>
              </w:rPr>
              <w:t>47.50</w:t>
            </w:r>
          </w:p>
        </w:tc>
        <w:tc>
          <w:tcPr>
            <w:tcW w:w="1068" w:type="dxa"/>
            <w:tcBorders>
              <w:top w:val="single" w:sz="12" w:space="0" w:color="auto"/>
            </w:tcBorders>
            <w:shd w:val="clear" w:color="auto" w:fill="auto"/>
            <w:vAlign w:val="bottom"/>
            <w:hideMark/>
          </w:tcPr>
          <w:p w:rsidR="00C9789E" w:rsidRPr="00D713A6" w:rsidRDefault="00C9789E" w:rsidP="00D713A6">
            <w:pPr>
              <w:pStyle w:val="SingleTxtG"/>
              <w:spacing w:before="40" w:after="40" w:line="220" w:lineRule="exact"/>
              <w:ind w:left="0" w:right="113"/>
              <w:jc w:val="right"/>
              <w:rPr>
                <w:sz w:val="18"/>
              </w:rPr>
            </w:pPr>
            <w:r w:rsidRPr="00D713A6">
              <w:rPr>
                <w:sz w:val="18"/>
              </w:rPr>
              <w:t>58.80</w:t>
            </w:r>
          </w:p>
        </w:tc>
      </w:tr>
      <w:tr w:rsidR="00C9789E" w:rsidRPr="00D713A6" w:rsidTr="00B77308">
        <w:trPr>
          <w:cantSplit/>
        </w:trPr>
        <w:tc>
          <w:tcPr>
            <w:tcW w:w="3196" w:type="dxa"/>
            <w:shd w:val="clear" w:color="auto" w:fill="auto"/>
            <w:hideMark/>
          </w:tcPr>
          <w:p w:rsidR="00C9789E" w:rsidRPr="00D713A6" w:rsidRDefault="00C9789E" w:rsidP="00D713A6">
            <w:pPr>
              <w:pStyle w:val="SingleTxtG"/>
              <w:spacing w:before="40" w:after="40" w:line="220" w:lineRule="exact"/>
              <w:ind w:left="0" w:right="113"/>
              <w:jc w:val="left"/>
              <w:rPr>
                <w:sz w:val="18"/>
              </w:rPr>
            </w:pPr>
            <w:r w:rsidRPr="00D713A6">
              <w:rPr>
                <w:sz w:val="18"/>
              </w:rPr>
              <w:t>Percentage point</w:t>
            </w:r>
          </w:p>
        </w:tc>
        <w:tc>
          <w:tcPr>
            <w:tcW w:w="2038" w:type="dxa"/>
            <w:gridSpan w:val="2"/>
            <w:shd w:val="clear" w:color="auto" w:fill="auto"/>
            <w:vAlign w:val="bottom"/>
            <w:hideMark/>
          </w:tcPr>
          <w:p w:rsidR="00C9789E" w:rsidRPr="00D713A6" w:rsidRDefault="00C9789E" w:rsidP="00D713A6">
            <w:pPr>
              <w:pStyle w:val="SingleTxtG"/>
              <w:spacing w:before="40" w:after="40" w:line="220" w:lineRule="exact"/>
              <w:ind w:left="0" w:right="113"/>
              <w:jc w:val="right"/>
              <w:rPr>
                <w:sz w:val="18"/>
              </w:rPr>
            </w:pPr>
            <w:r w:rsidRPr="00D713A6">
              <w:rPr>
                <w:sz w:val="18"/>
              </w:rPr>
              <w:t>+12</w:t>
            </w:r>
          </w:p>
        </w:tc>
        <w:tc>
          <w:tcPr>
            <w:tcW w:w="2136" w:type="dxa"/>
            <w:gridSpan w:val="2"/>
            <w:shd w:val="clear" w:color="auto" w:fill="auto"/>
            <w:vAlign w:val="bottom"/>
            <w:hideMark/>
          </w:tcPr>
          <w:p w:rsidR="00C9789E" w:rsidRPr="00D713A6" w:rsidRDefault="00C9789E" w:rsidP="00D713A6">
            <w:pPr>
              <w:pStyle w:val="SingleTxtG"/>
              <w:spacing w:before="40" w:after="40" w:line="220" w:lineRule="exact"/>
              <w:ind w:left="0" w:right="113"/>
              <w:jc w:val="right"/>
              <w:rPr>
                <w:sz w:val="18"/>
              </w:rPr>
            </w:pPr>
            <w:r w:rsidRPr="00D713A6">
              <w:rPr>
                <w:sz w:val="18"/>
              </w:rPr>
              <w:t>+11.30</w:t>
            </w:r>
          </w:p>
        </w:tc>
      </w:tr>
    </w:tbl>
    <w:p w:rsidR="00C9789E" w:rsidRPr="00F62F1C" w:rsidRDefault="00C9789E" w:rsidP="00C14577">
      <w:pPr>
        <w:pStyle w:val="SingleTxtG"/>
        <w:spacing w:before="120"/>
      </w:pPr>
      <w:r w:rsidRPr="00F62F1C">
        <w:t>64.</w:t>
      </w:r>
      <w:r w:rsidRPr="00F62F1C">
        <w:tab/>
        <w:t>Figure 3 shows an increased proportion of Māori attaining a New Zealand Qualifications Framework Level 4 or above qualification by age 25 since 2007 to 2014.</w:t>
      </w:r>
      <w:r w:rsidR="0023775B">
        <w:t xml:space="preserve"> </w:t>
      </w:r>
      <w:r w:rsidRPr="00F62F1C">
        <w:t xml:space="preserve">The </w:t>
      </w:r>
      <w:proofErr w:type="spellStart"/>
      <w:r w:rsidRPr="00F62F1C">
        <w:t>Ka</w:t>
      </w:r>
      <w:proofErr w:type="spellEnd"/>
      <w:r w:rsidRPr="00F62F1C">
        <w:t xml:space="preserve"> </w:t>
      </w:r>
      <w:proofErr w:type="spellStart"/>
      <w:r w:rsidRPr="00F62F1C">
        <w:t>Hikitia</w:t>
      </w:r>
      <w:proofErr w:type="spellEnd"/>
      <w:r w:rsidRPr="00F62F1C">
        <w:t xml:space="preserve"> goal of an increase in the proportion of Māori who attain a NZQF Level 4 or above qualification by age 25 has been achieved. </w:t>
      </w:r>
      <w:proofErr w:type="gramStart"/>
      <w:r w:rsidRPr="00F62F1C">
        <w:t>However</w:t>
      </w:r>
      <w:proofErr w:type="gramEnd"/>
      <w:r w:rsidRPr="00F62F1C">
        <w:t xml:space="preserve"> between 2007 and 2014 there has consistently been a gap of at least twenty percentage points between the proportions of Māori and non-Māori twenty-five year olds who have completed a tertiary qualification at NZQF Level 4 or above.</w:t>
      </w:r>
      <w:r w:rsidR="0023775B">
        <w:t xml:space="preserve"> </w:t>
      </w:r>
    </w:p>
    <w:p w:rsidR="00C14577" w:rsidRDefault="00C9789E" w:rsidP="00C14577">
      <w:pPr>
        <w:pStyle w:val="Heading1"/>
      </w:pPr>
      <w:bookmarkStart w:id="19" w:name="_Toc494359755"/>
      <w:r w:rsidRPr="00F62F1C">
        <w:t>Figure 3</w:t>
      </w:r>
      <w:bookmarkEnd w:id="19"/>
    </w:p>
    <w:p w:rsidR="00C9789E" w:rsidRPr="00C14577" w:rsidRDefault="00C9789E" w:rsidP="00706221">
      <w:pPr>
        <w:pStyle w:val="SingleTxtG"/>
        <w:rPr>
          <w:b/>
        </w:rPr>
      </w:pPr>
      <w:r w:rsidRPr="00C14577">
        <w:rPr>
          <w:b/>
        </w:rPr>
        <w:t>Māori attaining a New Zealand Qualifications Framework Level 4 or above qualification by age 25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119"/>
        <w:gridCol w:w="1062"/>
        <w:gridCol w:w="1063"/>
        <w:gridCol w:w="1063"/>
        <w:gridCol w:w="1063"/>
      </w:tblGrid>
      <w:tr w:rsidR="003D1E50" w:rsidRPr="00D713A6" w:rsidTr="005D4BDD">
        <w:trPr>
          <w:cantSplit/>
          <w:tblHeader/>
        </w:trPr>
        <w:tc>
          <w:tcPr>
            <w:tcW w:w="3119" w:type="dxa"/>
            <w:vMerge w:val="restart"/>
            <w:tcBorders>
              <w:top w:val="single" w:sz="4" w:space="0" w:color="auto"/>
            </w:tcBorders>
            <w:shd w:val="clear" w:color="auto" w:fill="auto"/>
            <w:vAlign w:val="bottom"/>
            <w:hideMark/>
          </w:tcPr>
          <w:p w:rsidR="003D1E50" w:rsidRPr="00D713A6" w:rsidRDefault="003D1E50" w:rsidP="003D1E50">
            <w:pPr>
              <w:pStyle w:val="SingleTxtG"/>
              <w:spacing w:before="80" w:after="80" w:line="200" w:lineRule="exact"/>
              <w:ind w:left="0" w:right="113"/>
              <w:jc w:val="left"/>
              <w:rPr>
                <w:i/>
                <w:sz w:val="16"/>
              </w:rPr>
            </w:pPr>
            <w:r w:rsidRPr="003D1E50">
              <w:rPr>
                <w:i/>
                <w:sz w:val="16"/>
              </w:rPr>
              <w:t>Year</w:t>
            </w:r>
          </w:p>
        </w:tc>
        <w:tc>
          <w:tcPr>
            <w:tcW w:w="2125" w:type="dxa"/>
            <w:gridSpan w:val="2"/>
            <w:tcBorders>
              <w:top w:val="single" w:sz="4" w:space="0" w:color="auto"/>
              <w:bottom w:val="single" w:sz="4" w:space="0" w:color="auto"/>
              <w:right w:val="single" w:sz="24" w:space="0" w:color="FFFFFF" w:themeColor="background1"/>
            </w:tcBorders>
            <w:shd w:val="clear" w:color="auto" w:fill="auto"/>
            <w:vAlign w:val="bottom"/>
            <w:hideMark/>
          </w:tcPr>
          <w:p w:rsidR="003D1E50" w:rsidRPr="00D713A6" w:rsidRDefault="003D1E50" w:rsidP="00C14577">
            <w:pPr>
              <w:pStyle w:val="SingleTxtG"/>
              <w:spacing w:before="80" w:after="80" w:line="200" w:lineRule="exact"/>
              <w:ind w:left="0" w:right="113"/>
              <w:jc w:val="center"/>
              <w:rPr>
                <w:i/>
                <w:sz w:val="16"/>
              </w:rPr>
            </w:pPr>
            <w:r w:rsidRPr="00D713A6">
              <w:rPr>
                <w:i/>
                <w:sz w:val="16"/>
              </w:rPr>
              <w:t>Māori</w:t>
            </w:r>
          </w:p>
        </w:tc>
        <w:tc>
          <w:tcPr>
            <w:tcW w:w="2126" w:type="dxa"/>
            <w:gridSpan w:val="2"/>
            <w:tcBorders>
              <w:top w:val="single" w:sz="4" w:space="0" w:color="auto"/>
              <w:left w:val="single" w:sz="24" w:space="0" w:color="FFFFFF" w:themeColor="background1"/>
              <w:bottom w:val="single" w:sz="4" w:space="0" w:color="auto"/>
            </w:tcBorders>
            <w:shd w:val="clear" w:color="auto" w:fill="auto"/>
            <w:vAlign w:val="bottom"/>
            <w:hideMark/>
          </w:tcPr>
          <w:p w:rsidR="003D1E50" w:rsidRPr="00D713A6" w:rsidRDefault="003D1E50" w:rsidP="00C14577">
            <w:pPr>
              <w:pStyle w:val="SingleTxtG"/>
              <w:spacing w:before="80" w:after="80" w:line="200" w:lineRule="exact"/>
              <w:ind w:left="0" w:right="113"/>
              <w:jc w:val="center"/>
              <w:rPr>
                <w:i/>
                <w:sz w:val="16"/>
              </w:rPr>
            </w:pPr>
            <w:r w:rsidRPr="00D713A6">
              <w:rPr>
                <w:i/>
                <w:sz w:val="16"/>
              </w:rPr>
              <w:t>Non-Māori</w:t>
            </w:r>
          </w:p>
        </w:tc>
      </w:tr>
      <w:tr w:rsidR="003D1E50" w:rsidRPr="00D713A6" w:rsidTr="005D4BDD">
        <w:trPr>
          <w:cantSplit/>
        </w:trPr>
        <w:tc>
          <w:tcPr>
            <w:tcW w:w="3119" w:type="dxa"/>
            <w:vMerge/>
            <w:tcBorders>
              <w:bottom w:val="single" w:sz="12" w:space="0" w:color="auto"/>
            </w:tcBorders>
            <w:shd w:val="clear" w:color="auto" w:fill="auto"/>
            <w:hideMark/>
          </w:tcPr>
          <w:p w:rsidR="003D1E50" w:rsidRPr="00D713A6" w:rsidRDefault="003D1E50" w:rsidP="00D713A6">
            <w:pPr>
              <w:pStyle w:val="SingleTxtG"/>
              <w:spacing w:before="40" w:after="40" w:line="220" w:lineRule="exact"/>
              <w:ind w:left="0" w:right="113"/>
              <w:jc w:val="left"/>
              <w:rPr>
                <w:sz w:val="18"/>
              </w:rPr>
            </w:pPr>
          </w:p>
        </w:tc>
        <w:tc>
          <w:tcPr>
            <w:tcW w:w="1062" w:type="dxa"/>
            <w:tcBorders>
              <w:top w:val="single" w:sz="4" w:space="0" w:color="auto"/>
              <w:bottom w:val="single" w:sz="12" w:space="0" w:color="auto"/>
            </w:tcBorders>
            <w:shd w:val="clear" w:color="auto" w:fill="auto"/>
            <w:vAlign w:val="bottom"/>
            <w:hideMark/>
          </w:tcPr>
          <w:p w:rsidR="003D1E50" w:rsidRPr="003D1E50" w:rsidRDefault="003D1E50" w:rsidP="003D1E50">
            <w:pPr>
              <w:pStyle w:val="SingleTxtG"/>
              <w:spacing w:before="80" w:after="80" w:line="200" w:lineRule="exact"/>
              <w:ind w:left="0" w:right="113"/>
              <w:jc w:val="center"/>
              <w:rPr>
                <w:i/>
                <w:sz w:val="16"/>
              </w:rPr>
            </w:pPr>
            <w:r w:rsidRPr="003D1E50">
              <w:rPr>
                <w:i/>
                <w:sz w:val="16"/>
              </w:rPr>
              <w:t>2007</w:t>
            </w:r>
          </w:p>
        </w:tc>
        <w:tc>
          <w:tcPr>
            <w:tcW w:w="1063" w:type="dxa"/>
            <w:tcBorders>
              <w:top w:val="single" w:sz="4" w:space="0" w:color="auto"/>
              <w:bottom w:val="single" w:sz="12" w:space="0" w:color="auto"/>
              <w:right w:val="single" w:sz="24" w:space="0" w:color="FFFFFF" w:themeColor="background1"/>
            </w:tcBorders>
            <w:shd w:val="clear" w:color="auto" w:fill="auto"/>
            <w:vAlign w:val="bottom"/>
            <w:hideMark/>
          </w:tcPr>
          <w:p w:rsidR="003D1E50" w:rsidRPr="003D1E50" w:rsidRDefault="003D1E50" w:rsidP="003D1E50">
            <w:pPr>
              <w:pStyle w:val="SingleTxtG"/>
              <w:spacing w:before="80" w:after="80" w:line="200" w:lineRule="exact"/>
              <w:ind w:left="0" w:right="113"/>
              <w:jc w:val="center"/>
              <w:rPr>
                <w:i/>
                <w:sz w:val="16"/>
              </w:rPr>
            </w:pPr>
            <w:r w:rsidRPr="003D1E50">
              <w:rPr>
                <w:i/>
                <w:sz w:val="16"/>
              </w:rPr>
              <w:t>2014</w:t>
            </w:r>
          </w:p>
        </w:tc>
        <w:tc>
          <w:tcPr>
            <w:tcW w:w="1063" w:type="dxa"/>
            <w:tcBorders>
              <w:top w:val="single" w:sz="4" w:space="0" w:color="auto"/>
              <w:left w:val="single" w:sz="24" w:space="0" w:color="FFFFFF" w:themeColor="background1"/>
              <w:bottom w:val="single" w:sz="12" w:space="0" w:color="auto"/>
            </w:tcBorders>
            <w:shd w:val="clear" w:color="auto" w:fill="auto"/>
            <w:vAlign w:val="bottom"/>
            <w:hideMark/>
          </w:tcPr>
          <w:p w:rsidR="003D1E50" w:rsidRPr="003D1E50" w:rsidRDefault="003D1E50" w:rsidP="003D1E50">
            <w:pPr>
              <w:pStyle w:val="SingleTxtG"/>
              <w:spacing w:before="80" w:after="80" w:line="200" w:lineRule="exact"/>
              <w:ind w:left="0" w:right="113"/>
              <w:jc w:val="center"/>
              <w:rPr>
                <w:i/>
                <w:sz w:val="16"/>
              </w:rPr>
            </w:pPr>
            <w:r w:rsidRPr="003D1E50">
              <w:rPr>
                <w:i/>
                <w:sz w:val="16"/>
              </w:rPr>
              <w:t>2007</w:t>
            </w:r>
          </w:p>
        </w:tc>
        <w:tc>
          <w:tcPr>
            <w:tcW w:w="1063" w:type="dxa"/>
            <w:tcBorders>
              <w:top w:val="single" w:sz="4" w:space="0" w:color="auto"/>
              <w:bottom w:val="single" w:sz="12" w:space="0" w:color="auto"/>
            </w:tcBorders>
            <w:shd w:val="clear" w:color="auto" w:fill="auto"/>
            <w:vAlign w:val="bottom"/>
            <w:hideMark/>
          </w:tcPr>
          <w:p w:rsidR="003D1E50" w:rsidRPr="003D1E50" w:rsidRDefault="003D1E50" w:rsidP="003D1E50">
            <w:pPr>
              <w:pStyle w:val="SingleTxtG"/>
              <w:spacing w:before="80" w:after="80" w:line="200" w:lineRule="exact"/>
              <w:ind w:left="0" w:right="113"/>
              <w:jc w:val="center"/>
              <w:rPr>
                <w:i/>
                <w:sz w:val="16"/>
              </w:rPr>
            </w:pPr>
            <w:r w:rsidRPr="003D1E50">
              <w:rPr>
                <w:i/>
                <w:sz w:val="16"/>
              </w:rPr>
              <w:t>2014</w:t>
            </w:r>
          </w:p>
        </w:tc>
      </w:tr>
      <w:tr w:rsidR="00C9789E" w:rsidRPr="00D713A6" w:rsidTr="005D4BDD">
        <w:trPr>
          <w:cantSplit/>
        </w:trPr>
        <w:tc>
          <w:tcPr>
            <w:tcW w:w="3119" w:type="dxa"/>
            <w:tcBorders>
              <w:top w:val="single" w:sz="12" w:space="0" w:color="auto"/>
            </w:tcBorders>
            <w:shd w:val="clear" w:color="auto" w:fill="auto"/>
            <w:hideMark/>
          </w:tcPr>
          <w:p w:rsidR="00C9789E" w:rsidRPr="00D713A6" w:rsidRDefault="00C9789E" w:rsidP="00D713A6">
            <w:pPr>
              <w:pStyle w:val="SingleTxtG"/>
              <w:spacing w:before="40" w:after="40" w:line="220" w:lineRule="exact"/>
              <w:ind w:left="0" w:right="113"/>
              <w:jc w:val="left"/>
              <w:rPr>
                <w:sz w:val="18"/>
              </w:rPr>
            </w:pPr>
            <w:r w:rsidRPr="00D713A6">
              <w:rPr>
                <w:sz w:val="18"/>
              </w:rPr>
              <w:t>Percentage</w:t>
            </w:r>
          </w:p>
        </w:tc>
        <w:tc>
          <w:tcPr>
            <w:tcW w:w="1062" w:type="dxa"/>
            <w:tcBorders>
              <w:top w:val="single" w:sz="12" w:space="0" w:color="auto"/>
            </w:tcBorders>
            <w:shd w:val="clear" w:color="auto" w:fill="auto"/>
            <w:vAlign w:val="bottom"/>
            <w:hideMark/>
          </w:tcPr>
          <w:p w:rsidR="00C9789E" w:rsidRPr="00D713A6" w:rsidRDefault="00C9789E" w:rsidP="00D713A6">
            <w:pPr>
              <w:pStyle w:val="SingleTxtG"/>
              <w:spacing w:before="40" w:after="40" w:line="220" w:lineRule="exact"/>
              <w:ind w:left="0" w:right="113"/>
              <w:jc w:val="right"/>
              <w:rPr>
                <w:sz w:val="18"/>
              </w:rPr>
            </w:pPr>
            <w:r w:rsidRPr="00D713A6">
              <w:rPr>
                <w:sz w:val="18"/>
              </w:rPr>
              <w:t>20</w:t>
            </w:r>
          </w:p>
        </w:tc>
        <w:tc>
          <w:tcPr>
            <w:tcW w:w="1063" w:type="dxa"/>
            <w:tcBorders>
              <w:top w:val="single" w:sz="12" w:space="0" w:color="auto"/>
            </w:tcBorders>
            <w:shd w:val="clear" w:color="auto" w:fill="auto"/>
            <w:vAlign w:val="bottom"/>
            <w:hideMark/>
          </w:tcPr>
          <w:p w:rsidR="00C9789E" w:rsidRPr="00D713A6" w:rsidRDefault="00C9789E" w:rsidP="00D713A6">
            <w:pPr>
              <w:pStyle w:val="SingleTxtG"/>
              <w:spacing w:before="40" w:after="40" w:line="220" w:lineRule="exact"/>
              <w:ind w:left="0" w:right="113"/>
              <w:jc w:val="right"/>
              <w:rPr>
                <w:sz w:val="18"/>
              </w:rPr>
            </w:pPr>
            <w:r w:rsidRPr="00D713A6">
              <w:rPr>
                <w:sz w:val="18"/>
              </w:rPr>
              <w:t>30</w:t>
            </w:r>
          </w:p>
        </w:tc>
        <w:tc>
          <w:tcPr>
            <w:tcW w:w="1063" w:type="dxa"/>
            <w:tcBorders>
              <w:top w:val="single" w:sz="12" w:space="0" w:color="auto"/>
            </w:tcBorders>
            <w:shd w:val="clear" w:color="auto" w:fill="auto"/>
            <w:vAlign w:val="bottom"/>
            <w:hideMark/>
          </w:tcPr>
          <w:p w:rsidR="00C9789E" w:rsidRPr="00D713A6" w:rsidRDefault="00C9789E" w:rsidP="00D713A6">
            <w:pPr>
              <w:pStyle w:val="SingleTxtG"/>
              <w:spacing w:before="40" w:after="40" w:line="220" w:lineRule="exact"/>
              <w:ind w:left="0" w:right="113"/>
              <w:jc w:val="right"/>
              <w:rPr>
                <w:sz w:val="18"/>
              </w:rPr>
            </w:pPr>
            <w:r w:rsidRPr="00D713A6">
              <w:rPr>
                <w:sz w:val="18"/>
              </w:rPr>
              <w:t>40</w:t>
            </w:r>
          </w:p>
        </w:tc>
        <w:tc>
          <w:tcPr>
            <w:tcW w:w="1063" w:type="dxa"/>
            <w:tcBorders>
              <w:top w:val="single" w:sz="12" w:space="0" w:color="auto"/>
            </w:tcBorders>
            <w:shd w:val="clear" w:color="auto" w:fill="auto"/>
            <w:vAlign w:val="bottom"/>
            <w:hideMark/>
          </w:tcPr>
          <w:p w:rsidR="00C9789E" w:rsidRPr="00D713A6" w:rsidRDefault="00C9789E" w:rsidP="00D713A6">
            <w:pPr>
              <w:pStyle w:val="SingleTxtG"/>
              <w:spacing w:before="40" w:after="40" w:line="220" w:lineRule="exact"/>
              <w:ind w:left="0" w:right="113"/>
              <w:jc w:val="right"/>
              <w:rPr>
                <w:sz w:val="18"/>
              </w:rPr>
            </w:pPr>
            <w:r w:rsidRPr="00D713A6">
              <w:rPr>
                <w:sz w:val="18"/>
              </w:rPr>
              <w:t>50</w:t>
            </w:r>
          </w:p>
        </w:tc>
      </w:tr>
      <w:tr w:rsidR="00C9789E" w:rsidRPr="00D713A6" w:rsidTr="005D4BDD">
        <w:trPr>
          <w:cantSplit/>
        </w:trPr>
        <w:tc>
          <w:tcPr>
            <w:tcW w:w="3119" w:type="dxa"/>
            <w:shd w:val="clear" w:color="auto" w:fill="auto"/>
            <w:hideMark/>
          </w:tcPr>
          <w:p w:rsidR="00C9789E" w:rsidRPr="00D713A6" w:rsidRDefault="00C9789E" w:rsidP="00D713A6">
            <w:pPr>
              <w:pStyle w:val="SingleTxtG"/>
              <w:spacing w:before="40" w:after="40" w:line="220" w:lineRule="exact"/>
              <w:ind w:left="0" w:right="113"/>
              <w:jc w:val="left"/>
              <w:rPr>
                <w:sz w:val="18"/>
              </w:rPr>
            </w:pPr>
            <w:r w:rsidRPr="00D713A6">
              <w:rPr>
                <w:sz w:val="18"/>
              </w:rPr>
              <w:t>Percentage point</w:t>
            </w:r>
          </w:p>
        </w:tc>
        <w:tc>
          <w:tcPr>
            <w:tcW w:w="2125" w:type="dxa"/>
            <w:gridSpan w:val="2"/>
            <w:shd w:val="clear" w:color="auto" w:fill="auto"/>
            <w:vAlign w:val="bottom"/>
            <w:hideMark/>
          </w:tcPr>
          <w:p w:rsidR="00C9789E" w:rsidRPr="00D713A6" w:rsidRDefault="00C9789E" w:rsidP="00D713A6">
            <w:pPr>
              <w:pStyle w:val="SingleTxtG"/>
              <w:spacing w:before="40" w:after="40" w:line="220" w:lineRule="exact"/>
              <w:ind w:left="0" w:right="113"/>
              <w:jc w:val="right"/>
              <w:rPr>
                <w:sz w:val="18"/>
              </w:rPr>
            </w:pPr>
            <w:r w:rsidRPr="00D713A6">
              <w:rPr>
                <w:sz w:val="18"/>
              </w:rPr>
              <w:t>+10</w:t>
            </w:r>
          </w:p>
        </w:tc>
        <w:tc>
          <w:tcPr>
            <w:tcW w:w="2126" w:type="dxa"/>
            <w:gridSpan w:val="2"/>
            <w:shd w:val="clear" w:color="auto" w:fill="auto"/>
            <w:vAlign w:val="bottom"/>
            <w:hideMark/>
          </w:tcPr>
          <w:p w:rsidR="00C9789E" w:rsidRPr="00D713A6" w:rsidRDefault="00C9789E" w:rsidP="00D713A6">
            <w:pPr>
              <w:pStyle w:val="SingleTxtG"/>
              <w:spacing w:before="40" w:after="40" w:line="220" w:lineRule="exact"/>
              <w:ind w:left="0" w:right="113"/>
              <w:jc w:val="right"/>
              <w:rPr>
                <w:sz w:val="18"/>
              </w:rPr>
            </w:pPr>
            <w:r w:rsidRPr="00D713A6">
              <w:rPr>
                <w:sz w:val="18"/>
              </w:rPr>
              <w:t>+10</w:t>
            </w:r>
          </w:p>
        </w:tc>
      </w:tr>
    </w:tbl>
    <w:p w:rsidR="00C9789E" w:rsidRPr="00F62F1C" w:rsidRDefault="00C9789E" w:rsidP="00C14577">
      <w:pPr>
        <w:pStyle w:val="H4G"/>
      </w:pPr>
      <w:r w:rsidRPr="00F62F1C">
        <w:lastRenderedPageBreak/>
        <w:tab/>
      </w:r>
      <w:r w:rsidRPr="00F62F1C">
        <w:tab/>
        <w:t xml:space="preserve">The Pasifika Education Plan </w:t>
      </w:r>
    </w:p>
    <w:p w:rsidR="00C9789E" w:rsidRPr="00F62F1C" w:rsidRDefault="00C9789E" w:rsidP="00706221">
      <w:pPr>
        <w:pStyle w:val="SingleTxtG"/>
      </w:pPr>
      <w:r w:rsidRPr="00F62F1C">
        <w:t>65.</w:t>
      </w:r>
      <w:r w:rsidRPr="00F62F1C">
        <w:tab/>
        <w:t>Pasifika communities</w:t>
      </w:r>
      <w:r w:rsidRPr="00706221">
        <w:rPr>
          <w:rStyle w:val="FootnoteReference"/>
        </w:rPr>
        <w:footnoteReference w:id="18"/>
      </w:r>
      <w:r w:rsidRPr="00F62F1C">
        <w:t xml:space="preserve"> have a long history and an important presence in New Zealand (7 percent of the population in 2013). The Government has a Pasifika Education Plan to ensure a strong and continued focus on improving educational results for Pasifika children, students, and young people. </w:t>
      </w:r>
    </w:p>
    <w:p w:rsidR="00C9789E" w:rsidRPr="00F62F1C" w:rsidRDefault="00C9789E" w:rsidP="00706221">
      <w:pPr>
        <w:pStyle w:val="SingleTxtG"/>
      </w:pPr>
      <w:r w:rsidRPr="00F62F1C">
        <w:t>66.</w:t>
      </w:r>
      <w:r w:rsidRPr="00F62F1C">
        <w:tab/>
        <w:t xml:space="preserve">The current Pasifika Education Plan 2013-2017 builds on previous efforts and focuses on accelerating achievement. It adopts a </w:t>
      </w:r>
      <w:r w:rsidR="00243386">
        <w:t>“</w:t>
      </w:r>
      <w:r w:rsidRPr="00F62F1C">
        <w:t>Pasifika</w:t>
      </w:r>
      <w:r w:rsidR="00243386">
        <w:t>”</w:t>
      </w:r>
      <w:r w:rsidRPr="00F62F1C">
        <w:t xml:space="preserve"> way of working with the community and educational agencies, recognising the importance of collective partnerships, relationships, and responsibilities. </w:t>
      </w:r>
    </w:p>
    <w:p w:rsidR="00C9789E" w:rsidRPr="00F62F1C" w:rsidRDefault="00C9789E" w:rsidP="00706221">
      <w:pPr>
        <w:pStyle w:val="SingleTxtG"/>
      </w:pPr>
      <w:r w:rsidRPr="00F62F1C">
        <w:t>67.</w:t>
      </w:r>
      <w:r w:rsidRPr="00F62F1C">
        <w:tab/>
        <w:t xml:space="preserve">Two years into implementation of the current Pasifika Education Plan, there have been positive shifts for many Pasifika learners, but the pace is slow. For example: </w:t>
      </w:r>
    </w:p>
    <w:p w:rsidR="00C9789E" w:rsidRPr="00F62F1C" w:rsidRDefault="00D4628A" w:rsidP="00CD7D1E">
      <w:pPr>
        <w:pStyle w:val="Bullet1G"/>
      </w:pPr>
      <w:r w:rsidRPr="00F62F1C">
        <w:t xml:space="preserve">The </w:t>
      </w:r>
      <w:r w:rsidR="00C9789E" w:rsidRPr="00F62F1C">
        <w:t>rate of Pasifika learners participating in ECE has increased from 86.7 percent (2012) to 91.2 percent (30 June 2015). The aim is to increase participation in quality ECE to 98 percent;</w:t>
      </w:r>
    </w:p>
    <w:p w:rsidR="00C9789E" w:rsidRPr="00F62F1C" w:rsidRDefault="00D4628A" w:rsidP="00CD7D1E">
      <w:pPr>
        <w:pStyle w:val="Bullet1G"/>
      </w:pPr>
      <w:r w:rsidRPr="00F62F1C">
        <w:t xml:space="preserve">The </w:t>
      </w:r>
      <w:r w:rsidR="00C9789E" w:rsidRPr="00F62F1C">
        <w:t>aim is by 2017, 85 percent will be achieving at or above their appropriate National Standard. Pasifika achievement in reading, writing and mathematics has lifted, however, it is unlikely based on current rates that the target of 85 percent will be reached;</w:t>
      </w:r>
    </w:p>
    <w:p w:rsidR="00C9789E" w:rsidRPr="00F62F1C" w:rsidRDefault="00D4628A" w:rsidP="00CD7D1E">
      <w:pPr>
        <w:pStyle w:val="Bullet1G"/>
      </w:pPr>
      <w:r w:rsidRPr="00F62F1C">
        <w:t xml:space="preserve">The </w:t>
      </w:r>
      <w:r w:rsidR="00C9789E" w:rsidRPr="00F62F1C">
        <w:t>number of Pasifika school leavers leaving with NCEA level 1 literacy and numeracy qualifications has increased from 84.1 percent (2013) to 85.7 percent (2014) with the gap between Pasifika and the total student population closing to 2.9 percent points;</w:t>
      </w:r>
      <w:r w:rsidR="00C9789E" w:rsidRPr="00706221">
        <w:rPr>
          <w:rStyle w:val="FootnoteReference"/>
        </w:rPr>
        <w:footnoteReference w:id="19"/>
      </w:r>
    </w:p>
    <w:p w:rsidR="00C9789E" w:rsidRPr="00F62F1C" w:rsidRDefault="00D4628A" w:rsidP="00CD7D1E">
      <w:pPr>
        <w:pStyle w:val="Bullet1G"/>
      </w:pPr>
      <w:r w:rsidRPr="00F62F1C">
        <w:t xml:space="preserve">The </w:t>
      </w:r>
      <w:r w:rsidR="00C9789E" w:rsidRPr="00F62F1C">
        <w:t>percentage of Pasifika 18 year olds achieving NCEA Level 2 or an equivalent qualification has increased from 68.1 percent (2012) to 75 percent (2014).</w:t>
      </w:r>
      <w:r w:rsidR="00C9789E" w:rsidRPr="00706221">
        <w:rPr>
          <w:rStyle w:val="FootnoteReference"/>
        </w:rPr>
        <w:footnoteReference w:id="20"/>
      </w:r>
    </w:p>
    <w:p w:rsidR="00C9789E" w:rsidRPr="00F62F1C" w:rsidRDefault="00C9789E" w:rsidP="00CD7D1E">
      <w:pPr>
        <w:pStyle w:val="H4G"/>
      </w:pPr>
      <w:r w:rsidRPr="00F62F1C">
        <w:tab/>
      </w:r>
      <w:r w:rsidRPr="00F62F1C">
        <w:tab/>
        <w:t>Social Services</w:t>
      </w:r>
    </w:p>
    <w:p w:rsidR="00C9789E" w:rsidRPr="00F62F1C" w:rsidRDefault="00C9789E" w:rsidP="00706221">
      <w:pPr>
        <w:pStyle w:val="SingleTxtG"/>
      </w:pPr>
      <w:r w:rsidRPr="00F62F1C">
        <w:t>68.</w:t>
      </w:r>
      <w:r w:rsidRPr="00F62F1C">
        <w:tab/>
        <w:t>Social services provide access to health services, education and housing opportunities, and protect and support the most vulnerable in society. The need for social services falls unevenly across the population. There are groups that disproportionally experience poorer social outcomes including low educational achievement and poor health, than the general population. These groups include Māori and those living in high deprivation areas.</w:t>
      </w:r>
    </w:p>
    <w:p w:rsidR="00C9789E" w:rsidRPr="00F62F1C" w:rsidRDefault="00C9789E" w:rsidP="00706221">
      <w:pPr>
        <w:pStyle w:val="SingleTxtG"/>
      </w:pPr>
      <w:r w:rsidRPr="00F62F1C">
        <w:t>69.</w:t>
      </w:r>
      <w:r w:rsidRPr="00F62F1C">
        <w:tab/>
        <w:t>The Government asked the Productivity Commission in June 2014 to look at ways to improve the effectiveness of the social services it funds. The Productivity Commission found that there are positive attributes in the social services system, but there are also weaknesses. It made 61 recommendations on ways to improve social services. In particular, it recommended improving the way that services are commissioned, increasing client empowerment in what and how services are accessed, improving the use of data and innovation, and improving system stewardship. It particularly highlighted that there needs to be a better way to improve outcomes of the most disadvantaged New Zealanders (those who have complex needs and low capacity to co-ordinate and access services). The Government has recently announced the establishment of a new model to improve outcomes for vulnerable New Zealanders including a targeted focus on improving outcomes for Māori and Pacific children and young people.</w:t>
      </w:r>
    </w:p>
    <w:p w:rsidR="00C9789E" w:rsidRPr="00F62F1C" w:rsidRDefault="00C9789E" w:rsidP="00706221">
      <w:pPr>
        <w:pStyle w:val="SingleTxtG"/>
      </w:pPr>
      <w:bookmarkStart w:id="20" w:name="_Toc456855179"/>
      <w:r w:rsidRPr="00F62F1C">
        <w:t>70.</w:t>
      </w:r>
      <w:r w:rsidRPr="00F62F1C">
        <w:tab/>
        <w:t>New Zealand employs a wide range of measures to reduce violence against all persons.</w:t>
      </w:r>
      <w:r w:rsidR="0023775B">
        <w:t xml:space="preserve"> </w:t>
      </w:r>
      <w:r w:rsidRPr="00F62F1C">
        <w:t>This includes:</w:t>
      </w:r>
    </w:p>
    <w:p w:rsidR="00C9789E" w:rsidRPr="00F62F1C" w:rsidRDefault="007F0EBF" w:rsidP="00CD7D1E">
      <w:pPr>
        <w:pStyle w:val="Bullet1G"/>
      </w:pPr>
      <w:r w:rsidRPr="00F62F1C">
        <w:lastRenderedPageBreak/>
        <w:t xml:space="preserve">Primary </w:t>
      </w:r>
      <w:r w:rsidR="00C9789E" w:rsidRPr="00F62F1C">
        <w:t>prevention measures to change community attitudes towards violence; support for community-based initiatives to reduce violence; and initiatives to support individuals to protect themselves, such as self-defence training and education in schools;</w:t>
      </w:r>
    </w:p>
    <w:p w:rsidR="00C9789E" w:rsidRPr="00F62F1C" w:rsidRDefault="007F0EBF" w:rsidP="00CD7D1E">
      <w:pPr>
        <w:pStyle w:val="Bullet1G"/>
      </w:pPr>
      <w:r w:rsidRPr="00F62F1C">
        <w:t xml:space="preserve">Interventions </w:t>
      </w:r>
      <w:r w:rsidR="00C9789E" w:rsidRPr="00F62F1C">
        <w:t>and services to help people to get away from violent relationships and change the behaviour of perpetrators;</w:t>
      </w:r>
    </w:p>
    <w:p w:rsidR="00C9789E" w:rsidRPr="00F62F1C" w:rsidRDefault="007F0EBF" w:rsidP="00CD7D1E">
      <w:pPr>
        <w:pStyle w:val="Bullet1G"/>
      </w:pPr>
      <w:r w:rsidRPr="00F62F1C">
        <w:t xml:space="preserve">Family </w:t>
      </w:r>
      <w:r w:rsidR="00C9789E" w:rsidRPr="00F62F1C">
        <w:t>violence legislative reforms;</w:t>
      </w:r>
    </w:p>
    <w:p w:rsidR="00C9789E" w:rsidRPr="00F62F1C" w:rsidRDefault="007F0EBF" w:rsidP="00CD7D1E">
      <w:pPr>
        <w:pStyle w:val="Bullet1G"/>
      </w:pPr>
      <w:r w:rsidRPr="00F62F1C">
        <w:t xml:space="preserve">Services </w:t>
      </w:r>
      <w:r w:rsidR="00C9789E" w:rsidRPr="00F62F1C">
        <w:t>to help victims of violence to recover, including counselling for victims of sexual violence;</w:t>
      </w:r>
    </w:p>
    <w:p w:rsidR="00C9789E" w:rsidRPr="00F62F1C" w:rsidRDefault="007F0EBF" w:rsidP="00CD7D1E">
      <w:pPr>
        <w:pStyle w:val="Bullet1G"/>
      </w:pPr>
      <w:r w:rsidRPr="00F62F1C">
        <w:t xml:space="preserve">Measures </w:t>
      </w:r>
      <w:r w:rsidR="00C9789E" w:rsidRPr="00F62F1C">
        <w:t>to help reduce assaults on children such as better screening and better enabling of frontline workers and communities to voice concerns about children;</w:t>
      </w:r>
    </w:p>
    <w:p w:rsidR="00C9789E" w:rsidRPr="00F62F1C" w:rsidRDefault="007F0EBF" w:rsidP="00CD7D1E">
      <w:pPr>
        <w:pStyle w:val="Bullet1G"/>
      </w:pPr>
      <w:r w:rsidRPr="00F62F1C">
        <w:t xml:space="preserve">The </w:t>
      </w:r>
      <w:r w:rsidR="00C9789E" w:rsidRPr="00F62F1C">
        <w:t xml:space="preserve">Harmful Digital Communications Act aimed at combating different types of online violence and aggression. </w:t>
      </w:r>
    </w:p>
    <w:p w:rsidR="00C9789E" w:rsidRPr="00F62F1C" w:rsidRDefault="00C9789E" w:rsidP="00706221">
      <w:pPr>
        <w:pStyle w:val="SingleTxtG"/>
      </w:pPr>
      <w:r w:rsidRPr="00F62F1C">
        <w:t>71.</w:t>
      </w:r>
      <w:r w:rsidRPr="00F62F1C">
        <w:tab/>
        <w:t xml:space="preserve">In late 2014 the Government established a Ministerial Group </w:t>
      </w:r>
      <w:proofErr w:type="gramStart"/>
      <w:r w:rsidRPr="00F62F1C">
        <w:t>comprising</w:t>
      </w:r>
      <w:proofErr w:type="gramEnd"/>
      <w:r w:rsidRPr="00F62F1C">
        <w:t xml:space="preserve"> Ministers responsible for 16 portfolios who are committed to making collective decisions to systematically improve the whole family violence system in New Zealand.</w:t>
      </w:r>
      <w:r w:rsidR="0023775B">
        <w:t xml:space="preserve"> </w:t>
      </w:r>
      <w:r w:rsidRPr="00F62F1C">
        <w:t>The Ministerial Group has established a comprehensive cross-government work programme with the objectives of:</w:t>
      </w:r>
    </w:p>
    <w:p w:rsidR="00C9789E" w:rsidRPr="00F62F1C" w:rsidRDefault="000B5663" w:rsidP="00F42B7C">
      <w:pPr>
        <w:pStyle w:val="Bullet1G"/>
      </w:pPr>
      <w:r w:rsidRPr="00F62F1C">
        <w:t xml:space="preserve">Stopping </w:t>
      </w:r>
      <w:r w:rsidR="00C9789E" w:rsidRPr="00F62F1C">
        <w:t>family violence from occurring in the first place, reducing the harm caused by family violence and breaking the cycle of re-victimisation and re-offending;</w:t>
      </w:r>
    </w:p>
    <w:p w:rsidR="00C9789E" w:rsidRPr="00F62F1C" w:rsidRDefault="000B5663" w:rsidP="00F42B7C">
      <w:pPr>
        <w:pStyle w:val="Bullet1G"/>
      </w:pPr>
      <w:r w:rsidRPr="00F62F1C">
        <w:t xml:space="preserve">Ensuring </w:t>
      </w:r>
      <w:r w:rsidR="00C9789E" w:rsidRPr="00F62F1C">
        <w:t>family violence services are delivered in an efficient, effective and integrated manner and investment decisions are coordinated and aligned to common goals across agencies.</w:t>
      </w:r>
    </w:p>
    <w:p w:rsidR="00C9789E" w:rsidRPr="00F62F1C" w:rsidRDefault="00C9789E" w:rsidP="00706221">
      <w:pPr>
        <w:pStyle w:val="SingleTxtG"/>
      </w:pPr>
      <w:r w:rsidRPr="00F62F1C">
        <w:t>72.</w:t>
      </w:r>
      <w:r w:rsidRPr="00F62F1C">
        <w:tab/>
        <w:t>New approaches and pilots are now being tested throughout New Zealand.</w:t>
      </w:r>
      <w:r w:rsidR="0023775B">
        <w:t xml:space="preserve"> </w:t>
      </w:r>
      <w:r w:rsidRPr="00F62F1C">
        <w:t>Once evidence on effectiveness has been gathered, the Government will consider further investment to improve the family violence system.</w:t>
      </w:r>
      <w:r w:rsidR="0023775B">
        <w:t xml:space="preserve"> </w:t>
      </w:r>
    </w:p>
    <w:p w:rsidR="00C9789E" w:rsidRPr="00F62F1C" w:rsidRDefault="00C9789E" w:rsidP="00706221">
      <w:pPr>
        <w:pStyle w:val="SingleTxtG"/>
      </w:pPr>
      <w:r w:rsidRPr="00F62F1C">
        <w:t>73.</w:t>
      </w:r>
      <w:r w:rsidRPr="00F62F1C">
        <w:tab/>
        <w:t>At the same time the Government has been undertaking a major review of New Zealand</w:t>
      </w:r>
      <w:r w:rsidR="00D34D95">
        <w:t>’</w:t>
      </w:r>
      <w:r w:rsidRPr="00F62F1C">
        <w:t>s family violence laws.</w:t>
      </w:r>
      <w:r w:rsidR="000C03A3">
        <w:t xml:space="preserve"> </w:t>
      </w:r>
      <w:r w:rsidRPr="00F62F1C">
        <w:t xml:space="preserve">The Family and </w:t>
      </w:r>
      <w:proofErr w:type="spellStart"/>
      <w:r w:rsidRPr="00F62F1C">
        <w:t>Whānau</w:t>
      </w:r>
      <w:proofErr w:type="spellEnd"/>
      <w:r w:rsidRPr="00F62F1C">
        <w:t xml:space="preserve"> Violence Legislation Bill was introduced to Parliament in March 2017, and is currently before select committee. This bill implements the decisions announced by the Government in September 2016 aimed at breaking the pattern of family violence and reducing the harm and cost inflicted on those who suffer violence and wider New Zealand society, including increasing access to risk and needs assessments and services, more accurately recording family violence offending in the criminal justice system, enabling the introduction of codes of practice, and new information sharing provisions.</w:t>
      </w:r>
    </w:p>
    <w:p w:rsidR="00C9789E" w:rsidRPr="00F62F1C" w:rsidRDefault="00C9789E" w:rsidP="00706221">
      <w:pPr>
        <w:pStyle w:val="SingleTxtG"/>
      </w:pPr>
      <w:r w:rsidRPr="00F62F1C">
        <w:t>74.</w:t>
      </w:r>
      <w:r w:rsidRPr="00F62F1C">
        <w:tab/>
        <w:t>New Zealand made good progress toward reducing violent recorded crime from 2011 to the end of 2014, but reported violent recorded crime has climbed slightly since then.</w:t>
      </w:r>
      <w:r w:rsidRPr="00706221">
        <w:rPr>
          <w:rStyle w:val="FootnoteReference"/>
        </w:rPr>
        <w:footnoteReference w:id="21"/>
      </w:r>
      <w:r w:rsidRPr="00F62F1C">
        <w:t xml:space="preserve"> The bulk of this increase comes from dwelling based violence which is strongly correlated with family violence.</w:t>
      </w:r>
      <w:r w:rsidR="0023775B">
        <w:t xml:space="preserve"> </w:t>
      </w:r>
    </w:p>
    <w:p w:rsidR="00C9789E" w:rsidRPr="00F62F1C" w:rsidRDefault="00C9789E" w:rsidP="00706221">
      <w:pPr>
        <w:pStyle w:val="SingleTxtG"/>
      </w:pPr>
      <w:r w:rsidRPr="00F62F1C">
        <w:t>75.</w:t>
      </w:r>
      <w:r w:rsidRPr="00F62F1C">
        <w:tab/>
        <w:t xml:space="preserve">The annual rate of intimate partner violence against women decreased from 8.6 percent in 2005 to 5.7 percent in 2013 and the annual rate of sexual violence experienced by woman decreased from 5.2 percent in 2005 to 2.9 percent in 2013. There has been a significant decline in the rate of interpersonal violence experienced by Māori women, regardless of relationship to the offender, since 2005 (18.9 percent in 2013 compared with 29 percent in 2005). </w:t>
      </w:r>
    </w:p>
    <w:p w:rsidR="00C9789E" w:rsidRPr="00F62F1C" w:rsidRDefault="00C9789E" w:rsidP="00706221">
      <w:pPr>
        <w:pStyle w:val="SingleTxtG"/>
      </w:pPr>
      <w:r w:rsidRPr="00F62F1C">
        <w:t>76.</w:t>
      </w:r>
      <w:r w:rsidRPr="00F62F1C">
        <w:tab/>
        <w:t>The Government has introduced a new elder abuse intervention service (EARS) with national coverage to help keep older New Zealanders safe. The cornerstone of EARS is a free and confidential 24/7 help-line to provide information, advice and referral to service providers to ensure safety and access to services to address victim needs.</w:t>
      </w:r>
    </w:p>
    <w:p w:rsidR="00C9789E" w:rsidRPr="00F62F1C" w:rsidRDefault="00C9789E" w:rsidP="001F5C90">
      <w:pPr>
        <w:pStyle w:val="H4G"/>
      </w:pPr>
      <w:r w:rsidRPr="00F62F1C">
        <w:lastRenderedPageBreak/>
        <w:tab/>
      </w:r>
      <w:r w:rsidRPr="00F62F1C">
        <w:tab/>
        <w:t>Children</w:t>
      </w:r>
    </w:p>
    <w:p w:rsidR="00C9789E" w:rsidRPr="00F62F1C" w:rsidRDefault="00C9789E" w:rsidP="00706221">
      <w:pPr>
        <w:pStyle w:val="SingleTxtG"/>
      </w:pPr>
      <w:r w:rsidRPr="00F62F1C">
        <w:t>77.</w:t>
      </w:r>
      <w:r w:rsidRPr="00F62F1C">
        <w:tab/>
        <w:t>The Modernising Child, Youth and Family Expert Panel</w:t>
      </w:r>
      <w:r w:rsidR="00D34D95">
        <w:t>’</w:t>
      </w:r>
      <w:r w:rsidRPr="00F62F1C">
        <w:t xml:space="preserve">s Final Report </w:t>
      </w:r>
      <w:r w:rsidR="00D34D95">
        <w:t>“</w:t>
      </w:r>
      <w:r w:rsidRPr="00F62F1C">
        <w:t>Investing in New Zealand</w:t>
      </w:r>
      <w:r w:rsidR="00D34D95">
        <w:t>’</w:t>
      </w:r>
      <w:r w:rsidRPr="00F62F1C">
        <w:t>s Children and their Families</w:t>
      </w:r>
      <w:r w:rsidR="00D34D95">
        <w:t>”</w:t>
      </w:r>
      <w:r w:rsidRPr="00706221">
        <w:rPr>
          <w:rStyle w:val="FootnoteReference"/>
        </w:rPr>
        <w:footnoteReference w:id="22"/>
      </w:r>
      <w:r w:rsidRPr="00F62F1C">
        <w:t xml:space="preserve"> (publicly released on 7 April 2016) considered how can we transform the lives of our vulnerable children. </w:t>
      </w:r>
    </w:p>
    <w:p w:rsidR="00C9789E" w:rsidRPr="00F62F1C" w:rsidRDefault="00C9789E" w:rsidP="00706221">
      <w:pPr>
        <w:pStyle w:val="SingleTxtG"/>
      </w:pPr>
      <w:r w:rsidRPr="00F62F1C">
        <w:t>78.</w:t>
      </w:r>
      <w:r w:rsidRPr="00F62F1C">
        <w:tab/>
        <w:t>The Expert Panel</w:t>
      </w:r>
      <w:r w:rsidR="00D34D95">
        <w:t>’</w:t>
      </w:r>
      <w:r w:rsidRPr="00F62F1C">
        <w:t>s Final Report established the current system does not meet the needs of vulnerable children and young people, or help them grow into flourishing adults. The Panel found the current system is fragmented, lacks accountability, and is not well-established around a common purpose. Importantly, the system as a whole is ineffective in preventing further harm, as shown by high rates of children and young people coming back into the system.</w:t>
      </w:r>
    </w:p>
    <w:p w:rsidR="00C9789E" w:rsidRPr="00F62F1C" w:rsidRDefault="00C9789E" w:rsidP="00706221">
      <w:pPr>
        <w:pStyle w:val="SingleTxtG"/>
      </w:pPr>
      <w:r w:rsidRPr="00F62F1C">
        <w:t>79.</w:t>
      </w:r>
      <w:r w:rsidRPr="00F62F1C">
        <w:tab/>
        <w:t>The Expert Panel</w:t>
      </w:r>
      <w:r w:rsidR="00D34D95">
        <w:t>’</w:t>
      </w:r>
      <w:r w:rsidRPr="00F62F1C">
        <w:t xml:space="preserve">s Final Report also found there is a need to address the over-representation of Māori children in the system. Potential causes of this over-representation include higher levels of deprivation in Māori families, conscious and unconscious bias in the system, and a lack of strong, culturally appropriate models for strengthening families and child development. </w:t>
      </w:r>
    </w:p>
    <w:p w:rsidR="00C9789E" w:rsidRPr="00F62F1C" w:rsidRDefault="00C9789E" w:rsidP="00706221">
      <w:pPr>
        <w:pStyle w:val="SingleTxtG"/>
      </w:pPr>
      <w:r w:rsidRPr="00F62F1C">
        <w:t>80.</w:t>
      </w:r>
      <w:r w:rsidRPr="00F62F1C">
        <w:tab/>
        <w:t>The Government has introduced major State care reforms to improve the long-term outcomes for New Zealand</w:t>
      </w:r>
      <w:r w:rsidR="00D34D95">
        <w:t>’</w:t>
      </w:r>
      <w:r w:rsidRPr="00F62F1C">
        <w:t xml:space="preserve">s most vulnerable children, such as the establishment of the Ministry for Vulnerable Children, </w:t>
      </w:r>
      <w:proofErr w:type="spellStart"/>
      <w:r w:rsidRPr="00F62F1C">
        <w:t>Oranga</w:t>
      </w:r>
      <w:proofErr w:type="spellEnd"/>
      <w:r w:rsidRPr="00F62F1C">
        <w:t xml:space="preserve"> </w:t>
      </w:r>
      <w:proofErr w:type="spellStart"/>
      <w:r w:rsidRPr="00F62F1C">
        <w:t>Tamariki</w:t>
      </w:r>
      <w:proofErr w:type="spellEnd"/>
      <w:r w:rsidRPr="00F62F1C">
        <w:t xml:space="preserve"> from 1 April 2017. It will be a single point of accountability, which will ensure that government agencies work together to provide coherent and complete services to these children, young people and their families. </w:t>
      </w:r>
    </w:p>
    <w:p w:rsidR="00C9789E" w:rsidRPr="00F62F1C" w:rsidRDefault="00C9789E" w:rsidP="00706221">
      <w:pPr>
        <w:pStyle w:val="SingleTxtG"/>
      </w:pPr>
      <w:r w:rsidRPr="00F62F1C">
        <w:t>81.</w:t>
      </w:r>
      <w:r w:rsidRPr="00F62F1C">
        <w:tab/>
        <w:t>Legislative changes include amendments to the Children, Young Persons, and Their Families Act 1989 (CYPF Act) to:</w:t>
      </w:r>
    </w:p>
    <w:p w:rsidR="00C9789E" w:rsidRPr="00F62F1C" w:rsidRDefault="004A5421" w:rsidP="001F5C90">
      <w:pPr>
        <w:pStyle w:val="Bullet1G"/>
      </w:pPr>
      <w:r w:rsidRPr="00F62F1C">
        <w:t xml:space="preserve">Extend </w:t>
      </w:r>
      <w:r w:rsidR="00C9789E" w:rsidRPr="00F62F1C">
        <w:t>the provisions of the statutory care and protection system to young people aged 17 years;</w:t>
      </w:r>
    </w:p>
    <w:p w:rsidR="00C9789E" w:rsidRPr="00F62F1C" w:rsidRDefault="004A5421" w:rsidP="001F5C90">
      <w:pPr>
        <w:pStyle w:val="Bullet1G"/>
      </w:pPr>
      <w:r w:rsidRPr="00F62F1C">
        <w:t xml:space="preserve">Embed </w:t>
      </w:r>
      <w:r w:rsidR="00C9789E" w:rsidRPr="00F62F1C">
        <w:t>the views of children and young people at an individual and a systemic level by strengthening obligations in the CYPF Act to support the participation of children and young people;</w:t>
      </w:r>
    </w:p>
    <w:p w:rsidR="00C9789E" w:rsidRPr="00F62F1C" w:rsidRDefault="004A5421" w:rsidP="001F5C90">
      <w:pPr>
        <w:pStyle w:val="Bullet1G"/>
      </w:pPr>
      <w:r w:rsidRPr="00F62F1C">
        <w:t xml:space="preserve">Support </w:t>
      </w:r>
      <w:r w:rsidR="00C9789E" w:rsidRPr="00F62F1C">
        <w:t>the establishment of independent advocacy services, with a particular focus on children and young people in care, through a new duty on the chief executive of the department administering the CYPF Act;</w:t>
      </w:r>
    </w:p>
    <w:p w:rsidR="00C9789E" w:rsidRPr="00F62F1C" w:rsidRDefault="00A44C61" w:rsidP="001F5C90">
      <w:pPr>
        <w:pStyle w:val="Bullet1G"/>
      </w:pPr>
      <w:r w:rsidRPr="00F62F1C">
        <w:t xml:space="preserve">Enable </w:t>
      </w:r>
      <w:r w:rsidR="00C9789E" w:rsidRPr="00F62F1C">
        <w:t>a broader range of professionals to perform a wider set of functions under the CYPF Act to help identify and meet the needs of vulnerable children and young people.</w:t>
      </w:r>
    </w:p>
    <w:p w:rsidR="00C9789E" w:rsidRPr="00F62F1C" w:rsidRDefault="00C9789E" w:rsidP="001F5C90">
      <w:pPr>
        <w:pStyle w:val="H4G"/>
      </w:pPr>
      <w:r w:rsidRPr="00F62F1C">
        <w:tab/>
      </w:r>
      <w:r w:rsidRPr="00F62F1C">
        <w:tab/>
        <w:t>Transgender persons</w:t>
      </w:r>
    </w:p>
    <w:p w:rsidR="00C9789E" w:rsidRPr="00F62F1C" w:rsidRDefault="00C9789E" w:rsidP="00706221">
      <w:pPr>
        <w:pStyle w:val="SingleTxtG"/>
      </w:pPr>
      <w:r w:rsidRPr="00F62F1C">
        <w:t>82.</w:t>
      </w:r>
      <w:r w:rsidRPr="00F62F1C">
        <w:tab/>
        <w:t>There is limited data on the violence experienced by transgender New Zealanders. However, what data we do have has shown that transgender young people are at higher risk of experiencing violence. The Youth 2012 survey measured 8,166 secondary school students</w:t>
      </w:r>
      <w:r w:rsidR="001F5C90">
        <w:t xml:space="preserve"> — </w:t>
      </w:r>
      <w:r w:rsidRPr="00F62F1C">
        <w:t>50 percent of those who identified as transgender reported being hit or harmed by another person (compared to 33 percent of those who did not identify as transgender). The Youth 2012 survey was the first time youth were asked about gender.</w:t>
      </w:r>
    </w:p>
    <w:p w:rsidR="00C9789E" w:rsidRPr="00F62F1C" w:rsidRDefault="00C9789E" w:rsidP="00706221">
      <w:pPr>
        <w:pStyle w:val="SingleTxtG"/>
      </w:pPr>
      <w:r w:rsidRPr="00F62F1C">
        <w:t>83.</w:t>
      </w:r>
      <w:r w:rsidRPr="00F62F1C">
        <w:tab/>
        <w:t>Because of this, the Government provides funding to a range of organisations supporting Lesbian Gay Bisexual Transgender Intersex Questioning (LGBTIQ) young people, at both a national and local level.</w:t>
      </w:r>
      <w:r w:rsidR="0023775B">
        <w:t xml:space="preserve"> </w:t>
      </w:r>
      <w:r w:rsidRPr="00F62F1C">
        <w:t xml:space="preserve">Funding has helped support: </w:t>
      </w:r>
    </w:p>
    <w:p w:rsidR="00C9789E" w:rsidRPr="00F62F1C" w:rsidRDefault="00C9789E" w:rsidP="001F5C90">
      <w:pPr>
        <w:pStyle w:val="Bullet1G"/>
      </w:pPr>
      <w:r w:rsidRPr="00F62F1C">
        <w:t>Mentoring and leadership opportunities. The Government has allocated $150,000 over three years to Rainbow YOUTH</w:t>
      </w:r>
      <w:r w:rsidRPr="00706221">
        <w:rPr>
          <w:rStyle w:val="FootnoteReference"/>
        </w:rPr>
        <w:footnoteReference w:id="23"/>
      </w:r>
      <w:r w:rsidRPr="00F62F1C">
        <w:t xml:space="preserve"> to develop and increase support services to LGBTIQ youth;</w:t>
      </w:r>
    </w:p>
    <w:p w:rsidR="00C9789E" w:rsidRPr="00F62F1C" w:rsidRDefault="004E7118" w:rsidP="001F5C90">
      <w:pPr>
        <w:pStyle w:val="Bullet1G"/>
      </w:pPr>
      <w:r w:rsidRPr="00F62F1C">
        <w:t>Youth</w:t>
      </w:r>
      <w:r w:rsidR="00C9789E" w:rsidRPr="00F62F1C">
        <w:t>-led projects and projects developed through partnerships across communities</w:t>
      </w:r>
      <w:r w:rsidR="00753FB2">
        <w:t>;</w:t>
      </w:r>
      <w:r w:rsidR="00C9789E" w:rsidRPr="00F62F1C">
        <w:t xml:space="preserve"> and</w:t>
      </w:r>
    </w:p>
    <w:p w:rsidR="00C9789E" w:rsidRPr="00F62F1C" w:rsidRDefault="00C64D1F" w:rsidP="001F5C90">
      <w:pPr>
        <w:pStyle w:val="Bullet1G"/>
      </w:pPr>
      <w:r w:rsidRPr="00F62F1C">
        <w:lastRenderedPageBreak/>
        <w:t xml:space="preserve">A </w:t>
      </w:r>
      <w:r w:rsidR="00C9789E" w:rsidRPr="00F62F1C">
        <w:t xml:space="preserve">co-design process between a non-government organisation and young people, to develop mental health and wellbeing to help LGBTIQ young people, and those supporting them, to navigate the transition of leaving school and entering training, employment or further education. </w:t>
      </w:r>
    </w:p>
    <w:p w:rsidR="00C9789E" w:rsidRPr="00F62F1C" w:rsidRDefault="00C9789E" w:rsidP="003A58C7">
      <w:pPr>
        <w:pStyle w:val="H4G"/>
      </w:pPr>
      <w:r w:rsidRPr="00F62F1C">
        <w:tab/>
      </w:r>
      <w:r w:rsidRPr="00F62F1C">
        <w:tab/>
        <w:t>Assessing the effectiveness of measures to combat violence for disabled people in New Zealand.</w:t>
      </w:r>
    </w:p>
    <w:p w:rsidR="00C9789E" w:rsidRPr="00F62F1C" w:rsidRDefault="00C9789E" w:rsidP="00706221">
      <w:pPr>
        <w:pStyle w:val="SingleTxtG"/>
      </w:pPr>
      <w:r w:rsidRPr="00F62F1C">
        <w:t>84.</w:t>
      </w:r>
      <w:r w:rsidRPr="00F62F1C">
        <w:tab/>
        <w:t>At present, there is a lack of robust data and appropriate measures for violence against disabled people in New Zealand. Disabled people will receive support and assistance where they are affected by violence. The difficulty currently lies in being able to measure the level and effectiveness of assistance that is provided specifically to disabled people.</w:t>
      </w:r>
    </w:p>
    <w:p w:rsidR="00C9789E" w:rsidRPr="00F62F1C" w:rsidRDefault="00C9789E" w:rsidP="00706221">
      <w:pPr>
        <w:pStyle w:val="SingleTxtG"/>
      </w:pPr>
      <w:r w:rsidRPr="00F62F1C">
        <w:t>85.</w:t>
      </w:r>
      <w:r w:rsidRPr="00F62F1C">
        <w:tab/>
        <w:t>Work is underway to identify what quality New Zealand data and measures of abuse and neglect for disabled people might look like.</w:t>
      </w:r>
      <w:r w:rsidR="0023775B">
        <w:t xml:space="preserve"> </w:t>
      </w:r>
    </w:p>
    <w:p w:rsidR="00C9789E" w:rsidRPr="00F62F1C" w:rsidRDefault="00C9789E" w:rsidP="003A58C7">
      <w:pPr>
        <w:pStyle w:val="HChG"/>
      </w:pPr>
      <w:r w:rsidRPr="00F62F1C">
        <w:tab/>
      </w:r>
      <w:bookmarkStart w:id="21" w:name="_Toc494359756"/>
      <w:r w:rsidRPr="00F62F1C">
        <w:t>III.</w:t>
      </w:r>
      <w:r w:rsidRPr="00F62F1C">
        <w:tab/>
        <w:t>Implementation of the Covenant</w:t>
      </w:r>
      <w:bookmarkEnd w:id="21"/>
      <w:r w:rsidRPr="00F62F1C">
        <w:t xml:space="preserve"> </w:t>
      </w:r>
      <w:bookmarkEnd w:id="20"/>
    </w:p>
    <w:p w:rsidR="00C9789E" w:rsidRPr="00F62F1C" w:rsidRDefault="00C9789E" w:rsidP="003A58C7">
      <w:pPr>
        <w:pStyle w:val="H1G"/>
      </w:pPr>
      <w:r w:rsidRPr="00F62F1C">
        <w:tab/>
      </w:r>
      <w:bookmarkStart w:id="22" w:name="_Toc494359757"/>
      <w:r w:rsidRPr="00F62F1C">
        <w:t>A.</w:t>
      </w:r>
      <w:r w:rsidRPr="00F62F1C">
        <w:tab/>
        <w:t>Article 1 (2)</w:t>
      </w:r>
      <w:r w:rsidR="00251668">
        <w:t xml:space="preserve"> — </w:t>
      </w:r>
      <w:r w:rsidRPr="00F62F1C">
        <w:t>Right to freely dispose of natural wealth and resources</w:t>
      </w:r>
      <w:bookmarkEnd w:id="22"/>
    </w:p>
    <w:p w:rsidR="00C9789E" w:rsidRPr="00F62F1C" w:rsidRDefault="00C9789E" w:rsidP="00706221">
      <w:pPr>
        <w:pStyle w:val="SingleTxtG"/>
      </w:pPr>
      <w:r w:rsidRPr="00F62F1C">
        <w:t>86.</w:t>
      </w:r>
      <w:r w:rsidRPr="00F62F1C">
        <w:tab/>
        <w:t xml:space="preserve">The Waitangi Tribunal has reported on many issues, from </w:t>
      </w:r>
      <w:proofErr w:type="spellStart"/>
      <w:r w:rsidRPr="00F62F1C">
        <w:t>te</w:t>
      </w:r>
      <w:proofErr w:type="spellEnd"/>
      <w:r w:rsidRPr="00F62F1C">
        <w:t xml:space="preserve"> reo Māori and the radio spectrum to freshwater, underground resources, and fisheries. Waitangi Tribunal recommendations are generally non-binding. As per New Zealand</w:t>
      </w:r>
      <w:r w:rsidR="00D34D95">
        <w:t>’</w:t>
      </w:r>
      <w:r w:rsidRPr="00F62F1C">
        <w:t>s constitutional arrangements, the New Zealand Government is entitled, after considering a report, to decide not to follow the recommendations or to reject any part of its findings. Many of the recommendations contained in the Waitangi Tribunal</w:t>
      </w:r>
      <w:r w:rsidR="00D34D95">
        <w:t>’</w:t>
      </w:r>
      <w:r w:rsidRPr="00F62F1C">
        <w:t xml:space="preserve">s reports have been implemented by governments. The reports have contributed to many initiatives and new institutions, including Reo </w:t>
      </w:r>
      <w:proofErr w:type="spellStart"/>
      <w:r w:rsidRPr="00F62F1C">
        <w:t>Irirangi</w:t>
      </w:r>
      <w:proofErr w:type="spellEnd"/>
      <w:r w:rsidRPr="00F62F1C">
        <w:t xml:space="preserve"> (Māori Radio), </w:t>
      </w:r>
      <w:proofErr w:type="spellStart"/>
      <w:r w:rsidRPr="00F62F1C">
        <w:t>Te</w:t>
      </w:r>
      <w:proofErr w:type="spellEnd"/>
      <w:r w:rsidRPr="00F62F1C">
        <w:t xml:space="preserve"> </w:t>
      </w:r>
      <w:proofErr w:type="spellStart"/>
      <w:r w:rsidRPr="00F62F1C">
        <w:t>Taura</w:t>
      </w:r>
      <w:proofErr w:type="spellEnd"/>
      <w:r w:rsidRPr="00F62F1C">
        <w:t xml:space="preserve"> </w:t>
      </w:r>
      <w:proofErr w:type="spellStart"/>
      <w:r w:rsidRPr="00F62F1C">
        <w:t>Whiri</w:t>
      </w:r>
      <w:proofErr w:type="spellEnd"/>
      <w:r w:rsidRPr="00F62F1C">
        <w:t xml:space="preserve"> </w:t>
      </w:r>
      <w:proofErr w:type="spellStart"/>
      <w:r w:rsidRPr="00F62F1C">
        <w:t>i</w:t>
      </w:r>
      <w:proofErr w:type="spellEnd"/>
      <w:r w:rsidRPr="00F62F1C">
        <w:t xml:space="preserve"> </w:t>
      </w:r>
      <w:proofErr w:type="spellStart"/>
      <w:r w:rsidRPr="00F62F1C">
        <w:t>te</w:t>
      </w:r>
      <w:proofErr w:type="spellEnd"/>
      <w:r w:rsidRPr="00F62F1C">
        <w:t xml:space="preserve"> Reo Māori (the Māori Language Commission) and </w:t>
      </w:r>
      <w:proofErr w:type="spellStart"/>
      <w:r w:rsidRPr="00F62F1C">
        <w:t>Te</w:t>
      </w:r>
      <w:proofErr w:type="spellEnd"/>
      <w:r w:rsidRPr="00F62F1C">
        <w:t xml:space="preserve"> </w:t>
      </w:r>
      <w:proofErr w:type="spellStart"/>
      <w:r w:rsidRPr="00F62F1C">
        <w:t>Māngai</w:t>
      </w:r>
      <w:proofErr w:type="spellEnd"/>
      <w:r w:rsidRPr="00F62F1C">
        <w:t xml:space="preserve"> </w:t>
      </w:r>
      <w:proofErr w:type="spellStart"/>
      <w:r w:rsidRPr="00F62F1C">
        <w:t>Pāho</w:t>
      </w:r>
      <w:proofErr w:type="spellEnd"/>
      <w:r w:rsidRPr="00F62F1C">
        <w:t xml:space="preserve"> (the Māori Broadcasting Funding Agency).</w:t>
      </w:r>
    </w:p>
    <w:p w:rsidR="00C9789E" w:rsidRPr="00F62F1C" w:rsidRDefault="00C9789E" w:rsidP="00E01ACD">
      <w:pPr>
        <w:pStyle w:val="H23G"/>
      </w:pPr>
      <w:r w:rsidRPr="00F62F1C">
        <w:tab/>
      </w:r>
      <w:r w:rsidRPr="00F62F1C">
        <w:tab/>
        <w:t>Land</w:t>
      </w:r>
    </w:p>
    <w:p w:rsidR="00C9789E" w:rsidRPr="00F62F1C" w:rsidRDefault="00C9789E" w:rsidP="00706221">
      <w:pPr>
        <w:pStyle w:val="SingleTxtG"/>
      </w:pPr>
      <w:r w:rsidRPr="00F62F1C">
        <w:t>87.</w:t>
      </w:r>
      <w:r w:rsidRPr="00F62F1C">
        <w:tab/>
        <w:t xml:space="preserve">In 2015 the Waitangi Tribunal heard claims from Māori land owners regarding the reform of </w:t>
      </w:r>
      <w:proofErr w:type="spellStart"/>
      <w:r w:rsidRPr="00F62F1C">
        <w:t>Te</w:t>
      </w:r>
      <w:proofErr w:type="spellEnd"/>
      <w:r w:rsidRPr="00F62F1C">
        <w:t xml:space="preserve"> </w:t>
      </w:r>
      <w:proofErr w:type="spellStart"/>
      <w:r w:rsidRPr="00F62F1C">
        <w:t>Ture</w:t>
      </w:r>
      <w:proofErr w:type="spellEnd"/>
      <w:r w:rsidRPr="00F62F1C">
        <w:t xml:space="preserve"> Whenua Māori Act 1993</w:t>
      </w:r>
      <w:r w:rsidR="005656E7">
        <w:t>.</w:t>
      </w:r>
      <w:r w:rsidRPr="00706221">
        <w:rPr>
          <w:rStyle w:val="FootnoteReference"/>
        </w:rPr>
        <w:footnoteReference w:id="24"/>
      </w:r>
      <w:r w:rsidR="0023775B">
        <w:t xml:space="preserve"> </w:t>
      </w:r>
      <w:r w:rsidRPr="00F62F1C">
        <w:t xml:space="preserve">The Tribunal issued its report, </w:t>
      </w:r>
      <w:r w:rsidRPr="00C36C04">
        <w:rPr>
          <w:i/>
        </w:rPr>
        <w:t xml:space="preserve">He Kura Whenua </w:t>
      </w:r>
      <w:proofErr w:type="spellStart"/>
      <w:r w:rsidRPr="00C36C04">
        <w:rPr>
          <w:i/>
        </w:rPr>
        <w:t>Ka</w:t>
      </w:r>
      <w:proofErr w:type="spellEnd"/>
      <w:r w:rsidRPr="00C36C04">
        <w:rPr>
          <w:i/>
        </w:rPr>
        <w:t xml:space="preserve"> </w:t>
      </w:r>
      <w:proofErr w:type="spellStart"/>
      <w:r w:rsidRPr="00C36C04">
        <w:rPr>
          <w:i/>
        </w:rPr>
        <w:t>Rokohanga</w:t>
      </w:r>
      <w:proofErr w:type="spellEnd"/>
      <w:r w:rsidRPr="00F62F1C">
        <w:t>, on 11 March 2015.</w:t>
      </w:r>
      <w:r w:rsidR="0023775B">
        <w:t xml:space="preserve"> </w:t>
      </w:r>
      <w:r w:rsidRPr="00F62F1C">
        <w:t xml:space="preserve">The Tribunal found that the Crown would be in breach of Treaty principles if it did not ensure that there was properly-informed, broad-based support from Māori for </w:t>
      </w:r>
      <w:proofErr w:type="spellStart"/>
      <w:r w:rsidRPr="00F62F1C">
        <w:t>Te</w:t>
      </w:r>
      <w:proofErr w:type="spellEnd"/>
      <w:r w:rsidRPr="00F62F1C">
        <w:t xml:space="preserve"> </w:t>
      </w:r>
      <w:proofErr w:type="spellStart"/>
      <w:r w:rsidRPr="00F62F1C">
        <w:t>Ture</w:t>
      </w:r>
      <w:proofErr w:type="spellEnd"/>
      <w:r w:rsidRPr="00F62F1C">
        <w:t xml:space="preserve"> Whenua Māori Bill to proceed.</w:t>
      </w:r>
      <w:r w:rsidR="0023775B">
        <w:t xml:space="preserve"> </w:t>
      </w:r>
    </w:p>
    <w:p w:rsidR="00C9789E" w:rsidRPr="00F62F1C" w:rsidRDefault="00C9789E" w:rsidP="00706221">
      <w:pPr>
        <w:pStyle w:val="SingleTxtG"/>
      </w:pPr>
      <w:r w:rsidRPr="00F62F1C">
        <w:t>88.</w:t>
      </w:r>
      <w:r w:rsidRPr="00F62F1C">
        <w:tab/>
        <w:t>With regard to the provisions of the Bill, the Tribunal noted that Treaty principles do not require any one specific form of protection mechanism, so long as it is effective and has the properly informed, broad-based support of Māori.</w:t>
      </w:r>
      <w:r w:rsidR="0023775B">
        <w:t xml:space="preserve"> </w:t>
      </w:r>
      <w:r w:rsidRPr="00F62F1C">
        <w:t>However, the Tribunal concluded that a number of the Bill</w:t>
      </w:r>
      <w:r w:rsidR="00D34D95">
        <w:t>’</w:t>
      </w:r>
      <w:r w:rsidRPr="00F62F1C">
        <w:t>s provisions nullified or weakened the mechanisms intended to ensure the retention of Māori land.</w:t>
      </w:r>
      <w:r w:rsidR="0023775B">
        <w:t xml:space="preserve"> </w:t>
      </w:r>
      <w:r w:rsidRPr="00F62F1C">
        <w:t>That was inconsistent with the Crown</w:t>
      </w:r>
      <w:r w:rsidR="00D34D95">
        <w:t>’</w:t>
      </w:r>
      <w:r w:rsidRPr="00F62F1C">
        <w:t>s duty of active protection. The Tribunal also found other aspects of the Bill relating to succession and compulsory dispute resolution to be inconsistent with Treaty principles.</w:t>
      </w:r>
    </w:p>
    <w:p w:rsidR="00C9789E" w:rsidRPr="00F62F1C" w:rsidRDefault="00C9789E" w:rsidP="00706221">
      <w:pPr>
        <w:pStyle w:val="SingleTxtG"/>
      </w:pPr>
      <w:r w:rsidRPr="00F62F1C">
        <w:t>89.</w:t>
      </w:r>
      <w:r w:rsidRPr="00F62F1C">
        <w:tab/>
        <w:t>The Tribunal recommended that the Crown avoid prejudice to Māori by engaging further nationally via meetings and written submissions, after ensuring that Māori are properly informed with empirical research.</w:t>
      </w:r>
      <w:r w:rsidR="0023775B">
        <w:t xml:space="preserve"> </w:t>
      </w:r>
      <w:r w:rsidRPr="00F62F1C">
        <w:t>The Tribunal also made a number of other general and specific recommendations to the Crown concerning both the review and reform process and the new Bill.</w:t>
      </w:r>
    </w:p>
    <w:p w:rsidR="00C9789E" w:rsidRPr="00F62F1C" w:rsidRDefault="00C9789E" w:rsidP="00706221">
      <w:pPr>
        <w:pStyle w:val="SingleTxtG"/>
      </w:pPr>
      <w:r w:rsidRPr="00F62F1C">
        <w:t>90.</w:t>
      </w:r>
      <w:r w:rsidRPr="00F62F1C">
        <w:tab/>
        <w:t>Following the Tribunal</w:t>
      </w:r>
      <w:r w:rsidR="00D34D95">
        <w:t>’</w:t>
      </w:r>
      <w:r w:rsidRPr="00F62F1C">
        <w:t xml:space="preserve">s release of </w:t>
      </w:r>
      <w:r w:rsidRPr="00C36C04">
        <w:rPr>
          <w:i/>
        </w:rPr>
        <w:t xml:space="preserve">He Kura Whenua </w:t>
      </w:r>
      <w:proofErr w:type="spellStart"/>
      <w:r w:rsidRPr="00C36C04">
        <w:rPr>
          <w:i/>
        </w:rPr>
        <w:t>Ka</w:t>
      </w:r>
      <w:proofErr w:type="spellEnd"/>
      <w:r w:rsidRPr="00C36C04">
        <w:rPr>
          <w:i/>
        </w:rPr>
        <w:t xml:space="preserve"> </w:t>
      </w:r>
      <w:proofErr w:type="spellStart"/>
      <w:r w:rsidRPr="00C36C04">
        <w:rPr>
          <w:i/>
        </w:rPr>
        <w:t>Rokohanga</w:t>
      </w:r>
      <w:proofErr w:type="spellEnd"/>
      <w:r w:rsidRPr="00F62F1C">
        <w:t>, the Government listened to the wide range of views from Māori on the report (including the Ministerial Advisory Group, Iwi Chairs, Federation of Māori Authorities, Māori land owners) the Tribunal</w:t>
      </w:r>
      <w:r w:rsidR="00D34D95">
        <w:t>’</w:t>
      </w:r>
      <w:r w:rsidRPr="00F62F1C">
        <w:t xml:space="preserve">s findings and recommendations, including those relating to specific </w:t>
      </w:r>
      <w:r w:rsidRPr="00F62F1C">
        <w:lastRenderedPageBreak/>
        <w:t>aspects of the Bill.</w:t>
      </w:r>
      <w:r w:rsidR="0023775B">
        <w:t xml:space="preserve"> </w:t>
      </w:r>
      <w:r w:rsidRPr="00F62F1C">
        <w:t>The Government undertook an extensive consultation process and at all times acted reasonably, fairly and honestly.</w:t>
      </w:r>
      <w:r w:rsidR="0023775B">
        <w:t xml:space="preserve"> </w:t>
      </w:r>
    </w:p>
    <w:p w:rsidR="00C9789E" w:rsidRPr="00F62F1C" w:rsidRDefault="00C9789E" w:rsidP="00706221">
      <w:pPr>
        <w:pStyle w:val="SingleTxtG"/>
      </w:pPr>
      <w:r w:rsidRPr="00F62F1C">
        <w:t>91.</w:t>
      </w:r>
      <w:r w:rsidRPr="00F62F1C">
        <w:tab/>
        <w:t>While some of the findings (and resulting recommendations) about specific aspects of the Bill had been addressed through recent policy work, the legislative process would provide an appropriate mechanism to address the remaining issues. In light of this, the Bill was introduced on 14 April 2016.</w:t>
      </w:r>
    </w:p>
    <w:p w:rsidR="00C9789E" w:rsidRPr="00F62F1C" w:rsidRDefault="00C9789E" w:rsidP="00E01ACD">
      <w:pPr>
        <w:pStyle w:val="H23G"/>
      </w:pPr>
      <w:r w:rsidRPr="00F62F1C">
        <w:tab/>
      </w:r>
      <w:r w:rsidRPr="00F62F1C">
        <w:tab/>
        <w:t>Water</w:t>
      </w:r>
    </w:p>
    <w:p w:rsidR="00C9789E" w:rsidRPr="00F62F1C" w:rsidRDefault="00C9789E" w:rsidP="00706221">
      <w:pPr>
        <w:pStyle w:val="SingleTxtG"/>
      </w:pPr>
      <w:r w:rsidRPr="00F62F1C">
        <w:t>92.</w:t>
      </w:r>
      <w:r w:rsidRPr="00F62F1C">
        <w:tab/>
        <w:t xml:space="preserve">In March 2012, the Waitangi Tribunal granted an application for an urgent hearing into two claims about proprietary rights in freshwater bodies and geothermal resources. The Inquiry was divided into two stages. </w:t>
      </w:r>
    </w:p>
    <w:p w:rsidR="00C9789E" w:rsidRPr="00F62F1C" w:rsidRDefault="00C9789E" w:rsidP="00706221">
      <w:pPr>
        <w:pStyle w:val="SingleTxtG"/>
      </w:pPr>
      <w:r w:rsidRPr="00F62F1C">
        <w:t>93.</w:t>
      </w:r>
      <w:r w:rsidRPr="00F62F1C">
        <w:tab/>
        <w:t xml:space="preserve">Following the release of the Stage 1 report the Crown and the Iwi </w:t>
      </w:r>
      <w:proofErr w:type="gramStart"/>
      <w:r w:rsidRPr="00F62F1C">
        <w:t>leaders</w:t>
      </w:r>
      <w:proofErr w:type="gramEnd"/>
      <w:r w:rsidRPr="00F62F1C">
        <w:t xml:space="preserve"> Group worked together on four </w:t>
      </w:r>
      <w:proofErr w:type="spellStart"/>
      <w:r w:rsidRPr="00F62F1C">
        <w:t>workstreams</w:t>
      </w:r>
      <w:proofErr w:type="spellEnd"/>
      <w:r w:rsidRPr="00F62F1C">
        <w:t xml:space="preserve"> for developing options to address iwi and </w:t>
      </w:r>
      <w:proofErr w:type="spellStart"/>
      <w:r w:rsidRPr="00F62F1C">
        <w:t>hapū</w:t>
      </w:r>
      <w:proofErr w:type="spellEnd"/>
      <w:r w:rsidRPr="00F62F1C">
        <w:t xml:space="preserve"> rights and interests in fresh water: improving water quality; recognising traditional tribal relationships with waterbodies; involving iwi/</w:t>
      </w:r>
      <w:proofErr w:type="spellStart"/>
      <w:r w:rsidRPr="00F62F1C">
        <w:t>hapu</w:t>
      </w:r>
      <w:proofErr w:type="spellEnd"/>
      <w:r w:rsidRPr="00F62F1C">
        <w:t xml:space="preserve"> in freshwater governance and management; and facilitating economic development using freshwater resources. In February 2016 the Government released the consultation document Next Steps for Fresh Water which included eight completed proposals relating to the water quality, recognition and governance </w:t>
      </w:r>
      <w:proofErr w:type="spellStart"/>
      <w:r w:rsidRPr="00F62F1C">
        <w:t>workstreams</w:t>
      </w:r>
      <w:proofErr w:type="spellEnd"/>
      <w:r w:rsidRPr="00F62F1C">
        <w:t>. These proposals will build on the recognition of Māori interests in rivers and lakes already provided through Treaty settlements.</w:t>
      </w:r>
    </w:p>
    <w:p w:rsidR="00C9789E" w:rsidRPr="00F62F1C" w:rsidRDefault="00C9789E" w:rsidP="00706221">
      <w:pPr>
        <w:pStyle w:val="SingleTxtG"/>
      </w:pPr>
      <w:r w:rsidRPr="00F62F1C">
        <w:t>94.</w:t>
      </w:r>
      <w:r w:rsidRPr="00F62F1C">
        <w:tab/>
        <w:t>Stage Two of the Waitangi Tribunal inquiry will commence in November 2016. The Tribunal</w:t>
      </w:r>
      <w:r w:rsidR="00D34D95">
        <w:t>’</w:t>
      </w:r>
      <w:r w:rsidRPr="00F62F1C">
        <w:t>s issues for determination focus on the proposals in Next Steps for Fresh Water.</w:t>
      </w:r>
      <w:r w:rsidR="0023775B">
        <w:t xml:space="preserve"> </w:t>
      </w:r>
      <w:r w:rsidRPr="00F62F1C">
        <w:t>While the Crown is preparing for the remaining Stage 2 hearings, work continues on the proposals in Next Steps for Fresh Water and options are being developed for reforming the water allocation system. The Crown is committed to working closely with the Iwi Leaders Group on fresh water.</w:t>
      </w:r>
    </w:p>
    <w:p w:rsidR="00C9789E" w:rsidRPr="00F62F1C" w:rsidRDefault="00C9789E" w:rsidP="00E01ACD">
      <w:pPr>
        <w:pStyle w:val="H23G"/>
      </w:pPr>
      <w:r w:rsidRPr="00F62F1C">
        <w:tab/>
      </w:r>
      <w:r w:rsidRPr="00F62F1C">
        <w:tab/>
        <w:t>Marine</w:t>
      </w:r>
    </w:p>
    <w:p w:rsidR="00C9789E" w:rsidRPr="00F62F1C" w:rsidRDefault="00C9789E" w:rsidP="00706221">
      <w:pPr>
        <w:pStyle w:val="SingleTxtG"/>
      </w:pPr>
      <w:r w:rsidRPr="00F62F1C">
        <w:t>95.</w:t>
      </w:r>
      <w:r w:rsidRPr="00F62F1C">
        <w:tab/>
        <w:t xml:space="preserve">In terms of marine water, the government recognises that iwi/Māori interests in the ocean include safeguarding </w:t>
      </w:r>
      <w:proofErr w:type="spellStart"/>
      <w:r w:rsidRPr="00F62F1C">
        <w:t>taonga</w:t>
      </w:r>
      <w:proofErr w:type="spellEnd"/>
      <w:r w:rsidRPr="00F62F1C">
        <w:t xml:space="preserve"> and </w:t>
      </w:r>
      <w:proofErr w:type="spellStart"/>
      <w:r w:rsidRPr="00F62F1C">
        <w:t>mahinga</w:t>
      </w:r>
      <w:proofErr w:type="spellEnd"/>
      <w:r w:rsidRPr="00F62F1C">
        <w:t xml:space="preserve"> kai (food gathering locations and resources), spiritual practices, customary rights and commercial and recreational fishing. </w:t>
      </w:r>
    </w:p>
    <w:p w:rsidR="00C9789E" w:rsidRPr="00F62F1C" w:rsidRDefault="00C9789E" w:rsidP="00E01ACD">
      <w:pPr>
        <w:pStyle w:val="H23G"/>
      </w:pPr>
      <w:r w:rsidRPr="00F62F1C">
        <w:tab/>
      </w:r>
      <w:r w:rsidRPr="00F62F1C">
        <w:tab/>
        <w:t>Language, Culture, Traditional Knowledge and Intellectual Property</w:t>
      </w:r>
    </w:p>
    <w:p w:rsidR="00C9789E" w:rsidRPr="00F62F1C" w:rsidRDefault="00C9789E" w:rsidP="00706221">
      <w:pPr>
        <w:pStyle w:val="SingleTxtG"/>
      </w:pPr>
      <w:r w:rsidRPr="00F62F1C">
        <w:t>96.</w:t>
      </w:r>
      <w:r w:rsidRPr="00F62F1C">
        <w:tab/>
        <w:t>The Waitangi Tribunal</w:t>
      </w:r>
      <w:r w:rsidR="00D34D95">
        <w:t>’</w:t>
      </w:r>
      <w:r w:rsidRPr="00F62F1C">
        <w:t xml:space="preserve">s 2011 report </w:t>
      </w:r>
      <w:proofErr w:type="spellStart"/>
      <w:r w:rsidRPr="00F62F1C">
        <w:t>Ko</w:t>
      </w:r>
      <w:proofErr w:type="spellEnd"/>
      <w:r w:rsidRPr="00F62F1C">
        <w:t xml:space="preserve"> </w:t>
      </w:r>
      <w:proofErr w:type="spellStart"/>
      <w:r w:rsidRPr="00F62F1C">
        <w:t>Aotearoa</w:t>
      </w:r>
      <w:proofErr w:type="spellEnd"/>
      <w:r w:rsidRPr="00F62F1C">
        <w:t xml:space="preserve"> </w:t>
      </w:r>
      <w:proofErr w:type="spellStart"/>
      <w:r w:rsidRPr="00F62F1C">
        <w:t>Tēnei</w:t>
      </w:r>
      <w:proofErr w:type="spellEnd"/>
      <w:r w:rsidRPr="00F62F1C">
        <w:t xml:space="preserve"> (commonly referred to as WAI 262) is about New Zealand law and policy affecting Māori traditional knowledge, culture and identity. It is a wide ranging report and was issued after a lengthy inquiry process and deliberations by the Tribunal. The Crown</w:t>
      </w:r>
      <w:r w:rsidR="00D34D95">
        <w:t>’</w:t>
      </w:r>
      <w:r w:rsidRPr="00F62F1C">
        <w:t xml:space="preserve">s engagement with </w:t>
      </w:r>
      <w:proofErr w:type="spellStart"/>
      <w:r w:rsidRPr="00F62F1C">
        <w:t>Wai</w:t>
      </w:r>
      <w:proofErr w:type="spellEnd"/>
      <w:r w:rsidRPr="00F62F1C">
        <w:t xml:space="preserve"> 262 issues is located within the broader context of on-going work to strengthen Crown-Māori relationships.</w:t>
      </w:r>
      <w:r w:rsidR="0023775B">
        <w:t xml:space="preserve"> </w:t>
      </w:r>
    </w:p>
    <w:p w:rsidR="00C9789E" w:rsidRPr="00F62F1C" w:rsidRDefault="00C9789E" w:rsidP="00706221">
      <w:pPr>
        <w:pStyle w:val="SingleTxtG"/>
      </w:pPr>
      <w:r w:rsidRPr="00F62F1C">
        <w:t>97.</w:t>
      </w:r>
      <w:r w:rsidRPr="00F62F1C">
        <w:tab/>
        <w:t xml:space="preserve">In April 2016 </w:t>
      </w:r>
      <w:proofErr w:type="spellStart"/>
      <w:r w:rsidRPr="00F62F1C">
        <w:t>Te</w:t>
      </w:r>
      <w:proofErr w:type="spellEnd"/>
      <w:r w:rsidRPr="00F62F1C">
        <w:t xml:space="preserve"> </w:t>
      </w:r>
      <w:proofErr w:type="spellStart"/>
      <w:r w:rsidRPr="00F62F1C">
        <w:t>Ture</w:t>
      </w:r>
      <w:proofErr w:type="spellEnd"/>
      <w:r w:rsidRPr="00F62F1C">
        <w:t xml:space="preserve"> </w:t>
      </w:r>
      <w:proofErr w:type="spellStart"/>
      <w:r w:rsidRPr="00F62F1C">
        <w:t>mō</w:t>
      </w:r>
      <w:proofErr w:type="spellEnd"/>
      <w:r w:rsidRPr="00F62F1C">
        <w:t xml:space="preserve"> </w:t>
      </w:r>
      <w:proofErr w:type="spellStart"/>
      <w:r w:rsidRPr="00F62F1C">
        <w:t>Te</w:t>
      </w:r>
      <w:proofErr w:type="spellEnd"/>
      <w:r w:rsidRPr="00F62F1C">
        <w:t xml:space="preserve"> </w:t>
      </w:r>
      <w:r w:rsidR="0079446F">
        <w:t>Reo Māori</w:t>
      </w:r>
      <w:r w:rsidRPr="00F62F1C">
        <w:t xml:space="preserve">/Māori Language Act 2016 was enacted. It is the first piece of legislation in New Zealand to be entirely enacted in both </w:t>
      </w:r>
      <w:proofErr w:type="spellStart"/>
      <w:r w:rsidRPr="00F62F1C">
        <w:t>Te</w:t>
      </w:r>
      <w:proofErr w:type="spellEnd"/>
      <w:r w:rsidRPr="00F62F1C">
        <w:t xml:space="preserve"> Reo Māori and English, with the Māori version to prevail in the event of conflict between the two versions. The Act acknowledges the detrimental effects of past policies and practices of the Crown towards the Māori language. The Act also provides for an ongoing commitment from the Crown to work in partnership with iwi and Māori to continue actively to protect and promote the Māori language for future generations. </w:t>
      </w:r>
    </w:p>
    <w:p w:rsidR="00C9789E" w:rsidRPr="00F62F1C" w:rsidRDefault="00C9789E" w:rsidP="00706221">
      <w:pPr>
        <w:pStyle w:val="SingleTxtG"/>
      </w:pPr>
      <w:r w:rsidRPr="00F62F1C">
        <w:t>98.</w:t>
      </w:r>
      <w:r w:rsidRPr="00F62F1C">
        <w:tab/>
        <w:t xml:space="preserve">The purpose of the Act is to affirm the status of the Māori language as the indigenous language of New Zealand, as a </w:t>
      </w:r>
      <w:proofErr w:type="spellStart"/>
      <w:r w:rsidRPr="00F62F1C">
        <w:t>taonga</w:t>
      </w:r>
      <w:proofErr w:type="spellEnd"/>
      <w:r w:rsidRPr="00F62F1C">
        <w:t xml:space="preserve"> of iwi and Māori, as a language valued by the nation and as an official language of New Zealand.</w:t>
      </w:r>
      <w:r w:rsidR="0023775B">
        <w:t xml:space="preserve"> </w:t>
      </w:r>
      <w:r w:rsidRPr="00F62F1C">
        <w:t xml:space="preserve">To assist in achieving this purpose, the legislation establishes an independent statutory entity, </w:t>
      </w:r>
      <w:proofErr w:type="spellStart"/>
      <w:r w:rsidRPr="00F62F1C">
        <w:t>Te</w:t>
      </w:r>
      <w:proofErr w:type="spellEnd"/>
      <w:r w:rsidRPr="00F62F1C">
        <w:t xml:space="preserve"> </w:t>
      </w:r>
      <w:proofErr w:type="spellStart"/>
      <w:r w:rsidRPr="00F62F1C">
        <w:t>Mātāwai</w:t>
      </w:r>
      <w:proofErr w:type="spellEnd"/>
      <w:r w:rsidRPr="00F62F1C">
        <w:t xml:space="preserve">, that will provide leadership on behalf of iwi and Māori in their role as </w:t>
      </w:r>
      <w:proofErr w:type="spellStart"/>
      <w:r w:rsidRPr="00F62F1C">
        <w:t>kaitiaki</w:t>
      </w:r>
      <w:proofErr w:type="spellEnd"/>
      <w:r w:rsidRPr="00F62F1C">
        <w:t xml:space="preserve"> (guardians) of the Māori language. </w:t>
      </w:r>
    </w:p>
    <w:p w:rsidR="00C9789E" w:rsidRPr="00F62F1C" w:rsidRDefault="00C9789E" w:rsidP="00706221">
      <w:pPr>
        <w:pStyle w:val="SingleTxtG"/>
      </w:pPr>
      <w:r w:rsidRPr="00F62F1C">
        <w:t>99.</w:t>
      </w:r>
      <w:r w:rsidRPr="00F62F1C">
        <w:tab/>
        <w:t>Two examples of ways in which Iwi/Māori rights to conserve, promote and develop their own culture, language and cultural heritage are assisted by the Government</w:t>
      </w:r>
      <w:r w:rsidR="0023775B">
        <w:t xml:space="preserve"> </w:t>
      </w:r>
      <w:r w:rsidRPr="00F62F1C">
        <w:t>are:</w:t>
      </w:r>
    </w:p>
    <w:p w:rsidR="00C9789E" w:rsidRPr="00F62F1C" w:rsidRDefault="00C9789E" w:rsidP="00E01ACD">
      <w:pPr>
        <w:pStyle w:val="Bullet1G"/>
      </w:pPr>
      <w:proofErr w:type="spellStart"/>
      <w:r w:rsidRPr="00F62F1C">
        <w:lastRenderedPageBreak/>
        <w:t>Whare</w:t>
      </w:r>
      <w:proofErr w:type="spellEnd"/>
      <w:r w:rsidRPr="00F62F1C">
        <w:t xml:space="preserve"> </w:t>
      </w:r>
      <w:proofErr w:type="spellStart"/>
      <w:r w:rsidRPr="00F62F1C">
        <w:t>Taonga</w:t>
      </w:r>
      <w:proofErr w:type="spellEnd"/>
      <w:r w:rsidRPr="00F62F1C">
        <w:t>: The Regional Museum Policy Fund which assists iwi actively planning iwi museums (</w:t>
      </w:r>
      <w:proofErr w:type="spellStart"/>
      <w:r w:rsidRPr="00F62F1C">
        <w:t>whare</w:t>
      </w:r>
      <w:proofErr w:type="spellEnd"/>
      <w:r w:rsidRPr="00F62F1C">
        <w:t xml:space="preserve"> </w:t>
      </w:r>
      <w:proofErr w:type="spellStart"/>
      <w:r w:rsidRPr="00F62F1C">
        <w:t>Taonga</w:t>
      </w:r>
      <w:proofErr w:type="spellEnd"/>
      <w:r w:rsidRPr="00F62F1C">
        <w:t xml:space="preserve">) in the future. These </w:t>
      </w:r>
      <w:proofErr w:type="spellStart"/>
      <w:r w:rsidRPr="00F62F1C">
        <w:t>whare</w:t>
      </w:r>
      <w:proofErr w:type="spellEnd"/>
      <w:r w:rsidRPr="00F62F1C">
        <w:t xml:space="preserve"> </w:t>
      </w:r>
      <w:proofErr w:type="spellStart"/>
      <w:r w:rsidRPr="00F62F1C">
        <w:t>taonga</w:t>
      </w:r>
      <w:proofErr w:type="spellEnd"/>
      <w:r w:rsidRPr="00F62F1C">
        <w:t xml:space="preserve"> will hold iwi </w:t>
      </w:r>
      <w:proofErr w:type="spellStart"/>
      <w:r w:rsidRPr="00F62F1C">
        <w:t>taonga</w:t>
      </w:r>
      <w:proofErr w:type="spellEnd"/>
      <w:r w:rsidRPr="00F62F1C">
        <w:t xml:space="preserve"> (treasures) and will be owned, governed and/or managed by iwi, according to Māori cultural practices</w:t>
      </w:r>
      <w:r w:rsidR="00384249">
        <w:t>;</w:t>
      </w:r>
    </w:p>
    <w:p w:rsidR="00C9789E" w:rsidRPr="00F62F1C" w:rsidRDefault="00C9789E" w:rsidP="00E01ACD">
      <w:pPr>
        <w:pStyle w:val="Bullet1G"/>
      </w:pPr>
      <w:r w:rsidRPr="00F62F1C">
        <w:t xml:space="preserve">Newly found </w:t>
      </w:r>
      <w:proofErr w:type="spellStart"/>
      <w:r w:rsidRPr="00F62F1C">
        <w:t>taonga</w:t>
      </w:r>
      <w:proofErr w:type="spellEnd"/>
      <w:r w:rsidRPr="00F62F1C">
        <w:t xml:space="preserve"> </w:t>
      </w:r>
      <w:proofErr w:type="spellStart"/>
      <w:r w:rsidRPr="00F62F1C">
        <w:t>tūturu</w:t>
      </w:r>
      <w:proofErr w:type="spellEnd"/>
      <w:r w:rsidRPr="00F62F1C">
        <w:t xml:space="preserve">: Under section 11 of the Protected Objects Act 1975, newly found </w:t>
      </w:r>
      <w:proofErr w:type="spellStart"/>
      <w:r w:rsidRPr="00F62F1C">
        <w:t>taonga</w:t>
      </w:r>
      <w:proofErr w:type="spellEnd"/>
      <w:r w:rsidRPr="00F62F1C">
        <w:t xml:space="preserve"> </w:t>
      </w:r>
      <w:proofErr w:type="spellStart"/>
      <w:r w:rsidRPr="00F62F1C">
        <w:t>tūturu</w:t>
      </w:r>
      <w:proofErr w:type="spellEnd"/>
      <w:r w:rsidRPr="00F62F1C">
        <w:t xml:space="preserve"> are in the first instance Government owned until a determination on ownership is made by the Māori Land Court to iwi or another party.</w:t>
      </w:r>
      <w:r w:rsidRPr="00706221">
        <w:rPr>
          <w:rStyle w:val="FootnoteReference"/>
        </w:rPr>
        <w:footnoteReference w:id="25"/>
      </w:r>
      <w:r w:rsidRPr="00F62F1C">
        <w:t xml:space="preserve"> In the interim, the Ministry for Culture and Heritage is legally responsible for the recording, custody of the </w:t>
      </w:r>
      <w:proofErr w:type="spellStart"/>
      <w:r w:rsidRPr="00F62F1C">
        <w:t>taonga</w:t>
      </w:r>
      <w:proofErr w:type="spellEnd"/>
      <w:r w:rsidRPr="00F62F1C">
        <w:t xml:space="preserve"> </w:t>
      </w:r>
      <w:proofErr w:type="spellStart"/>
      <w:r w:rsidRPr="00F62F1C">
        <w:t>tuturu</w:t>
      </w:r>
      <w:proofErr w:type="spellEnd"/>
      <w:r w:rsidRPr="00F62F1C">
        <w:t>, facilitating claims for ownership and any conservation treatment required in addition.</w:t>
      </w:r>
      <w:r w:rsidR="0023775B">
        <w:t xml:space="preserve"> </w:t>
      </w:r>
      <w:r w:rsidRPr="00F62F1C">
        <w:t xml:space="preserve">Once iwi obtain ownership through the Māori Land Court process the </w:t>
      </w:r>
      <w:proofErr w:type="spellStart"/>
      <w:r w:rsidRPr="00F62F1C">
        <w:t>taonga</w:t>
      </w:r>
      <w:proofErr w:type="spellEnd"/>
      <w:r w:rsidRPr="00F62F1C">
        <w:t xml:space="preserve"> </w:t>
      </w:r>
      <w:proofErr w:type="spellStart"/>
      <w:r w:rsidRPr="00F62F1C">
        <w:t>tūturu</w:t>
      </w:r>
      <w:proofErr w:type="spellEnd"/>
      <w:r w:rsidRPr="00F62F1C">
        <w:t xml:space="preserve"> is legally theirs. </w:t>
      </w:r>
    </w:p>
    <w:p w:rsidR="00C9789E" w:rsidRPr="00F62F1C" w:rsidRDefault="00C9789E" w:rsidP="00706221">
      <w:pPr>
        <w:pStyle w:val="SingleTxtG"/>
      </w:pPr>
      <w:r w:rsidRPr="00F62F1C">
        <w:t>100.</w:t>
      </w:r>
      <w:r w:rsidRPr="00F62F1C">
        <w:tab/>
        <w:t xml:space="preserve">Initiatives within the wider context of the claims and recommendations relating to </w:t>
      </w:r>
      <w:proofErr w:type="spellStart"/>
      <w:r w:rsidRPr="00F62F1C">
        <w:t>taonga</w:t>
      </w:r>
      <w:proofErr w:type="spellEnd"/>
      <w:r w:rsidRPr="00F62F1C">
        <w:t xml:space="preserve"> works and intellectual property include matters such as passing the Haka </w:t>
      </w:r>
      <w:proofErr w:type="spellStart"/>
      <w:r w:rsidRPr="00F62F1C">
        <w:t>Ka</w:t>
      </w:r>
      <w:proofErr w:type="spellEnd"/>
      <w:r w:rsidRPr="00F62F1C">
        <w:t xml:space="preserve"> Mate Attribution Act 2014, and policy and legislative developments relating to the trademark and geographical indications regimes.</w:t>
      </w:r>
    </w:p>
    <w:p w:rsidR="00C9789E" w:rsidRPr="00F62F1C" w:rsidRDefault="00C9789E" w:rsidP="00706221">
      <w:pPr>
        <w:pStyle w:val="SingleTxtG"/>
      </w:pPr>
      <w:r w:rsidRPr="00F62F1C">
        <w:t>101.</w:t>
      </w:r>
      <w:r w:rsidRPr="00F62F1C">
        <w:tab/>
        <w:t xml:space="preserve">Approaches to genetic and biological resources of </w:t>
      </w:r>
      <w:proofErr w:type="spellStart"/>
      <w:r w:rsidRPr="00F62F1C">
        <w:t>taonga</w:t>
      </w:r>
      <w:proofErr w:type="spellEnd"/>
      <w:r w:rsidRPr="00F62F1C">
        <w:t xml:space="preserve"> species have been progressed through the Patents Act 2013 and provisions in our Free Trade Agreements (since 2008) exist to protect this policy space (including, most recently in the Trans-Pacific Partnership agreement).</w:t>
      </w:r>
    </w:p>
    <w:p w:rsidR="00C9789E" w:rsidRPr="00F62F1C" w:rsidRDefault="00C9789E" w:rsidP="00A5492B">
      <w:pPr>
        <w:pStyle w:val="H1G"/>
      </w:pPr>
      <w:r w:rsidRPr="00F62F1C">
        <w:tab/>
      </w:r>
      <w:bookmarkStart w:id="23" w:name="_Toc494359758"/>
      <w:r w:rsidRPr="00F62F1C">
        <w:t>B.</w:t>
      </w:r>
      <w:r w:rsidRPr="00F62F1C">
        <w:tab/>
        <w:t>Article 2 (1)</w:t>
      </w:r>
      <w:r w:rsidR="001F5C90">
        <w:t xml:space="preserve"> — </w:t>
      </w:r>
      <w:r w:rsidRPr="00F62F1C">
        <w:t>Obligation to take steps to the maximum of available resources</w:t>
      </w:r>
      <w:bookmarkEnd w:id="23"/>
    </w:p>
    <w:p w:rsidR="00A5492B" w:rsidRDefault="00C9789E" w:rsidP="00A5492B">
      <w:pPr>
        <w:pStyle w:val="Heading1"/>
      </w:pPr>
      <w:bookmarkStart w:id="24" w:name="_Toc494359759"/>
      <w:r w:rsidRPr="00F62F1C">
        <w:t>Figure 4</w:t>
      </w:r>
      <w:bookmarkEnd w:id="24"/>
    </w:p>
    <w:p w:rsidR="00C9789E" w:rsidRDefault="00C9789E" w:rsidP="00706221">
      <w:pPr>
        <w:pStyle w:val="SingleTxtG"/>
        <w:rPr>
          <w:b/>
        </w:rPr>
      </w:pPr>
      <w:r w:rsidRPr="00A5492B">
        <w:rPr>
          <w:b/>
        </w:rPr>
        <w:t>Budget for sectors relevant to employment, social security, health and education ($billions)</w:t>
      </w:r>
      <w:r w:rsidRPr="00706221">
        <w:rPr>
          <w:rStyle w:val="FootnoteReference"/>
        </w:rPr>
        <w:footnoteReference w:id="26"/>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119"/>
        <w:gridCol w:w="850"/>
        <w:gridCol w:w="851"/>
        <w:gridCol w:w="850"/>
        <w:gridCol w:w="851"/>
        <w:gridCol w:w="849"/>
      </w:tblGrid>
      <w:tr w:rsidR="00B77308" w:rsidRPr="00B77308" w:rsidTr="006755F3">
        <w:trPr>
          <w:cantSplit/>
        </w:trPr>
        <w:tc>
          <w:tcPr>
            <w:tcW w:w="3119" w:type="dxa"/>
            <w:tcBorders>
              <w:top w:val="single" w:sz="4" w:space="0" w:color="auto"/>
              <w:bottom w:val="single" w:sz="12" w:space="0" w:color="auto"/>
            </w:tcBorders>
            <w:shd w:val="clear" w:color="auto" w:fill="auto"/>
            <w:vAlign w:val="bottom"/>
          </w:tcPr>
          <w:p w:rsidR="00B77308" w:rsidRPr="00B77308" w:rsidRDefault="00B77308" w:rsidP="00B77308">
            <w:pPr>
              <w:spacing w:before="80" w:after="80" w:line="200" w:lineRule="exact"/>
              <w:ind w:right="113"/>
              <w:rPr>
                <w:i/>
                <w:sz w:val="16"/>
              </w:rPr>
            </w:pPr>
          </w:p>
        </w:tc>
        <w:tc>
          <w:tcPr>
            <w:tcW w:w="850" w:type="dxa"/>
            <w:tcBorders>
              <w:top w:val="single" w:sz="4" w:space="0" w:color="auto"/>
              <w:bottom w:val="single" w:sz="12" w:space="0" w:color="auto"/>
            </w:tcBorders>
            <w:shd w:val="clear" w:color="auto" w:fill="auto"/>
            <w:vAlign w:val="bottom"/>
          </w:tcPr>
          <w:p w:rsidR="00B77308" w:rsidRPr="003939B5" w:rsidRDefault="00B77308" w:rsidP="00B77308">
            <w:pPr>
              <w:pStyle w:val="SingleTxtG"/>
              <w:spacing w:before="80" w:after="80" w:line="200" w:lineRule="exact"/>
              <w:ind w:left="0" w:right="57"/>
              <w:jc w:val="right"/>
              <w:rPr>
                <w:i/>
                <w:sz w:val="16"/>
              </w:rPr>
            </w:pPr>
            <w:r w:rsidRPr="003939B5">
              <w:rPr>
                <w:i/>
                <w:sz w:val="16"/>
              </w:rPr>
              <w:t>2011/2012</w:t>
            </w:r>
          </w:p>
        </w:tc>
        <w:tc>
          <w:tcPr>
            <w:tcW w:w="851" w:type="dxa"/>
            <w:tcBorders>
              <w:top w:val="single" w:sz="4" w:space="0" w:color="auto"/>
              <w:bottom w:val="single" w:sz="12" w:space="0" w:color="auto"/>
            </w:tcBorders>
            <w:shd w:val="clear" w:color="auto" w:fill="auto"/>
            <w:vAlign w:val="bottom"/>
          </w:tcPr>
          <w:p w:rsidR="00B77308" w:rsidRPr="003939B5" w:rsidRDefault="00B77308" w:rsidP="00B77308">
            <w:pPr>
              <w:pStyle w:val="SingleTxtG"/>
              <w:spacing w:before="80" w:after="80" w:line="200" w:lineRule="exact"/>
              <w:ind w:left="0" w:right="57"/>
              <w:jc w:val="right"/>
              <w:rPr>
                <w:i/>
                <w:sz w:val="16"/>
              </w:rPr>
            </w:pPr>
            <w:r w:rsidRPr="003939B5">
              <w:rPr>
                <w:i/>
                <w:sz w:val="16"/>
              </w:rPr>
              <w:t>2012/2013</w:t>
            </w:r>
          </w:p>
        </w:tc>
        <w:tc>
          <w:tcPr>
            <w:tcW w:w="850" w:type="dxa"/>
            <w:tcBorders>
              <w:top w:val="single" w:sz="4" w:space="0" w:color="auto"/>
              <w:bottom w:val="single" w:sz="12" w:space="0" w:color="auto"/>
            </w:tcBorders>
            <w:shd w:val="clear" w:color="auto" w:fill="auto"/>
            <w:vAlign w:val="bottom"/>
          </w:tcPr>
          <w:p w:rsidR="00B77308" w:rsidRPr="003939B5" w:rsidRDefault="00B77308" w:rsidP="00B77308">
            <w:pPr>
              <w:pStyle w:val="SingleTxtG"/>
              <w:spacing w:before="80" w:after="80" w:line="200" w:lineRule="exact"/>
              <w:ind w:left="0" w:right="57"/>
              <w:jc w:val="right"/>
              <w:rPr>
                <w:i/>
                <w:sz w:val="16"/>
              </w:rPr>
            </w:pPr>
            <w:r w:rsidRPr="003939B5">
              <w:rPr>
                <w:i/>
                <w:sz w:val="16"/>
              </w:rPr>
              <w:t>2013/2014</w:t>
            </w:r>
          </w:p>
        </w:tc>
        <w:tc>
          <w:tcPr>
            <w:tcW w:w="851" w:type="dxa"/>
            <w:tcBorders>
              <w:top w:val="single" w:sz="4" w:space="0" w:color="auto"/>
              <w:bottom w:val="single" w:sz="12" w:space="0" w:color="auto"/>
            </w:tcBorders>
            <w:shd w:val="clear" w:color="auto" w:fill="auto"/>
            <w:vAlign w:val="bottom"/>
          </w:tcPr>
          <w:p w:rsidR="00B77308" w:rsidRPr="003939B5" w:rsidRDefault="00B77308" w:rsidP="00B77308">
            <w:pPr>
              <w:pStyle w:val="SingleTxtG"/>
              <w:spacing w:before="80" w:after="80" w:line="200" w:lineRule="exact"/>
              <w:ind w:left="0" w:right="57"/>
              <w:jc w:val="right"/>
              <w:rPr>
                <w:i/>
                <w:sz w:val="16"/>
              </w:rPr>
            </w:pPr>
            <w:r w:rsidRPr="003939B5">
              <w:rPr>
                <w:i/>
                <w:sz w:val="16"/>
              </w:rPr>
              <w:t>2014/2015</w:t>
            </w:r>
          </w:p>
        </w:tc>
        <w:tc>
          <w:tcPr>
            <w:tcW w:w="849" w:type="dxa"/>
            <w:tcBorders>
              <w:top w:val="single" w:sz="4" w:space="0" w:color="auto"/>
              <w:bottom w:val="single" w:sz="12" w:space="0" w:color="auto"/>
            </w:tcBorders>
            <w:shd w:val="clear" w:color="auto" w:fill="auto"/>
            <w:vAlign w:val="bottom"/>
          </w:tcPr>
          <w:p w:rsidR="00B77308" w:rsidRPr="003939B5" w:rsidRDefault="00B77308" w:rsidP="00B77308">
            <w:pPr>
              <w:pStyle w:val="SingleTxtG"/>
              <w:spacing w:before="80" w:after="80" w:line="200" w:lineRule="exact"/>
              <w:ind w:left="0" w:right="57"/>
              <w:jc w:val="right"/>
              <w:rPr>
                <w:i/>
                <w:sz w:val="16"/>
              </w:rPr>
            </w:pPr>
            <w:r w:rsidRPr="003939B5">
              <w:rPr>
                <w:i/>
                <w:sz w:val="16"/>
              </w:rPr>
              <w:t>2015/2016</w:t>
            </w:r>
          </w:p>
        </w:tc>
      </w:tr>
      <w:tr w:rsidR="00CE7460" w:rsidRPr="00B77308" w:rsidTr="006755F3">
        <w:trPr>
          <w:cantSplit/>
        </w:trPr>
        <w:tc>
          <w:tcPr>
            <w:tcW w:w="3119" w:type="dxa"/>
            <w:tcBorders>
              <w:top w:val="single" w:sz="12" w:space="0" w:color="auto"/>
            </w:tcBorders>
            <w:shd w:val="clear" w:color="auto" w:fill="auto"/>
          </w:tcPr>
          <w:p w:rsidR="00CE7460" w:rsidRPr="003939B5" w:rsidRDefault="00CE7460" w:rsidP="00CE7460">
            <w:pPr>
              <w:spacing w:before="40" w:after="40" w:line="220" w:lineRule="exact"/>
              <w:rPr>
                <w:sz w:val="18"/>
              </w:rPr>
            </w:pPr>
            <w:r w:rsidRPr="003939B5">
              <w:rPr>
                <w:sz w:val="18"/>
              </w:rPr>
              <w:t>Vote Social Development</w:t>
            </w:r>
          </w:p>
        </w:tc>
        <w:tc>
          <w:tcPr>
            <w:tcW w:w="850" w:type="dxa"/>
            <w:tcBorders>
              <w:top w:val="single" w:sz="12" w:space="0" w:color="auto"/>
            </w:tcBorders>
            <w:shd w:val="clear" w:color="auto" w:fill="auto"/>
            <w:vAlign w:val="bottom"/>
          </w:tcPr>
          <w:p w:rsidR="00CE7460" w:rsidRPr="003939B5" w:rsidRDefault="00CE7460" w:rsidP="00CE7460">
            <w:pPr>
              <w:pStyle w:val="SingleTxtG"/>
              <w:spacing w:before="40" w:after="40" w:line="220" w:lineRule="exact"/>
              <w:ind w:left="0" w:right="57"/>
              <w:jc w:val="left"/>
              <w:rPr>
                <w:sz w:val="18"/>
              </w:rPr>
            </w:pPr>
            <w:r w:rsidRPr="003939B5">
              <w:rPr>
                <w:sz w:val="18"/>
              </w:rPr>
              <w:t xml:space="preserve"> </w:t>
            </w:r>
          </w:p>
        </w:tc>
        <w:tc>
          <w:tcPr>
            <w:tcW w:w="851" w:type="dxa"/>
            <w:tcBorders>
              <w:top w:val="single" w:sz="12" w:space="0" w:color="auto"/>
            </w:tcBorders>
            <w:shd w:val="clear" w:color="auto" w:fill="auto"/>
            <w:vAlign w:val="bottom"/>
          </w:tcPr>
          <w:p w:rsidR="00CE7460" w:rsidRPr="003939B5" w:rsidRDefault="00CE7460" w:rsidP="00CE7460">
            <w:pPr>
              <w:pStyle w:val="SingleTxtG"/>
              <w:spacing w:before="40" w:after="40" w:line="220" w:lineRule="exact"/>
              <w:ind w:left="0" w:right="57"/>
              <w:jc w:val="right"/>
              <w:rPr>
                <w:sz w:val="18"/>
              </w:rPr>
            </w:pPr>
            <w:r w:rsidRPr="003939B5">
              <w:rPr>
                <w:sz w:val="18"/>
              </w:rPr>
              <w:t xml:space="preserve"> </w:t>
            </w:r>
          </w:p>
        </w:tc>
        <w:tc>
          <w:tcPr>
            <w:tcW w:w="850" w:type="dxa"/>
            <w:tcBorders>
              <w:top w:val="single" w:sz="12" w:space="0" w:color="auto"/>
            </w:tcBorders>
            <w:shd w:val="clear" w:color="auto" w:fill="auto"/>
            <w:vAlign w:val="bottom"/>
          </w:tcPr>
          <w:p w:rsidR="00CE7460" w:rsidRPr="003939B5" w:rsidRDefault="00CE7460" w:rsidP="00CE7460">
            <w:pPr>
              <w:pStyle w:val="SingleTxtG"/>
              <w:spacing w:before="40" w:after="40" w:line="220" w:lineRule="exact"/>
              <w:ind w:left="0" w:right="57"/>
              <w:jc w:val="right"/>
              <w:rPr>
                <w:sz w:val="18"/>
              </w:rPr>
            </w:pPr>
            <w:r w:rsidRPr="003939B5">
              <w:rPr>
                <w:sz w:val="18"/>
              </w:rPr>
              <w:t xml:space="preserve"> </w:t>
            </w:r>
          </w:p>
        </w:tc>
        <w:tc>
          <w:tcPr>
            <w:tcW w:w="851" w:type="dxa"/>
            <w:tcBorders>
              <w:top w:val="single" w:sz="12" w:space="0" w:color="auto"/>
            </w:tcBorders>
            <w:shd w:val="clear" w:color="auto" w:fill="auto"/>
            <w:vAlign w:val="bottom"/>
          </w:tcPr>
          <w:p w:rsidR="00CE7460" w:rsidRPr="003939B5" w:rsidRDefault="00CE7460" w:rsidP="00CE7460">
            <w:pPr>
              <w:pStyle w:val="SingleTxtG"/>
              <w:spacing w:before="40" w:after="40" w:line="220" w:lineRule="exact"/>
              <w:ind w:left="0" w:right="57"/>
              <w:jc w:val="right"/>
              <w:rPr>
                <w:sz w:val="18"/>
              </w:rPr>
            </w:pPr>
            <w:r w:rsidRPr="003939B5">
              <w:rPr>
                <w:sz w:val="18"/>
              </w:rPr>
              <w:t xml:space="preserve"> </w:t>
            </w:r>
          </w:p>
        </w:tc>
        <w:tc>
          <w:tcPr>
            <w:tcW w:w="849" w:type="dxa"/>
            <w:tcBorders>
              <w:top w:val="single" w:sz="12" w:space="0" w:color="auto"/>
            </w:tcBorders>
            <w:shd w:val="clear" w:color="auto" w:fill="auto"/>
            <w:vAlign w:val="bottom"/>
          </w:tcPr>
          <w:p w:rsidR="00CE7460" w:rsidRPr="003939B5" w:rsidRDefault="00CE7460" w:rsidP="00CE7460">
            <w:pPr>
              <w:pStyle w:val="SingleTxtG"/>
              <w:spacing w:before="40" w:after="40" w:line="220" w:lineRule="exact"/>
              <w:ind w:left="0" w:right="57"/>
              <w:jc w:val="right"/>
              <w:rPr>
                <w:sz w:val="18"/>
              </w:rPr>
            </w:pPr>
            <w:r w:rsidRPr="003939B5">
              <w:rPr>
                <w:sz w:val="18"/>
              </w:rPr>
              <w:t xml:space="preserve"> </w:t>
            </w:r>
          </w:p>
        </w:tc>
      </w:tr>
      <w:tr w:rsidR="00CE7460" w:rsidRPr="00B77308" w:rsidTr="006755F3">
        <w:trPr>
          <w:cantSplit/>
        </w:trPr>
        <w:tc>
          <w:tcPr>
            <w:tcW w:w="3119" w:type="dxa"/>
            <w:shd w:val="clear" w:color="auto" w:fill="auto"/>
          </w:tcPr>
          <w:p w:rsidR="00CE7460" w:rsidRPr="003939B5" w:rsidRDefault="00CE7460" w:rsidP="00CE7460">
            <w:pPr>
              <w:spacing w:before="40" w:after="40" w:line="220" w:lineRule="exact"/>
              <w:rPr>
                <w:sz w:val="18"/>
              </w:rPr>
            </w:pPr>
            <w:r w:rsidRPr="003939B5">
              <w:rPr>
                <w:sz w:val="18"/>
              </w:rPr>
              <w:t>Work and Income (Employment Support)</w:t>
            </w:r>
          </w:p>
        </w:tc>
        <w:tc>
          <w:tcPr>
            <w:tcW w:w="850" w:type="dxa"/>
            <w:shd w:val="clear" w:color="auto" w:fill="auto"/>
            <w:vAlign w:val="bottom"/>
          </w:tcPr>
          <w:p w:rsidR="00CE7460" w:rsidRPr="003939B5" w:rsidRDefault="00CE7460" w:rsidP="00CE7460">
            <w:pPr>
              <w:pStyle w:val="SingleTxtG"/>
              <w:spacing w:before="40" w:after="40" w:line="220" w:lineRule="exact"/>
              <w:ind w:left="0" w:right="57"/>
              <w:jc w:val="right"/>
              <w:rPr>
                <w:sz w:val="18"/>
              </w:rPr>
            </w:pPr>
            <w:r w:rsidRPr="003939B5">
              <w:rPr>
                <w:sz w:val="18"/>
              </w:rPr>
              <w:t>0.645</w:t>
            </w:r>
          </w:p>
        </w:tc>
        <w:tc>
          <w:tcPr>
            <w:tcW w:w="851" w:type="dxa"/>
            <w:shd w:val="clear" w:color="auto" w:fill="auto"/>
            <w:vAlign w:val="bottom"/>
          </w:tcPr>
          <w:p w:rsidR="00CE7460" w:rsidRPr="003939B5" w:rsidRDefault="00CE7460" w:rsidP="00CE7460">
            <w:pPr>
              <w:pStyle w:val="SingleTxtG"/>
              <w:spacing w:before="40" w:after="40" w:line="220" w:lineRule="exact"/>
              <w:ind w:left="0" w:right="57"/>
              <w:jc w:val="right"/>
              <w:rPr>
                <w:sz w:val="18"/>
              </w:rPr>
            </w:pPr>
            <w:r w:rsidRPr="003939B5">
              <w:rPr>
                <w:sz w:val="18"/>
              </w:rPr>
              <w:t>0.669</w:t>
            </w:r>
          </w:p>
        </w:tc>
        <w:tc>
          <w:tcPr>
            <w:tcW w:w="850" w:type="dxa"/>
            <w:shd w:val="clear" w:color="auto" w:fill="auto"/>
            <w:vAlign w:val="bottom"/>
          </w:tcPr>
          <w:p w:rsidR="00CE7460" w:rsidRPr="003939B5" w:rsidRDefault="00CE7460" w:rsidP="00CE7460">
            <w:pPr>
              <w:pStyle w:val="SingleTxtG"/>
              <w:spacing w:before="40" w:after="40" w:line="220" w:lineRule="exact"/>
              <w:ind w:left="0" w:right="57"/>
              <w:jc w:val="right"/>
              <w:rPr>
                <w:sz w:val="18"/>
              </w:rPr>
            </w:pPr>
            <w:r w:rsidRPr="003939B5">
              <w:rPr>
                <w:sz w:val="18"/>
              </w:rPr>
              <w:t>0.650</w:t>
            </w:r>
          </w:p>
        </w:tc>
        <w:tc>
          <w:tcPr>
            <w:tcW w:w="851" w:type="dxa"/>
            <w:shd w:val="clear" w:color="auto" w:fill="auto"/>
            <w:vAlign w:val="bottom"/>
          </w:tcPr>
          <w:p w:rsidR="00CE7460" w:rsidRPr="003939B5" w:rsidRDefault="00CE7460" w:rsidP="00CE7460">
            <w:pPr>
              <w:pStyle w:val="SingleTxtG"/>
              <w:spacing w:before="40" w:after="40" w:line="220" w:lineRule="exact"/>
              <w:ind w:left="0" w:right="57"/>
              <w:jc w:val="right"/>
              <w:rPr>
                <w:sz w:val="18"/>
              </w:rPr>
            </w:pPr>
            <w:r w:rsidRPr="003939B5">
              <w:rPr>
                <w:sz w:val="18"/>
              </w:rPr>
              <w:t>0.656</w:t>
            </w:r>
          </w:p>
        </w:tc>
        <w:tc>
          <w:tcPr>
            <w:tcW w:w="849" w:type="dxa"/>
            <w:shd w:val="clear" w:color="auto" w:fill="auto"/>
            <w:vAlign w:val="bottom"/>
          </w:tcPr>
          <w:p w:rsidR="00CE7460" w:rsidRPr="003939B5" w:rsidRDefault="00CE7460" w:rsidP="00CE7460">
            <w:pPr>
              <w:pStyle w:val="SingleTxtG"/>
              <w:spacing w:before="40" w:after="40" w:line="220" w:lineRule="exact"/>
              <w:ind w:left="0" w:right="57"/>
              <w:jc w:val="right"/>
              <w:rPr>
                <w:sz w:val="18"/>
              </w:rPr>
            </w:pPr>
            <w:r w:rsidRPr="003939B5">
              <w:rPr>
                <w:sz w:val="18"/>
              </w:rPr>
              <w:t>0.679</w:t>
            </w:r>
          </w:p>
        </w:tc>
      </w:tr>
      <w:tr w:rsidR="00CE7460" w:rsidRPr="00B77308" w:rsidTr="006755F3">
        <w:trPr>
          <w:cantSplit/>
        </w:trPr>
        <w:tc>
          <w:tcPr>
            <w:tcW w:w="3119" w:type="dxa"/>
            <w:shd w:val="clear" w:color="auto" w:fill="auto"/>
          </w:tcPr>
          <w:p w:rsidR="00CE7460" w:rsidRPr="003939B5" w:rsidRDefault="00CE7460" w:rsidP="00CE7460">
            <w:pPr>
              <w:spacing w:before="40" w:after="40" w:line="220" w:lineRule="exact"/>
              <w:rPr>
                <w:sz w:val="18"/>
              </w:rPr>
            </w:pPr>
            <w:r w:rsidRPr="003939B5">
              <w:rPr>
                <w:sz w:val="18"/>
              </w:rPr>
              <w:t>Superannuation</w:t>
            </w:r>
          </w:p>
        </w:tc>
        <w:tc>
          <w:tcPr>
            <w:tcW w:w="850" w:type="dxa"/>
            <w:shd w:val="clear" w:color="auto" w:fill="auto"/>
            <w:vAlign w:val="bottom"/>
          </w:tcPr>
          <w:p w:rsidR="00CE7460" w:rsidRPr="003939B5" w:rsidRDefault="00CE7460" w:rsidP="00CE7460">
            <w:pPr>
              <w:pStyle w:val="SingleTxtG"/>
              <w:spacing w:before="40" w:after="40" w:line="220" w:lineRule="exact"/>
              <w:ind w:left="0" w:right="57"/>
              <w:jc w:val="right"/>
              <w:rPr>
                <w:sz w:val="18"/>
              </w:rPr>
            </w:pPr>
            <w:r w:rsidRPr="003939B5">
              <w:rPr>
                <w:sz w:val="18"/>
              </w:rPr>
              <w:t>9.584</w:t>
            </w:r>
          </w:p>
        </w:tc>
        <w:tc>
          <w:tcPr>
            <w:tcW w:w="851" w:type="dxa"/>
            <w:shd w:val="clear" w:color="auto" w:fill="auto"/>
            <w:vAlign w:val="bottom"/>
          </w:tcPr>
          <w:p w:rsidR="00CE7460" w:rsidRPr="003939B5" w:rsidRDefault="00CE7460" w:rsidP="00CE7460">
            <w:pPr>
              <w:pStyle w:val="SingleTxtG"/>
              <w:spacing w:before="40" w:after="40" w:line="220" w:lineRule="exact"/>
              <w:ind w:left="0" w:right="57"/>
              <w:jc w:val="right"/>
              <w:rPr>
                <w:sz w:val="18"/>
              </w:rPr>
            </w:pPr>
            <w:r w:rsidRPr="003939B5">
              <w:rPr>
                <w:sz w:val="18"/>
              </w:rPr>
              <w:t>10.235</w:t>
            </w:r>
          </w:p>
        </w:tc>
        <w:tc>
          <w:tcPr>
            <w:tcW w:w="850" w:type="dxa"/>
            <w:shd w:val="clear" w:color="auto" w:fill="auto"/>
            <w:vAlign w:val="bottom"/>
          </w:tcPr>
          <w:p w:rsidR="00CE7460" w:rsidRPr="003939B5" w:rsidRDefault="00CE7460" w:rsidP="00CE7460">
            <w:pPr>
              <w:pStyle w:val="SingleTxtG"/>
              <w:spacing w:before="40" w:after="40" w:line="220" w:lineRule="exact"/>
              <w:ind w:left="0" w:right="57"/>
              <w:jc w:val="right"/>
              <w:rPr>
                <w:sz w:val="18"/>
              </w:rPr>
            </w:pPr>
            <w:r w:rsidRPr="003939B5">
              <w:rPr>
                <w:sz w:val="18"/>
              </w:rPr>
              <w:t>10.913</w:t>
            </w:r>
          </w:p>
        </w:tc>
        <w:tc>
          <w:tcPr>
            <w:tcW w:w="851" w:type="dxa"/>
            <w:shd w:val="clear" w:color="auto" w:fill="auto"/>
            <w:vAlign w:val="bottom"/>
          </w:tcPr>
          <w:p w:rsidR="00CE7460" w:rsidRPr="003939B5" w:rsidRDefault="00CE7460" w:rsidP="00CE7460">
            <w:pPr>
              <w:pStyle w:val="SingleTxtG"/>
              <w:spacing w:before="40" w:after="40" w:line="220" w:lineRule="exact"/>
              <w:ind w:left="0" w:right="57"/>
              <w:jc w:val="right"/>
              <w:rPr>
                <w:sz w:val="18"/>
              </w:rPr>
            </w:pPr>
            <w:r w:rsidRPr="003939B5">
              <w:rPr>
                <w:sz w:val="18"/>
              </w:rPr>
              <w:t>11.591</w:t>
            </w:r>
          </w:p>
        </w:tc>
        <w:tc>
          <w:tcPr>
            <w:tcW w:w="849" w:type="dxa"/>
            <w:shd w:val="clear" w:color="auto" w:fill="auto"/>
            <w:vAlign w:val="bottom"/>
          </w:tcPr>
          <w:p w:rsidR="00CE7460" w:rsidRPr="003939B5" w:rsidRDefault="00CE7460" w:rsidP="00CE7460">
            <w:pPr>
              <w:pStyle w:val="SingleTxtG"/>
              <w:spacing w:before="40" w:after="40" w:line="220" w:lineRule="exact"/>
              <w:ind w:left="0" w:right="57"/>
              <w:jc w:val="right"/>
              <w:rPr>
                <w:sz w:val="18"/>
              </w:rPr>
            </w:pPr>
            <w:r w:rsidRPr="003939B5">
              <w:rPr>
                <w:sz w:val="18"/>
              </w:rPr>
              <w:t>12.267</w:t>
            </w:r>
          </w:p>
        </w:tc>
      </w:tr>
      <w:tr w:rsidR="00CE7460" w:rsidRPr="00B77308" w:rsidTr="006755F3">
        <w:trPr>
          <w:cantSplit/>
        </w:trPr>
        <w:tc>
          <w:tcPr>
            <w:tcW w:w="3119" w:type="dxa"/>
            <w:tcBorders>
              <w:bottom w:val="single" w:sz="4" w:space="0" w:color="auto"/>
            </w:tcBorders>
            <w:shd w:val="clear" w:color="auto" w:fill="auto"/>
          </w:tcPr>
          <w:p w:rsidR="00CE7460" w:rsidRPr="003939B5" w:rsidRDefault="00CE7460" w:rsidP="00CE7460">
            <w:pPr>
              <w:spacing w:before="40" w:after="40" w:line="220" w:lineRule="exact"/>
              <w:rPr>
                <w:sz w:val="18"/>
              </w:rPr>
            </w:pPr>
            <w:r w:rsidRPr="003939B5">
              <w:rPr>
                <w:sz w:val="18"/>
              </w:rPr>
              <w:t>Main Benefits</w:t>
            </w:r>
          </w:p>
        </w:tc>
        <w:tc>
          <w:tcPr>
            <w:tcW w:w="850" w:type="dxa"/>
            <w:tcBorders>
              <w:bottom w:val="single" w:sz="4" w:space="0" w:color="auto"/>
            </w:tcBorders>
            <w:shd w:val="clear" w:color="auto" w:fill="auto"/>
            <w:vAlign w:val="bottom"/>
          </w:tcPr>
          <w:p w:rsidR="00CE7460" w:rsidRPr="003939B5" w:rsidRDefault="00CE7460" w:rsidP="00CE7460">
            <w:pPr>
              <w:pStyle w:val="SingleTxtG"/>
              <w:spacing w:before="40" w:after="40" w:line="220" w:lineRule="exact"/>
              <w:ind w:left="0" w:right="57"/>
              <w:jc w:val="right"/>
              <w:rPr>
                <w:sz w:val="18"/>
              </w:rPr>
            </w:pPr>
            <w:r w:rsidRPr="003939B5">
              <w:rPr>
                <w:sz w:val="18"/>
              </w:rPr>
              <w:t>4.920</w:t>
            </w:r>
          </w:p>
        </w:tc>
        <w:tc>
          <w:tcPr>
            <w:tcW w:w="851" w:type="dxa"/>
            <w:tcBorders>
              <w:bottom w:val="single" w:sz="4" w:space="0" w:color="auto"/>
            </w:tcBorders>
            <w:shd w:val="clear" w:color="auto" w:fill="auto"/>
            <w:vAlign w:val="bottom"/>
          </w:tcPr>
          <w:p w:rsidR="00CE7460" w:rsidRPr="003939B5" w:rsidRDefault="00CE7460" w:rsidP="00CE7460">
            <w:pPr>
              <w:pStyle w:val="SingleTxtG"/>
              <w:spacing w:before="40" w:after="40" w:line="220" w:lineRule="exact"/>
              <w:ind w:left="0" w:right="57"/>
              <w:jc w:val="right"/>
              <w:rPr>
                <w:sz w:val="18"/>
              </w:rPr>
            </w:pPr>
            <w:r w:rsidRPr="003939B5">
              <w:rPr>
                <w:sz w:val="18"/>
              </w:rPr>
              <w:t>4.790</w:t>
            </w:r>
          </w:p>
        </w:tc>
        <w:tc>
          <w:tcPr>
            <w:tcW w:w="850" w:type="dxa"/>
            <w:tcBorders>
              <w:bottom w:val="single" w:sz="4" w:space="0" w:color="auto"/>
            </w:tcBorders>
            <w:shd w:val="clear" w:color="auto" w:fill="auto"/>
            <w:vAlign w:val="bottom"/>
          </w:tcPr>
          <w:p w:rsidR="00CE7460" w:rsidRPr="003939B5" w:rsidRDefault="00CE7460" w:rsidP="00CE7460">
            <w:pPr>
              <w:pStyle w:val="SingleTxtG"/>
              <w:spacing w:before="40" w:after="40" w:line="220" w:lineRule="exact"/>
              <w:ind w:left="0" w:right="57"/>
              <w:jc w:val="right"/>
              <w:rPr>
                <w:sz w:val="18"/>
              </w:rPr>
            </w:pPr>
            <w:r w:rsidRPr="003939B5">
              <w:rPr>
                <w:sz w:val="18"/>
              </w:rPr>
              <w:t>4.568</w:t>
            </w:r>
          </w:p>
        </w:tc>
        <w:tc>
          <w:tcPr>
            <w:tcW w:w="851" w:type="dxa"/>
            <w:tcBorders>
              <w:bottom w:val="single" w:sz="4" w:space="0" w:color="auto"/>
            </w:tcBorders>
            <w:shd w:val="clear" w:color="auto" w:fill="auto"/>
            <w:vAlign w:val="bottom"/>
          </w:tcPr>
          <w:p w:rsidR="00CE7460" w:rsidRPr="003939B5" w:rsidRDefault="00CE7460" w:rsidP="00CE7460">
            <w:pPr>
              <w:pStyle w:val="SingleTxtG"/>
              <w:spacing w:before="40" w:after="40" w:line="220" w:lineRule="exact"/>
              <w:ind w:left="0" w:right="57"/>
              <w:jc w:val="right"/>
              <w:rPr>
                <w:sz w:val="18"/>
              </w:rPr>
            </w:pPr>
            <w:r w:rsidRPr="003939B5">
              <w:rPr>
                <w:sz w:val="18"/>
              </w:rPr>
              <w:t>4.441</w:t>
            </w:r>
          </w:p>
        </w:tc>
        <w:tc>
          <w:tcPr>
            <w:tcW w:w="849" w:type="dxa"/>
            <w:tcBorders>
              <w:bottom w:val="single" w:sz="4" w:space="0" w:color="auto"/>
            </w:tcBorders>
            <w:shd w:val="clear" w:color="auto" w:fill="auto"/>
            <w:vAlign w:val="bottom"/>
          </w:tcPr>
          <w:p w:rsidR="00CE7460" w:rsidRPr="003939B5" w:rsidRDefault="00CE7460" w:rsidP="00CE7460">
            <w:pPr>
              <w:pStyle w:val="SingleTxtG"/>
              <w:spacing w:before="40" w:after="40" w:line="220" w:lineRule="exact"/>
              <w:ind w:left="0" w:right="57"/>
              <w:jc w:val="right"/>
              <w:rPr>
                <w:sz w:val="18"/>
              </w:rPr>
            </w:pPr>
            <w:r w:rsidRPr="003939B5">
              <w:rPr>
                <w:sz w:val="18"/>
              </w:rPr>
              <w:t>4.471</w:t>
            </w:r>
          </w:p>
        </w:tc>
      </w:tr>
      <w:tr w:rsidR="00CE7460" w:rsidRPr="00B77308" w:rsidTr="006755F3">
        <w:trPr>
          <w:cantSplit/>
        </w:trPr>
        <w:tc>
          <w:tcPr>
            <w:tcW w:w="3119" w:type="dxa"/>
            <w:tcBorders>
              <w:top w:val="single" w:sz="4" w:space="0" w:color="auto"/>
              <w:bottom w:val="single" w:sz="4" w:space="0" w:color="auto"/>
            </w:tcBorders>
            <w:shd w:val="clear" w:color="auto" w:fill="auto"/>
          </w:tcPr>
          <w:p w:rsidR="00CE7460" w:rsidRPr="00DF20DF" w:rsidRDefault="00CE7460" w:rsidP="00DF20DF">
            <w:pPr>
              <w:spacing w:before="80" w:after="80" w:line="220" w:lineRule="exact"/>
              <w:ind w:left="283"/>
              <w:rPr>
                <w:b/>
                <w:sz w:val="18"/>
              </w:rPr>
            </w:pPr>
            <w:r w:rsidRPr="00DF20DF">
              <w:rPr>
                <w:b/>
                <w:sz w:val="18"/>
              </w:rPr>
              <w:t>Total of Selected Appropriations</w:t>
            </w:r>
          </w:p>
        </w:tc>
        <w:tc>
          <w:tcPr>
            <w:tcW w:w="850" w:type="dxa"/>
            <w:tcBorders>
              <w:top w:val="single" w:sz="4" w:space="0" w:color="auto"/>
              <w:bottom w:val="single" w:sz="4" w:space="0" w:color="auto"/>
            </w:tcBorders>
            <w:shd w:val="clear" w:color="auto" w:fill="auto"/>
            <w:vAlign w:val="bottom"/>
          </w:tcPr>
          <w:p w:rsidR="00CE7460" w:rsidRPr="00DF20DF" w:rsidRDefault="00CE7460" w:rsidP="00DF20DF">
            <w:pPr>
              <w:pStyle w:val="SingleTxtG"/>
              <w:spacing w:before="80" w:after="80" w:line="220" w:lineRule="exact"/>
              <w:ind w:left="0" w:right="113"/>
              <w:jc w:val="right"/>
              <w:rPr>
                <w:b/>
                <w:sz w:val="18"/>
              </w:rPr>
            </w:pPr>
            <w:r w:rsidRPr="00DF20DF">
              <w:rPr>
                <w:b/>
                <w:sz w:val="18"/>
              </w:rPr>
              <w:t>15.149</w:t>
            </w:r>
          </w:p>
        </w:tc>
        <w:tc>
          <w:tcPr>
            <w:tcW w:w="851" w:type="dxa"/>
            <w:tcBorders>
              <w:top w:val="single" w:sz="4" w:space="0" w:color="auto"/>
              <w:bottom w:val="single" w:sz="4" w:space="0" w:color="auto"/>
            </w:tcBorders>
            <w:shd w:val="clear" w:color="auto" w:fill="auto"/>
            <w:vAlign w:val="bottom"/>
          </w:tcPr>
          <w:p w:rsidR="00CE7460" w:rsidRPr="00DF20DF" w:rsidRDefault="00CE7460" w:rsidP="00DF20DF">
            <w:pPr>
              <w:pStyle w:val="SingleTxtG"/>
              <w:spacing w:before="80" w:after="80" w:line="220" w:lineRule="exact"/>
              <w:ind w:left="0" w:right="113"/>
              <w:jc w:val="right"/>
              <w:rPr>
                <w:b/>
                <w:sz w:val="18"/>
              </w:rPr>
            </w:pPr>
            <w:r w:rsidRPr="00DF20DF">
              <w:rPr>
                <w:b/>
                <w:sz w:val="18"/>
              </w:rPr>
              <w:t>15.694</w:t>
            </w:r>
          </w:p>
        </w:tc>
        <w:tc>
          <w:tcPr>
            <w:tcW w:w="850" w:type="dxa"/>
            <w:tcBorders>
              <w:top w:val="single" w:sz="4" w:space="0" w:color="auto"/>
              <w:bottom w:val="single" w:sz="4" w:space="0" w:color="auto"/>
            </w:tcBorders>
            <w:shd w:val="clear" w:color="auto" w:fill="auto"/>
            <w:vAlign w:val="bottom"/>
          </w:tcPr>
          <w:p w:rsidR="00CE7460" w:rsidRPr="00DF20DF" w:rsidRDefault="00CE7460" w:rsidP="00DF20DF">
            <w:pPr>
              <w:pStyle w:val="SingleTxtG"/>
              <w:spacing w:before="80" w:after="80" w:line="220" w:lineRule="exact"/>
              <w:ind w:left="0" w:right="113"/>
              <w:jc w:val="right"/>
              <w:rPr>
                <w:b/>
                <w:sz w:val="18"/>
              </w:rPr>
            </w:pPr>
            <w:r w:rsidRPr="00DF20DF">
              <w:rPr>
                <w:b/>
                <w:sz w:val="18"/>
              </w:rPr>
              <w:t>16.131</w:t>
            </w:r>
          </w:p>
        </w:tc>
        <w:tc>
          <w:tcPr>
            <w:tcW w:w="851" w:type="dxa"/>
            <w:tcBorders>
              <w:top w:val="single" w:sz="4" w:space="0" w:color="auto"/>
              <w:bottom w:val="single" w:sz="4" w:space="0" w:color="auto"/>
            </w:tcBorders>
            <w:shd w:val="clear" w:color="auto" w:fill="auto"/>
            <w:vAlign w:val="bottom"/>
          </w:tcPr>
          <w:p w:rsidR="00CE7460" w:rsidRPr="00DF20DF" w:rsidRDefault="00CE7460" w:rsidP="00DF20DF">
            <w:pPr>
              <w:pStyle w:val="SingleTxtG"/>
              <w:spacing w:before="80" w:after="80" w:line="220" w:lineRule="exact"/>
              <w:ind w:left="0" w:right="113"/>
              <w:jc w:val="right"/>
              <w:rPr>
                <w:b/>
                <w:sz w:val="18"/>
              </w:rPr>
            </w:pPr>
            <w:r w:rsidRPr="00DF20DF">
              <w:rPr>
                <w:b/>
                <w:sz w:val="18"/>
              </w:rPr>
              <w:t>16.688</w:t>
            </w:r>
          </w:p>
        </w:tc>
        <w:tc>
          <w:tcPr>
            <w:tcW w:w="849" w:type="dxa"/>
            <w:tcBorders>
              <w:top w:val="single" w:sz="4" w:space="0" w:color="auto"/>
              <w:bottom w:val="single" w:sz="4" w:space="0" w:color="auto"/>
            </w:tcBorders>
            <w:shd w:val="clear" w:color="auto" w:fill="auto"/>
            <w:vAlign w:val="bottom"/>
          </w:tcPr>
          <w:p w:rsidR="00CE7460" w:rsidRPr="00DF20DF" w:rsidRDefault="00CE7460" w:rsidP="00DF20DF">
            <w:pPr>
              <w:pStyle w:val="SingleTxtG"/>
              <w:spacing w:before="80" w:after="80" w:line="220" w:lineRule="exact"/>
              <w:ind w:left="0" w:right="113"/>
              <w:jc w:val="right"/>
              <w:rPr>
                <w:b/>
                <w:sz w:val="18"/>
              </w:rPr>
            </w:pPr>
            <w:r w:rsidRPr="00DF20DF">
              <w:rPr>
                <w:b/>
                <w:sz w:val="18"/>
              </w:rPr>
              <w:t>17.417</w:t>
            </w:r>
          </w:p>
        </w:tc>
      </w:tr>
      <w:tr w:rsidR="00CE7460" w:rsidRPr="00B77308" w:rsidTr="006755F3">
        <w:trPr>
          <w:cantSplit/>
        </w:trPr>
        <w:tc>
          <w:tcPr>
            <w:tcW w:w="3119" w:type="dxa"/>
            <w:tcBorders>
              <w:top w:val="single" w:sz="4" w:space="0" w:color="auto"/>
              <w:bottom w:val="single" w:sz="4" w:space="0" w:color="auto"/>
            </w:tcBorders>
            <w:shd w:val="clear" w:color="auto" w:fill="auto"/>
          </w:tcPr>
          <w:p w:rsidR="00CE7460" w:rsidRPr="003939B5" w:rsidRDefault="00CE7460" w:rsidP="00CE7460">
            <w:pPr>
              <w:spacing w:before="40" w:after="40" w:line="220" w:lineRule="exact"/>
              <w:rPr>
                <w:sz w:val="18"/>
              </w:rPr>
            </w:pPr>
            <w:r w:rsidRPr="003939B5">
              <w:rPr>
                <w:sz w:val="18"/>
              </w:rPr>
              <w:t>Vote Education</w:t>
            </w:r>
          </w:p>
        </w:tc>
        <w:tc>
          <w:tcPr>
            <w:tcW w:w="850" w:type="dxa"/>
            <w:tcBorders>
              <w:top w:val="single" w:sz="4" w:space="0" w:color="auto"/>
              <w:bottom w:val="single" w:sz="4" w:space="0" w:color="auto"/>
            </w:tcBorders>
            <w:shd w:val="clear" w:color="auto" w:fill="auto"/>
            <w:vAlign w:val="bottom"/>
          </w:tcPr>
          <w:p w:rsidR="00CE7460" w:rsidRPr="003939B5" w:rsidRDefault="00CE7460" w:rsidP="00CE7460">
            <w:pPr>
              <w:pStyle w:val="SingleTxtG"/>
              <w:spacing w:before="40" w:after="40" w:line="220" w:lineRule="exact"/>
              <w:ind w:left="0" w:right="57"/>
              <w:jc w:val="right"/>
              <w:rPr>
                <w:sz w:val="18"/>
              </w:rPr>
            </w:pPr>
            <w:r w:rsidRPr="003939B5">
              <w:rPr>
                <w:sz w:val="18"/>
              </w:rPr>
              <w:t xml:space="preserve"> </w:t>
            </w:r>
          </w:p>
        </w:tc>
        <w:tc>
          <w:tcPr>
            <w:tcW w:w="851" w:type="dxa"/>
            <w:tcBorders>
              <w:top w:val="single" w:sz="4" w:space="0" w:color="auto"/>
              <w:bottom w:val="single" w:sz="4" w:space="0" w:color="auto"/>
            </w:tcBorders>
            <w:shd w:val="clear" w:color="auto" w:fill="auto"/>
            <w:vAlign w:val="bottom"/>
          </w:tcPr>
          <w:p w:rsidR="00CE7460" w:rsidRPr="003939B5" w:rsidRDefault="00CE7460" w:rsidP="00CE7460">
            <w:pPr>
              <w:pStyle w:val="SingleTxtG"/>
              <w:spacing w:before="40" w:after="40" w:line="220" w:lineRule="exact"/>
              <w:ind w:left="0" w:right="57"/>
              <w:jc w:val="right"/>
              <w:rPr>
                <w:sz w:val="18"/>
              </w:rPr>
            </w:pPr>
            <w:r w:rsidRPr="003939B5">
              <w:rPr>
                <w:sz w:val="18"/>
              </w:rPr>
              <w:t xml:space="preserve"> </w:t>
            </w:r>
          </w:p>
        </w:tc>
        <w:tc>
          <w:tcPr>
            <w:tcW w:w="850" w:type="dxa"/>
            <w:tcBorders>
              <w:top w:val="single" w:sz="4" w:space="0" w:color="auto"/>
              <w:bottom w:val="single" w:sz="4" w:space="0" w:color="auto"/>
            </w:tcBorders>
            <w:shd w:val="clear" w:color="auto" w:fill="auto"/>
            <w:vAlign w:val="bottom"/>
          </w:tcPr>
          <w:p w:rsidR="00CE7460" w:rsidRPr="003939B5" w:rsidRDefault="00CE7460" w:rsidP="00CE7460">
            <w:pPr>
              <w:pStyle w:val="SingleTxtG"/>
              <w:spacing w:before="40" w:after="40" w:line="220" w:lineRule="exact"/>
              <w:ind w:left="0" w:right="57"/>
              <w:jc w:val="right"/>
              <w:rPr>
                <w:sz w:val="18"/>
              </w:rPr>
            </w:pPr>
            <w:r w:rsidRPr="003939B5">
              <w:rPr>
                <w:sz w:val="18"/>
              </w:rPr>
              <w:t xml:space="preserve"> </w:t>
            </w:r>
          </w:p>
        </w:tc>
        <w:tc>
          <w:tcPr>
            <w:tcW w:w="851" w:type="dxa"/>
            <w:tcBorders>
              <w:top w:val="single" w:sz="4" w:space="0" w:color="auto"/>
              <w:bottom w:val="single" w:sz="4" w:space="0" w:color="auto"/>
            </w:tcBorders>
            <w:shd w:val="clear" w:color="auto" w:fill="auto"/>
            <w:vAlign w:val="bottom"/>
          </w:tcPr>
          <w:p w:rsidR="00CE7460" w:rsidRPr="003939B5" w:rsidRDefault="00CE7460" w:rsidP="00CE7460">
            <w:pPr>
              <w:pStyle w:val="SingleTxtG"/>
              <w:spacing w:before="40" w:after="40" w:line="220" w:lineRule="exact"/>
              <w:ind w:left="0" w:right="57"/>
              <w:jc w:val="right"/>
              <w:rPr>
                <w:sz w:val="18"/>
              </w:rPr>
            </w:pPr>
            <w:r w:rsidRPr="003939B5">
              <w:rPr>
                <w:sz w:val="18"/>
              </w:rPr>
              <w:t xml:space="preserve"> </w:t>
            </w:r>
          </w:p>
        </w:tc>
        <w:tc>
          <w:tcPr>
            <w:tcW w:w="849" w:type="dxa"/>
            <w:tcBorders>
              <w:top w:val="single" w:sz="4" w:space="0" w:color="auto"/>
              <w:bottom w:val="single" w:sz="4" w:space="0" w:color="auto"/>
            </w:tcBorders>
            <w:shd w:val="clear" w:color="auto" w:fill="auto"/>
            <w:vAlign w:val="bottom"/>
          </w:tcPr>
          <w:p w:rsidR="00CE7460" w:rsidRPr="003939B5" w:rsidRDefault="00CE7460" w:rsidP="00CE7460">
            <w:pPr>
              <w:pStyle w:val="SingleTxtG"/>
              <w:spacing w:before="40" w:after="40" w:line="220" w:lineRule="exact"/>
              <w:ind w:left="0" w:right="57"/>
              <w:jc w:val="right"/>
              <w:rPr>
                <w:sz w:val="18"/>
              </w:rPr>
            </w:pPr>
            <w:r w:rsidRPr="003939B5">
              <w:rPr>
                <w:sz w:val="18"/>
              </w:rPr>
              <w:t xml:space="preserve"> </w:t>
            </w:r>
          </w:p>
        </w:tc>
      </w:tr>
      <w:tr w:rsidR="00CE7460" w:rsidRPr="00B77308" w:rsidTr="006755F3">
        <w:trPr>
          <w:cantSplit/>
        </w:trPr>
        <w:tc>
          <w:tcPr>
            <w:tcW w:w="3119" w:type="dxa"/>
            <w:tcBorders>
              <w:top w:val="single" w:sz="4" w:space="0" w:color="auto"/>
              <w:bottom w:val="single" w:sz="4" w:space="0" w:color="auto"/>
            </w:tcBorders>
            <w:shd w:val="clear" w:color="auto" w:fill="auto"/>
          </w:tcPr>
          <w:p w:rsidR="00CE7460" w:rsidRPr="007E69BD" w:rsidRDefault="00CE7460" w:rsidP="007E69BD">
            <w:pPr>
              <w:spacing w:before="80" w:after="80" w:line="220" w:lineRule="exact"/>
              <w:ind w:left="283"/>
              <w:rPr>
                <w:b/>
                <w:sz w:val="18"/>
              </w:rPr>
            </w:pPr>
            <w:r w:rsidRPr="007E69BD">
              <w:rPr>
                <w:b/>
                <w:sz w:val="18"/>
              </w:rPr>
              <w:t>Total Appropriation</w:t>
            </w:r>
          </w:p>
        </w:tc>
        <w:tc>
          <w:tcPr>
            <w:tcW w:w="850" w:type="dxa"/>
            <w:tcBorders>
              <w:top w:val="single" w:sz="4" w:space="0" w:color="auto"/>
              <w:bottom w:val="single" w:sz="4" w:space="0" w:color="auto"/>
            </w:tcBorders>
            <w:shd w:val="clear" w:color="auto" w:fill="auto"/>
            <w:vAlign w:val="bottom"/>
          </w:tcPr>
          <w:p w:rsidR="00CE7460" w:rsidRPr="007E69BD" w:rsidRDefault="00CE7460" w:rsidP="007E69BD">
            <w:pPr>
              <w:pStyle w:val="SingleTxtG"/>
              <w:spacing w:before="80" w:after="80" w:line="220" w:lineRule="exact"/>
              <w:ind w:left="0" w:right="113"/>
              <w:jc w:val="right"/>
              <w:rPr>
                <w:b/>
                <w:sz w:val="18"/>
              </w:rPr>
            </w:pPr>
            <w:r w:rsidRPr="007E69BD">
              <w:rPr>
                <w:b/>
                <w:sz w:val="18"/>
              </w:rPr>
              <w:t>9.154</w:t>
            </w:r>
          </w:p>
        </w:tc>
        <w:tc>
          <w:tcPr>
            <w:tcW w:w="851" w:type="dxa"/>
            <w:tcBorders>
              <w:top w:val="single" w:sz="4" w:space="0" w:color="auto"/>
              <w:bottom w:val="single" w:sz="4" w:space="0" w:color="auto"/>
            </w:tcBorders>
            <w:shd w:val="clear" w:color="auto" w:fill="auto"/>
            <w:vAlign w:val="bottom"/>
          </w:tcPr>
          <w:p w:rsidR="00CE7460" w:rsidRPr="007E69BD" w:rsidRDefault="00CE7460" w:rsidP="007E69BD">
            <w:pPr>
              <w:pStyle w:val="SingleTxtG"/>
              <w:spacing w:before="80" w:after="80" w:line="220" w:lineRule="exact"/>
              <w:ind w:left="0" w:right="113"/>
              <w:jc w:val="right"/>
              <w:rPr>
                <w:b/>
                <w:sz w:val="18"/>
              </w:rPr>
            </w:pPr>
            <w:r w:rsidRPr="007E69BD">
              <w:rPr>
                <w:b/>
                <w:sz w:val="18"/>
              </w:rPr>
              <w:t>9.476</w:t>
            </w:r>
          </w:p>
        </w:tc>
        <w:tc>
          <w:tcPr>
            <w:tcW w:w="850" w:type="dxa"/>
            <w:tcBorders>
              <w:top w:val="single" w:sz="4" w:space="0" w:color="auto"/>
              <w:bottom w:val="single" w:sz="4" w:space="0" w:color="auto"/>
            </w:tcBorders>
            <w:shd w:val="clear" w:color="auto" w:fill="auto"/>
            <w:vAlign w:val="bottom"/>
          </w:tcPr>
          <w:p w:rsidR="00CE7460" w:rsidRPr="007E69BD" w:rsidRDefault="00CE7460" w:rsidP="007E69BD">
            <w:pPr>
              <w:pStyle w:val="SingleTxtG"/>
              <w:spacing w:before="80" w:after="80" w:line="220" w:lineRule="exact"/>
              <w:ind w:left="0" w:right="113"/>
              <w:jc w:val="right"/>
              <w:rPr>
                <w:b/>
                <w:sz w:val="18"/>
              </w:rPr>
            </w:pPr>
            <w:r w:rsidRPr="007E69BD">
              <w:rPr>
                <w:b/>
                <w:sz w:val="18"/>
              </w:rPr>
              <w:t>9.693</w:t>
            </w:r>
          </w:p>
        </w:tc>
        <w:tc>
          <w:tcPr>
            <w:tcW w:w="851" w:type="dxa"/>
            <w:tcBorders>
              <w:top w:val="single" w:sz="4" w:space="0" w:color="auto"/>
              <w:bottom w:val="single" w:sz="4" w:space="0" w:color="auto"/>
            </w:tcBorders>
            <w:shd w:val="clear" w:color="auto" w:fill="auto"/>
            <w:vAlign w:val="bottom"/>
          </w:tcPr>
          <w:p w:rsidR="00CE7460" w:rsidRPr="007E69BD" w:rsidRDefault="00CE7460" w:rsidP="007E69BD">
            <w:pPr>
              <w:pStyle w:val="SingleTxtG"/>
              <w:spacing w:before="80" w:after="80" w:line="220" w:lineRule="exact"/>
              <w:ind w:left="0" w:right="113"/>
              <w:jc w:val="right"/>
              <w:rPr>
                <w:b/>
                <w:sz w:val="18"/>
              </w:rPr>
            </w:pPr>
            <w:r w:rsidRPr="007E69BD">
              <w:rPr>
                <w:b/>
                <w:sz w:val="18"/>
              </w:rPr>
              <w:t>10.244</w:t>
            </w:r>
          </w:p>
        </w:tc>
        <w:tc>
          <w:tcPr>
            <w:tcW w:w="849" w:type="dxa"/>
            <w:tcBorders>
              <w:top w:val="single" w:sz="4" w:space="0" w:color="auto"/>
              <w:bottom w:val="single" w:sz="4" w:space="0" w:color="auto"/>
            </w:tcBorders>
            <w:shd w:val="clear" w:color="auto" w:fill="auto"/>
            <w:vAlign w:val="bottom"/>
          </w:tcPr>
          <w:p w:rsidR="00CE7460" w:rsidRPr="007E69BD" w:rsidRDefault="00CE7460" w:rsidP="007E69BD">
            <w:pPr>
              <w:pStyle w:val="SingleTxtG"/>
              <w:spacing w:before="80" w:after="80" w:line="220" w:lineRule="exact"/>
              <w:ind w:left="0" w:right="113"/>
              <w:jc w:val="right"/>
              <w:rPr>
                <w:b/>
                <w:sz w:val="18"/>
              </w:rPr>
            </w:pPr>
            <w:r w:rsidRPr="007E69BD">
              <w:rPr>
                <w:b/>
                <w:sz w:val="18"/>
              </w:rPr>
              <w:t>10.742</w:t>
            </w:r>
          </w:p>
        </w:tc>
      </w:tr>
      <w:tr w:rsidR="00CE7460" w:rsidRPr="00B77308" w:rsidTr="006755F3">
        <w:trPr>
          <w:cantSplit/>
        </w:trPr>
        <w:tc>
          <w:tcPr>
            <w:tcW w:w="3119" w:type="dxa"/>
            <w:tcBorders>
              <w:top w:val="single" w:sz="4" w:space="0" w:color="auto"/>
              <w:bottom w:val="single" w:sz="4" w:space="0" w:color="auto"/>
            </w:tcBorders>
            <w:shd w:val="clear" w:color="auto" w:fill="auto"/>
          </w:tcPr>
          <w:p w:rsidR="00CE7460" w:rsidRPr="003939B5" w:rsidRDefault="00CE7460" w:rsidP="00CE7460">
            <w:pPr>
              <w:spacing w:before="40" w:after="40" w:line="220" w:lineRule="exact"/>
              <w:rPr>
                <w:sz w:val="18"/>
              </w:rPr>
            </w:pPr>
            <w:r w:rsidRPr="003939B5">
              <w:rPr>
                <w:sz w:val="18"/>
              </w:rPr>
              <w:t>Vote Tertiary Education</w:t>
            </w:r>
          </w:p>
        </w:tc>
        <w:tc>
          <w:tcPr>
            <w:tcW w:w="850" w:type="dxa"/>
            <w:tcBorders>
              <w:top w:val="single" w:sz="4" w:space="0" w:color="auto"/>
              <w:bottom w:val="single" w:sz="4" w:space="0" w:color="auto"/>
            </w:tcBorders>
            <w:shd w:val="clear" w:color="auto" w:fill="auto"/>
            <w:vAlign w:val="bottom"/>
          </w:tcPr>
          <w:p w:rsidR="00CE7460" w:rsidRPr="003939B5" w:rsidRDefault="00CE7460" w:rsidP="00CE7460">
            <w:pPr>
              <w:pStyle w:val="SingleTxtG"/>
              <w:spacing w:before="40" w:after="40" w:line="220" w:lineRule="exact"/>
              <w:ind w:left="0" w:right="57"/>
              <w:jc w:val="right"/>
              <w:rPr>
                <w:sz w:val="18"/>
              </w:rPr>
            </w:pPr>
          </w:p>
        </w:tc>
        <w:tc>
          <w:tcPr>
            <w:tcW w:w="851" w:type="dxa"/>
            <w:tcBorders>
              <w:top w:val="single" w:sz="4" w:space="0" w:color="auto"/>
              <w:bottom w:val="single" w:sz="4" w:space="0" w:color="auto"/>
            </w:tcBorders>
            <w:shd w:val="clear" w:color="auto" w:fill="auto"/>
            <w:vAlign w:val="bottom"/>
          </w:tcPr>
          <w:p w:rsidR="00CE7460" w:rsidRPr="003939B5" w:rsidRDefault="00CE7460" w:rsidP="00CE7460">
            <w:pPr>
              <w:pStyle w:val="SingleTxtG"/>
              <w:spacing w:before="40" w:after="40" w:line="220" w:lineRule="exact"/>
              <w:ind w:left="0" w:right="57"/>
              <w:jc w:val="right"/>
              <w:rPr>
                <w:sz w:val="18"/>
              </w:rPr>
            </w:pPr>
          </w:p>
        </w:tc>
        <w:tc>
          <w:tcPr>
            <w:tcW w:w="850" w:type="dxa"/>
            <w:tcBorders>
              <w:top w:val="single" w:sz="4" w:space="0" w:color="auto"/>
              <w:bottom w:val="single" w:sz="4" w:space="0" w:color="auto"/>
            </w:tcBorders>
            <w:shd w:val="clear" w:color="auto" w:fill="auto"/>
            <w:vAlign w:val="bottom"/>
          </w:tcPr>
          <w:p w:rsidR="00CE7460" w:rsidRPr="003939B5" w:rsidRDefault="00CE7460" w:rsidP="00CE7460">
            <w:pPr>
              <w:pStyle w:val="SingleTxtG"/>
              <w:spacing w:before="40" w:after="40" w:line="220" w:lineRule="exact"/>
              <w:ind w:left="0" w:right="57"/>
              <w:jc w:val="right"/>
              <w:rPr>
                <w:sz w:val="18"/>
              </w:rPr>
            </w:pPr>
          </w:p>
        </w:tc>
        <w:tc>
          <w:tcPr>
            <w:tcW w:w="851" w:type="dxa"/>
            <w:tcBorders>
              <w:top w:val="single" w:sz="4" w:space="0" w:color="auto"/>
              <w:bottom w:val="single" w:sz="4" w:space="0" w:color="auto"/>
            </w:tcBorders>
            <w:shd w:val="clear" w:color="auto" w:fill="auto"/>
            <w:vAlign w:val="bottom"/>
          </w:tcPr>
          <w:p w:rsidR="00CE7460" w:rsidRPr="003939B5" w:rsidRDefault="00CE7460" w:rsidP="00CE7460">
            <w:pPr>
              <w:pStyle w:val="SingleTxtG"/>
              <w:spacing w:before="40" w:after="40" w:line="220" w:lineRule="exact"/>
              <w:ind w:left="0" w:right="57"/>
              <w:jc w:val="right"/>
              <w:rPr>
                <w:sz w:val="18"/>
              </w:rPr>
            </w:pPr>
          </w:p>
        </w:tc>
        <w:tc>
          <w:tcPr>
            <w:tcW w:w="849" w:type="dxa"/>
            <w:tcBorders>
              <w:top w:val="single" w:sz="4" w:space="0" w:color="auto"/>
              <w:bottom w:val="single" w:sz="4" w:space="0" w:color="auto"/>
            </w:tcBorders>
            <w:shd w:val="clear" w:color="auto" w:fill="auto"/>
            <w:vAlign w:val="bottom"/>
          </w:tcPr>
          <w:p w:rsidR="00CE7460" w:rsidRPr="003939B5" w:rsidRDefault="00CE7460" w:rsidP="00CE7460">
            <w:pPr>
              <w:pStyle w:val="SingleTxtG"/>
              <w:spacing w:before="40" w:after="40" w:line="220" w:lineRule="exact"/>
              <w:ind w:left="0" w:right="57"/>
              <w:jc w:val="right"/>
              <w:rPr>
                <w:sz w:val="18"/>
              </w:rPr>
            </w:pPr>
          </w:p>
        </w:tc>
      </w:tr>
      <w:tr w:rsidR="00441316" w:rsidRPr="00B77308" w:rsidTr="006755F3">
        <w:trPr>
          <w:cantSplit/>
        </w:trPr>
        <w:tc>
          <w:tcPr>
            <w:tcW w:w="3119" w:type="dxa"/>
            <w:tcBorders>
              <w:top w:val="single" w:sz="4" w:space="0" w:color="auto"/>
              <w:bottom w:val="single" w:sz="4" w:space="0" w:color="auto"/>
            </w:tcBorders>
            <w:shd w:val="clear" w:color="auto" w:fill="auto"/>
          </w:tcPr>
          <w:p w:rsidR="00CE7460" w:rsidRPr="00441316" w:rsidRDefault="00CE7460" w:rsidP="00441316">
            <w:pPr>
              <w:spacing w:before="80" w:after="80" w:line="220" w:lineRule="exact"/>
              <w:ind w:left="283"/>
              <w:rPr>
                <w:b/>
                <w:sz w:val="18"/>
              </w:rPr>
            </w:pPr>
            <w:r w:rsidRPr="00441316">
              <w:rPr>
                <w:b/>
                <w:sz w:val="18"/>
              </w:rPr>
              <w:t>Total Appropriation</w:t>
            </w:r>
          </w:p>
        </w:tc>
        <w:tc>
          <w:tcPr>
            <w:tcW w:w="850" w:type="dxa"/>
            <w:tcBorders>
              <w:top w:val="single" w:sz="4" w:space="0" w:color="auto"/>
              <w:bottom w:val="single" w:sz="4" w:space="0" w:color="auto"/>
            </w:tcBorders>
            <w:shd w:val="clear" w:color="auto" w:fill="auto"/>
            <w:vAlign w:val="bottom"/>
          </w:tcPr>
          <w:p w:rsidR="00CE7460" w:rsidRPr="00441316" w:rsidRDefault="00CE7460" w:rsidP="00441316">
            <w:pPr>
              <w:pStyle w:val="SingleTxtG"/>
              <w:spacing w:before="80" w:after="80" w:line="220" w:lineRule="exact"/>
              <w:ind w:left="0" w:right="113"/>
              <w:jc w:val="right"/>
              <w:rPr>
                <w:b/>
                <w:sz w:val="18"/>
              </w:rPr>
            </w:pPr>
            <w:r w:rsidRPr="00441316">
              <w:rPr>
                <w:b/>
                <w:sz w:val="18"/>
              </w:rPr>
              <w:t>2.704</w:t>
            </w:r>
          </w:p>
        </w:tc>
        <w:tc>
          <w:tcPr>
            <w:tcW w:w="851" w:type="dxa"/>
            <w:tcBorders>
              <w:top w:val="single" w:sz="4" w:space="0" w:color="auto"/>
              <w:bottom w:val="single" w:sz="4" w:space="0" w:color="auto"/>
            </w:tcBorders>
            <w:shd w:val="clear" w:color="auto" w:fill="auto"/>
            <w:vAlign w:val="bottom"/>
          </w:tcPr>
          <w:p w:rsidR="00CE7460" w:rsidRPr="00441316" w:rsidRDefault="00CE7460" w:rsidP="00441316">
            <w:pPr>
              <w:pStyle w:val="SingleTxtG"/>
              <w:spacing w:before="80" w:after="80" w:line="220" w:lineRule="exact"/>
              <w:ind w:left="0" w:right="113"/>
              <w:jc w:val="right"/>
              <w:rPr>
                <w:b/>
                <w:sz w:val="18"/>
              </w:rPr>
            </w:pPr>
            <w:r w:rsidRPr="00441316">
              <w:rPr>
                <w:b/>
                <w:sz w:val="18"/>
              </w:rPr>
              <w:t>2.737</w:t>
            </w:r>
          </w:p>
        </w:tc>
        <w:tc>
          <w:tcPr>
            <w:tcW w:w="850" w:type="dxa"/>
            <w:tcBorders>
              <w:top w:val="single" w:sz="4" w:space="0" w:color="auto"/>
              <w:bottom w:val="single" w:sz="4" w:space="0" w:color="auto"/>
            </w:tcBorders>
            <w:shd w:val="clear" w:color="auto" w:fill="auto"/>
            <w:vAlign w:val="bottom"/>
          </w:tcPr>
          <w:p w:rsidR="00CE7460" w:rsidRPr="00441316" w:rsidRDefault="00CE7460" w:rsidP="00441316">
            <w:pPr>
              <w:pStyle w:val="SingleTxtG"/>
              <w:spacing w:before="80" w:after="80" w:line="220" w:lineRule="exact"/>
              <w:ind w:left="0" w:right="113"/>
              <w:jc w:val="right"/>
              <w:rPr>
                <w:b/>
                <w:sz w:val="18"/>
              </w:rPr>
            </w:pPr>
            <w:r w:rsidRPr="00441316">
              <w:rPr>
                <w:b/>
                <w:sz w:val="18"/>
              </w:rPr>
              <w:t>2.855</w:t>
            </w:r>
          </w:p>
        </w:tc>
        <w:tc>
          <w:tcPr>
            <w:tcW w:w="851" w:type="dxa"/>
            <w:tcBorders>
              <w:top w:val="single" w:sz="4" w:space="0" w:color="auto"/>
              <w:bottom w:val="single" w:sz="4" w:space="0" w:color="auto"/>
            </w:tcBorders>
            <w:shd w:val="clear" w:color="auto" w:fill="auto"/>
            <w:vAlign w:val="bottom"/>
          </w:tcPr>
          <w:p w:rsidR="00CE7460" w:rsidRPr="00441316" w:rsidRDefault="00CE7460" w:rsidP="00441316">
            <w:pPr>
              <w:pStyle w:val="SingleTxtG"/>
              <w:spacing w:before="80" w:after="80" w:line="220" w:lineRule="exact"/>
              <w:ind w:left="0" w:right="113"/>
              <w:jc w:val="right"/>
              <w:rPr>
                <w:b/>
                <w:sz w:val="18"/>
              </w:rPr>
            </w:pPr>
            <w:r w:rsidRPr="00441316">
              <w:rPr>
                <w:b/>
                <w:sz w:val="18"/>
              </w:rPr>
              <w:t>3.000</w:t>
            </w:r>
          </w:p>
        </w:tc>
        <w:tc>
          <w:tcPr>
            <w:tcW w:w="849" w:type="dxa"/>
            <w:tcBorders>
              <w:top w:val="single" w:sz="4" w:space="0" w:color="auto"/>
              <w:bottom w:val="single" w:sz="4" w:space="0" w:color="auto"/>
            </w:tcBorders>
            <w:shd w:val="clear" w:color="auto" w:fill="auto"/>
            <w:vAlign w:val="bottom"/>
          </w:tcPr>
          <w:p w:rsidR="00CE7460" w:rsidRPr="00441316" w:rsidRDefault="00CE7460" w:rsidP="00441316">
            <w:pPr>
              <w:pStyle w:val="SingleTxtG"/>
              <w:spacing w:before="80" w:after="80" w:line="220" w:lineRule="exact"/>
              <w:ind w:left="0" w:right="113"/>
              <w:jc w:val="right"/>
              <w:rPr>
                <w:b/>
                <w:sz w:val="18"/>
              </w:rPr>
            </w:pPr>
            <w:r w:rsidRPr="00441316">
              <w:rPr>
                <w:b/>
                <w:sz w:val="18"/>
              </w:rPr>
              <w:t>3.030</w:t>
            </w:r>
          </w:p>
        </w:tc>
      </w:tr>
      <w:tr w:rsidR="00CE7460" w:rsidRPr="00B77308" w:rsidTr="00221F82">
        <w:trPr>
          <w:cantSplit/>
        </w:trPr>
        <w:tc>
          <w:tcPr>
            <w:tcW w:w="3119" w:type="dxa"/>
            <w:tcBorders>
              <w:top w:val="single" w:sz="4" w:space="0" w:color="auto"/>
              <w:bottom w:val="single" w:sz="4" w:space="0" w:color="auto"/>
            </w:tcBorders>
            <w:shd w:val="clear" w:color="auto" w:fill="auto"/>
          </w:tcPr>
          <w:p w:rsidR="00CE7460" w:rsidRPr="003939B5" w:rsidRDefault="00CE7460" w:rsidP="00CE7460">
            <w:pPr>
              <w:spacing w:before="40" w:after="40" w:line="220" w:lineRule="exact"/>
              <w:rPr>
                <w:sz w:val="18"/>
              </w:rPr>
            </w:pPr>
            <w:r w:rsidRPr="003939B5">
              <w:rPr>
                <w:sz w:val="18"/>
              </w:rPr>
              <w:t>Vote Health</w:t>
            </w:r>
          </w:p>
        </w:tc>
        <w:tc>
          <w:tcPr>
            <w:tcW w:w="850" w:type="dxa"/>
            <w:tcBorders>
              <w:top w:val="single" w:sz="4" w:space="0" w:color="auto"/>
              <w:bottom w:val="single" w:sz="4" w:space="0" w:color="auto"/>
            </w:tcBorders>
            <w:shd w:val="clear" w:color="auto" w:fill="auto"/>
            <w:vAlign w:val="bottom"/>
          </w:tcPr>
          <w:p w:rsidR="00CE7460" w:rsidRPr="003939B5" w:rsidRDefault="00CE7460" w:rsidP="00CE7460">
            <w:pPr>
              <w:pStyle w:val="SingleTxtG"/>
              <w:spacing w:before="40" w:after="40" w:line="220" w:lineRule="exact"/>
              <w:ind w:left="0" w:right="57"/>
              <w:jc w:val="right"/>
              <w:rPr>
                <w:sz w:val="18"/>
              </w:rPr>
            </w:pPr>
            <w:r w:rsidRPr="003939B5">
              <w:rPr>
                <w:sz w:val="18"/>
              </w:rPr>
              <w:t xml:space="preserve"> </w:t>
            </w:r>
          </w:p>
        </w:tc>
        <w:tc>
          <w:tcPr>
            <w:tcW w:w="851" w:type="dxa"/>
            <w:tcBorders>
              <w:top w:val="single" w:sz="4" w:space="0" w:color="auto"/>
              <w:bottom w:val="single" w:sz="4" w:space="0" w:color="auto"/>
            </w:tcBorders>
            <w:shd w:val="clear" w:color="auto" w:fill="auto"/>
            <w:vAlign w:val="bottom"/>
          </w:tcPr>
          <w:p w:rsidR="00CE7460" w:rsidRPr="003939B5" w:rsidRDefault="00CE7460" w:rsidP="00CE7460">
            <w:pPr>
              <w:pStyle w:val="SingleTxtG"/>
              <w:spacing w:before="40" w:after="40" w:line="220" w:lineRule="exact"/>
              <w:ind w:left="0" w:right="57"/>
              <w:jc w:val="right"/>
              <w:rPr>
                <w:sz w:val="18"/>
              </w:rPr>
            </w:pPr>
            <w:r w:rsidRPr="003939B5">
              <w:rPr>
                <w:sz w:val="18"/>
              </w:rPr>
              <w:t xml:space="preserve"> </w:t>
            </w:r>
          </w:p>
        </w:tc>
        <w:tc>
          <w:tcPr>
            <w:tcW w:w="850" w:type="dxa"/>
            <w:tcBorders>
              <w:top w:val="single" w:sz="4" w:space="0" w:color="auto"/>
              <w:bottom w:val="single" w:sz="4" w:space="0" w:color="auto"/>
            </w:tcBorders>
            <w:shd w:val="clear" w:color="auto" w:fill="auto"/>
            <w:vAlign w:val="bottom"/>
          </w:tcPr>
          <w:p w:rsidR="00CE7460" w:rsidRPr="003939B5" w:rsidRDefault="00CE7460" w:rsidP="00CE7460">
            <w:pPr>
              <w:pStyle w:val="SingleTxtG"/>
              <w:spacing w:before="40" w:after="40" w:line="220" w:lineRule="exact"/>
              <w:ind w:left="0" w:right="57"/>
              <w:jc w:val="right"/>
              <w:rPr>
                <w:sz w:val="18"/>
              </w:rPr>
            </w:pPr>
            <w:r w:rsidRPr="003939B5">
              <w:rPr>
                <w:sz w:val="18"/>
              </w:rPr>
              <w:t xml:space="preserve"> </w:t>
            </w:r>
          </w:p>
        </w:tc>
        <w:tc>
          <w:tcPr>
            <w:tcW w:w="851" w:type="dxa"/>
            <w:tcBorders>
              <w:top w:val="single" w:sz="4" w:space="0" w:color="auto"/>
              <w:bottom w:val="single" w:sz="4" w:space="0" w:color="auto"/>
            </w:tcBorders>
            <w:shd w:val="clear" w:color="auto" w:fill="auto"/>
            <w:vAlign w:val="bottom"/>
          </w:tcPr>
          <w:p w:rsidR="00CE7460" w:rsidRPr="003939B5" w:rsidRDefault="00CE7460" w:rsidP="00CE7460">
            <w:pPr>
              <w:pStyle w:val="SingleTxtG"/>
              <w:spacing w:before="40" w:after="40" w:line="220" w:lineRule="exact"/>
              <w:ind w:left="0" w:right="57"/>
              <w:jc w:val="right"/>
              <w:rPr>
                <w:sz w:val="18"/>
              </w:rPr>
            </w:pPr>
            <w:r w:rsidRPr="003939B5">
              <w:rPr>
                <w:sz w:val="18"/>
              </w:rPr>
              <w:t xml:space="preserve"> </w:t>
            </w:r>
          </w:p>
        </w:tc>
        <w:tc>
          <w:tcPr>
            <w:tcW w:w="849" w:type="dxa"/>
            <w:tcBorders>
              <w:top w:val="single" w:sz="4" w:space="0" w:color="auto"/>
              <w:bottom w:val="single" w:sz="4" w:space="0" w:color="auto"/>
            </w:tcBorders>
            <w:shd w:val="clear" w:color="auto" w:fill="auto"/>
            <w:vAlign w:val="bottom"/>
          </w:tcPr>
          <w:p w:rsidR="00CE7460" w:rsidRPr="003939B5" w:rsidRDefault="00CE7460" w:rsidP="00CE7460">
            <w:pPr>
              <w:pStyle w:val="SingleTxtG"/>
              <w:spacing w:before="40" w:after="40" w:line="220" w:lineRule="exact"/>
              <w:ind w:left="0" w:right="57"/>
              <w:jc w:val="right"/>
              <w:rPr>
                <w:sz w:val="18"/>
              </w:rPr>
            </w:pPr>
            <w:r w:rsidRPr="003939B5">
              <w:rPr>
                <w:sz w:val="18"/>
              </w:rPr>
              <w:t xml:space="preserve"> </w:t>
            </w:r>
          </w:p>
        </w:tc>
      </w:tr>
      <w:tr w:rsidR="00CE7460" w:rsidRPr="00B77308" w:rsidTr="00221F82">
        <w:trPr>
          <w:cantSplit/>
        </w:trPr>
        <w:tc>
          <w:tcPr>
            <w:tcW w:w="3119" w:type="dxa"/>
            <w:tcBorders>
              <w:top w:val="single" w:sz="4" w:space="0" w:color="auto"/>
              <w:bottom w:val="single" w:sz="4" w:space="0" w:color="auto"/>
            </w:tcBorders>
            <w:shd w:val="clear" w:color="auto" w:fill="auto"/>
          </w:tcPr>
          <w:p w:rsidR="00CE7460" w:rsidRPr="00BA1B0A" w:rsidRDefault="00CE7460" w:rsidP="00BA1B0A">
            <w:pPr>
              <w:spacing w:before="80" w:after="80" w:line="220" w:lineRule="exact"/>
              <w:ind w:left="283"/>
              <w:rPr>
                <w:b/>
                <w:sz w:val="18"/>
              </w:rPr>
            </w:pPr>
            <w:r w:rsidRPr="00BA1B0A">
              <w:rPr>
                <w:b/>
                <w:sz w:val="18"/>
              </w:rPr>
              <w:t>Total Appropriation</w:t>
            </w:r>
          </w:p>
        </w:tc>
        <w:tc>
          <w:tcPr>
            <w:tcW w:w="850" w:type="dxa"/>
            <w:tcBorders>
              <w:top w:val="single" w:sz="4" w:space="0" w:color="auto"/>
              <w:bottom w:val="single" w:sz="4" w:space="0" w:color="auto"/>
            </w:tcBorders>
            <w:shd w:val="clear" w:color="auto" w:fill="auto"/>
            <w:vAlign w:val="bottom"/>
          </w:tcPr>
          <w:p w:rsidR="00CE7460" w:rsidRPr="00BA1B0A" w:rsidRDefault="00CE7460" w:rsidP="00BA1B0A">
            <w:pPr>
              <w:pStyle w:val="SingleTxtG"/>
              <w:spacing w:before="80" w:after="80" w:line="220" w:lineRule="exact"/>
              <w:ind w:left="0" w:right="113"/>
              <w:jc w:val="right"/>
              <w:rPr>
                <w:b/>
                <w:sz w:val="18"/>
              </w:rPr>
            </w:pPr>
            <w:r w:rsidRPr="00BA1B0A">
              <w:rPr>
                <w:b/>
                <w:sz w:val="18"/>
              </w:rPr>
              <w:t>13.549</w:t>
            </w:r>
          </w:p>
        </w:tc>
        <w:tc>
          <w:tcPr>
            <w:tcW w:w="851" w:type="dxa"/>
            <w:tcBorders>
              <w:top w:val="single" w:sz="4" w:space="0" w:color="auto"/>
              <w:bottom w:val="single" w:sz="4" w:space="0" w:color="auto"/>
            </w:tcBorders>
            <w:shd w:val="clear" w:color="auto" w:fill="auto"/>
            <w:vAlign w:val="bottom"/>
          </w:tcPr>
          <w:p w:rsidR="00CE7460" w:rsidRPr="00BA1B0A" w:rsidRDefault="00CE7460" w:rsidP="00BA1B0A">
            <w:pPr>
              <w:pStyle w:val="SingleTxtG"/>
              <w:spacing w:before="80" w:after="80" w:line="220" w:lineRule="exact"/>
              <w:ind w:left="0" w:right="113"/>
              <w:jc w:val="right"/>
              <w:rPr>
                <w:b/>
                <w:sz w:val="18"/>
              </w:rPr>
            </w:pPr>
            <w:r w:rsidRPr="00BA1B0A">
              <w:rPr>
                <w:b/>
                <w:sz w:val="18"/>
              </w:rPr>
              <w:t>13.866</w:t>
            </w:r>
          </w:p>
        </w:tc>
        <w:tc>
          <w:tcPr>
            <w:tcW w:w="850" w:type="dxa"/>
            <w:tcBorders>
              <w:top w:val="single" w:sz="4" w:space="0" w:color="auto"/>
              <w:bottom w:val="single" w:sz="4" w:space="0" w:color="auto"/>
            </w:tcBorders>
            <w:shd w:val="clear" w:color="auto" w:fill="auto"/>
            <w:vAlign w:val="bottom"/>
          </w:tcPr>
          <w:p w:rsidR="00CE7460" w:rsidRPr="00BA1B0A" w:rsidRDefault="00CE7460" w:rsidP="00BA1B0A">
            <w:pPr>
              <w:pStyle w:val="SingleTxtG"/>
              <w:spacing w:before="80" w:after="80" w:line="220" w:lineRule="exact"/>
              <w:ind w:left="0" w:right="113"/>
              <w:jc w:val="right"/>
              <w:rPr>
                <w:b/>
                <w:sz w:val="18"/>
              </w:rPr>
            </w:pPr>
            <w:r w:rsidRPr="00BA1B0A">
              <w:rPr>
                <w:b/>
                <w:sz w:val="18"/>
              </w:rPr>
              <w:t>14.387</w:t>
            </w:r>
          </w:p>
        </w:tc>
        <w:tc>
          <w:tcPr>
            <w:tcW w:w="851" w:type="dxa"/>
            <w:tcBorders>
              <w:top w:val="single" w:sz="4" w:space="0" w:color="auto"/>
              <w:bottom w:val="single" w:sz="4" w:space="0" w:color="auto"/>
            </w:tcBorders>
            <w:shd w:val="clear" w:color="auto" w:fill="auto"/>
            <w:vAlign w:val="bottom"/>
          </w:tcPr>
          <w:p w:rsidR="00CE7460" w:rsidRPr="00BA1B0A" w:rsidRDefault="00CE7460" w:rsidP="00BA1B0A">
            <w:pPr>
              <w:pStyle w:val="SingleTxtG"/>
              <w:spacing w:before="80" w:after="80" w:line="220" w:lineRule="exact"/>
              <w:ind w:left="0" w:right="113"/>
              <w:jc w:val="right"/>
              <w:rPr>
                <w:b/>
                <w:sz w:val="18"/>
              </w:rPr>
            </w:pPr>
            <w:r w:rsidRPr="00BA1B0A">
              <w:rPr>
                <w:b/>
                <w:sz w:val="18"/>
              </w:rPr>
              <w:t>15.034</w:t>
            </w:r>
          </w:p>
        </w:tc>
        <w:tc>
          <w:tcPr>
            <w:tcW w:w="849" w:type="dxa"/>
            <w:tcBorders>
              <w:top w:val="single" w:sz="4" w:space="0" w:color="auto"/>
              <w:bottom w:val="single" w:sz="4" w:space="0" w:color="auto"/>
            </w:tcBorders>
            <w:shd w:val="clear" w:color="auto" w:fill="auto"/>
            <w:vAlign w:val="bottom"/>
          </w:tcPr>
          <w:p w:rsidR="00CE7460" w:rsidRPr="00BA1B0A" w:rsidRDefault="00CE7460" w:rsidP="00BA1B0A">
            <w:pPr>
              <w:pStyle w:val="SingleTxtG"/>
              <w:spacing w:before="80" w:after="80" w:line="220" w:lineRule="exact"/>
              <w:ind w:left="0" w:right="113"/>
              <w:jc w:val="right"/>
              <w:rPr>
                <w:b/>
                <w:sz w:val="18"/>
              </w:rPr>
            </w:pPr>
            <w:r w:rsidRPr="00BA1B0A">
              <w:rPr>
                <w:b/>
                <w:sz w:val="18"/>
              </w:rPr>
              <w:t>15.407</w:t>
            </w:r>
          </w:p>
        </w:tc>
      </w:tr>
      <w:tr w:rsidR="00CE7460" w:rsidRPr="00B77308" w:rsidTr="00221F82">
        <w:trPr>
          <w:cantSplit/>
        </w:trPr>
        <w:tc>
          <w:tcPr>
            <w:tcW w:w="3119" w:type="dxa"/>
            <w:tcBorders>
              <w:top w:val="single" w:sz="4" w:space="0" w:color="auto"/>
              <w:bottom w:val="single" w:sz="12" w:space="0" w:color="auto"/>
            </w:tcBorders>
            <w:shd w:val="clear" w:color="auto" w:fill="auto"/>
          </w:tcPr>
          <w:p w:rsidR="00CE7460" w:rsidRPr="00BA1B0A" w:rsidRDefault="00CE7460" w:rsidP="00BA1B0A">
            <w:pPr>
              <w:spacing w:before="80" w:after="80" w:line="220" w:lineRule="exact"/>
              <w:ind w:left="283"/>
              <w:rPr>
                <w:b/>
                <w:sz w:val="18"/>
              </w:rPr>
            </w:pPr>
            <w:r w:rsidRPr="00BA1B0A">
              <w:rPr>
                <w:b/>
                <w:sz w:val="18"/>
              </w:rPr>
              <w:t>Total Spend Relevant to ICESCR ($billions)</w:t>
            </w:r>
          </w:p>
        </w:tc>
        <w:tc>
          <w:tcPr>
            <w:tcW w:w="850" w:type="dxa"/>
            <w:tcBorders>
              <w:top w:val="single" w:sz="4" w:space="0" w:color="auto"/>
              <w:bottom w:val="single" w:sz="12" w:space="0" w:color="auto"/>
            </w:tcBorders>
            <w:shd w:val="clear" w:color="auto" w:fill="auto"/>
            <w:vAlign w:val="bottom"/>
          </w:tcPr>
          <w:p w:rsidR="00CE7460" w:rsidRPr="00BA1B0A" w:rsidRDefault="00CE7460" w:rsidP="00BA1B0A">
            <w:pPr>
              <w:pStyle w:val="SingleTxtG"/>
              <w:spacing w:before="80" w:after="80" w:line="220" w:lineRule="exact"/>
              <w:ind w:left="0" w:right="113"/>
              <w:jc w:val="right"/>
              <w:rPr>
                <w:b/>
                <w:sz w:val="18"/>
              </w:rPr>
            </w:pPr>
            <w:r w:rsidRPr="00BA1B0A">
              <w:rPr>
                <w:b/>
                <w:sz w:val="18"/>
              </w:rPr>
              <w:t>40.556</w:t>
            </w:r>
          </w:p>
        </w:tc>
        <w:tc>
          <w:tcPr>
            <w:tcW w:w="851" w:type="dxa"/>
            <w:tcBorders>
              <w:top w:val="single" w:sz="4" w:space="0" w:color="auto"/>
              <w:bottom w:val="single" w:sz="12" w:space="0" w:color="auto"/>
            </w:tcBorders>
            <w:shd w:val="clear" w:color="auto" w:fill="auto"/>
            <w:vAlign w:val="bottom"/>
          </w:tcPr>
          <w:p w:rsidR="00CE7460" w:rsidRPr="00BA1B0A" w:rsidRDefault="00CE7460" w:rsidP="00BA1B0A">
            <w:pPr>
              <w:pStyle w:val="SingleTxtG"/>
              <w:spacing w:before="80" w:after="80" w:line="220" w:lineRule="exact"/>
              <w:ind w:left="0" w:right="113"/>
              <w:jc w:val="right"/>
              <w:rPr>
                <w:b/>
                <w:sz w:val="18"/>
              </w:rPr>
            </w:pPr>
            <w:r w:rsidRPr="00BA1B0A">
              <w:rPr>
                <w:b/>
                <w:sz w:val="18"/>
              </w:rPr>
              <w:t>41.773</w:t>
            </w:r>
          </w:p>
        </w:tc>
        <w:tc>
          <w:tcPr>
            <w:tcW w:w="850" w:type="dxa"/>
            <w:tcBorders>
              <w:top w:val="single" w:sz="4" w:space="0" w:color="auto"/>
              <w:bottom w:val="single" w:sz="12" w:space="0" w:color="auto"/>
            </w:tcBorders>
            <w:shd w:val="clear" w:color="auto" w:fill="auto"/>
            <w:vAlign w:val="bottom"/>
          </w:tcPr>
          <w:p w:rsidR="00CE7460" w:rsidRPr="00BA1B0A" w:rsidRDefault="00CE7460" w:rsidP="00BA1B0A">
            <w:pPr>
              <w:pStyle w:val="SingleTxtG"/>
              <w:spacing w:before="80" w:after="80" w:line="220" w:lineRule="exact"/>
              <w:ind w:left="0" w:right="113"/>
              <w:jc w:val="right"/>
              <w:rPr>
                <w:b/>
                <w:sz w:val="18"/>
              </w:rPr>
            </w:pPr>
            <w:r w:rsidRPr="00BA1B0A">
              <w:rPr>
                <w:b/>
                <w:sz w:val="18"/>
              </w:rPr>
              <w:t>43.066</w:t>
            </w:r>
          </w:p>
        </w:tc>
        <w:tc>
          <w:tcPr>
            <w:tcW w:w="851" w:type="dxa"/>
            <w:tcBorders>
              <w:top w:val="single" w:sz="4" w:space="0" w:color="auto"/>
              <w:bottom w:val="single" w:sz="12" w:space="0" w:color="auto"/>
            </w:tcBorders>
            <w:shd w:val="clear" w:color="auto" w:fill="auto"/>
            <w:vAlign w:val="bottom"/>
          </w:tcPr>
          <w:p w:rsidR="00CE7460" w:rsidRPr="00BA1B0A" w:rsidRDefault="00CE7460" w:rsidP="00BA1B0A">
            <w:pPr>
              <w:pStyle w:val="SingleTxtG"/>
              <w:spacing w:before="80" w:after="80" w:line="220" w:lineRule="exact"/>
              <w:ind w:left="0" w:right="113"/>
              <w:jc w:val="right"/>
              <w:rPr>
                <w:b/>
                <w:sz w:val="18"/>
              </w:rPr>
            </w:pPr>
            <w:r w:rsidRPr="00BA1B0A">
              <w:rPr>
                <w:b/>
                <w:sz w:val="18"/>
              </w:rPr>
              <w:t>44.966</w:t>
            </w:r>
          </w:p>
        </w:tc>
        <w:tc>
          <w:tcPr>
            <w:tcW w:w="849" w:type="dxa"/>
            <w:tcBorders>
              <w:top w:val="single" w:sz="4" w:space="0" w:color="auto"/>
              <w:bottom w:val="single" w:sz="12" w:space="0" w:color="auto"/>
            </w:tcBorders>
            <w:shd w:val="clear" w:color="auto" w:fill="auto"/>
            <w:vAlign w:val="bottom"/>
          </w:tcPr>
          <w:p w:rsidR="00CE7460" w:rsidRPr="00BA1B0A" w:rsidRDefault="00CE7460" w:rsidP="00BA1B0A">
            <w:pPr>
              <w:pStyle w:val="SingleTxtG"/>
              <w:spacing w:before="80" w:after="80" w:line="220" w:lineRule="exact"/>
              <w:ind w:left="0" w:right="113"/>
              <w:jc w:val="right"/>
              <w:rPr>
                <w:b/>
                <w:sz w:val="18"/>
              </w:rPr>
            </w:pPr>
            <w:r w:rsidRPr="00BA1B0A">
              <w:rPr>
                <w:b/>
                <w:sz w:val="18"/>
              </w:rPr>
              <w:t>46.469</w:t>
            </w:r>
          </w:p>
        </w:tc>
      </w:tr>
    </w:tbl>
    <w:p w:rsidR="00C9789E" w:rsidRPr="00F62F1C" w:rsidRDefault="00C9789E" w:rsidP="003939B5">
      <w:pPr>
        <w:pStyle w:val="H23G"/>
      </w:pPr>
      <w:r w:rsidRPr="00F62F1C">
        <w:tab/>
      </w:r>
      <w:r w:rsidRPr="00F62F1C">
        <w:tab/>
        <w:t>New initiatives to address inequalities</w:t>
      </w:r>
    </w:p>
    <w:p w:rsidR="00C9789E" w:rsidRPr="00F62F1C" w:rsidRDefault="00C9789E" w:rsidP="00706221">
      <w:pPr>
        <w:pStyle w:val="SingleTxtG"/>
      </w:pPr>
      <w:r w:rsidRPr="00F62F1C">
        <w:t>102.</w:t>
      </w:r>
      <w:r w:rsidRPr="00F62F1C">
        <w:tab/>
        <w:t>As part of Budget 2016, a social investment package was designed to help the most at-risk New Zealanders lead better lives.</w:t>
      </w:r>
      <w:r w:rsidR="0023775B">
        <w:t xml:space="preserve"> </w:t>
      </w:r>
      <w:r w:rsidRPr="00F62F1C">
        <w:t xml:space="preserve">The package, which provided $641.6 million of operating funding over four years and $10.5 million of capital, included additional support for vulnerable children as well as initiatives in corrections, education and health. These </w:t>
      </w:r>
      <w:r w:rsidRPr="00F62F1C">
        <w:lastRenderedPageBreak/>
        <w:t>initiatives put the needs of our most vulnerable children and families at the centre of decisions on planning, programmes and resourcing.</w:t>
      </w:r>
    </w:p>
    <w:p w:rsidR="00C9789E" w:rsidRPr="00F62F1C" w:rsidRDefault="00C9789E" w:rsidP="00706221">
      <w:pPr>
        <w:pStyle w:val="SingleTxtG"/>
      </w:pPr>
      <w:r w:rsidRPr="00F62F1C">
        <w:t>103.</w:t>
      </w:r>
      <w:r w:rsidRPr="00F62F1C">
        <w:tab/>
        <w:t>Appropriations relevant to the Covenant such as employment support, superannuation, main benefits, education and health have been increasing in the last five years.</w:t>
      </w:r>
      <w:r w:rsidR="0023775B">
        <w:t xml:space="preserve"> </w:t>
      </w:r>
      <w:r w:rsidRPr="00F62F1C">
        <w:t>The consolidated spend for these appropriations from 2011/2012 to 2015/2016 totals over $216 billion.</w:t>
      </w:r>
    </w:p>
    <w:p w:rsidR="00C9789E" w:rsidRPr="00F62F1C" w:rsidRDefault="00C9789E" w:rsidP="0007643D">
      <w:pPr>
        <w:pStyle w:val="H23G"/>
      </w:pPr>
      <w:r w:rsidRPr="00F62F1C">
        <w:tab/>
      </w:r>
      <w:r w:rsidRPr="00F62F1C">
        <w:tab/>
        <w:t>Measures to ensure private companies respect the Covenant rights</w:t>
      </w:r>
    </w:p>
    <w:p w:rsidR="00C9789E" w:rsidRPr="00F62F1C" w:rsidRDefault="00C9789E" w:rsidP="00706221">
      <w:pPr>
        <w:pStyle w:val="SingleTxtG"/>
      </w:pPr>
      <w:r w:rsidRPr="00F62F1C">
        <w:t>104.</w:t>
      </w:r>
      <w:r w:rsidRPr="00F62F1C">
        <w:tab/>
        <w:t>Private companies must observe New Zealand domestic laws in their operations. These include the provisions of the Human Rights Act and provisions of the Employment Relations Act 2000 (ER Act).</w:t>
      </w:r>
      <w:r w:rsidR="0023775B">
        <w:t xml:space="preserve"> </w:t>
      </w:r>
      <w:r w:rsidRPr="00F62F1C">
        <w:t>Other employment statutes also contain rights and entitlements relevant to the Covenant</w:t>
      </w:r>
      <w:r w:rsidR="001F5C90">
        <w:t xml:space="preserve"> — </w:t>
      </w:r>
      <w:r w:rsidRPr="00F62F1C">
        <w:t xml:space="preserve">for example equal pay and paid parental leave. The ER Act provides for the enforcement of employment rights including labour inspection and enforcement, mediation and adjudication, as well as specific penalties for breaches. </w:t>
      </w:r>
    </w:p>
    <w:p w:rsidR="00C9789E" w:rsidRPr="00F62F1C" w:rsidRDefault="00C9789E" w:rsidP="00706221">
      <w:pPr>
        <w:pStyle w:val="SingleTxtG"/>
      </w:pPr>
      <w:r w:rsidRPr="00F62F1C">
        <w:t>105.</w:t>
      </w:r>
      <w:r w:rsidRPr="00F62F1C">
        <w:tab/>
        <w:t>The Health and Safety at Work Act 2015 (HSW Act) holds private companies liable within New Zealand and its Exclusive Economic Zone (EEZ). The HSW Act was enacted partly to respond to concerns over the treatment of crew members on Foreign Charter Vessels and to extend coverage of New Zealand</w:t>
      </w:r>
      <w:r w:rsidR="00D34D95">
        <w:t>’</w:t>
      </w:r>
      <w:r w:rsidRPr="00F62F1C">
        <w:t xml:space="preserve">s health and safety legislation to the EEZ. </w:t>
      </w:r>
    </w:p>
    <w:p w:rsidR="00C9789E" w:rsidRPr="00F62F1C" w:rsidRDefault="00C9789E" w:rsidP="00706221">
      <w:pPr>
        <w:pStyle w:val="SingleTxtG"/>
      </w:pPr>
      <w:r w:rsidRPr="00F62F1C">
        <w:t>106.</w:t>
      </w:r>
      <w:r w:rsidRPr="00F62F1C">
        <w:tab/>
        <w:t>The HSW Act explicitly protects a worker</w:t>
      </w:r>
      <w:r w:rsidR="00D34D95">
        <w:t>’</w:t>
      </w:r>
      <w:r w:rsidRPr="00F62F1C">
        <w:t>s right to cease or refuse to carry out unsafe work, as well as a health and safety representative</w:t>
      </w:r>
      <w:r w:rsidR="00D34D95">
        <w:t>’</w:t>
      </w:r>
      <w:r w:rsidRPr="00F62F1C">
        <w:t>s right to direct that unsafe work cease in a workplace. If a person violates this or other workers</w:t>
      </w:r>
      <w:r w:rsidR="00D34D95">
        <w:t>’</w:t>
      </w:r>
      <w:r w:rsidRPr="00F62F1C">
        <w:t xml:space="preserve"> rights under the Act, they will be held liable via specific penalties for breaches of the Act that are enforceable by the New Zealand courts. </w:t>
      </w:r>
    </w:p>
    <w:p w:rsidR="00C9789E" w:rsidRPr="00F62F1C" w:rsidRDefault="00C9789E" w:rsidP="00706221">
      <w:pPr>
        <w:pStyle w:val="SingleTxtG"/>
      </w:pPr>
      <w:r w:rsidRPr="00F62F1C">
        <w:t>107.</w:t>
      </w:r>
      <w:r w:rsidRPr="00F62F1C">
        <w:tab/>
        <w:t>The Fisheries (Foreign Charter Vessels and Other Matters) Amendment Act 2014 requires all foreign-owned fishing vessels operating in New Zealand waters to be reflagged to New Zealand from 1 May 2016. This will mean that New Zealand will have jurisdiction over areas like employment and labour conditions on all vessels fishing in New Zealand</w:t>
      </w:r>
      <w:r w:rsidR="00D34D95">
        <w:t>’</w:t>
      </w:r>
      <w:r w:rsidRPr="00F62F1C">
        <w:t xml:space="preserve">s EEZ, to ensure fair standards for all fishing crews working in our waters. </w:t>
      </w:r>
    </w:p>
    <w:p w:rsidR="00C9789E" w:rsidRPr="00F62F1C" w:rsidRDefault="00C9789E" w:rsidP="00706221">
      <w:pPr>
        <w:pStyle w:val="SingleTxtG"/>
      </w:pPr>
      <w:r w:rsidRPr="00F62F1C">
        <w:t>108.</w:t>
      </w:r>
      <w:r w:rsidRPr="00F62F1C">
        <w:tab/>
        <w:t>The Government has also implemented a range of measures to strengthen monitoring and enforcement of New Zealand</w:t>
      </w:r>
      <w:r w:rsidR="00D34D95">
        <w:t>’</w:t>
      </w:r>
      <w:r w:rsidRPr="00F62F1C">
        <w:t xml:space="preserve">s fishing and labour standards. For </w:t>
      </w:r>
      <w:proofErr w:type="gramStart"/>
      <w:r w:rsidRPr="00F62F1C">
        <w:t>example</w:t>
      </w:r>
      <w:proofErr w:type="gramEnd"/>
      <w:r w:rsidRPr="00F62F1C">
        <w:t xml:space="preserve"> there are now observers on all Foreign Charter Vessels, and the Government is using a specialised auditing company to carry out independent audits of Foreign Charter Vessels to ensure crew visa requirements, including wages, are adhered to.</w:t>
      </w:r>
    </w:p>
    <w:p w:rsidR="00C9789E" w:rsidRPr="00F62F1C" w:rsidRDefault="00C9789E" w:rsidP="00706221">
      <w:pPr>
        <w:pStyle w:val="SingleTxtG"/>
      </w:pPr>
      <w:r w:rsidRPr="00F62F1C">
        <w:t>109.</w:t>
      </w:r>
      <w:r w:rsidRPr="00F62F1C">
        <w:tab/>
        <w:t>The Immigration Amendment Act 2015 makes it an offence to exploit temporary migrant workers. Previously, it was only an offence to exploit unlawful workers.</w:t>
      </w:r>
      <w:r w:rsidR="0023775B">
        <w:t xml:space="preserve"> </w:t>
      </w:r>
      <w:r w:rsidRPr="00F62F1C">
        <w:t>Employers who exploit temporary workers face a jail sentence of up to seven years, a fine not exceeding $100,000, or both.</w:t>
      </w:r>
      <w:r w:rsidR="0023775B">
        <w:t xml:space="preserve"> </w:t>
      </w:r>
      <w:r w:rsidRPr="00F62F1C">
        <w:t>The Act also created a new offence for employers who exploit legal temporary or unlawful workers and are reckless as to their immigration status.</w:t>
      </w:r>
      <w:r w:rsidR="0023775B">
        <w:t xml:space="preserve"> </w:t>
      </w:r>
      <w:r w:rsidRPr="00F62F1C">
        <w:t>This offence carries a jail sentence of up to five years, a fine not exceeding $100,000, or both. In addition, exploitative employers who hold residence visas will also be liable for deportation if the offence was committed within 10 years of gaining residence.</w:t>
      </w:r>
    </w:p>
    <w:p w:rsidR="00C9789E" w:rsidRPr="00F62F1C" w:rsidRDefault="00C9789E" w:rsidP="00706221">
      <w:pPr>
        <w:pStyle w:val="SingleTxtG"/>
      </w:pPr>
      <w:r w:rsidRPr="00F62F1C">
        <w:t>110.</w:t>
      </w:r>
      <w:r w:rsidRPr="00F62F1C">
        <w:tab/>
        <w:t xml:space="preserve">The Government has several policies and programmes to hold private companies liable for violating the economic, social and cultural rights of migrants and victims of trafficking. </w:t>
      </w:r>
    </w:p>
    <w:p w:rsidR="00C9789E" w:rsidRPr="00F62F1C" w:rsidRDefault="00C9789E" w:rsidP="00706221">
      <w:pPr>
        <w:pStyle w:val="SingleTxtG"/>
      </w:pPr>
      <w:r w:rsidRPr="00F62F1C">
        <w:tab/>
        <w:t>(a)</w:t>
      </w:r>
      <w:r w:rsidRPr="00F62F1C">
        <w:tab/>
        <w:t>The Government has made changes to Immigration Instructions to help encourage migrants who have been subject to workplace exploitation to come forward and hold those responsible accountable.</w:t>
      </w:r>
    </w:p>
    <w:p w:rsidR="00C9789E" w:rsidRPr="00F62F1C" w:rsidRDefault="00C9789E" w:rsidP="00706221">
      <w:pPr>
        <w:pStyle w:val="SingleTxtG"/>
      </w:pPr>
      <w:r w:rsidRPr="00F62F1C">
        <w:tab/>
        <w:t>(b)</w:t>
      </w:r>
      <w:r w:rsidRPr="00F62F1C">
        <w:tab/>
        <w:t>The Government is working closely with non-government organisations likely to deal with potential victims of trafficking to ensure a joined-up approach to victim identification and support.</w:t>
      </w:r>
      <w:r w:rsidR="0023775B">
        <w:t xml:space="preserve"> </w:t>
      </w:r>
      <w:r w:rsidRPr="00F62F1C">
        <w:t>This partnership approach recognises the important role that our communities play and the value of government and non-government collaboration.</w:t>
      </w:r>
    </w:p>
    <w:p w:rsidR="00C9789E" w:rsidRPr="00F62F1C" w:rsidRDefault="00C9789E" w:rsidP="00706221">
      <w:pPr>
        <w:pStyle w:val="SingleTxtG"/>
      </w:pPr>
      <w:r w:rsidRPr="00F62F1C">
        <w:tab/>
        <w:t>(c)</w:t>
      </w:r>
      <w:r w:rsidRPr="00F62F1C">
        <w:tab/>
        <w:t>The Government has developed a specific Victims of Trafficking Immigration Policy to assist identified victims, which allows them to remain in New Zealand lawfully, so removing the fear of deportation.</w:t>
      </w:r>
    </w:p>
    <w:p w:rsidR="00C9789E" w:rsidRPr="00F62F1C" w:rsidRDefault="00C9789E" w:rsidP="00706221">
      <w:pPr>
        <w:pStyle w:val="SingleTxtG"/>
      </w:pPr>
      <w:r w:rsidRPr="00F62F1C">
        <w:lastRenderedPageBreak/>
        <w:tab/>
        <w:t>(d)</w:t>
      </w:r>
      <w:r w:rsidRPr="00F62F1C">
        <w:tab/>
        <w:t>The sex industry and labour in the horticulture/viticulture industries have been identified as high risk sectors for trafficking in the New Zealand context. The Government has a role in educating employers to ensure they are aware of their legal responsibilities and undertakes enforcement activities in these industries to ensure compliance with this and other Acts. In addition, these industries are regulated via policy and legislation that allow transparency and access to these industries by government officials who are, therefore, well placed to detect any trafficking activity.</w:t>
      </w:r>
    </w:p>
    <w:p w:rsidR="00C9789E" w:rsidRPr="00F62F1C" w:rsidRDefault="00C9789E" w:rsidP="00706221">
      <w:pPr>
        <w:pStyle w:val="SingleTxtG"/>
      </w:pPr>
      <w:r w:rsidRPr="00F62F1C">
        <w:tab/>
        <w:t>(e)</w:t>
      </w:r>
      <w:r w:rsidRPr="00F62F1C">
        <w:tab/>
        <w:t>Government agencies are paying particular attention to the Canterbury region, where there has been an influx of migrant workers to assist with the post-earthquake rebuild.</w:t>
      </w:r>
      <w:r w:rsidR="0023775B">
        <w:t xml:space="preserve"> </w:t>
      </w:r>
      <w:r w:rsidRPr="00F62F1C">
        <w:t>The focus is primarily on identification and prevention of labour exploitation and the Government has committed extra resources to boost the number of labour inspectors and immigration officers dealing with the Canterbury rebuild.</w:t>
      </w:r>
    </w:p>
    <w:p w:rsidR="00C9789E" w:rsidRPr="00F62F1C" w:rsidRDefault="00C9789E" w:rsidP="00706221">
      <w:pPr>
        <w:pStyle w:val="SingleTxtG"/>
      </w:pPr>
      <w:r w:rsidRPr="00F62F1C">
        <w:tab/>
        <w:t>(f)</w:t>
      </w:r>
      <w:r w:rsidRPr="00F62F1C">
        <w:tab/>
        <w:t>There is also a significant amount of work going on to educate and empower migrant workers and their employers to understand and act on their rights and obligations.</w:t>
      </w:r>
      <w:r w:rsidR="0023775B">
        <w:t xml:space="preserve"> </w:t>
      </w:r>
      <w:r w:rsidRPr="00F62F1C">
        <w:t>Immigration New Zealand</w:t>
      </w:r>
      <w:r w:rsidR="00D34D95">
        <w:t>’</w:t>
      </w:r>
      <w:r w:rsidRPr="00F62F1C">
        <w:t>s Settlement Unit has developed specialist guides for migrant workers and employers in the aged care sector, the dairy and construction sectors, and for Pacific communities. The resources include information on minimum employment rights, health and safety, improving workplace communications and where to go for further settlement support.</w:t>
      </w:r>
    </w:p>
    <w:p w:rsidR="00C9789E" w:rsidRPr="00F62F1C" w:rsidRDefault="00C9789E" w:rsidP="0007643D">
      <w:pPr>
        <w:pStyle w:val="H23G"/>
      </w:pPr>
      <w:r w:rsidRPr="00F62F1C">
        <w:tab/>
      </w:r>
      <w:r w:rsidRPr="00F62F1C">
        <w:tab/>
        <w:t>Migrant Exploitation Prevention Strategy 2015-2018</w:t>
      </w:r>
    </w:p>
    <w:p w:rsidR="00C9789E" w:rsidRPr="00F62F1C" w:rsidRDefault="00C9789E" w:rsidP="00706221">
      <w:pPr>
        <w:pStyle w:val="SingleTxtG"/>
      </w:pPr>
      <w:r w:rsidRPr="00F62F1C">
        <w:t>111.</w:t>
      </w:r>
      <w:r w:rsidRPr="00F62F1C">
        <w:tab/>
        <w:t>The Government</w:t>
      </w:r>
      <w:r w:rsidR="00D34D95">
        <w:t>’</w:t>
      </w:r>
      <w:r w:rsidRPr="00F62F1C">
        <w:t>s Migrant Exploitation Prevention Strategy 2015-2018 aims to support the integrity of New Zealand</w:t>
      </w:r>
      <w:r w:rsidR="00D34D95">
        <w:t>’</w:t>
      </w:r>
      <w:r w:rsidRPr="00F62F1C">
        <w:t xml:space="preserve">s labour market by ensuring migrant workers are treated fairly. Interventions supporting Strategy outcomes include providing effective education to migrant employees and their employers (including private companies) via communication campaigns and targeted employment guides. </w:t>
      </w:r>
    </w:p>
    <w:p w:rsidR="00C9789E" w:rsidRPr="00F62F1C" w:rsidRDefault="00C9789E" w:rsidP="00706221">
      <w:pPr>
        <w:pStyle w:val="SingleTxtG"/>
      </w:pPr>
      <w:r w:rsidRPr="00F62F1C">
        <w:t>112.</w:t>
      </w:r>
      <w:r w:rsidRPr="00F62F1C">
        <w:tab/>
        <w:t>The Government liaises with NGOs and community representatives / associations to ensure victims of migrant exploitation through forced labour and other means receive support and guidance. The Government invests in activities that increase the likelihood of non-compliant employers being held accountable by improving the ability to detect, investigate and effectively prosecute employers who engage in migrant exploitation and the supply chains of which they are a part.</w:t>
      </w:r>
      <w:r w:rsidR="0023775B">
        <w:t xml:space="preserve"> </w:t>
      </w:r>
      <w:r w:rsidRPr="00F62F1C">
        <w:t>This includes developing Sector Strategies and proactive, intelligence-led targeting of employers who exploit migrants.</w:t>
      </w:r>
    </w:p>
    <w:p w:rsidR="00C9789E" w:rsidRPr="00F62F1C" w:rsidRDefault="00C9789E" w:rsidP="0007643D">
      <w:pPr>
        <w:pStyle w:val="H4G"/>
      </w:pPr>
      <w:r w:rsidRPr="00F62F1C">
        <w:tab/>
      </w:r>
      <w:r w:rsidRPr="00F62F1C">
        <w:tab/>
        <w:t>Remedies available for victims of violations of Covenant rights by private companies</w:t>
      </w:r>
    </w:p>
    <w:p w:rsidR="00C9789E" w:rsidRPr="00F62F1C" w:rsidRDefault="00C9789E" w:rsidP="00706221">
      <w:pPr>
        <w:pStyle w:val="SingleTxtG"/>
      </w:pPr>
      <w:r w:rsidRPr="00F62F1C">
        <w:t>113.</w:t>
      </w:r>
      <w:r w:rsidRPr="00F62F1C">
        <w:tab/>
        <w:t xml:space="preserve">New Zealand is a party to the OECD Guidelines for Multinational Enterprises. The Guidelines require adhering governments, through specific national Contact Points to contribute to the resolution of any issues that arise relating to their implementation in </w:t>
      </w:r>
      <w:r w:rsidR="000308B0">
        <w:t>“</w:t>
      </w:r>
      <w:r w:rsidRPr="00F62F1C">
        <w:t>specific instances</w:t>
      </w:r>
      <w:r w:rsidR="000308B0">
        <w:t>”</w:t>
      </w:r>
      <w:r w:rsidRPr="00F62F1C">
        <w:t>.</w:t>
      </w:r>
      <w:r w:rsidR="0023775B">
        <w:t xml:space="preserve"> </w:t>
      </w:r>
      <w:r w:rsidRPr="00F62F1C">
        <w:t>Complaints can be made by interested or affected parties that the activities of a Multinational Enterprises are contrary to the provisions of the Guidelines.</w:t>
      </w:r>
      <w:r w:rsidR="0023775B">
        <w:t xml:space="preserve"> </w:t>
      </w:r>
      <w:r w:rsidRPr="00F62F1C">
        <w:t xml:space="preserve">In such cases, the role of governments is to investigate and assess any such allegations and, where substantive issues are identified, to attempt to facilitate dialogue between the parties in an effort to resolve the issues raised. </w:t>
      </w:r>
    </w:p>
    <w:p w:rsidR="00C9789E" w:rsidRPr="00F62F1C" w:rsidRDefault="00C9789E" w:rsidP="0007643D">
      <w:pPr>
        <w:pStyle w:val="H1G"/>
      </w:pPr>
      <w:r w:rsidRPr="00F62F1C">
        <w:tab/>
      </w:r>
      <w:bookmarkStart w:id="25" w:name="_Toc494359760"/>
      <w:r w:rsidRPr="00F62F1C">
        <w:t>C.</w:t>
      </w:r>
      <w:r w:rsidRPr="00F62F1C">
        <w:tab/>
        <w:t>Article 2 (2)</w:t>
      </w:r>
      <w:r w:rsidR="001F5C90">
        <w:t xml:space="preserve"> — </w:t>
      </w:r>
      <w:r w:rsidRPr="00F62F1C">
        <w:t>Non-discrimination</w:t>
      </w:r>
      <w:bookmarkEnd w:id="25"/>
    </w:p>
    <w:p w:rsidR="00C9789E" w:rsidRPr="00F62F1C" w:rsidRDefault="00C9789E" w:rsidP="00706221">
      <w:pPr>
        <w:pStyle w:val="SingleTxtG"/>
      </w:pPr>
      <w:r w:rsidRPr="00F62F1C">
        <w:t>114.</w:t>
      </w:r>
      <w:r w:rsidRPr="00F62F1C">
        <w:tab/>
        <w:t xml:space="preserve">The 2013 Disability Survey: Social and economic outcomes for disabled people shows that, on average, disabled people experience poorer economic and social outcomes across their life course than non-disabled people. </w:t>
      </w:r>
    </w:p>
    <w:p w:rsidR="00C9789E" w:rsidRPr="00F62F1C" w:rsidRDefault="00C9789E" w:rsidP="00706221">
      <w:pPr>
        <w:pStyle w:val="SingleTxtG"/>
      </w:pPr>
      <w:r w:rsidRPr="00F62F1C">
        <w:t>115.</w:t>
      </w:r>
      <w:r w:rsidRPr="00F62F1C">
        <w:tab/>
        <w:t xml:space="preserve">Disabled adults have lower incomes than non-disabled adults and are less likely to be employed. Forty-five percent of disabled adults are in employment compared with 72 percent of non-disabled adults. Disabled people are less likely to hold a formal qualification, with 67 percent holding a school or tertiary qualification. This compares with 85 percent of non-disabled adults. Disabled people are also far less likely to say they had </w:t>
      </w:r>
      <w:r w:rsidRPr="00F62F1C">
        <w:lastRenderedPageBreak/>
        <w:t>very good or excellent health (10 percent of disabled people compared with 33 percent of non-disabled people).</w:t>
      </w:r>
    </w:p>
    <w:p w:rsidR="00C9789E" w:rsidRPr="00F62F1C" w:rsidRDefault="00C9789E" w:rsidP="0007643D">
      <w:pPr>
        <w:pStyle w:val="H23G"/>
      </w:pPr>
      <w:r w:rsidRPr="00F62F1C">
        <w:tab/>
      </w:r>
      <w:r w:rsidRPr="00F62F1C">
        <w:tab/>
        <w:t>The New Zealand Disability Strategy 2016-2026</w:t>
      </w:r>
    </w:p>
    <w:p w:rsidR="00C9789E" w:rsidRPr="00F62F1C" w:rsidRDefault="00C9789E" w:rsidP="00706221">
      <w:pPr>
        <w:pStyle w:val="SingleTxtG"/>
      </w:pPr>
      <w:r w:rsidRPr="00F62F1C">
        <w:t>116.</w:t>
      </w:r>
      <w:r w:rsidRPr="00F62F1C">
        <w:tab/>
        <w:t>In November 2016, the Government released the updated New Zealand Disability Strategy 2016-2026 (Strategy). The Strategy will guide the work of government agencies on disability issues for the next ten years.</w:t>
      </w:r>
      <w:r w:rsidR="0023775B">
        <w:t xml:space="preserve"> </w:t>
      </w:r>
      <w:r w:rsidRPr="00F62F1C">
        <w:t>It supports the implementation of our obligations under the United Nations Convention of the Rights of Persons with Disabilities in the New Zealand context. The Strategy was co-designed by disabled people and government officials through an extensive consultation process. The vision of the Strategy will be achieved through eight outcome areas:</w:t>
      </w:r>
      <w:r w:rsidR="0023775B">
        <w:t xml:space="preserve"> </w:t>
      </w:r>
      <w:r w:rsidRPr="00F62F1C">
        <w:t xml:space="preserve">Education, Employment and Economic Security, Health and Wellbeing, Rights, Protection and Justice, Accessibility, Attitudes, Choice and Control and Leadership. Implementation of these outcomes will be done through actions under the Disability Action Plan. An Outcomes Framework will outline how progress against the implementation of the Strategy will be monitored. The targets and indicators for the Outcomes Framework will be developed during 2017. </w:t>
      </w:r>
    </w:p>
    <w:p w:rsidR="00C9789E" w:rsidRPr="00F62F1C" w:rsidRDefault="00C9789E" w:rsidP="00706221">
      <w:pPr>
        <w:pStyle w:val="SingleTxtG"/>
      </w:pPr>
      <w:r w:rsidRPr="00F62F1C">
        <w:t>117.</w:t>
      </w:r>
      <w:r w:rsidRPr="00F62F1C">
        <w:tab/>
        <w:t>The Minister of Disability Issues reports annually to Parliament on progress towards the implementation of the Strategy.</w:t>
      </w:r>
    </w:p>
    <w:p w:rsidR="00C9789E" w:rsidRPr="00F62F1C" w:rsidRDefault="00C9789E" w:rsidP="0007643D">
      <w:pPr>
        <w:pStyle w:val="H23G"/>
      </w:pPr>
      <w:r w:rsidRPr="00F62F1C">
        <w:tab/>
      </w:r>
      <w:r w:rsidRPr="00F62F1C">
        <w:tab/>
        <w:t>Disability Action Plan</w:t>
      </w:r>
    </w:p>
    <w:p w:rsidR="00C9789E" w:rsidRPr="00F62F1C" w:rsidRDefault="00C9789E" w:rsidP="00706221">
      <w:pPr>
        <w:pStyle w:val="SingleTxtG"/>
      </w:pPr>
      <w:r w:rsidRPr="00F62F1C">
        <w:t>118.</w:t>
      </w:r>
      <w:r w:rsidRPr="00F62F1C">
        <w:tab/>
        <w:t>The Disability Action Plan (Plan) sets out priorities for action that promote disabled people</w:t>
      </w:r>
      <w:r w:rsidR="00D34D95">
        <w:t>’</w:t>
      </w:r>
      <w:r w:rsidRPr="00F62F1C">
        <w:t xml:space="preserve">s participation and contribution in society. Priorities for action within the current </w:t>
      </w:r>
      <w:r w:rsidR="00F65E26" w:rsidRPr="00F62F1C">
        <w:t>four-year</w:t>
      </w:r>
      <w:r w:rsidRPr="00F62F1C">
        <w:t xml:space="preserve"> Plan (2014-2018) were developed through consultation with disabled people and Disabled People</w:t>
      </w:r>
      <w:r w:rsidR="00D34D95">
        <w:t>’</w:t>
      </w:r>
      <w:r w:rsidRPr="00F62F1C">
        <w:t>s Organisations. Disabled People</w:t>
      </w:r>
      <w:r w:rsidR="00D34D95">
        <w:t>’</w:t>
      </w:r>
      <w:r w:rsidRPr="00F62F1C">
        <w:t>s Organisations continue to be involved in the governance of the Plan and implementation of its actions.</w:t>
      </w:r>
    </w:p>
    <w:p w:rsidR="00C9789E" w:rsidRPr="00F62F1C" w:rsidRDefault="00C9789E" w:rsidP="00706221">
      <w:pPr>
        <w:pStyle w:val="SingleTxtG"/>
      </w:pPr>
      <w:r w:rsidRPr="00F62F1C">
        <w:t>119.</w:t>
      </w:r>
      <w:r w:rsidRPr="00F62F1C">
        <w:tab/>
        <w:t>The current Plan has four shared results:</w:t>
      </w:r>
    </w:p>
    <w:p w:rsidR="00C9789E" w:rsidRPr="00F62F1C" w:rsidRDefault="00C9789E" w:rsidP="0007643D">
      <w:pPr>
        <w:pStyle w:val="Bullet1G"/>
      </w:pPr>
      <w:r w:rsidRPr="00F62F1C">
        <w:t>Increase employment and economic opportunities</w:t>
      </w:r>
      <w:r w:rsidR="00A64C2F">
        <w:t>;</w:t>
      </w:r>
    </w:p>
    <w:p w:rsidR="00C9789E" w:rsidRPr="00F62F1C" w:rsidRDefault="00C9789E" w:rsidP="0007643D">
      <w:pPr>
        <w:pStyle w:val="Bullet1G"/>
      </w:pPr>
      <w:r w:rsidRPr="00F62F1C">
        <w:t>Transfor</w:t>
      </w:r>
      <w:r w:rsidR="00A64C2F">
        <w:t>m the disability support system;</w:t>
      </w:r>
    </w:p>
    <w:p w:rsidR="00C9789E" w:rsidRPr="00F62F1C" w:rsidRDefault="00A64C2F" w:rsidP="0007643D">
      <w:pPr>
        <w:pStyle w:val="Bullet1G"/>
      </w:pPr>
      <w:r>
        <w:t>Ensure personal safety;</w:t>
      </w:r>
    </w:p>
    <w:p w:rsidR="00C9789E" w:rsidRPr="00F62F1C" w:rsidRDefault="00C9789E" w:rsidP="0007643D">
      <w:pPr>
        <w:pStyle w:val="Bullet1G"/>
      </w:pPr>
      <w:r w:rsidRPr="00F62F1C">
        <w:t>Promote access in the community.</w:t>
      </w:r>
    </w:p>
    <w:p w:rsidR="00C9789E" w:rsidRPr="00F62F1C" w:rsidRDefault="00C9789E" w:rsidP="002B5919">
      <w:pPr>
        <w:pStyle w:val="H23G"/>
      </w:pPr>
      <w:r w:rsidRPr="00F62F1C">
        <w:tab/>
      </w:r>
      <w:r w:rsidRPr="00F62F1C">
        <w:tab/>
        <w:t>Refugees and Asylum seekers</w:t>
      </w:r>
    </w:p>
    <w:p w:rsidR="00C9789E" w:rsidRPr="00F62F1C" w:rsidRDefault="00C9789E" w:rsidP="00706221">
      <w:pPr>
        <w:pStyle w:val="SingleTxtG"/>
      </w:pPr>
      <w:r w:rsidRPr="00F62F1C">
        <w:t>120.</w:t>
      </w:r>
      <w:r w:rsidRPr="00F62F1C">
        <w:tab/>
        <w:t xml:space="preserve">In June 2016 the Government increased the size of the Refugee Quota from 750 to 1000 places per year from 1 July 2018. </w:t>
      </w:r>
    </w:p>
    <w:p w:rsidR="00C9789E" w:rsidRPr="00F62F1C" w:rsidRDefault="00C9789E" w:rsidP="00706221">
      <w:pPr>
        <w:pStyle w:val="SingleTxtG"/>
      </w:pPr>
      <w:r w:rsidRPr="00F62F1C">
        <w:t>121.</w:t>
      </w:r>
      <w:r w:rsidRPr="00F62F1C">
        <w:tab/>
        <w:t>Quota refugees are granted residence on arrival in New Zealand and have the same access to employment, education, income support and health services as other New Zealand residents or citizens and are eligible to apply for New Zealand citizenship after five year</w:t>
      </w:r>
      <w:r w:rsidR="00D34D95">
        <w:t>’</w:t>
      </w:r>
      <w:r w:rsidRPr="00F62F1C">
        <w:t>s residence.</w:t>
      </w:r>
      <w:r w:rsidR="0023775B">
        <w:t xml:space="preserve"> </w:t>
      </w:r>
      <w:r w:rsidRPr="00F62F1C">
        <w:t xml:space="preserve">People in New Zealand who have been found to be a refugee or protected person under the Immigration Act 2009 have the same access to employment, education, income support and public health services, and are eligible to apply for residence and New Zealand citizenship after five </w:t>
      </w:r>
      <w:proofErr w:type="gramStart"/>
      <w:r w:rsidRPr="00F62F1C">
        <w:t>years</w:t>
      </w:r>
      <w:proofErr w:type="gramEnd"/>
      <w:r w:rsidRPr="00F62F1C">
        <w:t xml:space="preserve"> residence. </w:t>
      </w:r>
    </w:p>
    <w:p w:rsidR="00C9789E" w:rsidRPr="00F62F1C" w:rsidRDefault="00C9789E" w:rsidP="00706221">
      <w:pPr>
        <w:pStyle w:val="SingleTxtG"/>
      </w:pPr>
      <w:r w:rsidRPr="00F62F1C">
        <w:t>122.</w:t>
      </w:r>
      <w:r w:rsidRPr="00F62F1C">
        <w:tab/>
        <w:t>Quota refugees and people with refugee or protected person status are eligible to apply for the Student Allowance and Student Loans on the same basis as New Zealand citizens, and the two-year residential stand-down period (where the applicant has to have lived in New Zealand for at least two years and be ordinarily resident in New Zealand) may be waived.</w:t>
      </w:r>
    </w:p>
    <w:p w:rsidR="00C9789E" w:rsidRPr="00F62F1C" w:rsidRDefault="00C9789E" w:rsidP="00706221">
      <w:pPr>
        <w:pStyle w:val="SingleTxtG"/>
      </w:pPr>
      <w:r w:rsidRPr="00F62F1C">
        <w:t>123.</w:t>
      </w:r>
      <w:r w:rsidRPr="00F62F1C">
        <w:tab/>
        <w:t>Asylum seekers who have made a claim for refugee or protection status and are lawfully in New Zealand can apply for the Emergency Benefit and Temporary Additional Support but not for other social security assistance.</w:t>
      </w:r>
      <w:r w:rsidR="0023775B">
        <w:t xml:space="preserve"> </w:t>
      </w:r>
      <w:r w:rsidRPr="00F62F1C">
        <w:t>If they have a valid work visa, they are able to apply for government assistance to gain employment.</w:t>
      </w:r>
      <w:r w:rsidR="0023775B">
        <w:t xml:space="preserve"> </w:t>
      </w:r>
      <w:r w:rsidRPr="00F62F1C">
        <w:t>Asylum seekers who have made a claim for refugee or protection status are eligible to access public health services.</w:t>
      </w:r>
    </w:p>
    <w:p w:rsidR="00C9789E" w:rsidRPr="00F62F1C" w:rsidRDefault="00C9789E" w:rsidP="00706221">
      <w:pPr>
        <w:pStyle w:val="SingleTxtG"/>
      </w:pPr>
      <w:r w:rsidRPr="00F62F1C">
        <w:t>124.</w:t>
      </w:r>
      <w:r w:rsidRPr="00F62F1C">
        <w:tab/>
        <w:t xml:space="preserve">Asylum claimants whose claim is declined may appeal to the Immigration and Protection Tribunal (the Tribunal), an independent body which commenced in November </w:t>
      </w:r>
      <w:r w:rsidRPr="00F62F1C">
        <w:lastRenderedPageBreak/>
        <w:t>2010, following the implementation of the Immigration Act 2009.</w:t>
      </w:r>
      <w:r w:rsidR="0023775B">
        <w:t xml:space="preserve"> </w:t>
      </w:r>
      <w:r w:rsidRPr="00F62F1C">
        <w:t>The Tribunal provides a streamlined appeal process, replacing the Refugee Status Appeals Authority, Removal Review Authority, Residence Review Board and Deportation Review Tribunal.</w:t>
      </w:r>
    </w:p>
    <w:p w:rsidR="00C9789E" w:rsidRPr="00F62F1C" w:rsidRDefault="00C9789E" w:rsidP="005E7BEE">
      <w:pPr>
        <w:pStyle w:val="H1G"/>
      </w:pPr>
      <w:r w:rsidRPr="00F62F1C">
        <w:tab/>
      </w:r>
      <w:bookmarkStart w:id="26" w:name="_Toc494359761"/>
      <w:r w:rsidRPr="00F62F1C">
        <w:t>D.</w:t>
      </w:r>
      <w:r w:rsidRPr="00F62F1C">
        <w:tab/>
        <w:t>Article 3</w:t>
      </w:r>
      <w:r w:rsidR="001F5C90">
        <w:t xml:space="preserve"> — </w:t>
      </w:r>
      <w:r w:rsidRPr="00F62F1C">
        <w:t>Equal rights of men and women</w:t>
      </w:r>
      <w:bookmarkEnd w:id="26"/>
    </w:p>
    <w:p w:rsidR="00C9789E" w:rsidRPr="00F62F1C" w:rsidRDefault="00C9789E" w:rsidP="00706221">
      <w:pPr>
        <w:pStyle w:val="SingleTxtG"/>
      </w:pPr>
      <w:r w:rsidRPr="00F62F1C">
        <w:t>125.</w:t>
      </w:r>
      <w:r w:rsidRPr="00F62F1C">
        <w:tab/>
        <w:t>Promoting women in leadership is one of the Government</w:t>
      </w:r>
      <w:r w:rsidR="00D34D95">
        <w:t>’</w:t>
      </w:r>
      <w:r w:rsidRPr="00F62F1C">
        <w:t>s top priorities for women.</w:t>
      </w:r>
      <w:r w:rsidR="0023775B">
        <w:t xml:space="preserve"> </w:t>
      </w:r>
      <w:r w:rsidRPr="00F62F1C">
        <w:t>New Zealand</w:t>
      </w:r>
      <w:r w:rsidR="00D34D95">
        <w:t>’</w:t>
      </w:r>
      <w:r w:rsidRPr="00F62F1C">
        <w:t>s membership to the Pacific Leaders</w:t>
      </w:r>
      <w:r w:rsidR="00D34D95">
        <w:t>’</w:t>
      </w:r>
      <w:r w:rsidRPr="00F62F1C">
        <w:t xml:space="preserve"> Gender Equality Declaration (PLGED) has been a useful vehicle through which New Zealand has tracked its progress on increasing women</w:t>
      </w:r>
      <w:r w:rsidR="00D34D95">
        <w:t>’</w:t>
      </w:r>
      <w:r w:rsidRPr="00F62F1C">
        <w:t>s participation in leadership roles.</w:t>
      </w:r>
      <w:r w:rsidR="0023775B">
        <w:t xml:space="preserve"> </w:t>
      </w:r>
      <w:r w:rsidRPr="00F62F1C">
        <w:t>In its membership to the PLGED, New Zealand has a strong commitment to supporting Pacific Island nations to track their progress and strengthen their efforts to address women</w:t>
      </w:r>
      <w:r w:rsidR="00D34D95">
        <w:t>’</w:t>
      </w:r>
      <w:r w:rsidRPr="00F62F1C">
        <w:t>s representation in leadership.</w:t>
      </w:r>
      <w:r w:rsidR="0023775B">
        <w:t xml:space="preserve"> </w:t>
      </w:r>
    </w:p>
    <w:p w:rsidR="00C9789E" w:rsidRPr="00F62F1C" w:rsidRDefault="00C9789E" w:rsidP="00706221">
      <w:pPr>
        <w:pStyle w:val="SingleTxtG"/>
      </w:pPr>
      <w:r w:rsidRPr="00F62F1C">
        <w:t>126.</w:t>
      </w:r>
      <w:r w:rsidRPr="00F62F1C">
        <w:tab/>
        <w:t>Women in New Zealand have made steady gains in representation at central and local government level and on statutory boards.</w:t>
      </w:r>
      <w:r w:rsidR="0023775B">
        <w:t xml:space="preserve"> </w:t>
      </w:r>
      <w:r w:rsidRPr="00F62F1C">
        <w:t xml:space="preserve">Representation at top levels in the private sector has </w:t>
      </w:r>
      <w:bookmarkStart w:id="27" w:name="_Toc125292423"/>
      <w:r w:rsidRPr="00F62F1C">
        <w:t xml:space="preserve">improved, but is still relatively low. </w:t>
      </w:r>
    </w:p>
    <w:p w:rsidR="00C9789E" w:rsidRPr="00F62F1C" w:rsidRDefault="00C9789E" w:rsidP="005E7BEE">
      <w:pPr>
        <w:pStyle w:val="H23G"/>
      </w:pPr>
      <w:r w:rsidRPr="00F62F1C">
        <w:tab/>
      </w:r>
      <w:r w:rsidRPr="00F62F1C">
        <w:tab/>
        <w:t>Representation at central and local government</w:t>
      </w:r>
      <w:bookmarkEnd w:id="27"/>
      <w:r w:rsidRPr="00F62F1C">
        <w:t xml:space="preserve"> </w:t>
      </w:r>
    </w:p>
    <w:p w:rsidR="00C9789E" w:rsidRPr="00F62F1C" w:rsidRDefault="00C9789E" w:rsidP="00706221">
      <w:pPr>
        <w:pStyle w:val="SingleTxtG"/>
      </w:pPr>
      <w:r w:rsidRPr="00F62F1C">
        <w:t>127.</w:t>
      </w:r>
      <w:r w:rsidRPr="00F62F1C">
        <w:tab/>
        <w:t>The gender representativeness of Parliament has increased significantly since the advent of the Mixed Member Proportional (MMP) voting system in 1996, although it still has some way to go before it reflects the gender balance in New Zealand society. There are 41 women (34 percent) Members of Parliament (MPs) in the 51st Parliament, equal to the record 41 elected to the 49th Parliament in 2008. Nine of 27 Ministers of the Crown (37 percent) and seven</w:t>
      </w:r>
      <w:r w:rsidR="000C03A3">
        <w:t xml:space="preserve"> </w:t>
      </w:r>
      <w:r w:rsidRPr="00F62F1C">
        <w:t>of 20 Cabinet Ministers (35 percent) are women.</w:t>
      </w:r>
      <w:r w:rsidRPr="00706221">
        <w:rPr>
          <w:rStyle w:val="FootnoteReference"/>
        </w:rPr>
        <w:footnoteReference w:id="27"/>
      </w:r>
      <w:r w:rsidR="0023775B">
        <w:t xml:space="preserve"> </w:t>
      </w:r>
      <w:r w:rsidRPr="00F62F1C">
        <w:t xml:space="preserve">The Green Party and Māori Party have women co-leaders, both of whom are MPs. </w:t>
      </w:r>
    </w:p>
    <w:p w:rsidR="00C9789E" w:rsidRPr="00F62F1C" w:rsidRDefault="00C9789E" w:rsidP="005E7BEE">
      <w:pPr>
        <w:pStyle w:val="H23G"/>
      </w:pPr>
      <w:r w:rsidRPr="00F62F1C">
        <w:tab/>
      </w:r>
      <w:r w:rsidRPr="00F62F1C">
        <w:tab/>
      </w:r>
      <w:r w:rsidR="005E7BEE">
        <w:t>Local government</w:t>
      </w:r>
    </w:p>
    <w:p w:rsidR="00C9789E" w:rsidRPr="00F62F1C" w:rsidRDefault="00C9789E" w:rsidP="00706221">
      <w:pPr>
        <w:pStyle w:val="SingleTxtG"/>
      </w:pPr>
      <w:r w:rsidRPr="00F62F1C">
        <w:t>128.</w:t>
      </w:r>
      <w:r w:rsidRPr="00F62F1C">
        <w:tab/>
        <w:t>The proportion of women elected to local bodies has risen from one-quarter to one-third (33 percent) over the past 25 years, with the number of women candidates also increasing (to 31 percent).</w:t>
      </w:r>
      <w:r w:rsidRPr="00706221">
        <w:rPr>
          <w:rStyle w:val="FootnoteReference"/>
        </w:rPr>
        <w:footnoteReference w:id="28"/>
      </w:r>
      <w:r w:rsidRPr="00F62F1C">
        <w:t xml:space="preserve"> Community and district health boards tend to have greater proportions of women standing compared to other electoral positions. In 2013 these were at 37 percent and 47 percent respectively. The number of women elected city mayors rose from 19 percent in 2007 to 31 percent in 2013. </w:t>
      </w:r>
    </w:p>
    <w:p w:rsidR="00C9789E" w:rsidRPr="00F62F1C" w:rsidRDefault="00C9789E" w:rsidP="005E7BEE">
      <w:pPr>
        <w:pStyle w:val="H23G"/>
      </w:pPr>
      <w:bookmarkStart w:id="28" w:name="OLE_LINK89"/>
      <w:bookmarkStart w:id="29" w:name="OLE_LINK90"/>
      <w:r w:rsidRPr="00F62F1C">
        <w:tab/>
      </w:r>
      <w:r w:rsidRPr="00F62F1C">
        <w:tab/>
        <w:t>Women</w:t>
      </w:r>
      <w:r w:rsidR="00D34D95">
        <w:t>’</w:t>
      </w:r>
      <w:r w:rsidRPr="00F62F1C">
        <w:t xml:space="preserve">s representation in the public service </w:t>
      </w:r>
    </w:p>
    <w:p w:rsidR="00C9789E" w:rsidRPr="00F62F1C" w:rsidRDefault="00C9789E" w:rsidP="00706221">
      <w:pPr>
        <w:pStyle w:val="SingleTxtG"/>
      </w:pPr>
      <w:bookmarkStart w:id="30" w:name="_Ref273426886"/>
      <w:r w:rsidRPr="00F62F1C">
        <w:t>129.</w:t>
      </w:r>
      <w:r w:rsidRPr="00F62F1C">
        <w:tab/>
        <w:t>The Government continues to monitor women</w:t>
      </w:r>
      <w:r w:rsidR="00D34D95">
        <w:t>’</w:t>
      </w:r>
      <w:r w:rsidRPr="00F62F1C">
        <w:t>s participation in the public service.</w:t>
      </w:r>
      <w:r w:rsidR="0023775B">
        <w:t xml:space="preserve"> </w:t>
      </w:r>
      <w:r w:rsidRPr="00F62F1C">
        <w:t>Women</w:t>
      </w:r>
      <w:r w:rsidR="00D34D95">
        <w:t>’</w:t>
      </w:r>
      <w:r w:rsidRPr="00F62F1C">
        <w:t>s overall representation in the public service remained stable between 2005 and 2015, at approximately 60 percent.</w:t>
      </w:r>
      <w:bookmarkStart w:id="31" w:name="_Ref273426916"/>
      <w:bookmarkEnd w:id="30"/>
      <w:r w:rsidRPr="00F62F1C">
        <w:t xml:space="preserve"> </w:t>
      </w:r>
    </w:p>
    <w:p w:rsidR="00C9789E" w:rsidRPr="00F62F1C" w:rsidRDefault="00C9789E" w:rsidP="00706221">
      <w:pPr>
        <w:pStyle w:val="SingleTxtG"/>
      </w:pPr>
      <w:r w:rsidRPr="00F62F1C">
        <w:t>130.</w:t>
      </w:r>
      <w:r w:rsidRPr="00F62F1C">
        <w:tab/>
        <w:t>The number of women chief executives has increased.</w:t>
      </w:r>
      <w:r w:rsidR="0023775B">
        <w:t xml:space="preserve"> </w:t>
      </w:r>
      <w:r w:rsidRPr="00F62F1C">
        <w:t xml:space="preserve">As at 30 June 2015, 41 percent (12 of 29) of chief executives were women compared with 24.1 percent in 2012. </w:t>
      </w:r>
      <w:bookmarkEnd w:id="28"/>
      <w:bookmarkEnd w:id="29"/>
      <w:bookmarkEnd w:id="31"/>
      <w:r w:rsidRPr="00F62F1C">
        <w:t>Women occupied 44.2 percent of senior leadership positions in the public service (the top three tiers of management) as at 30 June 2015.</w:t>
      </w:r>
      <w:r w:rsidRPr="00706221">
        <w:rPr>
          <w:rStyle w:val="FootnoteReference"/>
        </w:rPr>
        <w:footnoteReference w:id="29"/>
      </w:r>
      <w:r w:rsidRPr="00F62F1C">
        <w:t xml:space="preserve"> </w:t>
      </w:r>
    </w:p>
    <w:p w:rsidR="00C9789E" w:rsidRPr="00F62F1C" w:rsidRDefault="00C9789E" w:rsidP="005E7BEE">
      <w:pPr>
        <w:pStyle w:val="H23G"/>
      </w:pPr>
      <w:bookmarkStart w:id="32" w:name="_Toc125292425"/>
      <w:bookmarkStart w:id="33" w:name="OLE_LINK62"/>
      <w:bookmarkStart w:id="34" w:name="_Toc130626182"/>
      <w:bookmarkStart w:id="35" w:name="_Toc130626648"/>
      <w:r w:rsidRPr="00F62F1C">
        <w:tab/>
      </w:r>
      <w:r w:rsidRPr="00F62F1C">
        <w:tab/>
        <w:t>Women</w:t>
      </w:r>
      <w:r w:rsidR="00D34D95">
        <w:t>’</w:t>
      </w:r>
      <w:r w:rsidRPr="00F62F1C">
        <w:t>s representation on statutory boards</w:t>
      </w:r>
      <w:bookmarkEnd w:id="32"/>
      <w:r w:rsidRPr="00F62F1C">
        <w:t xml:space="preserve"> </w:t>
      </w:r>
    </w:p>
    <w:p w:rsidR="00C9789E" w:rsidRPr="00F62F1C" w:rsidRDefault="00C9789E" w:rsidP="00706221">
      <w:pPr>
        <w:pStyle w:val="SingleTxtG"/>
      </w:pPr>
      <w:bookmarkStart w:id="36" w:name="_Ref273950433"/>
      <w:r w:rsidRPr="00F62F1C">
        <w:t>131.</w:t>
      </w:r>
      <w:r w:rsidRPr="00F62F1C">
        <w:tab/>
        <w:t>Government continues to work to increase women</w:t>
      </w:r>
      <w:r w:rsidR="00D34D95">
        <w:t>’</w:t>
      </w:r>
      <w:r w:rsidRPr="00F62F1C">
        <w:t>s participation on statutory boards, and to create an environment where key decision-makers accept the importance of appointing women and actively seek out suitably qualified women candidates</w:t>
      </w:r>
      <w:bookmarkEnd w:id="33"/>
      <w:bookmarkEnd w:id="36"/>
      <w:r w:rsidRPr="00F62F1C">
        <w:t xml:space="preserve">. </w:t>
      </w:r>
    </w:p>
    <w:p w:rsidR="00C9789E" w:rsidRPr="00F62F1C" w:rsidRDefault="00C9789E" w:rsidP="00706221">
      <w:pPr>
        <w:pStyle w:val="SingleTxtG"/>
      </w:pPr>
      <w:r w:rsidRPr="00F62F1C">
        <w:t>132.</w:t>
      </w:r>
      <w:r w:rsidRPr="00F62F1C">
        <w:tab/>
        <w:t xml:space="preserve">The Government has reached its target of appointing 45 per cent of women to state sector boards and committees, the highest percentage ever. As at December 2016, women </w:t>
      </w:r>
      <w:r w:rsidRPr="00F62F1C">
        <w:lastRenderedPageBreak/>
        <w:t>made up 45.3 per cent of state sector boards and committees.</w:t>
      </w:r>
      <w:r w:rsidRPr="00706221">
        <w:rPr>
          <w:rStyle w:val="FootnoteReference"/>
        </w:rPr>
        <w:footnoteReference w:id="30"/>
      </w:r>
      <w:r w:rsidR="0023775B">
        <w:t xml:space="preserve"> </w:t>
      </w:r>
      <w:r w:rsidRPr="00F62F1C">
        <w:t xml:space="preserve">This is a significant increase on 43.4 percent in 2015. </w:t>
      </w:r>
    </w:p>
    <w:p w:rsidR="00C9789E" w:rsidRPr="00F62F1C" w:rsidRDefault="00C9789E" w:rsidP="005E7BEE">
      <w:pPr>
        <w:pStyle w:val="H23G"/>
      </w:pPr>
      <w:r w:rsidRPr="00F62F1C">
        <w:tab/>
      </w:r>
      <w:r w:rsidRPr="00F62F1C">
        <w:tab/>
        <w:t>Increasing the representation of women on private sector boards</w:t>
      </w:r>
    </w:p>
    <w:p w:rsidR="00C9789E" w:rsidRPr="00F62F1C" w:rsidRDefault="00C9789E" w:rsidP="00706221">
      <w:pPr>
        <w:pStyle w:val="SingleTxtG"/>
      </w:pPr>
      <w:r w:rsidRPr="00F62F1C">
        <w:t>133.</w:t>
      </w:r>
      <w:r w:rsidRPr="00F62F1C">
        <w:tab/>
        <w:t xml:space="preserve">Women made up 17 percent of directors and 19 percent of officers (chief executives and senior managers) of all listed companies in 2015. </w:t>
      </w:r>
      <w:bookmarkStart w:id="37" w:name="_Ref273950453"/>
      <w:r w:rsidRPr="00F62F1C">
        <w:t xml:space="preserve">There is a range of private sector initiatives to encourage women onto private sector boards and into senior roles. </w:t>
      </w:r>
      <w:bookmarkEnd w:id="34"/>
      <w:bookmarkEnd w:id="35"/>
      <w:bookmarkEnd w:id="37"/>
    </w:p>
    <w:p w:rsidR="00C9789E" w:rsidRPr="00F62F1C" w:rsidRDefault="00C9789E" w:rsidP="005E7BEE">
      <w:pPr>
        <w:pStyle w:val="H1G"/>
      </w:pPr>
      <w:r w:rsidRPr="00F62F1C">
        <w:tab/>
      </w:r>
      <w:bookmarkStart w:id="38" w:name="_Toc494359762"/>
      <w:r w:rsidRPr="00F62F1C">
        <w:t>E.</w:t>
      </w:r>
      <w:r w:rsidRPr="00F62F1C">
        <w:tab/>
        <w:t>Article 6</w:t>
      </w:r>
      <w:r w:rsidR="001F5C90">
        <w:t xml:space="preserve"> — </w:t>
      </w:r>
      <w:r w:rsidRPr="00F62F1C">
        <w:t>Right to work</w:t>
      </w:r>
      <w:bookmarkEnd w:id="38"/>
    </w:p>
    <w:p w:rsidR="005E7BEE" w:rsidRDefault="00C9789E" w:rsidP="005E7BEE">
      <w:pPr>
        <w:pStyle w:val="Heading1"/>
      </w:pPr>
      <w:bookmarkStart w:id="39" w:name="_Toc494359763"/>
      <w:r w:rsidRPr="00F62F1C">
        <w:t>Figure 5</w:t>
      </w:r>
      <w:bookmarkEnd w:id="39"/>
    </w:p>
    <w:p w:rsidR="00C9789E" w:rsidRPr="005E7BEE" w:rsidRDefault="00C9789E" w:rsidP="00706221">
      <w:pPr>
        <w:pStyle w:val="SingleTxtG"/>
        <w:rPr>
          <w:b/>
        </w:rPr>
      </w:pPr>
      <w:r w:rsidRPr="005E7BEE">
        <w:rPr>
          <w:b/>
        </w:rPr>
        <w:t>Unemployment rate by sex (%) year ended December</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32"/>
        <w:gridCol w:w="1834"/>
        <w:gridCol w:w="1866"/>
        <w:gridCol w:w="1838"/>
      </w:tblGrid>
      <w:tr w:rsidR="00C9789E" w:rsidRPr="00D713A6" w:rsidTr="00B77308">
        <w:trPr>
          <w:cantSplit/>
          <w:tblHeader/>
        </w:trPr>
        <w:tc>
          <w:tcPr>
            <w:tcW w:w="1832" w:type="dxa"/>
            <w:tcBorders>
              <w:top w:val="single" w:sz="4" w:space="0" w:color="auto"/>
              <w:bottom w:val="single" w:sz="12" w:space="0" w:color="auto"/>
            </w:tcBorders>
            <w:shd w:val="clear" w:color="auto" w:fill="auto"/>
            <w:vAlign w:val="bottom"/>
          </w:tcPr>
          <w:p w:rsidR="00C9789E" w:rsidRPr="00D713A6" w:rsidRDefault="00C9789E" w:rsidP="00D713A6">
            <w:pPr>
              <w:pStyle w:val="SingleTxtG"/>
              <w:spacing w:before="80" w:after="80" w:line="200" w:lineRule="exact"/>
              <w:ind w:left="0" w:right="113"/>
              <w:jc w:val="left"/>
              <w:rPr>
                <w:i/>
                <w:sz w:val="16"/>
              </w:rPr>
            </w:pPr>
            <w:r w:rsidRPr="00D713A6">
              <w:rPr>
                <w:i/>
                <w:sz w:val="16"/>
              </w:rPr>
              <w:t>Year</w:t>
            </w:r>
          </w:p>
        </w:tc>
        <w:tc>
          <w:tcPr>
            <w:tcW w:w="1834" w:type="dxa"/>
            <w:tcBorders>
              <w:top w:val="single" w:sz="4" w:space="0" w:color="auto"/>
              <w:bottom w:val="single" w:sz="12" w:space="0" w:color="auto"/>
            </w:tcBorders>
            <w:shd w:val="clear" w:color="auto" w:fill="auto"/>
            <w:vAlign w:val="bottom"/>
          </w:tcPr>
          <w:p w:rsidR="00C9789E" w:rsidRPr="00D713A6" w:rsidRDefault="00C9789E" w:rsidP="00D713A6">
            <w:pPr>
              <w:pStyle w:val="SingleTxtG"/>
              <w:spacing w:before="80" w:after="80" w:line="200" w:lineRule="exact"/>
              <w:ind w:left="0" w:right="113"/>
              <w:jc w:val="right"/>
              <w:rPr>
                <w:i/>
                <w:sz w:val="16"/>
              </w:rPr>
            </w:pPr>
            <w:r w:rsidRPr="00D713A6">
              <w:rPr>
                <w:i/>
                <w:sz w:val="16"/>
              </w:rPr>
              <w:t>Male</w:t>
            </w:r>
          </w:p>
        </w:tc>
        <w:tc>
          <w:tcPr>
            <w:tcW w:w="1866" w:type="dxa"/>
            <w:tcBorders>
              <w:top w:val="single" w:sz="4" w:space="0" w:color="auto"/>
              <w:bottom w:val="single" w:sz="12" w:space="0" w:color="auto"/>
            </w:tcBorders>
            <w:shd w:val="clear" w:color="auto" w:fill="auto"/>
            <w:vAlign w:val="bottom"/>
          </w:tcPr>
          <w:p w:rsidR="00C9789E" w:rsidRPr="00D713A6" w:rsidRDefault="00C9789E" w:rsidP="00D713A6">
            <w:pPr>
              <w:pStyle w:val="SingleTxtG"/>
              <w:spacing w:before="80" w:after="80" w:line="200" w:lineRule="exact"/>
              <w:ind w:left="0" w:right="113"/>
              <w:jc w:val="right"/>
              <w:rPr>
                <w:i/>
                <w:sz w:val="16"/>
              </w:rPr>
            </w:pPr>
            <w:r w:rsidRPr="00D713A6">
              <w:rPr>
                <w:i/>
                <w:sz w:val="16"/>
              </w:rPr>
              <w:t>Female</w:t>
            </w:r>
          </w:p>
        </w:tc>
        <w:tc>
          <w:tcPr>
            <w:tcW w:w="1838" w:type="dxa"/>
            <w:tcBorders>
              <w:top w:val="single" w:sz="4" w:space="0" w:color="auto"/>
              <w:bottom w:val="single" w:sz="12" w:space="0" w:color="auto"/>
            </w:tcBorders>
            <w:shd w:val="clear" w:color="auto" w:fill="auto"/>
            <w:vAlign w:val="bottom"/>
          </w:tcPr>
          <w:p w:rsidR="00C9789E" w:rsidRPr="00D713A6" w:rsidRDefault="00C9789E" w:rsidP="00D713A6">
            <w:pPr>
              <w:pStyle w:val="SingleTxtG"/>
              <w:spacing w:before="80" w:after="80" w:line="200" w:lineRule="exact"/>
              <w:ind w:left="0" w:right="113"/>
              <w:jc w:val="right"/>
              <w:rPr>
                <w:i/>
                <w:sz w:val="16"/>
              </w:rPr>
            </w:pPr>
            <w:r w:rsidRPr="00D713A6">
              <w:rPr>
                <w:i/>
                <w:sz w:val="16"/>
              </w:rPr>
              <w:t>Total</w:t>
            </w:r>
          </w:p>
        </w:tc>
      </w:tr>
      <w:tr w:rsidR="00C9789E" w:rsidRPr="00D713A6" w:rsidTr="00B77308">
        <w:trPr>
          <w:cantSplit/>
        </w:trPr>
        <w:tc>
          <w:tcPr>
            <w:tcW w:w="1832" w:type="dxa"/>
            <w:tcBorders>
              <w:top w:val="single" w:sz="12" w:space="0" w:color="auto"/>
            </w:tcBorders>
            <w:shd w:val="clear" w:color="auto" w:fill="auto"/>
          </w:tcPr>
          <w:p w:rsidR="00C9789E" w:rsidRPr="00D713A6" w:rsidRDefault="00C9789E" w:rsidP="00D713A6">
            <w:pPr>
              <w:pStyle w:val="SingleTxtG"/>
              <w:spacing w:before="40" w:after="40" w:line="220" w:lineRule="exact"/>
              <w:ind w:left="0" w:right="113"/>
              <w:jc w:val="left"/>
              <w:rPr>
                <w:sz w:val="18"/>
              </w:rPr>
            </w:pPr>
            <w:r w:rsidRPr="00D713A6">
              <w:rPr>
                <w:sz w:val="18"/>
              </w:rPr>
              <w:t>2012</w:t>
            </w:r>
          </w:p>
        </w:tc>
        <w:tc>
          <w:tcPr>
            <w:tcW w:w="1834" w:type="dxa"/>
            <w:tcBorders>
              <w:top w:val="single" w:sz="12" w:space="0" w:color="auto"/>
            </w:tcBorders>
            <w:shd w:val="clear" w:color="auto" w:fill="auto"/>
            <w:vAlign w:val="bottom"/>
          </w:tcPr>
          <w:p w:rsidR="00C9789E" w:rsidRPr="00D713A6" w:rsidRDefault="00C9789E" w:rsidP="00D713A6">
            <w:pPr>
              <w:pStyle w:val="SingleTxtG"/>
              <w:spacing w:before="40" w:after="40" w:line="220" w:lineRule="exact"/>
              <w:ind w:left="0" w:right="113"/>
              <w:jc w:val="right"/>
              <w:rPr>
                <w:sz w:val="18"/>
              </w:rPr>
            </w:pPr>
            <w:r w:rsidRPr="00D713A6">
              <w:rPr>
                <w:sz w:val="18"/>
              </w:rPr>
              <w:t>6.1</w:t>
            </w:r>
          </w:p>
        </w:tc>
        <w:tc>
          <w:tcPr>
            <w:tcW w:w="1866" w:type="dxa"/>
            <w:tcBorders>
              <w:top w:val="single" w:sz="12" w:space="0" w:color="auto"/>
            </w:tcBorders>
            <w:shd w:val="clear" w:color="auto" w:fill="auto"/>
            <w:vAlign w:val="bottom"/>
          </w:tcPr>
          <w:p w:rsidR="00C9789E" w:rsidRPr="00D713A6" w:rsidRDefault="00C9789E" w:rsidP="00D713A6">
            <w:pPr>
              <w:pStyle w:val="SingleTxtG"/>
              <w:spacing w:before="40" w:after="40" w:line="220" w:lineRule="exact"/>
              <w:ind w:left="0" w:right="113"/>
              <w:jc w:val="right"/>
              <w:rPr>
                <w:sz w:val="18"/>
              </w:rPr>
            </w:pPr>
            <w:r w:rsidRPr="00D713A6">
              <w:rPr>
                <w:sz w:val="18"/>
              </w:rPr>
              <w:t>6.7</w:t>
            </w:r>
          </w:p>
        </w:tc>
        <w:tc>
          <w:tcPr>
            <w:tcW w:w="1838" w:type="dxa"/>
            <w:tcBorders>
              <w:top w:val="single" w:sz="12" w:space="0" w:color="auto"/>
            </w:tcBorders>
            <w:shd w:val="clear" w:color="auto" w:fill="auto"/>
            <w:vAlign w:val="bottom"/>
          </w:tcPr>
          <w:p w:rsidR="00C9789E" w:rsidRPr="00D713A6" w:rsidRDefault="00C9789E" w:rsidP="00D713A6">
            <w:pPr>
              <w:pStyle w:val="SingleTxtG"/>
              <w:spacing w:before="40" w:after="40" w:line="220" w:lineRule="exact"/>
              <w:ind w:left="0" w:right="113"/>
              <w:jc w:val="right"/>
              <w:rPr>
                <w:sz w:val="18"/>
              </w:rPr>
            </w:pPr>
            <w:r w:rsidRPr="00D713A6">
              <w:rPr>
                <w:sz w:val="18"/>
              </w:rPr>
              <w:t>6.4</w:t>
            </w:r>
          </w:p>
        </w:tc>
      </w:tr>
      <w:tr w:rsidR="00C9789E" w:rsidRPr="00D713A6" w:rsidTr="00B77308">
        <w:trPr>
          <w:cantSplit/>
        </w:trPr>
        <w:tc>
          <w:tcPr>
            <w:tcW w:w="1832" w:type="dxa"/>
            <w:shd w:val="clear" w:color="auto" w:fill="auto"/>
          </w:tcPr>
          <w:p w:rsidR="00C9789E" w:rsidRPr="00D713A6" w:rsidRDefault="00C9789E" w:rsidP="00D713A6">
            <w:pPr>
              <w:pStyle w:val="SingleTxtG"/>
              <w:spacing w:before="40" w:after="40" w:line="220" w:lineRule="exact"/>
              <w:ind w:left="0" w:right="113"/>
              <w:jc w:val="left"/>
              <w:rPr>
                <w:sz w:val="18"/>
              </w:rPr>
            </w:pPr>
            <w:r w:rsidRPr="00D713A6">
              <w:rPr>
                <w:sz w:val="18"/>
              </w:rPr>
              <w:t>2013</w:t>
            </w:r>
          </w:p>
        </w:tc>
        <w:tc>
          <w:tcPr>
            <w:tcW w:w="1834" w:type="dxa"/>
            <w:shd w:val="clear" w:color="auto" w:fill="auto"/>
            <w:vAlign w:val="bottom"/>
          </w:tcPr>
          <w:p w:rsidR="00C9789E" w:rsidRPr="00D713A6" w:rsidRDefault="00C9789E" w:rsidP="00D713A6">
            <w:pPr>
              <w:pStyle w:val="SingleTxtG"/>
              <w:spacing w:before="40" w:after="40" w:line="220" w:lineRule="exact"/>
              <w:ind w:left="0" w:right="113"/>
              <w:jc w:val="right"/>
              <w:rPr>
                <w:sz w:val="18"/>
              </w:rPr>
            </w:pPr>
            <w:r w:rsidRPr="00D713A6">
              <w:rPr>
                <w:sz w:val="18"/>
              </w:rPr>
              <w:t>5.2</w:t>
            </w:r>
          </w:p>
        </w:tc>
        <w:tc>
          <w:tcPr>
            <w:tcW w:w="1866" w:type="dxa"/>
            <w:shd w:val="clear" w:color="auto" w:fill="auto"/>
            <w:vAlign w:val="bottom"/>
          </w:tcPr>
          <w:p w:rsidR="00C9789E" w:rsidRPr="00D713A6" w:rsidRDefault="00C9789E" w:rsidP="00D713A6">
            <w:pPr>
              <w:pStyle w:val="SingleTxtG"/>
              <w:spacing w:before="40" w:after="40" w:line="220" w:lineRule="exact"/>
              <w:ind w:left="0" w:right="113"/>
              <w:jc w:val="right"/>
              <w:rPr>
                <w:sz w:val="18"/>
              </w:rPr>
            </w:pPr>
            <w:r w:rsidRPr="00D713A6">
              <w:rPr>
                <w:sz w:val="18"/>
              </w:rPr>
              <w:t>6.4</w:t>
            </w:r>
          </w:p>
        </w:tc>
        <w:tc>
          <w:tcPr>
            <w:tcW w:w="1838" w:type="dxa"/>
            <w:shd w:val="clear" w:color="auto" w:fill="auto"/>
            <w:vAlign w:val="bottom"/>
          </w:tcPr>
          <w:p w:rsidR="00C9789E" w:rsidRPr="00D713A6" w:rsidRDefault="00C9789E" w:rsidP="00D713A6">
            <w:pPr>
              <w:pStyle w:val="SingleTxtG"/>
              <w:spacing w:before="40" w:after="40" w:line="220" w:lineRule="exact"/>
              <w:ind w:left="0" w:right="113"/>
              <w:jc w:val="right"/>
              <w:rPr>
                <w:sz w:val="18"/>
              </w:rPr>
            </w:pPr>
            <w:r w:rsidRPr="00D713A6">
              <w:rPr>
                <w:sz w:val="18"/>
              </w:rPr>
              <w:t>5.8</w:t>
            </w:r>
          </w:p>
        </w:tc>
      </w:tr>
      <w:tr w:rsidR="00C9789E" w:rsidRPr="00D713A6" w:rsidTr="00B77308">
        <w:trPr>
          <w:cantSplit/>
        </w:trPr>
        <w:tc>
          <w:tcPr>
            <w:tcW w:w="1832" w:type="dxa"/>
            <w:shd w:val="clear" w:color="auto" w:fill="auto"/>
          </w:tcPr>
          <w:p w:rsidR="00C9789E" w:rsidRPr="00D713A6" w:rsidRDefault="00C9789E" w:rsidP="00D713A6">
            <w:pPr>
              <w:pStyle w:val="SingleTxtG"/>
              <w:spacing w:before="40" w:after="40" w:line="220" w:lineRule="exact"/>
              <w:ind w:left="0" w:right="113"/>
              <w:jc w:val="left"/>
              <w:rPr>
                <w:sz w:val="18"/>
              </w:rPr>
            </w:pPr>
            <w:r w:rsidRPr="00D713A6">
              <w:rPr>
                <w:sz w:val="18"/>
              </w:rPr>
              <w:t>2014</w:t>
            </w:r>
          </w:p>
        </w:tc>
        <w:tc>
          <w:tcPr>
            <w:tcW w:w="1834" w:type="dxa"/>
            <w:shd w:val="clear" w:color="auto" w:fill="auto"/>
            <w:vAlign w:val="bottom"/>
          </w:tcPr>
          <w:p w:rsidR="00C9789E" w:rsidRPr="00D713A6" w:rsidRDefault="00C9789E" w:rsidP="00D713A6">
            <w:pPr>
              <w:pStyle w:val="SingleTxtG"/>
              <w:spacing w:before="40" w:after="40" w:line="220" w:lineRule="exact"/>
              <w:ind w:left="0" w:right="113"/>
              <w:jc w:val="right"/>
              <w:rPr>
                <w:sz w:val="18"/>
              </w:rPr>
            </w:pPr>
            <w:r w:rsidRPr="00D713A6">
              <w:rPr>
                <w:sz w:val="18"/>
              </w:rPr>
              <w:t>4.7</w:t>
            </w:r>
          </w:p>
        </w:tc>
        <w:tc>
          <w:tcPr>
            <w:tcW w:w="1866" w:type="dxa"/>
            <w:shd w:val="clear" w:color="auto" w:fill="auto"/>
            <w:vAlign w:val="bottom"/>
          </w:tcPr>
          <w:p w:rsidR="00C9789E" w:rsidRPr="00D713A6" w:rsidRDefault="00C9789E" w:rsidP="00D713A6">
            <w:pPr>
              <w:pStyle w:val="SingleTxtG"/>
              <w:spacing w:before="40" w:after="40" w:line="220" w:lineRule="exact"/>
              <w:ind w:left="0" w:right="113"/>
              <w:jc w:val="right"/>
              <w:rPr>
                <w:sz w:val="18"/>
              </w:rPr>
            </w:pPr>
            <w:r w:rsidRPr="00D713A6">
              <w:rPr>
                <w:sz w:val="18"/>
              </w:rPr>
              <w:t>6.1</w:t>
            </w:r>
          </w:p>
        </w:tc>
        <w:tc>
          <w:tcPr>
            <w:tcW w:w="1838" w:type="dxa"/>
            <w:shd w:val="clear" w:color="auto" w:fill="auto"/>
            <w:vAlign w:val="bottom"/>
          </w:tcPr>
          <w:p w:rsidR="00C9789E" w:rsidRPr="00D713A6" w:rsidRDefault="00C9789E" w:rsidP="00D713A6">
            <w:pPr>
              <w:pStyle w:val="SingleTxtG"/>
              <w:spacing w:before="40" w:after="40" w:line="220" w:lineRule="exact"/>
              <w:ind w:left="0" w:right="113"/>
              <w:jc w:val="right"/>
              <w:rPr>
                <w:sz w:val="18"/>
              </w:rPr>
            </w:pPr>
            <w:r w:rsidRPr="00D713A6">
              <w:rPr>
                <w:sz w:val="18"/>
              </w:rPr>
              <w:t>5.4</w:t>
            </w:r>
          </w:p>
        </w:tc>
      </w:tr>
      <w:tr w:rsidR="00C9789E" w:rsidRPr="00D713A6" w:rsidTr="00B77308">
        <w:trPr>
          <w:cantSplit/>
        </w:trPr>
        <w:tc>
          <w:tcPr>
            <w:tcW w:w="1832" w:type="dxa"/>
            <w:shd w:val="clear" w:color="auto" w:fill="auto"/>
          </w:tcPr>
          <w:p w:rsidR="00C9789E" w:rsidRPr="00D713A6" w:rsidRDefault="00C9789E" w:rsidP="00D713A6">
            <w:pPr>
              <w:pStyle w:val="SingleTxtG"/>
              <w:spacing w:before="40" w:after="40" w:line="220" w:lineRule="exact"/>
              <w:ind w:left="0" w:right="113"/>
              <w:jc w:val="left"/>
              <w:rPr>
                <w:sz w:val="18"/>
              </w:rPr>
            </w:pPr>
            <w:r w:rsidRPr="00D713A6">
              <w:rPr>
                <w:sz w:val="18"/>
              </w:rPr>
              <w:t>2015</w:t>
            </w:r>
          </w:p>
        </w:tc>
        <w:tc>
          <w:tcPr>
            <w:tcW w:w="1834" w:type="dxa"/>
            <w:shd w:val="clear" w:color="auto" w:fill="auto"/>
            <w:vAlign w:val="bottom"/>
          </w:tcPr>
          <w:p w:rsidR="00C9789E" w:rsidRPr="00D713A6" w:rsidRDefault="00C9789E" w:rsidP="00D713A6">
            <w:pPr>
              <w:pStyle w:val="SingleTxtG"/>
              <w:spacing w:before="40" w:after="40" w:line="220" w:lineRule="exact"/>
              <w:ind w:left="0" w:right="113"/>
              <w:jc w:val="right"/>
              <w:rPr>
                <w:sz w:val="18"/>
              </w:rPr>
            </w:pPr>
            <w:r w:rsidRPr="00D713A6">
              <w:rPr>
                <w:sz w:val="18"/>
              </w:rPr>
              <w:t>4.9</w:t>
            </w:r>
          </w:p>
        </w:tc>
        <w:tc>
          <w:tcPr>
            <w:tcW w:w="1866" w:type="dxa"/>
            <w:shd w:val="clear" w:color="auto" w:fill="auto"/>
            <w:vAlign w:val="bottom"/>
          </w:tcPr>
          <w:p w:rsidR="00C9789E" w:rsidRPr="00D713A6" w:rsidRDefault="00C9789E" w:rsidP="00D713A6">
            <w:pPr>
              <w:pStyle w:val="SingleTxtG"/>
              <w:spacing w:before="40" w:after="40" w:line="220" w:lineRule="exact"/>
              <w:ind w:left="0" w:right="113"/>
              <w:jc w:val="right"/>
              <w:rPr>
                <w:sz w:val="18"/>
              </w:rPr>
            </w:pPr>
            <w:r w:rsidRPr="00D713A6">
              <w:rPr>
                <w:sz w:val="18"/>
              </w:rPr>
              <w:t>5.9</w:t>
            </w:r>
          </w:p>
        </w:tc>
        <w:tc>
          <w:tcPr>
            <w:tcW w:w="1838" w:type="dxa"/>
            <w:shd w:val="clear" w:color="auto" w:fill="auto"/>
            <w:vAlign w:val="bottom"/>
          </w:tcPr>
          <w:p w:rsidR="00C9789E" w:rsidRPr="00D713A6" w:rsidRDefault="00C9789E" w:rsidP="00D713A6">
            <w:pPr>
              <w:pStyle w:val="SingleTxtG"/>
              <w:spacing w:before="40" w:after="40" w:line="220" w:lineRule="exact"/>
              <w:ind w:left="0" w:right="113"/>
              <w:jc w:val="right"/>
              <w:rPr>
                <w:sz w:val="18"/>
              </w:rPr>
            </w:pPr>
            <w:r w:rsidRPr="00D713A6">
              <w:rPr>
                <w:sz w:val="18"/>
              </w:rPr>
              <w:t>5.4</w:t>
            </w:r>
          </w:p>
        </w:tc>
      </w:tr>
      <w:tr w:rsidR="00C9789E" w:rsidRPr="00D713A6" w:rsidTr="00B77308">
        <w:trPr>
          <w:cantSplit/>
        </w:trPr>
        <w:tc>
          <w:tcPr>
            <w:tcW w:w="1832" w:type="dxa"/>
            <w:shd w:val="clear" w:color="auto" w:fill="auto"/>
          </w:tcPr>
          <w:p w:rsidR="00C9789E" w:rsidRPr="00D713A6" w:rsidRDefault="00C9789E" w:rsidP="00D713A6">
            <w:pPr>
              <w:pStyle w:val="SingleTxtG"/>
              <w:spacing w:before="40" w:after="40" w:line="220" w:lineRule="exact"/>
              <w:ind w:left="0" w:right="113"/>
              <w:jc w:val="left"/>
              <w:rPr>
                <w:sz w:val="18"/>
              </w:rPr>
            </w:pPr>
            <w:r w:rsidRPr="00D713A6">
              <w:rPr>
                <w:sz w:val="18"/>
              </w:rPr>
              <w:t>2016</w:t>
            </w:r>
          </w:p>
        </w:tc>
        <w:tc>
          <w:tcPr>
            <w:tcW w:w="1834" w:type="dxa"/>
            <w:shd w:val="clear" w:color="auto" w:fill="auto"/>
            <w:vAlign w:val="bottom"/>
          </w:tcPr>
          <w:p w:rsidR="00C9789E" w:rsidRPr="00D713A6" w:rsidRDefault="00C9789E" w:rsidP="00D713A6">
            <w:pPr>
              <w:pStyle w:val="SingleTxtG"/>
              <w:spacing w:before="40" w:after="40" w:line="220" w:lineRule="exact"/>
              <w:ind w:left="0" w:right="113"/>
              <w:jc w:val="right"/>
              <w:rPr>
                <w:sz w:val="18"/>
              </w:rPr>
            </w:pPr>
            <w:r w:rsidRPr="00D713A6">
              <w:rPr>
                <w:sz w:val="18"/>
              </w:rPr>
              <w:t>4.8</w:t>
            </w:r>
          </w:p>
        </w:tc>
        <w:tc>
          <w:tcPr>
            <w:tcW w:w="1866" w:type="dxa"/>
            <w:shd w:val="clear" w:color="auto" w:fill="auto"/>
            <w:vAlign w:val="bottom"/>
          </w:tcPr>
          <w:p w:rsidR="00C9789E" w:rsidRPr="00D713A6" w:rsidRDefault="00C9789E" w:rsidP="00D713A6">
            <w:pPr>
              <w:pStyle w:val="SingleTxtG"/>
              <w:spacing w:before="40" w:after="40" w:line="220" w:lineRule="exact"/>
              <w:ind w:left="0" w:right="113"/>
              <w:jc w:val="right"/>
              <w:rPr>
                <w:sz w:val="18"/>
              </w:rPr>
            </w:pPr>
            <w:r w:rsidRPr="00D713A6">
              <w:rPr>
                <w:sz w:val="18"/>
              </w:rPr>
              <w:t>5.5</w:t>
            </w:r>
          </w:p>
        </w:tc>
        <w:tc>
          <w:tcPr>
            <w:tcW w:w="1838" w:type="dxa"/>
            <w:shd w:val="clear" w:color="auto" w:fill="auto"/>
            <w:vAlign w:val="bottom"/>
          </w:tcPr>
          <w:p w:rsidR="00C9789E" w:rsidRPr="00D713A6" w:rsidRDefault="00C9789E" w:rsidP="00D713A6">
            <w:pPr>
              <w:pStyle w:val="SingleTxtG"/>
              <w:spacing w:before="40" w:after="40" w:line="220" w:lineRule="exact"/>
              <w:ind w:left="0" w:right="113"/>
              <w:jc w:val="right"/>
              <w:rPr>
                <w:sz w:val="18"/>
              </w:rPr>
            </w:pPr>
            <w:r w:rsidRPr="00D713A6">
              <w:rPr>
                <w:sz w:val="18"/>
              </w:rPr>
              <w:t>5.1</w:t>
            </w:r>
          </w:p>
        </w:tc>
      </w:tr>
    </w:tbl>
    <w:p w:rsidR="005E7BEE" w:rsidRDefault="00C9789E" w:rsidP="00BB603A">
      <w:pPr>
        <w:pStyle w:val="Heading1"/>
        <w:spacing w:before="240"/>
      </w:pPr>
      <w:bookmarkStart w:id="40" w:name="_Toc494359764"/>
      <w:r w:rsidRPr="00F62F1C">
        <w:t>Figure 6</w:t>
      </w:r>
      <w:bookmarkEnd w:id="40"/>
    </w:p>
    <w:p w:rsidR="00C9789E" w:rsidRPr="00BB603A" w:rsidRDefault="00C9789E" w:rsidP="005E7BEE">
      <w:pPr>
        <w:pStyle w:val="SingleTxtG"/>
        <w:rPr>
          <w:b/>
        </w:rPr>
      </w:pPr>
      <w:r w:rsidRPr="00BB603A">
        <w:rPr>
          <w:b/>
        </w:rPr>
        <w:t>Unemployment rate by age group (years) (%) year ended December</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037"/>
        <w:gridCol w:w="631"/>
        <w:gridCol w:w="630"/>
        <w:gridCol w:w="606"/>
        <w:gridCol w:w="546"/>
        <w:gridCol w:w="546"/>
        <w:gridCol w:w="546"/>
        <w:gridCol w:w="546"/>
        <w:gridCol w:w="546"/>
        <w:gridCol w:w="546"/>
        <w:gridCol w:w="540"/>
        <w:gridCol w:w="530"/>
        <w:gridCol w:w="557"/>
        <w:gridCol w:w="698"/>
      </w:tblGrid>
      <w:tr w:rsidR="002F6DC4" w:rsidRPr="002F6DC4" w:rsidTr="00B77308">
        <w:trPr>
          <w:cantSplit/>
          <w:tblHeader/>
        </w:trPr>
        <w:tc>
          <w:tcPr>
            <w:tcW w:w="1512" w:type="dxa"/>
            <w:tcBorders>
              <w:top w:val="single" w:sz="4" w:space="0" w:color="auto"/>
              <w:bottom w:val="single" w:sz="12" w:space="0" w:color="auto"/>
            </w:tcBorders>
            <w:shd w:val="clear" w:color="auto" w:fill="auto"/>
            <w:vAlign w:val="bottom"/>
          </w:tcPr>
          <w:p w:rsidR="00BB603A" w:rsidRPr="002F6DC4" w:rsidRDefault="00BB603A" w:rsidP="002F6DC4">
            <w:pPr>
              <w:pStyle w:val="SingleTxtG"/>
              <w:spacing w:before="80" w:after="80" w:line="200" w:lineRule="exact"/>
              <w:ind w:left="0" w:right="113"/>
              <w:jc w:val="left"/>
              <w:rPr>
                <w:i/>
                <w:sz w:val="16"/>
              </w:rPr>
            </w:pPr>
            <w:r w:rsidRPr="002F6DC4">
              <w:rPr>
                <w:i/>
                <w:sz w:val="16"/>
              </w:rPr>
              <w:t>Year</w:t>
            </w:r>
          </w:p>
        </w:tc>
        <w:tc>
          <w:tcPr>
            <w:tcW w:w="917" w:type="dxa"/>
            <w:tcBorders>
              <w:top w:val="single" w:sz="4" w:space="0" w:color="auto"/>
              <w:bottom w:val="single" w:sz="12" w:space="0" w:color="auto"/>
            </w:tcBorders>
            <w:shd w:val="clear" w:color="auto" w:fill="auto"/>
            <w:vAlign w:val="bottom"/>
          </w:tcPr>
          <w:p w:rsidR="00BB603A" w:rsidRPr="002F6DC4" w:rsidRDefault="00BB603A" w:rsidP="002F6DC4">
            <w:pPr>
              <w:pStyle w:val="SingleTxtG"/>
              <w:spacing w:before="80" w:after="80" w:line="200" w:lineRule="exact"/>
              <w:ind w:left="0" w:right="113"/>
              <w:jc w:val="right"/>
              <w:rPr>
                <w:i/>
                <w:sz w:val="16"/>
              </w:rPr>
            </w:pPr>
          </w:p>
        </w:tc>
        <w:tc>
          <w:tcPr>
            <w:tcW w:w="916" w:type="dxa"/>
            <w:tcBorders>
              <w:top w:val="single" w:sz="4" w:space="0" w:color="auto"/>
              <w:bottom w:val="single" w:sz="12" w:space="0" w:color="auto"/>
            </w:tcBorders>
            <w:shd w:val="clear" w:color="auto" w:fill="auto"/>
            <w:vAlign w:val="bottom"/>
          </w:tcPr>
          <w:p w:rsidR="00BB603A" w:rsidRPr="002F6DC4" w:rsidRDefault="00BB603A" w:rsidP="002F6DC4">
            <w:pPr>
              <w:pStyle w:val="SingleTxtG"/>
              <w:spacing w:before="80" w:after="80" w:line="200" w:lineRule="exact"/>
              <w:ind w:left="0" w:right="113"/>
              <w:jc w:val="right"/>
              <w:rPr>
                <w:i/>
                <w:sz w:val="16"/>
              </w:rPr>
            </w:pPr>
            <w:r w:rsidRPr="002F6DC4">
              <w:rPr>
                <w:i/>
                <w:sz w:val="16"/>
              </w:rPr>
              <w:t>15-19</w:t>
            </w:r>
          </w:p>
        </w:tc>
        <w:tc>
          <w:tcPr>
            <w:tcW w:w="880" w:type="dxa"/>
            <w:tcBorders>
              <w:top w:val="single" w:sz="4" w:space="0" w:color="auto"/>
              <w:bottom w:val="single" w:sz="12" w:space="0" w:color="auto"/>
            </w:tcBorders>
            <w:shd w:val="clear" w:color="auto" w:fill="auto"/>
            <w:vAlign w:val="bottom"/>
          </w:tcPr>
          <w:p w:rsidR="00BB603A" w:rsidRPr="002F6DC4" w:rsidRDefault="00BB603A" w:rsidP="002F6DC4">
            <w:pPr>
              <w:pStyle w:val="SingleTxtG"/>
              <w:spacing w:before="80" w:after="80" w:line="200" w:lineRule="exact"/>
              <w:ind w:left="0" w:right="113"/>
              <w:jc w:val="right"/>
              <w:rPr>
                <w:i/>
                <w:sz w:val="16"/>
              </w:rPr>
            </w:pPr>
            <w:r w:rsidRPr="002F6DC4">
              <w:rPr>
                <w:i/>
                <w:sz w:val="16"/>
              </w:rPr>
              <w:t>20-24</w:t>
            </w:r>
          </w:p>
        </w:tc>
        <w:tc>
          <w:tcPr>
            <w:tcW w:w="793" w:type="dxa"/>
            <w:tcBorders>
              <w:top w:val="single" w:sz="4" w:space="0" w:color="auto"/>
              <w:bottom w:val="single" w:sz="12" w:space="0" w:color="auto"/>
            </w:tcBorders>
            <w:shd w:val="clear" w:color="auto" w:fill="auto"/>
            <w:vAlign w:val="bottom"/>
          </w:tcPr>
          <w:p w:rsidR="00BB603A" w:rsidRPr="002F6DC4" w:rsidRDefault="00BB603A" w:rsidP="002F6DC4">
            <w:pPr>
              <w:pStyle w:val="SingleTxtG"/>
              <w:spacing w:before="80" w:after="80" w:line="200" w:lineRule="exact"/>
              <w:ind w:left="0" w:right="113"/>
              <w:jc w:val="right"/>
              <w:rPr>
                <w:i/>
                <w:sz w:val="16"/>
              </w:rPr>
            </w:pPr>
            <w:r w:rsidRPr="002F6DC4">
              <w:rPr>
                <w:i/>
                <w:sz w:val="16"/>
              </w:rPr>
              <w:t>25-29</w:t>
            </w:r>
          </w:p>
        </w:tc>
        <w:tc>
          <w:tcPr>
            <w:tcW w:w="793" w:type="dxa"/>
            <w:tcBorders>
              <w:top w:val="single" w:sz="4" w:space="0" w:color="auto"/>
              <w:bottom w:val="single" w:sz="12" w:space="0" w:color="auto"/>
            </w:tcBorders>
            <w:shd w:val="clear" w:color="auto" w:fill="auto"/>
            <w:vAlign w:val="bottom"/>
          </w:tcPr>
          <w:p w:rsidR="00BB603A" w:rsidRPr="002F6DC4" w:rsidRDefault="00BB603A" w:rsidP="002F6DC4">
            <w:pPr>
              <w:pStyle w:val="SingleTxtG"/>
              <w:spacing w:before="80" w:after="80" w:line="200" w:lineRule="exact"/>
              <w:ind w:left="0" w:right="113"/>
              <w:jc w:val="right"/>
              <w:rPr>
                <w:i/>
                <w:sz w:val="16"/>
              </w:rPr>
            </w:pPr>
            <w:r w:rsidRPr="002F6DC4">
              <w:rPr>
                <w:i/>
                <w:sz w:val="16"/>
              </w:rPr>
              <w:t>30-34</w:t>
            </w:r>
          </w:p>
        </w:tc>
        <w:tc>
          <w:tcPr>
            <w:tcW w:w="793" w:type="dxa"/>
            <w:tcBorders>
              <w:top w:val="single" w:sz="4" w:space="0" w:color="auto"/>
              <w:bottom w:val="single" w:sz="12" w:space="0" w:color="auto"/>
            </w:tcBorders>
            <w:shd w:val="clear" w:color="auto" w:fill="auto"/>
            <w:vAlign w:val="bottom"/>
          </w:tcPr>
          <w:p w:rsidR="00BB603A" w:rsidRPr="002F6DC4" w:rsidRDefault="00BB603A" w:rsidP="002F6DC4">
            <w:pPr>
              <w:pStyle w:val="SingleTxtG"/>
              <w:spacing w:before="80" w:after="80" w:line="200" w:lineRule="exact"/>
              <w:ind w:left="0" w:right="113"/>
              <w:jc w:val="right"/>
              <w:rPr>
                <w:i/>
                <w:sz w:val="16"/>
              </w:rPr>
            </w:pPr>
            <w:r w:rsidRPr="002F6DC4">
              <w:rPr>
                <w:i/>
                <w:sz w:val="16"/>
              </w:rPr>
              <w:t>35-39</w:t>
            </w:r>
          </w:p>
        </w:tc>
        <w:tc>
          <w:tcPr>
            <w:tcW w:w="793" w:type="dxa"/>
            <w:tcBorders>
              <w:top w:val="single" w:sz="4" w:space="0" w:color="auto"/>
              <w:bottom w:val="single" w:sz="12" w:space="0" w:color="auto"/>
            </w:tcBorders>
            <w:shd w:val="clear" w:color="auto" w:fill="auto"/>
            <w:vAlign w:val="bottom"/>
          </w:tcPr>
          <w:p w:rsidR="00BB603A" w:rsidRPr="002F6DC4" w:rsidRDefault="00BB603A" w:rsidP="002F6DC4">
            <w:pPr>
              <w:pStyle w:val="SingleTxtG"/>
              <w:spacing w:before="80" w:after="80" w:line="200" w:lineRule="exact"/>
              <w:ind w:left="0" w:right="113"/>
              <w:jc w:val="right"/>
              <w:rPr>
                <w:i/>
                <w:sz w:val="16"/>
              </w:rPr>
            </w:pPr>
            <w:r w:rsidRPr="002F6DC4">
              <w:rPr>
                <w:i/>
                <w:sz w:val="16"/>
              </w:rPr>
              <w:t>40-44</w:t>
            </w:r>
          </w:p>
        </w:tc>
        <w:tc>
          <w:tcPr>
            <w:tcW w:w="793" w:type="dxa"/>
            <w:tcBorders>
              <w:top w:val="single" w:sz="4" w:space="0" w:color="auto"/>
              <w:bottom w:val="single" w:sz="12" w:space="0" w:color="auto"/>
            </w:tcBorders>
            <w:shd w:val="clear" w:color="auto" w:fill="auto"/>
            <w:vAlign w:val="bottom"/>
          </w:tcPr>
          <w:p w:rsidR="00BB603A" w:rsidRPr="002F6DC4" w:rsidRDefault="00BB603A" w:rsidP="002F6DC4">
            <w:pPr>
              <w:pStyle w:val="SingleTxtG"/>
              <w:spacing w:before="80" w:after="80" w:line="200" w:lineRule="exact"/>
              <w:ind w:left="0" w:right="113"/>
              <w:jc w:val="right"/>
              <w:rPr>
                <w:i/>
                <w:sz w:val="16"/>
              </w:rPr>
            </w:pPr>
            <w:r w:rsidRPr="002F6DC4">
              <w:rPr>
                <w:i/>
                <w:sz w:val="16"/>
              </w:rPr>
              <w:t>45-49</w:t>
            </w:r>
          </w:p>
        </w:tc>
        <w:tc>
          <w:tcPr>
            <w:tcW w:w="793" w:type="dxa"/>
            <w:tcBorders>
              <w:top w:val="single" w:sz="4" w:space="0" w:color="auto"/>
              <w:bottom w:val="single" w:sz="12" w:space="0" w:color="auto"/>
            </w:tcBorders>
            <w:shd w:val="clear" w:color="auto" w:fill="auto"/>
            <w:vAlign w:val="bottom"/>
          </w:tcPr>
          <w:p w:rsidR="00BB603A" w:rsidRPr="002F6DC4" w:rsidRDefault="00BB603A" w:rsidP="002F6DC4">
            <w:pPr>
              <w:pStyle w:val="SingleTxtG"/>
              <w:spacing w:before="80" w:after="80" w:line="200" w:lineRule="exact"/>
              <w:ind w:left="0" w:right="113"/>
              <w:jc w:val="right"/>
              <w:rPr>
                <w:i/>
                <w:sz w:val="16"/>
              </w:rPr>
            </w:pPr>
            <w:r w:rsidRPr="002F6DC4">
              <w:rPr>
                <w:i/>
                <w:sz w:val="16"/>
              </w:rPr>
              <w:t>50-54</w:t>
            </w:r>
          </w:p>
        </w:tc>
        <w:tc>
          <w:tcPr>
            <w:tcW w:w="783" w:type="dxa"/>
            <w:tcBorders>
              <w:top w:val="single" w:sz="4" w:space="0" w:color="auto"/>
              <w:bottom w:val="single" w:sz="12" w:space="0" w:color="auto"/>
            </w:tcBorders>
            <w:shd w:val="clear" w:color="auto" w:fill="auto"/>
            <w:vAlign w:val="bottom"/>
          </w:tcPr>
          <w:p w:rsidR="00BB603A" w:rsidRPr="002F6DC4" w:rsidRDefault="00BB603A" w:rsidP="002F6DC4">
            <w:pPr>
              <w:pStyle w:val="SingleTxtG"/>
              <w:spacing w:before="80" w:after="80" w:line="200" w:lineRule="exact"/>
              <w:ind w:left="0" w:right="113"/>
              <w:jc w:val="right"/>
              <w:rPr>
                <w:i/>
                <w:sz w:val="16"/>
              </w:rPr>
            </w:pPr>
            <w:r w:rsidRPr="002F6DC4">
              <w:rPr>
                <w:i/>
                <w:sz w:val="16"/>
              </w:rPr>
              <w:t>55-59</w:t>
            </w:r>
          </w:p>
        </w:tc>
        <w:tc>
          <w:tcPr>
            <w:tcW w:w="769" w:type="dxa"/>
            <w:tcBorders>
              <w:top w:val="single" w:sz="4" w:space="0" w:color="auto"/>
              <w:bottom w:val="single" w:sz="12" w:space="0" w:color="auto"/>
            </w:tcBorders>
            <w:shd w:val="clear" w:color="auto" w:fill="auto"/>
            <w:vAlign w:val="bottom"/>
          </w:tcPr>
          <w:p w:rsidR="00BB603A" w:rsidRPr="002F6DC4" w:rsidRDefault="00BB603A" w:rsidP="002F6DC4">
            <w:pPr>
              <w:pStyle w:val="SingleTxtG"/>
              <w:spacing w:before="80" w:after="80" w:line="200" w:lineRule="exact"/>
              <w:ind w:left="0" w:right="113"/>
              <w:jc w:val="right"/>
              <w:rPr>
                <w:i/>
                <w:sz w:val="16"/>
              </w:rPr>
            </w:pPr>
            <w:r w:rsidRPr="002F6DC4">
              <w:rPr>
                <w:i/>
                <w:sz w:val="16"/>
              </w:rPr>
              <w:t>60-64</w:t>
            </w:r>
          </w:p>
        </w:tc>
        <w:tc>
          <w:tcPr>
            <w:tcW w:w="809" w:type="dxa"/>
            <w:tcBorders>
              <w:top w:val="single" w:sz="4" w:space="0" w:color="auto"/>
              <w:bottom w:val="single" w:sz="12" w:space="0" w:color="auto"/>
            </w:tcBorders>
            <w:shd w:val="clear" w:color="auto" w:fill="auto"/>
            <w:vAlign w:val="bottom"/>
          </w:tcPr>
          <w:p w:rsidR="00BB603A" w:rsidRPr="002F6DC4" w:rsidRDefault="00BB603A" w:rsidP="002F6DC4">
            <w:pPr>
              <w:pStyle w:val="SingleTxtG"/>
              <w:spacing w:before="80" w:after="80" w:line="200" w:lineRule="exact"/>
              <w:ind w:left="0" w:right="113"/>
              <w:jc w:val="right"/>
              <w:rPr>
                <w:i/>
                <w:sz w:val="16"/>
              </w:rPr>
            </w:pPr>
            <w:r w:rsidRPr="002F6DC4">
              <w:rPr>
                <w:i/>
                <w:sz w:val="16"/>
              </w:rPr>
              <w:t>65+</w:t>
            </w:r>
          </w:p>
        </w:tc>
        <w:tc>
          <w:tcPr>
            <w:tcW w:w="1015" w:type="dxa"/>
            <w:tcBorders>
              <w:top w:val="single" w:sz="4" w:space="0" w:color="auto"/>
              <w:bottom w:val="single" w:sz="12" w:space="0" w:color="auto"/>
            </w:tcBorders>
            <w:shd w:val="clear" w:color="auto" w:fill="auto"/>
            <w:vAlign w:val="bottom"/>
          </w:tcPr>
          <w:p w:rsidR="00BB603A" w:rsidRPr="002F6DC4" w:rsidRDefault="00BB603A" w:rsidP="002F6DC4">
            <w:pPr>
              <w:pStyle w:val="SingleTxtG"/>
              <w:spacing w:before="80" w:after="80" w:line="200" w:lineRule="exact"/>
              <w:ind w:left="0" w:right="113"/>
              <w:jc w:val="right"/>
              <w:rPr>
                <w:i/>
                <w:sz w:val="16"/>
              </w:rPr>
            </w:pPr>
            <w:r w:rsidRPr="002F6DC4">
              <w:rPr>
                <w:i/>
                <w:sz w:val="16"/>
              </w:rPr>
              <w:t>Total</w:t>
            </w:r>
          </w:p>
        </w:tc>
      </w:tr>
      <w:tr w:rsidR="002F6DC4" w:rsidRPr="002F6DC4" w:rsidTr="00B77308">
        <w:trPr>
          <w:cantSplit/>
        </w:trPr>
        <w:tc>
          <w:tcPr>
            <w:tcW w:w="1512" w:type="dxa"/>
            <w:tcBorders>
              <w:top w:val="single" w:sz="12" w:space="0" w:color="auto"/>
            </w:tcBorders>
            <w:shd w:val="clear" w:color="auto" w:fill="auto"/>
          </w:tcPr>
          <w:p w:rsidR="00BB603A" w:rsidRPr="002F6DC4" w:rsidRDefault="00BB603A" w:rsidP="002F6DC4">
            <w:pPr>
              <w:pStyle w:val="SingleTxtG"/>
              <w:spacing w:before="40" w:after="40" w:line="220" w:lineRule="exact"/>
              <w:ind w:left="0" w:right="113"/>
              <w:jc w:val="left"/>
              <w:rPr>
                <w:sz w:val="18"/>
              </w:rPr>
            </w:pPr>
            <w:r w:rsidRPr="002F6DC4">
              <w:rPr>
                <w:sz w:val="18"/>
              </w:rPr>
              <w:t>2012</w:t>
            </w:r>
          </w:p>
        </w:tc>
        <w:tc>
          <w:tcPr>
            <w:tcW w:w="917" w:type="dxa"/>
            <w:tcBorders>
              <w:top w:val="single" w:sz="12" w:space="0" w:color="auto"/>
            </w:tcBorders>
            <w:shd w:val="clear" w:color="auto" w:fill="auto"/>
            <w:vAlign w:val="bottom"/>
          </w:tcPr>
          <w:p w:rsidR="00BB603A" w:rsidRPr="002F6DC4" w:rsidRDefault="00BB603A" w:rsidP="002F6DC4">
            <w:pPr>
              <w:pStyle w:val="SingleTxtG"/>
              <w:spacing w:before="40" w:after="40" w:line="220" w:lineRule="exact"/>
              <w:ind w:left="0" w:right="113"/>
              <w:jc w:val="right"/>
              <w:rPr>
                <w:sz w:val="18"/>
              </w:rPr>
            </w:pPr>
          </w:p>
        </w:tc>
        <w:tc>
          <w:tcPr>
            <w:tcW w:w="916" w:type="dxa"/>
            <w:tcBorders>
              <w:top w:val="single" w:sz="12" w:space="0" w:color="auto"/>
            </w:tcBorders>
            <w:shd w:val="clear" w:color="auto" w:fill="auto"/>
            <w:vAlign w:val="bottom"/>
          </w:tcPr>
          <w:p w:rsidR="00BB603A" w:rsidRPr="002F6DC4" w:rsidRDefault="00BB603A" w:rsidP="002F6DC4">
            <w:pPr>
              <w:pStyle w:val="SingleTxtG"/>
              <w:spacing w:before="40" w:after="40" w:line="220" w:lineRule="exact"/>
              <w:ind w:left="0" w:right="113"/>
              <w:jc w:val="right"/>
              <w:rPr>
                <w:sz w:val="18"/>
              </w:rPr>
            </w:pPr>
            <w:r w:rsidRPr="002F6DC4">
              <w:rPr>
                <w:sz w:val="18"/>
              </w:rPr>
              <w:t>24.3</w:t>
            </w:r>
          </w:p>
        </w:tc>
        <w:tc>
          <w:tcPr>
            <w:tcW w:w="880" w:type="dxa"/>
            <w:tcBorders>
              <w:top w:val="single" w:sz="12" w:space="0" w:color="auto"/>
            </w:tcBorders>
            <w:shd w:val="clear" w:color="auto" w:fill="auto"/>
            <w:vAlign w:val="bottom"/>
          </w:tcPr>
          <w:p w:rsidR="00BB603A" w:rsidRPr="002F6DC4" w:rsidRDefault="00BB603A" w:rsidP="002F6DC4">
            <w:pPr>
              <w:pStyle w:val="SingleTxtG"/>
              <w:spacing w:before="40" w:after="40" w:line="220" w:lineRule="exact"/>
              <w:ind w:left="0" w:right="113"/>
              <w:jc w:val="right"/>
              <w:rPr>
                <w:sz w:val="18"/>
              </w:rPr>
            </w:pPr>
            <w:r w:rsidRPr="002F6DC4">
              <w:rPr>
                <w:sz w:val="18"/>
              </w:rPr>
              <w:t>12.3</w:t>
            </w:r>
          </w:p>
        </w:tc>
        <w:tc>
          <w:tcPr>
            <w:tcW w:w="793" w:type="dxa"/>
            <w:tcBorders>
              <w:top w:val="single" w:sz="12" w:space="0" w:color="auto"/>
            </w:tcBorders>
            <w:shd w:val="clear" w:color="auto" w:fill="auto"/>
            <w:vAlign w:val="bottom"/>
          </w:tcPr>
          <w:p w:rsidR="00BB603A" w:rsidRPr="002F6DC4" w:rsidRDefault="00BB603A" w:rsidP="002F6DC4">
            <w:pPr>
              <w:pStyle w:val="SingleTxtG"/>
              <w:spacing w:before="40" w:after="40" w:line="220" w:lineRule="exact"/>
              <w:ind w:left="0" w:right="113"/>
              <w:jc w:val="right"/>
              <w:rPr>
                <w:sz w:val="18"/>
              </w:rPr>
            </w:pPr>
            <w:r w:rsidRPr="002F6DC4">
              <w:rPr>
                <w:sz w:val="18"/>
              </w:rPr>
              <w:t>7.3</w:t>
            </w:r>
          </w:p>
        </w:tc>
        <w:tc>
          <w:tcPr>
            <w:tcW w:w="793" w:type="dxa"/>
            <w:tcBorders>
              <w:top w:val="single" w:sz="12" w:space="0" w:color="auto"/>
            </w:tcBorders>
            <w:shd w:val="clear" w:color="auto" w:fill="auto"/>
            <w:vAlign w:val="bottom"/>
          </w:tcPr>
          <w:p w:rsidR="00BB603A" w:rsidRPr="002F6DC4" w:rsidRDefault="00BB603A" w:rsidP="002F6DC4">
            <w:pPr>
              <w:pStyle w:val="SingleTxtG"/>
              <w:spacing w:before="40" w:after="40" w:line="220" w:lineRule="exact"/>
              <w:ind w:left="0" w:right="113"/>
              <w:jc w:val="right"/>
              <w:rPr>
                <w:sz w:val="18"/>
              </w:rPr>
            </w:pPr>
            <w:r w:rsidRPr="002F6DC4">
              <w:rPr>
                <w:sz w:val="18"/>
              </w:rPr>
              <w:t>5.4</w:t>
            </w:r>
          </w:p>
        </w:tc>
        <w:tc>
          <w:tcPr>
            <w:tcW w:w="793" w:type="dxa"/>
            <w:tcBorders>
              <w:top w:val="single" w:sz="12" w:space="0" w:color="auto"/>
            </w:tcBorders>
            <w:shd w:val="clear" w:color="auto" w:fill="auto"/>
            <w:vAlign w:val="bottom"/>
          </w:tcPr>
          <w:p w:rsidR="00BB603A" w:rsidRPr="002F6DC4" w:rsidRDefault="00BB603A" w:rsidP="002F6DC4">
            <w:pPr>
              <w:pStyle w:val="SingleTxtG"/>
              <w:spacing w:before="40" w:after="40" w:line="220" w:lineRule="exact"/>
              <w:ind w:left="0" w:right="113"/>
              <w:jc w:val="right"/>
              <w:rPr>
                <w:sz w:val="18"/>
              </w:rPr>
            </w:pPr>
            <w:r w:rsidRPr="002F6DC4">
              <w:rPr>
                <w:sz w:val="18"/>
              </w:rPr>
              <w:t>4.7</w:t>
            </w:r>
          </w:p>
        </w:tc>
        <w:tc>
          <w:tcPr>
            <w:tcW w:w="793" w:type="dxa"/>
            <w:tcBorders>
              <w:top w:val="single" w:sz="12" w:space="0" w:color="auto"/>
            </w:tcBorders>
            <w:shd w:val="clear" w:color="auto" w:fill="auto"/>
            <w:vAlign w:val="bottom"/>
          </w:tcPr>
          <w:p w:rsidR="00BB603A" w:rsidRPr="002F6DC4" w:rsidRDefault="00BB603A" w:rsidP="002F6DC4">
            <w:pPr>
              <w:pStyle w:val="SingleTxtG"/>
              <w:spacing w:before="40" w:after="40" w:line="220" w:lineRule="exact"/>
              <w:ind w:left="0" w:right="113"/>
              <w:jc w:val="right"/>
              <w:rPr>
                <w:sz w:val="18"/>
              </w:rPr>
            </w:pPr>
            <w:r w:rsidRPr="002F6DC4">
              <w:rPr>
                <w:sz w:val="18"/>
              </w:rPr>
              <w:t>4.4</w:t>
            </w:r>
          </w:p>
        </w:tc>
        <w:tc>
          <w:tcPr>
            <w:tcW w:w="793" w:type="dxa"/>
            <w:tcBorders>
              <w:top w:val="single" w:sz="12" w:space="0" w:color="auto"/>
            </w:tcBorders>
            <w:shd w:val="clear" w:color="auto" w:fill="auto"/>
            <w:vAlign w:val="bottom"/>
          </w:tcPr>
          <w:p w:rsidR="00BB603A" w:rsidRPr="002F6DC4" w:rsidRDefault="00BB603A" w:rsidP="002F6DC4">
            <w:pPr>
              <w:pStyle w:val="SingleTxtG"/>
              <w:spacing w:before="40" w:after="40" w:line="220" w:lineRule="exact"/>
              <w:ind w:left="0" w:right="113"/>
              <w:jc w:val="right"/>
              <w:rPr>
                <w:sz w:val="18"/>
              </w:rPr>
            </w:pPr>
            <w:r w:rsidRPr="002F6DC4">
              <w:rPr>
                <w:sz w:val="18"/>
              </w:rPr>
              <w:t>4.2</w:t>
            </w:r>
          </w:p>
        </w:tc>
        <w:tc>
          <w:tcPr>
            <w:tcW w:w="793" w:type="dxa"/>
            <w:tcBorders>
              <w:top w:val="single" w:sz="12" w:space="0" w:color="auto"/>
            </w:tcBorders>
            <w:shd w:val="clear" w:color="auto" w:fill="auto"/>
            <w:vAlign w:val="bottom"/>
          </w:tcPr>
          <w:p w:rsidR="00BB603A" w:rsidRPr="002F6DC4" w:rsidRDefault="00BB603A" w:rsidP="002F6DC4">
            <w:pPr>
              <w:pStyle w:val="SingleTxtG"/>
              <w:spacing w:before="40" w:after="40" w:line="220" w:lineRule="exact"/>
              <w:ind w:left="0" w:right="113"/>
              <w:jc w:val="right"/>
              <w:rPr>
                <w:sz w:val="18"/>
              </w:rPr>
            </w:pPr>
            <w:r w:rsidRPr="002F6DC4">
              <w:rPr>
                <w:sz w:val="18"/>
              </w:rPr>
              <w:t>4.1</w:t>
            </w:r>
          </w:p>
        </w:tc>
        <w:tc>
          <w:tcPr>
            <w:tcW w:w="783" w:type="dxa"/>
            <w:tcBorders>
              <w:top w:val="single" w:sz="12" w:space="0" w:color="auto"/>
            </w:tcBorders>
            <w:shd w:val="clear" w:color="auto" w:fill="auto"/>
            <w:vAlign w:val="bottom"/>
          </w:tcPr>
          <w:p w:rsidR="00BB603A" w:rsidRPr="002F6DC4" w:rsidRDefault="00BB603A" w:rsidP="002F6DC4">
            <w:pPr>
              <w:pStyle w:val="SingleTxtG"/>
              <w:spacing w:before="40" w:after="40" w:line="220" w:lineRule="exact"/>
              <w:ind w:left="0" w:right="113"/>
              <w:jc w:val="right"/>
              <w:rPr>
                <w:sz w:val="18"/>
              </w:rPr>
            </w:pPr>
            <w:r w:rsidRPr="002F6DC4">
              <w:rPr>
                <w:sz w:val="18"/>
              </w:rPr>
              <w:t>3.7</w:t>
            </w:r>
          </w:p>
        </w:tc>
        <w:tc>
          <w:tcPr>
            <w:tcW w:w="769" w:type="dxa"/>
            <w:tcBorders>
              <w:top w:val="single" w:sz="12" w:space="0" w:color="auto"/>
            </w:tcBorders>
            <w:shd w:val="clear" w:color="auto" w:fill="auto"/>
            <w:vAlign w:val="bottom"/>
          </w:tcPr>
          <w:p w:rsidR="00BB603A" w:rsidRPr="002F6DC4" w:rsidRDefault="00BB603A" w:rsidP="002F6DC4">
            <w:pPr>
              <w:pStyle w:val="SingleTxtG"/>
              <w:spacing w:before="40" w:after="40" w:line="220" w:lineRule="exact"/>
              <w:ind w:left="0" w:right="113"/>
              <w:jc w:val="right"/>
              <w:rPr>
                <w:sz w:val="18"/>
              </w:rPr>
            </w:pPr>
            <w:r w:rsidRPr="002F6DC4">
              <w:rPr>
                <w:sz w:val="18"/>
              </w:rPr>
              <w:t>3.9</w:t>
            </w:r>
          </w:p>
        </w:tc>
        <w:tc>
          <w:tcPr>
            <w:tcW w:w="809" w:type="dxa"/>
            <w:tcBorders>
              <w:top w:val="single" w:sz="12" w:space="0" w:color="auto"/>
            </w:tcBorders>
            <w:shd w:val="clear" w:color="auto" w:fill="auto"/>
            <w:vAlign w:val="bottom"/>
          </w:tcPr>
          <w:p w:rsidR="00BB603A" w:rsidRPr="002F6DC4" w:rsidRDefault="00BB603A" w:rsidP="002F6DC4">
            <w:pPr>
              <w:pStyle w:val="SingleTxtG"/>
              <w:spacing w:before="40" w:after="40" w:line="220" w:lineRule="exact"/>
              <w:ind w:left="0" w:right="113"/>
              <w:jc w:val="right"/>
              <w:rPr>
                <w:sz w:val="18"/>
              </w:rPr>
            </w:pPr>
            <w:r w:rsidRPr="002F6DC4">
              <w:rPr>
                <w:sz w:val="18"/>
              </w:rPr>
              <w:t>1.6</w:t>
            </w:r>
          </w:p>
        </w:tc>
        <w:tc>
          <w:tcPr>
            <w:tcW w:w="1015" w:type="dxa"/>
            <w:tcBorders>
              <w:top w:val="single" w:sz="12" w:space="0" w:color="auto"/>
            </w:tcBorders>
            <w:shd w:val="clear" w:color="auto" w:fill="auto"/>
            <w:vAlign w:val="bottom"/>
          </w:tcPr>
          <w:p w:rsidR="00BB603A" w:rsidRPr="002F6DC4" w:rsidRDefault="00BB603A" w:rsidP="002F6DC4">
            <w:pPr>
              <w:pStyle w:val="SingleTxtG"/>
              <w:spacing w:before="40" w:after="40" w:line="220" w:lineRule="exact"/>
              <w:ind w:left="0" w:right="113"/>
              <w:jc w:val="right"/>
              <w:rPr>
                <w:sz w:val="18"/>
              </w:rPr>
            </w:pPr>
            <w:r w:rsidRPr="002F6DC4">
              <w:rPr>
                <w:sz w:val="18"/>
              </w:rPr>
              <w:t>6.4</w:t>
            </w:r>
          </w:p>
        </w:tc>
      </w:tr>
      <w:tr w:rsidR="002F6DC4" w:rsidRPr="002F6DC4" w:rsidTr="00B77308">
        <w:trPr>
          <w:cantSplit/>
        </w:trPr>
        <w:tc>
          <w:tcPr>
            <w:tcW w:w="1512" w:type="dxa"/>
            <w:shd w:val="clear" w:color="auto" w:fill="auto"/>
          </w:tcPr>
          <w:p w:rsidR="00BB603A" w:rsidRPr="002F6DC4" w:rsidRDefault="00BB603A" w:rsidP="002F6DC4">
            <w:pPr>
              <w:pStyle w:val="SingleTxtG"/>
              <w:spacing w:before="40" w:after="40" w:line="220" w:lineRule="exact"/>
              <w:ind w:left="0" w:right="113"/>
              <w:jc w:val="left"/>
              <w:rPr>
                <w:sz w:val="18"/>
              </w:rPr>
            </w:pPr>
            <w:r w:rsidRPr="002F6DC4">
              <w:rPr>
                <w:sz w:val="18"/>
              </w:rPr>
              <w:t>2013</w:t>
            </w:r>
          </w:p>
        </w:tc>
        <w:tc>
          <w:tcPr>
            <w:tcW w:w="917" w:type="dxa"/>
            <w:shd w:val="clear" w:color="auto" w:fill="auto"/>
            <w:vAlign w:val="bottom"/>
          </w:tcPr>
          <w:p w:rsidR="00BB603A" w:rsidRPr="002F6DC4" w:rsidRDefault="00BB603A" w:rsidP="002F6DC4">
            <w:pPr>
              <w:pStyle w:val="SingleTxtG"/>
              <w:spacing w:before="40" w:after="40" w:line="220" w:lineRule="exact"/>
              <w:ind w:left="0" w:right="113"/>
              <w:jc w:val="right"/>
              <w:rPr>
                <w:sz w:val="18"/>
              </w:rPr>
            </w:pPr>
          </w:p>
        </w:tc>
        <w:tc>
          <w:tcPr>
            <w:tcW w:w="916" w:type="dxa"/>
            <w:shd w:val="clear" w:color="auto" w:fill="auto"/>
            <w:vAlign w:val="bottom"/>
          </w:tcPr>
          <w:p w:rsidR="00BB603A" w:rsidRPr="002F6DC4" w:rsidRDefault="00BB603A" w:rsidP="002F6DC4">
            <w:pPr>
              <w:pStyle w:val="SingleTxtG"/>
              <w:spacing w:before="40" w:after="40" w:line="220" w:lineRule="exact"/>
              <w:ind w:left="0" w:right="113"/>
              <w:jc w:val="right"/>
              <w:rPr>
                <w:sz w:val="18"/>
              </w:rPr>
            </w:pPr>
            <w:r w:rsidRPr="002F6DC4">
              <w:rPr>
                <w:sz w:val="18"/>
              </w:rPr>
              <w:t>22.7</w:t>
            </w:r>
          </w:p>
        </w:tc>
        <w:tc>
          <w:tcPr>
            <w:tcW w:w="880" w:type="dxa"/>
            <w:shd w:val="clear" w:color="auto" w:fill="auto"/>
            <w:vAlign w:val="bottom"/>
          </w:tcPr>
          <w:p w:rsidR="00BB603A" w:rsidRPr="002F6DC4" w:rsidRDefault="00BB603A" w:rsidP="002F6DC4">
            <w:pPr>
              <w:pStyle w:val="SingleTxtG"/>
              <w:spacing w:before="40" w:after="40" w:line="220" w:lineRule="exact"/>
              <w:ind w:left="0" w:right="113"/>
              <w:jc w:val="right"/>
              <w:rPr>
                <w:sz w:val="18"/>
              </w:rPr>
            </w:pPr>
            <w:r w:rsidRPr="002F6DC4">
              <w:rPr>
                <w:sz w:val="18"/>
              </w:rPr>
              <w:t>10.6</w:t>
            </w:r>
          </w:p>
        </w:tc>
        <w:tc>
          <w:tcPr>
            <w:tcW w:w="793" w:type="dxa"/>
            <w:shd w:val="clear" w:color="auto" w:fill="auto"/>
            <w:vAlign w:val="bottom"/>
          </w:tcPr>
          <w:p w:rsidR="00BB603A" w:rsidRPr="002F6DC4" w:rsidRDefault="00BB603A" w:rsidP="002F6DC4">
            <w:pPr>
              <w:pStyle w:val="SingleTxtG"/>
              <w:spacing w:before="40" w:after="40" w:line="220" w:lineRule="exact"/>
              <w:ind w:left="0" w:right="113"/>
              <w:jc w:val="right"/>
              <w:rPr>
                <w:sz w:val="18"/>
              </w:rPr>
            </w:pPr>
            <w:r w:rsidRPr="002F6DC4">
              <w:rPr>
                <w:sz w:val="18"/>
              </w:rPr>
              <w:t>6.7</w:t>
            </w:r>
          </w:p>
        </w:tc>
        <w:tc>
          <w:tcPr>
            <w:tcW w:w="793" w:type="dxa"/>
            <w:shd w:val="clear" w:color="auto" w:fill="auto"/>
            <w:vAlign w:val="bottom"/>
          </w:tcPr>
          <w:p w:rsidR="00BB603A" w:rsidRPr="002F6DC4" w:rsidRDefault="00BB603A" w:rsidP="002F6DC4">
            <w:pPr>
              <w:pStyle w:val="SingleTxtG"/>
              <w:spacing w:before="40" w:after="40" w:line="220" w:lineRule="exact"/>
              <w:ind w:left="0" w:right="113"/>
              <w:jc w:val="right"/>
              <w:rPr>
                <w:sz w:val="18"/>
              </w:rPr>
            </w:pPr>
            <w:r w:rsidRPr="002F6DC4">
              <w:rPr>
                <w:sz w:val="18"/>
              </w:rPr>
              <w:t>4.7</w:t>
            </w:r>
          </w:p>
        </w:tc>
        <w:tc>
          <w:tcPr>
            <w:tcW w:w="793" w:type="dxa"/>
            <w:shd w:val="clear" w:color="auto" w:fill="auto"/>
            <w:vAlign w:val="bottom"/>
          </w:tcPr>
          <w:p w:rsidR="00BB603A" w:rsidRPr="002F6DC4" w:rsidRDefault="00BB603A" w:rsidP="002F6DC4">
            <w:pPr>
              <w:pStyle w:val="SingleTxtG"/>
              <w:spacing w:before="40" w:after="40" w:line="220" w:lineRule="exact"/>
              <w:ind w:left="0" w:right="113"/>
              <w:jc w:val="right"/>
              <w:rPr>
                <w:sz w:val="18"/>
              </w:rPr>
            </w:pPr>
            <w:r w:rsidRPr="002F6DC4">
              <w:rPr>
                <w:sz w:val="18"/>
              </w:rPr>
              <w:t>4.5</w:t>
            </w:r>
          </w:p>
        </w:tc>
        <w:tc>
          <w:tcPr>
            <w:tcW w:w="793" w:type="dxa"/>
            <w:shd w:val="clear" w:color="auto" w:fill="auto"/>
            <w:vAlign w:val="bottom"/>
          </w:tcPr>
          <w:p w:rsidR="00BB603A" w:rsidRPr="002F6DC4" w:rsidRDefault="00BB603A" w:rsidP="002F6DC4">
            <w:pPr>
              <w:pStyle w:val="SingleTxtG"/>
              <w:spacing w:before="40" w:after="40" w:line="220" w:lineRule="exact"/>
              <w:ind w:left="0" w:right="113"/>
              <w:jc w:val="right"/>
              <w:rPr>
                <w:sz w:val="18"/>
              </w:rPr>
            </w:pPr>
            <w:r w:rsidRPr="002F6DC4">
              <w:rPr>
                <w:sz w:val="18"/>
              </w:rPr>
              <w:t>3.9</w:t>
            </w:r>
          </w:p>
        </w:tc>
        <w:tc>
          <w:tcPr>
            <w:tcW w:w="793" w:type="dxa"/>
            <w:shd w:val="clear" w:color="auto" w:fill="auto"/>
            <w:vAlign w:val="bottom"/>
          </w:tcPr>
          <w:p w:rsidR="00BB603A" w:rsidRPr="002F6DC4" w:rsidRDefault="00BB603A" w:rsidP="002F6DC4">
            <w:pPr>
              <w:pStyle w:val="SingleTxtG"/>
              <w:spacing w:before="40" w:after="40" w:line="220" w:lineRule="exact"/>
              <w:ind w:left="0" w:right="113"/>
              <w:jc w:val="right"/>
              <w:rPr>
                <w:sz w:val="18"/>
              </w:rPr>
            </w:pPr>
            <w:r w:rsidRPr="002F6DC4">
              <w:rPr>
                <w:sz w:val="18"/>
              </w:rPr>
              <w:t>3.7</w:t>
            </w:r>
          </w:p>
        </w:tc>
        <w:tc>
          <w:tcPr>
            <w:tcW w:w="793" w:type="dxa"/>
            <w:shd w:val="clear" w:color="auto" w:fill="auto"/>
            <w:vAlign w:val="bottom"/>
          </w:tcPr>
          <w:p w:rsidR="00BB603A" w:rsidRPr="002F6DC4" w:rsidRDefault="00BB603A" w:rsidP="002F6DC4">
            <w:pPr>
              <w:pStyle w:val="SingleTxtG"/>
              <w:spacing w:before="40" w:after="40" w:line="220" w:lineRule="exact"/>
              <w:ind w:left="0" w:right="113"/>
              <w:jc w:val="right"/>
              <w:rPr>
                <w:sz w:val="18"/>
              </w:rPr>
            </w:pPr>
            <w:r w:rsidRPr="002F6DC4">
              <w:rPr>
                <w:sz w:val="18"/>
              </w:rPr>
              <w:t>3.4</w:t>
            </w:r>
          </w:p>
        </w:tc>
        <w:tc>
          <w:tcPr>
            <w:tcW w:w="783" w:type="dxa"/>
            <w:shd w:val="clear" w:color="auto" w:fill="auto"/>
            <w:vAlign w:val="bottom"/>
          </w:tcPr>
          <w:p w:rsidR="00BB603A" w:rsidRPr="002F6DC4" w:rsidRDefault="00BB603A" w:rsidP="002F6DC4">
            <w:pPr>
              <w:pStyle w:val="SingleTxtG"/>
              <w:spacing w:before="40" w:after="40" w:line="220" w:lineRule="exact"/>
              <w:ind w:left="0" w:right="113"/>
              <w:jc w:val="right"/>
              <w:rPr>
                <w:sz w:val="18"/>
              </w:rPr>
            </w:pPr>
            <w:r w:rsidRPr="002F6DC4">
              <w:rPr>
                <w:sz w:val="18"/>
              </w:rPr>
              <w:t>3.7</w:t>
            </w:r>
          </w:p>
        </w:tc>
        <w:tc>
          <w:tcPr>
            <w:tcW w:w="769" w:type="dxa"/>
            <w:shd w:val="clear" w:color="auto" w:fill="auto"/>
            <w:vAlign w:val="bottom"/>
          </w:tcPr>
          <w:p w:rsidR="00BB603A" w:rsidRPr="002F6DC4" w:rsidRDefault="00BB603A" w:rsidP="002F6DC4">
            <w:pPr>
              <w:pStyle w:val="SingleTxtG"/>
              <w:spacing w:before="40" w:after="40" w:line="220" w:lineRule="exact"/>
              <w:ind w:left="0" w:right="113"/>
              <w:jc w:val="right"/>
              <w:rPr>
                <w:sz w:val="18"/>
              </w:rPr>
            </w:pPr>
            <w:r w:rsidRPr="002F6DC4">
              <w:rPr>
                <w:sz w:val="18"/>
              </w:rPr>
              <w:t>3.6</w:t>
            </w:r>
          </w:p>
        </w:tc>
        <w:tc>
          <w:tcPr>
            <w:tcW w:w="809" w:type="dxa"/>
            <w:shd w:val="clear" w:color="auto" w:fill="auto"/>
            <w:vAlign w:val="bottom"/>
          </w:tcPr>
          <w:p w:rsidR="00BB603A" w:rsidRPr="002F6DC4" w:rsidRDefault="00BB603A" w:rsidP="002F6DC4">
            <w:pPr>
              <w:pStyle w:val="SingleTxtG"/>
              <w:spacing w:before="40" w:after="40" w:line="220" w:lineRule="exact"/>
              <w:ind w:left="0" w:right="113"/>
              <w:jc w:val="right"/>
              <w:rPr>
                <w:sz w:val="18"/>
              </w:rPr>
            </w:pPr>
            <w:r w:rsidRPr="002F6DC4">
              <w:rPr>
                <w:sz w:val="18"/>
              </w:rPr>
              <w:t>1.6</w:t>
            </w:r>
          </w:p>
        </w:tc>
        <w:tc>
          <w:tcPr>
            <w:tcW w:w="1015" w:type="dxa"/>
            <w:shd w:val="clear" w:color="auto" w:fill="auto"/>
            <w:vAlign w:val="bottom"/>
          </w:tcPr>
          <w:p w:rsidR="00BB603A" w:rsidRPr="002F6DC4" w:rsidRDefault="00BB603A" w:rsidP="002F6DC4">
            <w:pPr>
              <w:pStyle w:val="SingleTxtG"/>
              <w:spacing w:before="40" w:after="40" w:line="220" w:lineRule="exact"/>
              <w:ind w:left="0" w:right="113"/>
              <w:jc w:val="right"/>
              <w:rPr>
                <w:sz w:val="18"/>
              </w:rPr>
            </w:pPr>
            <w:r w:rsidRPr="002F6DC4">
              <w:rPr>
                <w:sz w:val="18"/>
              </w:rPr>
              <w:t>5.8</w:t>
            </w:r>
          </w:p>
        </w:tc>
      </w:tr>
      <w:tr w:rsidR="002F6DC4" w:rsidRPr="002F6DC4" w:rsidTr="00B77308">
        <w:trPr>
          <w:cantSplit/>
        </w:trPr>
        <w:tc>
          <w:tcPr>
            <w:tcW w:w="1512" w:type="dxa"/>
            <w:shd w:val="clear" w:color="auto" w:fill="auto"/>
          </w:tcPr>
          <w:p w:rsidR="00BB603A" w:rsidRPr="002F6DC4" w:rsidRDefault="00BB603A" w:rsidP="002F6DC4">
            <w:pPr>
              <w:pStyle w:val="SingleTxtG"/>
              <w:spacing w:before="40" w:after="40" w:line="220" w:lineRule="exact"/>
              <w:ind w:left="0" w:right="113"/>
              <w:jc w:val="left"/>
              <w:rPr>
                <w:sz w:val="18"/>
              </w:rPr>
            </w:pPr>
            <w:r w:rsidRPr="002F6DC4">
              <w:rPr>
                <w:sz w:val="18"/>
              </w:rPr>
              <w:t>2014</w:t>
            </w:r>
          </w:p>
        </w:tc>
        <w:tc>
          <w:tcPr>
            <w:tcW w:w="917" w:type="dxa"/>
            <w:shd w:val="clear" w:color="auto" w:fill="auto"/>
            <w:vAlign w:val="bottom"/>
          </w:tcPr>
          <w:p w:rsidR="00BB603A" w:rsidRPr="002F6DC4" w:rsidRDefault="00BB603A" w:rsidP="002F6DC4">
            <w:pPr>
              <w:pStyle w:val="SingleTxtG"/>
              <w:spacing w:before="40" w:after="40" w:line="220" w:lineRule="exact"/>
              <w:ind w:left="0" w:right="113"/>
              <w:jc w:val="right"/>
              <w:rPr>
                <w:sz w:val="18"/>
              </w:rPr>
            </w:pPr>
          </w:p>
        </w:tc>
        <w:tc>
          <w:tcPr>
            <w:tcW w:w="916" w:type="dxa"/>
            <w:shd w:val="clear" w:color="auto" w:fill="auto"/>
            <w:vAlign w:val="bottom"/>
          </w:tcPr>
          <w:p w:rsidR="00BB603A" w:rsidRPr="002F6DC4" w:rsidRDefault="00BB603A" w:rsidP="002F6DC4">
            <w:pPr>
              <w:pStyle w:val="SingleTxtG"/>
              <w:spacing w:before="40" w:after="40" w:line="220" w:lineRule="exact"/>
              <w:ind w:left="0" w:right="113"/>
              <w:jc w:val="right"/>
              <w:rPr>
                <w:sz w:val="18"/>
              </w:rPr>
            </w:pPr>
            <w:r w:rsidRPr="002F6DC4">
              <w:rPr>
                <w:sz w:val="18"/>
              </w:rPr>
              <w:t>19.9</w:t>
            </w:r>
          </w:p>
        </w:tc>
        <w:tc>
          <w:tcPr>
            <w:tcW w:w="880" w:type="dxa"/>
            <w:shd w:val="clear" w:color="auto" w:fill="auto"/>
            <w:vAlign w:val="bottom"/>
          </w:tcPr>
          <w:p w:rsidR="00BB603A" w:rsidRPr="002F6DC4" w:rsidRDefault="00BB603A" w:rsidP="002F6DC4">
            <w:pPr>
              <w:pStyle w:val="SingleTxtG"/>
              <w:spacing w:before="40" w:after="40" w:line="220" w:lineRule="exact"/>
              <w:ind w:left="0" w:right="113"/>
              <w:jc w:val="right"/>
              <w:rPr>
                <w:sz w:val="18"/>
              </w:rPr>
            </w:pPr>
            <w:r w:rsidRPr="002F6DC4">
              <w:rPr>
                <w:sz w:val="18"/>
              </w:rPr>
              <w:t>10.4</w:t>
            </w:r>
          </w:p>
        </w:tc>
        <w:tc>
          <w:tcPr>
            <w:tcW w:w="793" w:type="dxa"/>
            <w:shd w:val="clear" w:color="auto" w:fill="auto"/>
            <w:vAlign w:val="bottom"/>
          </w:tcPr>
          <w:p w:rsidR="00BB603A" w:rsidRPr="002F6DC4" w:rsidRDefault="00BB603A" w:rsidP="002F6DC4">
            <w:pPr>
              <w:pStyle w:val="SingleTxtG"/>
              <w:spacing w:before="40" w:after="40" w:line="220" w:lineRule="exact"/>
              <w:ind w:left="0" w:right="113"/>
              <w:jc w:val="right"/>
              <w:rPr>
                <w:sz w:val="18"/>
              </w:rPr>
            </w:pPr>
            <w:r w:rsidRPr="002F6DC4">
              <w:rPr>
                <w:sz w:val="18"/>
              </w:rPr>
              <w:t>6.1</w:t>
            </w:r>
          </w:p>
        </w:tc>
        <w:tc>
          <w:tcPr>
            <w:tcW w:w="793" w:type="dxa"/>
            <w:shd w:val="clear" w:color="auto" w:fill="auto"/>
            <w:vAlign w:val="bottom"/>
          </w:tcPr>
          <w:p w:rsidR="00BB603A" w:rsidRPr="002F6DC4" w:rsidRDefault="00BB603A" w:rsidP="002F6DC4">
            <w:pPr>
              <w:pStyle w:val="SingleTxtG"/>
              <w:spacing w:before="40" w:after="40" w:line="220" w:lineRule="exact"/>
              <w:ind w:left="0" w:right="113"/>
              <w:jc w:val="right"/>
              <w:rPr>
                <w:sz w:val="18"/>
              </w:rPr>
            </w:pPr>
            <w:r w:rsidRPr="002F6DC4">
              <w:rPr>
                <w:sz w:val="18"/>
              </w:rPr>
              <w:t>4.9</w:t>
            </w:r>
          </w:p>
        </w:tc>
        <w:tc>
          <w:tcPr>
            <w:tcW w:w="793" w:type="dxa"/>
            <w:shd w:val="clear" w:color="auto" w:fill="auto"/>
            <w:vAlign w:val="bottom"/>
          </w:tcPr>
          <w:p w:rsidR="00BB603A" w:rsidRPr="002F6DC4" w:rsidRDefault="00BB603A" w:rsidP="002F6DC4">
            <w:pPr>
              <w:pStyle w:val="SingleTxtG"/>
              <w:spacing w:before="40" w:after="40" w:line="220" w:lineRule="exact"/>
              <w:ind w:left="0" w:right="113"/>
              <w:jc w:val="right"/>
              <w:rPr>
                <w:sz w:val="18"/>
              </w:rPr>
            </w:pPr>
            <w:r w:rsidRPr="002F6DC4">
              <w:rPr>
                <w:sz w:val="18"/>
              </w:rPr>
              <w:t>3.7</w:t>
            </w:r>
          </w:p>
        </w:tc>
        <w:tc>
          <w:tcPr>
            <w:tcW w:w="793" w:type="dxa"/>
            <w:shd w:val="clear" w:color="auto" w:fill="auto"/>
            <w:vAlign w:val="bottom"/>
          </w:tcPr>
          <w:p w:rsidR="00BB603A" w:rsidRPr="002F6DC4" w:rsidRDefault="00BB603A" w:rsidP="002F6DC4">
            <w:pPr>
              <w:pStyle w:val="SingleTxtG"/>
              <w:spacing w:before="40" w:after="40" w:line="220" w:lineRule="exact"/>
              <w:ind w:left="0" w:right="113"/>
              <w:jc w:val="right"/>
              <w:rPr>
                <w:sz w:val="18"/>
              </w:rPr>
            </w:pPr>
            <w:r w:rsidRPr="002F6DC4">
              <w:rPr>
                <w:sz w:val="18"/>
              </w:rPr>
              <w:t>4.0</w:t>
            </w:r>
          </w:p>
        </w:tc>
        <w:tc>
          <w:tcPr>
            <w:tcW w:w="793" w:type="dxa"/>
            <w:shd w:val="clear" w:color="auto" w:fill="auto"/>
            <w:vAlign w:val="bottom"/>
          </w:tcPr>
          <w:p w:rsidR="00BB603A" w:rsidRPr="002F6DC4" w:rsidRDefault="00BB603A" w:rsidP="002F6DC4">
            <w:pPr>
              <w:pStyle w:val="SingleTxtG"/>
              <w:spacing w:before="40" w:after="40" w:line="220" w:lineRule="exact"/>
              <w:ind w:left="0" w:right="113"/>
              <w:jc w:val="right"/>
              <w:rPr>
                <w:sz w:val="18"/>
              </w:rPr>
            </w:pPr>
            <w:r w:rsidRPr="002F6DC4">
              <w:rPr>
                <w:sz w:val="18"/>
              </w:rPr>
              <w:t>3.8</w:t>
            </w:r>
          </w:p>
        </w:tc>
        <w:tc>
          <w:tcPr>
            <w:tcW w:w="793" w:type="dxa"/>
            <w:shd w:val="clear" w:color="auto" w:fill="auto"/>
            <w:vAlign w:val="bottom"/>
          </w:tcPr>
          <w:p w:rsidR="00BB603A" w:rsidRPr="002F6DC4" w:rsidRDefault="00BB603A" w:rsidP="002F6DC4">
            <w:pPr>
              <w:pStyle w:val="SingleTxtG"/>
              <w:spacing w:before="40" w:after="40" w:line="220" w:lineRule="exact"/>
              <w:ind w:left="0" w:right="113"/>
              <w:jc w:val="right"/>
              <w:rPr>
                <w:sz w:val="18"/>
              </w:rPr>
            </w:pPr>
            <w:r w:rsidRPr="002F6DC4">
              <w:rPr>
                <w:sz w:val="18"/>
              </w:rPr>
              <w:t>3.0</w:t>
            </w:r>
          </w:p>
        </w:tc>
        <w:tc>
          <w:tcPr>
            <w:tcW w:w="783" w:type="dxa"/>
            <w:shd w:val="clear" w:color="auto" w:fill="auto"/>
            <w:vAlign w:val="bottom"/>
          </w:tcPr>
          <w:p w:rsidR="00BB603A" w:rsidRPr="002F6DC4" w:rsidRDefault="00BB603A" w:rsidP="002F6DC4">
            <w:pPr>
              <w:pStyle w:val="SingleTxtG"/>
              <w:spacing w:before="40" w:after="40" w:line="220" w:lineRule="exact"/>
              <w:ind w:left="0" w:right="113"/>
              <w:jc w:val="right"/>
              <w:rPr>
                <w:sz w:val="18"/>
              </w:rPr>
            </w:pPr>
            <w:r w:rsidRPr="002F6DC4">
              <w:rPr>
                <w:sz w:val="18"/>
              </w:rPr>
              <w:t>3.0</w:t>
            </w:r>
          </w:p>
        </w:tc>
        <w:tc>
          <w:tcPr>
            <w:tcW w:w="769" w:type="dxa"/>
            <w:shd w:val="clear" w:color="auto" w:fill="auto"/>
            <w:vAlign w:val="bottom"/>
          </w:tcPr>
          <w:p w:rsidR="00BB603A" w:rsidRPr="002F6DC4" w:rsidRDefault="00BB603A" w:rsidP="002F6DC4">
            <w:pPr>
              <w:pStyle w:val="SingleTxtG"/>
              <w:spacing w:before="40" w:after="40" w:line="220" w:lineRule="exact"/>
              <w:ind w:left="0" w:right="113"/>
              <w:jc w:val="right"/>
              <w:rPr>
                <w:sz w:val="18"/>
              </w:rPr>
            </w:pPr>
            <w:r w:rsidRPr="002F6DC4">
              <w:rPr>
                <w:sz w:val="18"/>
              </w:rPr>
              <w:t>2.9</w:t>
            </w:r>
          </w:p>
        </w:tc>
        <w:tc>
          <w:tcPr>
            <w:tcW w:w="809" w:type="dxa"/>
            <w:shd w:val="clear" w:color="auto" w:fill="auto"/>
            <w:vAlign w:val="bottom"/>
          </w:tcPr>
          <w:p w:rsidR="00BB603A" w:rsidRPr="002F6DC4" w:rsidRDefault="00BB603A" w:rsidP="002F6DC4">
            <w:pPr>
              <w:pStyle w:val="SingleTxtG"/>
              <w:spacing w:before="40" w:after="40" w:line="220" w:lineRule="exact"/>
              <w:ind w:left="0" w:right="113"/>
              <w:jc w:val="right"/>
              <w:rPr>
                <w:sz w:val="18"/>
              </w:rPr>
            </w:pPr>
            <w:r w:rsidRPr="002F6DC4">
              <w:rPr>
                <w:sz w:val="18"/>
              </w:rPr>
              <w:t>1.6</w:t>
            </w:r>
          </w:p>
        </w:tc>
        <w:tc>
          <w:tcPr>
            <w:tcW w:w="1015" w:type="dxa"/>
            <w:shd w:val="clear" w:color="auto" w:fill="auto"/>
            <w:vAlign w:val="bottom"/>
          </w:tcPr>
          <w:p w:rsidR="00BB603A" w:rsidRPr="002F6DC4" w:rsidRDefault="00BB603A" w:rsidP="002F6DC4">
            <w:pPr>
              <w:pStyle w:val="SingleTxtG"/>
              <w:spacing w:before="40" w:after="40" w:line="220" w:lineRule="exact"/>
              <w:ind w:left="0" w:right="113"/>
              <w:jc w:val="right"/>
              <w:rPr>
                <w:sz w:val="18"/>
              </w:rPr>
            </w:pPr>
            <w:r w:rsidRPr="002F6DC4">
              <w:rPr>
                <w:sz w:val="18"/>
              </w:rPr>
              <w:t>5.4</w:t>
            </w:r>
          </w:p>
        </w:tc>
      </w:tr>
      <w:tr w:rsidR="002F6DC4" w:rsidRPr="002F6DC4" w:rsidTr="00B77308">
        <w:trPr>
          <w:cantSplit/>
        </w:trPr>
        <w:tc>
          <w:tcPr>
            <w:tcW w:w="1512" w:type="dxa"/>
            <w:shd w:val="clear" w:color="auto" w:fill="auto"/>
          </w:tcPr>
          <w:p w:rsidR="00BB603A" w:rsidRPr="002F6DC4" w:rsidRDefault="00BB603A" w:rsidP="002F6DC4">
            <w:pPr>
              <w:pStyle w:val="SingleTxtG"/>
              <w:spacing w:before="40" w:after="40" w:line="220" w:lineRule="exact"/>
              <w:ind w:left="0" w:right="113"/>
              <w:jc w:val="left"/>
              <w:rPr>
                <w:sz w:val="18"/>
              </w:rPr>
            </w:pPr>
            <w:r w:rsidRPr="002F6DC4">
              <w:rPr>
                <w:sz w:val="18"/>
              </w:rPr>
              <w:t>2015</w:t>
            </w:r>
          </w:p>
        </w:tc>
        <w:tc>
          <w:tcPr>
            <w:tcW w:w="917" w:type="dxa"/>
            <w:shd w:val="clear" w:color="auto" w:fill="auto"/>
            <w:vAlign w:val="bottom"/>
          </w:tcPr>
          <w:p w:rsidR="00BB603A" w:rsidRPr="002F6DC4" w:rsidRDefault="00BB603A" w:rsidP="002F6DC4">
            <w:pPr>
              <w:pStyle w:val="SingleTxtG"/>
              <w:spacing w:before="40" w:after="40" w:line="220" w:lineRule="exact"/>
              <w:ind w:left="0" w:right="113"/>
              <w:jc w:val="right"/>
              <w:rPr>
                <w:sz w:val="18"/>
              </w:rPr>
            </w:pPr>
          </w:p>
        </w:tc>
        <w:tc>
          <w:tcPr>
            <w:tcW w:w="916" w:type="dxa"/>
            <w:shd w:val="clear" w:color="auto" w:fill="auto"/>
            <w:vAlign w:val="bottom"/>
          </w:tcPr>
          <w:p w:rsidR="00BB603A" w:rsidRPr="002F6DC4" w:rsidRDefault="00BB603A" w:rsidP="002F6DC4">
            <w:pPr>
              <w:pStyle w:val="SingleTxtG"/>
              <w:spacing w:before="40" w:after="40" w:line="220" w:lineRule="exact"/>
              <w:ind w:left="0" w:right="113"/>
              <w:jc w:val="right"/>
              <w:rPr>
                <w:sz w:val="18"/>
              </w:rPr>
            </w:pPr>
            <w:r w:rsidRPr="002F6DC4">
              <w:rPr>
                <w:sz w:val="18"/>
              </w:rPr>
              <w:t>20.3</w:t>
            </w:r>
          </w:p>
        </w:tc>
        <w:tc>
          <w:tcPr>
            <w:tcW w:w="880" w:type="dxa"/>
            <w:shd w:val="clear" w:color="auto" w:fill="auto"/>
            <w:vAlign w:val="bottom"/>
          </w:tcPr>
          <w:p w:rsidR="00BB603A" w:rsidRPr="002F6DC4" w:rsidRDefault="00BB603A" w:rsidP="002F6DC4">
            <w:pPr>
              <w:pStyle w:val="SingleTxtG"/>
              <w:spacing w:before="40" w:after="40" w:line="220" w:lineRule="exact"/>
              <w:ind w:left="0" w:right="113"/>
              <w:jc w:val="right"/>
              <w:rPr>
                <w:sz w:val="18"/>
              </w:rPr>
            </w:pPr>
            <w:r w:rsidRPr="002F6DC4">
              <w:rPr>
                <w:sz w:val="18"/>
              </w:rPr>
              <w:t>9.9</w:t>
            </w:r>
          </w:p>
        </w:tc>
        <w:tc>
          <w:tcPr>
            <w:tcW w:w="793" w:type="dxa"/>
            <w:shd w:val="clear" w:color="auto" w:fill="auto"/>
            <w:vAlign w:val="bottom"/>
          </w:tcPr>
          <w:p w:rsidR="00BB603A" w:rsidRPr="002F6DC4" w:rsidRDefault="00BB603A" w:rsidP="002F6DC4">
            <w:pPr>
              <w:pStyle w:val="SingleTxtG"/>
              <w:spacing w:before="40" w:after="40" w:line="220" w:lineRule="exact"/>
              <w:ind w:left="0" w:right="113"/>
              <w:jc w:val="right"/>
              <w:rPr>
                <w:sz w:val="18"/>
              </w:rPr>
            </w:pPr>
            <w:r w:rsidRPr="002F6DC4">
              <w:rPr>
                <w:sz w:val="18"/>
              </w:rPr>
              <w:t>6.2</w:t>
            </w:r>
          </w:p>
        </w:tc>
        <w:tc>
          <w:tcPr>
            <w:tcW w:w="793" w:type="dxa"/>
            <w:shd w:val="clear" w:color="auto" w:fill="auto"/>
            <w:vAlign w:val="bottom"/>
          </w:tcPr>
          <w:p w:rsidR="00BB603A" w:rsidRPr="002F6DC4" w:rsidRDefault="00BB603A" w:rsidP="002F6DC4">
            <w:pPr>
              <w:pStyle w:val="SingleTxtG"/>
              <w:spacing w:before="40" w:after="40" w:line="220" w:lineRule="exact"/>
              <w:ind w:left="0" w:right="113"/>
              <w:jc w:val="right"/>
              <w:rPr>
                <w:sz w:val="18"/>
              </w:rPr>
            </w:pPr>
            <w:r w:rsidRPr="002F6DC4">
              <w:rPr>
                <w:sz w:val="18"/>
              </w:rPr>
              <w:t>4.6</w:t>
            </w:r>
          </w:p>
        </w:tc>
        <w:tc>
          <w:tcPr>
            <w:tcW w:w="793" w:type="dxa"/>
            <w:shd w:val="clear" w:color="auto" w:fill="auto"/>
            <w:vAlign w:val="bottom"/>
          </w:tcPr>
          <w:p w:rsidR="00BB603A" w:rsidRPr="002F6DC4" w:rsidRDefault="00BB603A" w:rsidP="002F6DC4">
            <w:pPr>
              <w:pStyle w:val="SingleTxtG"/>
              <w:spacing w:before="40" w:after="40" w:line="220" w:lineRule="exact"/>
              <w:ind w:left="0" w:right="113"/>
              <w:jc w:val="right"/>
              <w:rPr>
                <w:sz w:val="18"/>
              </w:rPr>
            </w:pPr>
            <w:r w:rsidRPr="002F6DC4">
              <w:rPr>
                <w:sz w:val="18"/>
              </w:rPr>
              <w:t>3.3</w:t>
            </w:r>
          </w:p>
        </w:tc>
        <w:tc>
          <w:tcPr>
            <w:tcW w:w="793" w:type="dxa"/>
            <w:shd w:val="clear" w:color="auto" w:fill="auto"/>
            <w:vAlign w:val="bottom"/>
          </w:tcPr>
          <w:p w:rsidR="00BB603A" w:rsidRPr="002F6DC4" w:rsidRDefault="00BB603A" w:rsidP="002F6DC4">
            <w:pPr>
              <w:pStyle w:val="SingleTxtG"/>
              <w:spacing w:before="40" w:after="40" w:line="220" w:lineRule="exact"/>
              <w:ind w:left="0" w:right="113"/>
              <w:jc w:val="right"/>
              <w:rPr>
                <w:sz w:val="18"/>
              </w:rPr>
            </w:pPr>
            <w:r w:rsidRPr="002F6DC4">
              <w:rPr>
                <w:sz w:val="18"/>
              </w:rPr>
              <w:t>3.6</w:t>
            </w:r>
          </w:p>
        </w:tc>
        <w:tc>
          <w:tcPr>
            <w:tcW w:w="793" w:type="dxa"/>
            <w:shd w:val="clear" w:color="auto" w:fill="auto"/>
            <w:vAlign w:val="bottom"/>
          </w:tcPr>
          <w:p w:rsidR="00BB603A" w:rsidRPr="002F6DC4" w:rsidRDefault="00BB603A" w:rsidP="002F6DC4">
            <w:pPr>
              <w:pStyle w:val="SingleTxtG"/>
              <w:spacing w:before="40" w:after="40" w:line="220" w:lineRule="exact"/>
              <w:ind w:left="0" w:right="113"/>
              <w:jc w:val="right"/>
              <w:rPr>
                <w:sz w:val="18"/>
              </w:rPr>
            </w:pPr>
            <w:r w:rsidRPr="002F6DC4">
              <w:rPr>
                <w:sz w:val="18"/>
              </w:rPr>
              <w:t>3.3</w:t>
            </w:r>
          </w:p>
        </w:tc>
        <w:tc>
          <w:tcPr>
            <w:tcW w:w="793" w:type="dxa"/>
            <w:shd w:val="clear" w:color="auto" w:fill="auto"/>
            <w:vAlign w:val="bottom"/>
          </w:tcPr>
          <w:p w:rsidR="00BB603A" w:rsidRPr="002F6DC4" w:rsidRDefault="00BB603A" w:rsidP="002F6DC4">
            <w:pPr>
              <w:pStyle w:val="SingleTxtG"/>
              <w:spacing w:before="40" w:after="40" w:line="220" w:lineRule="exact"/>
              <w:ind w:left="0" w:right="113"/>
              <w:jc w:val="right"/>
              <w:rPr>
                <w:sz w:val="18"/>
              </w:rPr>
            </w:pPr>
            <w:r w:rsidRPr="002F6DC4">
              <w:rPr>
                <w:sz w:val="18"/>
              </w:rPr>
              <w:t>3.6</w:t>
            </w:r>
          </w:p>
        </w:tc>
        <w:tc>
          <w:tcPr>
            <w:tcW w:w="783" w:type="dxa"/>
            <w:shd w:val="clear" w:color="auto" w:fill="auto"/>
            <w:vAlign w:val="bottom"/>
          </w:tcPr>
          <w:p w:rsidR="00BB603A" w:rsidRPr="002F6DC4" w:rsidRDefault="00BB603A" w:rsidP="002F6DC4">
            <w:pPr>
              <w:pStyle w:val="SingleTxtG"/>
              <w:spacing w:before="40" w:after="40" w:line="220" w:lineRule="exact"/>
              <w:ind w:left="0" w:right="113"/>
              <w:jc w:val="right"/>
              <w:rPr>
                <w:sz w:val="18"/>
              </w:rPr>
            </w:pPr>
            <w:r w:rsidRPr="002F6DC4">
              <w:rPr>
                <w:sz w:val="18"/>
              </w:rPr>
              <w:t>3.5</w:t>
            </w:r>
          </w:p>
        </w:tc>
        <w:tc>
          <w:tcPr>
            <w:tcW w:w="769" w:type="dxa"/>
            <w:shd w:val="clear" w:color="auto" w:fill="auto"/>
            <w:vAlign w:val="bottom"/>
          </w:tcPr>
          <w:p w:rsidR="00BB603A" w:rsidRPr="002F6DC4" w:rsidRDefault="00BB603A" w:rsidP="002F6DC4">
            <w:pPr>
              <w:pStyle w:val="SingleTxtG"/>
              <w:spacing w:before="40" w:after="40" w:line="220" w:lineRule="exact"/>
              <w:ind w:left="0" w:right="113"/>
              <w:jc w:val="right"/>
              <w:rPr>
                <w:sz w:val="18"/>
              </w:rPr>
            </w:pPr>
            <w:r w:rsidRPr="002F6DC4">
              <w:rPr>
                <w:sz w:val="18"/>
              </w:rPr>
              <w:t>3.1</w:t>
            </w:r>
          </w:p>
        </w:tc>
        <w:tc>
          <w:tcPr>
            <w:tcW w:w="809" w:type="dxa"/>
            <w:shd w:val="clear" w:color="auto" w:fill="auto"/>
            <w:vAlign w:val="bottom"/>
          </w:tcPr>
          <w:p w:rsidR="00BB603A" w:rsidRPr="002F6DC4" w:rsidRDefault="00BB603A" w:rsidP="002F6DC4">
            <w:pPr>
              <w:pStyle w:val="SingleTxtG"/>
              <w:spacing w:before="40" w:after="40" w:line="220" w:lineRule="exact"/>
              <w:ind w:left="0" w:right="113"/>
              <w:jc w:val="right"/>
              <w:rPr>
                <w:sz w:val="18"/>
              </w:rPr>
            </w:pPr>
            <w:r w:rsidRPr="002F6DC4">
              <w:rPr>
                <w:sz w:val="18"/>
              </w:rPr>
              <w:t>1.5</w:t>
            </w:r>
          </w:p>
        </w:tc>
        <w:tc>
          <w:tcPr>
            <w:tcW w:w="1015" w:type="dxa"/>
            <w:shd w:val="clear" w:color="auto" w:fill="auto"/>
            <w:vAlign w:val="bottom"/>
          </w:tcPr>
          <w:p w:rsidR="00BB603A" w:rsidRPr="002F6DC4" w:rsidRDefault="00BB603A" w:rsidP="002F6DC4">
            <w:pPr>
              <w:pStyle w:val="SingleTxtG"/>
              <w:spacing w:before="40" w:after="40" w:line="220" w:lineRule="exact"/>
              <w:ind w:left="0" w:right="113"/>
              <w:jc w:val="right"/>
              <w:rPr>
                <w:sz w:val="18"/>
              </w:rPr>
            </w:pPr>
            <w:r w:rsidRPr="002F6DC4">
              <w:rPr>
                <w:sz w:val="18"/>
              </w:rPr>
              <w:t>5.4</w:t>
            </w:r>
          </w:p>
        </w:tc>
      </w:tr>
      <w:tr w:rsidR="002F6DC4" w:rsidRPr="002F6DC4" w:rsidTr="00B77308">
        <w:trPr>
          <w:cantSplit/>
        </w:trPr>
        <w:tc>
          <w:tcPr>
            <w:tcW w:w="1512" w:type="dxa"/>
            <w:shd w:val="clear" w:color="auto" w:fill="auto"/>
          </w:tcPr>
          <w:p w:rsidR="00BB603A" w:rsidRPr="002F6DC4" w:rsidRDefault="00BB603A" w:rsidP="002F6DC4">
            <w:pPr>
              <w:pStyle w:val="SingleTxtG"/>
              <w:spacing w:before="40" w:after="40" w:line="220" w:lineRule="exact"/>
              <w:ind w:left="0" w:right="113"/>
              <w:jc w:val="left"/>
              <w:rPr>
                <w:sz w:val="18"/>
              </w:rPr>
            </w:pPr>
            <w:r w:rsidRPr="002F6DC4">
              <w:rPr>
                <w:sz w:val="18"/>
              </w:rPr>
              <w:t>2016</w:t>
            </w:r>
          </w:p>
        </w:tc>
        <w:tc>
          <w:tcPr>
            <w:tcW w:w="917" w:type="dxa"/>
            <w:shd w:val="clear" w:color="auto" w:fill="auto"/>
            <w:vAlign w:val="bottom"/>
          </w:tcPr>
          <w:p w:rsidR="00BB603A" w:rsidRPr="002F6DC4" w:rsidRDefault="00BB603A" w:rsidP="002F6DC4">
            <w:pPr>
              <w:pStyle w:val="SingleTxtG"/>
              <w:spacing w:before="40" w:after="40" w:line="220" w:lineRule="exact"/>
              <w:ind w:left="0" w:right="113"/>
              <w:jc w:val="right"/>
              <w:rPr>
                <w:sz w:val="18"/>
              </w:rPr>
            </w:pPr>
          </w:p>
        </w:tc>
        <w:tc>
          <w:tcPr>
            <w:tcW w:w="916" w:type="dxa"/>
            <w:shd w:val="clear" w:color="auto" w:fill="auto"/>
            <w:vAlign w:val="bottom"/>
          </w:tcPr>
          <w:p w:rsidR="00BB603A" w:rsidRPr="002F6DC4" w:rsidRDefault="00BB603A" w:rsidP="002F6DC4">
            <w:pPr>
              <w:pStyle w:val="SingleTxtG"/>
              <w:spacing w:before="40" w:after="40" w:line="220" w:lineRule="exact"/>
              <w:ind w:left="0" w:right="113"/>
              <w:jc w:val="right"/>
              <w:rPr>
                <w:sz w:val="18"/>
              </w:rPr>
            </w:pPr>
            <w:r w:rsidRPr="002F6DC4">
              <w:rPr>
                <w:sz w:val="18"/>
              </w:rPr>
              <w:t>20.5</w:t>
            </w:r>
          </w:p>
        </w:tc>
        <w:tc>
          <w:tcPr>
            <w:tcW w:w="880" w:type="dxa"/>
            <w:shd w:val="clear" w:color="auto" w:fill="auto"/>
            <w:vAlign w:val="bottom"/>
          </w:tcPr>
          <w:p w:rsidR="00BB603A" w:rsidRPr="002F6DC4" w:rsidRDefault="00BB603A" w:rsidP="002F6DC4">
            <w:pPr>
              <w:pStyle w:val="SingleTxtG"/>
              <w:spacing w:before="40" w:after="40" w:line="220" w:lineRule="exact"/>
              <w:ind w:left="0" w:right="113"/>
              <w:jc w:val="right"/>
              <w:rPr>
                <w:sz w:val="18"/>
              </w:rPr>
            </w:pPr>
            <w:r w:rsidRPr="002F6DC4">
              <w:rPr>
                <w:sz w:val="18"/>
              </w:rPr>
              <w:t>9.3</w:t>
            </w:r>
          </w:p>
        </w:tc>
        <w:tc>
          <w:tcPr>
            <w:tcW w:w="793" w:type="dxa"/>
            <w:shd w:val="clear" w:color="auto" w:fill="auto"/>
            <w:vAlign w:val="bottom"/>
          </w:tcPr>
          <w:p w:rsidR="00BB603A" w:rsidRPr="002F6DC4" w:rsidRDefault="00BB603A" w:rsidP="002F6DC4">
            <w:pPr>
              <w:pStyle w:val="SingleTxtG"/>
              <w:spacing w:before="40" w:after="40" w:line="220" w:lineRule="exact"/>
              <w:ind w:left="0" w:right="113"/>
              <w:jc w:val="right"/>
              <w:rPr>
                <w:sz w:val="18"/>
              </w:rPr>
            </w:pPr>
            <w:r w:rsidRPr="002F6DC4">
              <w:rPr>
                <w:sz w:val="18"/>
              </w:rPr>
              <w:t>6.2</w:t>
            </w:r>
          </w:p>
        </w:tc>
        <w:tc>
          <w:tcPr>
            <w:tcW w:w="793" w:type="dxa"/>
            <w:shd w:val="clear" w:color="auto" w:fill="auto"/>
            <w:vAlign w:val="bottom"/>
          </w:tcPr>
          <w:p w:rsidR="00BB603A" w:rsidRPr="002F6DC4" w:rsidRDefault="00BB603A" w:rsidP="002F6DC4">
            <w:pPr>
              <w:pStyle w:val="SingleTxtG"/>
              <w:spacing w:before="40" w:after="40" w:line="220" w:lineRule="exact"/>
              <w:ind w:left="0" w:right="113"/>
              <w:jc w:val="right"/>
              <w:rPr>
                <w:sz w:val="18"/>
              </w:rPr>
            </w:pPr>
            <w:r w:rsidRPr="002F6DC4">
              <w:rPr>
                <w:sz w:val="18"/>
              </w:rPr>
              <w:t>4.4</w:t>
            </w:r>
          </w:p>
        </w:tc>
        <w:tc>
          <w:tcPr>
            <w:tcW w:w="793" w:type="dxa"/>
            <w:shd w:val="clear" w:color="auto" w:fill="auto"/>
            <w:vAlign w:val="bottom"/>
          </w:tcPr>
          <w:p w:rsidR="00BB603A" w:rsidRPr="002F6DC4" w:rsidRDefault="00BB603A" w:rsidP="002F6DC4">
            <w:pPr>
              <w:pStyle w:val="SingleTxtG"/>
              <w:spacing w:before="40" w:after="40" w:line="220" w:lineRule="exact"/>
              <w:ind w:left="0" w:right="113"/>
              <w:jc w:val="right"/>
              <w:rPr>
                <w:sz w:val="18"/>
              </w:rPr>
            </w:pPr>
            <w:r w:rsidRPr="002F6DC4">
              <w:rPr>
                <w:sz w:val="18"/>
              </w:rPr>
              <w:t>3.1</w:t>
            </w:r>
          </w:p>
        </w:tc>
        <w:tc>
          <w:tcPr>
            <w:tcW w:w="793" w:type="dxa"/>
            <w:shd w:val="clear" w:color="auto" w:fill="auto"/>
            <w:vAlign w:val="bottom"/>
          </w:tcPr>
          <w:p w:rsidR="00BB603A" w:rsidRPr="002F6DC4" w:rsidRDefault="00BB603A" w:rsidP="002F6DC4">
            <w:pPr>
              <w:pStyle w:val="SingleTxtG"/>
              <w:spacing w:before="40" w:after="40" w:line="220" w:lineRule="exact"/>
              <w:ind w:left="0" w:right="113"/>
              <w:jc w:val="right"/>
              <w:rPr>
                <w:sz w:val="18"/>
              </w:rPr>
            </w:pPr>
            <w:r w:rsidRPr="002F6DC4">
              <w:rPr>
                <w:sz w:val="18"/>
              </w:rPr>
              <w:t>3.2</w:t>
            </w:r>
          </w:p>
        </w:tc>
        <w:tc>
          <w:tcPr>
            <w:tcW w:w="793" w:type="dxa"/>
            <w:shd w:val="clear" w:color="auto" w:fill="auto"/>
            <w:vAlign w:val="bottom"/>
          </w:tcPr>
          <w:p w:rsidR="00BB603A" w:rsidRPr="002F6DC4" w:rsidRDefault="00BB603A" w:rsidP="002F6DC4">
            <w:pPr>
              <w:pStyle w:val="SingleTxtG"/>
              <w:spacing w:before="40" w:after="40" w:line="220" w:lineRule="exact"/>
              <w:ind w:left="0" w:right="113"/>
              <w:jc w:val="right"/>
              <w:rPr>
                <w:sz w:val="18"/>
              </w:rPr>
            </w:pPr>
            <w:r w:rsidRPr="002F6DC4">
              <w:rPr>
                <w:sz w:val="18"/>
              </w:rPr>
              <w:t>2.9</w:t>
            </w:r>
          </w:p>
        </w:tc>
        <w:tc>
          <w:tcPr>
            <w:tcW w:w="793" w:type="dxa"/>
            <w:shd w:val="clear" w:color="auto" w:fill="auto"/>
            <w:vAlign w:val="bottom"/>
          </w:tcPr>
          <w:p w:rsidR="00BB603A" w:rsidRPr="002F6DC4" w:rsidRDefault="00BB603A" w:rsidP="002F6DC4">
            <w:pPr>
              <w:pStyle w:val="SingleTxtG"/>
              <w:spacing w:before="40" w:after="40" w:line="220" w:lineRule="exact"/>
              <w:ind w:left="0" w:right="113"/>
              <w:jc w:val="right"/>
              <w:rPr>
                <w:sz w:val="18"/>
              </w:rPr>
            </w:pPr>
            <w:r w:rsidRPr="002F6DC4">
              <w:rPr>
                <w:sz w:val="18"/>
              </w:rPr>
              <w:t>3.4</w:t>
            </w:r>
          </w:p>
        </w:tc>
        <w:tc>
          <w:tcPr>
            <w:tcW w:w="783" w:type="dxa"/>
            <w:shd w:val="clear" w:color="auto" w:fill="auto"/>
            <w:vAlign w:val="bottom"/>
          </w:tcPr>
          <w:p w:rsidR="00BB603A" w:rsidRPr="002F6DC4" w:rsidRDefault="00BB603A" w:rsidP="002F6DC4">
            <w:pPr>
              <w:pStyle w:val="SingleTxtG"/>
              <w:spacing w:before="40" w:after="40" w:line="220" w:lineRule="exact"/>
              <w:ind w:left="0" w:right="113"/>
              <w:jc w:val="right"/>
              <w:rPr>
                <w:sz w:val="18"/>
              </w:rPr>
            </w:pPr>
            <w:r w:rsidRPr="002F6DC4">
              <w:rPr>
                <w:sz w:val="18"/>
              </w:rPr>
              <w:t>3.3</w:t>
            </w:r>
          </w:p>
        </w:tc>
        <w:tc>
          <w:tcPr>
            <w:tcW w:w="769" w:type="dxa"/>
            <w:shd w:val="clear" w:color="auto" w:fill="auto"/>
            <w:vAlign w:val="bottom"/>
          </w:tcPr>
          <w:p w:rsidR="00BB603A" w:rsidRPr="002F6DC4" w:rsidRDefault="00BB603A" w:rsidP="002F6DC4">
            <w:pPr>
              <w:pStyle w:val="SingleTxtG"/>
              <w:spacing w:before="40" w:after="40" w:line="220" w:lineRule="exact"/>
              <w:ind w:left="0" w:right="113"/>
              <w:jc w:val="right"/>
              <w:rPr>
                <w:sz w:val="18"/>
              </w:rPr>
            </w:pPr>
            <w:r w:rsidRPr="002F6DC4">
              <w:rPr>
                <w:sz w:val="18"/>
              </w:rPr>
              <w:t>3.0</w:t>
            </w:r>
          </w:p>
        </w:tc>
        <w:tc>
          <w:tcPr>
            <w:tcW w:w="809" w:type="dxa"/>
            <w:shd w:val="clear" w:color="auto" w:fill="auto"/>
            <w:vAlign w:val="bottom"/>
          </w:tcPr>
          <w:p w:rsidR="00BB603A" w:rsidRPr="002F6DC4" w:rsidRDefault="00BB603A" w:rsidP="002F6DC4">
            <w:pPr>
              <w:pStyle w:val="SingleTxtG"/>
              <w:spacing w:before="40" w:after="40" w:line="220" w:lineRule="exact"/>
              <w:ind w:left="0" w:right="113"/>
              <w:jc w:val="right"/>
              <w:rPr>
                <w:sz w:val="18"/>
              </w:rPr>
            </w:pPr>
            <w:r w:rsidRPr="002F6DC4">
              <w:rPr>
                <w:sz w:val="18"/>
              </w:rPr>
              <w:t>1.2</w:t>
            </w:r>
          </w:p>
        </w:tc>
        <w:tc>
          <w:tcPr>
            <w:tcW w:w="1015" w:type="dxa"/>
            <w:shd w:val="clear" w:color="auto" w:fill="auto"/>
            <w:vAlign w:val="bottom"/>
          </w:tcPr>
          <w:p w:rsidR="00BB603A" w:rsidRPr="002F6DC4" w:rsidRDefault="00BB603A" w:rsidP="002F6DC4">
            <w:pPr>
              <w:pStyle w:val="SingleTxtG"/>
              <w:spacing w:before="40" w:after="40" w:line="220" w:lineRule="exact"/>
              <w:ind w:left="0" w:right="113"/>
              <w:jc w:val="right"/>
              <w:rPr>
                <w:sz w:val="18"/>
              </w:rPr>
            </w:pPr>
            <w:r w:rsidRPr="002F6DC4">
              <w:rPr>
                <w:sz w:val="18"/>
              </w:rPr>
              <w:t>5.1</w:t>
            </w:r>
          </w:p>
        </w:tc>
      </w:tr>
    </w:tbl>
    <w:p w:rsidR="00BB603A" w:rsidRDefault="00C9789E" w:rsidP="00BB603A">
      <w:pPr>
        <w:pStyle w:val="Heading1"/>
        <w:spacing w:before="240"/>
      </w:pPr>
      <w:bookmarkStart w:id="41" w:name="_Toc494359765"/>
      <w:r w:rsidRPr="00F62F1C">
        <w:t>Figure 7</w:t>
      </w:r>
      <w:bookmarkEnd w:id="41"/>
    </w:p>
    <w:p w:rsidR="00C9789E" w:rsidRPr="003E174E" w:rsidRDefault="00C9789E" w:rsidP="00706221">
      <w:pPr>
        <w:pStyle w:val="SingleTxtG"/>
        <w:rPr>
          <w:b/>
        </w:rPr>
      </w:pPr>
      <w:r w:rsidRPr="003E174E">
        <w:rPr>
          <w:b/>
        </w:rPr>
        <w:t>Unemployment rate by ethnicity (%) year ended December</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62"/>
        <w:gridCol w:w="1084"/>
        <w:gridCol w:w="848"/>
        <w:gridCol w:w="966"/>
        <w:gridCol w:w="593"/>
        <w:gridCol w:w="1559"/>
        <w:gridCol w:w="769"/>
        <w:gridCol w:w="789"/>
      </w:tblGrid>
      <w:tr w:rsidR="002F6DC4" w:rsidRPr="002F6DC4" w:rsidTr="00B77308">
        <w:trPr>
          <w:cantSplit/>
          <w:tblHeader/>
        </w:trPr>
        <w:tc>
          <w:tcPr>
            <w:tcW w:w="762" w:type="dxa"/>
            <w:tcBorders>
              <w:top w:val="single" w:sz="4" w:space="0" w:color="auto"/>
              <w:bottom w:val="single" w:sz="12" w:space="0" w:color="auto"/>
            </w:tcBorders>
            <w:shd w:val="clear" w:color="auto" w:fill="auto"/>
            <w:vAlign w:val="bottom"/>
          </w:tcPr>
          <w:p w:rsidR="00C9789E" w:rsidRPr="002F6DC4" w:rsidRDefault="00C9789E" w:rsidP="002F6DC4">
            <w:pPr>
              <w:pStyle w:val="SingleTxtG"/>
              <w:spacing w:before="80" w:after="80" w:line="200" w:lineRule="exact"/>
              <w:ind w:left="0" w:right="113"/>
              <w:jc w:val="left"/>
              <w:rPr>
                <w:i/>
                <w:sz w:val="16"/>
              </w:rPr>
            </w:pPr>
            <w:r w:rsidRPr="002F6DC4">
              <w:rPr>
                <w:i/>
                <w:sz w:val="16"/>
              </w:rPr>
              <w:t>Year</w:t>
            </w:r>
          </w:p>
        </w:tc>
        <w:tc>
          <w:tcPr>
            <w:tcW w:w="1084" w:type="dxa"/>
            <w:tcBorders>
              <w:top w:val="single" w:sz="4" w:space="0" w:color="auto"/>
              <w:bottom w:val="single" w:sz="12" w:space="0" w:color="auto"/>
            </w:tcBorders>
            <w:shd w:val="clear" w:color="auto" w:fill="auto"/>
            <w:vAlign w:val="bottom"/>
          </w:tcPr>
          <w:p w:rsidR="00C9789E" w:rsidRPr="002F6DC4" w:rsidRDefault="00C9789E" w:rsidP="002F6DC4">
            <w:pPr>
              <w:pStyle w:val="SingleTxtG"/>
              <w:spacing w:before="80" w:after="80" w:line="200" w:lineRule="exact"/>
              <w:ind w:left="0" w:right="113"/>
              <w:jc w:val="right"/>
              <w:rPr>
                <w:i/>
                <w:sz w:val="16"/>
              </w:rPr>
            </w:pPr>
            <w:r w:rsidRPr="002F6DC4">
              <w:rPr>
                <w:i/>
                <w:sz w:val="16"/>
              </w:rPr>
              <w:t>NZ European</w:t>
            </w:r>
          </w:p>
        </w:tc>
        <w:tc>
          <w:tcPr>
            <w:tcW w:w="848" w:type="dxa"/>
            <w:tcBorders>
              <w:top w:val="single" w:sz="4" w:space="0" w:color="auto"/>
              <w:bottom w:val="single" w:sz="12" w:space="0" w:color="auto"/>
            </w:tcBorders>
            <w:shd w:val="clear" w:color="auto" w:fill="auto"/>
            <w:vAlign w:val="bottom"/>
          </w:tcPr>
          <w:p w:rsidR="00C9789E" w:rsidRPr="002F6DC4" w:rsidRDefault="00C9789E" w:rsidP="002F6DC4">
            <w:pPr>
              <w:pStyle w:val="SingleTxtG"/>
              <w:spacing w:before="80" w:after="80" w:line="200" w:lineRule="exact"/>
              <w:ind w:left="0" w:right="113"/>
              <w:jc w:val="right"/>
              <w:rPr>
                <w:i/>
                <w:sz w:val="16"/>
              </w:rPr>
            </w:pPr>
            <w:r w:rsidRPr="002F6DC4">
              <w:rPr>
                <w:i/>
                <w:sz w:val="16"/>
              </w:rPr>
              <w:t>Māori</w:t>
            </w:r>
          </w:p>
        </w:tc>
        <w:tc>
          <w:tcPr>
            <w:tcW w:w="966" w:type="dxa"/>
            <w:tcBorders>
              <w:top w:val="single" w:sz="4" w:space="0" w:color="auto"/>
              <w:bottom w:val="single" w:sz="12" w:space="0" w:color="auto"/>
            </w:tcBorders>
            <w:shd w:val="clear" w:color="auto" w:fill="auto"/>
            <w:vAlign w:val="bottom"/>
          </w:tcPr>
          <w:p w:rsidR="00C9789E" w:rsidRPr="002F6DC4" w:rsidRDefault="00C9789E" w:rsidP="002F6DC4">
            <w:pPr>
              <w:pStyle w:val="SingleTxtG"/>
              <w:spacing w:before="80" w:after="80" w:line="200" w:lineRule="exact"/>
              <w:ind w:left="0" w:right="113"/>
              <w:jc w:val="right"/>
              <w:rPr>
                <w:i/>
                <w:sz w:val="16"/>
              </w:rPr>
            </w:pPr>
            <w:r w:rsidRPr="002F6DC4">
              <w:rPr>
                <w:i/>
                <w:sz w:val="16"/>
              </w:rPr>
              <w:t>Pasifika</w:t>
            </w:r>
          </w:p>
        </w:tc>
        <w:tc>
          <w:tcPr>
            <w:tcW w:w="593" w:type="dxa"/>
            <w:tcBorders>
              <w:top w:val="single" w:sz="4" w:space="0" w:color="auto"/>
              <w:bottom w:val="single" w:sz="12" w:space="0" w:color="auto"/>
            </w:tcBorders>
            <w:shd w:val="clear" w:color="auto" w:fill="auto"/>
            <w:vAlign w:val="bottom"/>
          </w:tcPr>
          <w:p w:rsidR="00C9789E" w:rsidRPr="002F6DC4" w:rsidRDefault="00C9789E" w:rsidP="002F6DC4">
            <w:pPr>
              <w:pStyle w:val="SingleTxtG"/>
              <w:spacing w:before="80" w:after="80" w:line="200" w:lineRule="exact"/>
              <w:ind w:left="0" w:right="113"/>
              <w:jc w:val="right"/>
              <w:rPr>
                <w:i/>
                <w:sz w:val="16"/>
              </w:rPr>
            </w:pPr>
            <w:r w:rsidRPr="002F6DC4">
              <w:rPr>
                <w:i/>
                <w:sz w:val="16"/>
              </w:rPr>
              <w:t>Asian</w:t>
            </w:r>
          </w:p>
        </w:tc>
        <w:tc>
          <w:tcPr>
            <w:tcW w:w="1559" w:type="dxa"/>
            <w:tcBorders>
              <w:top w:val="single" w:sz="4" w:space="0" w:color="auto"/>
              <w:bottom w:val="single" w:sz="12" w:space="0" w:color="auto"/>
            </w:tcBorders>
            <w:shd w:val="clear" w:color="auto" w:fill="auto"/>
            <w:vAlign w:val="bottom"/>
          </w:tcPr>
          <w:p w:rsidR="00C9789E" w:rsidRPr="002F6DC4" w:rsidRDefault="00C9789E" w:rsidP="002F6DC4">
            <w:pPr>
              <w:pStyle w:val="SingleTxtG"/>
              <w:spacing w:before="80" w:after="80" w:line="200" w:lineRule="exact"/>
              <w:ind w:left="0" w:right="113"/>
              <w:jc w:val="right"/>
              <w:rPr>
                <w:i/>
                <w:sz w:val="16"/>
              </w:rPr>
            </w:pPr>
            <w:r w:rsidRPr="002F6DC4">
              <w:rPr>
                <w:i/>
                <w:sz w:val="16"/>
              </w:rPr>
              <w:t>Middle Eastern, Latin American and African</w:t>
            </w:r>
          </w:p>
        </w:tc>
        <w:tc>
          <w:tcPr>
            <w:tcW w:w="769" w:type="dxa"/>
            <w:tcBorders>
              <w:top w:val="single" w:sz="4" w:space="0" w:color="auto"/>
              <w:bottom w:val="single" w:sz="12" w:space="0" w:color="auto"/>
            </w:tcBorders>
            <w:shd w:val="clear" w:color="auto" w:fill="auto"/>
            <w:vAlign w:val="bottom"/>
          </w:tcPr>
          <w:p w:rsidR="00C9789E" w:rsidRPr="002F6DC4" w:rsidRDefault="00C9789E" w:rsidP="002F6DC4">
            <w:pPr>
              <w:pStyle w:val="SingleTxtG"/>
              <w:spacing w:before="80" w:after="80" w:line="200" w:lineRule="exact"/>
              <w:ind w:left="0" w:right="113"/>
              <w:jc w:val="right"/>
              <w:rPr>
                <w:i/>
                <w:sz w:val="16"/>
              </w:rPr>
            </w:pPr>
            <w:r w:rsidRPr="002F6DC4">
              <w:rPr>
                <w:i/>
                <w:sz w:val="16"/>
              </w:rPr>
              <w:t>Other ethnicity</w:t>
            </w:r>
          </w:p>
        </w:tc>
        <w:tc>
          <w:tcPr>
            <w:tcW w:w="789" w:type="dxa"/>
            <w:tcBorders>
              <w:top w:val="single" w:sz="4" w:space="0" w:color="auto"/>
              <w:bottom w:val="single" w:sz="12" w:space="0" w:color="auto"/>
            </w:tcBorders>
            <w:shd w:val="clear" w:color="auto" w:fill="auto"/>
            <w:vAlign w:val="bottom"/>
          </w:tcPr>
          <w:p w:rsidR="00C9789E" w:rsidRPr="002F6DC4" w:rsidRDefault="00C9789E" w:rsidP="002F6DC4">
            <w:pPr>
              <w:pStyle w:val="SingleTxtG"/>
              <w:spacing w:before="80" w:after="80" w:line="200" w:lineRule="exact"/>
              <w:ind w:left="0" w:right="113"/>
              <w:jc w:val="right"/>
              <w:rPr>
                <w:i/>
                <w:sz w:val="16"/>
              </w:rPr>
            </w:pPr>
            <w:r w:rsidRPr="002F6DC4">
              <w:rPr>
                <w:i/>
                <w:sz w:val="16"/>
              </w:rPr>
              <w:t>Total</w:t>
            </w:r>
          </w:p>
        </w:tc>
      </w:tr>
      <w:tr w:rsidR="00C9789E" w:rsidRPr="002F6DC4" w:rsidTr="00B77308">
        <w:trPr>
          <w:cantSplit/>
        </w:trPr>
        <w:tc>
          <w:tcPr>
            <w:tcW w:w="762" w:type="dxa"/>
            <w:tcBorders>
              <w:top w:val="single" w:sz="12" w:space="0" w:color="auto"/>
            </w:tcBorders>
            <w:shd w:val="clear" w:color="auto" w:fill="auto"/>
          </w:tcPr>
          <w:p w:rsidR="00C9789E" w:rsidRPr="002F6DC4" w:rsidRDefault="00C9789E" w:rsidP="002F6DC4">
            <w:pPr>
              <w:pStyle w:val="SingleTxtG"/>
              <w:spacing w:before="40" w:after="40" w:line="220" w:lineRule="exact"/>
              <w:ind w:left="0" w:right="113"/>
              <w:jc w:val="left"/>
              <w:rPr>
                <w:sz w:val="18"/>
              </w:rPr>
            </w:pPr>
            <w:r w:rsidRPr="002F6DC4">
              <w:rPr>
                <w:sz w:val="18"/>
              </w:rPr>
              <w:t>2012</w:t>
            </w:r>
          </w:p>
        </w:tc>
        <w:tc>
          <w:tcPr>
            <w:tcW w:w="1084" w:type="dxa"/>
            <w:tcBorders>
              <w:top w:val="single" w:sz="12" w:space="0" w:color="auto"/>
            </w:tcBorders>
            <w:shd w:val="clear" w:color="auto" w:fill="auto"/>
            <w:vAlign w:val="bottom"/>
          </w:tcPr>
          <w:p w:rsidR="00C9789E" w:rsidRPr="002F6DC4" w:rsidRDefault="00C9789E" w:rsidP="002F6DC4">
            <w:pPr>
              <w:pStyle w:val="SingleTxtG"/>
              <w:spacing w:before="40" w:after="40" w:line="220" w:lineRule="exact"/>
              <w:ind w:left="0" w:right="113"/>
              <w:jc w:val="right"/>
              <w:rPr>
                <w:sz w:val="18"/>
              </w:rPr>
            </w:pPr>
            <w:r w:rsidRPr="002F6DC4">
              <w:rPr>
                <w:sz w:val="18"/>
              </w:rPr>
              <w:t>5.0</w:t>
            </w:r>
          </w:p>
        </w:tc>
        <w:tc>
          <w:tcPr>
            <w:tcW w:w="848" w:type="dxa"/>
            <w:tcBorders>
              <w:top w:val="single" w:sz="12" w:space="0" w:color="auto"/>
            </w:tcBorders>
            <w:shd w:val="clear" w:color="auto" w:fill="auto"/>
            <w:vAlign w:val="bottom"/>
          </w:tcPr>
          <w:p w:rsidR="00C9789E" w:rsidRPr="002F6DC4" w:rsidRDefault="00C9789E" w:rsidP="002F6DC4">
            <w:pPr>
              <w:pStyle w:val="SingleTxtG"/>
              <w:spacing w:before="40" w:after="40" w:line="220" w:lineRule="exact"/>
              <w:ind w:left="0" w:right="113"/>
              <w:jc w:val="right"/>
              <w:rPr>
                <w:sz w:val="18"/>
              </w:rPr>
            </w:pPr>
            <w:r w:rsidRPr="002F6DC4">
              <w:rPr>
                <w:sz w:val="18"/>
              </w:rPr>
              <w:t>13.8</w:t>
            </w:r>
          </w:p>
        </w:tc>
        <w:tc>
          <w:tcPr>
            <w:tcW w:w="966" w:type="dxa"/>
            <w:tcBorders>
              <w:top w:val="single" w:sz="12" w:space="0" w:color="auto"/>
            </w:tcBorders>
            <w:shd w:val="clear" w:color="auto" w:fill="auto"/>
            <w:vAlign w:val="bottom"/>
          </w:tcPr>
          <w:p w:rsidR="00C9789E" w:rsidRPr="002F6DC4" w:rsidRDefault="00C9789E" w:rsidP="002F6DC4">
            <w:pPr>
              <w:pStyle w:val="SingleTxtG"/>
              <w:spacing w:before="40" w:after="40" w:line="220" w:lineRule="exact"/>
              <w:ind w:left="0" w:right="113"/>
              <w:jc w:val="right"/>
              <w:rPr>
                <w:sz w:val="18"/>
              </w:rPr>
            </w:pPr>
            <w:r w:rsidRPr="002F6DC4">
              <w:rPr>
                <w:sz w:val="18"/>
              </w:rPr>
              <w:t>14.6</w:t>
            </w:r>
          </w:p>
        </w:tc>
        <w:tc>
          <w:tcPr>
            <w:tcW w:w="593" w:type="dxa"/>
            <w:tcBorders>
              <w:top w:val="single" w:sz="12" w:space="0" w:color="auto"/>
            </w:tcBorders>
            <w:shd w:val="clear" w:color="auto" w:fill="auto"/>
            <w:vAlign w:val="bottom"/>
          </w:tcPr>
          <w:p w:rsidR="00C9789E" w:rsidRPr="002F6DC4" w:rsidRDefault="00C9789E" w:rsidP="002F6DC4">
            <w:pPr>
              <w:pStyle w:val="SingleTxtG"/>
              <w:spacing w:before="40" w:after="40" w:line="220" w:lineRule="exact"/>
              <w:ind w:left="0" w:right="113"/>
              <w:jc w:val="right"/>
              <w:rPr>
                <w:sz w:val="18"/>
              </w:rPr>
            </w:pPr>
            <w:r w:rsidRPr="002F6DC4">
              <w:rPr>
                <w:sz w:val="18"/>
              </w:rPr>
              <w:t>8.1</w:t>
            </w:r>
          </w:p>
        </w:tc>
        <w:tc>
          <w:tcPr>
            <w:tcW w:w="1559" w:type="dxa"/>
            <w:tcBorders>
              <w:top w:val="single" w:sz="12" w:space="0" w:color="auto"/>
            </w:tcBorders>
            <w:shd w:val="clear" w:color="auto" w:fill="auto"/>
            <w:vAlign w:val="bottom"/>
          </w:tcPr>
          <w:p w:rsidR="00C9789E" w:rsidRPr="002F6DC4" w:rsidRDefault="00C9789E" w:rsidP="002F6DC4">
            <w:pPr>
              <w:pStyle w:val="SingleTxtG"/>
              <w:spacing w:before="40" w:after="40" w:line="220" w:lineRule="exact"/>
              <w:ind w:left="0" w:right="113"/>
              <w:jc w:val="right"/>
              <w:rPr>
                <w:sz w:val="18"/>
              </w:rPr>
            </w:pPr>
            <w:r w:rsidRPr="002F6DC4">
              <w:rPr>
                <w:sz w:val="18"/>
              </w:rPr>
              <w:t>10.4</w:t>
            </w:r>
          </w:p>
        </w:tc>
        <w:tc>
          <w:tcPr>
            <w:tcW w:w="769" w:type="dxa"/>
            <w:tcBorders>
              <w:top w:val="single" w:sz="12" w:space="0" w:color="auto"/>
            </w:tcBorders>
            <w:shd w:val="clear" w:color="auto" w:fill="auto"/>
            <w:vAlign w:val="bottom"/>
          </w:tcPr>
          <w:p w:rsidR="00C9789E" w:rsidRPr="002F6DC4" w:rsidRDefault="00C9789E" w:rsidP="002F6DC4">
            <w:pPr>
              <w:pStyle w:val="SingleTxtG"/>
              <w:spacing w:before="40" w:after="40" w:line="220" w:lineRule="exact"/>
              <w:ind w:left="0" w:right="113"/>
              <w:jc w:val="right"/>
              <w:rPr>
                <w:sz w:val="18"/>
              </w:rPr>
            </w:pPr>
            <w:r w:rsidRPr="002F6DC4">
              <w:rPr>
                <w:sz w:val="18"/>
              </w:rPr>
              <w:t>5.6</w:t>
            </w:r>
          </w:p>
        </w:tc>
        <w:tc>
          <w:tcPr>
            <w:tcW w:w="789" w:type="dxa"/>
            <w:tcBorders>
              <w:top w:val="single" w:sz="12" w:space="0" w:color="auto"/>
            </w:tcBorders>
            <w:shd w:val="clear" w:color="auto" w:fill="auto"/>
            <w:vAlign w:val="bottom"/>
          </w:tcPr>
          <w:p w:rsidR="00C9789E" w:rsidRPr="002F6DC4" w:rsidRDefault="00C9789E" w:rsidP="002F6DC4">
            <w:pPr>
              <w:pStyle w:val="SingleTxtG"/>
              <w:spacing w:before="40" w:after="40" w:line="220" w:lineRule="exact"/>
              <w:ind w:left="0" w:right="113"/>
              <w:jc w:val="right"/>
              <w:rPr>
                <w:sz w:val="18"/>
              </w:rPr>
            </w:pPr>
            <w:r w:rsidRPr="002F6DC4">
              <w:rPr>
                <w:sz w:val="18"/>
              </w:rPr>
              <w:t>6.4</w:t>
            </w:r>
          </w:p>
        </w:tc>
      </w:tr>
      <w:tr w:rsidR="00C9789E" w:rsidRPr="002F6DC4" w:rsidTr="00B77308">
        <w:trPr>
          <w:cantSplit/>
        </w:trPr>
        <w:tc>
          <w:tcPr>
            <w:tcW w:w="762" w:type="dxa"/>
            <w:shd w:val="clear" w:color="auto" w:fill="auto"/>
          </w:tcPr>
          <w:p w:rsidR="00C9789E" w:rsidRPr="002F6DC4" w:rsidRDefault="00C9789E" w:rsidP="002F6DC4">
            <w:pPr>
              <w:pStyle w:val="SingleTxtG"/>
              <w:spacing w:before="40" w:after="40" w:line="220" w:lineRule="exact"/>
              <w:ind w:left="0" w:right="113"/>
              <w:jc w:val="left"/>
              <w:rPr>
                <w:sz w:val="18"/>
              </w:rPr>
            </w:pPr>
            <w:r w:rsidRPr="002F6DC4">
              <w:rPr>
                <w:sz w:val="18"/>
              </w:rPr>
              <w:t>2013</w:t>
            </w:r>
          </w:p>
        </w:tc>
        <w:tc>
          <w:tcPr>
            <w:tcW w:w="1084" w:type="dxa"/>
            <w:shd w:val="clear" w:color="auto" w:fill="auto"/>
            <w:vAlign w:val="bottom"/>
          </w:tcPr>
          <w:p w:rsidR="00C9789E" w:rsidRPr="002F6DC4" w:rsidRDefault="00C9789E" w:rsidP="002F6DC4">
            <w:pPr>
              <w:pStyle w:val="SingleTxtG"/>
              <w:spacing w:before="40" w:after="40" w:line="220" w:lineRule="exact"/>
              <w:ind w:left="0" w:right="113"/>
              <w:jc w:val="right"/>
              <w:rPr>
                <w:sz w:val="18"/>
              </w:rPr>
            </w:pPr>
            <w:r w:rsidRPr="002F6DC4">
              <w:rPr>
                <w:sz w:val="18"/>
              </w:rPr>
              <w:t>4.6</w:t>
            </w:r>
          </w:p>
        </w:tc>
        <w:tc>
          <w:tcPr>
            <w:tcW w:w="848" w:type="dxa"/>
            <w:shd w:val="clear" w:color="auto" w:fill="auto"/>
            <w:vAlign w:val="bottom"/>
          </w:tcPr>
          <w:p w:rsidR="00C9789E" w:rsidRPr="002F6DC4" w:rsidRDefault="00C9789E" w:rsidP="002F6DC4">
            <w:pPr>
              <w:pStyle w:val="SingleTxtG"/>
              <w:spacing w:before="40" w:after="40" w:line="220" w:lineRule="exact"/>
              <w:ind w:left="0" w:right="113"/>
              <w:jc w:val="right"/>
              <w:rPr>
                <w:sz w:val="18"/>
              </w:rPr>
            </w:pPr>
            <w:r w:rsidRPr="002F6DC4">
              <w:rPr>
                <w:sz w:val="18"/>
              </w:rPr>
              <w:t>12.5</w:t>
            </w:r>
          </w:p>
        </w:tc>
        <w:tc>
          <w:tcPr>
            <w:tcW w:w="966" w:type="dxa"/>
            <w:shd w:val="clear" w:color="auto" w:fill="auto"/>
            <w:vAlign w:val="bottom"/>
          </w:tcPr>
          <w:p w:rsidR="00C9789E" w:rsidRPr="002F6DC4" w:rsidRDefault="00C9789E" w:rsidP="002F6DC4">
            <w:pPr>
              <w:pStyle w:val="SingleTxtG"/>
              <w:spacing w:before="40" w:after="40" w:line="220" w:lineRule="exact"/>
              <w:ind w:left="0" w:right="113"/>
              <w:jc w:val="right"/>
              <w:rPr>
                <w:sz w:val="18"/>
              </w:rPr>
            </w:pPr>
            <w:r w:rsidRPr="002F6DC4">
              <w:rPr>
                <w:sz w:val="18"/>
              </w:rPr>
              <w:t>14.3</w:t>
            </w:r>
          </w:p>
        </w:tc>
        <w:tc>
          <w:tcPr>
            <w:tcW w:w="593" w:type="dxa"/>
            <w:shd w:val="clear" w:color="auto" w:fill="auto"/>
            <w:vAlign w:val="bottom"/>
          </w:tcPr>
          <w:p w:rsidR="00C9789E" w:rsidRPr="002F6DC4" w:rsidRDefault="00C9789E" w:rsidP="002F6DC4">
            <w:pPr>
              <w:pStyle w:val="SingleTxtG"/>
              <w:spacing w:before="40" w:after="40" w:line="220" w:lineRule="exact"/>
              <w:ind w:left="0" w:right="113"/>
              <w:jc w:val="right"/>
              <w:rPr>
                <w:sz w:val="18"/>
              </w:rPr>
            </w:pPr>
            <w:r w:rsidRPr="002F6DC4">
              <w:rPr>
                <w:sz w:val="18"/>
              </w:rPr>
              <w:t>5.7</w:t>
            </w:r>
          </w:p>
        </w:tc>
        <w:tc>
          <w:tcPr>
            <w:tcW w:w="1559" w:type="dxa"/>
            <w:shd w:val="clear" w:color="auto" w:fill="auto"/>
            <w:vAlign w:val="bottom"/>
          </w:tcPr>
          <w:p w:rsidR="00C9789E" w:rsidRPr="002F6DC4" w:rsidRDefault="00C9789E" w:rsidP="002F6DC4">
            <w:pPr>
              <w:pStyle w:val="SingleTxtG"/>
              <w:spacing w:before="40" w:after="40" w:line="220" w:lineRule="exact"/>
              <w:ind w:left="0" w:right="113"/>
              <w:jc w:val="right"/>
              <w:rPr>
                <w:sz w:val="18"/>
              </w:rPr>
            </w:pPr>
            <w:r w:rsidRPr="002F6DC4">
              <w:rPr>
                <w:sz w:val="18"/>
              </w:rPr>
              <w:t>9.2</w:t>
            </w:r>
          </w:p>
        </w:tc>
        <w:tc>
          <w:tcPr>
            <w:tcW w:w="769" w:type="dxa"/>
            <w:shd w:val="clear" w:color="auto" w:fill="auto"/>
            <w:vAlign w:val="bottom"/>
          </w:tcPr>
          <w:p w:rsidR="00C9789E" w:rsidRPr="002F6DC4" w:rsidRDefault="00C9789E" w:rsidP="002F6DC4">
            <w:pPr>
              <w:pStyle w:val="SingleTxtG"/>
              <w:spacing w:before="40" w:after="40" w:line="220" w:lineRule="exact"/>
              <w:ind w:left="0" w:right="113"/>
              <w:jc w:val="right"/>
              <w:rPr>
                <w:sz w:val="18"/>
              </w:rPr>
            </w:pPr>
            <w:r w:rsidRPr="002F6DC4">
              <w:rPr>
                <w:sz w:val="18"/>
              </w:rPr>
              <w:t>4.1</w:t>
            </w:r>
          </w:p>
        </w:tc>
        <w:tc>
          <w:tcPr>
            <w:tcW w:w="789" w:type="dxa"/>
            <w:shd w:val="clear" w:color="auto" w:fill="auto"/>
            <w:vAlign w:val="bottom"/>
          </w:tcPr>
          <w:p w:rsidR="00C9789E" w:rsidRPr="002F6DC4" w:rsidRDefault="00C9789E" w:rsidP="002F6DC4">
            <w:pPr>
              <w:pStyle w:val="SingleTxtG"/>
              <w:spacing w:before="40" w:after="40" w:line="220" w:lineRule="exact"/>
              <w:ind w:left="0" w:right="113"/>
              <w:jc w:val="right"/>
              <w:rPr>
                <w:sz w:val="18"/>
              </w:rPr>
            </w:pPr>
            <w:r w:rsidRPr="002F6DC4">
              <w:rPr>
                <w:sz w:val="18"/>
              </w:rPr>
              <w:t>5.8</w:t>
            </w:r>
          </w:p>
        </w:tc>
      </w:tr>
      <w:tr w:rsidR="00C9789E" w:rsidRPr="002F6DC4" w:rsidTr="00B77308">
        <w:trPr>
          <w:cantSplit/>
        </w:trPr>
        <w:tc>
          <w:tcPr>
            <w:tcW w:w="762" w:type="dxa"/>
            <w:shd w:val="clear" w:color="auto" w:fill="auto"/>
          </w:tcPr>
          <w:p w:rsidR="00C9789E" w:rsidRPr="002F6DC4" w:rsidRDefault="00C9789E" w:rsidP="002F6DC4">
            <w:pPr>
              <w:pStyle w:val="SingleTxtG"/>
              <w:spacing w:before="40" w:after="40" w:line="220" w:lineRule="exact"/>
              <w:ind w:left="0" w:right="113"/>
              <w:jc w:val="left"/>
              <w:rPr>
                <w:sz w:val="18"/>
              </w:rPr>
            </w:pPr>
            <w:r w:rsidRPr="002F6DC4">
              <w:rPr>
                <w:sz w:val="18"/>
              </w:rPr>
              <w:t>2014</w:t>
            </w:r>
          </w:p>
        </w:tc>
        <w:tc>
          <w:tcPr>
            <w:tcW w:w="1084" w:type="dxa"/>
            <w:shd w:val="clear" w:color="auto" w:fill="auto"/>
            <w:vAlign w:val="bottom"/>
          </w:tcPr>
          <w:p w:rsidR="00C9789E" w:rsidRPr="002F6DC4" w:rsidRDefault="00C9789E" w:rsidP="002F6DC4">
            <w:pPr>
              <w:pStyle w:val="SingleTxtG"/>
              <w:spacing w:before="40" w:after="40" w:line="220" w:lineRule="exact"/>
              <w:ind w:left="0" w:right="113"/>
              <w:jc w:val="right"/>
              <w:rPr>
                <w:sz w:val="18"/>
              </w:rPr>
            </w:pPr>
            <w:r w:rsidRPr="002F6DC4">
              <w:rPr>
                <w:sz w:val="18"/>
              </w:rPr>
              <w:t>4.1</w:t>
            </w:r>
          </w:p>
        </w:tc>
        <w:tc>
          <w:tcPr>
            <w:tcW w:w="848" w:type="dxa"/>
            <w:shd w:val="clear" w:color="auto" w:fill="auto"/>
            <w:vAlign w:val="bottom"/>
          </w:tcPr>
          <w:p w:rsidR="00C9789E" w:rsidRPr="002F6DC4" w:rsidRDefault="00C9789E" w:rsidP="002F6DC4">
            <w:pPr>
              <w:pStyle w:val="SingleTxtG"/>
              <w:spacing w:before="40" w:after="40" w:line="220" w:lineRule="exact"/>
              <w:ind w:left="0" w:right="113"/>
              <w:jc w:val="right"/>
              <w:rPr>
                <w:sz w:val="18"/>
              </w:rPr>
            </w:pPr>
            <w:r w:rsidRPr="002F6DC4">
              <w:rPr>
                <w:sz w:val="18"/>
              </w:rPr>
              <w:t>11.8</w:t>
            </w:r>
          </w:p>
        </w:tc>
        <w:tc>
          <w:tcPr>
            <w:tcW w:w="966" w:type="dxa"/>
            <w:shd w:val="clear" w:color="auto" w:fill="auto"/>
            <w:vAlign w:val="bottom"/>
          </w:tcPr>
          <w:p w:rsidR="00C9789E" w:rsidRPr="002F6DC4" w:rsidRDefault="00C9789E" w:rsidP="002F6DC4">
            <w:pPr>
              <w:pStyle w:val="SingleTxtG"/>
              <w:spacing w:before="40" w:after="40" w:line="220" w:lineRule="exact"/>
              <w:ind w:left="0" w:right="113"/>
              <w:jc w:val="right"/>
              <w:rPr>
                <w:sz w:val="18"/>
              </w:rPr>
            </w:pPr>
            <w:r w:rsidRPr="002F6DC4">
              <w:rPr>
                <w:sz w:val="18"/>
              </w:rPr>
              <w:t>11.6</w:t>
            </w:r>
          </w:p>
        </w:tc>
        <w:tc>
          <w:tcPr>
            <w:tcW w:w="593" w:type="dxa"/>
            <w:shd w:val="clear" w:color="auto" w:fill="auto"/>
            <w:vAlign w:val="bottom"/>
          </w:tcPr>
          <w:p w:rsidR="00C9789E" w:rsidRPr="002F6DC4" w:rsidRDefault="00C9789E" w:rsidP="002F6DC4">
            <w:pPr>
              <w:pStyle w:val="SingleTxtG"/>
              <w:spacing w:before="40" w:after="40" w:line="220" w:lineRule="exact"/>
              <w:ind w:left="0" w:right="113"/>
              <w:jc w:val="right"/>
              <w:rPr>
                <w:sz w:val="18"/>
              </w:rPr>
            </w:pPr>
            <w:r w:rsidRPr="002F6DC4">
              <w:rPr>
                <w:sz w:val="18"/>
              </w:rPr>
              <w:t>5.9</w:t>
            </w:r>
          </w:p>
        </w:tc>
        <w:tc>
          <w:tcPr>
            <w:tcW w:w="1559" w:type="dxa"/>
            <w:shd w:val="clear" w:color="auto" w:fill="auto"/>
            <w:vAlign w:val="bottom"/>
          </w:tcPr>
          <w:p w:rsidR="00C9789E" w:rsidRPr="002F6DC4" w:rsidRDefault="00C9789E" w:rsidP="002F6DC4">
            <w:pPr>
              <w:pStyle w:val="SingleTxtG"/>
              <w:spacing w:before="40" w:after="40" w:line="220" w:lineRule="exact"/>
              <w:ind w:left="0" w:right="113"/>
              <w:jc w:val="right"/>
              <w:rPr>
                <w:sz w:val="18"/>
              </w:rPr>
            </w:pPr>
            <w:r w:rsidRPr="002F6DC4">
              <w:rPr>
                <w:sz w:val="18"/>
              </w:rPr>
              <w:t>12.3</w:t>
            </w:r>
          </w:p>
        </w:tc>
        <w:tc>
          <w:tcPr>
            <w:tcW w:w="769" w:type="dxa"/>
            <w:shd w:val="clear" w:color="auto" w:fill="auto"/>
            <w:vAlign w:val="bottom"/>
          </w:tcPr>
          <w:p w:rsidR="00C9789E" w:rsidRPr="002F6DC4" w:rsidRDefault="00C9789E" w:rsidP="002F6DC4">
            <w:pPr>
              <w:pStyle w:val="SingleTxtG"/>
              <w:spacing w:before="40" w:after="40" w:line="220" w:lineRule="exact"/>
              <w:ind w:left="0" w:right="113"/>
              <w:jc w:val="right"/>
              <w:rPr>
                <w:sz w:val="18"/>
              </w:rPr>
            </w:pPr>
            <w:r w:rsidRPr="002F6DC4">
              <w:rPr>
                <w:sz w:val="18"/>
              </w:rPr>
              <w:t>4.2</w:t>
            </w:r>
          </w:p>
        </w:tc>
        <w:tc>
          <w:tcPr>
            <w:tcW w:w="789" w:type="dxa"/>
            <w:shd w:val="clear" w:color="auto" w:fill="auto"/>
            <w:vAlign w:val="bottom"/>
          </w:tcPr>
          <w:p w:rsidR="00C9789E" w:rsidRPr="002F6DC4" w:rsidRDefault="00C9789E" w:rsidP="002F6DC4">
            <w:pPr>
              <w:pStyle w:val="SingleTxtG"/>
              <w:spacing w:before="40" w:after="40" w:line="220" w:lineRule="exact"/>
              <w:ind w:left="0" w:right="113"/>
              <w:jc w:val="right"/>
              <w:rPr>
                <w:sz w:val="18"/>
              </w:rPr>
            </w:pPr>
            <w:r w:rsidRPr="002F6DC4">
              <w:rPr>
                <w:sz w:val="18"/>
              </w:rPr>
              <w:t>5.4</w:t>
            </w:r>
          </w:p>
        </w:tc>
      </w:tr>
      <w:tr w:rsidR="00C9789E" w:rsidRPr="002F6DC4" w:rsidTr="00B77308">
        <w:trPr>
          <w:cantSplit/>
        </w:trPr>
        <w:tc>
          <w:tcPr>
            <w:tcW w:w="762" w:type="dxa"/>
            <w:shd w:val="clear" w:color="auto" w:fill="auto"/>
          </w:tcPr>
          <w:p w:rsidR="00C9789E" w:rsidRPr="002F6DC4" w:rsidRDefault="00C9789E" w:rsidP="002F6DC4">
            <w:pPr>
              <w:pStyle w:val="SingleTxtG"/>
              <w:spacing w:before="40" w:after="40" w:line="220" w:lineRule="exact"/>
              <w:ind w:left="0" w:right="113"/>
              <w:jc w:val="left"/>
              <w:rPr>
                <w:sz w:val="18"/>
              </w:rPr>
            </w:pPr>
            <w:r w:rsidRPr="002F6DC4">
              <w:rPr>
                <w:sz w:val="18"/>
              </w:rPr>
              <w:t>2015</w:t>
            </w:r>
          </w:p>
        </w:tc>
        <w:tc>
          <w:tcPr>
            <w:tcW w:w="1084" w:type="dxa"/>
            <w:shd w:val="clear" w:color="auto" w:fill="auto"/>
            <w:vAlign w:val="bottom"/>
          </w:tcPr>
          <w:p w:rsidR="00C9789E" w:rsidRPr="002F6DC4" w:rsidRDefault="00C9789E" w:rsidP="002F6DC4">
            <w:pPr>
              <w:pStyle w:val="SingleTxtG"/>
              <w:spacing w:before="40" w:after="40" w:line="220" w:lineRule="exact"/>
              <w:ind w:left="0" w:right="113"/>
              <w:jc w:val="right"/>
              <w:rPr>
                <w:sz w:val="18"/>
              </w:rPr>
            </w:pPr>
            <w:r w:rsidRPr="002F6DC4">
              <w:rPr>
                <w:sz w:val="18"/>
              </w:rPr>
              <w:t>4.1</w:t>
            </w:r>
          </w:p>
        </w:tc>
        <w:tc>
          <w:tcPr>
            <w:tcW w:w="848" w:type="dxa"/>
            <w:shd w:val="clear" w:color="auto" w:fill="auto"/>
            <w:vAlign w:val="bottom"/>
          </w:tcPr>
          <w:p w:rsidR="00C9789E" w:rsidRPr="002F6DC4" w:rsidRDefault="00C9789E" w:rsidP="002F6DC4">
            <w:pPr>
              <w:pStyle w:val="SingleTxtG"/>
              <w:spacing w:before="40" w:after="40" w:line="220" w:lineRule="exact"/>
              <w:ind w:left="0" w:right="113"/>
              <w:jc w:val="right"/>
              <w:rPr>
                <w:sz w:val="18"/>
              </w:rPr>
            </w:pPr>
            <w:r w:rsidRPr="002F6DC4">
              <w:rPr>
                <w:sz w:val="18"/>
              </w:rPr>
              <w:t>11.7</w:t>
            </w:r>
          </w:p>
        </w:tc>
        <w:tc>
          <w:tcPr>
            <w:tcW w:w="966" w:type="dxa"/>
            <w:shd w:val="clear" w:color="auto" w:fill="auto"/>
            <w:vAlign w:val="bottom"/>
          </w:tcPr>
          <w:p w:rsidR="00C9789E" w:rsidRPr="002F6DC4" w:rsidRDefault="00C9789E" w:rsidP="002F6DC4">
            <w:pPr>
              <w:pStyle w:val="SingleTxtG"/>
              <w:spacing w:before="40" w:after="40" w:line="220" w:lineRule="exact"/>
              <w:ind w:left="0" w:right="113"/>
              <w:jc w:val="right"/>
              <w:rPr>
                <w:sz w:val="18"/>
              </w:rPr>
            </w:pPr>
            <w:r w:rsidRPr="002F6DC4">
              <w:rPr>
                <w:sz w:val="18"/>
              </w:rPr>
              <w:t>10.9</w:t>
            </w:r>
          </w:p>
        </w:tc>
        <w:tc>
          <w:tcPr>
            <w:tcW w:w="593" w:type="dxa"/>
            <w:shd w:val="clear" w:color="auto" w:fill="auto"/>
            <w:vAlign w:val="bottom"/>
          </w:tcPr>
          <w:p w:rsidR="00C9789E" w:rsidRPr="002F6DC4" w:rsidRDefault="00C9789E" w:rsidP="002F6DC4">
            <w:pPr>
              <w:pStyle w:val="SingleTxtG"/>
              <w:spacing w:before="40" w:after="40" w:line="220" w:lineRule="exact"/>
              <w:ind w:left="0" w:right="113"/>
              <w:jc w:val="right"/>
              <w:rPr>
                <w:sz w:val="18"/>
              </w:rPr>
            </w:pPr>
            <w:r w:rsidRPr="002F6DC4">
              <w:rPr>
                <w:sz w:val="18"/>
              </w:rPr>
              <w:t>6.3</w:t>
            </w:r>
          </w:p>
        </w:tc>
        <w:tc>
          <w:tcPr>
            <w:tcW w:w="1559" w:type="dxa"/>
            <w:shd w:val="clear" w:color="auto" w:fill="auto"/>
            <w:vAlign w:val="bottom"/>
          </w:tcPr>
          <w:p w:rsidR="00C9789E" w:rsidRPr="002F6DC4" w:rsidRDefault="00C9789E" w:rsidP="002F6DC4">
            <w:pPr>
              <w:pStyle w:val="SingleTxtG"/>
              <w:spacing w:before="40" w:after="40" w:line="220" w:lineRule="exact"/>
              <w:ind w:left="0" w:right="113"/>
              <w:jc w:val="right"/>
              <w:rPr>
                <w:sz w:val="18"/>
              </w:rPr>
            </w:pPr>
            <w:r w:rsidRPr="002F6DC4">
              <w:rPr>
                <w:sz w:val="18"/>
              </w:rPr>
              <w:t>9.4</w:t>
            </w:r>
          </w:p>
        </w:tc>
        <w:tc>
          <w:tcPr>
            <w:tcW w:w="769" w:type="dxa"/>
            <w:shd w:val="clear" w:color="auto" w:fill="auto"/>
            <w:vAlign w:val="bottom"/>
          </w:tcPr>
          <w:p w:rsidR="00C9789E" w:rsidRPr="002F6DC4" w:rsidRDefault="00C9789E" w:rsidP="002F6DC4">
            <w:pPr>
              <w:pStyle w:val="SingleTxtG"/>
              <w:spacing w:before="40" w:after="40" w:line="220" w:lineRule="exact"/>
              <w:ind w:left="0" w:right="113"/>
              <w:jc w:val="right"/>
              <w:rPr>
                <w:sz w:val="18"/>
              </w:rPr>
            </w:pPr>
            <w:r w:rsidRPr="002F6DC4">
              <w:rPr>
                <w:sz w:val="18"/>
              </w:rPr>
              <w:t>3.6</w:t>
            </w:r>
          </w:p>
        </w:tc>
        <w:tc>
          <w:tcPr>
            <w:tcW w:w="789" w:type="dxa"/>
            <w:shd w:val="clear" w:color="auto" w:fill="auto"/>
            <w:vAlign w:val="bottom"/>
          </w:tcPr>
          <w:p w:rsidR="00C9789E" w:rsidRPr="002F6DC4" w:rsidRDefault="00C9789E" w:rsidP="002F6DC4">
            <w:pPr>
              <w:pStyle w:val="SingleTxtG"/>
              <w:spacing w:before="40" w:after="40" w:line="220" w:lineRule="exact"/>
              <w:ind w:left="0" w:right="113"/>
              <w:jc w:val="right"/>
              <w:rPr>
                <w:sz w:val="18"/>
              </w:rPr>
            </w:pPr>
            <w:r w:rsidRPr="002F6DC4">
              <w:rPr>
                <w:sz w:val="18"/>
              </w:rPr>
              <w:t>5.4</w:t>
            </w:r>
          </w:p>
        </w:tc>
      </w:tr>
      <w:tr w:rsidR="00C9789E" w:rsidRPr="002F6DC4" w:rsidTr="00B77308">
        <w:trPr>
          <w:cantSplit/>
        </w:trPr>
        <w:tc>
          <w:tcPr>
            <w:tcW w:w="762" w:type="dxa"/>
            <w:shd w:val="clear" w:color="auto" w:fill="auto"/>
          </w:tcPr>
          <w:p w:rsidR="00C9789E" w:rsidRPr="002F6DC4" w:rsidRDefault="00C9789E" w:rsidP="002F6DC4">
            <w:pPr>
              <w:pStyle w:val="SingleTxtG"/>
              <w:spacing w:before="40" w:after="40" w:line="220" w:lineRule="exact"/>
              <w:ind w:left="0" w:right="113"/>
              <w:jc w:val="left"/>
              <w:rPr>
                <w:sz w:val="18"/>
              </w:rPr>
            </w:pPr>
            <w:r w:rsidRPr="002F6DC4">
              <w:rPr>
                <w:sz w:val="18"/>
              </w:rPr>
              <w:t>2016</w:t>
            </w:r>
          </w:p>
        </w:tc>
        <w:tc>
          <w:tcPr>
            <w:tcW w:w="1084" w:type="dxa"/>
            <w:shd w:val="clear" w:color="auto" w:fill="auto"/>
            <w:vAlign w:val="bottom"/>
          </w:tcPr>
          <w:p w:rsidR="00C9789E" w:rsidRPr="002F6DC4" w:rsidRDefault="00C9789E" w:rsidP="002F6DC4">
            <w:pPr>
              <w:pStyle w:val="SingleTxtG"/>
              <w:spacing w:before="40" w:after="40" w:line="220" w:lineRule="exact"/>
              <w:ind w:left="0" w:right="113"/>
              <w:jc w:val="right"/>
              <w:rPr>
                <w:sz w:val="18"/>
              </w:rPr>
            </w:pPr>
            <w:r w:rsidRPr="002F6DC4">
              <w:rPr>
                <w:sz w:val="18"/>
              </w:rPr>
              <w:t>3.9</w:t>
            </w:r>
          </w:p>
        </w:tc>
        <w:tc>
          <w:tcPr>
            <w:tcW w:w="848" w:type="dxa"/>
            <w:shd w:val="clear" w:color="auto" w:fill="auto"/>
            <w:vAlign w:val="bottom"/>
          </w:tcPr>
          <w:p w:rsidR="00C9789E" w:rsidRPr="002F6DC4" w:rsidRDefault="00C9789E" w:rsidP="002F6DC4">
            <w:pPr>
              <w:pStyle w:val="SingleTxtG"/>
              <w:spacing w:before="40" w:after="40" w:line="220" w:lineRule="exact"/>
              <w:ind w:left="0" w:right="113"/>
              <w:jc w:val="right"/>
              <w:rPr>
                <w:sz w:val="18"/>
              </w:rPr>
            </w:pPr>
            <w:r w:rsidRPr="002F6DC4">
              <w:rPr>
                <w:sz w:val="18"/>
              </w:rPr>
              <w:t>11.4</w:t>
            </w:r>
          </w:p>
        </w:tc>
        <w:tc>
          <w:tcPr>
            <w:tcW w:w="966" w:type="dxa"/>
            <w:shd w:val="clear" w:color="auto" w:fill="auto"/>
            <w:vAlign w:val="bottom"/>
          </w:tcPr>
          <w:p w:rsidR="00C9789E" w:rsidRPr="002F6DC4" w:rsidRDefault="00C9789E" w:rsidP="002F6DC4">
            <w:pPr>
              <w:pStyle w:val="SingleTxtG"/>
              <w:spacing w:before="40" w:after="40" w:line="220" w:lineRule="exact"/>
              <w:ind w:left="0" w:right="113"/>
              <w:jc w:val="right"/>
              <w:rPr>
                <w:sz w:val="18"/>
              </w:rPr>
            </w:pPr>
            <w:r w:rsidRPr="002F6DC4">
              <w:rPr>
                <w:sz w:val="18"/>
              </w:rPr>
              <w:t>9.7</w:t>
            </w:r>
          </w:p>
        </w:tc>
        <w:tc>
          <w:tcPr>
            <w:tcW w:w="593" w:type="dxa"/>
            <w:shd w:val="clear" w:color="auto" w:fill="auto"/>
            <w:vAlign w:val="bottom"/>
          </w:tcPr>
          <w:p w:rsidR="00C9789E" w:rsidRPr="002F6DC4" w:rsidRDefault="00C9789E" w:rsidP="002F6DC4">
            <w:pPr>
              <w:pStyle w:val="SingleTxtG"/>
              <w:spacing w:before="40" w:after="40" w:line="220" w:lineRule="exact"/>
              <w:ind w:left="0" w:right="113"/>
              <w:jc w:val="right"/>
              <w:rPr>
                <w:sz w:val="18"/>
              </w:rPr>
            </w:pPr>
            <w:r w:rsidRPr="002F6DC4">
              <w:rPr>
                <w:sz w:val="18"/>
              </w:rPr>
              <w:t>6.0</w:t>
            </w:r>
          </w:p>
        </w:tc>
        <w:tc>
          <w:tcPr>
            <w:tcW w:w="1559" w:type="dxa"/>
            <w:shd w:val="clear" w:color="auto" w:fill="auto"/>
            <w:vAlign w:val="bottom"/>
          </w:tcPr>
          <w:p w:rsidR="00C9789E" w:rsidRPr="002F6DC4" w:rsidRDefault="00C9789E" w:rsidP="002F6DC4">
            <w:pPr>
              <w:pStyle w:val="SingleTxtG"/>
              <w:spacing w:before="40" w:after="40" w:line="220" w:lineRule="exact"/>
              <w:ind w:left="0" w:right="113"/>
              <w:jc w:val="right"/>
              <w:rPr>
                <w:sz w:val="18"/>
              </w:rPr>
            </w:pPr>
            <w:r w:rsidRPr="002F6DC4">
              <w:rPr>
                <w:sz w:val="18"/>
              </w:rPr>
              <w:t>8.8</w:t>
            </w:r>
          </w:p>
        </w:tc>
        <w:tc>
          <w:tcPr>
            <w:tcW w:w="769" w:type="dxa"/>
            <w:shd w:val="clear" w:color="auto" w:fill="auto"/>
            <w:vAlign w:val="bottom"/>
          </w:tcPr>
          <w:p w:rsidR="00C9789E" w:rsidRPr="002F6DC4" w:rsidRDefault="00C9789E" w:rsidP="002F6DC4">
            <w:pPr>
              <w:pStyle w:val="SingleTxtG"/>
              <w:spacing w:before="40" w:after="40" w:line="220" w:lineRule="exact"/>
              <w:ind w:left="0" w:right="113"/>
              <w:jc w:val="right"/>
              <w:rPr>
                <w:sz w:val="18"/>
              </w:rPr>
            </w:pPr>
            <w:r w:rsidRPr="002F6DC4">
              <w:rPr>
                <w:sz w:val="18"/>
              </w:rPr>
              <w:t>5.2</w:t>
            </w:r>
          </w:p>
        </w:tc>
        <w:tc>
          <w:tcPr>
            <w:tcW w:w="789" w:type="dxa"/>
            <w:shd w:val="clear" w:color="auto" w:fill="auto"/>
            <w:vAlign w:val="bottom"/>
          </w:tcPr>
          <w:p w:rsidR="00C9789E" w:rsidRPr="002F6DC4" w:rsidRDefault="00C9789E" w:rsidP="002F6DC4">
            <w:pPr>
              <w:pStyle w:val="SingleTxtG"/>
              <w:spacing w:before="40" w:after="40" w:line="220" w:lineRule="exact"/>
              <w:ind w:left="0" w:right="113"/>
              <w:jc w:val="right"/>
              <w:rPr>
                <w:sz w:val="18"/>
              </w:rPr>
            </w:pPr>
            <w:r w:rsidRPr="002F6DC4">
              <w:rPr>
                <w:sz w:val="18"/>
              </w:rPr>
              <w:t>5.1</w:t>
            </w:r>
          </w:p>
        </w:tc>
      </w:tr>
    </w:tbl>
    <w:p w:rsidR="00DB0396" w:rsidRDefault="00DB0396" w:rsidP="00DB0396">
      <w:pPr>
        <w:pStyle w:val="Heading1"/>
        <w:spacing w:before="240"/>
      </w:pPr>
      <w:bookmarkStart w:id="42" w:name="_Toc494359766"/>
      <w:r w:rsidRPr="00112E97">
        <w:t>Figure 8</w:t>
      </w:r>
      <w:bookmarkEnd w:id="42"/>
    </w:p>
    <w:p w:rsidR="00112E97" w:rsidRDefault="00DB0396" w:rsidP="002F6BA1">
      <w:pPr>
        <w:pStyle w:val="Heading1"/>
        <w:spacing w:after="120"/>
      </w:pPr>
      <w:bookmarkStart w:id="43" w:name="_Toc494359767"/>
      <w:r w:rsidRPr="002F6BA1">
        <w:rPr>
          <w:b/>
        </w:rPr>
        <w:t>Unemployment rate by urban and rural area (%) year ended December</w:t>
      </w:r>
      <w:r w:rsidRPr="00112E97">
        <w:rPr>
          <w:rStyle w:val="FootnoteReference"/>
        </w:rPr>
        <w:footnoteReference w:id="31"/>
      </w:r>
      <w:bookmarkEnd w:id="43"/>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19"/>
        <w:gridCol w:w="1786"/>
        <w:gridCol w:w="2094"/>
        <w:gridCol w:w="1971"/>
      </w:tblGrid>
      <w:tr w:rsidR="002F6BA1" w:rsidRPr="002F6BA1" w:rsidTr="00B77308">
        <w:trPr>
          <w:cantSplit/>
          <w:tblHeader/>
        </w:trPr>
        <w:tc>
          <w:tcPr>
            <w:tcW w:w="1519" w:type="dxa"/>
            <w:tcBorders>
              <w:top w:val="single" w:sz="4" w:space="0" w:color="auto"/>
              <w:bottom w:val="single" w:sz="12" w:space="0" w:color="auto"/>
            </w:tcBorders>
            <w:shd w:val="clear" w:color="auto" w:fill="auto"/>
            <w:vAlign w:val="bottom"/>
            <w:hideMark/>
          </w:tcPr>
          <w:p w:rsidR="00DB0396" w:rsidRPr="002F6BA1" w:rsidRDefault="00DB0396" w:rsidP="002F6BA1">
            <w:pPr>
              <w:pStyle w:val="SingleTxtG"/>
              <w:spacing w:before="80" w:after="80" w:line="200" w:lineRule="exact"/>
              <w:ind w:left="0" w:right="113"/>
              <w:jc w:val="left"/>
              <w:rPr>
                <w:i/>
                <w:sz w:val="16"/>
              </w:rPr>
            </w:pPr>
            <w:r w:rsidRPr="002F6BA1">
              <w:rPr>
                <w:i/>
                <w:sz w:val="16"/>
              </w:rPr>
              <w:t>Year</w:t>
            </w:r>
          </w:p>
        </w:tc>
        <w:tc>
          <w:tcPr>
            <w:tcW w:w="1786" w:type="dxa"/>
            <w:tcBorders>
              <w:top w:val="single" w:sz="4" w:space="0" w:color="auto"/>
              <w:bottom w:val="single" w:sz="12" w:space="0" w:color="auto"/>
            </w:tcBorders>
            <w:shd w:val="clear" w:color="auto" w:fill="auto"/>
            <w:vAlign w:val="bottom"/>
            <w:hideMark/>
          </w:tcPr>
          <w:p w:rsidR="00DB0396" w:rsidRPr="002F6BA1" w:rsidRDefault="00DB0396" w:rsidP="002F6BA1">
            <w:pPr>
              <w:pStyle w:val="SingleTxtG"/>
              <w:spacing w:before="80" w:after="80" w:line="200" w:lineRule="exact"/>
              <w:ind w:left="0" w:right="113"/>
              <w:jc w:val="right"/>
              <w:rPr>
                <w:i/>
                <w:sz w:val="16"/>
              </w:rPr>
            </w:pPr>
            <w:r w:rsidRPr="002F6BA1">
              <w:rPr>
                <w:i/>
                <w:sz w:val="16"/>
              </w:rPr>
              <w:t>Urban</w:t>
            </w:r>
          </w:p>
        </w:tc>
        <w:tc>
          <w:tcPr>
            <w:tcW w:w="2094" w:type="dxa"/>
            <w:tcBorders>
              <w:top w:val="single" w:sz="4" w:space="0" w:color="auto"/>
              <w:bottom w:val="single" w:sz="12" w:space="0" w:color="auto"/>
            </w:tcBorders>
            <w:shd w:val="clear" w:color="auto" w:fill="auto"/>
            <w:vAlign w:val="bottom"/>
            <w:hideMark/>
          </w:tcPr>
          <w:p w:rsidR="00DB0396" w:rsidRPr="002F6BA1" w:rsidRDefault="00DB0396" w:rsidP="002F6BA1">
            <w:pPr>
              <w:pStyle w:val="SingleTxtG"/>
              <w:spacing w:before="80" w:after="80" w:line="200" w:lineRule="exact"/>
              <w:ind w:left="0" w:right="113"/>
              <w:jc w:val="right"/>
              <w:rPr>
                <w:i/>
                <w:sz w:val="16"/>
              </w:rPr>
            </w:pPr>
            <w:r w:rsidRPr="002F6BA1">
              <w:rPr>
                <w:i/>
                <w:sz w:val="16"/>
              </w:rPr>
              <w:t>Rural</w:t>
            </w:r>
          </w:p>
        </w:tc>
        <w:tc>
          <w:tcPr>
            <w:tcW w:w="1971" w:type="dxa"/>
            <w:tcBorders>
              <w:top w:val="single" w:sz="4" w:space="0" w:color="auto"/>
              <w:bottom w:val="single" w:sz="12" w:space="0" w:color="auto"/>
            </w:tcBorders>
            <w:shd w:val="clear" w:color="auto" w:fill="auto"/>
            <w:vAlign w:val="bottom"/>
            <w:hideMark/>
          </w:tcPr>
          <w:p w:rsidR="00DB0396" w:rsidRPr="002F6BA1" w:rsidRDefault="00DB0396" w:rsidP="002F6BA1">
            <w:pPr>
              <w:pStyle w:val="SingleTxtG"/>
              <w:spacing w:before="80" w:after="80" w:line="200" w:lineRule="exact"/>
              <w:ind w:left="0" w:right="113"/>
              <w:jc w:val="right"/>
              <w:rPr>
                <w:i/>
                <w:sz w:val="16"/>
              </w:rPr>
            </w:pPr>
            <w:r w:rsidRPr="002F6BA1">
              <w:rPr>
                <w:i/>
                <w:sz w:val="16"/>
              </w:rPr>
              <w:t xml:space="preserve">Total Both </w:t>
            </w:r>
          </w:p>
        </w:tc>
      </w:tr>
      <w:tr w:rsidR="002F6BA1" w:rsidRPr="002F6BA1" w:rsidTr="00B77308">
        <w:trPr>
          <w:cantSplit/>
        </w:trPr>
        <w:tc>
          <w:tcPr>
            <w:tcW w:w="1519" w:type="dxa"/>
            <w:tcBorders>
              <w:top w:val="single" w:sz="12" w:space="0" w:color="auto"/>
              <w:bottom w:val="nil"/>
            </w:tcBorders>
            <w:shd w:val="clear" w:color="auto" w:fill="auto"/>
            <w:hideMark/>
          </w:tcPr>
          <w:p w:rsidR="00DB0396" w:rsidRPr="002F6BA1" w:rsidRDefault="00DB0396" w:rsidP="002F6BA1">
            <w:pPr>
              <w:pStyle w:val="SingleTxtG"/>
              <w:spacing w:before="40" w:after="40" w:line="220" w:lineRule="exact"/>
              <w:ind w:left="0" w:right="113"/>
              <w:jc w:val="left"/>
              <w:rPr>
                <w:sz w:val="18"/>
              </w:rPr>
            </w:pPr>
            <w:r w:rsidRPr="002F6BA1">
              <w:rPr>
                <w:sz w:val="18"/>
              </w:rPr>
              <w:t>2012</w:t>
            </w:r>
          </w:p>
        </w:tc>
        <w:tc>
          <w:tcPr>
            <w:tcW w:w="1786" w:type="dxa"/>
            <w:tcBorders>
              <w:top w:val="single" w:sz="12" w:space="0" w:color="auto"/>
              <w:bottom w:val="nil"/>
            </w:tcBorders>
            <w:shd w:val="clear" w:color="auto" w:fill="auto"/>
            <w:noWrap/>
            <w:vAlign w:val="bottom"/>
            <w:hideMark/>
          </w:tcPr>
          <w:p w:rsidR="00DB0396" w:rsidRPr="002F6BA1" w:rsidRDefault="00DB0396" w:rsidP="002F6BA1">
            <w:pPr>
              <w:pStyle w:val="SingleTxtG"/>
              <w:spacing w:before="40" w:after="40" w:line="220" w:lineRule="exact"/>
              <w:ind w:left="0" w:right="113"/>
              <w:jc w:val="right"/>
              <w:rPr>
                <w:sz w:val="18"/>
              </w:rPr>
            </w:pPr>
            <w:r w:rsidRPr="002F6BA1">
              <w:rPr>
                <w:sz w:val="18"/>
              </w:rPr>
              <w:t>6.8</w:t>
            </w:r>
          </w:p>
        </w:tc>
        <w:tc>
          <w:tcPr>
            <w:tcW w:w="2094" w:type="dxa"/>
            <w:tcBorders>
              <w:top w:val="single" w:sz="12" w:space="0" w:color="auto"/>
              <w:bottom w:val="nil"/>
            </w:tcBorders>
            <w:shd w:val="clear" w:color="auto" w:fill="auto"/>
            <w:noWrap/>
            <w:vAlign w:val="bottom"/>
            <w:hideMark/>
          </w:tcPr>
          <w:p w:rsidR="00DB0396" w:rsidRPr="002F6BA1" w:rsidRDefault="00DB0396" w:rsidP="002F6BA1">
            <w:pPr>
              <w:pStyle w:val="SingleTxtG"/>
              <w:spacing w:before="40" w:after="40" w:line="220" w:lineRule="exact"/>
              <w:ind w:left="0" w:right="113"/>
              <w:jc w:val="right"/>
              <w:rPr>
                <w:sz w:val="18"/>
              </w:rPr>
            </w:pPr>
            <w:r w:rsidRPr="002F6BA1">
              <w:rPr>
                <w:sz w:val="18"/>
              </w:rPr>
              <w:t>4.2</w:t>
            </w:r>
          </w:p>
        </w:tc>
        <w:tc>
          <w:tcPr>
            <w:tcW w:w="1971" w:type="dxa"/>
            <w:tcBorders>
              <w:top w:val="single" w:sz="12" w:space="0" w:color="auto"/>
              <w:bottom w:val="nil"/>
            </w:tcBorders>
            <w:shd w:val="clear" w:color="auto" w:fill="auto"/>
            <w:noWrap/>
            <w:vAlign w:val="bottom"/>
            <w:hideMark/>
          </w:tcPr>
          <w:p w:rsidR="00DB0396" w:rsidRPr="002F6BA1" w:rsidRDefault="00DB0396" w:rsidP="002F6BA1">
            <w:pPr>
              <w:pStyle w:val="SingleTxtG"/>
              <w:spacing w:before="40" w:after="40" w:line="220" w:lineRule="exact"/>
              <w:ind w:left="0" w:right="113"/>
              <w:jc w:val="right"/>
              <w:rPr>
                <w:sz w:val="18"/>
              </w:rPr>
            </w:pPr>
            <w:r w:rsidRPr="002F6BA1">
              <w:rPr>
                <w:sz w:val="18"/>
              </w:rPr>
              <w:t>6.4</w:t>
            </w:r>
          </w:p>
        </w:tc>
      </w:tr>
      <w:tr w:rsidR="00DB0396" w:rsidRPr="002F6BA1" w:rsidTr="00B77308">
        <w:trPr>
          <w:cantSplit/>
        </w:trPr>
        <w:tc>
          <w:tcPr>
            <w:tcW w:w="1519" w:type="dxa"/>
            <w:tcBorders>
              <w:top w:val="nil"/>
              <w:bottom w:val="nil"/>
            </w:tcBorders>
            <w:shd w:val="clear" w:color="auto" w:fill="auto"/>
            <w:hideMark/>
          </w:tcPr>
          <w:p w:rsidR="00DB0396" w:rsidRPr="002F6BA1" w:rsidRDefault="00DB0396" w:rsidP="002F6BA1">
            <w:pPr>
              <w:pStyle w:val="SingleTxtG"/>
              <w:spacing w:before="40" w:after="40" w:line="220" w:lineRule="exact"/>
              <w:ind w:left="0" w:right="113"/>
              <w:jc w:val="left"/>
              <w:rPr>
                <w:sz w:val="18"/>
              </w:rPr>
            </w:pPr>
            <w:r w:rsidRPr="002F6BA1">
              <w:rPr>
                <w:sz w:val="18"/>
              </w:rPr>
              <w:t>2013</w:t>
            </w:r>
          </w:p>
        </w:tc>
        <w:tc>
          <w:tcPr>
            <w:tcW w:w="1786" w:type="dxa"/>
            <w:tcBorders>
              <w:top w:val="nil"/>
              <w:bottom w:val="nil"/>
            </w:tcBorders>
            <w:shd w:val="clear" w:color="auto" w:fill="auto"/>
            <w:noWrap/>
            <w:vAlign w:val="bottom"/>
            <w:hideMark/>
          </w:tcPr>
          <w:p w:rsidR="00DB0396" w:rsidRPr="002F6BA1" w:rsidRDefault="00DB0396" w:rsidP="002F6BA1">
            <w:pPr>
              <w:pStyle w:val="SingleTxtG"/>
              <w:spacing w:before="40" w:after="40" w:line="220" w:lineRule="exact"/>
              <w:ind w:left="0" w:right="113"/>
              <w:jc w:val="right"/>
              <w:rPr>
                <w:sz w:val="18"/>
              </w:rPr>
            </w:pPr>
            <w:r w:rsidRPr="002F6BA1">
              <w:rPr>
                <w:sz w:val="18"/>
              </w:rPr>
              <w:t>6.0</w:t>
            </w:r>
          </w:p>
        </w:tc>
        <w:tc>
          <w:tcPr>
            <w:tcW w:w="2094" w:type="dxa"/>
            <w:tcBorders>
              <w:top w:val="nil"/>
              <w:bottom w:val="nil"/>
            </w:tcBorders>
            <w:shd w:val="clear" w:color="auto" w:fill="auto"/>
            <w:noWrap/>
            <w:vAlign w:val="bottom"/>
            <w:hideMark/>
          </w:tcPr>
          <w:p w:rsidR="00DB0396" w:rsidRPr="002F6BA1" w:rsidRDefault="00DB0396" w:rsidP="002F6BA1">
            <w:pPr>
              <w:pStyle w:val="SingleTxtG"/>
              <w:spacing w:before="40" w:after="40" w:line="220" w:lineRule="exact"/>
              <w:ind w:left="0" w:right="113"/>
              <w:jc w:val="right"/>
              <w:rPr>
                <w:sz w:val="18"/>
              </w:rPr>
            </w:pPr>
            <w:r w:rsidRPr="002F6BA1">
              <w:rPr>
                <w:sz w:val="18"/>
              </w:rPr>
              <w:t>4.5</w:t>
            </w:r>
          </w:p>
        </w:tc>
        <w:tc>
          <w:tcPr>
            <w:tcW w:w="1971" w:type="dxa"/>
            <w:tcBorders>
              <w:top w:val="nil"/>
              <w:bottom w:val="nil"/>
            </w:tcBorders>
            <w:shd w:val="clear" w:color="auto" w:fill="auto"/>
            <w:noWrap/>
            <w:vAlign w:val="bottom"/>
            <w:hideMark/>
          </w:tcPr>
          <w:p w:rsidR="00DB0396" w:rsidRPr="002F6BA1" w:rsidRDefault="00DB0396" w:rsidP="002F6BA1">
            <w:pPr>
              <w:pStyle w:val="SingleTxtG"/>
              <w:spacing w:before="40" w:after="40" w:line="220" w:lineRule="exact"/>
              <w:ind w:left="0" w:right="113"/>
              <w:jc w:val="right"/>
              <w:rPr>
                <w:sz w:val="18"/>
              </w:rPr>
            </w:pPr>
            <w:r w:rsidRPr="002F6BA1">
              <w:rPr>
                <w:sz w:val="18"/>
              </w:rPr>
              <w:t>6.0</w:t>
            </w:r>
          </w:p>
        </w:tc>
      </w:tr>
      <w:tr w:rsidR="00DB0396" w:rsidRPr="002F6BA1" w:rsidTr="001F3D40">
        <w:trPr>
          <w:cantSplit/>
        </w:trPr>
        <w:tc>
          <w:tcPr>
            <w:tcW w:w="1519" w:type="dxa"/>
            <w:tcBorders>
              <w:top w:val="nil"/>
              <w:bottom w:val="nil"/>
            </w:tcBorders>
            <w:shd w:val="clear" w:color="auto" w:fill="auto"/>
            <w:hideMark/>
          </w:tcPr>
          <w:p w:rsidR="00DB0396" w:rsidRPr="002F6BA1" w:rsidRDefault="00DB0396" w:rsidP="002F6BA1">
            <w:pPr>
              <w:pStyle w:val="SingleTxtG"/>
              <w:spacing w:before="40" w:after="40" w:line="220" w:lineRule="exact"/>
              <w:ind w:left="0" w:right="113"/>
              <w:jc w:val="left"/>
              <w:rPr>
                <w:sz w:val="18"/>
              </w:rPr>
            </w:pPr>
            <w:r w:rsidRPr="002F6BA1">
              <w:rPr>
                <w:sz w:val="18"/>
              </w:rPr>
              <w:t>2014</w:t>
            </w:r>
          </w:p>
        </w:tc>
        <w:tc>
          <w:tcPr>
            <w:tcW w:w="1786" w:type="dxa"/>
            <w:tcBorders>
              <w:top w:val="nil"/>
              <w:bottom w:val="nil"/>
            </w:tcBorders>
            <w:shd w:val="clear" w:color="auto" w:fill="auto"/>
            <w:noWrap/>
            <w:vAlign w:val="bottom"/>
            <w:hideMark/>
          </w:tcPr>
          <w:p w:rsidR="00DB0396" w:rsidRPr="002F6BA1" w:rsidRDefault="00DB0396" w:rsidP="002F6BA1">
            <w:pPr>
              <w:pStyle w:val="SingleTxtG"/>
              <w:spacing w:before="40" w:after="40" w:line="220" w:lineRule="exact"/>
              <w:ind w:left="0" w:right="113"/>
              <w:jc w:val="right"/>
              <w:rPr>
                <w:sz w:val="18"/>
              </w:rPr>
            </w:pPr>
            <w:r w:rsidRPr="002F6BA1">
              <w:rPr>
                <w:sz w:val="18"/>
              </w:rPr>
              <w:t>5.6</w:t>
            </w:r>
          </w:p>
        </w:tc>
        <w:tc>
          <w:tcPr>
            <w:tcW w:w="2094" w:type="dxa"/>
            <w:tcBorders>
              <w:top w:val="nil"/>
              <w:bottom w:val="nil"/>
            </w:tcBorders>
            <w:shd w:val="clear" w:color="auto" w:fill="auto"/>
            <w:noWrap/>
            <w:vAlign w:val="bottom"/>
            <w:hideMark/>
          </w:tcPr>
          <w:p w:rsidR="00DB0396" w:rsidRPr="002F6BA1" w:rsidRDefault="00DB0396" w:rsidP="002F6BA1">
            <w:pPr>
              <w:pStyle w:val="SingleTxtG"/>
              <w:spacing w:before="40" w:after="40" w:line="220" w:lineRule="exact"/>
              <w:ind w:left="0" w:right="113"/>
              <w:jc w:val="right"/>
              <w:rPr>
                <w:sz w:val="18"/>
              </w:rPr>
            </w:pPr>
            <w:r w:rsidRPr="002F6BA1">
              <w:rPr>
                <w:sz w:val="18"/>
              </w:rPr>
              <w:t>3.9</w:t>
            </w:r>
          </w:p>
        </w:tc>
        <w:tc>
          <w:tcPr>
            <w:tcW w:w="1971" w:type="dxa"/>
            <w:tcBorders>
              <w:top w:val="nil"/>
              <w:bottom w:val="nil"/>
            </w:tcBorders>
            <w:shd w:val="clear" w:color="auto" w:fill="auto"/>
            <w:noWrap/>
            <w:vAlign w:val="bottom"/>
            <w:hideMark/>
          </w:tcPr>
          <w:p w:rsidR="00DB0396" w:rsidRPr="002F6BA1" w:rsidRDefault="00DB0396" w:rsidP="002F6BA1">
            <w:pPr>
              <w:pStyle w:val="SingleTxtG"/>
              <w:spacing w:before="40" w:after="40" w:line="220" w:lineRule="exact"/>
              <w:ind w:left="0" w:right="113"/>
              <w:jc w:val="right"/>
              <w:rPr>
                <w:sz w:val="18"/>
              </w:rPr>
            </w:pPr>
            <w:r w:rsidRPr="002F6BA1">
              <w:rPr>
                <w:sz w:val="18"/>
              </w:rPr>
              <w:t>5.6</w:t>
            </w:r>
          </w:p>
        </w:tc>
      </w:tr>
      <w:tr w:rsidR="00DB0396" w:rsidRPr="002F6BA1" w:rsidTr="001F3D40">
        <w:trPr>
          <w:cantSplit/>
        </w:trPr>
        <w:tc>
          <w:tcPr>
            <w:tcW w:w="1519" w:type="dxa"/>
            <w:tcBorders>
              <w:top w:val="nil"/>
              <w:bottom w:val="nil"/>
            </w:tcBorders>
            <w:shd w:val="clear" w:color="auto" w:fill="auto"/>
            <w:hideMark/>
          </w:tcPr>
          <w:p w:rsidR="00DB0396" w:rsidRPr="002F6BA1" w:rsidRDefault="00DB0396" w:rsidP="002F6BA1">
            <w:pPr>
              <w:pStyle w:val="SingleTxtG"/>
              <w:spacing w:before="40" w:after="40" w:line="220" w:lineRule="exact"/>
              <w:ind w:left="0" w:right="113"/>
              <w:jc w:val="left"/>
              <w:rPr>
                <w:sz w:val="18"/>
              </w:rPr>
            </w:pPr>
            <w:r w:rsidRPr="002F6BA1">
              <w:rPr>
                <w:sz w:val="18"/>
              </w:rPr>
              <w:t>2015</w:t>
            </w:r>
          </w:p>
        </w:tc>
        <w:tc>
          <w:tcPr>
            <w:tcW w:w="1786" w:type="dxa"/>
            <w:tcBorders>
              <w:top w:val="nil"/>
              <w:bottom w:val="nil"/>
            </w:tcBorders>
            <w:shd w:val="clear" w:color="auto" w:fill="auto"/>
            <w:noWrap/>
            <w:vAlign w:val="bottom"/>
            <w:hideMark/>
          </w:tcPr>
          <w:p w:rsidR="00DB0396" w:rsidRPr="002F6BA1" w:rsidRDefault="00DB0396" w:rsidP="002F6BA1">
            <w:pPr>
              <w:pStyle w:val="SingleTxtG"/>
              <w:spacing w:before="40" w:after="40" w:line="220" w:lineRule="exact"/>
              <w:ind w:left="0" w:right="113"/>
              <w:jc w:val="right"/>
              <w:rPr>
                <w:sz w:val="18"/>
              </w:rPr>
            </w:pPr>
            <w:r w:rsidRPr="002F6BA1">
              <w:rPr>
                <w:sz w:val="18"/>
              </w:rPr>
              <w:t>5.6</w:t>
            </w:r>
          </w:p>
        </w:tc>
        <w:tc>
          <w:tcPr>
            <w:tcW w:w="2094" w:type="dxa"/>
            <w:tcBorders>
              <w:top w:val="nil"/>
              <w:bottom w:val="nil"/>
            </w:tcBorders>
            <w:shd w:val="clear" w:color="auto" w:fill="auto"/>
            <w:noWrap/>
            <w:vAlign w:val="bottom"/>
            <w:hideMark/>
          </w:tcPr>
          <w:p w:rsidR="00DB0396" w:rsidRPr="002F6BA1" w:rsidRDefault="00DB0396" w:rsidP="002F6BA1">
            <w:pPr>
              <w:pStyle w:val="SingleTxtG"/>
              <w:spacing w:before="40" w:after="40" w:line="220" w:lineRule="exact"/>
              <w:ind w:left="0" w:right="113"/>
              <w:jc w:val="right"/>
              <w:rPr>
                <w:sz w:val="18"/>
              </w:rPr>
            </w:pPr>
            <w:r w:rsidRPr="002F6BA1">
              <w:rPr>
                <w:sz w:val="18"/>
              </w:rPr>
              <w:t>3.6</w:t>
            </w:r>
          </w:p>
        </w:tc>
        <w:tc>
          <w:tcPr>
            <w:tcW w:w="1971" w:type="dxa"/>
            <w:tcBorders>
              <w:top w:val="nil"/>
              <w:bottom w:val="nil"/>
            </w:tcBorders>
            <w:shd w:val="clear" w:color="auto" w:fill="auto"/>
            <w:noWrap/>
            <w:vAlign w:val="bottom"/>
            <w:hideMark/>
          </w:tcPr>
          <w:p w:rsidR="00DB0396" w:rsidRPr="002F6BA1" w:rsidRDefault="00DB0396" w:rsidP="002F6BA1">
            <w:pPr>
              <w:pStyle w:val="SingleTxtG"/>
              <w:spacing w:before="40" w:after="40" w:line="220" w:lineRule="exact"/>
              <w:ind w:left="0" w:right="113"/>
              <w:jc w:val="right"/>
              <w:rPr>
                <w:sz w:val="18"/>
              </w:rPr>
            </w:pPr>
            <w:r w:rsidRPr="002F6BA1">
              <w:rPr>
                <w:sz w:val="18"/>
              </w:rPr>
              <w:t>5.6</w:t>
            </w:r>
          </w:p>
        </w:tc>
      </w:tr>
      <w:tr w:rsidR="00DB0396" w:rsidRPr="002F6BA1" w:rsidTr="001F3D40">
        <w:trPr>
          <w:cantSplit/>
        </w:trPr>
        <w:tc>
          <w:tcPr>
            <w:tcW w:w="1519" w:type="dxa"/>
            <w:tcBorders>
              <w:top w:val="nil"/>
            </w:tcBorders>
            <w:shd w:val="clear" w:color="auto" w:fill="auto"/>
            <w:hideMark/>
          </w:tcPr>
          <w:p w:rsidR="00DB0396" w:rsidRPr="002F6BA1" w:rsidRDefault="00DB0396" w:rsidP="002F6BA1">
            <w:pPr>
              <w:pStyle w:val="SingleTxtG"/>
              <w:spacing w:before="40" w:after="40" w:line="220" w:lineRule="exact"/>
              <w:ind w:left="0" w:right="113"/>
              <w:jc w:val="left"/>
              <w:rPr>
                <w:sz w:val="18"/>
              </w:rPr>
            </w:pPr>
            <w:r w:rsidRPr="002F6BA1">
              <w:rPr>
                <w:sz w:val="18"/>
              </w:rPr>
              <w:lastRenderedPageBreak/>
              <w:t>2016</w:t>
            </w:r>
          </w:p>
        </w:tc>
        <w:tc>
          <w:tcPr>
            <w:tcW w:w="1786" w:type="dxa"/>
            <w:tcBorders>
              <w:top w:val="nil"/>
            </w:tcBorders>
            <w:shd w:val="clear" w:color="auto" w:fill="auto"/>
            <w:noWrap/>
            <w:vAlign w:val="bottom"/>
            <w:hideMark/>
          </w:tcPr>
          <w:p w:rsidR="00DB0396" w:rsidRPr="002F6BA1" w:rsidRDefault="00DB0396" w:rsidP="002F6BA1">
            <w:pPr>
              <w:pStyle w:val="SingleTxtG"/>
              <w:spacing w:before="40" w:after="40" w:line="220" w:lineRule="exact"/>
              <w:ind w:left="0" w:right="113"/>
              <w:jc w:val="right"/>
              <w:rPr>
                <w:sz w:val="18"/>
              </w:rPr>
            </w:pPr>
            <w:r w:rsidRPr="002F6BA1">
              <w:rPr>
                <w:sz w:val="18"/>
              </w:rPr>
              <w:t>5.3</w:t>
            </w:r>
          </w:p>
        </w:tc>
        <w:tc>
          <w:tcPr>
            <w:tcW w:w="2094" w:type="dxa"/>
            <w:tcBorders>
              <w:top w:val="nil"/>
            </w:tcBorders>
            <w:shd w:val="clear" w:color="auto" w:fill="auto"/>
            <w:noWrap/>
            <w:vAlign w:val="bottom"/>
            <w:hideMark/>
          </w:tcPr>
          <w:p w:rsidR="00DB0396" w:rsidRPr="002F6BA1" w:rsidRDefault="00DB0396" w:rsidP="002F6BA1">
            <w:pPr>
              <w:pStyle w:val="SingleTxtG"/>
              <w:spacing w:before="40" w:after="40" w:line="220" w:lineRule="exact"/>
              <w:ind w:left="0" w:right="113"/>
              <w:jc w:val="right"/>
              <w:rPr>
                <w:sz w:val="18"/>
              </w:rPr>
            </w:pPr>
            <w:r w:rsidRPr="002F6BA1">
              <w:rPr>
                <w:sz w:val="18"/>
              </w:rPr>
              <w:t>3.7</w:t>
            </w:r>
          </w:p>
        </w:tc>
        <w:tc>
          <w:tcPr>
            <w:tcW w:w="1971" w:type="dxa"/>
            <w:tcBorders>
              <w:top w:val="nil"/>
            </w:tcBorders>
            <w:shd w:val="clear" w:color="auto" w:fill="auto"/>
            <w:noWrap/>
            <w:vAlign w:val="bottom"/>
            <w:hideMark/>
          </w:tcPr>
          <w:p w:rsidR="00DB0396" w:rsidRPr="002F6BA1" w:rsidRDefault="00DB0396" w:rsidP="002F6BA1">
            <w:pPr>
              <w:pStyle w:val="SingleTxtG"/>
              <w:spacing w:before="40" w:after="40" w:line="220" w:lineRule="exact"/>
              <w:ind w:left="0" w:right="113"/>
              <w:jc w:val="right"/>
              <w:rPr>
                <w:sz w:val="18"/>
              </w:rPr>
            </w:pPr>
            <w:r w:rsidRPr="002F6BA1">
              <w:rPr>
                <w:sz w:val="18"/>
              </w:rPr>
              <w:t>5.4</w:t>
            </w:r>
          </w:p>
        </w:tc>
      </w:tr>
    </w:tbl>
    <w:p w:rsidR="002F6BA1" w:rsidRDefault="00DB0396" w:rsidP="002F6BA1">
      <w:pPr>
        <w:pStyle w:val="Heading1"/>
        <w:spacing w:before="240"/>
      </w:pPr>
      <w:bookmarkStart w:id="44" w:name="_Toc494359768"/>
      <w:r w:rsidRPr="00112E97">
        <w:t>Figure 9</w:t>
      </w:r>
      <w:bookmarkEnd w:id="44"/>
    </w:p>
    <w:p w:rsidR="00DB0396" w:rsidRPr="002F6BA1" w:rsidRDefault="00DB0396" w:rsidP="00DB0396">
      <w:pPr>
        <w:pStyle w:val="SingleTxtG"/>
        <w:rPr>
          <w:b/>
        </w:rPr>
      </w:pPr>
      <w:r w:rsidRPr="002F6BA1">
        <w:rPr>
          <w:b/>
          <w:sz w:val="18"/>
        </w:rPr>
        <w:t>Underemployed rate by sex (%) year ended December</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88"/>
        <w:gridCol w:w="2062"/>
        <w:gridCol w:w="1898"/>
        <w:gridCol w:w="2622"/>
      </w:tblGrid>
      <w:tr w:rsidR="00C9789E" w:rsidRPr="000B7839" w:rsidTr="00B77308">
        <w:trPr>
          <w:cantSplit/>
          <w:tblHeader/>
        </w:trPr>
        <w:tc>
          <w:tcPr>
            <w:tcW w:w="745" w:type="dxa"/>
            <w:tcBorders>
              <w:top w:val="single" w:sz="4" w:space="0" w:color="auto"/>
              <w:bottom w:val="single" w:sz="12" w:space="0" w:color="auto"/>
            </w:tcBorders>
            <w:shd w:val="clear" w:color="auto" w:fill="auto"/>
            <w:vAlign w:val="bottom"/>
            <w:hideMark/>
          </w:tcPr>
          <w:p w:rsidR="00C9789E" w:rsidRPr="000B7839" w:rsidRDefault="00C9789E" w:rsidP="000B7839">
            <w:pPr>
              <w:pStyle w:val="SingleTxtG"/>
              <w:spacing w:before="80" w:after="80" w:line="200" w:lineRule="exact"/>
              <w:ind w:left="0" w:right="113"/>
              <w:jc w:val="left"/>
              <w:rPr>
                <w:i/>
                <w:sz w:val="16"/>
              </w:rPr>
            </w:pPr>
            <w:r w:rsidRPr="000B7839">
              <w:rPr>
                <w:i/>
                <w:sz w:val="16"/>
              </w:rPr>
              <w:t>Year</w:t>
            </w:r>
          </w:p>
        </w:tc>
        <w:tc>
          <w:tcPr>
            <w:tcW w:w="1949" w:type="dxa"/>
            <w:tcBorders>
              <w:top w:val="single" w:sz="4" w:space="0" w:color="auto"/>
              <w:bottom w:val="single" w:sz="12" w:space="0" w:color="auto"/>
            </w:tcBorders>
            <w:shd w:val="clear" w:color="auto" w:fill="auto"/>
            <w:vAlign w:val="bottom"/>
            <w:hideMark/>
          </w:tcPr>
          <w:p w:rsidR="00C9789E" w:rsidRPr="000B7839" w:rsidRDefault="00C9789E" w:rsidP="000B7839">
            <w:pPr>
              <w:pStyle w:val="SingleTxtG"/>
              <w:spacing w:before="80" w:after="80" w:line="200" w:lineRule="exact"/>
              <w:ind w:left="0" w:right="113"/>
              <w:jc w:val="right"/>
              <w:rPr>
                <w:i/>
                <w:sz w:val="16"/>
              </w:rPr>
            </w:pPr>
            <w:r w:rsidRPr="000B7839">
              <w:rPr>
                <w:i/>
                <w:sz w:val="16"/>
              </w:rPr>
              <w:t>Male</w:t>
            </w:r>
          </w:p>
        </w:tc>
        <w:tc>
          <w:tcPr>
            <w:tcW w:w="1794" w:type="dxa"/>
            <w:tcBorders>
              <w:top w:val="single" w:sz="4" w:space="0" w:color="auto"/>
              <w:bottom w:val="single" w:sz="12" w:space="0" w:color="auto"/>
            </w:tcBorders>
            <w:shd w:val="clear" w:color="auto" w:fill="auto"/>
            <w:vAlign w:val="bottom"/>
            <w:hideMark/>
          </w:tcPr>
          <w:p w:rsidR="00C9789E" w:rsidRPr="000B7839" w:rsidRDefault="00C9789E" w:rsidP="000B7839">
            <w:pPr>
              <w:pStyle w:val="SingleTxtG"/>
              <w:spacing w:before="80" w:after="80" w:line="200" w:lineRule="exact"/>
              <w:ind w:left="0" w:right="113"/>
              <w:jc w:val="right"/>
              <w:rPr>
                <w:i/>
                <w:sz w:val="16"/>
              </w:rPr>
            </w:pPr>
            <w:r w:rsidRPr="000B7839">
              <w:rPr>
                <w:i/>
                <w:sz w:val="16"/>
              </w:rPr>
              <w:t>Female</w:t>
            </w:r>
          </w:p>
        </w:tc>
        <w:tc>
          <w:tcPr>
            <w:tcW w:w="2478" w:type="dxa"/>
            <w:tcBorders>
              <w:top w:val="single" w:sz="4" w:space="0" w:color="auto"/>
              <w:bottom w:val="single" w:sz="12" w:space="0" w:color="auto"/>
            </w:tcBorders>
            <w:shd w:val="clear" w:color="auto" w:fill="auto"/>
            <w:vAlign w:val="bottom"/>
            <w:hideMark/>
          </w:tcPr>
          <w:p w:rsidR="00C9789E" w:rsidRPr="000B7839" w:rsidRDefault="00C9789E" w:rsidP="000B7839">
            <w:pPr>
              <w:pStyle w:val="SingleTxtG"/>
              <w:spacing w:before="80" w:after="80" w:line="200" w:lineRule="exact"/>
              <w:ind w:left="0" w:right="113"/>
              <w:jc w:val="right"/>
              <w:rPr>
                <w:i/>
                <w:sz w:val="16"/>
              </w:rPr>
            </w:pPr>
            <w:r w:rsidRPr="000B7839">
              <w:rPr>
                <w:i/>
                <w:sz w:val="16"/>
              </w:rPr>
              <w:t>Total Both Sexes</w:t>
            </w:r>
          </w:p>
        </w:tc>
      </w:tr>
      <w:tr w:rsidR="00C9789E" w:rsidRPr="000B7839" w:rsidTr="00B77308">
        <w:trPr>
          <w:cantSplit/>
        </w:trPr>
        <w:tc>
          <w:tcPr>
            <w:tcW w:w="745" w:type="dxa"/>
            <w:tcBorders>
              <w:top w:val="single" w:sz="12" w:space="0" w:color="auto"/>
            </w:tcBorders>
            <w:shd w:val="clear" w:color="auto" w:fill="auto"/>
            <w:hideMark/>
          </w:tcPr>
          <w:p w:rsidR="00C9789E" w:rsidRPr="000B7839" w:rsidRDefault="00C9789E" w:rsidP="000B7839">
            <w:pPr>
              <w:pStyle w:val="SingleTxtG"/>
              <w:spacing w:before="40" w:after="40" w:line="220" w:lineRule="exact"/>
              <w:ind w:left="0" w:right="113"/>
              <w:jc w:val="left"/>
              <w:rPr>
                <w:sz w:val="18"/>
              </w:rPr>
            </w:pPr>
            <w:r w:rsidRPr="000B7839">
              <w:rPr>
                <w:sz w:val="18"/>
              </w:rPr>
              <w:t>2012</w:t>
            </w:r>
          </w:p>
        </w:tc>
        <w:tc>
          <w:tcPr>
            <w:tcW w:w="1949" w:type="dxa"/>
            <w:tcBorders>
              <w:top w:val="single" w:sz="12" w:space="0" w:color="auto"/>
            </w:tcBorders>
            <w:shd w:val="clear" w:color="auto" w:fill="auto"/>
            <w:noWrap/>
            <w:vAlign w:val="bottom"/>
            <w:hideMark/>
          </w:tcPr>
          <w:p w:rsidR="00C9789E" w:rsidRPr="000B7839" w:rsidRDefault="00C9789E" w:rsidP="000B7839">
            <w:pPr>
              <w:pStyle w:val="SingleTxtG"/>
              <w:spacing w:before="40" w:after="40" w:line="220" w:lineRule="exact"/>
              <w:ind w:left="0" w:right="113"/>
              <w:jc w:val="right"/>
              <w:rPr>
                <w:sz w:val="18"/>
              </w:rPr>
            </w:pPr>
            <w:r w:rsidRPr="000B7839">
              <w:rPr>
                <w:sz w:val="18"/>
              </w:rPr>
              <w:t>2.6</w:t>
            </w:r>
          </w:p>
        </w:tc>
        <w:tc>
          <w:tcPr>
            <w:tcW w:w="1794" w:type="dxa"/>
            <w:tcBorders>
              <w:top w:val="single" w:sz="12" w:space="0" w:color="auto"/>
            </w:tcBorders>
            <w:shd w:val="clear" w:color="auto" w:fill="auto"/>
            <w:noWrap/>
            <w:vAlign w:val="bottom"/>
            <w:hideMark/>
          </w:tcPr>
          <w:p w:rsidR="00C9789E" w:rsidRPr="000B7839" w:rsidRDefault="00C9789E" w:rsidP="000B7839">
            <w:pPr>
              <w:pStyle w:val="SingleTxtG"/>
              <w:spacing w:before="40" w:after="40" w:line="220" w:lineRule="exact"/>
              <w:ind w:left="0" w:right="113"/>
              <w:jc w:val="right"/>
              <w:rPr>
                <w:sz w:val="18"/>
              </w:rPr>
            </w:pPr>
            <w:r w:rsidRPr="000B7839">
              <w:rPr>
                <w:sz w:val="18"/>
              </w:rPr>
              <w:t>6.0</w:t>
            </w:r>
          </w:p>
        </w:tc>
        <w:tc>
          <w:tcPr>
            <w:tcW w:w="2478" w:type="dxa"/>
            <w:tcBorders>
              <w:top w:val="single" w:sz="12" w:space="0" w:color="auto"/>
            </w:tcBorders>
            <w:shd w:val="clear" w:color="auto" w:fill="auto"/>
            <w:noWrap/>
            <w:vAlign w:val="bottom"/>
            <w:hideMark/>
          </w:tcPr>
          <w:p w:rsidR="00C9789E" w:rsidRPr="000B7839" w:rsidRDefault="00C9789E" w:rsidP="000B7839">
            <w:pPr>
              <w:pStyle w:val="SingleTxtG"/>
              <w:spacing w:before="40" w:after="40" w:line="220" w:lineRule="exact"/>
              <w:ind w:left="0" w:right="113"/>
              <w:jc w:val="right"/>
              <w:rPr>
                <w:sz w:val="18"/>
              </w:rPr>
            </w:pPr>
            <w:r w:rsidRPr="000B7839">
              <w:rPr>
                <w:sz w:val="18"/>
              </w:rPr>
              <w:t>4.2</w:t>
            </w:r>
          </w:p>
        </w:tc>
      </w:tr>
      <w:tr w:rsidR="00C9789E" w:rsidRPr="000B7839" w:rsidTr="00B77308">
        <w:trPr>
          <w:cantSplit/>
        </w:trPr>
        <w:tc>
          <w:tcPr>
            <w:tcW w:w="745" w:type="dxa"/>
            <w:shd w:val="clear" w:color="auto" w:fill="auto"/>
            <w:hideMark/>
          </w:tcPr>
          <w:p w:rsidR="00C9789E" w:rsidRPr="000B7839" w:rsidRDefault="00C9789E" w:rsidP="000B7839">
            <w:pPr>
              <w:pStyle w:val="SingleTxtG"/>
              <w:spacing w:before="40" w:after="40" w:line="220" w:lineRule="exact"/>
              <w:ind w:left="0" w:right="113"/>
              <w:jc w:val="left"/>
              <w:rPr>
                <w:sz w:val="18"/>
              </w:rPr>
            </w:pPr>
            <w:r w:rsidRPr="000B7839">
              <w:rPr>
                <w:sz w:val="18"/>
              </w:rPr>
              <w:t>2013</w:t>
            </w:r>
          </w:p>
        </w:tc>
        <w:tc>
          <w:tcPr>
            <w:tcW w:w="1949" w:type="dxa"/>
            <w:shd w:val="clear" w:color="auto" w:fill="auto"/>
            <w:noWrap/>
            <w:vAlign w:val="bottom"/>
            <w:hideMark/>
          </w:tcPr>
          <w:p w:rsidR="00C9789E" w:rsidRPr="000B7839" w:rsidRDefault="00C9789E" w:rsidP="000B7839">
            <w:pPr>
              <w:pStyle w:val="SingleTxtG"/>
              <w:spacing w:before="40" w:after="40" w:line="220" w:lineRule="exact"/>
              <w:ind w:left="0" w:right="113"/>
              <w:jc w:val="right"/>
              <w:rPr>
                <w:sz w:val="18"/>
              </w:rPr>
            </w:pPr>
            <w:r w:rsidRPr="000B7839">
              <w:rPr>
                <w:sz w:val="18"/>
              </w:rPr>
              <w:t>2.4</w:t>
            </w:r>
          </w:p>
        </w:tc>
        <w:tc>
          <w:tcPr>
            <w:tcW w:w="1794" w:type="dxa"/>
            <w:shd w:val="clear" w:color="auto" w:fill="auto"/>
            <w:noWrap/>
            <w:vAlign w:val="bottom"/>
            <w:hideMark/>
          </w:tcPr>
          <w:p w:rsidR="00C9789E" w:rsidRPr="000B7839" w:rsidRDefault="00C9789E" w:rsidP="000B7839">
            <w:pPr>
              <w:pStyle w:val="SingleTxtG"/>
              <w:spacing w:before="40" w:after="40" w:line="220" w:lineRule="exact"/>
              <w:ind w:left="0" w:right="113"/>
              <w:jc w:val="right"/>
              <w:rPr>
                <w:sz w:val="18"/>
              </w:rPr>
            </w:pPr>
            <w:r w:rsidRPr="000B7839">
              <w:rPr>
                <w:sz w:val="18"/>
              </w:rPr>
              <w:t>6.0</w:t>
            </w:r>
          </w:p>
        </w:tc>
        <w:tc>
          <w:tcPr>
            <w:tcW w:w="2478" w:type="dxa"/>
            <w:shd w:val="clear" w:color="auto" w:fill="auto"/>
            <w:noWrap/>
            <w:vAlign w:val="bottom"/>
            <w:hideMark/>
          </w:tcPr>
          <w:p w:rsidR="00C9789E" w:rsidRPr="000B7839" w:rsidRDefault="00C9789E" w:rsidP="000B7839">
            <w:pPr>
              <w:pStyle w:val="SingleTxtG"/>
              <w:spacing w:before="40" w:after="40" w:line="220" w:lineRule="exact"/>
              <w:ind w:left="0" w:right="113"/>
              <w:jc w:val="right"/>
              <w:rPr>
                <w:sz w:val="18"/>
              </w:rPr>
            </w:pPr>
            <w:r w:rsidRPr="000B7839">
              <w:rPr>
                <w:sz w:val="18"/>
              </w:rPr>
              <w:t>4.1</w:t>
            </w:r>
          </w:p>
        </w:tc>
      </w:tr>
      <w:tr w:rsidR="00C9789E" w:rsidRPr="000B7839" w:rsidTr="00B77308">
        <w:trPr>
          <w:cantSplit/>
        </w:trPr>
        <w:tc>
          <w:tcPr>
            <w:tcW w:w="745" w:type="dxa"/>
            <w:shd w:val="clear" w:color="auto" w:fill="auto"/>
            <w:hideMark/>
          </w:tcPr>
          <w:p w:rsidR="00C9789E" w:rsidRPr="000B7839" w:rsidRDefault="00C9789E" w:rsidP="000B7839">
            <w:pPr>
              <w:pStyle w:val="SingleTxtG"/>
              <w:spacing w:before="40" w:after="40" w:line="220" w:lineRule="exact"/>
              <w:ind w:left="0" w:right="113"/>
              <w:jc w:val="left"/>
              <w:rPr>
                <w:sz w:val="18"/>
              </w:rPr>
            </w:pPr>
            <w:r w:rsidRPr="000B7839">
              <w:rPr>
                <w:sz w:val="18"/>
              </w:rPr>
              <w:t>2014</w:t>
            </w:r>
          </w:p>
        </w:tc>
        <w:tc>
          <w:tcPr>
            <w:tcW w:w="1949" w:type="dxa"/>
            <w:shd w:val="clear" w:color="auto" w:fill="auto"/>
            <w:noWrap/>
            <w:vAlign w:val="bottom"/>
            <w:hideMark/>
          </w:tcPr>
          <w:p w:rsidR="00C9789E" w:rsidRPr="000B7839" w:rsidRDefault="00C9789E" w:rsidP="000B7839">
            <w:pPr>
              <w:pStyle w:val="SingleTxtG"/>
              <w:spacing w:before="40" w:after="40" w:line="220" w:lineRule="exact"/>
              <w:ind w:left="0" w:right="113"/>
              <w:jc w:val="right"/>
              <w:rPr>
                <w:sz w:val="18"/>
              </w:rPr>
            </w:pPr>
            <w:r w:rsidRPr="000B7839">
              <w:rPr>
                <w:sz w:val="18"/>
              </w:rPr>
              <w:t>2.6</w:t>
            </w:r>
          </w:p>
        </w:tc>
        <w:tc>
          <w:tcPr>
            <w:tcW w:w="1794" w:type="dxa"/>
            <w:shd w:val="clear" w:color="auto" w:fill="auto"/>
            <w:noWrap/>
            <w:vAlign w:val="bottom"/>
            <w:hideMark/>
          </w:tcPr>
          <w:p w:rsidR="00C9789E" w:rsidRPr="000B7839" w:rsidRDefault="00C9789E" w:rsidP="000B7839">
            <w:pPr>
              <w:pStyle w:val="SingleTxtG"/>
              <w:spacing w:before="40" w:after="40" w:line="220" w:lineRule="exact"/>
              <w:ind w:left="0" w:right="113"/>
              <w:jc w:val="right"/>
              <w:rPr>
                <w:sz w:val="18"/>
              </w:rPr>
            </w:pPr>
            <w:r w:rsidRPr="000B7839">
              <w:rPr>
                <w:sz w:val="18"/>
              </w:rPr>
              <w:t>5.9</w:t>
            </w:r>
          </w:p>
        </w:tc>
        <w:tc>
          <w:tcPr>
            <w:tcW w:w="2478" w:type="dxa"/>
            <w:shd w:val="clear" w:color="auto" w:fill="auto"/>
            <w:noWrap/>
            <w:vAlign w:val="bottom"/>
            <w:hideMark/>
          </w:tcPr>
          <w:p w:rsidR="00C9789E" w:rsidRPr="000B7839" w:rsidRDefault="00C9789E" w:rsidP="000B7839">
            <w:pPr>
              <w:pStyle w:val="SingleTxtG"/>
              <w:spacing w:before="40" w:after="40" w:line="220" w:lineRule="exact"/>
              <w:ind w:left="0" w:right="113"/>
              <w:jc w:val="right"/>
              <w:rPr>
                <w:sz w:val="18"/>
              </w:rPr>
            </w:pPr>
            <w:r w:rsidRPr="000B7839">
              <w:rPr>
                <w:sz w:val="18"/>
              </w:rPr>
              <w:t>4.1</w:t>
            </w:r>
          </w:p>
        </w:tc>
      </w:tr>
      <w:tr w:rsidR="00C9789E" w:rsidRPr="000B7839" w:rsidTr="00B77308">
        <w:trPr>
          <w:cantSplit/>
        </w:trPr>
        <w:tc>
          <w:tcPr>
            <w:tcW w:w="745" w:type="dxa"/>
            <w:shd w:val="clear" w:color="auto" w:fill="auto"/>
            <w:hideMark/>
          </w:tcPr>
          <w:p w:rsidR="00C9789E" w:rsidRPr="000B7839" w:rsidRDefault="00C9789E" w:rsidP="000B7839">
            <w:pPr>
              <w:pStyle w:val="SingleTxtG"/>
              <w:spacing w:before="40" w:after="40" w:line="220" w:lineRule="exact"/>
              <w:ind w:left="0" w:right="113"/>
              <w:jc w:val="left"/>
              <w:rPr>
                <w:sz w:val="18"/>
              </w:rPr>
            </w:pPr>
            <w:r w:rsidRPr="000B7839">
              <w:rPr>
                <w:sz w:val="18"/>
              </w:rPr>
              <w:t>2015</w:t>
            </w:r>
          </w:p>
        </w:tc>
        <w:tc>
          <w:tcPr>
            <w:tcW w:w="1949" w:type="dxa"/>
            <w:shd w:val="clear" w:color="auto" w:fill="auto"/>
            <w:noWrap/>
            <w:vAlign w:val="bottom"/>
            <w:hideMark/>
          </w:tcPr>
          <w:p w:rsidR="00C9789E" w:rsidRPr="000B7839" w:rsidRDefault="00C9789E" w:rsidP="000B7839">
            <w:pPr>
              <w:pStyle w:val="SingleTxtG"/>
              <w:spacing w:before="40" w:after="40" w:line="220" w:lineRule="exact"/>
              <w:ind w:left="0" w:right="113"/>
              <w:jc w:val="right"/>
              <w:rPr>
                <w:sz w:val="18"/>
              </w:rPr>
            </w:pPr>
            <w:r w:rsidRPr="000B7839">
              <w:rPr>
                <w:sz w:val="18"/>
              </w:rPr>
              <w:t>2.3</w:t>
            </w:r>
          </w:p>
        </w:tc>
        <w:tc>
          <w:tcPr>
            <w:tcW w:w="1794" w:type="dxa"/>
            <w:shd w:val="clear" w:color="auto" w:fill="auto"/>
            <w:noWrap/>
            <w:vAlign w:val="bottom"/>
            <w:hideMark/>
          </w:tcPr>
          <w:p w:rsidR="00C9789E" w:rsidRPr="000B7839" w:rsidRDefault="00C9789E" w:rsidP="000B7839">
            <w:pPr>
              <w:pStyle w:val="SingleTxtG"/>
              <w:spacing w:before="40" w:after="40" w:line="220" w:lineRule="exact"/>
              <w:ind w:left="0" w:right="113"/>
              <w:jc w:val="right"/>
              <w:rPr>
                <w:sz w:val="18"/>
              </w:rPr>
            </w:pPr>
            <w:r w:rsidRPr="000B7839">
              <w:rPr>
                <w:sz w:val="18"/>
              </w:rPr>
              <w:t>5.7</w:t>
            </w:r>
          </w:p>
        </w:tc>
        <w:tc>
          <w:tcPr>
            <w:tcW w:w="2478" w:type="dxa"/>
            <w:shd w:val="clear" w:color="auto" w:fill="auto"/>
            <w:noWrap/>
            <w:vAlign w:val="bottom"/>
            <w:hideMark/>
          </w:tcPr>
          <w:p w:rsidR="00C9789E" w:rsidRPr="000B7839" w:rsidRDefault="00C9789E" w:rsidP="000B7839">
            <w:pPr>
              <w:pStyle w:val="SingleTxtG"/>
              <w:spacing w:before="40" w:after="40" w:line="220" w:lineRule="exact"/>
              <w:ind w:left="0" w:right="113"/>
              <w:jc w:val="right"/>
              <w:rPr>
                <w:sz w:val="18"/>
              </w:rPr>
            </w:pPr>
            <w:r w:rsidRPr="000B7839">
              <w:rPr>
                <w:sz w:val="18"/>
              </w:rPr>
              <w:t>3.9</w:t>
            </w:r>
          </w:p>
        </w:tc>
      </w:tr>
      <w:tr w:rsidR="00C9789E" w:rsidRPr="000B7839" w:rsidTr="00B77308">
        <w:trPr>
          <w:cantSplit/>
        </w:trPr>
        <w:tc>
          <w:tcPr>
            <w:tcW w:w="745" w:type="dxa"/>
            <w:shd w:val="clear" w:color="auto" w:fill="auto"/>
            <w:hideMark/>
          </w:tcPr>
          <w:p w:rsidR="00C9789E" w:rsidRPr="000B7839" w:rsidRDefault="00C9789E" w:rsidP="000B7839">
            <w:pPr>
              <w:pStyle w:val="SingleTxtG"/>
              <w:spacing w:before="40" w:after="40" w:line="220" w:lineRule="exact"/>
              <w:ind w:left="0" w:right="113"/>
              <w:jc w:val="left"/>
              <w:rPr>
                <w:sz w:val="18"/>
              </w:rPr>
            </w:pPr>
            <w:r w:rsidRPr="000B7839">
              <w:rPr>
                <w:sz w:val="18"/>
              </w:rPr>
              <w:t>2016</w:t>
            </w:r>
          </w:p>
        </w:tc>
        <w:tc>
          <w:tcPr>
            <w:tcW w:w="1949" w:type="dxa"/>
            <w:shd w:val="clear" w:color="auto" w:fill="auto"/>
            <w:noWrap/>
            <w:vAlign w:val="bottom"/>
            <w:hideMark/>
          </w:tcPr>
          <w:p w:rsidR="00C9789E" w:rsidRPr="000B7839" w:rsidRDefault="00C9789E" w:rsidP="000B7839">
            <w:pPr>
              <w:pStyle w:val="SingleTxtG"/>
              <w:spacing w:before="40" w:after="40" w:line="220" w:lineRule="exact"/>
              <w:ind w:left="0" w:right="113"/>
              <w:jc w:val="right"/>
              <w:rPr>
                <w:sz w:val="18"/>
              </w:rPr>
            </w:pPr>
            <w:r w:rsidRPr="000B7839">
              <w:rPr>
                <w:sz w:val="18"/>
              </w:rPr>
              <w:t>2.6</w:t>
            </w:r>
          </w:p>
        </w:tc>
        <w:tc>
          <w:tcPr>
            <w:tcW w:w="1794" w:type="dxa"/>
            <w:shd w:val="clear" w:color="auto" w:fill="auto"/>
            <w:noWrap/>
            <w:vAlign w:val="bottom"/>
            <w:hideMark/>
          </w:tcPr>
          <w:p w:rsidR="00C9789E" w:rsidRPr="000B7839" w:rsidRDefault="00C9789E" w:rsidP="000B7839">
            <w:pPr>
              <w:pStyle w:val="SingleTxtG"/>
              <w:spacing w:before="40" w:after="40" w:line="220" w:lineRule="exact"/>
              <w:ind w:left="0" w:right="113"/>
              <w:jc w:val="right"/>
              <w:rPr>
                <w:sz w:val="18"/>
              </w:rPr>
            </w:pPr>
            <w:r w:rsidRPr="000B7839">
              <w:rPr>
                <w:sz w:val="18"/>
              </w:rPr>
              <w:t>6.2</w:t>
            </w:r>
          </w:p>
        </w:tc>
        <w:tc>
          <w:tcPr>
            <w:tcW w:w="2478" w:type="dxa"/>
            <w:shd w:val="clear" w:color="auto" w:fill="auto"/>
            <w:noWrap/>
            <w:vAlign w:val="bottom"/>
            <w:hideMark/>
          </w:tcPr>
          <w:p w:rsidR="00C9789E" w:rsidRPr="000B7839" w:rsidRDefault="00C9789E" w:rsidP="000B7839">
            <w:pPr>
              <w:pStyle w:val="SingleTxtG"/>
              <w:spacing w:before="40" w:after="40" w:line="220" w:lineRule="exact"/>
              <w:ind w:left="0" w:right="113"/>
              <w:jc w:val="right"/>
              <w:rPr>
                <w:sz w:val="18"/>
              </w:rPr>
            </w:pPr>
            <w:r w:rsidRPr="000B7839">
              <w:rPr>
                <w:sz w:val="18"/>
              </w:rPr>
              <w:t>4.3</w:t>
            </w:r>
          </w:p>
        </w:tc>
      </w:tr>
    </w:tbl>
    <w:p w:rsidR="002F6DC4" w:rsidRDefault="00C9789E" w:rsidP="002F6DC4">
      <w:pPr>
        <w:pStyle w:val="Heading1"/>
        <w:spacing w:before="120"/>
      </w:pPr>
      <w:bookmarkStart w:id="45" w:name="_Toc494359769"/>
      <w:r w:rsidRPr="00F62F1C">
        <w:t>Figure 10</w:t>
      </w:r>
      <w:bookmarkEnd w:id="45"/>
    </w:p>
    <w:p w:rsidR="00C9789E" w:rsidRPr="002F6DC4" w:rsidRDefault="00C9789E" w:rsidP="00706221">
      <w:pPr>
        <w:pStyle w:val="SingleTxtG"/>
        <w:rPr>
          <w:b/>
        </w:rPr>
      </w:pPr>
      <w:r w:rsidRPr="002F6DC4">
        <w:rPr>
          <w:b/>
        </w:rPr>
        <w:t>Underemployed rate by age (%) year ended December</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73"/>
        <w:gridCol w:w="658"/>
        <w:gridCol w:w="594"/>
        <w:gridCol w:w="594"/>
        <w:gridCol w:w="594"/>
        <w:gridCol w:w="594"/>
        <w:gridCol w:w="594"/>
        <w:gridCol w:w="594"/>
        <w:gridCol w:w="594"/>
        <w:gridCol w:w="594"/>
        <w:gridCol w:w="677"/>
        <w:gridCol w:w="610"/>
      </w:tblGrid>
      <w:tr w:rsidR="00C9789E" w:rsidRPr="009A2BC1" w:rsidTr="00B77308">
        <w:trPr>
          <w:cantSplit/>
          <w:tblHeader/>
        </w:trPr>
        <w:tc>
          <w:tcPr>
            <w:tcW w:w="673" w:type="dxa"/>
            <w:tcBorders>
              <w:top w:val="single" w:sz="4" w:space="0" w:color="auto"/>
              <w:bottom w:val="single" w:sz="12" w:space="0" w:color="auto"/>
            </w:tcBorders>
            <w:shd w:val="clear" w:color="auto" w:fill="auto"/>
            <w:vAlign w:val="bottom"/>
          </w:tcPr>
          <w:p w:rsidR="00C9789E" w:rsidRPr="009A2BC1" w:rsidRDefault="00C9789E" w:rsidP="009A2BC1">
            <w:pPr>
              <w:pStyle w:val="SingleTxtG"/>
              <w:spacing w:before="80" w:after="80" w:line="200" w:lineRule="exact"/>
              <w:ind w:left="0" w:right="113"/>
              <w:jc w:val="left"/>
              <w:rPr>
                <w:i/>
                <w:sz w:val="16"/>
              </w:rPr>
            </w:pPr>
            <w:r w:rsidRPr="009A2BC1">
              <w:rPr>
                <w:i/>
                <w:sz w:val="16"/>
              </w:rPr>
              <w:t>Year</w:t>
            </w:r>
          </w:p>
        </w:tc>
        <w:tc>
          <w:tcPr>
            <w:tcW w:w="658" w:type="dxa"/>
            <w:tcBorders>
              <w:top w:val="single" w:sz="4" w:space="0" w:color="auto"/>
              <w:bottom w:val="single" w:sz="12" w:space="0" w:color="auto"/>
            </w:tcBorders>
            <w:shd w:val="clear" w:color="auto" w:fill="auto"/>
            <w:vAlign w:val="bottom"/>
          </w:tcPr>
          <w:p w:rsidR="00C9789E" w:rsidRPr="009A2BC1" w:rsidRDefault="00C9789E" w:rsidP="009A2BC1">
            <w:pPr>
              <w:pStyle w:val="SingleTxtG"/>
              <w:spacing w:before="80" w:after="80" w:line="200" w:lineRule="exact"/>
              <w:ind w:left="0" w:right="113"/>
              <w:jc w:val="right"/>
              <w:rPr>
                <w:i/>
                <w:sz w:val="16"/>
              </w:rPr>
            </w:pPr>
            <w:r w:rsidRPr="009A2BC1">
              <w:rPr>
                <w:i/>
                <w:sz w:val="16"/>
              </w:rPr>
              <w:t>15-19</w:t>
            </w:r>
          </w:p>
        </w:tc>
        <w:tc>
          <w:tcPr>
            <w:tcW w:w="594" w:type="dxa"/>
            <w:tcBorders>
              <w:top w:val="single" w:sz="4" w:space="0" w:color="auto"/>
              <w:bottom w:val="single" w:sz="12" w:space="0" w:color="auto"/>
            </w:tcBorders>
            <w:shd w:val="clear" w:color="auto" w:fill="auto"/>
            <w:vAlign w:val="bottom"/>
          </w:tcPr>
          <w:p w:rsidR="00C9789E" w:rsidRPr="009A2BC1" w:rsidRDefault="00C9789E" w:rsidP="009A2BC1">
            <w:pPr>
              <w:pStyle w:val="SingleTxtG"/>
              <w:spacing w:before="80" w:after="80" w:line="200" w:lineRule="exact"/>
              <w:ind w:left="0" w:right="113"/>
              <w:jc w:val="right"/>
              <w:rPr>
                <w:i/>
                <w:sz w:val="16"/>
              </w:rPr>
            </w:pPr>
            <w:r w:rsidRPr="009A2BC1">
              <w:rPr>
                <w:i/>
                <w:sz w:val="16"/>
              </w:rPr>
              <w:t>20-24</w:t>
            </w:r>
          </w:p>
        </w:tc>
        <w:tc>
          <w:tcPr>
            <w:tcW w:w="594" w:type="dxa"/>
            <w:tcBorders>
              <w:top w:val="single" w:sz="4" w:space="0" w:color="auto"/>
              <w:bottom w:val="single" w:sz="12" w:space="0" w:color="auto"/>
            </w:tcBorders>
            <w:shd w:val="clear" w:color="auto" w:fill="auto"/>
            <w:vAlign w:val="bottom"/>
          </w:tcPr>
          <w:p w:rsidR="00C9789E" w:rsidRPr="009A2BC1" w:rsidRDefault="00C9789E" w:rsidP="009A2BC1">
            <w:pPr>
              <w:pStyle w:val="SingleTxtG"/>
              <w:spacing w:before="80" w:after="80" w:line="200" w:lineRule="exact"/>
              <w:ind w:left="0" w:right="113"/>
              <w:jc w:val="right"/>
              <w:rPr>
                <w:i/>
                <w:sz w:val="16"/>
              </w:rPr>
            </w:pPr>
            <w:r w:rsidRPr="009A2BC1">
              <w:rPr>
                <w:i/>
                <w:sz w:val="16"/>
              </w:rPr>
              <w:t>25-29</w:t>
            </w:r>
          </w:p>
        </w:tc>
        <w:tc>
          <w:tcPr>
            <w:tcW w:w="594" w:type="dxa"/>
            <w:tcBorders>
              <w:top w:val="single" w:sz="4" w:space="0" w:color="auto"/>
              <w:bottom w:val="single" w:sz="12" w:space="0" w:color="auto"/>
            </w:tcBorders>
            <w:shd w:val="clear" w:color="auto" w:fill="auto"/>
            <w:vAlign w:val="bottom"/>
          </w:tcPr>
          <w:p w:rsidR="00C9789E" w:rsidRPr="009A2BC1" w:rsidRDefault="00C9789E" w:rsidP="009A2BC1">
            <w:pPr>
              <w:pStyle w:val="SingleTxtG"/>
              <w:spacing w:before="80" w:after="80" w:line="200" w:lineRule="exact"/>
              <w:ind w:left="0" w:right="113"/>
              <w:jc w:val="right"/>
              <w:rPr>
                <w:i/>
                <w:sz w:val="16"/>
              </w:rPr>
            </w:pPr>
            <w:r w:rsidRPr="009A2BC1">
              <w:rPr>
                <w:i/>
                <w:sz w:val="16"/>
              </w:rPr>
              <w:t>30-34</w:t>
            </w:r>
          </w:p>
        </w:tc>
        <w:tc>
          <w:tcPr>
            <w:tcW w:w="594" w:type="dxa"/>
            <w:tcBorders>
              <w:top w:val="single" w:sz="4" w:space="0" w:color="auto"/>
              <w:bottom w:val="single" w:sz="12" w:space="0" w:color="auto"/>
            </w:tcBorders>
            <w:shd w:val="clear" w:color="auto" w:fill="auto"/>
            <w:vAlign w:val="bottom"/>
          </w:tcPr>
          <w:p w:rsidR="00C9789E" w:rsidRPr="009A2BC1" w:rsidRDefault="00C9789E" w:rsidP="009A2BC1">
            <w:pPr>
              <w:pStyle w:val="SingleTxtG"/>
              <w:spacing w:before="80" w:after="80" w:line="200" w:lineRule="exact"/>
              <w:ind w:left="0" w:right="113"/>
              <w:jc w:val="right"/>
              <w:rPr>
                <w:i/>
                <w:sz w:val="16"/>
              </w:rPr>
            </w:pPr>
            <w:r w:rsidRPr="009A2BC1">
              <w:rPr>
                <w:i/>
                <w:sz w:val="16"/>
              </w:rPr>
              <w:t>35-39</w:t>
            </w:r>
          </w:p>
        </w:tc>
        <w:tc>
          <w:tcPr>
            <w:tcW w:w="594" w:type="dxa"/>
            <w:tcBorders>
              <w:top w:val="single" w:sz="4" w:space="0" w:color="auto"/>
              <w:bottom w:val="single" w:sz="12" w:space="0" w:color="auto"/>
            </w:tcBorders>
            <w:shd w:val="clear" w:color="auto" w:fill="auto"/>
            <w:vAlign w:val="bottom"/>
          </w:tcPr>
          <w:p w:rsidR="00C9789E" w:rsidRPr="009A2BC1" w:rsidRDefault="00C9789E" w:rsidP="009A2BC1">
            <w:pPr>
              <w:pStyle w:val="SingleTxtG"/>
              <w:spacing w:before="80" w:after="80" w:line="200" w:lineRule="exact"/>
              <w:ind w:left="0" w:right="113"/>
              <w:jc w:val="right"/>
              <w:rPr>
                <w:i/>
                <w:sz w:val="16"/>
              </w:rPr>
            </w:pPr>
            <w:r w:rsidRPr="009A2BC1">
              <w:rPr>
                <w:i/>
                <w:sz w:val="16"/>
              </w:rPr>
              <w:t>40-44</w:t>
            </w:r>
          </w:p>
        </w:tc>
        <w:tc>
          <w:tcPr>
            <w:tcW w:w="594" w:type="dxa"/>
            <w:tcBorders>
              <w:top w:val="single" w:sz="4" w:space="0" w:color="auto"/>
              <w:bottom w:val="single" w:sz="12" w:space="0" w:color="auto"/>
            </w:tcBorders>
            <w:shd w:val="clear" w:color="auto" w:fill="auto"/>
            <w:vAlign w:val="bottom"/>
          </w:tcPr>
          <w:p w:rsidR="00C9789E" w:rsidRPr="009A2BC1" w:rsidRDefault="00C9789E" w:rsidP="009A2BC1">
            <w:pPr>
              <w:pStyle w:val="SingleTxtG"/>
              <w:spacing w:before="80" w:after="80" w:line="200" w:lineRule="exact"/>
              <w:ind w:left="0" w:right="113"/>
              <w:jc w:val="right"/>
              <w:rPr>
                <w:i/>
                <w:sz w:val="16"/>
              </w:rPr>
            </w:pPr>
            <w:r w:rsidRPr="009A2BC1">
              <w:rPr>
                <w:i/>
                <w:sz w:val="16"/>
              </w:rPr>
              <w:t>45-49</w:t>
            </w:r>
          </w:p>
        </w:tc>
        <w:tc>
          <w:tcPr>
            <w:tcW w:w="594" w:type="dxa"/>
            <w:tcBorders>
              <w:top w:val="single" w:sz="4" w:space="0" w:color="auto"/>
              <w:bottom w:val="single" w:sz="12" w:space="0" w:color="auto"/>
            </w:tcBorders>
            <w:shd w:val="clear" w:color="auto" w:fill="auto"/>
            <w:vAlign w:val="bottom"/>
          </w:tcPr>
          <w:p w:rsidR="00C9789E" w:rsidRPr="009A2BC1" w:rsidRDefault="00C9789E" w:rsidP="009A2BC1">
            <w:pPr>
              <w:pStyle w:val="SingleTxtG"/>
              <w:spacing w:before="80" w:after="80" w:line="200" w:lineRule="exact"/>
              <w:ind w:left="0" w:right="113"/>
              <w:jc w:val="right"/>
              <w:rPr>
                <w:i/>
                <w:sz w:val="16"/>
              </w:rPr>
            </w:pPr>
            <w:r w:rsidRPr="009A2BC1">
              <w:rPr>
                <w:i/>
                <w:sz w:val="16"/>
              </w:rPr>
              <w:t>50-54</w:t>
            </w:r>
          </w:p>
        </w:tc>
        <w:tc>
          <w:tcPr>
            <w:tcW w:w="594" w:type="dxa"/>
            <w:tcBorders>
              <w:top w:val="single" w:sz="4" w:space="0" w:color="auto"/>
              <w:bottom w:val="single" w:sz="12" w:space="0" w:color="auto"/>
            </w:tcBorders>
            <w:shd w:val="clear" w:color="auto" w:fill="auto"/>
            <w:vAlign w:val="bottom"/>
          </w:tcPr>
          <w:p w:rsidR="00C9789E" w:rsidRPr="009A2BC1" w:rsidRDefault="00C9789E" w:rsidP="009A2BC1">
            <w:pPr>
              <w:pStyle w:val="SingleTxtG"/>
              <w:spacing w:before="80" w:after="80" w:line="200" w:lineRule="exact"/>
              <w:ind w:left="0" w:right="113"/>
              <w:jc w:val="right"/>
              <w:rPr>
                <w:i/>
                <w:sz w:val="16"/>
              </w:rPr>
            </w:pPr>
            <w:r w:rsidRPr="009A2BC1">
              <w:rPr>
                <w:i/>
                <w:sz w:val="16"/>
              </w:rPr>
              <w:t>55-59</w:t>
            </w:r>
          </w:p>
        </w:tc>
        <w:tc>
          <w:tcPr>
            <w:tcW w:w="677" w:type="dxa"/>
            <w:tcBorders>
              <w:top w:val="single" w:sz="4" w:space="0" w:color="auto"/>
              <w:bottom w:val="single" w:sz="12" w:space="0" w:color="auto"/>
            </w:tcBorders>
            <w:shd w:val="clear" w:color="auto" w:fill="auto"/>
            <w:vAlign w:val="bottom"/>
          </w:tcPr>
          <w:p w:rsidR="00C9789E" w:rsidRPr="009A2BC1" w:rsidRDefault="00C9789E" w:rsidP="009A2BC1">
            <w:pPr>
              <w:pStyle w:val="SingleTxtG"/>
              <w:spacing w:before="80" w:after="80" w:line="200" w:lineRule="exact"/>
              <w:ind w:left="0" w:right="113"/>
              <w:jc w:val="right"/>
              <w:rPr>
                <w:i/>
                <w:sz w:val="16"/>
              </w:rPr>
            </w:pPr>
            <w:r w:rsidRPr="009A2BC1">
              <w:rPr>
                <w:i/>
                <w:sz w:val="16"/>
              </w:rPr>
              <w:t>60-64</w:t>
            </w:r>
          </w:p>
        </w:tc>
        <w:tc>
          <w:tcPr>
            <w:tcW w:w="610" w:type="dxa"/>
            <w:tcBorders>
              <w:top w:val="single" w:sz="4" w:space="0" w:color="auto"/>
              <w:bottom w:val="single" w:sz="12" w:space="0" w:color="auto"/>
            </w:tcBorders>
            <w:shd w:val="clear" w:color="auto" w:fill="auto"/>
            <w:vAlign w:val="bottom"/>
          </w:tcPr>
          <w:p w:rsidR="00C9789E" w:rsidRPr="009A2BC1" w:rsidRDefault="00C9789E" w:rsidP="009A2BC1">
            <w:pPr>
              <w:pStyle w:val="SingleTxtG"/>
              <w:spacing w:before="80" w:after="80" w:line="200" w:lineRule="exact"/>
              <w:ind w:left="0" w:right="113"/>
              <w:jc w:val="right"/>
              <w:rPr>
                <w:i/>
                <w:sz w:val="16"/>
              </w:rPr>
            </w:pPr>
            <w:r w:rsidRPr="009A2BC1">
              <w:rPr>
                <w:i/>
                <w:sz w:val="16"/>
              </w:rPr>
              <w:t>65+</w:t>
            </w:r>
          </w:p>
        </w:tc>
      </w:tr>
      <w:tr w:rsidR="00C9789E" w:rsidRPr="009A2BC1" w:rsidTr="00B77308">
        <w:trPr>
          <w:cantSplit/>
        </w:trPr>
        <w:tc>
          <w:tcPr>
            <w:tcW w:w="673" w:type="dxa"/>
            <w:tcBorders>
              <w:top w:val="single" w:sz="12" w:space="0" w:color="auto"/>
            </w:tcBorders>
            <w:shd w:val="clear" w:color="auto" w:fill="auto"/>
          </w:tcPr>
          <w:p w:rsidR="00C9789E" w:rsidRPr="009A2BC1" w:rsidRDefault="00C9789E" w:rsidP="009A2BC1">
            <w:pPr>
              <w:pStyle w:val="SingleTxtG"/>
              <w:spacing w:before="40" w:after="40" w:line="220" w:lineRule="exact"/>
              <w:ind w:left="0" w:right="113"/>
              <w:jc w:val="left"/>
              <w:rPr>
                <w:sz w:val="18"/>
              </w:rPr>
            </w:pPr>
            <w:r w:rsidRPr="009A2BC1">
              <w:rPr>
                <w:sz w:val="18"/>
              </w:rPr>
              <w:t>2012</w:t>
            </w:r>
          </w:p>
        </w:tc>
        <w:tc>
          <w:tcPr>
            <w:tcW w:w="658" w:type="dxa"/>
            <w:tcBorders>
              <w:top w:val="single" w:sz="12" w:space="0" w:color="auto"/>
            </w:tcBorders>
            <w:shd w:val="clear" w:color="auto" w:fill="auto"/>
            <w:vAlign w:val="bottom"/>
          </w:tcPr>
          <w:p w:rsidR="00C9789E" w:rsidRPr="009A2BC1" w:rsidRDefault="00C9789E" w:rsidP="009A2BC1">
            <w:pPr>
              <w:pStyle w:val="SingleTxtG"/>
              <w:spacing w:before="40" w:after="40" w:line="220" w:lineRule="exact"/>
              <w:ind w:left="0" w:right="113"/>
              <w:jc w:val="right"/>
              <w:rPr>
                <w:sz w:val="18"/>
              </w:rPr>
            </w:pPr>
            <w:r w:rsidRPr="009A2BC1">
              <w:rPr>
                <w:sz w:val="18"/>
              </w:rPr>
              <w:t>15.7</w:t>
            </w:r>
          </w:p>
        </w:tc>
        <w:tc>
          <w:tcPr>
            <w:tcW w:w="594" w:type="dxa"/>
            <w:tcBorders>
              <w:top w:val="single" w:sz="12" w:space="0" w:color="auto"/>
            </w:tcBorders>
            <w:shd w:val="clear" w:color="auto" w:fill="auto"/>
            <w:vAlign w:val="bottom"/>
          </w:tcPr>
          <w:p w:rsidR="00C9789E" w:rsidRPr="009A2BC1" w:rsidRDefault="00C9789E" w:rsidP="009A2BC1">
            <w:pPr>
              <w:pStyle w:val="SingleTxtG"/>
              <w:spacing w:before="40" w:after="40" w:line="220" w:lineRule="exact"/>
              <w:ind w:left="0" w:right="113"/>
              <w:jc w:val="right"/>
              <w:rPr>
                <w:sz w:val="18"/>
              </w:rPr>
            </w:pPr>
            <w:r w:rsidRPr="009A2BC1">
              <w:rPr>
                <w:sz w:val="18"/>
              </w:rPr>
              <w:t>6.8</w:t>
            </w:r>
          </w:p>
        </w:tc>
        <w:tc>
          <w:tcPr>
            <w:tcW w:w="594" w:type="dxa"/>
            <w:tcBorders>
              <w:top w:val="single" w:sz="12" w:space="0" w:color="auto"/>
            </w:tcBorders>
            <w:shd w:val="clear" w:color="auto" w:fill="auto"/>
            <w:vAlign w:val="bottom"/>
          </w:tcPr>
          <w:p w:rsidR="00C9789E" w:rsidRPr="009A2BC1" w:rsidRDefault="00C9789E" w:rsidP="009A2BC1">
            <w:pPr>
              <w:pStyle w:val="SingleTxtG"/>
              <w:spacing w:before="40" w:after="40" w:line="220" w:lineRule="exact"/>
              <w:ind w:left="0" w:right="113"/>
              <w:jc w:val="right"/>
              <w:rPr>
                <w:sz w:val="18"/>
              </w:rPr>
            </w:pPr>
            <w:r w:rsidRPr="009A2BC1">
              <w:rPr>
                <w:sz w:val="18"/>
              </w:rPr>
              <w:t>3.6</w:t>
            </w:r>
          </w:p>
        </w:tc>
        <w:tc>
          <w:tcPr>
            <w:tcW w:w="594" w:type="dxa"/>
            <w:tcBorders>
              <w:top w:val="single" w:sz="12" w:space="0" w:color="auto"/>
            </w:tcBorders>
            <w:shd w:val="clear" w:color="auto" w:fill="auto"/>
            <w:vAlign w:val="bottom"/>
          </w:tcPr>
          <w:p w:rsidR="00C9789E" w:rsidRPr="009A2BC1" w:rsidRDefault="00C9789E" w:rsidP="009A2BC1">
            <w:pPr>
              <w:pStyle w:val="SingleTxtG"/>
              <w:spacing w:before="40" w:after="40" w:line="220" w:lineRule="exact"/>
              <w:ind w:left="0" w:right="113"/>
              <w:jc w:val="right"/>
              <w:rPr>
                <w:sz w:val="18"/>
              </w:rPr>
            </w:pPr>
            <w:r w:rsidRPr="009A2BC1">
              <w:rPr>
                <w:sz w:val="18"/>
              </w:rPr>
              <w:t>3.5</w:t>
            </w:r>
          </w:p>
        </w:tc>
        <w:tc>
          <w:tcPr>
            <w:tcW w:w="594" w:type="dxa"/>
            <w:tcBorders>
              <w:top w:val="single" w:sz="12" w:space="0" w:color="auto"/>
            </w:tcBorders>
            <w:shd w:val="clear" w:color="auto" w:fill="auto"/>
            <w:vAlign w:val="bottom"/>
          </w:tcPr>
          <w:p w:rsidR="00C9789E" w:rsidRPr="009A2BC1" w:rsidRDefault="00C9789E" w:rsidP="009A2BC1">
            <w:pPr>
              <w:pStyle w:val="SingleTxtG"/>
              <w:spacing w:before="40" w:after="40" w:line="220" w:lineRule="exact"/>
              <w:ind w:left="0" w:right="113"/>
              <w:jc w:val="right"/>
              <w:rPr>
                <w:sz w:val="18"/>
              </w:rPr>
            </w:pPr>
            <w:r w:rsidRPr="009A2BC1">
              <w:rPr>
                <w:sz w:val="18"/>
              </w:rPr>
              <w:t>3.0</w:t>
            </w:r>
          </w:p>
        </w:tc>
        <w:tc>
          <w:tcPr>
            <w:tcW w:w="594" w:type="dxa"/>
            <w:tcBorders>
              <w:top w:val="single" w:sz="12" w:space="0" w:color="auto"/>
            </w:tcBorders>
            <w:shd w:val="clear" w:color="auto" w:fill="auto"/>
            <w:vAlign w:val="bottom"/>
          </w:tcPr>
          <w:p w:rsidR="00C9789E" w:rsidRPr="009A2BC1" w:rsidRDefault="00C9789E" w:rsidP="009A2BC1">
            <w:pPr>
              <w:pStyle w:val="SingleTxtG"/>
              <w:spacing w:before="40" w:after="40" w:line="220" w:lineRule="exact"/>
              <w:ind w:left="0" w:right="113"/>
              <w:jc w:val="right"/>
              <w:rPr>
                <w:sz w:val="18"/>
              </w:rPr>
            </w:pPr>
            <w:r w:rsidRPr="009A2BC1">
              <w:rPr>
                <w:sz w:val="18"/>
              </w:rPr>
              <w:t>3.5</w:t>
            </w:r>
          </w:p>
        </w:tc>
        <w:tc>
          <w:tcPr>
            <w:tcW w:w="594" w:type="dxa"/>
            <w:tcBorders>
              <w:top w:val="single" w:sz="12" w:space="0" w:color="auto"/>
            </w:tcBorders>
            <w:shd w:val="clear" w:color="auto" w:fill="auto"/>
            <w:vAlign w:val="bottom"/>
          </w:tcPr>
          <w:p w:rsidR="00C9789E" w:rsidRPr="009A2BC1" w:rsidRDefault="00C9789E" w:rsidP="009A2BC1">
            <w:pPr>
              <w:pStyle w:val="SingleTxtG"/>
              <w:spacing w:before="40" w:after="40" w:line="220" w:lineRule="exact"/>
              <w:ind w:left="0" w:right="113"/>
              <w:jc w:val="right"/>
              <w:rPr>
                <w:sz w:val="18"/>
              </w:rPr>
            </w:pPr>
            <w:r w:rsidRPr="009A2BC1">
              <w:rPr>
                <w:sz w:val="18"/>
              </w:rPr>
              <w:t>3.5</w:t>
            </w:r>
          </w:p>
        </w:tc>
        <w:tc>
          <w:tcPr>
            <w:tcW w:w="594" w:type="dxa"/>
            <w:tcBorders>
              <w:top w:val="single" w:sz="12" w:space="0" w:color="auto"/>
            </w:tcBorders>
            <w:shd w:val="clear" w:color="auto" w:fill="auto"/>
            <w:vAlign w:val="bottom"/>
          </w:tcPr>
          <w:p w:rsidR="00C9789E" w:rsidRPr="009A2BC1" w:rsidRDefault="00C9789E" w:rsidP="009A2BC1">
            <w:pPr>
              <w:pStyle w:val="SingleTxtG"/>
              <w:spacing w:before="40" w:after="40" w:line="220" w:lineRule="exact"/>
              <w:ind w:left="0" w:right="113"/>
              <w:jc w:val="right"/>
              <w:rPr>
                <w:sz w:val="18"/>
              </w:rPr>
            </w:pPr>
            <w:r w:rsidRPr="009A2BC1">
              <w:rPr>
                <w:sz w:val="18"/>
              </w:rPr>
              <w:t>3.3</w:t>
            </w:r>
          </w:p>
        </w:tc>
        <w:tc>
          <w:tcPr>
            <w:tcW w:w="594" w:type="dxa"/>
            <w:tcBorders>
              <w:top w:val="single" w:sz="12" w:space="0" w:color="auto"/>
            </w:tcBorders>
            <w:shd w:val="clear" w:color="auto" w:fill="auto"/>
            <w:vAlign w:val="bottom"/>
          </w:tcPr>
          <w:p w:rsidR="00C9789E" w:rsidRPr="009A2BC1" w:rsidRDefault="00C9789E" w:rsidP="009A2BC1">
            <w:pPr>
              <w:pStyle w:val="SingleTxtG"/>
              <w:spacing w:before="40" w:after="40" w:line="220" w:lineRule="exact"/>
              <w:ind w:left="0" w:right="113"/>
              <w:jc w:val="right"/>
              <w:rPr>
                <w:sz w:val="18"/>
              </w:rPr>
            </w:pPr>
            <w:r w:rsidRPr="009A2BC1">
              <w:rPr>
                <w:sz w:val="18"/>
              </w:rPr>
              <w:t>3.2</w:t>
            </w:r>
          </w:p>
        </w:tc>
        <w:tc>
          <w:tcPr>
            <w:tcW w:w="677" w:type="dxa"/>
            <w:tcBorders>
              <w:top w:val="single" w:sz="12" w:space="0" w:color="auto"/>
            </w:tcBorders>
            <w:shd w:val="clear" w:color="auto" w:fill="auto"/>
            <w:vAlign w:val="bottom"/>
          </w:tcPr>
          <w:p w:rsidR="00C9789E" w:rsidRPr="009A2BC1" w:rsidRDefault="00C9789E" w:rsidP="009A2BC1">
            <w:pPr>
              <w:pStyle w:val="SingleTxtG"/>
              <w:spacing w:before="40" w:after="40" w:line="220" w:lineRule="exact"/>
              <w:ind w:left="0" w:right="113"/>
              <w:jc w:val="right"/>
              <w:rPr>
                <w:sz w:val="18"/>
              </w:rPr>
            </w:pPr>
            <w:r w:rsidRPr="009A2BC1">
              <w:rPr>
                <w:sz w:val="18"/>
              </w:rPr>
              <w:t>3.6</w:t>
            </w:r>
          </w:p>
        </w:tc>
        <w:tc>
          <w:tcPr>
            <w:tcW w:w="610" w:type="dxa"/>
            <w:tcBorders>
              <w:top w:val="single" w:sz="12" w:space="0" w:color="auto"/>
            </w:tcBorders>
            <w:shd w:val="clear" w:color="auto" w:fill="auto"/>
            <w:vAlign w:val="bottom"/>
          </w:tcPr>
          <w:p w:rsidR="00C9789E" w:rsidRPr="009A2BC1" w:rsidRDefault="00C9789E" w:rsidP="009A2BC1">
            <w:pPr>
              <w:pStyle w:val="SingleTxtG"/>
              <w:spacing w:before="40" w:after="40" w:line="220" w:lineRule="exact"/>
              <w:ind w:left="0" w:right="113"/>
              <w:jc w:val="right"/>
              <w:rPr>
                <w:sz w:val="18"/>
              </w:rPr>
            </w:pPr>
            <w:r w:rsidRPr="009A2BC1">
              <w:rPr>
                <w:sz w:val="18"/>
              </w:rPr>
              <w:t>1.9</w:t>
            </w:r>
          </w:p>
        </w:tc>
      </w:tr>
      <w:tr w:rsidR="00C9789E" w:rsidRPr="009A2BC1" w:rsidTr="00B77308">
        <w:trPr>
          <w:cantSplit/>
        </w:trPr>
        <w:tc>
          <w:tcPr>
            <w:tcW w:w="673" w:type="dxa"/>
            <w:shd w:val="clear" w:color="auto" w:fill="auto"/>
          </w:tcPr>
          <w:p w:rsidR="00C9789E" w:rsidRPr="009A2BC1" w:rsidRDefault="00C9789E" w:rsidP="009A2BC1">
            <w:pPr>
              <w:pStyle w:val="SingleTxtG"/>
              <w:spacing w:before="40" w:after="40" w:line="220" w:lineRule="exact"/>
              <w:ind w:left="0" w:right="113"/>
              <w:jc w:val="left"/>
              <w:rPr>
                <w:sz w:val="18"/>
              </w:rPr>
            </w:pPr>
            <w:r w:rsidRPr="009A2BC1">
              <w:rPr>
                <w:sz w:val="18"/>
              </w:rPr>
              <w:t>2013</w:t>
            </w:r>
          </w:p>
        </w:tc>
        <w:tc>
          <w:tcPr>
            <w:tcW w:w="658" w:type="dxa"/>
            <w:shd w:val="clear" w:color="auto" w:fill="auto"/>
            <w:vAlign w:val="bottom"/>
          </w:tcPr>
          <w:p w:rsidR="00C9789E" w:rsidRPr="009A2BC1" w:rsidRDefault="00C9789E" w:rsidP="009A2BC1">
            <w:pPr>
              <w:pStyle w:val="SingleTxtG"/>
              <w:spacing w:before="40" w:after="40" w:line="220" w:lineRule="exact"/>
              <w:ind w:left="0" w:right="113"/>
              <w:jc w:val="right"/>
              <w:rPr>
                <w:sz w:val="18"/>
              </w:rPr>
            </w:pPr>
            <w:r w:rsidRPr="009A2BC1">
              <w:rPr>
                <w:sz w:val="18"/>
              </w:rPr>
              <w:t>14.9</w:t>
            </w:r>
          </w:p>
        </w:tc>
        <w:tc>
          <w:tcPr>
            <w:tcW w:w="594" w:type="dxa"/>
            <w:shd w:val="clear" w:color="auto" w:fill="auto"/>
            <w:vAlign w:val="bottom"/>
          </w:tcPr>
          <w:p w:rsidR="00C9789E" w:rsidRPr="009A2BC1" w:rsidRDefault="00C9789E" w:rsidP="009A2BC1">
            <w:pPr>
              <w:pStyle w:val="SingleTxtG"/>
              <w:spacing w:before="40" w:after="40" w:line="220" w:lineRule="exact"/>
              <w:ind w:left="0" w:right="113"/>
              <w:jc w:val="right"/>
              <w:rPr>
                <w:sz w:val="18"/>
              </w:rPr>
            </w:pPr>
            <w:r w:rsidRPr="009A2BC1">
              <w:rPr>
                <w:sz w:val="18"/>
              </w:rPr>
              <w:t>7.7</w:t>
            </w:r>
          </w:p>
        </w:tc>
        <w:tc>
          <w:tcPr>
            <w:tcW w:w="594" w:type="dxa"/>
            <w:shd w:val="clear" w:color="auto" w:fill="auto"/>
            <w:vAlign w:val="bottom"/>
          </w:tcPr>
          <w:p w:rsidR="00C9789E" w:rsidRPr="009A2BC1" w:rsidRDefault="00C9789E" w:rsidP="009A2BC1">
            <w:pPr>
              <w:pStyle w:val="SingleTxtG"/>
              <w:spacing w:before="40" w:after="40" w:line="220" w:lineRule="exact"/>
              <w:ind w:left="0" w:right="113"/>
              <w:jc w:val="right"/>
              <w:rPr>
                <w:sz w:val="18"/>
              </w:rPr>
            </w:pPr>
            <w:r w:rsidRPr="009A2BC1">
              <w:rPr>
                <w:sz w:val="18"/>
              </w:rPr>
              <w:t>3.6</w:t>
            </w:r>
          </w:p>
        </w:tc>
        <w:tc>
          <w:tcPr>
            <w:tcW w:w="594" w:type="dxa"/>
            <w:shd w:val="clear" w:color="auto" w:fill="auto"/>
            <w:vAlign w:val="bottom"/>
          </w:tcPr>
          <w:p w:rsidR="00C9789E" w:rsidRPr="009A2BC1" w:rsidRDefault="00C9789E" w:rsidP="009A2BC1">
            <w:pPr>
              <w:pStyle w:val="SingleTxtG"/>
              <w:spacing w:before="40" w:after="40" w:line="220" w:lineRule="exact"/>
              <w:ind w:left="0" w:right="113"/>
              <w:jc w:val="right"/>
              <w:rPr>
                <w:sz w:val="18"/>
              </w:rPr>
            </w:pPr>
            <w:r w:rsidRPr="009A2BC1">
              <w:rPr>
                <w:sz w:val="18"/>
              </w:rPr>
              <w:t>3.1</w:t>
            </w:r>
          </w:p>
        </w:tc>
        <w:tc>
          <w:tcPr>
            <w:tcW w:w="594" w:type="dxa"/>
            <w:shd w:val="clear" w:color="auto" w:fill="auto"/>
            <w:vAlign w:val="bottom"/>
          </w:tcPr>
          <w:p w:rsidR="00C9789E" w:rsidRPr="009A2BC1" w:rsidRDefault="00C9789E" w:rsidP="009A2BC1">
            <w:pPr>
              <w:pStyle w:val="SingleTxtG"/>
              <w:spacing w:before="40" w:after="40" w:line="220" w:lineRule="exact"/>
              <w:ind w:left="0" w:right="113"/>
              <w:jc w:val="right"/>
              <w:rPr>
                <w:sz w:val="18"/>
              </w:rPr>
            </w:pPr>
            <w:r w:rsidRPr="009A2BC1">
              <w:rPr>
                <w:sz w:val="18"/>
              </w:rPr>
              <w:t>3.1</w:t>
            </w:r>
          </w:p>
        </w:tc>
        <w:tc>
          <w:tcPr>
            <w:tcW w:w="594" w:type="dxa"/>
            <w:shd w:val="clear" w:color="auto" w:fill="auto"/>
            <w:vAlign w:val="bottom"/>
          </w:tcPr>
          <w:p w:rsidR="00C9789E" w:rsidRPr="009A2BC1" w:rsidRDefault="00C9789E" w:rsidP="009A2BC1">
            <w:pPr>
              <w:pStyle w:val="SingleTxtG"/>
              <w:spacing w:before="40" w:after="40" w:line="220" w:lineRule="exact"/>
              <w:ind w:left="0" w:right="113"/>
              <w:jc w:val="right"/>
              <w:rPr>
                <w:sz w:val="18"/>
              </w:rPr>
            </w:pPr>
            <w:r w:rsidRPr="009A2BC1">
              <w:rPr>
                <w:sz w:val="18"/>
              </w:rPr>
              <w:t>2.8</w:t>
            </w:r>
          </w:p>
        </w:tc>
        <w:tc>
          <w:tcPr>
            <w:tcW w:w="594" w:type="dxa"/>
            <w:shd w:val="clear" w:color="auto" w:fill="auto"/>
            <w:vAlign w:val="bottom"/>
          </w:tcPr>
          <w:p w:rsidR="00C9789E" w:rsidRPr="009A2BC1" w:rsidRDefault="00C9789E" w:rsidP="009A2BC1">
            <w:pPr>
              <w:pStyle w:val="SingleTxtG"/>
              <w:spacing w:before="40" w:after="40" w:line="220" w:lineRule="exact"/>
              <w:ind w:left="0" w:right="113"/>
              <w:jc w:val="right"/>
              <w:rPr>
                <w:sz w:val="18"/>
              </w:rPr>
            </w:pPr>
            <w:r w:rsidRPr="009A2BC1">
              <w:rPr>
                <w:sz w:val="18"/>
              </w:rPr>
              <w:t>3.3</w:t>
            </w:r>
          </w:p>
        </w:tc>
        <w:tc>
          <w:tcPr>
            <w:tcW w:w="594" w:type="dxa"/>
            <w:shd w:val="clear" w:color="auto" w:fill="auto"/>
            <w:vAlign w:val="bottom"/>
          </w:tcPr>
          <w:p w:rsidR="00C9789E" w:rsidRPr="009A2BC1" w:rsidRDefault="00C9789E" w:rsidP="009A2BC1">
            <w:pPr>
              <w:pStyle w:val="SingleTxtG"/>
              <w:spacing w:before="40" w:after="40" w:line="220" w:lineRule="exact"/>
              <w:ind w:left="0" w:right="113"/>
              <w:jc w:val="right"/>
              <w:rPr>
                <w:sz w:val="18"/>
              </w:rPr>
            </w:pPr>
            <w:r w:rsidRPr="009A2BC1">
              <w:rPr>
                <w:sz w:val="18"/>
              </w:rPr>
              <w:t>3.2</w:t>
            </w:r>
          </w:p>
        </w:tc>
        <w:tc>
          <w:tcPr>
            <w:tcW w:w="594" w:type="dxa"/>
            <w:shd w:val="clear" w:color="auto" w:fill="auto"/>
            <w:vAlign w:val="bottom"/>
          </w:tcPr>
          <w:p w:rsidR="00C9789E" w:rsidRPr="009A2BC1" w:rsidRDefault="00C9789E" w:rsidP="009A2BC1">
            <w:pPr>
              <w:pStyle w:val="SingleTxtG"/>
              <w:spacing w:before="40" w:after="40" w:line="220" w:lineRule="exact"/>
              <w:ind w:left="0" w:right="113"/>
              <w:jc w:val="right"/>
              <w:rPr>
                <w:sz w:val="18"/>
              </w:rPr>
            </w:pPr>
            <w:r w:rsidRPr="009A2BC1">
              <w:rPr>
                <w:sz w:val="18"/>
              </w:rPr>
              <w:t>3.7</w:t>
            </w:r>
          </w:p>
        </w:tc>
        <w:tc>
          <w:tcPr>
            <w:tcW w:w="677" w:type="dxa"/>
            <w:shd w:val="clear" w:color="auto" w:fill="auto"/>
            <w:vAlign w:val="bottom"/>
          </w:tcPr>
          <w:p w:rsidR="00C9789E" w:rsidRPr="009A2BC1" w:rsidRDefault="00C9789E" w:rsidP="009A2BC1">
            <w:pPr>
              <w:pStyle w:val="SingleTxtG"/>
              <w:spacing w:before="40" w:after="40" w:line="220" w:lineRule="exact"/>
              <w:ind w:left="0" w:right="113"/>
              <w:jc w:val="right"/>
              <w:rPr>
                <w:sz w:val="18"/>
              </w:rPr>
            </w:pPr>
            <w:r w:rsidRPr="009A2BC1">
              <w:rPr>
                <w:sz w:val="18"/>
              </w:rPr>
              <w:t>3.0</w:t>
            </w:r>
          </w:p>
        </w:tc>
        <w:tc>
          <w:tcPr>
            <w:tcW w:w="610" w:type="dxa"/>
            <w:shd w:val="clear" w:color="auto" w:fill="auto"/>
            <w:vAlign w:val="bottom"/>
          </w:tcPr>
          <w:p w:rsidR="00C9789E" w:rsidRPr="009A2BC1" w:rsidRDefault="00C9789E" w:rsidP="009A2BC1">
            <w:pPr>
              <w:pStyle w:val="SingleTxtG"/>
              <w:spacing w:before="40" w:after="40" w:line="220" w:lineRule="exact"/>
              <w:ind w:left="0" w:right="113"/>
              <w:jc w:val="right"/>
              <w:rPr>
                <w:sz w:val="18"/>
              </w:rPr>
            </w:pPr>
            <w:r w:rsidRPr="009A2BC1">
              <w:rPr>
                <w:sz w:val="18"/>
              </w:rPr>
              <w:t>2.5</w:t>
            </w:r>
          </w:p>
        </w:tc>
      </w:tr>
      <w:tr w:rsidR="00C9789E" w:rsidRPr="009A2BC1" w:rsidTr="00B77308">
        <w:trPr>
          <w:cantSplit/>
        </w:trPr>
        <w:tc>
          <w:tcPr>
            <w:tcW w:w="673" w:type="dxa"/>
            <w:shd w:val="clear" w:color="auto" w:fill="auto"/>
          </w:tcPr>
          <w:p w:rsidR="00C9789E" w:rsidRPr="009A2BC1" w:rsidRDefault="00C9789E" w:rsidP="009A2BC1">
            <w:pPr>
              <w:pStyle w:val="SingleTxtG"/>
              <w:spacing w:before="40" w:after="40" w:line="220" w:lineRule="exact"/>
              <w:ind w:left="0" w:right="113"/>
              <w:jc w:val="left"/>
              <w:rPr>
                <w:sz w:val="18"/>
              </w:rPr>
            </w:pPr>
            <w:r w:rsidRPr="009A2BC1">
              <w:rPr>
                <w:sz w:val="18"/>
              </w:rPr>
              <w:t>2014</w:t>
            </w:r>
          </w:p>
        </w:tc>
        <w:tc>
          <w:tcPr>
            <w:tcW w:w="658" w:type="dxa"/>
            <w:shd w:val="clear" w:color="auto" w:fill="auto"/>
            <w:vAlign w:val="bottom"/>
          </w:tcPr>
          <w:p w:rsidR="00C9789E" w:rsidRPr="009A2BC1" w:rsidRDefault="00C9789E" w:rsidP="009A2BC1">
            <w:pPr>
              <w:pStyle w:val="SingleTxtG"/>
              <w:spacing w:before="40" w:after="40" w:line="220" w:lineRule="exact"/>
              <w:ind w:left="0" w:right="113"/>
              <w:jc w:val="right"/>
              <w:rPr>
                <w:sz w:val="18"/>
              </w:rPr>
            </w:pPr>
            <w:r w:rsidRPr="009A2BC1">
              <w:rPr>
                <w:sz w:val="18"/>
              </w:rPr>
              <w:t>16.7</w:t>
            </w:r>
          </w:p>
        </w:tc>
        <w:tc>
          <w:tcPr>
            <w:tcW w:w="594" w:type="dxa"/>
            <w:shd w:val="clear" w:color="auto" w:fill="auto"/>
            <w:vAlign w:val="bottom"/>
          </w:tcPr>
          <w:p w:rsidR="00C9789E" w:rsidRPr="009A2BC1" w:rsidRDefault="00C9789E" w:rsidP="009A2BC1">
            <w:pPr>
              <w:pStyle w:val="SingleTxtG"/>
              <w:spacing w:before="40" w:after="40" w:line="220" w:lineRule="exact"/>
              <w:ind w:left="0" w:right="113"/>
              <w:jc w:val="right"/>
              <w:rPr>
                <w:sz w:val="18"/>
              </w:rPr>
            </w:pPr>
            <w:r w:rsidRPr="009A2BC1">
              <w:rPr>
                <w:sz w:val="18"/>
              </w:rPr>
              <w:t>6.7</w:t>
            </w:r>
          </w:p>
        </w:tc>
        <w:tc>
          <w:tcPr>
            <w:tcW w:w="594" w:type="dxa"/>
            <w:shd w:val="clear" w:color="auto" w:fill="auto"/>
            <w:vAlign w:val="bottom"/>
          </w:tcPr>
          <w:p w:rsidR="00C9789E" w:rsidRPr="009A2BC1" w:rsidRDefault="00C9789E" w:rsidP="009A2BC1">
            <w:pPr>
              <w:pStyle w:val="SingleTxtG"/>
              <w:spacing w:before="40" w:after="40" w:line="220" w:lineRule="exact"/>
              <w:ind w:left="0" w:right="113"/>
              <w:jc w:val="right"/>
              <w:rPr>
                <w:sz w:val="18"/>
              </w:rPr>
            </w:pPr>
            <w:r w:rsidRPr="009A2BC1">
              <w:rPr>
                <w:sz w:val="18"/>
              </w:rPr>
              <w:t>3.1</w:t>
            </w:r>
          </w:p>
        </w:tc>
        <w:tc>
          <w:tcPr>
            <w:tcW w:w="594" w:type="dxa"/>
            <w:shd w:val="clear" w:color="auto" w:fill="auto"/>
            <w:vAlign w:val="bottom"/>
          </w:tcPr>
          <w:p w:rsidR="00C9789E" w:rsidRPr="009A2BC1" w:rsidRDefault="00C9789E" w:rsidP="009A2BC1">
            <w:pPr>
              <w:pStyle w:val="SingleTxtG"/>
              <w:spacing w:before="40" w:after="40" w:line="220" w:lineRule="exact"/>
              <w:ind w:left="0" w:right="113"/>
              <w:jc w:val="right"/>
              <w:rPr>
                <w:sz w:val="18"/>
              </w:rPr>
            </w:pPr>
            <w:r w:rsidRPr="009A2BC1">
              <w:rPr>
                <w:sz w:val="18"/>
              </w:rPr>
              <w:t>3.0</w:t>
            </w:r>
          </w:p>
        </w:tc>
        <w:tc>
          <w:tcPr>
            <w:tcW w:w="594" w:type="dxa"/>
            <w:shd w:val="clear" w:color="auto" w:fill="auto"/>
            <w:vAlign w:val="bottom"/>
          </w:tcPr>
          <w:p w:rsidR="00C9789E" w:rsidRPr="009A2BC1" w:rsidRDefault="00C9789E" w:rsidP="009A2BC1">
            <w:pPr>
              <w:pStyle w:val="SingleTxtG"/>
              <w:spacing w:before="40" w:after="40" w:line="220" w:lineRule="exact"/>
              <w:ind w:left="0" w:right="113"/>
              <w:jc w:val="right"/>
              <w:rPr>
                <w:sz w:val="18"/>
              </w:rPr>
            </w:pPr>
            <w:r w:rsidRPr="009A2BC1">
              <w:rPr>
                <w:sz w:val="18"/>
              </w:rPr>
              <w:t>3.0</w:t>
            </w:r>
          </w:p>
        </w:tc>
        <w:tc>
          <w:tcPr>
            <w:tcW w:w="594" w:type="dxa"/>
            <w:shd w:val="clear" w:color="auto" w:fill="auto"/>
            <w:vAlign w:val="bottom"/>
          </w:tcPr>
          <w:p w:rsidR="00C9789E" w:rsidRPr="009A2BC1" w:rsidRDefault="00C9789E" w:rsidP="009A2BC1">
            <w:pPr>
              <w:pStyle w:val="SingleTxtG"/>
              <w:spacing w:before="40" w:after="40" w:line="220" w:lineRule="exact"/>
              <w:ind w:left="0" w:right="113"/>
              <w:jc w:val="right"/>
              <w:rPr>
                <w:sz w:val="18"/>
              </w:rPr>
            </w:pPr>
            <w:r w:rsidRPr="009A2BC1">
              <w:rPr>
                <w:sz w:val="18"/>
              </w:rPr>
              <w:t>2.9</w:t>
            </w:r>
          </w:p>
        </w:tc>
        <w:tc>
          <w:tcPr>
            <w:tcW w:w="594" w:type="dxa"/>
            <w:shd w:val="clear" w:color="auto" w:fill="auto"/>
            <w:vAlign w:val="bottom"/>
          </w:tcPr>
          <w:p w:rsidR="00C9789E" w:rsidRPr="009A2BC1" w:rsidRDefault="00C9789E" w:rsidP="009A2BC1">
            <w:pPr>
              <w:pStyle w:val="SingleTxtG"/>
              <w:spacing w:before="40" w:after="40" w:line="220" w:lineRule="exact"/>
              <w:ind w:left="0" w:right="113"/>
              <w:jc w:val="right"/>
              <w:rPr>
                <w:sz w:val="18"/>
              </w:rPr>
            </w:pPr>
            <w:r w:rsidRPr="009A2BC1">
              <w:rPr>
                <w:sz w:val="18"/>
              </w:rPr>
              <w:t>3.5</w:t>
            </w:r>
          </w:p>
        </w:tc>
        <w:tc>
          <w:tcPr>
            <w:tcW w:w="594" w:type="dxa"/>
            <w:shd w:val="clear" w:color="auto" w:fill="auto"/>
            <w:vAlign w:val="bottom"/>
          </w:tcPr>
          <w:p w:rsidR="00C9789E" w:rsidRPr="009A2BC1" w:rsidRDefault="00C9789E" w:rsidP="009A2BC1">
            <w:pPr>
              <w:pStyle w:val="SingleTxtG"/>
              <w:spacing w:before="40" w:after="40" w:line="220" w:lineRule="exact"/>
              <w:ind w:left="0" w:right="113"/>
              <w:jc w:val="right"/>
              <w:rPr>
                <w:sz w:val="18"/>
              </w:rPr>
            </w:pPr>
            <w:r w:rsidRPr="009A2BC1">
              <w:rPr>
                <w:sz w:val="18"/>
              </w:rPr>
              <w:t>3.8</w:t>
            </w:r>
          </w:p>
        </w:tc>
        <w:tc>
          <w:tcPr>
            <w:tcW w:w="594" w:type="dxa"/>
            <w:shd w:val="clear" w:color="auto" w:fill="auto"/>
            <w:vAlign w:val="bottom"/>
          </w:tcPr>
          <w:p w:rsidR="00C9789E" w:rsidRPr="009A2BC1" w:rsidRDefault="00C9789E" w:rsidP="009A2BC1">
            <w:pPr>
              <w:pStyle w:val="SingleTxtG"/>
              <w:spacing w:before="40" w:after="40" w:line="220" w:lineRule="exact"/>
              <w:ind w:left="0" w:right="113"/>
              <w:jc w:val="right"/>
              <w:rPr>
                <w:sz w:val="18"/>
              </w:rPr>
            </w:pPr>
            <w:r w:rsidRPr="009A2BC1">
              <w:rPr>
                <w:sz w:val="18"/>
              </w:rPr>
              <w:t>3.4</w:t>
            </w:r>
          </w:p>
        </w:tc>
        <w:tc>
          <w:tcPr>
            <w:tcW w:w="677" w:type="dxa"/>
            <w:shd w:val="clear" w:color="auto" w:fill="auto"/>
            <w:vAlign w:val="bottom"/>
          </w:tcPr>
          <w:p w:rsidR="00C9789E" w:rsidRPr="009A2BC1" w:rsidRDefault="00C9789E" w:rsidP="009A2BC1">
            <w:pPr>
              <w:pStyle w:val="SingleTxtG"/>
              <w:spacing w:before="40" w:after="40" w:line="220" w:lineRule="exact"/>
              <w:ind w:left="0" w:right="113"/>
              <w:jc w:val="right"/>
              <w:rPr>
                <w:sz w:val="18"/>
              </w:rPr>
            </w:pPr>
            <w:r w:rsidRPr="009A2BC1">
              <w:rPr>
                <w:sz w:val="18"/>
              </w:rPr>
              <w:t>2.7</w:t>
            </w:r>
          </w:p>
        </w:tc>
        <w:tc>
          <w:tcPr>
            <w:tcW w:w="610" w:type="dxa"/>
            <w:shd w:val="clear" w:color="auto" w:fill="auto"/>
            <w:vAlign w:val="bottom"/>
          </w:tcPr>
          <w:p w:rsidR="00C9789E" w:rsidRPr="009A2BC1" w:rsidRDefault="00C9789E" w:rsidP="009A2BC1">
            <w:pPr>
              <w:pStyle w:val="SingleTxtG"/>
              <w:spacing w:before="40" w:after="40" w:line="220" w:lineRule="exact"/>
              <w:ind w:left="0" w:right="113"/>
              <w:jc w:val="right"/>
              <w:rPr>
                <w:sz w:val="18"/>
              </w:rPr>
            </w:pPr>
            <w:r w:rsidRPr="009A2BC1">
              <w:rPr>
                <w:sz w:val="18"/>
              </w:rPr>
              <w:t>2.1</w:t>
            </w:r>
          </w:p>
        </w:tc>
      </w:tr>
      <w:tr w:rsidR="00C9789E" w:rsidRPr="009A2BC1" w:rsidTr="00B77308">
        <w:trPr>
          <w:cantSplit/>
        </w:trPr>
        <w:tc>
          <w:tcPr>
            <w:tcW w:w="673" w:type="dxa"/>
            <w:shd w:val="clear" w:color="auto" w:fill="auto"/>
          </w:tcPr>
          <w:p w:rsidR="00C9789E" w:rsidRPr="009A2BC1" w:rsidRDefault="00C9789E" w:rsidP="009A2BC1">
            <w:pPr>
              <w:pStyle w:val="SingleTxtG"/>
              <w:spacing w:before="40" w:after="40" w:line="220" w:lineRule="exact"/>
              <w:ind w:left="0" w:right="113"/>
              <w:jc w:val="left"/>
              <w:rPr>
                <w:sz w:val="18"/>
              </w:rPr>
            </w:pPr>
            <w:r w:rsidRPr="009A2BC1">
              <w:rPr>
                <w:sz w:val="18"/>
              </w:rPr>
              <w:t>2015</w:t>
            </w:r>
          </w:p>
        </w:tc>
        <w:tc>
          <w:tcPr>
            <w:tcW w:w="658" w:type="dxa"/>
            <w:shd w:val="clear" w:color="auto" w:fill="auto"/>
            <w:vAlign w:val="bottom"/>
          </w:tcPr>
          <w:p w:rsidR="00C9789E" w:rsidRPr="009A2BC1" w:rsidRDefault="00C9789E" w:rsidP="009A2BC1">
            <w:pPr>
              <w:pStyle w:val="SingleTxtG"/>
              <w:spacing w:before="40" w:after="40" w:line="220" w:lineRule="exact"/>
              <w:ind w:left="0" w:right="113"/>
              <w:jc w:val="right"/>
              <w:rPr>
                <w:sz w:val="18"/>
              </w:rPr>
            </w:pPr>
            <w:r w:rsidRPr="009A2BC1">
              <w:rPr>
                <w:sz w:val="18"/>
              </w:rPr>
              <w:t>14.4</w:t>
            </w:r>
          </w:p>
        </w:tc>
        <w:tc>
          <w:tcPr>
            <w:tcW w:w="594" w:type="dxa"/>
            <w:shd w:val="clear" w:color="auto" w:fill="auto"/>
            <w:vAlign w:val="bottom"/>
          </w:tcPr>
          <w:p w:rsidR="00C9789E" w:rsidRPr="009A2BC1" w:rsidRDefault="00C9789E" w:rsidP="009A2BC1">
            <w:pPr>
              <w:pStyle w:val="SingleTxtG"/>
              <w:spacing w:before="40" w:after="40" w:line="220" w:lineRule="exact"/>
              <w:ind w:left="0" w:right="113"/>
              <w:jc w:val="right"/>
              <w:rPr>
                <w:sz w:val="18"/>
              </w:rPr>
            </w:pPr>
            <w:r w:rsidRPr="009A2BC1">
              <w:rPr>
                <w:sz w:val="18"/>
              </w:rPr>
              <w:t>7.5</w:t>
            </w:r>
          </w:p>
        </w:tc>
        <w:tc>
          <w:tcPr>
            <w:tcW w:w="594" w:type="dxa"/>
            <w:shd w:val="clear" w:color="auto" w:fill="auto"/>
            <w:vAlign w:val="bottom"/>
          </w:tcPr>
          <w:p w:rsidR="00C9789E" w:rsidRPr="009A2BC1" w:rsidRDefault="00C9789E" w:rsidP="009A2BC1">
            <w:pPr>
              <w:pStyle w:val="SingleTxtG"/>
              <w:spacing w:before="40" w:after="40" w:line="220" w:lineRule="exact"/>
              <w:ind w:left="0" w:right="113"/>
              <w:jc w:val="right"/>
              <w:rPr>
                <w:sz w:val="18"/>
              </w:rPr>
            </w:pPr>
            <w:r w:rsidRPr="009A2BC1">
              <w:rPr>
                <w:sz w:val="18"/>
              </w:rPr>
              <w:t>3.2</w:t>
            </w:r>
          </w:p>
        </w:tc>
        <w:tc>
          <w:tcPr>
            <w:tcW w:w="594" w:type="dxa"/>
            <w:shd w:val="clear" w:color="auto" w:fill="auto"/>
            <w:vAlign w:val="bottom"/>
          </w:tcPr>
          <w:p w:rsidR="00C9789E" w:rsidRPr="009A2BC1" w:rsidRDefault="00C9789E" w:rsidP="009A2BC1">
            <w:pPr>
              <w:pStyle w:val="SingleTxtG"/>
              <w:spacing w:before="40" w:after="40" w:line="220" w:lineRule="exact"/>
              <w:ind w:left="0" w:right="113"/>
              <w:jc w:val="right"/>
              <w:rPr>
                <w:sz w:val="18"/>
              </w:rPr>
            </w:pPr>
            <w:r w:rsidRPr="009A2BC1">
              <w:rPr>
                <w:sz w:val="18"/>
              </w:rPr>
              <w:t>2.6</w:t>
            </w:r>
          </w:p>
        </w:tc>
        <w:tc>
          <w:tcPr>
            <w:tcW w:w="594" w:type="dxa"/>
            <w:shd w:val="clear" w:color="auto" w:fill="auto"/>
            <w:vAlign w:val="bottom"/>
          </w:tcPr>
          <w:p w:rsidR="00C9789E" w:rsidRPr="009A2BC1" w:rsidRDefault="00C9789E" w:rsidP="009A2BC1">
            <w:pPr>
              <w:pStyle w:val="SingleTxtG"/>
              <w:spacing w:before="40" w:after="40" w:line="220" w:lineRule="exact"/>
              <w:ind w:left="0" w:right="113"/>
              <w:jc w:val="right"/>
              <w:rPr>
                <w:sz w:val="18"/>
              </w:rPr>
            </w:pPr>
            <w:r w:rsidRPr="009A2BC1">
              <w:rPr>
                <w:sz w:val="18"/>
              </w:rPr>
              <w:t>3.2</w:t>
            </w:r>
          </w:p>
        </w:tc>
        <w:tc>
          <w:tcPr>
            <w:tcW w:w="594" w:type="dxa"/>
            <w:shd w:val="clear" w:color="auto" w:fill="auto"/>
            <w:vAlign w:val="bottom"/>
          </w:tcPr>
          <w:p w:rsidR="00C9789E" w:rsidRPr="009A2BC1" w:rsidRDefault="00C9789E" w:rsidP="009A2BC1">
            <w:pPr>
              <w:pStyle w:val="SingleTxtG"/>
              <w:spacing w:before="40" w:after="40" w:line="220" w:lineRule="exact"/>
              <w:ind w:left="0" w:right="113"/>
              <w:jc w:val="right"/>
              <w:rPr>
                <w:sz w:val="18"/>
              </w:rPr>
            </w:pPr>
            <w:r w:rsidRPr="009A2BC1">
              <w:rPr>
                <w:sz w:val="18"/>
              </w:rPr>
              <w:t>3.4</w:t>
            </w:r>
          </w:p>
        </w:tc>
        <w:tc>
          <w:tcPr>
            <w:tcW w:w="594" w:type="dxa"/>
            <w:shd w:val="clear" w:color="auto" w:fill="auto"/>
            <w:vAlign w:val="bottom"/>
          </w:tcPr>
          <w:p w:rsidR="00C9789E" w:rsidRPr="009A2BC1" w:rsidRDefault="00C9789E" w:rsidP="009A2BC1">
            <w:pPr>
              <w:pStyle w:val="SingleTxtG"/>
              <w:spacing w:before="40" w:after="40" w:line="220" w:lineRule="exact"/>
              <w:ind w:left="0" w:right="113"/>
              <w:jc w:val="right"/>
              <w:rPr>
                <w:sz w:val="18"/>
              </w:rPr>
            </w:pPr>
            <w:r w:rsidRPr="009A2BC1">
              <w:rPr>
                <w:sz w:val="18"/>
              </w:rPr>
              <w:t>2.7</w:t>
            </w:r>
          </w:p>
        </w:tc>
        <w:tc>
          <w:tcPr>
            <w:tcW w:w="594" w:type="dxa"/>
            <w:shd w:val="clear" w:color="auto" w:fill="auto"/>
            <w:vAlign w:val="bottom"/>
          </w:tcPr>
          <w:p w:rsidR="00C9789E" w:rsidRPr="009A2BC1" w:rsidRDefault="00C9789E" w:rsidP="009A2BC1">
            <w:pPr>
              <w:pStyle w:val="SingleTxtG"/>
              <w:spacing w:before="40" w:after="40" w:line="220" w:lineRule="exact"/>
              <w:ind w:left="0" w:right="113"/>
              <w:jc w:val="right"/>
              <w:rPr>
                <w:sz w:val="18"/>
              </w:rPr>
            </w:pPr>
            <w:r w:rsidRPr="009A2BC1">
              <w:rPr>
                <w:sz w:val="18"/>
              </w:rPr>
              <w:t>2.8</w:t>
            </w:r>
          </w:p>
        </w:tc>
        <w:tc>
          <w:tcPr>
            <w:tcW w:w="594" w:type="dxa"/>
            <w:shd w:val="clear" w:color="auto" w:fill="auto"/>
            <w:vAlign w:val="bottom"/>
          </w:tcPr>
          <w:p w:rsidR="00C9789E" w:rsidRPr="009A2BC1" w:rsidRDefault="00C9789E" w:rsidP="009A2BC1">
            <w:pPr>
              <w:pStyle w:val="SingleTxtG"/>
              <w:spacing w:before="40" w:after="40" w:line="220" w:lineRule="exact"/>
              <w:ind w:left="0" w:right="113"/>
              <w:jc w:val="right"/>
              <w:rPr>
                <w:sz w:val="18"/>
              </w:rPr>
            </w:pPr>
            <w:r w:rsidRPr="009A2BC1">
              <w:rPr>
                <w:sz w:val="18"/>
              </w:rPr>
              <w:t>2.8</w:t>
            </w:r>
          </w:p>
        </w:tc>
        <w:tc>
          <w:tcPr>
            <w:tcW w:w="677" w:type="dxa"/>
            <w:shd w:val="clear" w:color="auto" w:fill="auto"/>
            <w:vAlign w:val="bottom"/>
          </w:tcPr>
          <w:p w:rsidR="00C9789E" w:rsidRPr="009A2BC1" w:rsidRDefault="00C9789E" w:rsidP="009A2BC1">
            <w:pPr>
              <w:pStyle w:val="SingleTxtG"/>
              <w:spacing w:before="40" w:after="40" w:line="220" w:lineRule="exact"/>
              <w:ind w:left="0" w:right="113"/>
              <w:jc w:val="right"/>
              <w:rPr>
                <w:sz w:val="18"/>
              </w:rPr>
            </w:pPr>
            <w:r w:rsidRPr="009A2BC1">
              <w:rPr>
                <w:sz w:val="18"/>
              </w:rPr>
              <w:t>2.5</w:t>
            </w:r>
          </w:p>
        </w:tc>
        <w:tc>
          <w:tcPr>
            <w:tcW w:w="610" w:type="dxa"/>
            <w:shd w:val="clear" w:color="auto" w:fill="auto"/>
            <w:vAlign w:val="bottom"/>
          </w:tcPr>
          <w:p w:rsidR="00C9789E" w:rsidRPr="009A2BC1" w:rsidRDefault="00C9789E" w:rsidP="009A2BC1">
            <w:pPr>
              <w:pStyle w:val="SingleTxtG"/>
              <w:spacing w:before="40" w:after="40" w:line="220" w:lineRule="exact"/>
              <w:ind w:left="0" w:right="113"/>
              <w:jc w:val="right"/>
              <w:rPr>
                <w:sz w:val="18"/>
              </w:rPr>
            </w:pPr>
            <w:r w:rsidRPr="009A2BC1">
              <w:rPr>
                <w:sz w:val="18"/>
              </w:rPr>
              <w:t>1.9</w:t>
            </w:r>
          </w:p>
        </w:tc>
      </w:tr>
      <w:tr w:rsidR="00C9789E" w:rsidRPr="009A2BC1" w:rsidTr="00B77308">
        <w:trPr>
          <w:cantSplit/>
        </w:trPr>
        <w:tc>
          <w:tcPr>
            <w:tcW w:w="673" w:type="dxa"/>
            <w:shd w:val="clear" w:color="auto" w:fill="auto"/>
          </w:tcPr>
          <w:p w:rsidR="00C9789E" w:rsidRPr="009A2BC1" w:rsidRDefault="00C9789E" w:rsidP="009A2BC1">
            <w:pPr>
              <w:pStyle w:val="SingleTxtG"/>
              <w:spacing w:before="40" w:after="40" w:line="220" w:lineRule="exact"/>
              <w:ind w:left="0" w:right="113"/>
              <w:jc w:val="left"/>
              <w:rPr>
                <w:sz w:val="18"/>
              </w:rPr>
            </w:pPr>
            <w:r w:rsidRPr="009A2BC1">
              <w:rPr>
                <w:sz w:val="18"/>
              </w:rPr>
              <w:t>2016</w:t>
            </w:r>
          </w:p>
        </w:tc>
        <w:tc>
          <w:tcPr>
            <w:tcW w:w="658" w:type="dxa"/>
            <w:shd w:val="clear" w:color="auto" w:fill="auto"/>
            <w:vAlign w:val="bottom"/>
          </w:tcPr>
          <w:p w:rsidR="00C9789E" w:rsidRPr="009A2BC1" w:rsidRDefault="00C9789E" w:rsidP="009A2BC1">
            <w:pPr>
              <w:pStyle w:val="SingleTxtG"/>
              <w:spacing w:before="40" w:after="40" w:line="220" w:lineRule="exact"/>
              <w:ind w:left="0" w:right="113"/>
              <w:jc w:val="right"/>
              <w:rPr>
                <w:sz w:val="18"/>
              </w:rPr>
            </w:pPr>
            <w:r w:rsidRPr="009A2BC1">
              <w:rPr>
                <w:sz w:val="18"/>
              </w:rPr>
              <w:t>17.6</w:t>
            </w:r>
          </w:p>
        </w:tc>
        <w:tc>
          <w:tcPr>
            <w:tcW w:w="594" w:type="dxa"/>
            <w:shd w:val="clear" w:color="auto" w:fill="auto"/>
            <w:vAlign w:val="bottom"/>
          </w:tcPr>
          <w:p w:rsidR="00C9789E" w:rsidRPr="009A2BC1" w:rsidRDefault="00C9789E" w:rsidP="009A2BC1">
            <w:pPr>
              <w:pStyle w:val="SingleTxtG"/>
              <w:spacing w:before="40" w:after="40" w:line="220" w:lineRule="exact"/>
              <w:ind w:left="0" w:right="113"/>
              <w:jc w:val="right"/>
              <w:rPr>
                <w:sz w:val="18"/>
              </w:rPr>
            </w:pPr>
            <w:r w:rsidRPr="009A2BC1">
              <w:rPr>
                <w:sz w:val="18"/>
              </w:rPr>
              <w:t>7.3</w:t>
            </w:r>
          </w:p>
        </w:tc>
        <w:tc>
          <w:tcPr>
            <w:tcW w:w="594" w:type="dxa"/>
            <w:shd w:val="clear" w:color="auto" w:fill="auto"/>
            <w:vAlign w:val="bottom"/>
          </w:tcPr>
          <w:p w:rsidR="00C9789E" w:rsidRPr="009A2BC1" w:rsidRDefault="00C9789E" w:rsidP="009A2BC1">
            <w:pPr>
              <w:pStyle w:val="SingleTxtG"/>
              <w:spacing w:before="40" w:after="40" w:line="220" w:lineRule="exact"/>
              <w:ind w:left="0" w:right="113"/>
              <w:jc w:val="right"/>
              <w:rPr>
                <w:sz w:val="18"/>
              </w:rPr>
            </w:pPr>
            <w:r w:rsidRPr="009A2BC1">
              <w:rPr>
                <w:sz w:val="18"/>
              </w:rPr>
              <w:t>4.1</w:t>
            </w:r>
          </w:p>
        </w:tc>
        <w:tc>
          <w:tcPr>
            <w:tcW w:w="594" w:type="dxa"/>
            <w:shd w:val="clear" w:color="auto" w:fill="auto"/>
            <w:vAlign w:val="bottom"/>
          </w:tcPr>
          <w:p w:rsidR="00C9789E" w:rsidRPr="009A2BC1" w:rsidRDefault="00C9789E" w:rsidP="009A2BC1">
            <w:pPr>
              <w:pStyle w:val="SingleTxtG"/>
              <w:spacing w:before="40" w:after="40" w:line="220" w:lineRule="exact"/>
              <w:ind w:left="0" w:right="113"/>
              <w:jc w:val="right"/>
              <w:rPr>
                <w:sz w:val="18"/>
              </w:rPr>
            </w:pPr>
            <w:r w:rsidRPr="009A2BC1">
              <w:rPr>
                <w:sz w:val="18"/>
              </w:rPr>
              <w:t>3.6</w:t>
            </w:r>
          </w:p>
        </w:tc>
        <w:tc>
          <w:tcPr>
            <w:tcW w:w="594" w:type="dxa"/>
            <w:shd w:val="clear" w:color="auto" w:fill="auto"/>
            <w:vAlign w:val="bottom"/>
          </w:tcPr>
          <w:p w:rsidR="00C9789E" w:rsidRPr="009A2BC1" w:rsidRDefault="00C9789E" w:rsidP="009A2BC1">
            <w:pPr>
              <w:pStyle w:val="SingleTxtG"/>
              <w:spacing w:before="40" w:after="40" w:line="220" w:lineRule="exact"/>
              <w:ind w:left="0" w:right="113"/>
              <w:jc w:val="right"/>
              <w:rPr>
                <w:sz w:val="18"/>
              </w:rPr>
            </w:pPr>
            <w:r w:rsidRPr="009A2BC1">
              <w:rPr>
                <w:sz w:val="18"/>
              </w:rPr>
              <w:t>3.1</w:t>
            </w:r>
          </w:p>
        </w:tc>
        <w:tc>
          <w:tcPr>
            <w:tcW w:w="594" w:type="dxa"/>
            <w:shd w:val="clear" w:color="auto" w:fill="auto"/>
            <w:vAlign w:val="bottom"/>
          </w:tcPr>
          <w:p w:rsidR="00C9789E" w:rsidRPr="009A2BC1" w:rsidRDefault="00C9789E" w:rsidP="009A2BC1">
            <w:pPr>
              <w:pStyle w:val="SingleTxtG"/>
              <w:spacing w:before="40" w:after="40" w:line="220" w:lineRule="exact"/>
              <w:ind w:left="0" w:right="113"/>
              <w:jc w:val="right"/>
              <w:rPr>
                <w:sz w:val="18"/>
              </w:rPr>
            </w:pPr>
            <w:r w:rsidRPr="009A2BC1">
              <w:rPr>
                <w:sz w:val="18"/>
              </w:rPr>
              <w:t>3.2</w:t>
            </w:r>
          </w:p>
        </w:tc>
        <w:tc>
          <w:tcPr>
            <w:tcW w:w="594" w:type="dxa"/>
            <w:shd w:val="clear" w:color="auto" w:fill="auto"/>
            <w:vAlign w:val="bottom"/>
          </w:tcPr>
          <w:p w:rsidR="00C9789E" w:rsidRPr="009A2BC1" w:rsidRDefault="00C9789E" w:rsidP="009A2BC1">
            <w:pPr>
              <w:pStyle w:val="SingleTxtG"/>
              <w:spacing w:before="40" w:after="40" w:line="220" w:lineRule="exact"/>
              <w:ind w:left="0" w:right="113"/>
              <w:jc w:val="right"/>
              <w:rPr>
                <w:sz w:val="18"/>
              </w:rPr>
            </w:pPr>
            <w:r w:rsidRPr="009A2BC1">
              <w:rPr>
                <w:sz w:val="18"/>
              </w:rPr>
              <w:t>3.1</w:t>
            </w:r>
          </w:p>
        </w:tc>
        <w:tc>
          <w:tcPr>
            <w:tcW w:w="594" w:type="dxa"/>
            <w:shd w:val="clear" w:color="auto" w:fill="auto"/>
            <w:vAlign w:val="bottom"/>
          </w:tcPr>
          <w:p w:rsidR="00C9789E" w:rsidRPr="009A2BC1" w:rsidRDefault="00C9789E" w:rsidP="009A2BC1">
            <w:pPr>
              <w:pStyle w:val="SingleTxtG"/>
              <w:spacing w:before="40" w:after="40" w:line="220" w:lineRule="exact"/>
              <w:ind w:left="0" w:right="113"/>
              <w:jc w:val="right"/>
              <w:rPr>
                <w:sz w:val="18"/>
              </w:rPr>
            </w:pPr>
            <w:r w:rsidRPr="009A2BC1">
              <w:rPr>
                <w:sz w:val="18"/>
              </w:rPr>
              <w:t>3.0</w:t>
            </w:r>
          </w:p>
        </w:tc>
        <w:tc>
          <w:tcPr>
            <w:tcW w:w="594" w:type="dxa"/>
            <w:shd w:val="clear" w:color="auto" w:fill="auto"/>
            <w:vAlign w:val="bottom"/>
          </w:tcPr>
          <w:p w:rsidR="00C9789E" w:rsidRPr="009A2BC1" w:rsidRDefault="00C9789E" w:rsidP="009A2BC1">
            <w:pPr>
              <w:pStyle w:val="SingleTxtG"/>
              <w:spacing w:before="40" w:after="40" w:line="220" w:lineRule="exact"/>
              <w:ind w:left="0" w:right="113"/>
              <w:jc w:val="right"/>
              <w:rPr>
                <w:sz w:val="18"/>
              </w:rPr>
            </w:pPr>
            <w:r w:rsidRPr="009A2BC1">
              <w:rPr>
                <w:sz w:val="18"/>
              </w:rPr>
              <w:t>3.0</w:t>
            </w:r>
          </w:p>
        </w:tc>
        <w:tc>
          <w:tcPr>
            <w:tcW w:w="677" w:type="dxa"/>
            <w:shd w:val="clear" w:color="auto" w:fill="auto"/>
            <w:vAlign w:val="bottom"/>
          </w:tcPr>
          <w:p w:rsidR="00C9789E" w:rsidRPr="009A2BC1" w:rsidRDefault="00C9789E" w:rsidP="009A2BC1">
            <w:pPr>
              <w:pStyle w:val="SingleTxtG"/>
              <w:spacing w:before="40" w:after="40" w:line="220" w:lineRule="exact"/>
              <w:ind w:left="0" w:right="113"/>
              <w:jc w:val="right"/>
              <w:rPr>
                <w:sz w:val="18"/>
              </w:rPr>
            </w:pPr>
            <w:r w:rsidRPr="009A2BC1">
              <w:rPr>
                <w:sz w:val="18"/>
              </w:rPr>
              <w:t>3.0</w:t>
            </w:r>
          </w:p>
        </w:tc>
        <w:tc>
          <w:tcPr>
            <w:tcW w:w="610" w:type="dxa"/>
            <w:shd w:val="clear" w:color="auto" w:fill="auto"/>
            <w:vAlign w:val="bottom"/>
          </w:tcPr>
          <w:p w:rsidR="00C9789E" w:rsidRPr="009A2BC1" w:rsidRDefault="00C9789E" w:rsidP="009A2BC1">
            <w:pPr>
              <w:pStyle w:val="SingleTxtG"/>
              <w:spacing w:before="40" w:after="40" w:line="220" w:lineRule="exact"/>
              <w:ind w:left="0" w:right="113"/>
              <w:jc w:val="right"/>
              <w:rPr>
                <w:sz w:val="18"/>
              </w:rPr>
            </w:pPr>
            <w:r w:rsidRPr="009A2BC1">
              <w:rPr>
                <w:sz w:val="18"/>
              </w:rPr>
              <w:t>2.5</w:t>
            </w:r>
          </w:p>
        </w:tc>
      </w:tr>
    </w:tbl>
    <w:p w:rsidR="00815DDC" w:rsidRDefault="00C9789E" w:rsidP="00815DDC">
      <w:pPr>
        <w:pStyle w:val="Heading1"/>
        <w:spacing w:before="240"/>
      </w:pPr>
      <w:bookmarkStart w:id="46" w:name="_Toc494359770"/>
      <w:r w:rsidRPr="00F62F1C">
        <w:t>Figure 11</w:t>
      </w:r>
      <w:bookmarkEnd w:id="46"/>
    </w:p>
    <w:p w:rsidR="00C9789E" w:rsidRPr="00815DDC" w:rsidRDefault="00C9789E" w:rsidP="00706221">
      <w:pPr>
        <w:pStyle w:val="SingleTxtG"/>
        <w:rPr>
          <w:b/>
        </w:rPr>
      </w:pPr>
      <w:r w:rsidRPr="00815DDC">
        <w:rPr>
          <w:b/>
        </w:rPr>
        <w:t>Underemployment rate by ethnicity (%) year ended December</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54"/>
        <w:gridCol w:w="1027"/>
        <w:gridCol w:w="909"/>
        <w:gridCol w:w="968"/>
        <w:gridCol w:w="892"/>
        <w:gridCol w:w="1587"/>
        <w:gridCol w:w="1133"/>
      </w:tblGrid>
      <w:tr w:rsidR="00C9789E" w:rsidRPr="004179CD" w:rsidTr="00B77308">
        <w:trPr>
          <w:cantSplit/>
          <w:tblHeader/>
        </w:trPr>
        <w:tc>
          <w:tcPr>
            <w:tcW w:w="854" w:type="dxa"/>
            <w:tcBorders>
              <w:top w:val="single" w:sz="4" w:space="0" w:color="auto"/>
              <w:bottom w:val="single" w:sz="12" w:space="0" w:color="auto"/>
            </w:tcBorders>
            <w:shd w:val="clear" w:color="auto" w:fill="auto"/>
            <w:vAlign w:val="bottom"/>
          </w:tcPr>
          <w:p w:rsidR="00C9789E" w:rsidRPr="004179CD" w:rsidRDefault="00C9789E" w:rsidP="004179CD">
            <w:pPr>
              <w:pStyle w:val="SingleTxtG"/>
              <w:spacing w:before="80" w:after="80" w:line="200" w:lineRule="exact"/>
              <w:ind w:left="0" w:right="113"/>
              <w:jc w:val="left"/>
              <w:rPr>
                <w:i/>
                <w:sz w:val="16"/>
              </w:rPr>
            </w:pPr>
            <w:r w:rsidRPr="004179CD">
              <w:rPr>
                <w:i/>
                <w:sz w:val="16"/>
              </w:rPr>
              <w:t>Year</w:t>
            </w:r>
          </w:p>
        </w:tc>
        <w:tc>
          <w:tcPr>
            <w:tcW w:w="1027" w:type="dxa"/>
            <w:tcBorders>
              <w:top w:val="single" w:sz="4" w:space="0" w:color="auto"/>
              <w:bottom w:val="single" w:sz="12" w:space="0" w:color="auto"/>
            </w:tcBorders>
            <w:shd w:val="clear" w:color="auto" w:fill="auto"/>
            <w:vAlign w:val="bottom"/>
          </w:tcPr>
          <w:p w:rsidR="00C9789E" w:rsidRPr="004179CD" w:rsidRDefault="00C9789E" w:rsidP="004179CD">
            <w:pPr>
              <w:pStyle w:val="SingleTxtG"/>
              <w:spacing w:before="80" w:after="80" w:line="200" w:lineRule="exact"/>
              <w:ind w:left="0" w:right="113"/>
              <w:jc w:val="right"/>
              <w:rPr>
                <w:i/>
                <w:sz w:val="16"/>
              </w:rPr>
            </w:pPr>
            <w:r w:rsidRPr="004179CD">
              <w:rPr>
                <w:i/>
                <w:sz w:val="16"/>
              </w:rPr>
              <w:t>NZ European</w:t>
            </w:r>
          </w:p>
        </w:tc>
        <w:tc>
          <w:tcPr>
            <w:tcW w:w="909" w:type="dxa"/>
            <w:tcBorders>
              <w:top w:val="single" w:sz="4" w:space="0" w:color="auto"/>
              <w:bottom w:val="single" w:sz="12" w:space="0" w:color="auto"/>
            </w:tcBorders>
            <w:shd w:val="clear" w:color="auto" w:fill="auto"/>
            <w:vAlign w:val="bottom"/>
          </w:tcPr>
          <w:p w:rsidR="00C9789E" w:rsidRPr="004179CD" w:rsidRDefault="00C9789E" w:rsidP="004179CD">
            <w:pPr>
              <w:pStyle w:val="SingleTxtG"/>
              <w:spacing w:before="80" w:after="80" w:line="200" w:lineRule="exact"/>
              <w:ind w:left="0" w:right="113"/>
              <w:jc w:val="right"/>
              <w:rPr>
                <w:i/>
                <w:sz w:val="16"/>
              </w:rPr>
            </w:pPr>
            <w:r w:rsidRPr="004179CD">
              <w:rPr>
                <w:i/>
                <w:sz w:val="16"/>
              </w:rPr>
              <w:t>Māori</w:t>
            </w:r>
          </w:p>
        </w:tc>
        <w:tc>
          <w:tcPr>
            <w:tcW w:w="968" w:type="dxa"/>
            <w:tcBorders>
              <w:top w:val="single" w:sz="4" w:space="0" w:color="auto"/>
              <w:bottom w:val="single" w:sz="12" w:space="0" w:color="auto"/>
            </w:tcBorders>
            <w:shd w:val="clear" w:color="auto" w:fill="auto"/>
            <w:vAlign w:val="bottom"/>
          </w:tcPr>
          <w:p w:rsidR="00C9789E" w:rsidRPr="004179CD" w:rsidRDefault="00C9789E" w:rsidP="004179CD">
            <w:pPr>
              <w:pStyle w:val="SingleTxtG"/>
              <w:spacing w:before="80" w:after="80" w:line="200" w:lineRule="exact"/>
              <w:ind w:left="0" w:right="113"/>
              <w:jc w:val="right"/>
              <w:rPr>
                <w:i/>
                <w:sz w:val="16"/>
              </w:rPr>
            </w:pPr>
            <w:r w:rsidRPr="004179CD">
              <w:rPr>
                <w:i/>
                <w:sz w:val="16"/>
              </w:rPr>
              <w:t>Pasifika</w:t>
            </w:r>
          </w:p>
        </w:tc>
        <w:tc>
          <w:tcPr>
            <w:tcW w:w="892" w:type="dxa"/>
            <w:tcBorders>
              <w:top w:val="single" w:sz="4" w:space="0" w:color="auto"/>
              <w:bottom w:val="single" w:sz="12" w:space="0" w:color="auto"/>
            </w:tcBorders>
            <w:shd w:val="clear" w:color="auto" w:fill="auto"/>
            <w:vAlign w:val="bottom"/>
          </w:tcPr>
          <w:p w:rsidR="00C9789E" w:rsidRPr="004179CD" w:rsidRDefault="00C9789E" w:rsidP="004179CD">
            <w:pPr>
              <w:pStyle w:val="SingleTxtG"/>
              <w:spacing w:before="80" w:after="80" w:line="200" w:lineRule="exact"/>
              <w:ind w:left="0" w:right="113"/>
              <w:jc w:val="right"/>
              <w:rPr>
                <w:i/>
                <w:sz w:val="16"/>
              </w:rPr>
            </w:pPr>
            <w:r w:rsidRPr="004179CD">
              <w:rPr>
                <w:i/>
                <w:sz w:val="16"/>
              </w:rPr>
              <w:t>Asian</w:t>
            </w:r>
          </w:p>
        </w:tc>
        <w:tc>
          <w:tcPr>
            <w:tcW w:w="1587" w:type="dxa"/>
            <w:tcBorders>
              <w:top w:val="single" w:sz="4" w:space="0" w:color="auto"/>
              <w:bottom w:val="single" w:sz="12" w:space="0" w:color="auto"/>
            </w:tcBorders>
            <w:shd w:val="clear" w:color="auto" w:fill="auto"/>
            <w:vAlign w:val="bottom"/>
          </w:tcPr>
          <w:p w:rsidR="00C9789E" w:rsidRPr="004179CD" w:rsidRDefault="00C9789E" w:rsidP="004179CD">
            <w:pPr>
              <w:pStyle w:val="SingleTxtG"/>
              <w:spacing w:before="80" w:after="80" w:line="200" w:lineRule="exact"/>
              <w:ind w:left="0" w:right="113"/>
              <w:jc w:val="right"/>
              <w:rPr>
                <w:i/>
                <w:sz w:val="16"/>
              </w:rPr>
            </w:pPr>
            <w:r w:rsidRPr="004179CD">
              <w:rPr>
                <w:i/>
                <w:sz w:val="16"/>
              </w:rPr>
              <w:t>Middle Eastern, Latin American and African</w:t>
            </w:r>
          </w:p>
        </w:tc>
        <w:tc>
          <w:tcPr>
            <w:tcW w:w="1133" w:type="dxa"/>
            <w:tcBorders>
              <w:top w:val="single" w:sz="4" w:space="0" w:color="auto"/>
              <w:bottom w:val="single" w:sz="12" w:space="0" w:color="auto"/>
            </w:tcBorders>
            <w:shd w:val="clear" w:color="auto" w:fill="auto"/>
            <w:vAlign w:val="bottom"/>
          </w:tcPr>
          <w:p w:rsidR="00C9789E" w:rsidRPr="004179CD" w:rsidRDefault="00C9789E" w:rsidP="004179CD">
            <w:pPr>
              <w:pStyle w:val="SingleTxtG"/>
              <w:spacing w:before="80" w:after="80" w:line="200" w:lineRule="exact"/>
              <w:ind w:left="0" w:right="113"/>
              <w:jc w:val="right"/>
              <w:rPr>
                <w:i/>
                <w:sz w:val="16"/>
              </w:rPr>
            </w:pPr>
            <w:r w:rsidRPr="004179CD">
              <w:rPr>
                <w:i/>
                <w:sz w:val="16"/>
              </w:rPr>
              <w:t>Other ethnicity</w:t>
            </w:r>
          </w:p>
        </w:tc>
      </w:tr>
      <w:tr w:rsidR="00C9789E" w:rsidRPr="004179CD" w:rsidTr="00B77308">
        <w:trPr>
          <w:cantSplit/>
        </w:trPr>
        <w:tc>
          <w:tcPr>
            <w:tcW w:w="854" w:type="dxa"/>
            <w:tcBorders>
              <w:top w:val="single" w:sz="12" w:space="0" w:color="auto"/>
            </w:tcBorders>
            <w:shd w:val="clear" w:color="auto" w:fill="auto"/>
          </w:tcPr>
          <w:p w:rsidR="00C9789E" w:rsidRPr="004179CD" w:rsidRDefault="00C9789E" w:rsidP="004179CD">
            <w:pPr>
              <w:pStyle w:val="SingleTxtG"/>
              <w:spacing w:before="40" w:after="40" w:line="220" w:lineRule="exact"/>
              <w:ind w:left="0" w:right="113"/>
              <w:jc w:val="left"/>
              <w:rPr>
                <w:sz w:val="18"/>
              </w:rPr>
            </w:pPr>
            <w:r w:rsidRPr="004179CD">
              <w:rPr>
                <w:sz w:val="18"/>
              </w:rPr>
              <w:t>2012</w:t>
            </w:r>
          </w:p>
        </w:tc>
        <w:tc>
          <w:tcPr>
            <w:tcW w:w="1027" w:type="dxa"/>
            <w:tcBorders>
              <w:top w:val="single" w:sz="12" w:space="0" w:color="auto"/>
            </w:tcBorders>
            <w:shd w:val="clear" w:color="auto" w:fill="auto"/>
            <w:vAlign w:val="bottom"/>
          </w:tcPr>
          <w:p w:rsidR="00C9789E" w:rsidRPr="004179CD" w:rsidRDefault="00C9789E" w:rsidP="004179CD">
            <w:pPr>
              <w:pStyle w:val="SingleTxtG"/>
              <w:spacing w:before="40" w:after="40" w:line="220" w:lineRule="exact"/>
              <w:ind w:left="0" w:right="113"/>
              <w:jc w:val="right"/>
              <w:rPr>
                <w:sz w:val="18"/>
              </w:rPr>
            </w:pPr>
            <w:r w:rsidRPr="004179CD">
              <w:rPr>
                <w:sz w:val="18"/>
              </w:rPr>
              <w:t>3.9</w:t>
            </w:r>
          </w:p>
        </w:tc>
        <w:tc>
          <w:tcPr>
            <w:tcW w:w="909" w:type="dxa"/>
            <w:tcBorders>
              <w:top w:val="single" w:sz="12" w:space="0" w:color="auto"/>
            </w:tcBorders>
            <w:shd w:val="clear" w:color="auto" w:fill="auto"/>
            <w:vAlign w:val="bottom"/>
          </w:tcPr>
          <w:p w:rsidR="00C9789E" w:rsidRPr="004179CD" w:rsidRDefault="00C9789E" w:rsidP="004179CD">
            <w:pPr>
              <w:pStyle w:val="SingleTxtG"/>
              <w:spacing w:before="40" w:after="40" w:line="220" w:lineRule="exact"/>
              <w:ind w:left="0" w:right="113"/>
              <w:jc w:val="right"/>
              <w:rPr>
                <w:sz w:val="18"/>
              </w:rPr>
            </w:pPr>
            <w:r w:rsidRPr="004179CD">
              <w:rPr>
                <w:sz w:val="18"/>
              </w:rPr>
              <w:t>6.2</w:t>
            </w:r>
          </w:p>
        </w:tc>
        <w:tc>
          <w:tcPr>
            <w:tcW w:w="968" w:type="dxa"/>
            <w:tcBorders>
              <w:top w:val="single" w:sz="12" w:space="0" w:color="auto"/>
            </w:tcBorders>
            <w:shd w:val="clear" w:color="auto" w:fill="auto"/>
            <w:vAlign w:val="bottom"/>
          </w:tcPr>
          <w:p w:rsidR="00C9789E" w:rsidRPr="004179CD" w:rsidRDefault="00C9789E" w:rsidP="004179CD">
            <w:pPr>
              <w:pStyle w:val="SingleTxtG"/>
              <w:spacing w:before="40" w:after="40" w:line="220" w:lineRule="exact"/>
              <w:ind w:left="0" w:right="113"/>
              <w:jc w:val="right"/>
              <w:rPr>
                <w:sz w:val="18"/>
              </w:rPr>
            </w:pPr>
            <w:r w:rsidRPr="004179CD">
              <w:rPr>
                <w:sz w:val="18"/>
              </w:rPr>
              <w:t>5.2</w:t>
            </w:r>
          </w:p>
        </w:tc>
        <w:tc>
          <w:tcPr>
            <w:tcW w:w="892" w:type="dxa"/>
            <w:tcBorders>
              <w:top w:val="single" w:sz="12" w:space="0" w:color="auto"/>
            </w:tcBorders>
            <w:shd w:val="clear" w:color="auto" w:fill="auto"/>
            <w:vAlign w:val="bottom"/>
          </w:tcPr>
          <w:p w:rsidR="00C9789E" w:rsidRPr="004179CD" w:rsidRDefault="00C9789E" w:rsidP="004179CD">
            <w:pPr>
              <w:pStyle w:val="SingleTxtG"/>
              <w:spacing w:before="40" w:after="40" w:line="220" w:lineRule="exact"/>
              <w:ind w:left="0" w:right="113"/>
              <w:jc w:val="right"/>
              <w:rPr>
                <w:sz w:val="18"/>
              </w:rPr>
            </w:pPr>
            <w:r w:rsidRPr="004179CD">
              <w:rPr>
                <w:sz w:val="18"/>
              </w:rPr>
              <w:t>4.9</w:t>
            </w:r>
          </w:p>
        </w:tc>
        <w:tc>
          <w:tcPr>
            <w:tcW w:w="1587" w:type="dxa"/>
            <w:tcBorders>
              <w:top w:val="single" w:sz="12" w:space="0" w:color="auto"/>
            </w:tcBorders>
            <w:shd w:val="clear" w:color="auto" w:fill="auto"/>
            <w:vAlign w:val="bottom"/>
          </w:tcPr>
          <w:p w:rsidR="00C9789E" w:rsidRPr="004179CD" w:rsidRDefault="00C9789E" w:rsidP="004179CD">
            <w:pPr>
              <w:pStyle w:val="SingleTxtG"/>
              <w:spacing w:before="40" w:after="40" w:line="220" w:lineRule="exact"/>
              <w:ind w:left="0" w:right="113"/>
              <w:jc w:val="right"/>
              <w:rPr>
                <w:sz w:val="18"/>
              </w:rPr>
            </w:pPr>
            <w:r w:rsidRPr="004179CD">
              <w:rPr>
                <w:sz w:val="18"/>
              </w:rPr>
              <w:t>5.4</w:t>
            </w:r>
          </w:p>
        </w:tc>
        <w:tc>
          <w:tcPr>
            <w:tcW w:w="1133" w:type="dxa"/>
            <w:tcBorders>
              <w:top w:val="single" w:sz="12" w:space="0" w:color="auto"/>
            </w:tcBorders>
            <w:shd w:val="clear" w:color="auto" w:fill="auto"/>
            <w:vAlign w:val="bottom"/>
          </w:tcPr>
          <w:p w:rsidR="00C9789E" w:rsidRPr="004179CD" w:rsidRDefault="00C9789E" w:rsidP="004179CD">
            <w:pPr>
              <w:pStyle w:val="SingleTxtG"/>
              <w:spacing w:before="40" w:after="40" w:line="220" w:lineRule="exact"/>
              <w:ind w:left="0" w:right="113"/>
              <w:jc w:val="right"/>
              <w:rPr>
                <w:sz w:val="18"/>
              </w:rPr>
            </w:pPr>
            <w:r w:rsidRPr="004179CD">
              <w:rPr>
                <w:sz w:val="18"/>
              </w:rPr>
              <w:t>5.0</w:t>
            </w:r>
          </w:p>
        </w:tc>
      </w:tr>
      <w:tr w:rsidR="00C9789E" w:rsidRPr="004179CD" w:rsidTr="00B77308">
        <w:trPr>
          <w:cantSplit/>
        </w:trPr>
        <w:tc>
          <w:tcPr>
            <w:tcW w:w="854" w:type="dxa"/>
            <w:shd w:val="clear" w:color="auto" w:fill="auto"/>
          </w:tcPr>
          <w:p w:rsidR="00C9789E" w:rsidRPr="004179CD" w:rsidRDefault="00C9789E" w:rsidP="004179CD">
            <w:pPr>
              <w:pStyle w:val="SingleTxtG"/>
              <w:spacing w:before="40" w:after="40" w:line="220" w:lineRule="exact"/>
              <w:ind w:left="0" w:right="113"/>
              <w:jc w:val="left"/>
              <w:rPr>
                <w:sz w:val="18"/>
              </w:rPr>
            </w:pPr>
            <w:r w:rsidRPr="004179CD">
              <w:rPr>
                <w:sz w:val="18"/>
              </w:rPr>
              <w:t>2013</w:t>
            </w:r>
          </w:p>
        </w:tc>
        <w:tc>
          <w:tcPr>
            <w:tcW w:w="1027" w:type="dxa"/>
            <w:shd w:val="clear" w:color="auto" w:fill="auto"/>
            <w:vAlign w:val="bottom"/>
          </w:tcPr>
          <w:p w:rsidR="00C9789E" w:rsidRPr="004179CD" w:rsidRDefault="00C9789E" w:rsidP="004179CD">
            <w:pPr>
              <w:pStyle w:val="SingleTxtG"/>
              <w:spacing w:before="40" w:after="40" w:line="220" w:lineRule="exact"/>
              <w:ind w:left="0" w:right="113"/>
              <w:jc w:val="right"/>
              <w:rPr>
                <w:sz w:val="18"/>
              </w:rPr>
            </w:pPr>
            <w:r w:rsidRPr="004179CD">
              <w:rPr>
                <w:sz w:val="18"/>
              </w:rPr>
              <w:t>4.0</w:t>
            </w:r>
          </w:p>
        </w:tc>
        <w:tc>
          <w:tcPr>
            <w:tcW w:w="909" w:type="dxa"/>
            <w:shd w:val="clear" w:color="auto" w:fill="auto"/>
            <w:vAlign w:val="bottom"/>
          </w:tcPr>
          <w:p w:rsidR="00C9789E" w:rsidRPr="004179CD" w:rsidRDefault="00C9789E" w:rsidP="004179CD">
            <w:pPr>
              <w:pStyle w:val="SingleTxtG"/>
              <w:spacing w:before="40" w:after="40" w:line="220" w:lineRule="exact"/>
              <w:ind w:left="0" w:right="113"/>
              <w:jc w:val="right"/>
              <w:rPr>
                <w:sz w:val="18"/>
              </w:rPr>
            </w:pPr>
            <w:r w:rsidRPr="004179CD">
              <w:rPr>
                <w:sz w:val="18"/>
              </w:rPr>
              <w:t>6.1</w:t>
            </w:r>
          </w:p>
        </w:tc>
        <w:tc>
          <w:tcPr>
            <w:tcW w:w="968" w:type="dxa"/>
            <w:shd w:val="clear" w:color="auto" w:fill="auto"/>
            <w:vAlign w:val="bottom"/>
          </w:tcPr>
          <w:p w:rsidR="00C9789E" w:rsidRPr="004179CD" w:rsidRDefault="00C9789E" w:rsidP="004179CD">
            <w:pPr>
              <w:pStyle w:val="SingleTxtG"/>
              <w:spacing w:before="40" w:after="40" w:line="220" w:lineRule="exact"/>
              <w:ind w:left="0" w:right="113"/>
              <w:jc w:val="right"/>
              <w:rPr>
                <w:sz w:val="18"/>
              </w:rPr>
            </w:pPr>
            <w:r w:rsidRPr="004179CD">
              <w:rPr>
                <w:sz w:val="18"/>
              </w:rPr>
              <w:t>5.3</w:t>
            </w:r>
          </w:p>
        </w:tc>
        <w:tc>
          <w:tcPr>
            <w:tcW w:w="892" w:type="dxa"/>
            <w:shd w:val="clear" w:color="auto" w:fill="auto"/>
            <w:vAlign w:val="bottom"/>
          </w:tcPr>
          <w:p w:rsidR="00C9789E" w:rsidRPr="004179CD" w:rsidRDefault="00C9789E" w:rsidP="004179CD">
            <w:pPr>
              <w:pStyle w:val="SingleTxtG"/>
              <w:spacing w:before="40" w:after="40" w:line="220" w:lineRule="exact"/>
              <w:ind w:left="0" w:right="113"/>
              <w:jc w:val="right"/>
              <w:rPr>
                <w:sz w:val="18"/>
              </w:rPr>
            </w:pPr>
            <w:r w:rsidRPr="004179CD">
              <w:rPr>
                <w:sz w:val="18"/>
              </w:rPr>
              <w:t>3.9</w:t>
            </w:r>
          </w:p>
        </w:tc>
        <w:tc>
          <w:tcPr>
            <w:tcW w:w="1587" w:type="dxa"/>
            <w:shd w:val="clear" w:color="auto" w:fill="auto"/>
            <w:vAlign w:val="bottom"/>
          </w:tcPr>
          <w:p w:rsidR="00C9789E" w:rsidRPr="004179CD" w:rsidRDefault="00C9789E" w:rsidP="004179CD">
            <w:pPr>
              <w:pStyle w:val="SingleTxtG"/>
              <w:spacing w:before="40" w:after="40" w:line="220" w:lineRule="exact"/>
              <w:ind w:left="0" w:right="113"/>
              <w:jc w:val="right"/>
              <w:rPr>
                <w:sz w:val="18"/>
              </w:rPr>
            </w:pPr>
            <w:r w:rsidRPr="004179CD">
              <w:rPr>
                <w:sz w:val="18"/>
              </w:rPr>
              <w:t>5.3</w:t>
            </w:r>
          </w:p>
        </w:tc>
        <w:tc>
          <w:tcPr>
            <w:tcW w:w="1133" w:type="dxa"/>
            <w:shd w:val="clear" w:color="auto" w:fill="auto"/>
            <w:vAlign w:val="bottom"/>
          </w:tcPr>
          <w:p w:rsidR="00C9789E" w:rsidRPr="004179CD" w:rsidRDefault="00C9789E" w:rsidP="004179CD">
            <w:pPr>
              <w:pStyle w:val="SingleTxtG"/>
              <w:spacing w:before="40" w:after="40" w:line="220" w:lineRule="exact"/>
              <w:ind w:left="0" w:right="113"/>
              <w:jc w:val="right"/>
              <w:rPr>
                <w:sz w:val="18"/>
              </w:rPr>
            </w:pPr>
            <w:r w:rsidRPr="004179CD">
              <w:rPr>
                <w:sz w:val="18"/>
              </w:rPr>
              <w:t>4.5</w:t>
            </w:r>
          </w:p>
        </w:tc>
      </w:tr>
      <w:tr w:rsidR="00C9789E" w:rsidRPr="004179CD" w:rsidTr="00B77308">
        <w:trPr>
          <w:cantSplit/>
        </w:trPr>
        <w:tc>
          <w:tcPr>
            <w:tcW w:w="854" w:type="dxa"/>
            <w:shd w:val="clear" w:color="auto" w:fill="auto"/>
          </w:tcPr>
          <w:p w:rsidR="00C9789E" w:rsidRPr="004179CD" w:rsidRDefault="00C9789E" w:rsidP="004179CD">
            <w:pPr>
              <w:pStyle w:val="SingleTxtG"/>
              <w:spacing w:before="40" w:after="40" w:line="220" w:lineRule="exact"/>
              <w:ind w:left="0" w:right="113"/>
              <w:jc w:val="left"/>
              <w:rPr>
                <w:sz w:val="18"/>
              </w:rPr>
            </w:pPr>
            <w:r w:rsidRPr="004179CD">
              <w:rPr>
                <w:sz w:val="18"/>
              </w:rPr>
              <w:t>2014</w:t>
            </w:r>
          </w:p>
        </w:tc>
        <w:tc>
          <w:tcPr>
            <w:tcW w:w="1027" w:type="dxa"/>
            <w:shd w:val="clear" w:color="auto" w:fill="auto"/>
            <w:vAlign w:val="bottom"/>
          </w:tcPr>
          <w:p w:rsidR="00C9789E" w:rsidRPr="004179CD" w:rsidRDefault="00C9789E" w:rsidP="004179CD">
            <w:pPr>
              <w:pStyle w:val="SingleTxtG"/>
              <w:spacing w:before="40" w:after="40" w:line="220" w:lineRule="exact"/>
              <w:ind w:left="0" w:right="113"/>
              <w:jc w:val="right"/>
              <w:rPr>
                <w:sz w:val="18"/>
              </w:rPr>
            </w:pPr>
            <w:r w:rsidRPr="004179CD">
              <w:rPr>
                <w:sz w:val="18"/>
              </w:rPr>
              <w:t>3.9</w:t>
            </w:r>
          </w:p>
        </w:tc>
        <w:tc>
          <w:tcPr>
            <w:tcW w:w="909" w:type="dxa"/>
            <w:shd w:val="clear" w:color="auto" w:fill="auto"/>
            <w:vAlign w:val="bottom"/>
          </w:tcPr>
          <w:p w:rsidR="00C9789E" w:rsidRPr="004179CD" w:rsidRDefault="00C9789E" w:rsidP="004179CD">
            <w:pPr>
              <w:pStyle w:val="SingleTxtG"/>
              <w:spacing w:before="40" w:after="40" w:line="220" w:lineRule="exact"/>
              <w:ind w:left="0" w:right="113"/>
              <w:jc w:val="right"/>
              <w:rPr>
                <w:sz w:val="18"/>
              </w:rPr>
            </w:pPr>
            <w:r w:rsidRPr="004179CD">
              <w:rPr>
                <w:sz w:val="18"/>
              </w:rPr>
              <w:t>6.4</w:t>
            </w:r>
          </w:p>
        </w:tc>
        <w:tc>
          <w:tcPr>
            <w:tcW w:w="968" w:type="dxa"/>
            <w:shd w:val="clear" w:color="auto" w:fill="auto"/>
            <w:vAlign w:val="bottom"/>
          </w:tcPr>
          <w:p w:rsidR="00C9789E" w:rsidRPr="004179CD" w:rsidRDefault="00C9789E" w:rsidP="004179CD">
            <w:pPr>
              <w:pStyle w:val="SingleTxtG"/>
              <w:spacing w:before="40" w:after="40" w:line="220" w:lineRule="exact"/>
              <w:ind w:left="0" w:right="113"/>
              <w:jc w:val="right"/>
              <w:rPr>
                <w:sz w:val="18"/>
              </w:rPr>
            </w:pPr>
            <w:r w:rsidRPr="004179CD">
              <w:rPr>
                <w:sz w:val="18"/>
              </w:rPr>
              <w:t>4.8</w:t>
            </w:r>
          </w:p>
        </w:tc>
        <w:tc>
          <w:tcPr>
            <w:tcW w:w="892" w:type="dxa"/>
            <w:shd w:val="clear" w:color="auto" w:fill="auto"/>
            <w:vAlign w:val="bottom"/>
          </w:tcPr>
          <w:p w:rsidR="00C9789E" w:rsidRPr="004179CD" w:rsidRDefault="00C9789E" w:rsidP="004179CD">
            <w:pPr>
              <w:pStyle w:val="SingleTxtG"/>
              <w:spacing w:before="40" w:after="40" w:line="220" w:lineRule="exact"/>
              <w:ind w:left="0" w:right="113"/>
              <w:jc w:val="right"/>
              <w:rPr>
                <w:sz w:val="18"/>
              </w:rPr>
            </w:pPr>
            <w:r w:rsidRPr="004179CD">
              <w:rPr>
                <w:sz w:val="18"/>
              </w:rPr>
              <w:t>3.8</w:t>
            </w:r>
          </w:p>
        </w:tc>
        <w:tc>
          <w:tcPr>
            <w:tcW w:w="1587" w:type="dxa"/>
            <w:shd w:val="clear" w:color="auto" w:fill="auto"/>
            <w:vAlign w:val="bottom"/>
          </w:tcPr>
          <w:p w:rsidR="00C9789E" w:rsidRPr="004179CD" w:rsidRDefault="00C9789E" w:rsidP="004179CD">
            <w:pPr>
              <w:pStyle w:val="SingleTxtG"/>
              <w:spacing w:before="40" w:after="40" w:line="220" w:lineRule="exact"/>
              <w:ind w:left="0" w:right="113"/>
              <w:jc w:val="right"/>
              <w:rPr>
                <w:sz w:val="18"/>
              </w:rPr>
            </w:pPr>
            <w:r w:rsidRPr="004179CD">
              <w:rPr>
                <w:sz w:val="18"/>
              </w:rPr>
              <w:t>6.3</w:t>
            </w:r>
          </w:p>
        </w:tc>
        <w:tc>
          <w:tcPr>
            <w:tcW w:w="1133" w:type="dxa"/>
            <w:shd w:val="clear" w:color="auto" w:fill="auto"/>
            <w:vAlign w:val="bottom"/>
          </w:tcPr>
          <w:p w:rsidR="00C9789E" w:rsidRPr="004179CD" w:rsidRDefault="00C9789E" w:rsidP="004179CD">
            <w:pPr>
              <w:pStyle w:val="SingleTxtG"/>
              <w:spacing w:before="40" w:after="40" w:line="220" w:lineRule="exact"/>
              <w:ind w:left="0" w:right="113"/>
              <w:jc w:val="right"/>
              <w:rPr>
                <w:sz w:val="18"/>
              </w:rPr>
            </w:pPr>
            <w:r w:rsidRPr="004179CD">
              <w:rPr>
                <w:sz w:val="18"/>
              </w:rPr>
              <w:t>3.8</w:t>
            </w:r>
          </w:p>
        </w:tc>
      </w:tr>
      <w:tr w:rsidR="00C9789E" w:rsidRPr="004179CD" w:rsidTr="00B77308">
        <w:trPr>
          <w:cantSplit/>
        </w:trPr>
        <w:tc>
          <w:tcPr>
            <w:tcW w:w="854" w:type="dxa"/>
            <w:shd w:val="clear" w:color="auto" w:fill="auto"/>
          </w:tcPr>
          <w:p w:rsidR="00C9789E" w:rsidRPr="004179CD" w:rsidRDefault="00C9789E" w:rsidP="004179CD">
            <w:pPr>
              <w:pStyle w:val="SingleTxtG"/>
              <w:spacing w:before="40" w:after="40" w:line="220" w:lineRule="exact"/>
              <w:ind w:left="0" w:right="113"/>
              <w:jc w:val="left"/>
              <w:rPr>
                <w:sz w:val="18"/>
              </w:rPr>
            </w:pPr>
            <w:r w:rsidRPr="004179CD">
              <w:rPr>
                <w:sz w:val="18"/>
              </w:rPr>
              <w:t>2015</w:t>
            </w:r>
          </w:p>
        </w:tc>
        <w:tc>
          <w:tcPr>
            <w:tcW w:w="1027" w:type="dxa"/>
            <w:shd w:val="clear" w:color="auto" w:fill="auto"/>
            <w:vAlign w:val="bottom"/>
          </w:tcPr>
          <w:p w:rsidR="00C9789E" w:rsidRPr="004179CD" w:rsidRDefault="00C9789E" w:rsidP="004179CD">
            <w:pPr>
              <w:pStyle w:val="SingleTxtG"/>
              <w:spacing w:before="40" w:after="40" w:line="220" w:lineRule="exact"/>
              <w:ind w:left="0" w:right="113"/>
              <w:jc w:val="right"/>
              <w:rPr>
                <w:sz w:val="18"/>
              </w:rPr>
            </w:pPr>
            <w:r w:rsidRPr="004179CD">
              <w:rPr>
                <w:sz w:val="18"/>
              </w:rPr>
              <w:t>3.6</w:t>
            </w:r>
          </w:p>
        </w:tc>
        <w:tc>
          <w:tcPr>
            <w:tcW w:w="909" w:type="dxa"/>
            <w:shd w:val="clear" w:color="auto" w:fill="auto"/>
            <w:vAlign w:val="bottom"/>
          </w:tcPr>
          <w:p w:rsidR="00C9789E" w:rsidRPr="004179CD" w:rsidRDefault="00C9789E" w:rsidP="004179CD">
            <w:pPr>
              <w:pStyle w:val="SingleTxtG"/>
              <w:spacing w:before="40" w:after="40" w:line="220" w:lineRule="exact"/>
              <w:ind w:left="0" w:right="113"/>
              <w:jc w:val="right"/>
              <w:rPr>
                <w:sz w:val="18"/>
              </w:rPr>
            </w:pPr>
            <w:r w:rsidRPr="004179CD">
              <w:rPr>
                <w:sz w:val="18"/>
              </w:rPr>
              <w:t>5.6</w:t>
            </w:r>
          </w:p>
        </w:tc>
        <w:tc>
          <w:tcPr>
            <w:tcW w:w="968" w:type="dxa"/>
            <w:shd w:val="clear" w:color="auto" w:fill="auto"/>
            <w:vAlign w:val="bottom"/>
          </w:tcPr>
          <w:p w:rsidR="00C9789E" w:rsidRPr="004179CD" w:rsidRDefault="00C9789E" w:rsidP="004179CD">
            <w:pPr>
              <w:pStyle w:val="SingleTxtG"/>
              <w:spacing w:before="40" w:after="40" w:line="220" w:lineRule="exact"/>
              <w:ind w:left="0" w:right="113"/>
              <w:jc w:val="right"/>
              <w:rPr>
                <w:sz w:val="18"/>
              </w:rPr>
            </w:pPr>
            <w:r w:rsidRPr="004179CD">
              <w:rPr>
                <w:sz w:val="18"/>
              </w:rPr>
              <w:t>4.3</w:t>
            </w:r>
          </w:p>
        </w:tc>
        <w:tc>
          <w:tcPr>
            <w:tcW w:w="892" w:type="dxa"/>
            <w:shd w:val="clear" w:color="auto" w:fill="auto"/>
            <w:vAlign w:val="bottom"/>
          </w:tcPr>
          <w:p w:rsidR="00C9789E" w:rsidRPr="004179CD" w:rsidRDefault="00C9789E" w:rsidP="004179CD">
            <w:pPr>
              <w:pStyle w:val="SingleTxtG"/>
              <w:spacing w:before="40" w:after="40" w:line="220" w:lineRule="exact"/>
              <w:ind w:left="0" w:right="113"/>
              <w:jc w:val="right"/>
              <w:rPr>
                <w:sz w:val="18"/>
              </w:rPr>
            </w:pPr>
            <w:r w:rsidRPr="004179CD">
              <w:rPr>
                <w:sz w:val="18"/>
              </w:rPr>
              <w:t>4.1</w:t>
            </w:r>
          </w:p>
        </w:tc>
        <w:tc>
          <w:tcPr>
            <w:tcW w:w="1587" w:type="dxa"/>
            <w:shd w:val="clear" w:color="auto" w:fill="auto"/>
            <w:vAlign w:val="bottom"/>
          </w:tcPr>
          <w:p w:rsidR="00C9789E" w:rsidRPr="004179CD" w:rsidRDefault="00C9789E" w:rsidP="004179CD">
            <w:pPr>
              <w:pStyle w:val="SingleTxtG"/>
              <w:spacing w:before="40" w:after="40" w:line="220" w:lineRule="exact"/>
              <w:ind w:left="0" w:right="113"/>
              <w:jc w:val="right"/>
              <w:rPr>
                <w:sz w:val="18"/>
              </w:rPr>
            </w:pPr>
            <w:r w:rsidRPr="004179CD">
              <w:rPr>
                <w:sz w:val="18"/>
              </w:rPr>
              <w:t>5.1</w:t>
            </w:r>
          </w:p>
        </w:tc>
        <w:tc>
          <w:tcPr>
            <w:tcW w:w="1133" w:type="dxa"/>
            <w:shd w:val="clear" w:color="auto" w:fill="auto"/>
            <w:vAlign w:val="bottom"/>
          </w:tcPr>
          <w:p w:rsidR="00C9789E" w:rsidRPr="004179CD" w:rsidRDefault="00C9789E" w:rsidP="004179CD">
            <w:pPr>
              <w:pStyle w:val="SingleTxtG"/>
              <w:spacing w:before="40" w:after="40" w:line="220" w:lineRule="exact"/>
              <w:ind w:left="0" w:right="113"/>
              <w:jc w:val="right"/>
              <w:rPr>
                <w:sz w:val="18"/>
              </w:rPr>
            </w:pPr>
            <w:r w:rsidRPr="004179CD">
              <w:rPr>
                <w:sz w:val="18"/>
              </w:rPr>
              <w:t>4.7</w:t>
            </w:r>
          </w:p>
        </w:tc>
      </w:tr>
      <w:tr w:rsidR="00C9789E" w:rsidRPr="004179CD" w:rsidTr="00B77308">
        <w:trPr>
          <w:cantSplit/>
        </w:trPr>
        <w:tc>
          <w:tcPr>
            <w:tcW w:w="854" w:type="dxa"/>
            <w:shd w:val="clear" w:color="auto" w:fill="auto"/>
          </w:tcPr>
          <w:p w:rsidR="00C9789E" w:rsidRPr="004179CD" w:rsidRDefault="00C9789E" w:rsidP="004179CD">
            <w:pPr>
              <w:pStyle w:val="SingleTxtG"/>
              <w:spacing w:before="40" w:after="40" w:line="220" w:lineRule="exact"/>
              <w:ind w:left="0" w:right="113"/>
              <w:jc w:val="left"/>
              <w:rPr>
                <w:sz w:val="18"/>
              </w:rPr>
            </w:pPr>
            <w:r w:rsidRPr="004179CD">
              <w:rPr>
                <w:sz w:val="18"/>
              </w:rPr>
              <w:t>2016</w:t>
            </w:r>
          </w:p>
        </w:tc>
        <w:tc>
          <w:tcPr>
            <w:tcW w:w="1027" w:type="dxa"/>
            <w:shd w:val="clear" w:color="auto" w:fill="auto"/>
            <w:vAlign w:val="bottom"/>
          </w:tcPr>
          <w:p w:rsidR="00C9789E" w:rsidRPr="004179CD" w:rsidRDefault="00C9789E" w:rsidP="004179CD">
            <w:pPr>
              <w:pStyle w:val="SingleTxtG"/>
              <w:spacing w:before="40" w:after="40" w:line="220" w:lineRule="exact"/>
              <w:ind w:left="0" w:right="113"/>
              <w:jc w:val="right"/>
              <w:rPr>
                <w:sz w:val="18"/>
              </w:rPr>
            </w:pPr>
            <w:r w:rsidRPr="004179CD">
              <w:rPr>
                <w:sz w:val="18"/>
              </w:rPr>
              <w:t>4.1</w:t>
            </w:r>
          </w:p>
        </w:tc>
        <w:tc>
          <w:tcPr>
            <w:tcW w:w="909" w:type="dxa"/>
            <w:shd w:val="clear" w:color="auto" w:fill="auto"/>
            <w:vAlign w:val="bottom"/>
          </w:tcPr>
          <w:p w:rsidR="00C9789E" w:rsidRPr="004179CD" w:rsidRDefault="00C9789E" w:rsidP="004179CD">
            <w:pPr>
              <w:pStyle w:val="SingleTxtG"/>
              <w:spacing w:before="40" w:after="40" w:line="220" w:lineRule="exact"/>
              <w:ind w:left="0" w:right="113"/>
              <w:jc w:val="right"/>
              <w:rPr>
                <w:sz w:val="18"/>
              </w:rPr>
            </w:pPr>
            <w:r w:rsidRPr="004179CD">
              <w:rPr>
                <w:sz w:val="18"/>
              </w:rPr>
              <w:t>6.6</w:t>
            </w:r>
          </w:p>
        </w:tc>
        <w:tc>
          <w:tcPr>
            <w:tcW w:w="968" w:type="dxa"/>
            <w:shd w:val="clear" w:color="auto" w:fill="auto"/>
            <w:vAlign w:val="bottom"/>
          </w:tcPr>
          <w:p w:rsidR="00C9789E" w:rsidRPr="004179CD" w:rsidRDefault="00C9789E" w:rsidP="004179CD">
            <w:pPr>
              <w:pStyle w:val="SingleTxtG"/>
              <w:spacing w:before="40" w:after="40" w:line="220" w:lineRule="exact"/>
              <w:ind w:left="0" w:right="113"/>
              <w:jc w:val="right"/>
              <w:rPr>
                <w:sz w:val="18"/>
              </w:rPr>
            </w:pPr>
            <w:r w:rsidRPr="004179CD">
              <w:rPr>
                <w:sz w:val="18"/>
              </w:rPr>
              <w:t>4.7</w:t>
            </w:r>
          </w:p>
        </w:tc>
        <w:tc>
          <w:tcPr>
            <w:tcW w:w="892" w:type="dxa"/>
            <w:shd w:val="clear" w:color="auto" w:fill="auto"/>
            <w:vAlign w:val="bottom"/>
          </w:tcPr>
          <w:p w:rsidR="00C9789E" w:rsidRPr="004179CD" w:rsidRDefault="00C9789E" w:rsidP="004179CD">
            <w:pPr>
              <w:pStyle w:val="SingleTxtG"/>
              <w:spacing w:before="40" w:after="40" w:line="220" w:lineRule="exact"/>
              <w:ind w:left="0" w:right="113"/>
              <w:jc w:val="right"/>
              <w:rPr>
                <w:sz w:val="18"/>
              </w:rPr>
            </w:pPr>
            <w:r w:rsidRPr="004179CD">
              <w:rPr>
                <w:sz w:val="18"/>
              </w:rPr>
              <w:t>4.7</w:t>
            </w:r>
          </w:p>
        </w:tc>
        <w:tc>
          <w:tcPr>
            <w:tcW w:w="1587" w:type="dxa"/>
            <w:shd w:val="clear" w:color="auto" w:fill="auto"/>
            <w:vAlign w:val="bottom"/>
          </w:tcPr>
          <w:p w:rsidR="00C9789E" w:rsidRPr="004179CD" w:rsidRDefault="00C9789E" w:rsidP="004179CD">
            <w:pPr>
              <w:pStyle w:val="SingleTxtG"/>
              <w:spacing w:before="40" w:after="40" w:line="220" w:lineRule="exact"/>
              <w:ind w:left="0" w:right="113"/>
              <w:jc w:val="right"/>
              <w:rPr>
                <w:sz w:val="18"/>
              </w:rPr>
            </w:pPr>
            <w:r w:rsidRPr="004179CD">
              <w:rPr>
                <w:sz w:val="18"/>
              </w:rPr>
              <w:t>7.3</w:t>
            </w:r>
          </w:p>
        </w:tc>
        <w:tc>
          <w:tcPr>
            <w:tcW w:w="1133" w:type="dxa"/>
            <w:shd w:val="clear" w:color="auto" w:fill="auto"/>
            <w:vAlign w:val="bottom"/>
          </w:tcPr>
          <w:p w:rsidR="00C9789E" w:rsidRPr="004179CD" w:rsidRDefault="00C9789E" w:rsidP="004179CD">
            <w:pPr>
              <w:pStyle w:val="SingleTxtG"/>
              <w:spacing w:before="40" w:after="40" w:line="220" w:lineRule="exact"/>
              <w:ind w:left="0" w:right="113"/>
              <w:jc w:val="right"/>
              <w:rPr>
                <w:sz w:val="18"/>
              </w:rPr>
            </w:pPr>
            <w:r w:rsidRPr="004179CD">
              <w:rPr>
                <w:sz w:val="18"/>
              </w:rPr>
              <w:t>3.3</w:t>
            </w:r>
          </w:p>
        </w:tc>
      </w:tr>
    </w:tbl>
    <w:p w:rsidR="00593657" w:rsidRDefault="00C9789E" w:rsidP="00593657">
      <w:pPr>
        <w:pStyle w:val="Heading1"/>
        <w:spacing w:before="240"/>
      </w:pPr>
      <w:bookmarkStart w:id="47" w:name="_Toc494359771"/>
      <w:r w:rsidRPr="00F62F1C">
        <w:t>Figure 12</w:t>
      </w:r>
      <w:bookmarkEnd w:id="47"/>
    </w:p>
    <w:p w:rsidR="00C9789E" w:rsidRPr="00F62F1C" w:rsidRDefault="00C9789E" w:rsidP="00706221">
      <w:pPr>
        <w:pStyle w:val="SingleTxtG"/>
      </w:pPr>
      <w:r w:rsidRPr="00593657">
        <w:rPr>
          <w:b/>
        </w:rPr>
        <w:t>Underemployment rate by urban and rural area (%) year ended December</w:t>
      </w:r>
      <w:r w:rsidRPr="00706221">
        <w:rPr>
          <w:rStyle w:val="FootnoteReference"/>
        </w:rPr>
        <w:footnoteReference w:id="32"/>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87"/>
        <w:gridCol w:w="2171"/>
        <w:gridCol w:w="2356"/>
        <w:gridCol w:w="2356"/>
      </w:tblGrid>
      <w:tr w:rsidR="00C9789E" w:rsidRPr="000E3FFB" w:rsidTr="00B77308">
        <w:trPr>
          <w:cantSplit/>
          <w:tblHeader/>
        </w:trPr>
        <w:tc>
          <w:tcPr>
            <w:tcW w:w="554" w:type="dxa"/>
            <w:tcBorders>
              <w:top w:val="single" w:sz="4" w:space="0" w:color="auto"/>
              <w:bottom w:val="single" w:sz="12" w:space="0" w:color="auto"/>
            </w:tcBorders>
            <w:shd w:val="clear" w:color="auto" w:fill="auto"/>
            <w:vAlign w:val="bottom"/>
            <w:hideMark/>
          </w:tcPr>
          <w:p w:rsidR="00C9789E" w:rsidRPr="000E3FFB" w:rsidRDefault="00C9789E" w:rsidP="000E3FFB">
            <w:pPr>
              <w:pStyle w:val="SingleTxtG"/>
              <w:spacing w:before="80" w:after="80" w:line="200" w:lineRule="exact"/>
              <w:ind w:left="0" w:right="113"/>
              <w:jc w:val="left"/>
              <w:rPr>
                <w:i/>
                <w:sz w:val="16"/>
              </w:rPr>
            </w:pPr>
            <w:r w:rsidRPr="000E3FFB">
              <w:rPr>
                <w:i/>
                <w:sz w:val="16"/>
              </w:rPr>
              <w:t>Year</w:t>
            </w:r>
          </w:p>
        </w:tc>
        <w:tc>
          <w:tcPr>
            <w:tcW w:w="2481" w:type="dxa"/>
            <w:tcBorders>
              <w:top w:val="single" w:sz="4" w:space="0" w:color="auto"/>
              <w:bottom w:val="single" w:sz="12" w:space="0" w:color="auto"/>
            </w:tcBorders>
            <w:shd w:val="clear" w:color="auto" w:fill="auto"/>
            <w:vAlign w:val="bottom"/>
            <w:hideMark/>
          </w:tcPr>
          <w:p w:rsidR="00C9789E" w:rsidRPr="000E3FFB" w:rsidRDefault="00C9789E" w:rsidP="000E3FFB">
            <w:pPr>
              <w:pStyle w:val="SingleTxtG"/>
              <w:spacing w:before="80" w:after="80" w:line="200" w:lineRule="exact"/>
              <w:ind w:left="0" w:right="113"/>
              <w:jc w:val="right"/>
              <w:rPr>
                <w:i/>
                <w:sz w:val="16"/>
              </w:rPr>
            </w:pPr>
            <w:r w:rsidRPr="000E3FFB">
              <w:rPr>
                <w:i/>
                <w:sz w:val="16"/>
              </w:rPr>
              <w:t>Urban</w:t>
            </w:r>
          </w:p>
        </w:tc>
        <w:tc>
          <w:tcPr>
            <w:tcW w:w="2693" w:type="dxa"/>
            <w:tcBorders>
              <w:top w:val="single" w:sz="4" w:space="0" w:color="auto"/>
              <w:bottom w:val="single" w:sz="12" w:space="0" w:color="auto"/>
            </w:tcBorders>
            <w:shd w:val="clear" w:color="auto" w:fill="auto"/>
            <w:vAlign w:val="bottom"/>
            <w:hideMark/>
          </w:tcPr>
          <w:p w:rsidR="00C9789E" w:rsidRPr="000E3FFB" w:rsidRDefault="00C9789E" w:rsidP="000E3FFB">
            <w:pPr>
              <w:pStyle w:val="SingleTxtG"/>
              <w:spacing w:before="80" w:after="80" w:line="200" w:lineRule="exact"/>
              <w:ind w:left="0" w:right="113"/>
              <w:jc w:val="right"/>
              <w:rPr>
                <w:i/>
                <w:sz w:val="16"/>
              </w:rPr>
            </w:pPr>
            <w:r w:rsidRPr="000E3FFB">
              <w:rPr>
                <w:i/>
                <w:sz w:val="16"/>
              </w:rPr>
              <w:t>Rural</w:t>
            </w:r>
          </w:p>
        </w:tc>
        <w:tc>
          <w:tcPr>
            <w:tcW w:w="2693" w:type="dxa"/>
            <w:tcBorders>
              <w:top w:val="single" w:sz="4" w:space="0" w:color="auto"/>
              <w:bottom w:val="single" w:sz="12" w:space="0" w:color="auto"/>
            </w:tcBorders>
            <w:shd w:val="clear" w:color="auto" w:fill="auto"/>
            <w:vAlign w:val="bottom"/>
            <w:hideMark/>
          </w:tcPr>
          <w:p w:rsidR="00C9789E" w:rsidRPr="000E3FFB" w:rsidRDefault="00C9789E" w:rsidP="000E3FFB">
            <w:pPr>
              <w:pStyle w:val="SingleTxtG"/>
              <w:spacing w:before="80" w:after="80" w:line="200" w:lineRule="exact"/>
              <w:ind w:left="0" w:right="113"/>
              <w:jc w:val="right"/>
              <w:rPr>
                <w:i/>
                <w:sz w:val="16"/>
              </w:rPr>
            </w:pPr>
            <w:r w:rsidRPr="000E3FFB">
              <w:rPr>
                <w:i/>
                <w:sz w:val="16"/>
              </w:rPr>
              <w:t xml:space="preserve">Total Both </w:t>
            </w:r>
          </w:p>
        </w:tc>
      </w:tr>
      <w:tr w:rsidR="00C9789E" w:rsidRPr="000E3FFB" w:rsidTr="00B77308">
        <w:trPr>
          <w:cantSplit/>
        </w:trPr>
        <w:tc>
          <w:tcPr>
            <w:tcW w:w="554" w:type="dxa"/>
            <w:tcBorders>
              <w:top w:val="single" w:sz="12" w:space="0" w:color="auto"/>
            </w:tcBorders>
            <w:shd w:val="clear" w:color="auto" w:fill="auto"/>
            <w:hideMark/>
          </w:tcPr>
          <w:p w:rsidR="00C9789E" w:rsidRPr="000E3FFB" w:rsidRDefault="00C9789E" w:rsidP="000E3FFB">
            <w:pPr>
              <w:pStyle w:val="SingleTxtG"/>
              <w:spacing w:before="40" w:after="40" w:line="220" w:lineRule="exact"/>
              <w:ind w:left="0" w:right="113"/>
              <w:jc w:val="left"/>
              <w:rPr>
                <w:sz w:val="18"/>
              </w:rPr>
            </w:pPr>
            <w:r w:rsidRPr="000E3FFB">
              <w:rPr>
                <w:sz w:val="18"/>
              </w:rPr>
              <w:t>2012</w:t>
            </w:r>
          </w:p>
        </w:tc>
        <w:tc>
          <w:tcPr>
            <w:tcW w:w="2481" w:type="dxa"/>
            <w:tcBorders>
              <w:top w:val="single" w:sz="12" w:space="0" w:color="auto"/>
            </w:tcBorders>
            <w:shd w:val="clear" w:color="auto" w:fill="auto"/>
            <w:noWrap/>
            <w:vAlign w:val="bottom"/>
            <w:hideMark/>
          </w:tcPr>
          <w:p w:rsidR="00C9789E" w:rsidRPr="000E3FFB" w:rsidRDefault="00C9789E" w:rsidP="000E3FFB">
            <w:pPr>
              <w:pStyle w:val="SingleTxtG"/>
              <w:spacing w:before="40" w:after="40" w:line="220" w:lineRule="exact"/>
              <w:ind w:left="0" w:right="113"/>
              <w:jc w:val="right"/>
              <w:rPr>
                <w:sz w:val="18"/>
              </w:rPr>
            </w:pPr>
            <w:r w:rsidRPr="000E3FFB">
              <w:rPr>
                <w:sz w:val="18"/>
              </w:rPr>
              <w:t>4.3</w:t>
            </w:r>
          </w:p>
        </w:tc>
        <w:tc>
          <w:tcPr>
            <w:tcW w:w="2693" w:type="dxa"/>
            <w:tcBorders>
              <w:top w:val="single" w:sz="12" w:space="0" w:color="auto"/>
            </w:tcBorders>
            <w:shd w:val="clear" w:color="auto" w:fill="auto"/>
            <w:noWrap/>
            <w:vAlign w:val="bottom"/>
            <w:hideMark/>
          </w:tcPr>
          <w:p w:rsidR="00C9789E" w:rsidRPr="000E3FFB" w:rsidRDefault="00C9789E" w:rsidP="000E3FFB">
            <w:pPr>
              <w:pStyle w:val="SingleTxtG"/>
              <w:spacing w:before="40" w:after="40" w:line="220" w:lineRule="exact"/>
              <w:ind w:left="0" w:right="113"/>
              <w:jc w:val="right"/>
              <w:rPr>
                <w:sz w:val="18"/>
              </w:rPr>
            </w:pPr>
            <w:r w:rsidRPr="000E3FFB">
              <w:rPr>
                <w:sz w:val="18"/>
              </w:rPr>
              <w:t>3.6</w:t>
            </w:r>
          </w:p>
        </w:tc>
        <w:tc>
          <w:tcPr>
            <w:tcW w:w="2693" w:type="dxa"/>
            <w:tcBorders>
              <w:top w:val="single" w:sz="12" w:space="0" w:color="auto"/>
            </w:tcBorders>
            <w:shd w:val="clear" w:color="auto" w:fill="auto"/>
            <w:noWrap/>
            <w:vAlign w:val="bottom"/>
            <w:hideMark/>
          </w:tcPr>
          <w:p w:rsidR="00C9789E" w:rsidRPr="000E3FFB" w:rsidRDefault="00C9789E" w:rsidP="000E3FFB">
            <w:pPr>
              <w:pStyle w:val="SingleTxtG"/>
              <w:spacing w:before="40" w:after="40" w:line="220" w:lineRule="exact"/>
              <w:ind w:left="0" w:right="113"/>
              <w:jc w:val="right"/>
              <w:rPr>
                <w:sz w:val="18"/>
              </w:rPr>
            </w:pPr>
            <w:r w:rsidRPr="000E3FFB">
              <w:rPr>
                <w:sz w:val="18"/>
              </w:rPr>
              <w:t>4.2</w:t>
            </w:r>
          </w:p>
        </w:tc>
      </w:tr>
      <w:tr w:rsidR="00C9789E" w:rsidRPr="000E3FFB" w:rsidTr="00B77308">
        <w:trPr>
          <w:cantSplit/>
        </w:trPr>
        <w:tc>
          <w:tcPr>
            <w:tcW w:w="554" w:type="dxa"/>
            <w:shd w:val="clear" w:color="auto" w:fill="auto"/>
            <w:hideMark/>
          </w:tcPr>
          <w:p w:rsidR="00C9789E" w:rsidRPr="000E3FFB" w:rsidRDefault="00C9789E" w:rsidP="000E3FFB">
            <w:pPr>
              <w:pStyle w:val="SingleTxtG"/>
              <w:spacing w:before="40" w:after="40" w:line="220" w:lineRule="exact"/>
              <w:ind w:left="0" w:right="113"/>
              <w:jc w:val="left"/>
              <w:rPr>
                <w:sz w:val="18"/>
              </w:rPr>
            </w:pPr>
            <w:r w:rsidRPr="000E3FFB">
              <w:rPr>
                <w:sz w:val="18"/>
              </w:rPr>
              <w:t>2013</w:t>
            </w:r>
          </w:p>
        </w:tc>
        <w:tc>
          <w:tcPr>
            <w:tcW w:w="2481" w:type="dxa"/>
            <w:shd w:val="clear" w:color="auto" w:fill="auto"/>
            <w:noWrap/>
            <w:vAlign w:val="bottom"/>
            <w:hideMark/>
          </w:tcPr>
          <w:p w:rsidR="00C9789E" w:rsidRPr="000E3FFB" w:rsidRDefault="00C9789E" w:rsidP="000E3FFB">
            <w:pPr>
              <w:pStyle w:val="SingleTxtG"/>
              <w:spacing w:before="40" w:after="40" w:line="220" w:lineRule="exact"/>
              <w:ind w:left="0" w:right="113"/>
              <w:jc w:val="right"/>
              <w:rPr>
                <w:sz w:val="18"/>
              </w:rPr>
            </w:pPr>
            <w:r w:rsidRPr="000E3FFB">
              <w:rPr>
                <w:sz w:val="18"/>
              </w:rPr>
              <w:t>4.2</w:t>
            </w:r>
          </w:p>
        </w:tc>
        <w:tc>
          <w:tcPr>
            <w:tcW w:w="2693" w:type="dxa"/>
            <w:shd w:val="clear" w:color="auto" w:fill="auto"/>
            <w:noWrap/>
            <w:vAlign w:val="bottom"/>
            <w:hideMark/>
          </w:tcPr>
          <w:p w:rsidR="00C9789E" w:rsidRPr="000E3FFB" w:rsidRDefault="00C9789E" w:rsidP="000E3FFB">
            <w:pPr>
              <w:pStyle w:val="SingleTxtG"/>
              <w:spacing w:before="40" w:after="40" w:line="220" w:lineRule="exact"/>
              <w:ind w:left="0" w:right="113"/>
              <w:jc w:val="right"/>
              <w:rPr>
                <w:sz w:val="18"/>
              </w:rPr>
            </w:pPr>
            <w:r w:rsidRPr="000E3FFB">
              <w:rPr>
                <w:sz w:val="18"/>
              </w:rPr>
              <w:t>3.4</w:t>
            </w:r>
          </w:p>
        </w:tc>
        <w:tc>
          <w:tcPr>
            <w:tcW w:w="2693" w:type="dxa"/>
            <w:shd w:val="clear" w:color="auto" w:fill="auto"/>
            <w:noWrap/>
            <w:vAlign w:val="bottom"/>
            <w:hideMark/>
          </w:tcPr>
          <w:p w:rsidR="00C9789E" w:rsidRPr="000E3FFB" w:rsidRDefault="00C9789E" w:rsidP="000E3FFB">
            <w:pPr>
              <w:pStyle w:val="SingleTxtG"/>
              <w:spacing w:before="40" w:after="40" w:line="220" w:lineRule="exact"/>
              <w:ind w:left="0" w:right="113"/>
              <w:jc w:val="right"/>
              <w:rPr>
                <w:sz w:val="18"/>
              </w:rPr>
            </w:pPr>
            <w:r w:rsidRPr="000E3FFB">
              <w:rPr>
                <w:sz w:val="18"/>
              </w:rPr>
              <w:t>4.1</w:t>
            </w:r>
          </w:p>
        </w:tc>
      </w:tr>
      <w:tr w:rsidR="00C9789E" w:rsidRPr="000E3FFB" w:rsidTr="00B77308">
        <w:trPr>
          <w:cantSplit/>
        </w:trPr>
        <w:tc>
          <w:tcPr>
            <w:tcW w:w="554" w:type="dxa"/>
            <w:shd w:val="clear" w:color="auto" w:fill="auto"/>
            <w:hideMark/>
          </w:tcPr>
          <w:p w:rsidR="00C9789E" w:rsidRPr="000E3FFB" w:rsidRDefault="00C9789E" w:rsidP="000E3FFB">
            <w:pPr>
              <w:pStyle w:val="SingleTxtG"/>
              <w:spacing w:before="40" w:after="40" w:line="220" w:lineRule="exact"/>
              <w:ind w:left="0" w:right="113"/>
              <w:jc w:val="left"/>
              <w:rPr>
                <w:sz w:val="18"/>
              </w:rPr>
            </w:pPr>
            <w:r w:rsidRPr="000E3FFB">
              <w:rPr>
                <w:sz w:val="18"/>
              </w:rPr>
              <w:t>2014</w:t>
            </w:r>
          </w:p>
        </w:tc>
        <w:tc>
          <w:tcPr>
            <w:tcW w:w="2481" w:type="dxa"/>
            <w:shd w:val="clear" w:color="auto" w:fill="auto"/>
            <w:noWrap/>
            <w:vAlign w:val="bottom"/>
            <w:hideMark/>
          </w:tcPr>
          <w:p w:rsidR="00C9789E" w:rsidRPr="000E3FFB" w:rsidRDefault="00C9789E" w:rsidP="000E3FFB">
            <w:pPr>
              <w:pStyle w:val="SingleTxtG"/>
              <w:spacing w:before="40" w:after="40" w:line="220" w:lineRule="exact"/>
              <w:ind w:left="0" w:right="113"/>
              <w:jc w:val="right"/>
              <w:rPr>
                <w:sz w:val="18"/>
              </w:rPr>
            </w:pPr>
            <w:r w:rsidRPr="000E3FFB">
              <w:rPr>
                <w:sz w:val="18"/>
              </w:rPr>
              <w:t>4.2</w:t>
            </w:r>
          </w:p>
        </w:tc>
        <w:tc>
          <w:tcPr>
            <w:tcW w:w="2693" w:type="dxa"/>
            <w:shd w:val="clear" w:color="auto" w:fill="auto"/>
            <w:noWrap/>
            <w:vAlign w:val="bottom"/>
            <w:hideMark/>
          </w:tcPr>
          <w:p w:rsidR="00C9789E" w:rsidRPr="000E3FFB" w:rsidRDefault="00C9789E" w:rsidP="000E3FFB">
            <w:pPr>
              <w:pStyle w:val="SingleTxtG"/>
              <w:spacing w:before="40" w:after="40" w:line="220" w:lineRule="exact"/>
              <w:ind w:left="0" w:right="113"/>
              <w:jc w:val="right"/>
              <w:rPr>
                <w:sz w:val="18"/>
              </w:rPr>
            </w:pPr>
            <w:r w:rsidRPr="000E3FFB">
              <w:rPr>
                <w:sz w:val="18"/>
              </w:rPr>
              <w:t>3.7</w:t>
            </w:r>
          </w:p>
        </w:tc>
        <w:tc>
          <w:tcPr>
            <w:tcW w:w="2693" w:type="dxa"/>
            <w:shd w:val="clear" w:color="auto" w:fill="auto"/>
            <w:noWrap/>
            <w:vAlign w:val="bottom"/>
            <w:hideMark/>
          </w:tcPr>
          <w:p w:rsidR="00C9789E" w:rsidRPr="000E3FFB" w:rsidRDefault="00C9789E" w:rsidP="000E3FFB">
            <w:pPr>
              <w:pStyle w:val="SingleTxtG"/>
              <w:spacing w:before="40" w:after="40" w:line="220" w:lineRule="exact"/>
              <w:ind w:left="0" w:right="113"/>
              <w:jc w:val="right"/>
              <w:rPr>
                <w:sz w:val="18"/>
              </w:rPr>
            </w:pPr>
            <w:r w:rsidRPr="000E3FFB">
              <w:rPr>
                <w:sz w:val="18"/>
              </w:rPr>
              <w:t>4.1</w:t>
            </w:r>
          </w:p>
        </w:tc>
      </w:tr>
      <w:tr w:rsidR="00C9789E" w:rsidRPr="000E3FFB" w:rsidTr="00B77308">
        <w:trPr>
          <w:cantSplit/>
        </w:trPr>
        <w:tc>
          <w:tcPr>
            <w:tcW w:w="554" w:type="dxa"/>
            <w:shd w:val="clear" w:color="auto" w:fill="auto"/>
            <w:hideMark/>
          </w:tcPr>
          <w:p w:rsidR="00C9789E" w:rsidRPr="000E3FFB" w:rsidRDefault="00C9789E" w:rsidP="000E3FFB">
            <w:pPr>
              <w:pStyle w:val="SingleTxtG"/>
              <w:spacing w:before="40" w:after="40" w:line="220" w:lineRule="exact"/>
              <w:ind w:left="0" w:right="113"/>
              <w:jc w:val="left"/>
              <w:rPr>
                <w:sz w:val="18"/>
              </w:rPr>
            </w:pPr>
            <w:r w:rsidRPr="000E3FFB">
              <w:rPr>
                <w:sz w:val="18"/>
              </w:rPr>
              <w:t>2015</w:t>
            </w:r>
          </w:p>
        </w:tc>
        <w:tc>
          <w:tcPr>
            <w:tcW w:w="2481" w:type="dxa"/>
            <w:shd w:val="clear" w:color="auto" w:fill="auto"/>
            <w:noWrap/>
            <w:vAlign w:val="bottom"/>
            <w:hideMark/>
          </w:tcPr>
          <w:p w:rsidR="00C9789E" w:rsidRPr="000E3FFB" w:rsidRDefault="00C9789E" w:rsidP="000E3FFB">
            <w:pPr>
              <w:pStyle w:val="SingleTxtG"/>
              <w:spacing w:before="40" w:after="40" w:line="220" w:lineRule="exact"/>
              <w:ind w:left="0" w:right="113"/>
              <w:jc w:val="right"/>
              <w:rPr>
                <w:sz w:val="18"/>
              </w:rPr>
            </w:pPr>
            <w:r w:rsidRPr="000E3FFB">
              <w:rPr>
                <w:sz w:val="18"/>
              </w:rPr>
              <w:t>4.0</w:t>
            </w:r>
          </w:p>
        </w:tc>
        <w:tc>
          <w:tcPr>
            <w:tcW w:w="2693" w:type="dxa"/>
            <w:shd w:val="clear" w:color="auto" w:fill="auto"/>
            <w:noWrap/>
            <w:vAlign w:val="bottom"/>
            <w:hideMark/>
          </w:tcPr>
          <w:p w:rsidR="00C9789E" w:rsidRPr="000E3FFB" w:rsidRDefault="00C9789E" w:rsidP="000E3FFB">
            <w:pPr>
              <w:pStyle w:val="SingleTxtG"/>
              <w:spacing w:before="40" w:after="40" w:line="220" w:lineRule="exact"/>
              <w:ind w:left="0" w:right="113"/>
              <w:jc w:val="right"/>
              <w:rPr>
                <w:sz w:val="18"/>
              </w:rPr>
            </w:pPr>
            <w:r w:rsidRPr="000E3FFB">
              <w:rPr>
                <w:sz w:val="18"/>
              </w:rPr>
              <w:t>3.2</w:t>
            </w:r>
          </w:p>
        </w:tc>
        <w:tc>
          <w:tcPr>
            <w:tcW w:w="2693" w:type="dxa"/>
            <w:shd w:val="clear" w:color="auto" w:fill="auto"/>
            <w:noWrap/>
            <w:vAlign w:val="bottom"/>
            <w:hideMark/>
          </w:tcPr>
          <w:p w:rsidR="00C9789E" w:rsidRPr="000E3FFB" w:rsidRDefault="00C9789E" w:rsidP="000E3FFB">
            <w:pPr>
              <w:pStyle w:val="SingleTxtG"/>
              <w:spacing w:before="40" w:after="40" w:line="220" w:lineRule="exact"/>
              <w:ind w:left="0" w:right="113"/>
              <w:jc w:val="right"/>
              <w:rPr>
                <w:sz w:val="18"/>
              </w:rPr>
            </w:pPr>
            <w:r w:rsidRPr="000E3FFB">
              <w:rPr>
                <w:sz w:val="18"/>
              </w:rPr>
              <w:t>3.9</w:t>
            </w:r>
          </w:p>
        </w:tc>
      </w:tr>
      <w:tr w:rsidR="00C9789E" w:rsidRPr="000E3FFB" w:rsidTr="00B77308">
        <w:trPr>
          <w:cantSplit/>
        </w:trPr>
        <w:tc>
          <w:tcPr>
            <w:tcW w:w="554" w:type="dxa"/>
            <w:shd w:val="clear" w:color="auto" w:fill="auto"/>
            <w:hideMark/>
          </w:tcPr>
          <w:p w:rsidR="00C9789E" w:rsidRPr="000E3FFB" w:rsidRDefault="00C9789E" w:rsidP="000E3FFB">
            <w:pPr>
              <w:pStyle w:val="SingleTxtG"/>
              <w:spacing w:before="40" w:after="40" w:line="220" w:lineRule="exact"/>
              <w:ind w:left="0" w:right="113"/>
              <w:jc w:val="left"/>
              <w:rPr>
                <w:sz w:val="18"/>
              </w:rPr>
            </w:pPr>
            <w:r w:rsidRPr="000E3FFB">
              <w:rPr>
                <w:sz w:val="18"/>
              </w:rPr>
              <w:t>2016</w:t>
            </w:r>
          </w:p>
        </w:tc>
        <w:tc>
          <w:tcPr>
            <w:tcW w:w="2481" w:type="dxa"/>
            <w:shd w:val="clear" w:color="auto" w:fill="auto"/>
            <w:noWrap/>
            <w:vAlign w:val="bottom"/>
            <w:hideMark/>
          </w:tcPr>
          <w:p w:rsidR="00C9789E" w:rsidRPr="000E3FFB" w:rsidRDefault="00C9789E" w:rsidP="000E3FFB">
            <w:pPr>
              <w:pStyle w:val="SingleTxtG"/>
              <w:spacing w:before="40" w:after="40" w:line="220" w:lineRule="exact"/>
              <w:ind w:left="0" w:right="113"/>
              <w:jc w:val="right"/>
              <w:rPr>
                <w:sz w:val="18"/>
              </w:rPr>
            </w:pPr>
            <w:r w:rsidRPr="000E3FFB">
              <w:rPr>
                <w:sz w:val="18"/>
              </w:rPr>
              <w:t>4.4</w:t>
            </w:r>
          </w:p>
        </w:tc>
        <w:tc>
          <w:tcPr>
            <w:tcW w:w="2693" w:type="dxa"/>
            <w:shd w:val="clear" w:color="auto" w:fill="auto"/>
            <w:noWrap/>
            <w:vAlign w:val="bottom"/>
            <w:hideMark/>
          </w:tcPr>
          <w:p w:rsidR="00C9789E" w:rsidRPr="000E3FFB" w:rsidRDefault="00C9789E" w:rsidP="000E3FFB">
            <w:pPr>
              <w:pStyle w:val="SingleTxtG"/>
              <w:spacing w:before="40" w:after="40" w:line="220" w:lineRule="exact"/>
              <w:ind w:left="0" w:right="113"/>
              <w:jc w:val="right"/>
              <w:rPr>
                <w:sz w:val="18"/>
              </w:rPr>
            </w:pPr>
            <w:r w:rsidRPr="000E3FFB">
              <w:rPr>
                <w:sz w:val="18"/>
              </w:rPr>
              <w:t>3.4</w:t>
            </w:r>
          </w:p>
        </w:tc>
        <w:tc>
          <w:tcPr>
            <w:tcW w:w="2693" w:type="dxa"/>
            <w:shd w:val="clear" w:color="auto" w:fill="auto"/>
            <w:noWrap/>
            <w:vAlign w:val="bottom"/>
            <w:hideMark/>
          </w:tcPr>
          <w:p w:rsidR="00C9789E" w:rsidRPr="000E3FFB" w:rsidRDefault="00C9789E" w:rsidP="000E3FFB">
            <w:pPr>
              <w:pStyle w:val="SingleTxtG"/>
              <w:spacing w:before="40" w:after="40" w:line="220" w:lineRule="exact"/>
              <w:ind w:left="0" w:right="113"/>
              <w:jc w:val="right"/>
              <w:rPr>
                <w:sz w:val="18"/>
              </w:rPr>
            </w:pPr>
            <w:r w:rsidRPr="000E3FFB">
              <w:rPr>
                <w:sz w:val="18"/>
              </w:rPr>
              <w:t>4.3</w:t>
            </w:r>
          </w:p>
        </w:tc>
      </w:tr>
    </w:tbl>
    <w:p w:rsidR="00C9789E" w:rsidRPr="00F62F1C" w:rsidRDefault="00C9789E" w:rsidP="003E2D0C">
      <w:pPr>
        <w:pStyle w:val="SingleTxtG"/>
        <w:spacing w:before="240"/>
      </w:pPr>
      <w:r w:rsidRPr="00F62F1C">
        <w:t>134.</w:t>
      </w:r>
      <w:r w:rsidRPr="00F62F1C">
        <w:tab/>
        <w:t>Statistics on multiple employment in New Zealand are only available to March 2015 (latest available as at 20/02/2017). Percentage of all employed.</w:t>
      </w:r>
    </w:p>
    <w:p w:rsidR="002416D4" w:rsidRDefault="00C9789E" w:rsidP="00386871">
      <w:pPr>
        <w:pStyle w:val="Heading1"/>
        <w:keepNext/>
        <w:keepLines/>
      </w:pPr>
      <w:bookmarkStart w:id="48" w:name="_Toc494359772"/>
      <w:r w:rsidRPr="00F62F1C">
        <w:lastRenderedPageBreak/>
        <w:t>Figure 13</w:t>
      </w:r>
      <w:bookmarkEnd w:id="48"/>
    </w:p>
    <w:p w:rsidR="00C9789E" w:rsidRPr="002416D4" w:rsidRDefault="00C9789E" w:rsidP="00386871">
      <w:pPr>
        <w:pStyle w:val="SingleTxtG"/>
        <w:keepNext/>
        <w:keepLines/>
        <w:rPr>
          <w:b/>
        </w:rPr>
      </w:pPr>
      <w:r w:rsidRPr="002416D4">
        <w:rPr>
          <w:b/>
        </w:rPr>
        <w:t>Multiple employment by sex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71"/>
        <w:gridCol w:w="923"/>
        <w:gridCol w:w="930"/>
        <w:gridCol w:w="930"/>
        <w:gridCol w:w="930"/>
        <w:gridCol w:w="930"/>
        <w:gridCol w:w="1156"/>
      </w:tblGrid>
      <w:tr w:rsidR="00533732" w:rsidRPr="002416D4" w:rsidTr="00B77308">
        <w:trPr>
          <w:cantSplit/>
          <w:tblHeader/>
        </w:trPr>
        <w:tc>
          <w:tcPr>
            <w:tcW w:w="1571" w:type="dxa"/>
            <w:vMerge w:val="restart"/>
            <w:tcBorders>
              <w:top w:val="single" w:sz="4" w:space="0" w:color="auto"/>
            </w:tcBorders>
            <w:shd w:val="clear" w:color="auto" w:fill="auto"/>
            <w:noWrap/>
            <w:vAlign w:val="bottom"/>
            <w:hideMark/>
          </w:tcPr>
          <w:p w:rsidR="00533732" w:rsidRPr="002416D4" w:rsidRDefault="00533732" w:rsidP="00386871">
            <w:pPr>
              <w:pStyle w:val="SingleTxtG"/>
              <w:keepNext/>
              <w:keepLines/>
              <w:spacing w:before="80" w:after="80" w:line="200" w:lineRule="exact"/>
              <w:ind w:left="0" w:right="113"/>
              <w:jc w:val="left"/>
              <w:rPr>
                <w:i/>
                <w:sz w:val="16"/>
              </w:rPr>
            </w:pPr>
            <w:r w:rsidRPr="00A139E6">
              <w:rPr>
                <w:i/>
                <w:sz w:val="16"/>
              </w:rPr>
              <w:t>Number of jobs</w:t>
            </w:r>
          </w:p>
        </w:tc>
        <w:tc>
          <w:tcPr>
            <w:tcW w:w="1853" w:type="dxa"/>
            <w:gridSpan w:val="2"/>
            <w:tcBorders>
              <w:top w:val="single" w:sz="4" w:space="0" w:color="auto"/>
              <w:bottom w:val="single" w:sz="4" w:space="0" w:color="auto"/>
              <w:right w:val="single" w:sz="24" w:space="0" w:color="FFFFFF" w:themeColor="background1"/>
            </w:tcBorders>
            <w:shd w:val="clear" w:color="auto" w:fill="auto"/>
            <w:vAlign w:val="bottom"/>
            <w:hideMark/>
          </w:tcPr>
          <w:p w:rsidR="00533732" w:rsidRPr="002416D4" w:rsidRDefault="00533732" w:rsidP="00386871">
            <w:pPr>
              <w:pStyle w:val="SingleTxtG"/>
              <w:keepNext/>
              <w:keepLines/>
              <w:spacing w:before="80" w:after="80" w:line="200" w:lineRule="exact"/>
              <w:ind w:left="0" w:right="113"/>
              <w:jc w:val="center"/>
              <w:rPr>
                <w:i/>
                <w:sz w:val="16"/>
              </w:rPr>
            </w:pPr>
            <w:r w:rsidRPr="002416D4">
              <w:rPr>
                <w:i/>
                <w:sz w:val="16"/>
              </w:rPr>
              <w:t>Total sex</w:t>
            </w:r>
          </w:p>
        </w:tc>
        <w:tc>
          <w:tcPr>
            <w:tcW w:w="1860"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rsidR="00533732" w:rsidRPr="002416D4" w:rsidRDefault="00533732" w:rsidP="00386871">
            <w:pPr>
              <w:pStyle w:val="SingleTxtG"/>
              <w:keepNext/>
              <w:keepLines/>
              <w:spacing w:before="80" w:after="80" w:line="200" w:lineRule="exact"/>
              <w:ind w:left="0" w:right="113"/>
              <w:jc w:val="center"/>
              <w:rPr>
                <w:i/>
                <w:sz w:val="16"/>
              </w:rPr>
            </w:pPr>
            <w:r w:rsidRPr="002416D4">
              <w:rPr>
                <w:i/>
                <w:sz w:val="16"/>
              </w:rPr>
              <w:t>Male</w:t>
            </w:r>
          </w:p>
        </w:tc>
        <w:tc>
          <w:tcPr>
            <w:tcW w:w="2086" w:type="dxa"/>
            <w:gridSpan w:val="2"/>
            <w:tcBorders>
              <w:top w:val="single" w:sz="4" w:space="0" w:color="auto"/>
              <w:left w:val="single" w:sz="24" w:space="0" w:color="FFFFFF" w:themeColor="background1"/>
              <w:bottom w:val="single" w:sz="4" w:space="0" w:color="auto"/>
            </w:tcBorders>
            <w:shd w:val="clear" w:color="auto" w:fill="auto"/>
            <w:vAlign w:val="bottom"/>
            <w:hideMark/>
          </w:tcPr>
          <w:p w:rsidR="00533732" w:rsidRPr="002416D4" w:rsidRDefault="00533732" w:rsidP="00386871">
            <w:pPr>
              <w:pStyle w:val="SingleTxtG"/>
              <w:keepNext/>
              <w:keepLines/>
              <w:spacing w:before="80" w:after="80" w:line="200" w:lineRule="exact"/>
              <w:ind w:left="0" w:right="113"/>
              <w:jc w:val="center"/>
              <w:rPr>
                <w:i/>
                <w:sz w:val="16"/>
              </w:rPr>
            </w:pPr>
            <w:r w:rsidRPr="002416D4">
              <w:rPr>
                <w:i/>
                <w:sz w:val="16"/>
              </w:rPr>
              <w:t>Female</w:t>
            </w:r>
          </w:p>
        </w:tc>
      </w:tr>
      <w:tr w:rsidR="00533732" w:rsidRPr="002416D4" w:rsidTr="00B77308">
        <w:trPr>
          <w:cantSplit/>
        </w:trPr>
        <w:tc>
          <w:tcPr>
            <w:tcW w:w="1571" w:type="dxa"/>
            <w:vMerge/>
            <w:tcBorders>
              <w:bottom w:val="single" w:sz="4" w:space="0" w:color="auto"/>
            </w:tcBorders>
            <w:shd w:val="clear" w:color="auto" w:fill="auto"/>
            <w:noWrap/>
            <w:hideMark/>
          </w:tcPr>
          <w:p w:rsidR="00533732" w:rsidRPr="00A139E6" w:rsidRDefault="00533732" w:rsidP="00A139E6">
            <w:pPr>
              <w:pStyle w:val="SingleTxtG"/>
              <w:spacing w:before="80" w:after="80" w:line="200" w:lineRule="exact"/>
              <w:ind w:left="0" w:right="113"/>
              <w:jc w:val="left"/>
              <w:rPr>
                <w:i/>
                <w:sz w:val="16"/>
              </w:rPr>
            </w:pPr>
          </w:p>
        </w:tc>
        <w:tc>
          <w:tcPr>
            <w:tcW w:w="923" w:type="dxa"/>
            <w:tcBorders>
              <w:top w:val="single" w:sz="4" w:space="0" w:color="auto"/>
              <w:bottom w:val="single" w:sz="4" w:space="0" w:color="auto"/>
            </w:tcBorders>
            <w:shd w:val="clear" w:color="auto" w:fill="auto"/>
            <w:vAlign w:val="bottom"/>
            <w:hideMark/>
          </w:tcPr>
          <w:p w:rsidR="00533732" w:rsidRPr="00A139E6" w:rsidRDefault="00533732" w:rsidP="00A139E6">
            <w:pPr>
              <w:pStyle w:val="SingleTxtG"/>
              <w:spacing w:before="80" w:after="80" w:line="200" w:lineRule="exact"/>
              <w:ind w:left="0" w:right="113"/>
              <w:jc w:val="right"/>
              <w:rPr>
                <w:i/>
                <w:sz w:val="16"/>
              </w:rPr>
            </w:pPr>
            <w:r w:rsidRPr="00A139E6">
              <w:rPr>
                <w:i/>
                <w:sz w:val="16"/>
              </w:rPr>
              <w:t>2</w:t>
            </w:r>
          </w:p>
        </w:tc>
        <w:tc>
          <w:tcPr>
            <w:tcW w:w="930" w:type="dxa"/>
            <w:tcBorders>
              <w:top w:val="single" w:sz="4" w:space="0" w:color="auto"/>
              <w:bottom w:val="single" w:sz="4" w:space="0" w:color="auto"/>
              <w:right w:val="single" w:sz="24" w:space="0" w:color="FFFFFF" w:themeColor="background1"/>
            </w:tcBorders>
            <w:shd w:val="clear" w:color="auto" w:fill="auto"/>
            <w:vAlign w:val="bottom"/>
            <w:hideMark/>
          </w:tcPr>
          <w:p w:rsidR="00533732" w:rsidRPr="00A139E6" w:rsidRDefault="00533732" w:rsidP="00A139E6">
            <w:pPr>
              <w:pStyle w:val="SingleTxtG"/>
              <w:spacing w:before="80" w:after="80" w:line="200" w:lineRule="exact"/>
              <w:ind w:left="0" w:right="113"/>
              <w:jc w:val="right"/>
              <w:rPr>
                <w:i/>
                <w:sz w:val="16"/>
              </w:rPr>
            </w:pPr>
            <w:r w:rsidRPr="00A139E6">
              <w:rPr>
                <w:i/>
                <w:sz w:val="16"/>
              </w:rPr>
              <w:t>3 or more</w:t>
            </w:r>
          </w:p>
        </w:tc>
        <w:tc>
          <w:tcPr>
            <w:tcW w:w="930" w:type="dxa"/>
            <w:tcBorders>
              <w:top w:val="single" w:sz="4" w:space="0" w:color="auto"/>
              <w:left w:val="single" w:sz="24" w:space="0" w:color="FFFFFF" w:themeColor="background1"/>
              <w:bottom w:val="single" w:sz="4" w:space="0" w:color="auto"/>
            </w:tcBorders>
            <w:shd w:val="clear" w:color="auto" w:fill="auto"/>
            <w:vAlign w:val="bottom"/>
            <w:hideMark/>
          </w:tcPr>
          <w:p w:rsidR="00533732" w:rsidRPr="00A139E6" w:rsidRDefault="00533732" w:rsidP="00A139E6">
            <w:pPr>
              <w:pStyle w:val="SingleTxtG"/>
              <w:spacing w:before="80" w:after="80" w:line="200" w:lineRule="exact"/>
              <w:ind w:left="0" w:right="113"/>
              <w:jc w:val="right"/>
              <w:rPr>
                <w:i/>
                <w:sz w:val="16"/>
              </w:rPr>
            </w:pPr>
            <w:r w:rsidRPr="00A139E6">
              <w:rPr>
                <w:i/>
                <w:sz w:val="16"/>
              </w:rPr>
              <w:t>2</w:t>
            </w:r>
          </w:p>
        </w:tc>
        <w:tc>
          <w:tcPr>
            <w:tcW w:w="930" w:type="dxa"/>
            <w:tcBorders>
              <w:top w:val="single" w:sz="4" w:space="0" w:color="auto"/>
              <w:bottom w:val="single" w:sz="4" w:space="0" w:color="auto"/>
              <w:right w:val="single" w:sz="24" w:space="0" w:color="FFFFFF" w:themeColor="background1"/>
            </w:tcBorders>
            <w:shd w:val="clear" w:color="auto" w:fill="auto"/>
            <w:vAlign w:val="bottom"/>
            <w:hideMark/>
          </w:tcPr>
          <w:p w:rsidR="00533732" w:rsidRPr="00A139E6" w:rsidRDefault="00533732" w:rsidP="00A139E6">
            <w:pPr>
              <w:pStyle w:val="SingleTxtG"/>
              <w:spacing w:before="80" w:after="80" w:line="200" w:lineRule="exact"/>
              <w:ind w:left="0" w:right="113"/>
              <w:jc w:val="right"/>
              <w:rPr>
                <w:i/>
                <w:sz w:val="16"/>
              </w:rPr>
            </w:pPr>
            <w:r w:rsidRPr="00A139E6">
              <w:rPr>
                <w:i/>
                <w:sz w:val="16"/>
              </w:rPr>
              <w:t>3 or more</w:t>
            </w:r>
          </w:p>
        </w:tc>
        <w:tc>
          <w:tcPr>
            <w:tcW w:w="930" w:type="dxa"/>
            <w:tcBorders>
              <w:top w:val="single" w:sz="4" w:space="0" w:color="auto"/>
              <w:left w:val="single" w:sz="24" w:space="0" w:color="FFFFFF" w:themeColor="background1"/>
              <w:bottom w:val="single" w:sz="4" w:space="0" w:color="auto"/>
            </w:tcBorders>
            <w:shd w:val="clear" w:color="auto" w:fill="auto"/>
            <w:vAlign w:val="bottom"/>
            <w:hideMark/>
          </w:tcPr>
          <w:p w:rsidR="00533732" w:rsidRPr="00A139E6" w:rsidRDefault="00533732" w:rsidP="00A139E6">
            <w:pPr>
              <w:pStyle w:val="SingleTxtG"/>
              <w:spacing w:before="80" w:after="80" w:line="200" w:lineRule="exact"/>
              <w:ind w:left="0" w:right="113"/>
              <w:jc w:val="right"/>
              <w:rPr>
                <w:i/>
                <w:sz w:val="16"/>
              </w:rPr>
            </w:pPr>
            <w:r w:rsidRPr="00A139E6">
              <w:rPr>
                <w:i/>
                <w:sz w:val="16"/>
              </w:rPr>
              <w:t>2</w:t>
            </w:r>
          </w:p>
        </w:tc>
        <w:tc>
          <w:tcPr>
            <w:tcW w:w="1156" w:type="dxa"/>
            <w:tcBorders>
              <w:top w:val="single" w:sz="4" w:space="0" w:color="auto"/>
              <w:bottom w:val="single" w:sz="4" w:space="0" w:color="auto"/>
            </w:tcBorders>
            <w:shd w:val="clear" w:color="auto" w:fill="auto"/>
            <w:vAlign w:val="bottom"/>
            <w:hideMark/>
          </w:tcPr>
          <w:p w:rsidR="00533732" w:rsidRPr="00A139E6" w:rsidRDefault="00533732" w:rsidP="00A139E6">
            <w:pPr>
              <w:pStyle w:val="SingleTxtG"/>
              <w:spacing w:before="80" w:after="80" w:line="200" w:lineRule="exact"/>
              <w:ind w:left="0" w:right="113"/>
              <w:jc w:val="right"/>
              <w:rPr>
                <w:i/>
                <w:sz w:val="16"/>
              </w:rPr>
            </w:pPr>
            <w:r w:rsidRPr="00A139E6">
              <w:rPr>
                <w:i/>
                <w:sz w:val="16"/>
              </w:rPr>
              <w:t>3 or more</w:t>
            </w:r>
          </w:p>
        </w:tc>
      </w:tr>
      <w:tr w:rsidR="00C9789E" w:rsidRPr="002416D4" w:rsidTr="00B77308">
        <w:trPr>
          <w:cantSplit/>
        </w:trPr>
        <w:tc>
          <w:tcPr>
            <w:tcW w:w="1571" w:type="dxa"/>
            <w:tcBorders>
              <w:top w:val="single" w:sz="4" w:space="0" w:color="auto"/>
              <w:bottom w:val="single" w:sz="12" w:space="0" w:color="auto"/>
            </w:tcBorders>
            <w:shd w:val="clear" w:color="auto" w:fill="auto"/>
            <w:hideMark/>
          </w:tcPr>
          <w:p w:rsidR="00C9789E" w:rsidRPr="00A139E6" w:rsidRDefault="00C9789E" w:rsidP="00A139E6">
            <w:pPr>
              <w:pStyle w:val="SingleTxtG"/>
              <w:spacing w:before="80" w:after="80" w:line="200" w:lineRule="exact"/>
              <w:ind w:left="0" w:right="113"/>
              <w:jc w:val="left"/>
              <w:rPr>
                <w:i/>
                <w:sz w:val="16"/>
              </w:rPr>
            </w:pPr>
            <w:r w:rsidRPr="00A139E6">
              <w:rPr>
                <w:i/>
                <w:sz w:val="16"/>
              </w:rPr>
              <w:t>Quarter</w:t>
            </w:r>
          </w:p>
        </w:tc>
        <w:tc>
          <w:tcPr>
            <w:tcW w:w="923" w:type="dxa"/>
            <w:tcBorders>
              <w:top w:val="single" w:sz="4" w:space="0" w:color="auto"/>
              <w:bottom w:val="single" w:sz="12" w:space="0" w:color="auto"/>
            </w:tcBorders>
            <w:shd w:val="clear" w:color="auto" w:fill="auto"/>
            <w:noWrap/>
            <w:vAlign w:val="bottom"/>
            <w:hideMark/>
          </w:tcPr>
          <w:p w:rsidR="00C9789E" w:rsidRPr="00A139E6" w:rsidRDefault="000C03A3" w:rsidP="00A139E6">
            <w:pPr>
              <w:pStyle w:val="SingleTxtG"/>
              <w:spacing w:before="80" w:after="80" w:line="200" w:lineRule="exact"/>
              <w:ind w:left="0" w:right="113"/>
              <w:jc w:val="right"/>
              <w:rPr>
                <w:i/>
                <w:sz w:val="16"/>
              </w:rPr>
            </w:pPr>
            <w:r w:rsidRPr="00A139E6">
              <w:rPr>
                <w:i/>
                <w:sz w:val="16"/>
              </w:rPr>
              <w:t xml:space="preserve"> </w:t>
            </w:r>
          </w:p>
        </w:tc>
        <w:tc>
          <w:tcPr>
            <w:tcW w:w="930" w:type="dxa"/>
            <w:tcBorders>
              <w:top w:val="single" w:sz="4" w:space="0" w:color="auto"/>
              <w:bottom w:val="single" w:sz="12" w:space="0" w:color="auto"/>
            </w:tcBorders>
            <w:shd w:val="clear" w:color="auto" w:fill="auto"/>
            <w:noWrap/>
            <w:vAlign w:val="bottom"/>
            <w:hideMark/>
          </w:tcPr>
          <w:p w:rsidR="00C9789E" w:rsidRPr="00A139E6" w:rsidRDefault="000C03A3" w:rsidP="00A139E6">
            <w:pPr>
              <w:pStyle w:val="SingleTxtG"/>
              <w:spacing w:before="80" w:after="80" w:line="200" w:lineRule="exact"/>
              <w:ind w:left="0" w:right="113"/>
              <w:jc w:val="right"/>
              <w:rPr>
                <w:i/>
                <w:sz w:val="16"/>
              </w:rPr>
            </w:pPr>
            <w:r w:rsidRPr="00A139E6">
              <w:rPr>
                <w:i/>
                <w:sz w:val="16"/>
              </w:rPr>
              <w:t xml:space="preserve"> </w:t>
            </w:r>
          </w:p>
        </w:tc>
        <w:tc>
          <w:tcPr>
            <w:tcW w:w="930" w:type="dxa"/>
            <w:tcBorders>
              <w:top w:val="single" w:sz="4" w:space="0" w:color="auto"/>
              <w:bottom w:val="single" w:sz="12" w:space="0" w:color="auto"/>
            </w:tcBorders>
            <w:shd w:val="clear" w:color="auto" w:fill="auto"/>
            <w:noWrap/>
            <w:vAlign w:val="bottom"/>
            <w:hideMark/>
          </w:tcPr>
          <w:p w:rsidR="00C9789E" w:rsidRPr="00A139E6" w:rsidRDefault="000C03A3" w:rsidP="00A139E6">
            <w:pPr>
              <w:pStyle w:val="SingleTxtG"/>
              <w:spacing w:before="80" w:after="80" w:line="200" w:lineRule="exact"/>
              <w:ind w:left="0" w:right="113"/>
              <w:jc w:val="right"/>
              <w:rPr>
                <w:i/>
                <w:sz w:val="16"/>
              </w:rPr>
            </w:pPr>
            <w:r w:rsidRPr="00A139E6">
              <w:rPr>
                <w:i/>
                <w:sz w:val="16"/>
              </w:rPr>
              <w:t xml:space="preserve"> </w:t>
            </w:r>
          </w:p>
        </w:tc>
        <w:tc>
          <w:tcPr>
            <w:tcW w:w="930" w:type="dxa"/>
            <w:tcBorders>
              <w:top w:val="single" w:sz="4" w:space="0" w:color="auto"/>
              <w:bottom w:val="single" w:sz="12" w:space="0" w:color="auto"/>
            </w:tcBorders>
            <w:shd w:val="clear" w:color="auto" w:fill="auto"/>
            <w:noWrap/>
            <w:vAlign w:val="bottom"/>
            <w:hideMark/>
          </w:tcPr>
          <w:p w:rsidR="00C9789E" w:rsidRPr="00A139E6" w:rsidRDefault="000C03A3" w:rsidP="00A139E6">
            <w:pPr>
              <w:pStyle w:val="SingleTxtG"/>
              <w:spacing w:before="80" w:after="80" w:line="200" w:lineRule="exact"/>
              <w:ind w:left="0" w:right="113"/>
              <w:jc w:val="right"/>
              <w:rPr>
                <w:i/>
                <w:sz w:val="16"/>
              </w:rPr>
            </w:pPr>
            <w:r w:rsidRPr="00A139E6">
              <w:rPr>
                <w:i/>
                <w:sz w:val="16"/>
              </w:rPr>
              <w:t xml:space="preserve"> </w:t>
            </w:r>
          </w:p>
        </w:tc>
        <w:tc>
          <w:tcPr>
            <w:tcW w:w="930" w:type="dxa"/>
            <w:tcBorders>
              <w:top w:val="single" w:sz="4" w:space="0" w:color="auto"/>
              <w:bottom w:val="single" w:sz="12" w:space="0" w:color="auto"/>
            </w:tcBorders>
            <w:shd w:val="clear" w:color="auto" w:fill="auto"/>
            <w:noWrap/>
            <w:vAlign w:val="bottom"/>
            <w:hideMark/>
          </w:tcPr>
          <w:p w:rsidR="00C9789E" w:rsidRPr="00A139E6" w:rsidRDefault="000C03A3" w:rsidP="00A139E6">
            <w:pPr>
              <w:pStyle w:val="SingleTxtG"/>
              <w:spacing w:before="80" w:after="80" w:line="200" w:lineRule="exact"/>
              <w:ind w:left="0" w:right="113"/>
              <w:jc w:val="right"/>
              <w:rPr>
                <w:i/>
                <w:sz w:val="16"/>
              </w:rPr>
            </w:pPr>
            <w:r w:rsidRPr="00A139E6">
              <w:rPr>
                <w:i/>
                <w:sz w:val="16"/>
              </w:rPr>
              <w:t xml:space="preserve"> </w:t>
            </w:r>
          </w:p>
        </w:tc>
        <w:tc>
          <w:tcPr>
            <w:tcW w:w="1156" w:type="dxa"/>
            <w:tcBorders>
              <w:top w:val="single" w:sz="4" w:space="0" w:color="auto"/>
              <w:bottom w:val="single" w:sz="12" w:space="0" w:color="auto"/>
            </w:tcBorders>
            <w:shd w:val="clear" w:color="auto" w:fill="auto"/>
            <w:noWrap/>
            <w:vAlign w:val="bottom"/>
            <w:hideMark/>
          </w:tcPr>
          <w:p w:rsidR="00C9789E" w:rsidRPr="00A139E6" w:rsidRDefault="000C03A3" w:rsidP="00A139E6">
            <w:pPr>
              <w:pStyle w:val="SingleTxtG"/>
              <w:spacing w:before="80" w:after="80" w:line="200" w:lineRule="exact"/>
              <w:ind w:left="0" w:right="113"/>
              <w:jc w:val="right"/>
              <w:rPr>
                <w:i/>
                <w:sz w:val="16"/>
              </w:rPr>
            </w:pPr>
            <w:r w:rsidRPr="00A139E6">
              <w:rPr>
                <w:i/>
                <w:sz w:val="16"/>
              </w:rPr>
              <w:t xml:space="preserve"> </w:t>
            </w:r>
          </w:p>
        </w:tc>
      </w:tr>
      <w:tr w:rsidR="00C9789E" w:rsidRPr="002416D4" w:rsidTr="00B77308">
        <w:trPr>
          <w:cantSplit/>
        </w:trPr>
        <w:tc>
          <w:tcPr>
            <w:tcW w:w="1571" w:type="dxa"/>
            <w:tcBorders>
              <w:top w:val="single" w:sz="12" w:space="0" w:color="auto"/>
            </w:tcBorders>
            <w:shd w:val="clear" w:color="auto" w:fill="auto"/>
            <w:hideMark/>
          </w:tcPr>
          <w:p w:rsidR="00C9789E" w:rsidRPr="002416D4" w:rsidRDefault="00C9789E" w:rsidP="002416D4">
            <w:pPr>
              <w:pStyle w:val="SingleTxtG"/>
              <w:spacing w:before="40" w:after="40" w:line="220" w:lineRule="exact"/>
              <w:ind w:left="0" w:right="113"/>
              <w:jc w:val="left"/>
              <w:rPr>
                <w:sz w:val="18"/>
              </w:rPr>
            </w:pPr>
            <w:r w:rsidRPr="002416D4">
              <w:rPr>
                <w:sz w:val="18"/>
              </w:rPr>
              <w:t>Mar-15</w:t>
            </w:r>
          </w:p>
        </w:tc>
        <w:tc>
          <w:tcPr>
            <w:tcW w:w="923" w:type="dxa"/>
            <w:tcBorders>
              <w:top w:val="single" w:sz="12" w:space="0" w:color="auto"/>
            </w:tcBorders>
            <w:shd w:val="clear" w:color="auto" w:fill="auto"/>
            <w:noWrap/>
            <w:vAlign w:val="bottom"/>
            <w:hideMark/>
          </w:tcPr>
          <w:p w:rsidR="00C9789E" w:rsidRPr="002416D4" w:rsidRDefault="00C9789E" w:rsidP="002416D4">
            <w:pPr>
              <w:pStyle w:val="SingleTxtG"/>
              <w:spacing w:before="40" w:after="40" w:line="220" w:lineRule="exact"/>
              <w:ind w:left="0" w:right="113"/>
              <w:jc w:val="right"/>
              <w:rPr>
                <w:sz w:val="18"/>
              </w:rPr>
            </w:pPr>
            <w:r w:rsidRPr="002416D4">
              <w:rPr>
                <w:sz w:val="18"/>
              </w:rPr>
              <w:t>3.4</w:t>
            </w:r>
          </w:p>
        </w:tc>
        <w:tc>
          <w:tcPr>
            <w:tcW w:w="930" w:type="dxa"/>
            <w:tcBorders>
              <w:top w:val="single" w:sz="12" w:space="0" w:color="auto"/>
            </w:tcBorders>
            <w:shd w:val="clear" w:color="auto" w:fill="auto"/>
            <w:noWrap/>
            <w:vAlign w:val="bottom"/>
            <w:hideMark/>
          </w:tcPr>
          <w:p w:rsidR="00C9789E" w:rsidRPr="002416D4" w:rsidRDefault="00C9789E" w:rsidP="002416D4">
            <w:pPr>
              <w:pStyle w:val="SingleTxtG"/>
              <w:spacing w:before="40" w:after="40" w:line="220" w:lineRule="exact"/>
              <w:ind w:left="0" w:right="113"/>
              <w:jc w:val="right"/>
              <w:rPr>
                <w:sz w:val="18"/>
              </w:rPr>
            </w:pPr>
            <w:r w:rsidRPr="002416D4">
              <w:rPr>
                <w:sz w:val="18"/>
              </w:rPr>
              <w:t>0.2</w:t>
            </w:r>
          </w:p>
        </w:tc>
        <w:tc>
          <w:tcPr>
            <w:tcW w:w="930" w:type="dxa"/>
            <w:tcBorders>
              <w:top w:val="single" w:sz="12" w:space="0" w:color="auto"/>
            </w:tcBorders>
            <w:shd w:val="clear" w:color="auto" w:fill="auto"/>
            <w:noWrap/>
            <w:vAlign w:val="bottom"/>
            <w:hideMark/>
          </w:tcPr>
          <w:p w:rsidR="00C9789E" w:rsidRPr="002416D4" w:rsidRDefault="00C9789E" w:rsidP="002416D4">
            <w:pPr>
              <w:pStyle w:val="SingleTxtG"/>
              <w:spacing w:before="40" w:after="40" w:line="220" w:lineRule="exact"/>
              <w:ind w:left="0" w:right="113"/>
              <w:jc w:val="right"/>
              <w:rPr>
                <w:sz w:val="18"/>
              </w:rPr>
            </w:pPr>
            <w:r w:rsidRPr="002416D4">
              <w:rPr>
                <w:sz w:val="18"/>
              </w:rPr>
              <w:t>2.4</w:t>
            </w:r>
          </w:p>
        </w:tc>
        <w:tc>
          <w:tcPr>
            <w:tcW w:w="930" w:type="dxa"/>
            <w:tcBorders>
              <w:top w:val="single" w:sz="12" w:space="0" w:color="auto"/>
            </w:tcBorders>
            <w:shd w:val="clear" w:color="auto" w:fill="auto"/>
            <w:noWrap/>
            <w:vAlign w:val="bottom"/>
            <w:hideMark/>
          </w:tcPr>
          <w:p w:rsidR="00C9789E" w:rsidRPr="002416D4" w:rsidRDefault="00C9789E" w:rsidP="002416D4">
            <w:pPr>
              <w:pStyle w:val="SingleTxtG"/>
              <w:spacing w:before="40" w:after="40" w:line="220" w:lineRule="exact"/>
              <w:ind w:left="0" w:right="113"/>
              <w:jc w:val="right"/>
              <w:rPr>
                <w:sz w:val="18"/>
              </w:rPr>
            </w:pPr>
            <w:r w:rsidRPr="002416D4">
              <w:rPr>
                <w:sz w:val="18"/>
              </w:rPr>
              <w:t>0.1</w:t>
            </w:r>
          </w:p>
        </w:tc>
        <w:tc>
          <w:tcPr>
            <w:tcW w:w="930" w:type="dxa"/>
            <w:tcBorders>
              <w:top w:val="single" w:sz="12" w:space="0" w:color="auto"/>
            </w:tcBorders>
            <w:shd w:val="clear" w:color="auto" w:fill="auto"/>
            <w:noWrap/>
            <w:vAlign w:val="bottom"/>
            <w:hideMark/>
          </w:tcPr>
          <w:p w:rsidR="00C9789E" w:rsidRPr="002416D4" w:rsidRDefault="00C9789E" w:rsidP="002416D4">
            <w:pPr>
              <w:pStyle w:val="SingleTxtG"/>
              <w:spacing w:before="40" w:after="40" w:line="220" w:lineRule="exact"/>
              <w:ind w:left="0" w:right="113"/>
              <w:jc w:val="right"/>
              <w:rPr>
                <w:sz w:val="18"/>
              </w:rPr>
            </w:pPr>
            <w:r w:rsidRPr="002416D4">
              <w:rPr>
                <w:sz w:val="18"/>
              </w:rPr>
              <w:t>4.4</w:t>
            </w:r>
          </w:p>
        </w:tc>
        <w:tc>
          <w:tcPr>
            <w:tcW w:w="1156" w:type="dxa"/>
            <w:tcBorders>
              <w:top w:val="single" w:sz="12" w:space="0" w:color="auto"/>
            </w:tcBorders>
            <w:shd w:val="clear" w:color="auto" w:fill="auto"/>
            <w:noWrap/>
            <w:vAlign w:val="bottom"/>
            <w:hideMark/>
          </w:tcPr>
          <w:p w:rsidR="00C9789E" w:rsidRPr="002416D4" w:rsidRDefault="00C9789E" w:rsidP="002416D4">
            <w:pPr>
              <w:pStyle w:val="SingleTxtG"/>
              <w:spacing w:before="40" w:after="40" w:line="220" w:lineRule="exact"/>
              <w:ind w:left="0" w:right="113"/>
              <w:jc w:val="right"/>
              <w:rPr>
                <w:sz w:val="18"/>
              </w:rPr>
            </w:pPr>
            <w:r w:rsidRPr="002416D4">
              <w:rPr>
                <w:sz w:val="18"/>
              </w:rPr>
              <w:t>0.3</w:t>
            </w:r>
          </w:p>
        </w:tc>
      </w:tr>
      <w:tr w:rsidR="00C9789E" w:rsidRPr="002416D4" w:rsidTr="00B77308">
        <w:trPr>
          <w:cantSplit/>
        </w:trPr>
        <w:tc>
          <w:tcPr>
            <w:tcW w:w="1571" w:type="dxa"/>
            <w:shd w:val="clear" w:color="auto" w:fill="auto"/>
            <w:hideMark/>
          </w:tcPr>
          <w:p w:rsidR="00C9789E" w:rsidRPr="002416D4" w:rsidRDefault="00C9789E" w:rsidP="002416D4">
            <w:pPr>
              <w:pStyle w:val="SingleTxtG"/>
              <w:spacing w:before="40" w:after="40" w:line="220" w:lineRule="exact"/>
              <w:ind w:left="0" w:right="113"/>
              <w:jc w:val="left"/>
              <w:rPr>
                <w:sz w:val="18"/>
              </w:rPr>
            </w:pPr>
            <w:r w:rsidRPr="002416D4">
              <w:rPr>
                <w:sz w:val="18"/>
              </w:rPr>
              <w:t>Dec-14</w:t>
            </w:r>
          </w:p>
        </w:tc>
        <w:tc>
          <w:tcPr>
            <w:tcW w:w="923" w:type="dxa"/>
            <w:shd w:val="clear" w:color="auto" w:fill="auto"/>
            <w:noWrap/>
            <w:vAlign w:val="bottom"/>
            <w:hideMark/>
          </w:tcPr>
          <w:p w:rsidR="00C9789E" w:rsidRPr="002416D4" w:rsidRDefault="00C9789E" w:rsidP="002416D4">
            <w:pPr>
              <w:pStyle w:val="SingleTxtG"/>
              <w:spacing w:before="40" w:after="40" w:line="220" w:lineRule="exact"/>
              <w:ind w:left="0" w:right="113"/>
              <w:jc w:val="right"/>
              <w:rPr>
                <w:sz w:val="18"/>
              </w:rPr>
            </w:pPr>
            <w:r w:rsidRPr="002416D4">
              <w:rPr>
                <w:sz w:val="18"/>
              </w:rPr>
              <w:t>3.8</w:t>
            </w:r>
          </w:p>
        </w:tc>
        <w:tc>
          <w:tcPr>
            <w:tcW w:w="930" w:type="dxa"/>
            <w:shd w:val="clear" w:color="auto" w:fill="auto"/>
            <w:noWrap/>
            <w:vAlign w:val="bottom"/>
            <w:hideMark/>
          </w:tcPr>
          <w:p w:rsidR="00C9789E" w:rsidRPr="002416D4" w:rsidRDefault="00C9789E" w:rsidP="002416D4">
            <w:pPr>
              <w:pStyle w:val="SingleTxtG"/>
              <w:spacing w:before="40" w:after="40" w:line="220" w:lineRule="exact"/>
              <w:ind w:left="0" w:right="113"/>
              <w:jc w:val="right"/>
              <w:rPr>
                <w:sz w:val="18"/>
              </w:rPr>
            </w:pPr>
            <w:r w:rsidRPr="002416D4">
              <w:rPr>
                <w:sz w:val="18"/>
              </w:rPr>
              <w:t>0.3</w:t>
            </w:r>
          </w:p>
        </w:tc>
        <w:tc>
          <w:tcPr>
            <w:tcW w:w="930" w:type="dxa"/>
            <w:shd w:val="clear" w:color="auto" w:fill="auto"/>
            <w:noWrap/>
            <w:vAlign w:val="bottom"/>
            <w:hideMark/>
          </w:tcPr>
          <w:p w:rsidR="00C9789E" w:rsidRPr="002416D4" w:rsidRDefault="00C9789E" w:rsidP="002416D4">
            <w:pPr>
              <w:pStyle w:val="SingleTxtG"/>
              <w:spacing w:before="40" w:after="40" w:line="220" w:lineRule="exact"/>
              <w:ind w:left="0" w:right="113"/>
              <w:jc w:val="right"/>
              <w:rPr>
                <w:sz w:val="18"/>
              </w:rPr>
            </w:pPr>
            <w:r w:rsidRPr="002416D4">
              <w:rPr>
                <w:sz w:val="18"/>
              </w:rPr>
              <w:t>2.6</w:t>
            </w:r>
          </w:p>
        </w:tc>
        <w:tc>
          <w:tcPr>
            <w:tcW w:w="930" w:type="dxa"/>
            <w:shd w:val="clear" w:color="auto" w:fill="auto"/>
            <w:noWrap/>
            <w:vAlign w:val="bottom"/>
            <w:hideMark/>
          </w:tcPr>
          <w:p w:rsidR="00C9789E" w:rsidRPr="002416D4" w:rsidRDefault="00C9789E" w:rsidP="002416D4">
            <w:pPr>
              <w:pStyle w:val="SingleTxtG"/>
              <w:spacing w:before="40" w:after="40" w:line="220" w:lineRule="exact"/>
              <w:ind w:left="0" w:right="113"/>
              <w:jc w:val="right"/>
              <w:rPr>
                <w:sz w:val="18"/>
              </w:rPr>
            </w:pPr>
            <w:r w:rsidRPr="002416D4">
              <w:rPr>
                <w:sz w:val="18"/>
              </w:rPr>
              <w:t>0.2</w:t>
            </w:r>
          </w:p>
        </w:tc>
        <w:tc>
          <w:tcPr>
            <w:tcW w:w="930" w:type="dxa"/>
            <w:shd w:val="clear" w:color="auto" w:fill="auto"/>
            <w:noWrap/>
            <w:vAlign w:val="bottom"/>
            <w:hideMark/>
          </w:tcPr>
          <w:p w:rsidR="00C9789E" w:rsidRPr="002416D4" w:rsidRDefault="00C9789E" w:rsidP="002416D4">
            <w:pPr>
              <w:pStyle w:val="SingleTxtG"/>
              <w:spacing w:before="40" w:after="40" w:line="220" w:lineRule="exact"/>
              <w:ind w:left="0" w:right="113"/>
              <w:jc w:val="right"/>
              <w:rPr>
                <w:sz w:val="18"/>
              </w:rPr>
            </w:pPr>
            <w:r w:rsidRPr="002416D4">
              <w:rPr>
                <w:sz w:val="18"/>
              </w:rPr>
              <w:t>4.9</w:t>
            </w:r>
          </w:p>
        </w:tc>
        <w:tc>
          <w:tcPr>
            <w:tcW w:w="1156" w:type="dxa"/>
            <w:shd w:val="clear" w:color="auto" w:fill="auto"/>
            <w:noWrap/>
            <w:vAlign w:val="bottom"/>
            <w:hideMark/>
          </w:tcPr>
          <w:p w:rsidR="00C9789E" w:rsidRPr="002416D4" w:rsidRDefault="00C9789E" w:rsidP="002416D4">
            <w:pPr>
              <w:pStyle w:val="SingleTxtG"/>
              <w:spacing w:before="40" w:after="40" w:line="220" w:lineRule="exact"/>
              <w:ind w:left="0" w:right="113"/>
              <w:jc w:val="right"/>
              <w:rPr>
                <w:sz w:val="18"/>
              </w:rPr>
            </w:pPr>
            <w:r w:rsidRPr="002416D4">
              <w:rPr>
                <w:sz w:val="18"/>
              </w:rPr>
              <w:t>0.4</w:t>
            </w:r>
          </w:p>
        </w:tc>
      </w:tr>
      <w:tr w:rsidR="00C9789E" w:rsidRPr="002416D4" w:rsidTr="00B77308">
        <w:trPr>
          <w:cantSplit/>
        </w:trPr>
        <w:tc>
          <w:tcPr>
            <w:tcW w:w="1571" w:type="dxa"/>
            <w:shd w:val="clear" w:color="auto" w:fill="auto"/>
            <w:hideMark/>
          </w:tcPr>
          <w:p w:rsidR="00C9789E" w:rsidRPr="002416D4" w:rsidRDefault="00C9789E" w:rsidP="002416D4">
            <w:pPr>
              <w:pStyle w:val="SingleTxtG"/>
              <w:spacing w:before="40" w:after="40" w:line="220" w:lineRule="exact"/>
              <w:ind w:left="0" w:right="113"/>
              <w:jc w:val="left"/>
              <w:rPr>
                <w:sz w:val="18"/>
              </w:rPr>
            </w:pPr>
            <w:r w:rsidRPr="002416D4">
              <w:rPr>
                <w:sz w:val="18"/>
              </w:rPr>
              <w:t>Sep-14</w:t>
            </w:r>
          </w:p>
        </w:tc>
        <w:tc>
          <w:tcPr>
            <w:tcW w:w="923" w:type="dxa"/>
            <w:shd w:val="clear" w:color="auto" w:fill="auto"/>
            <w:noWrap/>
            <w:vAlign w:val="bottom"/>
            <w:hideMark/>
          </w:tcPr>
          <w:p w:rsidR="00C9789E" w:rsidRPr="002416D4" w:rsidRDefault="00C9789E" w:rsidP="002416D4">
            <w:pPr>
              <w:pStyle w:val="SingleTxtG"/>
              <w:spacing w:before="40" w:after="40" w:line="220" w:lineRule="exact"/>
              <w:ind w:left="0" w:right="113"/>
              <w:jc w:val="right"/>
              <w:rPr>
                <w:sz w:val="18"/>
              </w:rPr>
            </w:pPr>
            <w:r w:rsidRPr="002416D4">
              <w:rPr>
                <w:sz w:val="18"/>
              </w:rPr>
              <w:t>3.6</w:t>
            </w:r>
          </w:p>
        </w:tc>
        <w:tc>
          <w:tcPr>
            <w:tcW w:w="930" w:type="dxa"/>
            <w:shd w:val="clear" w:color="auto" w:fill="auto"/>
            <w:noWrap/>
            <w:vAlign w:val="bottom"/>
            <w:hideMark/>
          </w:tcPr>
          <w:p w:rsidR="00C9789E" w:rsidRPr="002416D4" w:rsidRDefault="00C9789E" w:rsidP="002416D4">
            <w:pPr>
              <w:pStyle w:val="SingleTxtG"/>
              <w:spacing w:before="40" w:after="40" w:line="220" w:lineRule="exact"/>
              <w:ind w:left="0" w:right="113"/>
              <w:jc w:val="right"/>
              <w:rPr>
                <w:sz w:val="18"/>
              </w:rPr>
            </w:pPr>
            <w:r w:rsidRPr="002416D4">
              <w:rPr>
                <w:sz w:val="18"/>
              </w:rPr>
              <w:t>0.2</w:t>
            </w:r>
          </w:p>
        </w:tc>
        <w:tc>
          <w:tcPr>
            <w:tcW w:w="930" w:type="dxa"/>
            <w:shd w:val="clear" w:color="auto" w:fill="auto"/>
            <w:noWrap/>
            <w:vAlign w:val="bottom"/>
            <w:hideMark/>
          </w:tcPr>
          <w:p w:rsidR="00C9789E" w:rsidRPr="002416D4" w:rsidRDefault="00C9789E" w:rsidP="002416D4">
            <w:pPr>
              <w:pStyle w:val="SingleTxtG"/>
              <w:spacing w:before="40" w:after="40" w:line="220" w:lineRule="exact"/>
              <w:ind w:left="0" w:right="113"/>
              <w:jc w:val="right"/>
              <w:rPr>
                <w:sz w:val="18"/>
              </w:rPr>
            </w:pPr>
            <w:r w:rsidRPr="002416D4">
              <w:rPr>
                <w:sz w:val="18"/>
              </w:rPr>
              <w:t>2.4</w:t>
            </w:r>
          </w:p>
        </w:tc>
        <w:tc>
          <w:tcPr>
            <w:tcW w:w="930" w:type="dxa"/>
            <w:shd w:val="clear" w:color="auto" w:fill="auto"/>
            <w:noWrap/>
            <w:vAlign w:val="bottom"/>
            <w:hideMark/>
          </w:tcPr>
          <w:p w:rsidR="00C9789E" w:rsidRPr="002416D4" w:rsidRDefault="00C9789E" w:rsidP="002416D4">
            <w:pPr>
              <w:pStyle w:val="SingleTxtG"/>
              <w:spacing w:before="40" w:after="40" w:line="220" w:lineRule="exact"/>
              <w:ind w:left="0" w:right="113"/>
              <w:jc w:val="right"/>
              <w:rPr>
                <w:sz w:val="18"/>
              </w:rPr>
            </w:pPr>
            <w:r w:rsidRPr="002416D4">
              <w:rPr>
                <w:sz w:val="18"/>
              </w:rPr>
              <w:t>0.1</w:t>
            </w:r>
          </w:p>
        </w:tc>
        <w:tc>
          <w:tcPr>
            <w:tcW w:w="930" w:type="dxa"/>
            <w:shd w:val="clear" w:color="auto" w:fill="auto"/>
            <w:noWrap/>
            <w:vAlign w:val="bottom"/>
            <w:hideMark/>
          </w:tcPr>
          <w:p w:rsidR="00C9789E" w:rsidRPr="002416D4" w:rsidRDefault="00C9789E" w:rsidP="002416D4">
            <w:pPr>
              <w:pStyle w:val="SingleTxtG"/>
              <w:spacing w:before="40" w:after="40" w:line="220" w:lineRule="exact"/>
              <w:ind w:left="0" w:right="113"/>
              <w:jc w:val="right"/>
              <w:rPr>
                <w:sz w:val="18"/>
              </w:rPr>
            </w:pPr>
            <w:r w:rsidRPr="002416D4">
              <w:rPr>
                <w:sz w:val="18"/>
              </w:rPr>
              <w:t>4.7</w:t>
            </w:r>
          </w:p>
        </w:tc>
        <w:tc>
          <w:tcPr>
            <w:tcW w:w="1156" w:type="dxa"/>
            <w:shd w:val="clear" w:color="auto" w:fill="auto"/>
            <w:noWrap/>
            <w:vAlign w:val="bottom"/>
            <w:hideMark/>
          </w:tcPr>
          <w:p w:rsidR="00C9789E" w:rsidRPr="002416D4" w:rsidRDefault="00C9789E" w:rsidP="002416D4">
            <w:pPr>
              <w:pStyle w:val="SingleTxtG"/>
              <w:spacing w:before="40" w:after="40" w:line="220" w:lineRule="exact"/>
              <w:ind w:left="0" w:right="113"/>
              <w:jc w:val="right"/>
              <w:rPr>
                <w:sz w:val="18"/>
              </w:rPr>
            </w:pPr>
            <w:r w:rsidRPr="002416D4">
              <w:rPr>
                <w:sz w:val="18"/>
              </w:rPr>
              <w:t>0.4</w:t>
            </w:r>
          </w:p>
        </w:tc>
      </w:tr>
      <w:tr w:rsidR="00C9789E" w:rsidRPr="002416D4" w:rsidTr="00B77308">
        <w:trPr>
          <w:cantSplit/>
        </w:trPr>
        <w:tc>
          <w:tcPr>
            <w:tcW w:w="1571" w:type="dxa"/>
            <w:shd w:val="clear" w:color="auto" w:fill="auto"/>
            <w:hideMark/>
          </w:tcPr>
          <w:p w:rsidR="00C9789E" w:rsidRPr="002416D4" w:rsidRDefault="00C9789E" w:rsidP="002416D4">
            <w:pPr>
              <w:pStyle w:val="SingleTxtG"/>
              <w:spacing w:before="40" w:after="40" w:line="220" w:lineRule="exact"/>
              <w:ind w:left="0" w:right="113"/>
              <w:jc w:val="left"/>
              <w:rPr>
                <w:sz w:val="18"/>
              </w:rPr>
            </w:pPr>
            <w:r w:rsidRPr="002416D4">
              <w:rPr>
                <w:sz w:val="18"/>
              </w:rPr>
              <w:t>Jun-14</w:t>
            </w:r>
          </w:p>
        </w:tc>
        <w:tc>
          <w:tcPr>
            <w:tcW w:w="923" w:type="dxa"/>
            <w:shd w:val="clear" w:color="auto" w:fill="auto"/>
            <w:noWrap/>
            <w:vAlign w:val="bottom"/>
            <w:hideMark/>
          </w:tcPr>
          <w:p w:rsidR="00C9789E" w:rsidRPr="002416D4" w:rsidRDefault="00C9789E" w:rsidP="002416D4">
            <w:pPr>
              <w:pStyle w:val="SingleTxtG"/>
              <w:spacing w:before="40" w:after="40" w:line="220" w:lineRule="exact"/>
              <w:ind w:left="0" w:right="113"/>
              <w:jc w:val="right"/>
              <w:rPr>
                <w:sz w:val="18"/>
              </w:rPr>
            </w:pPr>
            <w:r w:rsidRPr="002416D4">
              <w:rPr>
                <w:sz w:val="18"/>
              </w:rPr>
              <w:t>3.6</w:t>
            </w:r>
          </w:p>
        </w:tc>
        <w:tc>
          <w:tcPr>
            <w:tcW w:w="930" w:type="dxa"/>
            <w:shd w:val="clear" w:color="auto" w:fill="auto"/>
            <w:noWrap/>
            <w:vAlign w:val="bottom"/>
            <w:hideMark/>
          </w:tcPr>
          <w:p w:rsidR="00C9789E" w:rsidRPr="002416D4" w:rsidRDefault="00C9789E" w:rsidP="002416D4">
            <w:pPr>
              <w:pStyle w:val="SingleTxtG"/>
              <w:spacing w:before="40" w:after="40" w:line="220" w:lineRule="exact"/>
              <w:ind w:left="0" w:right="113"/>
              <w:jc w:val="right"/>
              <w:rPr>
                <w:sz w:val="18"/>
              </w:rPr>
            </w:pPr>
            <w:r w:rsidRPr="002416D4">
              <w:rPr>
                <w:sz w:val="18"/>
              </w:rPr>
              <w:t>0.2</w:t>
            </w:r>
          </w:p>
        </w:tc>
        <w:tc>
          <w:tcPr>
            <w:tcW w:w="930" w:type="dxa"/>
            <w:shd w:val="clear" w:color="auto" w:fill="auto"/>
            <w:noWrap/>
            <w:vAlign w:val="bottom"/>
            <w:hideMark/>
          </w:tcPr>
          <w:p w:rsidR="00C9789E" w:rsidRPr="002416D4" w:rsidRDefault="00C9789E" w:rsidP="002416D4">
            <w:pPr>
              <w:pStyle w:val="SingleTxtG"/>
              <w:spacing w:before="40" w:after="40" w:line="220" w:lineRule="exact"/>
              <w:ind w:left="0" w:right="113"/>
              <w:jc w:val="right"/>
              <w:rPr>
                <w:sz w:val="18"/>
              </w:rPr>
            </w:pPr>
            <w:r w:rsidRPr="002416D4">
              <w:rPr>
                <w:sz w:val="18"/>
              </w:rPr>
              <w:t>2.5</w:t>
            </w:r>
          </w:p>
        </w:tc>
        <w:tc>
          <w:tcPr>
            <w:tcW w:w="930" w:type="dxa"/>
            <w:shd w:val="clear" w:color="auto" w:fill="auto"/>
            <w:noWrap/>
            <w:vAlign w:val="bottom"/>
            <w:hideMark/>
          </w:tcPr>
          <w:p w:rsidR="00C9789E" w:rsidRPr="002416D4" w:rsidRDefault="00C9789E" w:rsidP="002416D4">
            <w:pPr>
              <w:pStyle w:val="SingleTxtG"/>
              <w:spacing w:before="40" w:after="40" w:line="220" w:lineRule="exact"/>
              <w:ind w:left="0" w:right="113"/>
              <w:jc w:val="right"/>
              <w:rPr>
                <w:sz w:val="18"/>
              </w:rPr>
            </w:pPr>
            <w:r w:rsidRPr="002416D4">
              <w:rPr>
                <w:sz w:val="18"/>
              </w:rPr>
              <w:t>0.1</w:t>
            </w:r>
          </w:p>
        </w:tc>
        <w:tc>
          <w:tcPr>
            <w:tcW w:w="930" w:type="dxa"/>
            <w:shd w:val="clear" w:color="auto" w:fill="auto"/>
            <w:noWrap/>
            <w:vAlign w:val="bottom"/>
            <w:hideMark/>
          </w:tcPr>
          <w:p w:rsidR="00C9789E" w:rsidRPr="002416D4" w:rsidRDefault="00C9789E" w:rsidP="002416D4">
            <w:pPr>
              <w:pStyle w:val="SingleTxtG"/>
              <w:spacing w:before="40" w:after="40" w:line="220" w:lineRule="exact"/>
              <w:ind w:left="0" w:right="113"/>
              <w:jc w:val="right"/>
              <w:rPr>
                <w:sz w:val="18"/>
              </w:rPr>
            </w:pPr>
            <w:r w:rsidRPr="002416D4">
              <w:rPr>
                <w:sz w:val="18"/>
              </w:rPr>
              <w:t>4.8</w:t>
            </w:r>
          </w:p>
        </w:tc>
        <w:tc>
          <w:tcPr>
            <w:tcW w:w="1156" w:type="dxa"/>
            <w:shd w:val="clear" w:color="auto" w:fill="auto"/>
            <w:noWrap/>
            <w:vAlign w:val="bottom"/>
            <w:hideMark/>
          </w:tcPr>
          <w:p w:rsidR="00C9789E" w:rsidRPr="002416D4" w:rsidRDefault="00C9789E" w:rsidP="002416D4">
            <w:pPr>
              <w:pStyle w:val="SingleTxtG"/>
              <w:spacing w:before="40" w:after="40" w:line="220" w:lineRule="exact"/>
              <w:ind w:left="0" w:right="113"/>
              <w:jc w:val="right"/>
              <w:rPr>
                <w:sz w:val="18"/>
              </w:rPr>
            </w:pPr>
            <w:r w:rsidRPr="002416D4">
              <w:rPr>
                <w:sz w:val="18"/>
              </w:rPr>
              <w:t>0.4</w:t>
            </w:r>
          </w:p>
        </w:tc>
      </w:tr>
      <w:tr w:rsidR="00C9789E" w:rsidRPr="002416D4" w:rsidTr="00B77308">
        <w:trPr>
          <w:cantSplit/>
        </w:trPr>
        <w:tc>
          <w:tcPr>
            <w:tcW w:w="1571" w:type="dxa"/>
            <w:shd w:val="clear" w:color="auto" w:fill="auto"/>
            <w:hideMark/>
          </w:tcPr>
          <w:p w:rsidR="00C9789E" w:rsidRPr="002416D4" w:rsidRDefault="00C9789E" w:rsidP="002416D4">
            <w:pPr>
              <w:pStyle w:val="SingleTxtG"/>
              <w:spacing w:before="40" w:after="40" w:line="220" w:lineRule="exact"/>
              <w:ind w:left="0" w:right="113"/>
              <w:jc w:val="left"/>
              <w:rPr>
                <w:sz w:val="18"/>
              </w:rPr>
            </w:pPr>
            <w:r w:rsidRPr="002416D4">
              <w:rPr>
                <w:sz w:val="18"/>
              </w:rPr>
              <w:t>Mar-14</w:t>
            </w:r>
          </w:p>
        </w:tc>
        <w:tc>
          <w:tcPr>
            <w:tcW w:w="923" w:type="dxa"/>
            <w:shd w:val="clear" w:color="auto" w:fill="auto"/>
            <w:noWrap/>
            <w:vAlign w:val="bottom"/>
            <w:hideMark/>
          </w:tcPr>
          <w:p w:rsidR="00C9789E" w:rsidRPr="002416D4" w:rsidRDefault="00C9789E" w:rsidP="002416D4">
            <w:pPr>
              <w:pStyle w:val="SingleTxtG"/>
              <w:spacing w:before="40" w:after="40" w:line="220" w:lineRule="exact"/>
              <w:ind w:left="0" w:right="113"/>
              <w:jc w:val="right"/>
              <w:rPr>
                <w:sz w:val="18"/>
              </w:rPr>
            </w:pPr>
            <w:r w:rsidRPr="002416D4">
              <w:rPr>
                <w:sz w:val="18"/>
              </w:rPr>
              <w:t>3.4</w:t>
            </w:r>
          </w:p>
        </w:tc>
        <w:tc>
          <w:tcPr>
            <w:tcW w:w="930" w:type="dxa"/>
            <w:shd w:val="clear" w:color="auto" w:fill="auto"/>
            <w:noWrap/>
            <w:vAlign w:val="bottom"/>
            <w:hideMark/>
          </w:tcPr>
          <w:p w:rsidR="00C9789E" w:rsidRPr="002416D4" w:rsidRDefault="00C9789E" w:rsidP="002416D4">
            <w:pPr>
              <w:pStyle w:val="SingleTxtG"/>
              <w:spacing w:before="40" w:after="40" w:line="220" w:lineRule="exact"/>
              <w:ind w:left="0" w:right="113"/>
              <w:jc w:val="right"/>
              <w:rPr>
                <w:sz w:val="18"/>
              </w:rPr>
            </w:pPr>
            <w:r w:rsidRPr="002416D4">
              <w:rPr>
                <w:sz w:val="18"/>
              </w:rPr>
              <w:t>0.2</w:t>
            </w:r>
          </w:p>
        </w:tc>
        <w:tc>
          <w:tcPr>
            <w:tcW w:w="930" w:type="dxa"/>
            <w:shd w:val="clear" w:color="auto" w:fill="auto"/>
            <w:noWrap/>
            <w:vAlign w:val="bottom"/>
            <w:hideMark/>
          </w:tcPr>
          <w:p w:rsidR="00C9789E" w:rsidRPr="002416D4" w:rsidRDefault="00C9789E" w:rsidP="002416D4">
            <w:pPr>
              <w:pStyle w:val="SingleTxtG"/>
              <w:spacing w:before="40" w:after="40" w:line="220" w:lineRule="exact"/>
              <w:ind w:left="0" w:right="113"/>
              <w:jc w:val="right"/>
              <w:rPr>
                <w:sz w:val="18"/>
              </w:rPr>
            </w:pPr>
            <w:r w:rsidRPr="002416D4">
              <w:rPr>
                <w:sz w:val="18"/>
              </w:rPr>
              <w:t>2.4</w:t>
            </w:r>
          </w:p>
        </w:tc>
        <w:tc>
          <w:tcPr>
            <w:tcW w:w="930" w:type="dxa"/>
            <w:shd w:val="clear" w:color="auto" w:fill="auto"/>
            <w:noWrap/>
            <w:vAlign w:val="bottom"/>
            <w:hideMark/>
          </w:tcPr>
          <w:p w:rsidR="00C9789E" w:rsidRPr="002416D4" w:rsidRDefault="00C9789E" w:rsidP="002416D4">
            <w:pPr>
              <w:pStyle w:val="SingleTxtG"/>
              <w:spacing w:before="40" w:after="40" w:line="220" w:lineRule="exact"/>
              <w:ind w:left="0" w:right="113"/>
              <w:jc w:val="right"/>
              <w:rPr>
                <w:sz w:val="18"/>
              </w:rPr>
            </w:pPr>
            <w:r w:rsidRPr="002416D4">
              <w:rPr>
                <w:sz w:val="18"/>
              </w:rPr>
              <w:t>0.1</w:t>
            </w:r>
          </w:p>
        </w:tc>
        <w:tc>
          <w:tcPr>
            <w:tcW w:w="930" w:type="dxa"/>
            <w:shd w:val="clear" w:color="auto" w:fill="auto"/>
            <w:noWrap/>
            <w:vAlign w:val="bottom"/>
            <w:hideMark/>
          </w:tcPr>
          <w:p w:rsidR="00C9789E" w:rsidRPr="002416D4" w:rsidRDefault="00C9789E" w:rsidP="002416D4">
            <w:pPr>
              <w:pStyle w:val="SingleTxtG"/>
              <w:spacing w:before="40" w:after="40" w:line="220" w:lineRule="exact"/>
              <w:ind w:left="0" w:right="113"/>
              <w:jc w:val="right"/>
              <w:rPr>
                <w:sz w:val="18"/>
              </w:rPr>
            </w:pPr>
            <w:r w:rsidRPr="002416D4">
              <w:rPr>
                <w:sz w:val="18"/>
              </w:rPr>
              <w:t>4.5</w:t>
            </w:r>
          </w:p>
        </w:tc>
        <w:tc>
          <w:tcPr>
            <w:tcW w:w="1156" w:type="dxa"/>
            <w:shd w:val="clear" w:color="auto" w:fill="auto"/>
            <w:noWrap/>
            <w:vAlign w:val="bottom"/>
            <w:hideMark/>
          </w:tcPr>
          <w:p w:rsidR="00C9789E" w:rsidRPr="002416D4" w:rsidRDefault="00C9789E" w:rsidP="002416D4">
            <w:pPr>
              <w:pStyle w:val="SingleTxtG"/>
              <w:spacing w:before="40" w:after="40" w:line="220" w:lineRule="exact"/>
              <w:ind w:left="0" w:right="113"/>
              <w:jc w:val="right"/>
              <w:rPr>
                <w:sz w:val="18"/>
              </w:rPr>
            </w:pPr>
            <w:r w:rsidRPr="002416D4">
              <w:rPr>
                <w:sz w:val="18"/>
              </w:rPr>
              <w:t>0.3</w:t>
            </w:r>
          </w:p>
        </w:tc>
      </w:tr>
      <w:tr w:rsidR="00C9789E" w:rsidRPr="002416D4" w:rsidTr="00B77308">
        <w:trPr>
          <w:cantSplit/>
        </w:trPr>
        <w:tc>
          <w:tcPr>
            <w:tcW w:w="1571" w:type="dxa"/>
            <w:shd w:val="clear" w:color="auto" w:fill="auto"/>
            <w:hideMark/>
          </w:tcPr>
          <w:p w:rsidR="00C9789E" w:rsidRPr="002416D4" w:rsidRDefault="00C9789E" w:rsidP="002416D4">
            <w:pPr>
              <w:pStyle w:val="SingleTxtG"/>
              <w:spacing w:before="40" w:after="40" w:line="220" w:lineRule="exact"/>
              <w:ind w:left="0" w:right="113"/>
              <w:jc w:val="left"/>
              <w:rPr>
                <w:sz w:val="18"/>
              </w:rPr>
            </w:pPr>
            <w:r w:rsidRPr="002416D4">
              <w:rPr>
                <w:sz w:val="18"/>
              </w:rPr>
              <w:t>Dec-13</w:t>
            </w:r>
          </w:p>
        </w:tc>
        <w:tc>
          <w:tcPr>
            <w:tcW w:w="923" w:type="dxa"/>
            <w:shd w:val="clear" w:color="auto" w:fill="auto"/>
            <w:noWrap/>
            <w:vAlign w:val="bottom"/>
            <w:hideMark/>
          </w:tcPr>
          <w:p w:rsidR="00C9789E" w:rsidRPr="002416D4" w:rsidRDefault="00C9789E" w:rsidP="002416D4">
            <w:pPr>
              <w:pStyle w:val="SingleTxtG"/>
              <w:spacing w:before="40" w:after="40" w:line="220" w:lineRule="exact"/>
              <w:ind w:left="0" w:right="113"/>
              <w:jc w:val="right"/>
              <w:rPr>
                <w:sz w:val="18"/>
              </w:rPr>
            </w:pPr>
            <w:r w:rsidRPr="002416D4">
              <w:rPr>
                <w:sz w:val="18"/>
              </w:rPr>
              <w:t>3.8</w:t>
            </w:r>
          </w:p>
        </w:tc>
        <w:tc>
          <w:tcPr>
            <w:tcW w:w="930" w:type="dxa"/>
            <w:shd w:val="clear" w:color="auto" w:fill="auto"/>
            <w:noWrap/>
            <w:vAlign w:val="bottom"/>
            <w:hideMark/>
          </w:tcPr>
          <w:p w:rsidR="00C9789E" w:rsidRPr="002416D4" w:rsidRDefault="00C9789E" w:rsidP="002416D4">
            <w:pPr>
              <w:pStyle w:val="SingleTxtG"/>
              <w:spacing w:before="40" w:after="40" w:line="220" w:lineRule="exact"/>
              <w:ind w:left="0" w:right="113"/>
              <w:jc w:val="right"/>
              <w:rPr>
                <w:sz w:val="18"/>
              </w:rPr>
            </w:pPr>
            <w:r w:rsidRPr="002416D4">
              <w:rPr>
                <w:sz w:val="18"/>
              </w:rPr>
              <w:t>0.3</w:t>
            </w:r>
          </w:p>
        </w:tc>
        <w:tc>
          <w:tcPr>
            <w:tcW w:w="930" w:type="dxa"/>
            <w:shd w:val="clear" w:color="auto" w:fill="auto"/>
            <w:noWrap/>
            <w:vAlign w:val="bottom"/>
            <w:hideMark/>
          </w:tcPr>
          <w:p w:rsidR="00C9789E" w:rsidRPr="002416D4" w:rsidRDefault="00C9789E" w:rsidP="002416D4">
            <w:pPr>
              <w:pStyle w:val="SingleTxtG"/>
              <w:spacing w:before="40" w:after="40" w:line="220" w:lineRule="exact"/>
              <w:ind w:left="0" w:right="113"/>
              <w:jc w:val="right"/>
              <w:rPr>
                <w:sz w:val="18"/>
              </w:rPr>
            </w:pPr>
            <w:r w:rsidRPr="002416D4">
              <w:rPr>
                <w:sz w:val="18"/>
              </w:rPr>
              <w:t>2.7</w:t>
            </w:r>
          </w:p>
        </w:tc>
        <w:tc>
          <w:tcPr>
            <w:tcW w:w="930" w:type="dxa"/>
            <w:shd w:val="clear" w:color="auto" w:fill="auto"/>
            <w:noWrap/>
            <w:vAlign w:val="bottom"/>
            <w:hideMark/>
          </w:tcPr>
          <w:p w:rsidR="00C9789E" w:rsidRPr="002416D4" w:rsidRDefault="00C9789E" w:rsidP="002416D4">
            <w:pPr>
              <w:pStyle w:val="SingleTxtG"/>
              <w:spacing w:before="40" w:after="40" w:line="220" w:lineRule="exact"/>
              <w:ind w:left="0" w:right="113"/>
              <w:jc w:val="right"/>
              <w:rPr>
                <w:sz w:val="18"/>
              </w:rPr>
            </w:pPr>
            <w:r w:rsidRPr="002416D4">
              <w:rPr>
                <w:sz w:val="18"/>
              </w:rPr>
              <w:t>0.1</w:t>
            </w:r>
          </w:p>
        </w:tc>
        <w:tc>
          <w:tcPr>
            <w:tcW w:w="930" w:type="dxa"/>
            <w:shd w:val="clear" w:color="auto" w:fill="auto"/>
            <w:noWrap/>
            <w:vAlign w:val="bottom"/>
            <w:hideMark/>
          </w:tcPr>
          <w:p w:rsidR="00C9789E" w:rsidRPr="002416D4" w:rsidRDefault="00C9789E" w:rsidP="002416D4">
            <w:pPr>
              <w:pStyle w:val="SingleTxtG"/>
              <w:spacing w:before="40" w:after="40" w:line="220" w:lineRule="exact"/>
              <w:ind w:left="0" w:right="113"/>
              <w:jc w:val="right"/>
              <w:rPr>
                <w:sz w:val="18"/>
              </w:rPr>
            </w:pPr>
            <w:r w:rsidRPr="002416D4">
              <w:rPr>
                <w:sz w:val="18"/>
              </w:rPr>
              <w:t>5.0</w:t>
            </w:r>
          </w:p>
        </w:tc>
        <w:tc>
          <w:tcPr>
            <w:tcW w:w="1156" w:type="dxa"/>
            <w:shd w:val="clear" w:color="auto" w:fill="auto"/>
            <w:noWrap/>
            <w:vAlign w:val="bottom"/>
            <w:hideMark/>
          </w:tcPr>
          <w:p w:rsidR="00C9789E" w:rsidRPr="002416D4" w:rsidRDefault="00C9789E" w:rsidP="002416D4">
            <w:pPr>
              <w:pStyle w:val="SingleTxtG"/>
              <w:spacing w:before="40" w:after="40" w:line="220" w:lineRule="exact"/>
              <w:ind w:left="0" w:right="113"/>
              <w:jc w:val="right"/>
              <w:rPr>
                <w:sz w:val="18"/>
              </w:rPr>
            </w:pPr>
            <w:r w:rsidRPr="002416D4">
              <w:rPr>
                <w:sz w:val="18"/>
              </w:rPr>
              <w:t>0.4</w:t>
            </w:r>
          </w:p>
        </w:tc>
      </w:tr>
      <w:tr w:rsidR="00C9789E" w:rsidRPr="002416D4" w:rsidTr="00B77308">
        <w:trPr>
          <w:cantSplit/>
        </w:trPr>
        <w:tc>
          <w:tcPr>
            <w:tcW w:w="1571" w:type="dxa"/>
            <w:shd w:val="clear" w:color="auto" w:fill="auto"/>
            <w:hideMark/>
          </w:tcPr>
          <w:p w:rsidR="00C9789E" w:rsidRPr="002416D4" w:rsidRDefault="00C9789E" w:rsidP="002416D4">
            <w:pPr>
              <w:pStyle w:val="SingleTxtG"/>
              <w:spacing w:before="40" w:after="40" w:line="220" w:lineRule="exact"/>
              <w:ind w:left="0" w:right="113"/>
              <w:jc w:val="left"/>
              <w:rPr>
                <w:sz w:val="18"/>
              </w:rPr>
            </w:pPr>
            <w:r w:rsidRPr="002416D4">
              <w:rPr>
                <w:sz w:val="18"/>
              </w:rPr>
              <w:t>Sep-13</w:t>
            </w:r>
          </w:p>
        </w:tc>
        <w:tc>
          <w:tcPr>
            <w:tcW w:w="923" w:type="dxa"/>
            <w:shd w:val="clear" w:color="auto" w:fill="auto"/>
            <w:noWrap/>
            <w:vAlign w:val="bottom"/>
            <w:hideMark/>
          </w:tcPr>
          <w:p w:rsidR="00C9789E" w:rsidRPr="002416D4" w:rsidRDefault="00C9789E" w:rsidP="002416D4">
            <w:pPr>
              <w:pStyle w:val="SingleTxtG"/>
              <w:spacing w:before="40" w:after="40" w:line="220" w:lineRule="exact"/>
              <w:ind w:left="0" w:right="113"/>
              <w:jc w:val="right"/>
              <w:rPr>
                <w:sz w:val="18"/>
              </w:rPr>
            </w:pPr>
            <w:r w:rsidRPr="002416D4">
              <w:rPr>
                <w:sz w:val="18"/>
              </w:rPr>
              <w:t>3.6</w:t>
            </w:r>
          </w:p>
        </w:tc>
        <w:tc>
          <w:tcPr>
            <w:tcW w:w="930" w:type="dxa"/>
            <w:shd w:val="clear" w:color="auto" w:fill="auto"/>
            <w:noWrap/>
            <w:vAlign w:val="bottom"/>
            <w:hideMark/>
          </w:tcPr>
          <w:p w:rsidR="00C9789E" w:rsidRPr="002416D4" w:rsidRDefault="00C9789E" w:rsidP="002416D4">
            <w:pPr>
              <w:pStyle w:val="SingleTxtG"/>
              <w:spacing w:before="40" w:after="40" w:line="220" w:lineRule="exact"/>
              <w:ind w:left="0" w:right="113"/>
              <w:jc w:val="right"/>
              <w:rPr>
                <w:sz w:val="18"/>
              </w:rPr>
            </w:pPr>
            <w:r w:rsidRPr="002416D4">
              <w:rPr>
                <w:sz w:val="18"/>
              </w:rPr>
              <w:t>0.2</w:t>
            </w:r>
          </w:p>
        </w:tc>
        <w:tc>
          <w:tcPr>
            <w:tcW w:w="930" w:type="dxa"/>
            <w:shd w:val="clear" w:color="auto" w:fill="auto"/>
            <w:noWrap/>
            <w:vAlign w:val="bottom"/>
            <w:hideMark/>
          </w:tcPr>
          <w:p w:rsidR="00C9789E" w:rsidRPr="002416D4" w:rsidRDefault="00C9789E" w:rsidP="002416D4">
            <w:pPr>
              <w:pStyle w:val="SingleTxtG"/>
              <w:spacing w:before="40" w:after="40" w:line="220" w:lineRule="exact"/>
              <w:ind w:left="0" w:right="113"/>
              <w:jc w:val="right"/>
              <w:rPr>
                <w:sz w:val="18"/>
              </w:rPr>
            </w:pPr>
            <w:r w:rsidRPr="002416D4">
              <w:rPr>
                <w:sz w:val="18"/>
              </w:rPr>
              <w:t>2.5</w:t>
            </w:r>
          </w:p>
        </w:tc>
        <w:tc>
          <w:tcPr>
            <w:tcW w:w="930" w:type="dxa"/>
            <w:shd w:val="clear" w:color="auto" w:fill="auto"/>
            <w:noWrap/>
            <w:vAlign w:val="bottom"/>
            <w:hideMark/>
          </w:tcPr>
          <w:p w:rsidR="00C9789E" w:rsidRPr="002416D4" w:rsidRDefault="00C9789E" w:rsidP="002416D4">
            <w:pPr>
              <w:pStyle w:val="SingleTxtG"/>
              <w:spacing w:before="40" w:after="40" w:line="220" w:lineRule="exact"/>
              <w:ind w:left="0" w:right="113"/>
              <w:jc w:val="right"/>
              <w:rPr>
                <w:sz w:val="18"/>
              </w:rPr>
            </w:pPr>
            <w:r w:rsidRPr="002416D4">
              <w:rPr>
                <w:sz w:val="18"/>
              </w:rPr>
              <w:t>0.1</w:t>
            </w:r>
          </w:p>
        </w:tc>
        <w:tc>
          <w:tcPr>
            <w:tcW w:w="930" w:type="dxa"/>
            <w:shd w:val="clear" w:color="auto" w:fill="auto"/>
            <w:noWrap/>
            <w:vAlign w:val="bottom"/>
            <w:hideMark/>
          </w:tcPr>
          <w:p w:rsidR="00C9789E" w:rsidRPr="002416D4" w:rsidRDefault="00C9789E" w:rsidP="002416D4">
            <w:pPr>
              <w:pStyle w:val="SingleTxtG"/>
              <w:spacing w:before="40" w:after="40" w:line="220" w:lineRule="exact"/>
              <w:ind w:left="0" w:right="113"/>
              <w:jc w:val="right"/>
              <w:rPr>
                <w:sz w:val="18"/>
              </w:rPr>
            </w:pPr>
            <w:r w:rsidRPr="002416D4">
              <w:rPr>
                <w:sz w:val="18"/>
              </w:rPr>
              <w:t>4.8</w:t>
            </w:r>
          </w:p>
        </w:tc>
        <w:tc>
          <w:tcPr>
            <w:tcW w:w="1156" w:type="dxa"/>
            <w:shd w:val="clear" w:color="auto" w:fill="auto"/>
            <w:noWrap/>
            <w:vAlign w:val="bottom"/>
            <w:hideMark/>
          </w:tcPr>
          <w:p w:rsidR="00C9789E" w:rsidRPr="002416D4" w:rsidRDefault="00C9789E" w:rsidP="002416D4">
            <w:pPr>
              <w:pStyle w:val="SingleTxtG"/>
              <w:spacing w:before="40" w:after="40" w:line="220" w:lineRule="exact"/>
              <w:ind w:left="0" w:right="113"/>
              <w:jc w:val="right"/>
              <w:rPr>
                <w:sz w:val="18"/>
              </w:rPr>
            </w:pPr>
            <w:r w:rsidRPr="002416D4">
              <w:rPr>
                <w:sz w:val="18"/>
              </w:rPr>
              <w:t>0.4</w:t>
            </w:r>
          </w:p>
        </w:tc>
      </w:tr>
      <w:tr w:rsidR="00C9789E" w:rsidRPr="002416D4" w:rsidTr="00B77308">
        <w:trPr>
          <w:cantSplit/>
        </w:trPr>
        <w:tc>
          <w:tcPr>
            <w:tcW w:w="1571" w:type="dxa"/>
            <w:shd w:val="clear" w:color="auto" w:fill="auto"/>
            <w:hideMark/>
          </w:tcPr>
          <w:p w:rsidR="00C9789E" w:rsidRPr="002416D4" w:rsidRDefault="00C9789E" w:rsidP="002416D4">
            <w:pPr>
              <w:pStyle w:val="SingleTxtG"/>
              <w:spacing w:before="40" w:after="40" w:line="220" w:lineRule="exact"/>
              <w:ind w:left="0" w:right="113"/>
              <w:jc w:val="left"/>
              <w:rPr>
                <w:sz w:val="18"/>
              </w:rPr>
            </w:pPr>
            <w:r w:rsidRPr="002416D4">
              <w:rPr>
                <w:sz w:val="18"/>
              </w:rPr>
              <w:t>Jun-13</w:t>
            </w:r>
          </w:p>
        </w:tc>
        <w:tc>
          <w:tcPr>
            <w:tcW w:w="923" w:type="dxa"/>
            <w:shd w:val="clear" w:color="auto" w:fill="auto"/>
            <w:noWrap/>
            <w:vAlign w:val="bottom"/>
            <w:hideMark/>
          </w:tcPr>
          <w:p w:rsidR="00C9789E" w:rsidRPr="002416D4" w:rsidRDefault="00C9789E" w:rsidP="002416D4">
            <w:pPr>
              <w:pStyle w:val="SingleTxtG"/>
              <w:spacing w:before="40" w:after="40" w:line="220" w:lineRule="exact"/>
              <w:ind w:left="0" w:right="113"/>
              <w:jc w:val="right"/>
              <w:rPr>
                <w:sz w:val="18"/>
              </w:rPr>
            </w:pPr>
            <w:r w:rsidRPr="002416D4">
              <w:rPr>
                <w:sz w:val="18"/>
              </w:rPr>
              <w:t>3.8</w:t>
            </w:r>
          </w:p>
        </w:tc>
        <w:tc>
          <w:tcPr>
            <w:tcW w:w="930" w:type="dxa"/>
            <w:shd w:val="clear" w:color="auto" w:fill="auto"/>
            <w:noWrap/>
            <w:vAlign w:val="bottom"/>
            <w:hideMark/>
          </w:tcPr>
          <w:p w:rsidR="00C9789E" w:rsidRPr="002416D4" w:rsidRDefault="00C9789E" w:rsidP="002416D4">
            <w:pPr>
              <w:pStyle w:val="SingleTxtG"/>
              <w:spacing w:before="40" w:after="40" w:line="220" w:lineRule="exact"/>
              <w:ind w:left="0" w:right="113"/>
              <w:jc w:val="right"/>
              <w:rPr>
                <w:sz w:val="18"/>
              </w:rPr>
            </w:pPr>
            <w:r w:rsidRPr="002416D4">
              <w:rPr>
                <w:sz w:val="18"/>
              </w:rPr>
              <w:t>0.3</w:t>
            </w:r>
          </w:p>
        </w:tc>
        <w:tc>
          <w:tcPr>
            <w:tcW w:w="930" w:type="dxa"/>
            <w:shd w:val="clear" w:color="auto" w:fill="auto"/>
            <w:noWrap/>
            <w:vAlign w:val="bottom"/>
            <w:hideMark/>
          </w:tcPr>
          <w:p w:rsidR="00C9789E" w:rsidRPr="002416D4" w:rsidRDefault="00C9789E" w:rsidP="002416D4">
            <w:pPr>
              <w:pStyle w:val="SingleTxtG"/>
              <w:spacing w:before="40" w:after="40" w:line="220" w:lineRule="exact"/>
              <w:ind w:left="0" w:right="113"/>
              <w:jc w:val="right"/>
              <w:rPr>
                <w:sz w:val="18"/>
              </w:rPr>
            </w:pPr>
            <w:r w:rsidRPr="002416D4">
              <w:rPr>
                <w:sz w:val="18"/>
              </w:rPr>
              <w:t>2.6</w:t>
            </w:r>
          </w:p>
        </w:tc>
        <w:tc>
          <w:tcPr>
            <w:tcW w:w="930" w:type="dxa"/>
            <w:shd w:val="clear" w:color="auto" w:fill="auto"/>
            <w:noWrap/>
            <w:vAlign w:val="bottom"/>
            <w:hideMark/>
          </w:tcPr>
          <w:p w:rsidR="00C9789E" w:rsidRPr="002416D4" w:rsidRDefault="00C9789E" w:rsidP="002416D4">
            <w:pPr>
              <w:pStyle w:val="SingleTxtG"/>
              <w:spacing w:before="40" w:after="40" w:line="220" w:lineRule="exact"/>
              <w:ind w:left="0" w:right="113"/>
              <w:jc w:val="right"/>
              <w:rPr>
                <w:sz w:val="18"/>
              </w:rPr>
            </w:pPr>
            <w:r w:rsidRPr="002416D4">
              <w:rPr>
                <w:sz w:val="18"/>
              </w:rPr>
              <w:t>0.1</w:t>
            </w:r>
          </w:p>
        </w:tc>
        <w:tc>
          <w:tcPr>
            <w:tcW w:w="930" w:type="dxa"/>
            <w:shd w:val="clear" w:color="auto" w:fill="auto"/>
            <w:noWrap/>
            <w:vAlign w:val="bottom"/>
            <w:hideMark/>
          </w:tcPr>
          <w:p w:rsidR="00C9789E" w:rsidRPr="002416D4" w:rsidRDefault="00C9789E" w:rsidP="002416D4">
            <w:pPr>
              <w:pStyle w:val="SingleTxtG"/>
              <w:spacing w:before="40" w:after="40" w:line="220" w:lineRule="exact"/>
              <w:ind w:left="0" w:right="113"/>
              <w:jc w:val="right"/>
              <w:rPr>
                <w:sz w:val="18"/>
              </w:rPr>
            </w:pPr>
            <w:r w:rsidRPr="002416D4">
              <w:rPr>
                <w:sz w:val="18"/>
              </w:rPr>
              <w:t>4.9</w:t>
            </w:r>
          </w:p>
        </w:tc>
        <w:tc>
          <w:tcPr>
            <w:tcW w:w="1156" w:type="dxa"/>
            <w:shd w:val="clear" w:color="auto" w:fill="auto"/>
            <w:noWrap/>
            <w:vAlign w:val="bottom"/>
            <w:hideMark/>
          </w:tcPr>
          <w:p w:rsidR="00C9789E" w:rsidRPr="002416D4" w:rsidRDefault="00C9789E" w:rsidP="002416D4">
            <w:pPr>
              <w:pStyle w:val="SingleTxtG"/>
              <w:spacing w:before="40" w:after="40" w:line="220" w:lineRule="exact"/>
              <w:ind w:left="0" w:right="113"/>
              <w:jc w:val="right"/>
              <w:rPr>
                <w:sz w:val="18"/>
              </w:rPr>
            </w:pPr>
            <w:r w:rsidRPr="002416D4">
              <w:rPr>
                <w:sz w:val="18"/>
              </w:rPr>
              <w:t>0.4</w:t>
            </w:r>
          </w:p>
        </w:tc>
      </w:tr>
      <w:tr w:rsidR="00C9789E" w:rsidRPr="002416D4" w:rsidTr="00B77308">
        <w:trPr>
          <w:cantSplit/>
        </w:trPr>
        <w:tc>
          <w:tcPr>
            <w:tcW w:w="1571" w:type="dxa"/>
            <w:shd w:val="clear" w:color="auto" w:fill="auto"/>
            <w:hideMark/>
          </w:tcPr>
          <w:p w:rsidR="00C9789E" w:rsidRPr="002416D4" w:rsidRDefault="00C9789E" w:rsidP="002416D4">
            <w:pPr>
              <w:pStyle w:val="SingleTxtG"/>
              <w:spacing w:before="40" w:after="40" w:line="220" w:lineRule="exact"/>
              <w:ind w:left="0" w:right="113"/>
              <w:jc w:val="left"/>
              <w:rPr>
                <w:sz w:val="18"/>
              </w:rPr>
            </w:pPr>
            <w:r w:rsidRPr="002416D4">
              <w:rPr>
                <w:sz w:val="18"/>
              </w:rPr>
              <w:t>Mar-13</w:t>
            </w:r>
          </w:p>
        </w:tc>
        <w:tc>
          <w:tcPr>
            <w:tcW w:w="923" w:type="dxa"/>
            <w:shd w:val="clear" w:color="auto" w:fill="auto"/>
            <w:noWrap/>
            <w:vAlign w:val="bottom"/>
            <w:hideMark/>
          </w:tcPr>
          <w:p w:rsidR="00C9789E" w:rsidRPr="002416D4" w:rsidRDefault="00C9789E" w:rsidP="002416D4">
            <w:pPr>
              <w:pStyle w:val="SingleTxtG"/>
              <w:spacing w:before="40" w:after="40" w:line="220" w:lineRule="exact"/>
              <w:ind w:left="0" w:right="113"/>
              <w:jc w:val="right"/>
              <w:rPr>
                <w:sz w:val="18"/>
              </w:rPr>
            </w:pPr>
            <w:r w:rsidRPr="002416D4">
              <w:rPr>
                <w:sz w:val="18"/>
              </w:rPr>
              <w:t>3.5</w:t>
            </w:r>
          </w:p>
        </w:tc>
        <w:tc>
          <w:tcPr>
            <w:tcW w:w="930" w:type="dxa"/>
            <w:shd w:val="clear" w:color="auto" w:fill="auto"/>
            <w:noWrap/>
            <w:vAlign w:val="bottom"/>
            <w:hideMark/>
          </w:tcPr>
          <w:p w:rsidR="00C9789E" w:rsidRPr="002416D4" w:rsidRDefault="00C9789E" w:rsidP="002416D4">
            <w:pPr>
              <w:pStyle w:val="SingleTxtG"/>
              <w:spacing w:before="40" w:after="40" w:line="220" w:lineRule="exact"/>
              <w:ind w:left="0" w:right="113"/>
              <w:jc w:val="right"/>
              <w:rPr>
                <w:sz w:val="18"/>
              </w:rPr>
            </w:pPr>
            <w:r w:rsidRPr="002416D4">
              <w:rPr>
                <w:sz w:val="18"/>
              </w:rPr>
              <w:t>0.2</w:t>
            </w:r>
          </w:p>
        </w:tc>
        <w:tc>
          <w:tcPr>
            <w:tcW w:w="930" w:type="dxa"/>
            <w:shd w:val="clear" w:color="auto" w:fill="auto"/>
            <w:noWrap/>
            <w:vAlign w:val="bottom"/>
            <w:hideMark/>
          </w:tcPr>
          <w:p w:rsidR="00C9789E" w:rsidRPr="002416D4" w:rsidRDefault="00C9789E" w:rsidP="002416D4">
            <w:pPr>
              <w:pStyle w:val="SingleTxtG"/>
              <w:spacing w:before="40" w:after="40" w:line="220" w:lineRule="exact"/>
              <w:ind w:left="0" w:right="113"/>
              <w:jc w:val="right"/>
              <w:rPr>
                <w:sz w:val="18"/>
              </w:rPr>
            </w:pPr>
            <w:r w:rsidRPr="002416D4">
              <w:rPr>
                <w:sz w:val="18"/>
              </w:rPr>
              <w:t>2.4</w:t>
            </w:r>
          </w:p>
        </w:tc>
        <w:tc>
          <w:tcPr>
            <w:tcW w:w="930" w:type="dxa"/>
            <w:shd w:val="clear" w:color="auto" w:fill="auto"/>
            <w:noWrap/>
            <w:vAlign w:val="bottom"/>
            <w:hideMark/>
          </w:tcPr>
          <w:p w:rsidR="00C9789E" w:rsidRPr="002416D4" w:rsidRDefault="00C9789E" w:rsidP="002416D4">
            <w:pPr>
              <w:pStyle w:val="SingleTxtG"/>
              <w:spacing w:before="40" w:after="40" w:line="220" w:lineRule="exact"/>
              <w:ind w:left="0" w:right="113"/>
              <w:jc w:val="right"/>
              <w:rPr>
                <w:sz w:val="18"/>
              </w:rPr>
            </w:pPr>
            <w:r w:rsidRPr="002416D4">
              <w:rPr>
                <w:sz w:val="18"/>
              </w:rPr>
              <w:t>0.1</w:t>
            </w:r>
          </w:p>
        </w:tc>
        <w:tc>
          <w:tcPr>
            <w:tcW w:w="930" w:type="dxa"/>
            <w:shd w:val="clear" w:color="auto" w:fill="auto"/>
            <w:noWrap/>
            <w:vAlign w:val="bottom"/>
            <w:hideMark/>
          </w:tcPr>
          <w:p w:rsidR="00C9789E" w:rsidRPr="002416D4" w:rsidRDefault="00C9789E" w:rsidP="002416D4">
            <w:pPr>
              <w:pStyle w:val="SingleTxtG"/>
              <w:spacing w:before="40" w:after="40" w:line="220" w:lineRule="exact"/>
              <w:ind w:left="0" w:right="113"/>
              <w:jc w:val="right"/>
              <w:rPr>
                <w:sz w:val="18"/>
              </w:rPr>
            </w:pPr>
            <w:r w:rsidRPr="002416D4">
              <w:rPr>
                <w:sz w:val="18"/>
              </w:rPr>
              <w:t>4.6</w:t>
            </w:r>
          </w:p>
        </w:tc>
        <w:tc>
          <w:tcPr>
            <w:tcW w:w="1156" w:type="dxa"/>
            <w:shd w:val="clear" w:color="auto" w:fill="auto"/>
            <w:noWrap/>
            <w:vAlign w:val="bottom"/>
            <w:hideMark/>
          </w:tcPr>
          <w:p w:rsidR="00C9789E" w:rsidRPr="002416D4" w:rsidRDefault="00C9789E" w:rsidP="002416D4">
            <w:pPr>
              <w:pStyle w:val="SingleTxtG"/>
              <w:spacing w:before="40" w:after="40" w:line="220" w:lineRule="exact"/>
              <w:ind w:left="0" w:right="113"/>
              <w:jc w:val="right"/>
              <w:rPr>
                <w:sz w:val="18"/>
              </w:rPr>
            </w:pPr>
            <w:r w:rsidRPr="002416D4">
              <w:rPr>
                <w:sz w:val="18"/>
              </w:rPr>
              <w:t>0.3</w:t>
            </w:r>
          </w:p>
        </w:tc>
      </w:tr>
    </w:tbl>
    <w:p w:rsidR="00AC1109" w:rsidRDefault="00C9789E" w:rsidP="009C64D2">
      <w:pPr>
        <w:pStyle w:val="Heading1"/>
        <w:spacing w:before="240"/>
      </w:pPr>
      <w:bookmarkStart w:id="49" w:name="_Toc494359773"/>
      <w:r w:rsidRPr="00F62F1C">
        <w:t>Figure 14</w:t>
      </w:r>
      <w:bookmarkEnd w:id="49"/>
    </w:p>
    <w:p w:rsidR="00C9789E" w:rsidRPr="00AC1109" w:rsidRDefault="00C9789E" w:rsidP="00706221">
      <w:pPr>
        <w:pStyle w:val="SingleTxtG"/>
        <w:rPr>
          <w:b/>
        </w:rPr>
      </w:pPr>
      <w:r w:rsidRPr="00AC1109">
        <w:rPr>
          <w:b/>
        </w:rPr>
        <w:t>Multiple employment by age</w:t>
      </w:r>
      <w:r w:rsidR="00AC1109">
        <w:rPr>
          <w:b/>
        </w:rPr>
        <w:t xml:space="preserve"> </w:t>
      </w:r>
      <w:r w:rsidRPr="00AC1109">
        <w:rPr>
          <w:b/>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02"/>
        <w:gridCol w:w="485"/>
        <w:gridCol w:w="485"/>
        <w:gridCol w:w="486"/>
        <w:gridCol w:w="486"/>
        <w:gridCol w:w="486"/>
        <w:gridCol w:w="486"/>
        <w:gridCol w:w="486"/>
        <w:gridCol w:w="486"/>
        <w:gridCol w:w="486"/>
        <w:gridCol w:w="486"/>
        <w:gridCol w:w="400"/>
        <w:gridCol w:w="400"/>
        <w:gridCol w:w="455"/>
        <w:gridCol w:w="455"/>
      </w:tblGrid>
      <w:tr w:rsidR="009C64D2" w:rsidRPr="009C64D2" w:rsidTr="00B77308">
        <w:trPr>
          <w:cantSplit/>
          <w:tblHeader/>
        </w:trPr>
        <w:tc>
          <w:tcPr>
            <w:tcW w:w="802" w:type="dxa"/>
            <w:vMerge w:val="restart"/>
            <w:tcBorders>
              <w:top w:val="single" w:sz="4" w:space="0" w:color="auto"/>
              <w:bottom w:val="single" w:sz="4" w:space="0" w:color="auto"/>
            </w:tcBorders>
            <w:shd w:val="clear" w:color="auto" w:fill="auto"/>
            <w:vAlign w:val="bottom"/>
          </w:tcPr>
          <w:p w:rsidR="009C64D2" w:rsidRPr="009C64D2" w:rsidRDefault="009C64D2" w:rsidP="009C64D2">
            <w:pPr>
              <w:pStyle w:val="SingleTxtG"/>
              <w:spacing w:before="40" w:after="40" w:line="220" w:lineRule="exact"/>
              <w:ind w:left="0" w:right="113"/>
              <w:jc w:val="left"/>
              <w:rPr>
                <w:i/>
                <w:sz w:val="16"/>
              </w:rPr>
            </w:pPr>
            <w:r w:rsidRPr="009C64D2">
              <w:rPr>
                <w:i/>
                <w:sz w:val="16"/>
              </w:rPr>
              <w:t>Quarter</w:t>
            </w:r>
          </w:p>
        </w:tc>
        <w:tc>
          <w:tcPr>
            <w:tcW w:w="970" w:type="dxa"/>
            <w:gridSpan w:val="2"/>
            <w:tcBorders>
              <w:top w:val="single" w:sz="4" w:space="0" w:color="auto"/>
              <w:bottom w:val="single" w:sz="4" w:space="0" w:color="auto"/>
              <w:right w:val="single" w:sz="24" w:space="0" w:color="FFFFFF" w:themeColor="background1"/>
            </w:tcBorders>
            <w:shd w:val="clear" w:color="auto" w:fill="auto"/>
            <w:vAlign w:val="bottom"/>
          </w:tcPr>
          <w:p w:rsidR="009C64D2" w:rsidRPr="009C64D2" w:rsidRDefault="009C64D2" w:rsidP="009C64D2">
            <w:pPr>
              <w:pStyle w:val="SingleTxtG"/>
              <w:spacing w:before="80" w:after="80" w:line="200" w:lineRule="exact"/>
              <w:ind w:left="0" w:right="113"/>
              <w:jc w:val="right"/>
              <w:rPr>
                <w:i/>
                <w:sz w:val="16"/>
              </w:rPr>
            </w:pPr>
            <w:r w:rsidRPr="009C64D2">
              <w:rPr>
                <w:i/>
                <w:sz w:val="16"/>
              </w:rPr>
              <w:t>Age 15-24</w:t>
            </w:r>
          </w:p>
        </w:tc>
        <w:tc>
          <w:tcPr>
            <w:tcW w:w="972"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9C64D2" w:rsidRPr="009C64D2" w:rsidRDefault="009C64D2" w:rsidP="009C64D2">
            <w:pPr>
              <w:pStyle w:val="SingleTxtG"/>
              <w:spacing w:before="80" w:after="80" w:line="200" w:lineRule="exact"/>
              <w:ind w:left="0" w:right="113"/>
              <w:jc w:val="right"/>
              <w:rPr>
                <w:i/>
                <w:sz w:val="16"/>
              </w:rPr>
            </w:pPr>
            <w:r w:rsidRPr="009C64D2">
              <w:rPr>
                <w:i/>
                <w:sz w:val="16"/>
              </w:rPr>
              <w:t>Age 25-34</w:t>
            </w:r>
          </w:p>
        </w:tc>
        <w:tc>
          <w:tcPr>
            <w:tcW w:w="972"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9C64D2" w:rsidRPr="009C64D2" w:rsidRDefault="009C64D2" w:rsidP="009C64D2">
            <w:pPr>
              <w:pStyle w:val="SingleTxtG"/>
              <w:spacing w:before="80" w:after="80" w:line="200" w:lineRule="exact"/>
              <w:ind w:left="0" w:right="113"/>
              <w:jc w:val="right"/>
              <w:rPr>
                <w:i/>
                <w:sz w:val="16"/>
              </w:rPr>
            </w:pPr>
            <w:r w:rsidRPr="009C64D2">
              <w:rPr>
                <w:i/>
                <w:sz w:val="16"/>
              </w:rPr>
              <w:t>Age 35-44</w:t>
            </w:r>
          </w:p>
        </w:tc>
        <w:tc>
          <w:tcPr>
            <w:tcW w:w="972"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9C64D2" w:rsidRPr="009C64D2" w:rsidRDefault="009C64D2" w:rsidP="009C64D2">
            <w:pPr>
              <w:pStyle w:val="SingleTxtG"/>
              <w:spacing w:before="80" w:after="80" w:line="200" w:lineRule="exact"/>
              <w:ind w:left="0" w:right="113"/>
              <w:jc w:val="right"/>
              <w:rPr>
                <w:i/>
                <w:sz w:val="16"/>
              </w:rPr>
            </w:pPr>
            <w:r w:rsidRPr="009C64D2">
              <w:rPr>
                <w:i/>
                <w:sz w:val="16"/>
              </w:rPr>
              <w:t>Age 45-54</w:t>
            </w:r>
          </w:p>
        </w:tc>
        <w:tc>
          <w:tcPr>
            <w:tcW w:w="972"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9C64D2" w:rsidRPr="009C64D2" w:rsidRDefault="009C64D2" w:rsidP="009C64D2">
            <w:pPr>
              <w:pStyle w:val="SingleTxtG"/>
              <w:spacing w:before="80" w:after="80" w:line="200" w:lineRule="exact"/>
              <w:ind w:left="0" w:right="113"/>
              <w:jc w:val="right"/>
              <w:rPr>
                <w:i/>
                <w:sz w:val="16"/>
              </w:rPr>
            </w:pPr>
            <w:r w:rsidRPr="009C64D2">
              <w:rPr>
                <w:i/>
                <w:sz w:val="16"/>
              </w:rPr>
              <w:t>Age 55-64</w:t>
            </w:r>
          </w:p>
        </w:tc>
        <w:tc>
          <w:tcPr>
            <w:tcW w:w="800"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9C64D2" w:rsidRPr="009C64D2" w:rsidRDefault="009C64D2" w:rsidP="009C64D2">
            <w:pPr>
              <w:pStyle w:val="SingleTxtG"/>
              <w:spacing w:before="80" w:after="80" w:line="200" w:lineRule="exact"/>
              <w:ind w:left="0" w:right="113"/>
              <w:jc w:val="right"/>
              <w:rPr>
                <w:i/>
                <w:sz w:val="16"/>
              </w:rPr>
            </w:pPr>
            <w:r w:rsidRPr="009C64D2">
              <w:rPr>
                <w:i/>
                <w:sz w:val="16"/>
              </w:rPr>
              <w:t>Age 65+</w:t>
            </w:r>
          </w:p>
        </w:tc>
        <w:tc>
          <w:tcPr>
            <w:tcW w:w="910" w:type="dxa"/>
            <w:gridSpan w:val="2"/>
            <w:tcBorders>
              <w:top w:val="single" w:sz="4" w:space="0" w:color="auto"/>
              <w:left w:val="single" w:sz="24" w:space="0" w:color="FFFFFF" w:themeColor="background1"/>
              <w:bottom w:val="single" w:sz="4" w:space="0" w:color="auto"/>
            </w:tcBorders>
            <w:shd w:val="clear" w:color="auto" w:fill="auto"/>
            <w:vAlign w:val="bottom"/>
          </w:tcPr>
          <w:p w:rsidR="009C64D2" w:rsidRPr="009C64D2" w:rsidRDefault="009C64D2" w:rsidP="009C64D2">
            <w:pPr>
              <w:pStyle w:val="SingleTxtG"/>
              <w:spacing w:before="80" w:after="80" w:line="200" w:lineRule="exact"/>
              <w:ind w:left="0" w:right="113"/>
              <w:jc w:val="right"/>
              <w:rPr>
                <w:i/>
                <w:sz w:val="16"/>
              </w:rPr>
            </w:pPr>
            <w:r w:rsidRPr="009C64D2">
              <w:rPr>
                <w:i/>
                <w:sz w:val="16"/>
              </w:rPr>
              <w:t>Total age</w:t>
            </w:r>
          </w:p>
        </w:tc>
      </w:tr>
      <w:tr w:rsidR="009C64D2" w:rsidRPr="009C64D2" w:rsidTr="00B77308">
        <w:trPr>
          <w:cantSplit/>
        </w:trPr>
        <w:tc>
          <w:tcPr>
            <w:tcW w:w="802" w:type="dxa"/>
            <w:vMerge/>
            <w:tcBorders>
              <w:top w:val="single" w:sz="4" w:space="0" w:color="auto"/>
              <w:bottom w:val="single" w:sz="12" w:space="0" w:color="auto"/>
            </w:tcBorders>
            <w:shd w:val="clear" w:color="auto" w:fill="auto"/>
          </w:tcPr>
          <w:p w:rsidR="009C64D2" w:rsidRPr="009C64D2" w:rsidRDefault="009C64D2" w:rsidP="009C64D2">
            <w:pPr>
              <w:pStyle w:val="SingleTxtG"/>
              <w:spacing w:before="40" w:after="40" w:line="220" w:lineRule="exact"/>
              <w:ind w:left="0" w:right="113"/>
              <w:jc w:val="left"/>
              <w:rPr>
                <w:sz w:val="18"/>
              </w:rPr>
            </w:pPr>
          </w:p>
        </w:tc>
        <w:tc>
          <w:tcPr>
            <w:tcW w:w="485" w:type="dxa"/>
            <w:tcBorders>
              <w:top w:val="single" w:sz="4" w:space="0" w:color="auto"/>
              <w:bottom w:val="single" w:sz="12" w:space="0" w:color="auto"/>
            </w:tcBorders>
            <w:shd w:val="clear" w:color="auto" w:fill="auto"/>
            <w:vAlign w:val="bottom"/>
          </w:tcPr>
          <w:p w:rsidR="009C64D2" w:rsidRPr="009C64D2" w:rsidRDefault="009C64D2" w:rsidP="009C64D2">
            <w:pPr>
              <w:pStyle w:val="SingleTxtG"/>
              <w:spacing w:before="80" w:after="80" w:line="200" w:lineRule="exact"/>
              <w:ind w:left="0" w:right="113"/>
              <w:jc w:val="right"/>
              <w:rPr>
                <w:i/>
                <w:sz w:val="16"/>
              </w:rPr>
            </w:pPr>
            <w:r w:rsidRPr="009C64D2">
              <w:rPr>
                <w:i/>
                <w:sz w:val="16"/>
              </w:rPr>
              <w:t>2</w:t>
            </w:r>
          </w:p>
        </w:tc>
        <w:tc>
          <w:tcPr>
            <w:tcW w:w="485" w:type="dxa"/>
            <w:tcBorders>
              <w:top w:val="single" w:sz="4" w:space="0" w:color="auto"/>
              <w:bottom w:val="single" w:sz="12" w:space="0" w:color="auto"/>
              <w:right w:val="single" w:sz="24" w:space="0" w:color="FFFFFF" w:themeColor="background1"/>
            </w:tcBorders>
            <w:shd w:val="clear" w:color="auto" w:fill="auto"/>
            <w:vAlign w:val="bottom"/>
          </w:tcPr>
          <w:p w:rsidR="009C64D2" w:rsidRPr="009C64D2" w:rsidRDefault="009C64D2" w:rsidP="009C64D2">
            <w:pPr>
              <w:pStyle w:val="SingleTxtG"/>
              <w:spacing w:before="80" w:after="80" w:line="200" w:lineRule="exact"/>
              <w:ind w:left="0" w:right="113"/>
              <w:jc w:val="right"/>
              <w:rPr>
                <w:i/>
                <w:sz w:val="16"/>
              </w:rPr>
            </w:pPr>
            <w:r w:rsidRPr="009C64D2">
              <w:rPr>
                <w:i/>
                <w:sz w:val="16"/>
              </w:rPr>
              <w:t>3+</w:t>
            </w:r>
          </w:p>
        </w:tc>
        <w:tc>
          <w:tcPr>
            <w:tcW w:w="486" w:type="dxa"/>
            <w:tcBorders>
              <w:top w:val="single" w:sz="4" w:space="0" w:color="auto"/>
              <w:left w:val="single" w:sz="24" w:space="0" w:color="FFFFFF" w:themeColor="background1"/>
              <w:bottom w:val="single" w:sz="12" w:space="0" w:color="auto"/>
            </w:tcBorders>
            <w:shd w:val="clear" w:color="auto" w:fill="auto"/>
            <w:vAlign w:val="bottom"/>
          </w:tcPr>
          <w:p w:rsidR="009C64D2" w:rsidRPr="009C64D2" w:rsidRDefault="009C64D2" w:rsidP="009C64D2">
            <w:pPr>
              <w:pStyle w:val="SingleTxtG"/>
              <w:spacing w:before="80" w:after="80" w:line="200" w:lineRule="exact"/>
              <w:ind w:left="0" w:right="113"/>
              <w:jc w:val="right"/>
              <w:rPr>
                <w:i/>
                <w:sz w:val="16"/>
              </w:rPr>
            </w:pPr>
            <w:r w:rsidRPr="009C64D2">
              <w:rPr>
                <w:i/>
                <w:sz w:val="16"/>
              </w:rPr>
              <w:t>2</w:t>
            </w:r>
          </w:p>
        </w:tc>
        <w:tc>
          <w:tcPr>
            <w:tcW w:w="486" w:type="dxa"/>
            <w:tcBorders>
              <w:top w:val="single" w:sz="4" w:space="0" w:color="auto"/>
              <w:bottom w:val="single" w:sz="12" w:space="0" w:color="auto"/>
              <w:right w:val="single" w:sz="24" w:space="0" w:color="FFFFFF" w:themeColor="background1"/>
            </w:tcBorders>
            <w:shd w:val="clear" w:color="auto" w:fill="auto"/>
            <w:vAlign w:val="bottom"/>
          </w:tcPr>
          <w:p w:rsidR="009C64D2" w:rsidRPr="009C64D2" w:rsidRDefault="009C64D2" w:rsidP="009C64D2">
            <w:pPr>
              <w:pStyle w:val="SingleTxtG"/>
              <w:spacing w:before="80" w:after="80" w:line="200" w:lineRule="exact"/>
              <w:ind w:left="0" w:right="113"/>
              <w:jc w:val="right"/>
              <w:rPr>
                <w:i/>
                <w:sz w:val="16"/>
              </w:rPr>
            </w:pPr>
            <w:r w:rsidRPr="009C64D2">
              <w:rPr>
                <w:i/>
                <w:sz w:val="16"/>
              </w:rPr>
              <w:t>3+</w:t>
            </w:r>
          </w:p>
        </w:tc>
        <w:tc>
          <w:tcPr>
            <w:tcW w:w="486" w:type="dxa"/>
            <w:tcBorders>
              <w:top w:val="single" w:sz="4" w:space="0" w:color="auto"/>
              <w:left w:val="single" w:sz="24" w:space="0" w:color="FFFFFF" w:themeColor="background1"/>
              <w:bottom w:val="single" w:sz="12" w:space="0" w:color="auto"/>
            </w:tcBorders>
            <w:shd w:val="clear" w:color="auto" w:fill="auto"/>
            <w:vAlign w:val="bottom"/>
          </w:tcPr>
          <w:p w:rsidR="009C64D2" w:rsidRPr="009C64D2" w:rsidRDefault="009C64D2" w:rsidP="009C64D2">
            <w:pPr>
              <w:pStyle w:val="SingleTxtG"/>
              <w:spacing w:before="80" w:after="80" w:line="200" w:lineRule="exact"/>
              <w:ind w:left="0" w:right="113"/>
              <w:jc w:val="right"/>
              <w:rPr>
                <w:i/>
                <w:sz w:val="16"/>
              </w:rPr>
            </w:pPr>
            <w:r w:rsidRPr="009C64D2">
              <w:rPr>
                <w:i/>
                <w:sz w:val="16"/>
              </w:rPr>
              <w:t>2</w:t>
            </w:r>
          </w:p>
        </w:tc>
        <w:tc>
          <w:tcPr>
            <w:tcW w:w="486" w:type="dxa"/>
            <w:tcBorders>
              <w:top w:val="single" w:sz="4" w:space="0" w:color="auto"/>
              <w:bottom w:val="single" w:sz="12" w:space="0" w:color="auto"/>
              <w:right w:val="single" w:sz="24" w:space="0" w:color="FFFFFF" w:themeColor="background1"/>
            </w:tcBorders>
            <w:shd w:val="clear" w:color="auto" w:fill="auto"/>
            <w:vAlign w:val="bottom"/>
          </w:tcPr>
          <w:p w:rsidR="009C64D2" w:rsidRPr="009C64D2" w:rsidRDefault="009C64D2" w:rsidP="009C64D2">
            <w:pPr>
              <w:pStyle w:val="SingleTxtG"/>
              <w:spacing w:before="80" w:after="80" w:line="200" w:lineRule="exact"/>
              <w:ind w:left="0" w:right="113"/>
              <w:jc w:val="right"/>
              <w:rPr>
                <w:i/>
                <w:sz w:val="16"/>
              </w:rPr>
            </w:pPr>
            <w:r w:rsidRPr="009C64D2">
              <w:rPr>
                <w:i/>
                <w:sz w:val="16"/>
              </w:rPr>
              <w:t>3+</w:t>
            </w:r>
          </w:p>
        </w:tc>
        <w:tc>
          <w:tcPr>
            <w:tcW w:w="486" w:type="dxa"/>
            <w:tcBorders>
              <w:top w:val="single" w:sz="4" w:space="0" w:color="auto"/>
              <w:left w:val="single" w:sz="24" w:space="0" w:color="FFFFFF" w:themeColor="background1"/>
              <w:bottom w:val="single" w:sz="12" w:space="0" w:color="auto"/>
            </w:tcBorders>
            <w:shd w:val="clear" w:color="auto" w:fill="auto"/>
            <w:vAlign w:val="bottom"/>
          </w:tcPr>
          <w:p w:rsidR="009C64D2" w:rsidRPr="009C64D2" w:rsidRDefault="009C64D2" w:rsidP="009C64D2">
            <w:pPr>
              <w:pStyle w:val="SingleTxtG"/>
              <w:spacing w:before="80" w:after="80" w:line="200" w:lineRule="exact"/>
              <w:ind w:left="0" w:right="113"/>
              <w:jc w:val="right"/>
              <w:rPr>
                <w:i/>
                <w:sz w:val="16"/>
              </w:rPr>
            </w:pPr>
            <w:r w:rsidRPr="009C64D2">
              <w:rPr>
                <w:i/>
                <w:sz w:val="16"/>
              </w:rPr>
              <w:t>2</w:t>
            </w:r>
          </w:p>
        </w:tc>
        <w:tc>
          <w:tcPr>
            <w:tcW w:w="486" w:type="dxa"/>
            <w:tcBorders>
              <w:top w:val="single" w:sz="4" w:space="0" w:color="auto"/>
              <w:bottom w:val="single" w:sz="12" w:space="0" w:color="auto"/>
              <w:right w:val="single" w:sz="24" w:space="0" w:color="FFFFFF" w:themeColor="background1"/>
            </w:tcBorders>
            <w:shd w:val="clear" w:color="auto" w:fill="auto"/>
            <w:vAlign w:val="bottom"/>
          </w:tcPr>
          <w:p w:rsidR="009C64D2" w:rsidRPr="009C64D2" w:rsidRDefault="009C64D2" w:rsidP="009C64D2">
            <w:pPr>
              <w:pStyle w:val="SingleTxtG"/>
              <w:spacing w:before="80" w:after="80" w:line="200" w:lineRule="exact"/>
              <w:ind w:left="0" w:right="113"/>
              <w:jc w:val="right"/>
              <w:rPr>
                <w:i/>
                <w:sz w:val="16"/>
              </w:rPr>
            </w:pPr>
            <w:r w:rsidRPr="009C64D2">
              <w:rPr>
                <w:i/>
                <w:sz w:val="16"/>
              </w:rPr>
              <w:t>3+</w:t>
            </w:r>
          </w:p>
        </w:tc>
        <w:tc>
          <w:tcPr>
            <w:tcW w:w="486" w:type="dxa"/>
            <w:tcBorders>
              <w:top w:val="single" w:sz="4" w:space="0" w:color="auto"/>
              <w:left w:val="single" w:sz="24" w:space="0" w:color="FFFFFF" w:themeColor="background1"/>
              <w:bottom w:val="single" w:sz="12" w:space="0" w:color="auto"/>
            </w:tcBorders>
            <w:shd w:val="clear" w:color="auto" w:fill="auto"/>
            <w:vAlign w:val="bottom"/>
          </w:tcPr>
          <w:p w:rsidR="009C64D2" w:rsidRPr="009C64D2" w:rsidRDefault="009C64D2" w:rsidP="009C64D2">
            <w:pPr>
              <w:pStyle w:val="SingleTxtG"/>
              <w:spacing w:before="80" w:after="80" w:line="200" w:lineRule="exact"/>
              <w:ind w:left="0" w:right="113"/>
              <w:jc w:val="right"/>
              <w:rPr>
                <w:i/>
                <w:sz w:val="16"/>
              </w:rPr>
            </w:pPr>
            <w:r w:rsidRPr="009C64D2">
              <w:rPr>
                <w:i/>
                <w:sz w:val="16"/>
              </w:rPr>
              <w:t>2</w:t>
            </w:r>
          </w:p>
        </w:tc>
        <w:tc>
          <w:tcPr>
            <w:tcW w:w="486" w:type="dxa"/>
            <w:tcBorders>
              <w:top w:val="single" w:sz="4" w:space="0" w:color="auto"/>
              <w:bottom w:val="single" w:sz="12" w:space="0" w:color="auto"/>
              <w:right w:val="single" w:sz="24" w:space="0" w:color="FFFFFF" w:themeColor="background1"/>
            </w:tcBorders>
            <w:shd w:val="clear" w:color="auto" w:fill="auto"/>
            <w:vAlign w:val="bottom"/>
          </w:tcPr>
          <w:p w:rsidR="009C64D2" w:rsidRPr="009C64D2" w:rsidRDefault="009C64D2" w:rsidP="009C64D2">
            <w:pPr>
              <w:pStyle w:val="SingleTxtG"/>
              <w:spacing w:before="80" w:after="80" w:line="200" w:lineRule="exact"/>
              <w:ind w:left="0" w:right="113"/>
              <w:jc w:val="right"/>
              <w:rPr>
                <w:i/>
                <w:sz w:val="16"/>
              </w:rPr>
            </w:pPr>
            <w:r w:rsidRPr="009C64D2">
              <w:rPr>
                <w:i/>
                <w:sz w:val="16"/>
              </w:rPr>
              <w:t>3+</w:t>
            </w:r>
          </w:p>
        </w:tc>
        <w:tc>
          <w:tcPr>
            <w:tcW w:w="400" w:type="dxa"/>
            <w:tcBorders>
              <w:top w:val="single" w:sz="4" w:space="0" w:color="auto"/>
              <w:left w:val="single" w:sz="24" w:space="0" w:color="FFFFFF" w:themeColor="background1"/>
              <w:bottom w:val="single" w:sz="12" w:space="0" w:color="auto"/>
            </w:tcBorders>
            <w:shd w:val="clear" w:color="auto" w:fill="auto"/>
            <w:vAlign w:val="bottom"/>
          </w:tcPr>
          <w:p w:rsidR="009C64D2" w:rsidRPr="009C64D2" w:rsidRDefault="009C64D2" w:rsidP="009C64D2">
            <w:pPr>
              <w:pStyle w:val="SingleTxtG"/>
              <w:spacing w:before="80" w:after="80" w:line="200" w:lineRule="exact"/>
              <w:ind w:left="0" w:right="113"/>
              <w:jc w:val="right"/>
              <w:rPr>
                <w:i/>
                <w:sz w:val="16"/>
              </w:rPr>
            </w:pPr>
            <w:r w:rsidRPr="009C64D2">
              <w:rPr>
                <w:i/>
                <w:sz w:val="16"/>
              </w:rPr>
              <w:t>2</w:t>
            </w:r>
          </w:p>
        </w:tc>
        <w:tc>
          <w:tcPr>
            <w:tcW w:w="400" w:type="dxa"/>
            <w:tcBorders>
              <w:top w:val="single" w:sz="4" w:space="0" w:color="auto"/>
              <w:bottom w:val="single" w:sz="12" w:space="0" w:color="auto"/>
              <w:right w:val="single" w:sz="24" w:space="0" w:color="FFFFFF" w:themeColor="background1"/>
            </w:tcBorders>
            <w:shd w:val="clear" w:color="auto" w:fill="auto"/>
            <w:vAlign w:val="bottom"/>
          </w:tcPr>
          <w:p w:rsidR="009C64D2" w:rsidRPr="009C64D2" w:rsidRDefault="009C64D2" w:rsidP="009C64D2">
            <w:pPr>
              <w:pStyle w:val="SingleTxtG"/>
              <w:spacing w:before="80" w:after="80" w:line="200" w:lineRule="exact"/>
              <w:ind w:left="0" w:right="113"/>
              <w:jc w:val="right"/>
              <w:rPr>
                <w:i/>
                <w:sz w:val="16"/>
              </w:rPr>
            </w:pPr>
            <w:r w:rsidRPr="009C64D2">
              <w:rPr>
                <w:i/>
                <w:sz w:val="16"/>
              </w:rPr>
              <w:t>3+</w:t>
            </w:r>
          </w:p>
        </w:tc>
        <w:tc>
          <w:tcPr>
            <w:tcW w:w="455" w:type="dxa"/>
            <w:tcBorders>
              <w:top w:val="single" w:sz="4" w:space="0" w:color="auto"/>
              <w:left w:val="single" w:sz="24" w:space="0" w:color="FFFFFF" w:themeColor="background1"/>
              <w:bottom w:val="single" w:sz="12" w:space="0" w:color="auto"/>
            </w:tcBorders>
            <w:shd w:val="clear" w:color="auto" w:fill="auto"/>
            <w:vAlign w:val="bottom"/>
          </w:tcPr>
          <w:p w:rsidR="009C64D2" w:rsidRPr="009C64D2" w:rsidRDefault="009C64D2" w:rsidP="009C64D2">
            <w:pPr>
              <w:pStyle w:val="SingleTxtG"/>
              <w:spacing w:before="80" w:after="80" w:line="200" w:lineRule="exact"/>
              <w:ind w:left="0" w:right="113"/>
              <w:jc w:val="right"/>
              <w:rPr>
                <w:i/>
                <w:sz w:val="16"/>
              </w:rPr>
            </w:pPr>
            <w:r w:rsidRPr="009C64D2">
              <w:rPr>
                <w:i/>
                <w:sz w:val="16"/>
              </w:rPr>
              <w:t>2</w:t>
            </w:r>
          </w:p>
        </w:tc>
        <w:tc>
          <w:tcPr>
            <w:tcW w:w="455" w:type="dxa"/>
            <w:tcBorders>
              <w:top w:val="single" w:sz="4" w:space="0" w:color="auto"/>
              <w:bottom w:val="single" w:sz="12" w:space="0" w:color="auto"/>
            </w:tcBorders>
            <w:shd w:val="clear" w:color="auto" w:fill="auto"/>
            <w:vAlign w:val="bottom"/>
          </w:tcPr>
          <w:p w:rsidR="009C64D2" w:rsidRPr="009C64D2" w:rsidRDefault="009C64D2" w:rsidP="009C64D2">
            <w:pPr>
              <w:pStyle w:val="SingleTxtG"/>
              <w:spacing w:before="80" w:after="80" w:line="200" w:lineRule="exact"/>
              <w:ind w:left="0" w:right="113"/>
              <w:jc w:val="right"/>
              <w:rPr>
                <w:i/>
                <w:sz w:val="16"/>
              </w:rPr>
            </w:pPr>
            <w:r w:rsidRPr="009C64D2">
              <w:rPr>
                <w:i/>
                <w:sz w:val="16"/>
              </w:rPr>
              <w:t>3+</w:t>
            </w:r>
          </w:p>
        </w:tc>
      </w:tr>
      <w:tr w:rsidR="00C9789E" w:rsidRPr="009C64D2" w:rsidTr="00B77308">
        <w:trPr>
          <w:cantSplit/>
        </w:trPr>
        <w:tc>
          <w:tcPr>
            <w:tcW w:w="802" w:type="dxa"/>
            <w:tcBorders>
              <w:top w:val="single" w:sz="12" w:space="0" w:color="auto"/>
            </w:tcBorders>
            <w:shd w:val="clear" w:color="auto" w:fill="auto"/>
          </w:tcPr>
          <w:p w:rsidR="00C9789E" w:rsidRPr="009C64D2" w:rsidRDefault="00C9789E" w:rsidP="009C64D2">
            <w:pPr>
              <w:pStyle w:val="SingleTxtG"/>
              <w:spacing w:before="40" w:after="40" w:line="220" w:lineRule="exact"/>
              <w:ind w:left="0" w:right="113"/>
              <w:jc w:val="left"/>
              <w:rPr>
                <w:sz w:val="18"/>
              </w:rPr>
            </w:pPr>
            <w:r w:rsidRPr="009C64D2">
              <w:rPr>
                <w:sz w:val="18"/>
              </w:rPr>
              <w:t>Mar-15</w:t>
            </w:r>
          </w:p>
        </w:tc>
        <w:tc>
          <w:tcPr>
            <w:tcW w:w="485" w:type="dxa"/>
            <w:tcBorders>
              <w:top w:val="single" w:sz="12" w:space="0" w:color="auto"/>
            </w:tcBorders>
            <w:shd w:val="clear" w:color="auto" w:fill="auto"/>
            <w:vAlign w:val="bottom"/>
          </w:tcPr>
          <w:p w:rsidR="00C9789E" w:rsidRPr="009C64D2" w:rsidRDefault="00C9789E" w:rsidP="009C64D2">
            <w:pPr>
              <w:pStyle w:val="SingleTxtG"/>
              <w:spacing w:before="40" w:after="40" w:line="220" w:lineRule="exact"/>
              <w:ind w:left="0" w:right="113"/>
              <w:jc w:val="right"/>
              <w:rPr>
                <w:sz w:val="18"/>
              </w:rPr>
            </w:pPr>
            <w:r w:rsidRPr="009C64D2">
              <w:rPr>
                <w:sz w:val="18"/>
              </w:rPr>
              <w:t>4.9</w:t>
            </w:r>
          </w:p>
        </w:tc>
        <w:tc>
          <w:tcPr>
            <w:tcW w:w="485" w:type="dxa"/>
            <w:tcBorders>
              <w:top w:val="single" w:sz="12" w:space="0" w:color="auto"/>
            </w:tcBorders>
            <w:shd w:val="clear" w:color="auto" w:fill="auto"/>
            <w:vAlign w:val="bottom"/>
          </w:tcPr>
          <w:p w:rsidR="00C9789E" w:rsidRPr="009C64D2" w:rsidRDefault="00C9789E" w:rsidP="009C64D2">
            <w:pPr>
              <w:pStyle w:val="SingleTxtG"/>
              <w:spacing w:before="40" w:after="40" w:line="220" w:lineRule="exact"/>
              <w:ind w:left="0" w:right="113"/>
              <w:jc w:val="right"/>
              <w:rPr>
                <w:sz w:val="18"/>
              </w:rPr>
            </w:pPr>
            <w:r w:rsidRPr="009C64D2">
              <w:rPr>
                <w:sz w:val="18"/>
              </w:rPr>
              <w:t>0.3</w:t>
            </w:r>
          </w:p>
        </w:tc>
        <w:tc>
          <w:tcPr>
            <w:tcW w:w="486" w:type="dxa"/>
            <w:tcBorders>
              <w:top w:val="single" w:sz="12" w:space="0" w:color="auto"/>
            </w:tcBorders>
            <w:shd w:val="clear" w:color="auto" w:fill="auto"/>
            <w:vAlign w:val="bottom"/>
          </w:tcPr>
          <w:p w:rsidR="00C9789E" w:rsidRPr="009C64D2" w:rsidRDefault="00C9789E" w:rsidP="009C64D2">
            <w:pPr>
              <w:pStyle w:val="SingleTxtG"/>
              <w:spacing w:before="40" w:after="40" w:line="220" w:lineRule="exact"/>
              <w:ind w:left="0" w:right="113"/>
              <w:jc w:val="right"/>
              <w:rPr>
                <w:sz w:val="18"/>
              </w:rPr>
            </w:pPr>
            <w:r w:rsidRPr="009C64D2">
              <w:rPr>
                <w:sz w:val="18"/>
              </w:rPr>
              <w:t>2.9</w:t>
            </w:r>
          </w:p>
        </w:tc>
        <w:tc>
          <w:tcPr>
            <w:tcW w:w="486" w:type="dxa"/>
            <w:tcBorders>
              <w:top w:val="single" w:sz="12" w:space="0" w:color="auto"/>
            </w:tcBorders>
            <w:shd w:val="clear" w:color="auto" w:fill="auto"/>
            <w:vAlign w:val="bottom"/>
          </w:tcPr>
          <w:p w:rsidR="00C9789E" w:rsidRPr="009C64D2" w:rsidRDefault="00C9789E" w:rsidP="009C64D2">
            <w:pPr>
              <w:pStyle w:val="SingleTxtG"/>
              <w:spacing w:before="40" w:after="40" w:line="220" w:lineRule="exact"/>
              <w:ind w:left="0" w:right="113"/>
              <w:jc w:val="right"/>
              <w:rPr>
                <w:sz w:val="18"/>
              </w:rPr>
            </w:pPr>
            <w:r w:rsidRPr="009C64D2">
              <w:rPr>
                <w:sz w:val="18"/>
              </w:rPr>
              <w:t>0.2</w:t>
            </w:r>
          </w:p>
        </w:tc>
        <w:tc>
          <w:tcPr>
            <w:tcW w:w="486" w:type="dxa"/>
            <w:tcBorders>
              <w:top w:val="single" w:sz="12" w:space="0" w:color="auto"/>
            </w:tcBorders>
            <w:shd w:val="clear" w:color="auto" w:fill="auto"/>
            <w:vAlign w:val="bottom"/>
          </w:tcPr>
          <w:p w:rsidR="00C9789E" w:rsidRPr="009C64D2" w:rsidRDefault="00C9789E" w:rsidP="009C64D2">
            <w:pPr>
              <w:pStyle w:val="SingleTxtG"/>
              <w:spacing w:before="40" w:after="40" w:line="220" w:lineRule="exact"/>
              <w:ind w:left="0" w:right="113"/>
              <w:jc w:val="right"/>
              <w:rPr>
                <w:sz w:val="18"/>
              </w:rPr>
            </w:pPr>
            <w:r w:rsidRPr="009C64D2">
              <w:rPr>
                <w:sz w:val="18"/>
              </w:rPr>
              <w:t>2.7</w:t>
            </w:r>
          </w:p>
        </w:tc>
        <w:tc>
          <w:tcPr>
            <w:tcW w:w="486" w:type="dxa"/>
            <w:tcBorders>
              <w:top w:val="single" w:sz="12" w:space="0" w:color="auto"/>
            </w:tcBorders>
            <w:shd w:val="clear" w:color="auto" w:fill="auto"/>
            <w:vAlign w:val="bottom"/>
          </w:tcPr>
          <w:p w:rsidR="00C9789E" w:rsidRPr="009C64D2" w:rsidRDefault="00C9789E" w:rsidP="009C64D2">
            <w:pPr>
              <w:pStyle w:val="SingleTxtG"/>
              <w:spacing w:before="40" w:after="40" w:line="220" w:lineRule="exact"/>
              <w:ind w:left="0" w:right="113"/>
              <w:jc w:val="right"/>
              <w:rPr>
                <w:sz w:val="18"/>
              </w:rPr>
            </w:pPr>
            <w:r w:rsidRPr="009C64D2">
              <w:rPr>
                <w:sz w:val="18"/>
              </w:rPr>
              <w:t>0.2</w:t>
            </w:r>
          </w:p>
        </w:tc>
        <w:tc>
          <w:tcPr>
            <w:tcW w:w="486" w:type="dxa"/>
            <w:tcBorders>
              <w:top w:val="single" w:sz="12" w:space="0" w:color="auto"/>
            </w:tcBorders>
            <w:shd w:val="clear" w:color="auto" w:fill="auto"/>
            <w:vAlign w:val="bottom"/>
          </w:tcPr>
          <w:p w:rsidR="00C9789E" w:rsidRPr="009C64D2" w:rsidRDefault="00C9789E" w:rsidP="009C64D2">
            <w:pPr>
              <w:pStyle w:val="SingleTxtG"/>
              <w:spacing w:before="40" w:after="40" w:line="220" w:lineRule="exact"/>
              <w:ind w:left="0" w:right="113"/>
              <w:jc w:val="right"/>
              <w:rPr>
                <w:sz w:val="18"/>
              </w:rPr>
            </w:pPr>
            <w:r w:rsidRPr="009C64D2">
              <w:rPr>
                <w:sz w:val="18"/>
              </w:rPr>
              <w:t>3.3</w:t>
            </w:r>
          </w:p>
        </w:tc>
        <w:tc>
          <w:tcPr>
            <w:tcW w:w="486" w:type="dxa"/>
            <w:tcBorders>
              <w:top w:val="single" w:sz="12" w:space="0" w:color="auto"/>
            </w:tcBorders>
            <w:shd w:val="clear" w:color="auto" w:fill="auto"/>
            <w:vAlign w:val="bottom"/>
          </w:tcPr>
          <w:p w:rsidR="00C9789E" w:rsidRPr="009C64D2" w:rsidRDefault="00C9789E" w:rsidP="009C64D2">
            <w:pPr>
              <w:pStyle w:val="SingleTxtG"/>
              <w:spacing w:before="40" w:after="40" w:line="220" w:lineRule="exact"/>
              <w:ind w:left="0" w:right="113"/>
              <w:jc w:val="right"/>
              <w:rPr>
                <w:sz w:val="18"/>
              </w:rPr>
            </w:pPr>
            <w:r w:rsidRPr="009C64D2">
              <w:rPr>
                <w:sz w:val="18"/>
              </w:rPr>
              <w:t>0.3</w:t>
            </w:r>
          </w:p>
        </w:tc>
        <w:tc>
          <w:tcPr>
            <w:tcW w:w="486" w:type="dxa"/>
            <w:tcBorders>
              <w:top w:val="single" w:sz="12" w:space="0" w:color="auto"/>
            </w:tcBorders>
            <w:shd w:val="clear" w:color="auto" w:fill="auto"/>
            <w:vAlign w:val="bottom"/>
          </w:tcPr>
          <w:p w:rsidR="00C9789E" w:rsidRPr="009C64D2" w:rsidRDefault="00C9789E" w:rsidP="009C64D2">
            <w:pPr>
              <w:pStyle w:val="SingleTxtG"/>
              <w:spacing w:before="40" w:after="40" w:line="220" w:lineRule="exact"/>
              <w:ind w:left="0" w:right="113"/>
              <w:jc w:val="right"/>
              <w:rPr>
                <w:sz w:val="18"/>
              </w:rPr>
            </w:pPr>
            <w:r w:rsidRPr="009C64D2">
              <w:rPr>
                <w:sz w:val="18"/>
              </w:rPr>
              <w:t>3.3</w:t>
            </w:r>
          </w:p>
        </w:tc>
        <w:tc>
          <w:tcPr>
            <w:tcW w:w="486" w:type="dxa"/>
            <w:tcBorders>
              <w:top w:val="single" w:sz="12" w:space="0" w:color="auto"/>
            </w:tcBorders>
            <w:shd w:val="clear" w:color="auto" w:fill="auto"/>
            <w:vAlign w:val="bottom"/>
          </w:tcPr>
          <w:p w:rsidR="00C9789E" w:rsidRPr="009C64D2" w:rsidRDefault="00C9789E" w:rsidP="009C64D2">
            <w:pPr>
              <w:pStyle w:val="SingleTxtG"/>
              <w:spacing w:before="40" w:after="40" w:line="220" w:lineRule="exact"/>
              <w:ind w:left="0" w:right="113"/>
              <w:jc w:val="right"/>
              <w:rPr>
                <w:sz w:val="18"/>
              </w:rPr>
            </w:pPr>
            <w:r w:rsidRPr="009C64D2">
              <w:rPr>
                <w:sz w:val="18"/>
              </w:rPr>
              <w:t>0.3</w:t>
            </w:r>
          </w:p>
        </w:tc>
        <w:tc>
          <w:tcPr>
            <w:tcW w:w="400" w:type="dxa"/>
            <w:tcBorders>
              <w:top w:val="single" w:sz="12" w:space="0" w:color="auto"/>
            </w:tcBorders>
            <w:shd w:val="clear" w:color="auto" w:fill="auto"/>
            <w:vAlign w:val="bottom"/>
          </w:tcPr>
          <w:p w:rsidR="00C9789E" w:rsidRPr="009C64D2" w:rsidRDefault="00C9789E" w:rsidP="009C64D2">
            <w:pPr>
              <w:pStyle w:val="SingleTxtG"/>
              <w:spacing w:before="40" w:after="40" w:line="220" w:lineRule="exact"/>
              <w:ind w:left="0" w:right="113"/>
              <w:jc w:val="right"/>
              <w:rPr>
                <w:sz w:val="18"/>
              </w:rPr>
            </w:pPr>
            <w:r w:rsidRPr="009C64D2">
              <w:rPr>
                <w:sz w:val="18"/>
              </w:rPr>
              <w:t>2.8</w:t>
            </w:r>
          </w:p>
        </w:tc>
        <w:tc>
          <w:tcPr>
            <w:tcW w:w="400" w:type="dxa"/>
            <w:tcBorders>
              <w:top w:val="single" w:sz="12" w:space="0" w:color="auto"/>
            </w:tcBorders>
            <w:shd w:val="clear" w:color="auto" w:fill="auto"/>
            <w:vAlign w:val="bottom"/>
          </w:tcPr>
          <w:p w:rsidR="00C9789E" w:rsidRPr="009C64D2" w:rsidRDefault="00C9789E" w:rsidP="009C64D2">
            <w:pPr>
              <w:pStyle w:val="SingleTxtG"/>
              <w:spacing w:before="40" w:after="40" w:line="220" w:lineRule="exact"/>
              <w:ind w:left="0" w:right="113"/>
              <w:jc w:val="right"/>
              <w:rPr>
                <w:sz w:val="18"/>
              </w:rPr>
            </w:pPr>
            <w:r w:rsidRPr="009C64D2">
              <w:rPr>
                <w:sz w:val="18"/>
              </w:rPr>
              <w:t>0.3</w:t>
            </w:r>
          </w:p>
        </w:tc>
        <w:tc>
          <w:tcPr>
            <w:tcW w:w="455" w:type="dxa"/>
            <w:tcBorders>
              <w:top w:val="single" w:sz="12" w:space="0" w:color="auto"/>
            </w:tcBorders>
            <w:shd w:val="clear" w:color="auto" w:fill="auto"/>
            <w:vAlign w:val="bottom"/>
          </w:tcPr>
          <w:p w:rsidR="00C9789E" w:rsidRPr="009C64D2" w:rsidRDefault="00C9789E" w:rsidP="009C64D2">
            <w:pPr>
              <w:pStyle w:val="SingleTxtG"/>
              <w:spacing w:before="40" w:after="40" w:line="220" w:lineRule="exact"/>
              <w:ind w:left="0" w:right="113"/>
              <w:jc w:val="right"/>
              <w:rPr>
                <w:sz w:val="18"/>
              </w:rPr>
            </w:pPr>
            <w:r w:rsidRPr="009C64D2">
              <w:rPr>
                <w:sz w:val="18"/>
              </w:rPr>
              <w:t>3.4</w:t>
            </w:r>
          </w:p>
        </w:tc>
        <w:tc>
          <w:tcPr>
            <w:tcW w:w="455" w:type="dxa"/>
            <w:tcBorders>
              <w:top w:val="single" w:sz="12" w:space="0" w:color="auto"/>
            </w:tcBorders>
            <w:shd w:val="clear" w:color="auto" w:fill="auto"/>
            <w:vAlign w:val="bottom"/>
          </w:tcPr>
          <w:p w:rsidR="00C9789E" w:rsidRPr="009C64D2" w:rsidRDefault="00C9789E" w:rsidP="009C64D2">
            <w:pPr>
              <w:pStyle w:val="SingleTxtG"/>
              <w:spacing w:before="40" w:after="40" w:line="220" w:lineRule="exact"/>
              <w:ind w:left="0" w:right="113"/>
              <w:jc w:val="right"/>
              <w:rPr>
                <w:sz w:val="18"/>
              </w:rPr>
            </w:pPr>
            <w:r w:rsidRPr="009C64D2">
              <w:rPr>
                <w:sz w:val="18"/>
              </w:rPr>
              <w:t>0.2</w:t>
            </w:r>
          </w:p>
        </w:tc>
      </w:tr>
      <w:tr w:rsidR="00C9789E" w:rsidRPr="009C64D2" w:rsidTr="00B77308">
        <w:trPr>
          <w:cantSplit/>
        </w:trPr>
        <w:tc>
          <w:tcPr>
            <w:tcW w:w="802" w:type="dxa"/>
            <w:shd w:val="clear" w:color="auto" w:fill="auto"/>
          </w:tcPr>
          <w:p w:rsidR="00C9789E" w:rsidRPr="009C64D2" w:rsidRDefault="00C9789E" w:rsidP="009C64D2">
            <w:pPr>
              <w:pStyle w:val="SingleTxtG"/>
              <w:spacing w:before="40" w:after="40" w:line="220" w:lineRule="exact"/>
              <w:ind w:left="0" w:right="113"/>
              <w:jc w:val="left"/>
              <w:rPr>
                <w:sz w:val="18"/>
              </w:rPr>
            </w:pPr>
            <w:r w:rsidRPr="009C64D2">
              <w:rPr>
                <w:sz w:val="18"/>
              </w:rPr>
              <w:t>Dec-14</w:t>
            </w:r>
          </w:p>
        </w:tc>
        <w:tc>
          <w:tcPr>
            <w:tcW w:w="485" w:type="dxa"/>
            <w:shd w:val="clear" w:color="auto" w:fill="auto"/>
            <w:vAlign w:val="bottom"/>
          </w:tcPr>
          <w:p w:rsidR="00C9789E" w:rsidRPr="009C64D2" w:rsidRDefault="00C9789E" w:rsidP="009C64D2">
            <w:pPr>
              <w:pStyle w:val="SingleTxtG"/>
              <w:spacing w:before="40" w:after="40" w:line="220" w:lineRule="exact"/>
              <w:ind w:left="0" w:right="113"/>
              <w:jc w:val="right"/>
              <w:rPr>
                <w:sz w:val="18"/>
              </w:rPr>
            </w:pPr>
            <w:r w:rsidRPr="009C64D2">
              <w:rPr>
                <w:sz w:val="18"/>
              </w:rPr>
              <w:t>5.4</w:t>
            </w:r>
          </w:p>
        </w:tc>
        <w:tc>
          <w:tcPr>
            <w:tcW w:w="485" w:type="dxa"/>
            <w:shd w:val="clear" w:color="auto" w:fill="auto"/>
            <w:vAlign w:val="bottom"/>
          </w:tcPr>
          <w:p w:rsidR="00C9789E" w:rsidRPr="009C64D2" w:rsidRDefault="00C9789E" w:rsidP="009C64D2">
            <w:pPr>
              <w:pStyle w:val="SingleTxtG"/>
              <w:spacing w:before="40" w:after="40" w:line="220" w:lineRule="exact"/>
              <w:ind w:left="0" w:right="113"/>
              <w:jc w:val="right"/>
              <w:rPr>
                <w:sz w:val="18"/>
              </w:rPr>
            </w:pPr>
            <w:r w:rsidRPr="009C64D2">
              <w:rPr>
                <w:sz w:val="18"/>
              </w:rPr>
              <w:t>0.3</w:t>
            </w:r>
          </w:p>
        </w:tc>
        <w:tc>
          <w:tcPr>
            <w:tcW w:w="486" w:type="dxa"/>
            <w:shd w:val="clear" w:color="auto" w:fill="auto"/>
            <w:vAlign w:val="bottom"/>
          </w:tcPr>
          <w:p w:rsidR="00C9789E" w:rsidRPr="009C64D2" w:rsidRDefault="00C9789E" w:rsidP="009C64D2">
            <w:pPr>
              <w:pStyle w:val="SingleTxtG"/>
              <w:spacing w:before="40" w:after="40" w:line="220" w:lineRule="exact"/>
              <w:ind w:left="0" w:right="113"/>
              <w:jc w:val="right"/>
              <w:rPr>
                <w:sz w:val="18"/>
              </w:rPr>
            </w:pPr>
            <w:r w:rsidRPr="009C64D2">
              <w:rPr>
                <w:sz w:val="18"/>
              </w:rPr>
              <w:t>3.2</w:t>
            </w:r>
          </w:p>
        </w:tc>
        <w:tc>
          <w:tcPr>
            <w:tcW w:w="486" w:type="dxa"/>
            <w:shd w:val="clear" w:color="auto" w:fill="auto"/>
            <w:vAlign w:val="bottom"/>
          </w:tcPr>
          <w:p w:rsidR="00C9789E" w:rsidRPr="009C64D2" w:rsidRDefault="00C9789E" w:rsidP="009C64D2">
            <w:pPr>
              <w:pStyle w:val="SingleTxtG"/>
              <w:spacing w:before="40" w:after="40" w:line="220" w:lineRule="exact"/>
              <w:ind w:left="0" w:right="113"/>
              <w:jc w:val="right"/>
              <w:rPr>
                <w:sz w:val="18"/>
              </w:rPr>
            </w:pPr>
            <w:r w:rsidRPr="009C64D2">
              <w:rPr>
                <w:sz w:val="18"/>
              </w:rPr>
              <w:t>0.2</w:t>
            </w:r>
          </w:p>
        </w:tc>
        <w:tc>
          <w:tcPr>
            <w:tcW w:w="486" w:type="dxa"/>
            <w:shd w:val="clear" w:color="auto" w:fill="auto"/>
            <w:vAlign w:val="bottom"/>
          </w:tcPr>
          <w:p w:rsidR="00C9789E" w:rsidRPr="009C64D2" w:rsidRDefault="00C9789E" w:rsidP="009C64D2">
            <w:pPr>
              <w:pStyle w:val="SingleTxtG"/>
              <w:spacing w:before="40" w:after="40" w:line="220" w:lineRule="exact"/>
              <w:ind w:left="0" w:right="113"/>
              <w:jc w:val="right"/>
              <w:rPr>
                <w:sz w:val="18"/>
              </w:rPr>
            </w:pPr>
            <w:r w:rsidRPr="009C64D2">
              <w:rPr>
                <w:sz w:val="18"/>
              </w:rPr>
              <w:t>3.2</w:t>
            </w:r>
          </w:p>
        </w:tc>
        <w:tc>
          <w:tcPr>
            <w:tcW w:w="486" w:type="dxa"/>
            <w:shd w:val="clear" w:color="auto" w:fill="auto"/>
            <w:vAlign w:val="bottom"/>
          </w:tcPr>
          <w:p w:rsidR="00C9789E" w:rsidRPr="009C64D2" w:rsidRDefault="00C9789E" w:rsidP="009C64D2">
            <w:pPr>
              <w:pStyle w:val="SingleTxtG"/>
              <w:spacing w:before="40" w:after="40" w:line="220" w:lineRule="exact"/>
              <w:ind w:left="0" w:right="113"/>
              <w:jc w:val="right"/>
              <w:rPr>
                <w:sz w:val="18"/>
              </w:rPr>
            </w:pPr>
            <w:r w:rsidRPr="009C64D2">
              <w:rPr>
                <w:sz w:val="18"/>
              </w:rPr>
              <w:t>0.2</w:t>
            </w:r>
          </w:p>
        </w:tc>
        <w:tc>
          <w:tcPr>
            <w:tcW w:w="486" w:type="dxa"/>
            <w:shd w:val="clear" w:color="auto" w:fill="auto"/>
            <w:vAlign w:val="bottom"/>
          </w:tcPr>
          <w:p w:rsidR="00C9789E" w:rsidRPr="009C64D2" w:rsidRDefault="00C9789E" w:rsidP="009C64D2">
            <w:pPr>
              <w:pStyle w:val="SingleTxtG"/>
              <w:spacing w:before="40" w:after="40" w:line="220" w:lineRule="exact"/>
              <w:ind w:left="0" w:right="113"/>
              <w:jc w:val="right"/>
              <w:rPr>
                <w:sz w:val="18"/>
              </w:rPr>
            </w:pPr>
            <w:r w:rsidRPr="009C64D2">
              <w:rPr>
                <w:sz w:val="18"/>
              </w:rPr>
              <w:t>3.7</w:t>
            </w:r>
          </w:p>
        </w:tc>
        <w:tc>
          <w:tcPr>
            <w:tcW w:w="486" w:type="dxa"/>
            <w:shd w:val="clear" w:color="auto" w:fill="auto"/>
            <w:vAlign w:val="bottom"/>
          </w:tcPr>
          <w:p w:rsidR="00C9789E" w:rsidRPr="009C64D2" w:rsidRDefault="00C9789E" w:rsidP="009C64D2">
            <w:pPr>
              <w:pStyle w:val="SingleTxtG"/>
              <w:spacing w:before="40" w:after="40" w:line="220" w:lineRule="exact"/>
              <w:ind w:left="0" w:right="113"/>
              <w:jc w:val="right"/>
              <w:rPr>
                <w:sz w:val="18"/>
              </w:rPr>
            </w:pPr>
            <w:r w:rsidRPr="009C64D2">
              <w:rPr>
                <w:sz w:val="18"/>
              </w:rPr>
              <w:t>0.3</w:t>
            </w:r>
          </w:p>
        </w:tc>
        <w:tc>
          <w:tcPr>
            <w:tcW w:w="486" w:type="dxa"/>
            <w:shd w:val="clear" w:color="auto" w:fill="auto"/>
            <w:vAlign w:val="bottom"/>
          </w:tcPr>
          <w:p w:rsidR="00C9789E" w:rsidRPr="009C64D2" w:rsidRDefault="00C9789E" w:rsidP="009C64D2">
            <w:pPr>
              <w:pStyle w:val="SingleTxtG"/>
              <w:spacing w:before="40" w:after="40" w:line="220" w:lineRule="exact"/>
              <w:ind w:left="0" w:right="113"/>
              <w:jc w:val="right"/>
              <w:rPr>
                <w:sz w:val="18"/>
              </w:rPr>
            </w:pPr>
            <w:r w:rsidRPr="009C64D2">
              <w:rPr>
                <w:sz w:val="18"/>
              </w:rPr>
              <w:t>3.7</w:t>
            </w:r>
          </w:p>
        </w:tc>
        <w:tc>
          <w:tcPr>
            <w:tcW w:w="486" w:type="dxa"/>
            <w:shd w:val="clear" w:color="auto" w:fill="auto"/>
            <w:vAlign w:val="bottom"/>
          </w:tcPr>
          <w:p w:rsidR="00C9789E" w:rsidRPr="009C64D2" w:rsidRDefault="00C9789E" w:rsidP="009C64D2">
            <w:pPr>
              <w:pStyle w:val="SingleTxtG"/>
              <w:spacing w:before="40" w:after="40" w:line="220" w:lineRule="exact"/>
              <w:ind w:left="0" w:right="113"/>
              <w:jc w:val="right"/>
              <w:rPr>
                <w:sz w:val="18"/>
              </w:rPr>
            </w:pPr>
            <w:r w:rsidRPr="009C64D2">
              <w:rPr>
                <w:sz w:val="18"/>
              </w:rPr>
              <w:t>0.4</w:t>
            </w:r>
          </w:p>
        </w:tc>
        <w:tc>
          <w:tcPr>
            <w:tcW w:w="400" w:type="dxa"/>
            <w:shd w:val="clear" w:color="auto" w:fill="auto"/>
            <w:vAlign w:val="bottom"/>
          </w:tcPr>
          <w:p w:rsidR="00C9789E" w:rsidRPr="009C64D2" w:rsidRDefault="00C9789E" w:rsidP="009C64D2">
            <w:pPr>
              <w:pStyle w:val="SingleTxtG"/>
              <w:spacing w:before="40" w:after="40" w:line="220" w:lineRule="exact"/>
              <w:ind w:left="0" w:right="113"/>
              <w:jc w:val="right"/>
              <w:rPr>
                <w:sz w:val="18"/>
              </w:rPr>
            </w:pPr>
            <w:r w:rsidRPr="009C64D2">
              <w:rPr>
                <w:sz w:val="18"/>
              </w:rPr>
              <w:t>3.2</w:t>
            </w:r>
          </w:p>
        </w:tc>
        <w:tc>
          <w:tcPr>
            <w:tcW w:w="400" w:type="dxa"/>
            <w:shd w:val="clear" w:color="auto" w:fill="auto"/>
            <w:vAlign w:val="bottom"/>
          </w:tcPr>
          <w:p w:rsidR="00C9789E" w:rsidRPr="009C64D2" w:rsidRDefault="00C9789E" w:rsidP="009C64D2">
            <w:pPr>
              <w:pStyle w:val="SingleTxtG"/>
              <w:spacing w:before="40" w:after="40" w:line="220" w:lineRule="exact"/>
              <w:ind w:left="0" w:right="113"/>
              <w:jc w:val="right"/>
              <w:rPr>
                <w:sz w:val="18"/>
              </w:rPr>
            </w:pPr>
            <w:r w:rsidRPr="009C64D2">
              <w:rPr>
                <w:sz w:val="18"/>
              </w:rPr>
              <w:t>0.3</w:t>
            </w:r>
          </w:p>
        </w:tc>
        <w:tc>
          <w:tcPr>
            <w:tcW w:w="455" w:type="dxa"/>
            <w:shd w:val="clear" w:color="auto" w:fill="auto"/>
            <w:vAlign w:val="bottom"/>
          </w:tcPr>
          <w:p w:rsidR="00C9789E" w:rsidRPr="009C64D2" w:rsidRDefault="00C9789E" w:rsidP="009C64D2">
            <w:pPr>
              <w:pStyle w:val="SingleTxtG"/>
              <w:spacing w:before="40" w:after="40" w:line="220" w:lineRule="exact"/>
              <w:ind w:left="0" w:right="113"/>
              <w:jc w:val="right"/>
              <w:rPr>
                <w:sz w:val="18"/>
              </w:rPr>
            </w:pPr>
            <w:r w:rsidRPr="009C64D2">
              <w:rPr>
                <w:sz w:val="18"/>
              </w:rPr>
              <w:t>3.8</w:t>
            </w:r>
          </w:p>
        </w:tc>
        <w:tc>
          <w:tcPr>
            <w:tcW w:w="455" w:type="dxa"/>
            <w:shd w:val="clear" w:color="auto" w:fill="auto"/>
            <w:vAlign w:val="bottom"/>
          </w:tcPr>
          <w:p w:rsidR="00C9789E" w:rsidRPr="009C64D2" w:rsidRDefault="00C9789E" w:rsidP="009C64D2">
            <w:pPr>
              <w:pStyle w:val="SingleTxtG"/>
              <w:spacing w:before="40" w:after="40" w:line="220" w:lineRule="exact"/>
              <w:ind w:left="0" w:right="113"/>
              <w:jc w:val="right"/>
              <w:rPr>
                <w:sz w:val="18"/>
              </w:rPr>
            </w:pPr>
            <w:r w:rsidRPr="009C64D2">
              <w:rPr>
                <w:sz w:val="18"/>
              </w:rPr>
              <w:t>0.3</w:t>
            </w:r>
          </w:p>
        </w:tc>
      </w:tr>
      <w:tr w:rsidR="00C9789E" w:rsidRPr="009C64D2" w:rsidTr="00B77308">
        <w:trPr>
          <w:cantSplit/>
        </w:trPr>
        <w:tc>
          <w:tcPr>
            <w:tcW w:w="802" w:type="dxa"/>
            <w:shd w:val="clear" w:color="auto" w:fill="auto"/>
          </w:tcPr>
          <w:p w:rsidR="00C9789E" w:rsidRPr="009C64D2" w:rsidRDefault="00C9789E" w:rsidP="009C64D2">
            <w:pPr>
              <w:pStyle w:val="SingleTxtG"/>
              <w:spacing w:before="40" w:after="40" w:line="220" w:lineRule="exact"/>
              <w:ind w:left="0" w:right="113"/>
              <w:jc w:val="left"/>
              <w:rPr>
                <w:sz w:val="18"/>
              </w:rPr>
            </w:pPr>
            <w:r w:rsidRPr="009C64D2">
              <w:rPr>
                <w:sz w:val="18"/>
              </w:rPr>
              <w:t>Sep-14</w:t>
            </w:r>
          </w:p>
        </w:tc>
        <w:tc>
          <w:tcPr>
            <w:tcW w:w="485" w:type="dxa"/>
            <w:shd w:val="clear" w:color="auto" w:fill="auto"/>
            <w:vAlign w:val="bottom"/>
          </w:tcPr>
          <w:p w:rsidR="00C9789E" w:rsidRPr="009C64D2" w:rsidRDefault="00C9789E" w:rsidP="009C64D2">
            <w:pPr>
              <w:pStyle w:val="SingleTxtG"/>
              <w:spacing w:before="40" w:after="40" w:line="220" w:lineRule="exact"/>
              <w:ind w:left="0" w:right="113"/>
              <w:jc w:val="right"/>
              <w:rPr>
                <w:sz w:val="18"/>
              </w:rPr>
            </w:pPr>
            <w:r w:rsidRPr="009C64D2">
              <w:rPr>
                <w:sz w:val="18"/>
              </w:rPr>
              <w:t>4.7</w:t>
            </w:r>
          </w:p>
        </w:tc>
        <w:tc>
          <w:tcPr>
            <w:tcW w:w="485" w:type="dxa"/>
            <w:shd w:val="clear" w:color="auto" w:fill="auto"/>
            <w:vAlign w:val="bottom"/>
          </w:tcPr>
          <w:p w:rsidR="00C9789E" w:rsidRPr="009C64D2" w:rsidRDefault="00C9789E" w:rsidP="009C64D2">
            <w:pPr>
              <w:pStyle w:val="SingleTxtG"/>
              <w:spacing w:before="40" w:after="40" w:line="220" w:lineRule="exact"/>
              <w:ind w:left="0" w:right="113"/>
              <w:jc w:val="right"/>
              <w:rPr>
                <w:sz w:val="18"/>
              </w:rPr>
            </w:pPr>
            <w:r w:rsidRPr="009C64D2">
              <w:rPr>
                <w:sz w:val="18"/>
              </w:rPr>
              <w:t>0.2</w:t>
            </w:r>
          </w:p>
        </w:tc>
        <w:tc>
          <w:tcPr>
            <w:tcW w:w="486" w:type="dxa"/>
            <w:shd w:val="clear" w:color="auto" w:fill="auto"/>
            <w:vAlign w:val="bottom"/>
          </w:tcPr>
          <w:p w:rsidR="00C9789E" w:rsidRPr="009C64D2" w:rsidRDefault="00C9789E" w:rsidP="009C64D2">
            <w:pPr>
              <w:pStyle w:val="SingleTxtG"/>
              <w:spacing w:before="40" w:after="40" w:line="220" w:lineRule="exact"/>
              <w:ind w:left="0" w:right="113"/>
              <w:jc w:val="right"/>
              <w:rPr>
                <w:sz w:val="18"/>
              </w:rPr>
            </w:pPr>
            <w:r w:rsidRPr="009C64D2">
              <w:rPr>
                <w:sz w:val="18"/>
              </w:rPr>
              <w:t>3.1</w:t>
            </w:r>
          </w:p>
        </w:tc>
        <w:tc>
          <w:tcPr>
            <w:tcW w:w="486" w:type="dxa"/>
            <w:shd w:val="clear" w:color="auto" w:fill="auto"/>
            <w:vAlign w:val="bottom"/>
          </w:tcPr>
          <w:p w:rsidR="00C9789E" w:rsidRPr="009C64D2" w:rsidRDefault="00C9789E" w:rsidP="009C64D2">
            <w:pPr>
              <w:pStyle w:val="SingleTxtG"/>
              <w:spacing w:before="40" w:after="40" w:line="220" w:lineRule="exact"/>
              <w:ind w:left="0" w:right="113"/>
              <w:jc w:val="right"/>
              <w:rPr>
                <w:sz w:val="18"/>
              </w:rPr>
            </w:pPr>
            <w:r w:rsidRPr="009C64D2">
              <w:rPr>
                <w:sz w:val="18"/>
              </w:rPr>
              <w:t>0.2</w:t>
            </w:r>
          </w:p>
        </w:tc>
        <w:tc>
          <w:tcPr>
            <w:tcW w:w="486" w:type="dxa"/>
            <w:shd w:val="clear" w:color="auto" w:fill="auto"/>
            <w:vAlign w:val="bottom"/>
          </w:tcPr>
          <w:p w:rsidR="00C9789E" w:rsidRPr="009C64D2" w:rsidRDefault="00C9789E" w:rsidP="009C64D2">
            <w:pPr>
              <w:pStyle w:val="SingleTxtG"/>
              <w:spacing w:before="40" w:after="40" w:line="220" w:lineRule="exact"/>
              <w:ind w:left="0" w:right="113"/>
              <w:jc w:val="right"/>
              <w:rPr>
                <w:sz w:val="18"/>
              </w:rPr>
            </w:pPr>
            <w:r w:rsidRPr="009C64D2">
              <w:rPr>
                <w:sz w:val="18"/>
              </w:rPr>
              <w:t>3.1</w:t>
            </w:r>
          </w:p>
        </w:tc>
        <w:tc>
          <w:tcPr>
            <w:tcW w:w="486" w:type="dxa"/>
            <w:shd w:val="clear" w:color="auto" w:fill="auto"/>
            <w:vAlign w:val="bottom"/>
          </w:tcPr>
          <w:p w:rsidR="00C9789E" w:rsidRPr="009C64D2" w:rsidRDefault="00C9789E" w:rsidP="009C64D2">
            <w:pPr>
              <w:pStyle w:val="SingleTxtG"/>
              <w:spacing w:before="40" w:after="40" w:line="220" w:lineRule="exact"/>
              <w:ind w:left="0" w:right="113"/>
              <w:jc w:val="right"/>
              <w:rPr>
                <w:sz w:val="18"/>
              </w:rPr>
            </w:pPr>
            <w:r w:rsidRPr="009C64D2">
              <w:rPr>
                <w:sz w:val="18"/>
              </w:rPr>
              <w:t>0.2</w:t>
            </w:r>
          </w:p>
        </w:tc>
        <w:tc>
          <w:tcPr>
            <w:tcW w:w="486" w:type="dxa"/>
            <w:shd w:val="clear" w:color="auto" w:fill="auto"/>
            <w:vAlign w:val="bottom"/>
          </w:tcPr>
          <w:p w:rsidR="00C9789E" w:rsidRPr="009C64D2" w:rsidRDefault="00C9789E" w:rsidP="009C64D2">
            <w:pPr>
              <w:pStyle w:val="SingleTxtG"/>
              <w:spacing w:before="40" w:after="40" w:line="220" w:lineRule="exact"/>
              <w:ind w:left="0" w:right="113"/>
              <w:jc w:val="right"/>
              <w:rPr>
                <w:sz w:val="18"/>
              </w:rPr>
            </w:pPr>
            <w:r w:rsidRPr="009C64D2">
              <w:rPr>
                <w:sz w:val="18"/>
              </w:rPr>
              <w:t>3.7</w:t>
            </w:r>
          </w:p>
        </w:tc>
        <w:tc>
          <w:tcPr>
            <w:tcW w:w="486" w:type="dxa"/>
            <w:shd w:val="clear" w:color="auto" w:fill="auto"/>
            <w:vAlign w:val="bottom"/>
          </w:tcPr>
          <w:p w:rsidR="00C9789E" w:rsidRPr="009C64D2" w:rsidRDefault="00C9789E" w:rsidP="009C64D2">
            <w:pPr>
              <w:pStyle w:val="SingleTxtG"/>
              <w:spacing w:before="40" w:after="40" w:line="220" w:lineRule="exact"/>
              <w:ind w:left="0" w:right="113"/>
              <w:jc w:val="right"/>
              <w:rPr>
                <w:sz w:val="18"/>
              </w:rPr>
            </w:pPr>
            <w:r w:rsidRPr="009C64D2">
              <w:rPr>
                <w:sz w:val="18"/>
              </w:rPr>
              <w:t>0.3</w:t>
            </w:r>
          </w:p>
        </w:tc>
        <w:tc>
          <w:tcPr>
            <w:tcW w:w="486" w:type="dxa"/>
            <w:shd w:val="clear" w:color="auto" w:fill="auto"/>
            <w:vAlign w:val="bottom"/>
          </w:tcPr>
          <w:p w:rsidR="00C9789E" w:rsidRPr="009C64D2" w:rsidRDefault="00C9789E" w:rsidP="009C64D2">
            <w:pPr>
              <w:pStyle w:val="SingleTxtG"/>
              <w:spacing w:before="40" w:after="40" w:line="220" w:lineRule="exact"/>
              <w:ind w:left="0" w:right="113"/>
              <w:jc w:val="right"/>
              <w:rPr>
                <w:sz w:val="18"/>
              </w:rPr>
            </w:pPr>
            <w:r w:rsidRPr="009C64D2">
              <w:rPr>
                <w:sz w:val="18"/>
              </w:rPr>
              <w:t>3.6</w:t>
            </w:r>
          </w:p>
        </w:tc>
        <w:tc>
          <w:tcPr>
            <w:tcW w:w="486" w:type="dxa"/>
            <w:shd w:val="clear" w:color="auto" w:fill="auto"/>
            <w:vAlign w:val="bottom"/>
          </w:tcPr>
          <w:p w:rsidR="00C9789E" w:rsidRPr="009C64D2" w:rsidRDefault="00C9789E" w:rsidP="009C64D2">
            <w:pPr>
              <w:pStyle w:val="SingleTxtG"/>
              <w:spacing w:before="40" w:after="40" w:line="220" w:lineRule="exact"/>
              <w:ind w:left="0" w:right="113"/>
              <w:jc w:val="right"/>
              <w:rPr>
                <w:sz w:val="18"/>
              </w:rPr>
            </w:pPr>
            <w:r w:rsidRPr="009C64D2">
              <w:rPr>
                <w:sz w:val="18"/>
              </w:rPr>
              <w:t>0.3</w:t>
            </w:r>
          </w:p>
        </w:tc>
        <w:tc>
          <w:tcPr>
            <w:tcW w:w="400" w:type="dxa"/>
            <w:shd w:val="clear" w:color="auto" w:fill="auto"/>
            <w:vAlign w:val="bottom"/>
          </w:tcPr>
          <w:p w:rsidR="00C9789E" w:rsidRPr="009C64D2" w:rsidRDefault="00C9789E" w:rsidP="009C64D2">
            <w:pPr>
              <w:pStyle w:val="SingleTxtG"/>
              <w:spacing w:before="40" w:after="40" w:line="220" w:lineRule="exact"/>
              <w:ind w:left="0" w:right="113"/>
              <w:jc w:val="right"/>
              <w:rPr>
                <w:sz w:val="18"/>
              </w:rPr>
            </w:pPr>
            <w:r w:rsidRPr="009C64D2">
              <w:rPr>
                <w:sz w:val="18"/>
              </w:rPr>
              <w:t>3.0</w:t>
            </w:r>
          </w:p>
        </w:tc>
        <w:tc>
          <w:tcPr>
            <w:tcW w:w="400" w:type="dxa"/>
            <w:shd w:val="clear" w:color="auto" w:fill="auto"/>
            <w:vAlign w:val="bottom"/>
          </w:tcPr>
          <w:p w:rsidR="00C9789E" w:rsidRPr="009C64D2" w:rsidRDefault="00C9789E" w:rsidP="009C64D2">
            <w:pPr>
              <w:pStyle w:val="SingleTxtG"/>
              <w:spacing w:before="40" w:after="40" w:line="220" w:lineRule="exact"/>
              <w:ind w:left="0" w:right="113"/>
              <w:jc w:val="right"/>
              <w:rPr>
                <w:sz w:val="18"/>
              </w:rPr>
            </w:pPr>
            <w:r w:rsidRPr="009C64D2">
              <w:rPr>
                <w:sz w:val="18"/>
              </w:rPr>
              <w:t>0.3</w:t>
            </w:r>
          </w:p>
        </w:tc>
        <w:tc>
          <w:tcPr>
            <w:tcW w:w="455" w:type="dxa"/>
            <w:shd w:val="clear" w:color="auto" w:fill="auto"/>
            <w:vAlign w:val="bottom"/>
          </w:tcPr>
          <w:p w:rsidR="00C9789E" w:rsidRPr="009C64D2" w:rsidRDefault="00C9789E" w:rsidP="009C64D2">
            <w:pPr>
              <w:pStyle w:val="SingleTxtG"/>
              <w:spacing w:before="40" w:after="40" w:line="220" w:lineRule="exact"/>
              <w:ind w:left="0" w:right="113"/>
              <w:jc w:val="right"/>
              <w:rPr>
                <w:sz w:val="18"/>
              </w:rPr>
            </w:pPr>
            <w:r w:rsidRPr="009C64D2">
              <w:rPr>
                <w:sz w:val="18"/>
              </w:rPr>
              <w:t>3.6</w:t>
            </w:r>
          </w:p>
        </w:tc>
        <w:tc>
          <w:tcPr>
            <w:tcW w:w="455" w:type="dxa"/>
            <w:shd w:val="clear" w:color="auto" w:fill="auto"/>
            <w:vAlign w:val="bottom"/>
          </w:tcPr>
          <w:p w:rsidR="00C9789E" w:rsidRPr="009C64D2" w:rsidRDefault="00C9789E" w:rsidP="009C64D2">
            <w:pPr>
              <w:pStyle w:val="SingleTxtG"/>
              <w:spacing w:before="40" w:after="40" w:line="220" w:lineRule="exact"/>
              <w:ind w:left="0" w:right="113"/>
              <w:jc w:val="right"/>
              <w:rPr>
                <w:sz w:val="18"/>
              </w:rPr>
            </w:pPr>
            <w:r w:rsidRPr="009C64D2">
              <w:rPr>
                <w:sz w:val="18"/>
              </w:rPr>
              <w:t>0.2</w:t>
            </w:r>
          </w:p>
        </w:tc>
      </w:tr>
      <w:tr w:rsidR="00C9789E" w:rsidRPr="009C64D2" w:rsidTr="00B77308">
        <w:trPr>
          <w:cantSplit/>
        </w:trPr>
        <w:tc>
          <w:tcPr>
            <w:tcW w:w="802" w:type="dxa"/>
            <w:shd w:val="clear" w:color="auto" w:fill="auto"/>
          </w:tcPr>
          <w:p w:rsidR="00C9789E" w:rsidRPr="009C64D2" w:rsidRDefault="00C9789E" w:rsidP="009C64D2">
            <w:pPr>
              <w:pStyle w:val="SingleTxtG"/>
              <w:spacing w:before="40" w:after="40" w:line="220" w:lineRule="exact"/>
              <w:ind w:left="0" w:right="113"/>
              <w:jc w:val="left"/>
              <w:rPr>
                <w:sz w:val="18"/>
              </w:rPr>
            </w:pPr>
            <w:r w:rsidRPr="009C64D2">
              <w:rPr>
                <w:sz w:val="18"/>
              </w:rPr>
              <w:t>Jun-14</w:t>
            </w:r>
          </w:p>
        </w:tc>
        <w:tc>
          <w:tcPr>
            <w:tcW w:w="485" w:type="dxa"/>
            <w:shd w:val="clear" w:color="auto" w:fill="auto"/>
            <w:vAlign w:val="bottom"/>
          </w:tcPr>
          <w:p w:rsidR="00C9789E" w:rsidRPr="009C64D2" w:rsidRDefault="00C9789E" w:rsidP="009C64D2">
            <w:pPr>
              <w:pStyle w:val="SingleTxtG"/>
              <w:spacing w:before="40" w:after="40" w:line="220" w:lineRule="exact"/>
              <w:ind w:left="0" w:right="113"/>
              <w:jc w:val="right"/>
              <w:rPr>
                <w:sz w:val="18"/>
              </w:rPr>
            </w:pPr>
            <w:r w:rsidRPr="009C64D2">
              <w:rPr>
                <w:sz w:val="18"/>
              </w:rPr>
              <w:t>5.0</w:t>
            </w:r>
          </w:p>
        </w:tc>
        <w:tc>
          <w:tcPr>
            <w:tcW w:w="485" w:type="dxa"/>
            <w:shd w:val="clear" w:color="auto" w:fill="auto"/>
            <w:vAlign w:val="bottom"/>
          </w:tcPr>
          <w:p w:rsidR="00C9789E" w:rsidRPr="009C64D2" w:rsidRDefault="00C9789E" w:rsidP="009C64D2">
            <w:pPr>
              <w:pStyle w:val="SingleTxtG"/>
              <w:spacing w:before="40" w:after="40" w:line="220" w:lineRule="exact"/>
              <w:ind w:left="0" w:right="113"/>
              <w:jc w:val="right"/>
              <w:rPr>
                <w:sz w:val="18"/>
              </w:rPr>
            </w:pPr>
            <w:r w:rsidRPr="009C64D2">
              <w:rPr>
                <w:sz w:val="18"/>
              </w:rPr>
              <w:t>0.3</w:t>
            </w:r>
          </w:p>
        </w:tc>
        <w:tc>
          <w:tcPr>
            <w:tcW w:w="486" w:type="dxa"/>
            <w:shd w:val="clear" w:color="auto" w:fill="auto"/>
            <w:vAlign w:val="bottom"/>
          </w:tcPr>
          <w:p w:rsidR="00C9789E" w:rsidRPr="009C64D2" w:rsidRDefault="00C9789E" w:rsidP="009C64D2">
            <w:pPr>
              <w:pStyle w:val="SingleTxtG"/>
              <w:spacing w:before="40" w:after="40" w:line="220" w:lineRule="exact"/>
              <w:ind w:left="0" w:right="113"/>
              <w:jc w:val="right"/>
              <w:rPr>
                <w:sz w:val="18"/>
              </w:rPr>
            </w:pPr>
            <w:r w:rsidRPr="009C64D2">
              <w:rPr>
                <w:sz w:val="18"/>
              </w:rPr>
              <w:t>3.2</w:t>
            </w:r>
          </w:p>
        </w:tc>
        <w:tc>
          <w:tcPr>
            <w:tcW w:w="486" w:type="dxa"/>
            <w:shd w:val="clear" w:color="auto" w:fill="auto"/>
            <w:vAlign w:val="bottom"/>
          </w:tcPr>
          <w:p w:rsidR="00C9789E" w:rsidRPr="009C64D2" w:rsidRDefault="00C9789E" w:rsidP="009C64D2">
            <w:pPr>
              <w:pStyle w:val="SingleTxtG"/>
              <w:spacing w:before="40" w:after="40" w:line="220" w:lineRule="exact"/>
              <w:ind w:left="0" w:right="113"/>
              <w:jc w:val="right"/>
              <w:rPr>
                <w:sz w:val="18"/>
              </w:rPr>
            </w:pPr>
            <w:r w:rsidRPr="009C64D2">
              <w:rPr>
                <w:sz w:val="18"/>
              </w:rPr>
              <w:t>0.2</w:t>
            </w:r>
          </w:p>
        </w:tc>
        <w:tc>
          <w:tcPr>
            <w:tcW w:w="486" w:type="dxa"/>
            <w:shd w:val="clear" w:color="auto" w:fill="auto"/>
            <w:vAlign w:val="bottom"/>
          </w:tcPr>
          <w:p w:rsidR="00C9789E" w:rsidRPr="009C64D2" w:rsidRDefault="00C9789E" w:rsidP="009C64D2">
            <w:pPr>
              <w:pStyle w:val="SingleTxtG"/>
              <w:spacing w:before="40" w:after="40" w:line="220" w:lineRule="exact"/>
              <w:ind w:left="0" w:right="113"/>
              <w:jc w:val="right"/>
              <w:rPr>
                <w:sz w:val="18"/>
              </w:rPr>
            </w:pPr>
            <w:r w:rsidRPr="009C64D2">
              <w:rPr>
                <w:sz w:val="18"/>
              </w:rPr>
              <w:t>3.1</w:t>
            </w:r>
          </w:p>
        </w:tc>
        <w:tc>
          <w:tcPr>
            <w:tcW w:w="486" w:type="dxa"/>
            <w:shd w:val="clear" w:color="auto" w:fill="auto"/>
            <w:vAlign w:val="bottom"/>
          </w:tcPr>
          <w:p w:rsidR="00C9789E" w:rsidRPr="009C64D2" w:rsidRDefault="00C9789E" w:rsidP="009C64D2">
            <w:pPr>
              <w:pStyle w:val="SingleTxtG"/>
              <w:spacing w:before="40" w:after="40" w:line="220" w:lineRule="exact"/>
              <w:ind w:left="0" w:right="113"/>
              <w:jc w:val="right"/>
              <w:rPr>
                <w:sz w:val="18"/>
              </w:rPr>
            </w:pPr>
            <w:r w:rsidRPr="009C64D2">
              <w:rPr>
                <w:sz w:val="18"/>
              </w:rPr>
              <w:t>0.2</w:t>
            </w:r>
          </w:p>
        </w:tc>
        <w:tc>
          <w:tcPr>
            <w:tcW w:w="486" w:type="dxa"/>
            <w:shd w:val="clear" w:color="auto" w:fill="auto"/>
            <w:vAlign w:val="bottom"/>
          </w:tcPr>
          <w:p w:rsidR="00C9789E" w:rsidRPr="009C64D2" w:rsidRDefault="00C9789E" w:rsidP="009C64D2">
            <w:pPr>
              <w:pStyle w:val="SingleTxtG"/>
              <w:spacing w:before="40" w:after="40" w:line="220" w:lineRule="exact"/>
              <w:ind w:left="0" w:right="113"/>
              <w:jc w:val="right"/>
              <w:rPr>
                <w:sz w:val="18"/>
              </w:rPr>
            </w:pPr>
            <w:r w:rsidRPr="009C64D2">
              <w:rPr>
                <w:sz w:val="18"/>
              </w:rPr>
              <w:t>3.7</w:t>
            </w:r>
          </w:p>
        </w:tc>
        <w:tc>
          <w:tcPr>
            <w:tcW w:w="486" w:type="dxa"/>
            <w:shd w:val="clear" w:color="auto" w:fill="auto"/>
            <w:vAlign w:val="bottom"/>
          </w:tcPr>
          <w:p w:rsidR="00C9789E" w:rsidRPr="009C64D2" w:rsidRDefault="00C9789E" w:rsidP="009C64D2">
            <w:pPr>
              <w:pStyle w:val="SingleTxtG"/>
              <w:spacing w:before="40" w:after="40" w:line="220" w:lineRule="exact"/>
              <w:ind w:left="0" w:right="113"/>
              <w:jc w:val="right"/>
              <w:rPr>
                <w:sz w:val="18"/>
              </w:rPr>
            </w:pPr>
            <w:r w:rsidRPr="009C64D2">
              <w:rPr>
                <w:sz w:val="18"/>
              </w:rPr>
              <w:t>0.3</w:t>
            </w:r>
          </w:p>
        </w:tc>
        <w:tc>
          <w:tcPr>
            <w:tcW w:w="486" w:type="dxa"/>
            <w:shd w:val="clear" w:color="auto" w:fill="auto"/>
            <w:vAlign w:val="bottom"/>
          </w:tcPr>
          <w:p w:rsidR="00C9789E" w:rsidRPr="009C64D2" w:rsidRDefault="00C9789E" w:rsidP="009C64D2">
            <w:pPr>
              <w:pStyle w:val="SingleTxtG"/>
              <w:spacing w:before="40" w:after="40" w:line="220" w:lineRule="exact"/>
              <w:ind w:left="0" w:right="113"/>
              <w:jc w:val="right"/>
              <w:rPr>
                <w:sz w:val="18"/>
              </w:rPr>
            </w:pPr>
            <w:r w:rsidRPr="009C64D2">
              <w:rPr>
                <w:sz w:val="18"/>
              </w:rPr>
              <w:t>3.6</w:t>
            </w:r>
          </w:p>
        </w:tc>
        <w:tc>
          <w:tcPr>
            <w:tcW w:w="486" w:type="dxa"/>
            <w:shd w:val="clear" w:color="auto" w:fill="auto"/>
            <w:vAlign w:val="bottom"/>
          </w:tcPr>
          <w:p w:rsidR="00C9789E" w:rsidRPr="009C64D2" w:rsidRDefault="00C9789E" w:rsidP="009C64D2">
            <w:pPr>
              <w:pStyle w:val="SingleTxtG"/>
              <w:spacing w:before="40" w:after="40" w:line="220" w:lineRule="exact"/>
              <w:ind w:left="0" w:right="113"/>
              <w:jc w:val="right"/>
              <w:rPr>
                <w:sz w:val="18"/>
              </w:rPr>
            </w:pPr>
            <w:r w:rsidRPr="009C64D2">
              <w:rPr>
                <w:sz w:val="18"/>
              </w:rPr>
              <w:t>0.3</w:t>
            </w:r>
          </w:p>
        </w:tc>
        <w:tc>
          <w:tcPr>
            <w:tcW w:w="400" w:type="dxa"/>
            <w:shd w:val="clear" w:color="auto" w:fill="auto"/>
            <w:vAlign w:val="bottom"/>
          </w:tcPr>
          <w:p w:rsidR="00C9789E" w:rsidRPr="009C64D2" w:rsidRDefault="00C9789E" w:rsidP="009C64D2">
            <w:pPr>
              <w:pStyle w:val="SingleTxtG"/>
              <w:spacing w:before="40" w:after="40" w:line="220" w:lineRule="exact"/>
              <w:ind w:left="0" w:right="113"/>
              <w:jc w:val="right"/>
              <w:rPr>
                <w:sz w:val="18"/>
              </w:rPr>
            </w:pPr>
            <w:r w:rsidRPr="009C64D2">
              <w:rPr>
                <w:sz w:val="18"/>
              </w:rPr>
              <w:t>3.1</w:t>
            </w:r>
          </w:p>
        </w:tc>
        <w:tc>
          <w:tcPr>
            <w:tcW w:w="400" w:type="dxa"/>
            <w:shd w:val="clear" w:color="auto" w:fill="auto"/>
            <w:vAlign w:val="bottom"/>
          </w:tcPr>
          <w:p w:rsidR="00C9789E" w:rsidRPr="009C64D2" w:rsidRDefault="00C9789E" w:rsidP="009C64D2">
            <w:pPr>
              <w:pStyle w:val="SingleTxtG"/>
              <w:spacing w:before="40" w:after="40" w:line="220" w:lineRule="exact"/>
              <w:ind w:left="0" w:right="113"/>
              <w:jc w:val="right"/>
              <w:rPr>
                <w:sz w:val="18"/>
              </w:rPr>
            </w:pPr>
            <w:r w:rsidRPr="009C64D2">
              <w:rPr>
                <w:sz w:val="18"/>
              </w:rPr>
              <w:t>0.3</w:t>
            </w:r>
          </w:p>
        </w:tc>
        <w:tc>
          <w:tcPr>
            <w:tcW w:w="455" w:type="dxa"/>
            <w:shd w:val="clear" w:color="auto" w:fill="auto"/>
            <w:vAlign w:val="bottom"/>
          </w:tcPr>
          <w:p w:rsidR="00C9789E" w:rsidRPr="009C64D2" w:rsidRDefault="00C9789E" w:rsidP="009C64D2">
            <w:pPr>
              <w:pStyle w:val="SingleTxtG"/>
              <w:spacing w:before="40" w:after="40" w:line="220" w:lineRule="exact"/>
              <w:ind w:left="0" w:right="113"/>
              <w:jc w:val="right"/>
              <w:rPr>
                <w:sz w:val="18"/>
              </w:rPr>
            </w:pPr>
            <w:r w:rsidRPr="009C64D2">
              <w:rPr>
                <w:sz w:val="18"/>
              </w:rPr>
              <w:t>3.6</w:t>
            </w:r>
          </w:p>
        </w:tc>
        <w:tc>
          <w:tcPr>
            <w:tcW w:w="455" w:type="dxa"/>
            <w:shd w:val="clear" w:color="auto" w:fill="auto"/>
            <w:vAlign w:val="bottom"/>
          </w:tcPr>
          <w:p w:rsidR="00C9789E" w:rsidRPr="009C64D2" w:rsidRDefault="00C9789E" w:rsidP="009C64D2">
            <w:pPr>
              <w:pStyle w:val="SingleTxtG"/>
              <w:spacing w:before="40" w:after="40" w:line="220" w:lineRule="exact"/>
              <w:ind w:left="0" w:right="113"/>
              <w:jc w:val="right"/>
              <w:rPr>
                <w:sz w:val="18"/>
              </w:rPr>
            </w:pPr>
            <w:r w:rsidRPr="009C64D2">
              <w:rPr>
                <w:sz w:val="18"/>
              </w:rPr>
              <w:t>0.2</w:t>
            </w:r>
          </w:p>
        </w:tc>
      </w:tr>
      <w:tr w:rsidR="00C9789E" w:rsidRPr="009C64D2" w:rsidTr="00B77308">
        <w:trPr>
          <w:cantSplit/>
        </w:trPr>
        <w:tc>
          <w:tcPr>
            <w:tcW w:w="802" w:type="dxa"/>
            <w:shd w:val="clear" w:color="auto" w:fill="auto"/>
          </w:tcPr>
          <w:p w:rsidR="00C9789E" w:rsidRPr="009C64D2" w:rsidRDefault="00C9789E" w:rsidP="009C64D2">
            <w:pPr>
              <w:pStyle w:val="SingleTxtG"/>
              <w:spacing w:before="40" w:after="40" w:line="220" w:lineRule="exact"/>
              <w:ind w:left="0" w:right="113"/>
              <w:jc w:val="left"/>
              <w:rPr>
                <w:sz w:val="18"/>
              </w:rPr>
            </w:pPr>
            <w:r w:rsidRPr="009C64D2">
              <w:rPr>
                <w:sz w:val="18"/>
              </w:rPr>
              <w:t>Mar-14</w:t>
            </w:r>
          </w:p>
        </w:tc>
        <w:tc>
          <w:tcPr>
            <w:tcW w:w="485" w:type="dxa"/>
            <w:shd w:val="clear" w:color="auto" w:fill="auto"/>
            <w:vAlign w:val="bottom"/>
          </w:tcPr>
          <w:p w:rsidR="00C9789E" w:rsidRPr="009C64D2" w:rsidRDefault="00C9789E" w:rsidP="009C64D2">
            <w:pPr>
              <w:pStyle w:val="SingleTxtG"/>
              <w:spacing w:before="40" w:after="40" w:line="220" w:lineRule="exact"/>
              <w:ind w:left="0" w:right="113"/>
              <w:jc w:val="right"/>
              <w:rPr>
                <w:sz w:val="18"/>
              </w:rPr>
            </w:pPr>
            <w:r w:rsidRPr="009C64D2">
              <w:rPr>
                <w:sz w:val="18"/>
              </w:rPr>
              <w:t>5.0</w:t>
            </w:r>
          </w:p>
        </w:tc>
        <w:tc>
          <w:tcPr>
            <w:tcW w:w="485" w:type="dxa"/>
            <w:shd w:val="clear" w:color="auto" w:fill="auto"/>
            <w:vAlign w:val="bottom"/>
          </w:tcPr>
          <w:p w:rsidR="00C9789E" w:rsidRPr="009C64D2" w:rsidRDefault="00C9789E" w:rsidP="009C64D2">
            <w:pPr>
              <w:pStyle w:val="SingleTxtG"/>
              <w:spacing w:before="40" w:after="40" w:line="220" w:lineRule="exact"/>
              <w:ind w:left="0" w:right="113"/>
              <w:jc w:val="right"/>
              <w:rPr>
                <w:sz w:val="18"/>
              </w:rPr>
            </w:pPr>
            <w:r w:rsidRPr="009C64D2">
              <w:rPr>
                <w:sz w:val="18"/>
              </w:rPr>
              <w:t>0.3</w:t>
            </w:r>
          </w:p>
        </w:tc>
        <w:tc>
          <w:tcPr>
            <w:tcW w:w="486" w:type="dxa"/>
            <w:shd w:val="clear" w:color="auto" w:fill="auto"/>
            <w:vAlign w:val="bottom"/>
          </w:tcPr>
          <w:p w:rsidR="00C9789E" w:rsidRPr="009C64D2" w:rsidRDefault="00C9789E" w:rsidP="009C64D2">
            <w:pPr>
              <w:pStyle w:val="SingleTxtG"/>
              <w:spacing w:before="40" w:after="40" w:line="220" w:lineRule="exact"/>
              <w:ind w:left="0" w:right="113"/>
              <w:jc w:val="right"/>
              <w:rPr>
                <w:sz w:val="18"/>
              </w:rPr>
            </w:pPr>
            <w:r w:rsidRPr="009C64D2">
              <w:rPr>
                <w:sz w:val="18"/>
              </w:rPr>
              <w:t>2.9</w:t>
            </w:r>
          </w:p>
        </w:tc>
        <w:tc>
          <w:tcPr>
            <w:tcW w:w="486" w:type="dxa"/>
            <w:shd w:val="clear" w:color="auto" w:fill="auto"/>
            <w:vAlign w:val="bottom"/>
          </w:tcPr>
          <w:p w:rsidR="00C9789E" w:rsidRPr="009C64D2" w:rsidRDefault="00C9789E" w:rsidP="009C64D2">
            <w:pPr>
              <w:pStyle w:val="SingleTxtG"/>
              <w:spacing w:before="40" w:after="40" w:line="220" w:lineRule="exact"/>
              <w:ind w:left="0" w:right="113"/>
              <w:jc w:val="right"/>
              <w:rPr>
                <w:sz w:val="18"/>
              </w:rPr>
            </w:pPr>
            <w:r w:rsidRPr="009C64D2">
              <w:rPr>
                <w:sz w:val="18"/>
              </w:rPr>
              <w:t>0.2</w:t>
            </w:r>
          </w:p>
        </w:tc>
        <w:tc>
          <w:tcPr>
            <w:tcW w:w="486" w:type="dxa"/>
            <w:shd w:val="clear" w:color="auto" w:fill="auto"/>
            <w:vAlign w:val="bottom"/>
          </w:tcPr>
          <w:p w:rsidR="00C9789E" w:rsidRPr="009C64D2" w:rsidRDefault="00C9789E" w:rsidP="009C64D2">
            <w:pPr>
              <w:pStyle w:val="SingleTxtG"/>
              <w:spacing w:before="40" w:after="40" w:line="220" w:lineRule="exact"/>
              <w:ind w:left="0" w:right="113"/>
              <w:jc w:val="right"/>
              <w:rPr>
                <w:sz w:val="18"/>
              </w:rPr>
            </w:pPr>
            <w:r w:rsidRPr="009C64D2">
              <w:rPr>
                <w:sz w:val="18"/>
              </w:rPr>
              <w:t>2.8</w:t>
            </w:r>
          </w:p>
        </w:tc>
        <w:tc>
          <w:tcPr>
            <w:tcW w:w="486" w:type="dxa"/>
            <w:shd w:val="clear" w:color="auto" w:fill="auto"/>
            <w:vAlign w:val="bottom"/>
          </w:tcPr>
          <w:p w:rsidR="00C9789E" w:rsidRPr="009C64D2" w:rsidRDefault="00C9789E" w:rsidP="009C64D2">
            <w:pPr>
              <w:pStyle w:val="SingleTxtG"/>
              <w:spacing w:before="40" w:after="40" w:line="220" w:lineRule="exact"/>
              <w:ind w:left="0" w:right="113"/>
              <w:jc w:val="right"/>
              <w:rPr>
                <w:sz w:val="18"/>
              </w:rPr>
            </w:pPr>
            <w:r w:rsidRPr="009C64D2">
              <w:rPr>
                <w:sz w:val="18"/>
              </w:rPr>
              <w:t>0.2</w:t>
            </w:r>
          </w:p>
        </w:tc>
        <w:tc>
          <w:tcPr>
            <w:tcW w:w="486" w:type="dxa"/>
            <w:shd w:val="clear" w:color="auto" w:fill="auto"/>
            <w:vAlign w:val="bottom"/>
          </w:tcPr>
          <w:p w:rsidR="00C9789E" w:rsidRPr="009C64D2" w:rsidRDefault="00C9789E" w:rsidP="009C64D2">
            <w:pPr>
              <w:pStyle w:val="SingleTxtG"/>
              <w:spacing w:before="40" w:after="40" w:line="220" w:lineRule="exact"/>
              <w:ind w:left="0" w:right="113"/>
              <w:jc w:val="right"/>
              <w:rPr>
                <w:sz w:val="18"/>
              </w:rPr>
            </w:pPr>
            <w:r w:rsidRPr="009C64D2">
              <w:rPr>
                <w:sz w:val="18"/>
              </w:rPr>
              <w:t>3.4</w:t>
            </w:r>
          </w:p>
        </w:tc>
        <w:tc>
          <w:tcPr>
            <w:tcW w:w="486" w:type="dxa"/>
            <w:shd w:val="clear" w:color="auto" w:fill="auto"/>
            <w:vAlign w:val="bottom"/>
          </w:tcPr>
          <w:p w:rsidR="00C9789E" w:rsidRPr="009C64D2" w:rsidRDefault="00C9789E" w:rsidP="009C64D2">
            <w:pPr>
              <w:pStyle w:val="SingleTxtG"/>
              <w:spacing w:before="40" w:after="40" w:line="220" w:lineRule="exact"/>
              <w:ind w:left="0" w:right="113"/>
              <w:jc w:val="right"/>
              <w:rPr>
                <w:sz w:val="18"/>
              </w:rPr>
            </w:pPr>
            <w:r w:rsidRPr="009C64D2">
              <w:rPr>
                <w:sz w:val="18"/>
              </w:rPr>
              <w:t>0.3</w:t>
            </w:r>
          </w:p>
        </w:tc>
        <w:tc>
          <w:tcPr>
            <w:tcW w:w="486" w:type="dxa"/>
            <w:shd w:val="clear" w:color="auto" w:fill="auto"/>
            <w:vAlign w:val="bottom"/>
          </w:tcPr>
          <w:p w:rsidR="00C9789E" w:rsidRPr="009C64D2" w:rsidRDefault="00C9789E" w:rsidP="009C64D2">
            <w:pPr>
              <w:pStyle w:val="SingleTxtG"/>
              <w:spacing w:before="40" w:after="40" w:line="220" w:lineRule="exact"/>
              <w:ind w:left="0" w:right="113"/>
              <w:jc w:val="right"/>
              <w:rPr>
                <w:sz w:val="18"/>
              </w:rPr>
            </w:pPr>
            <w:r w:rsidRPr="009C64D2">
              <w:rPr>
                <w:sz w:val="18"/>
              </w:rPr>
              <w:t>3.3</w:t>
            </w:r>
          </w:p>
        </w:tc>
        <w:tc>
          <w:tcPr>
            <w:tcW w:w="486" w:type="dxa"/>
            <w:shd w:val="clear" w:color="auto" w:fill="auto"/>
            <w:vAlign w:val="bottom"/>
          </w:tcPr>
          <w:p w:rsidR="00C9789E" w:rsidRPr="009C64D2" w:rsidRDefault="00C9789E" w:rsidP="009C64D2">
            <w:pPr>
              <w:pStyle w:val="SingleTxtG"/>
              <w:spacing w:before="40" w:after="40" w:line="220" w:lineRule="exact"/>
              <w:ind w:left="0" w:right="113"/>
              <w:jc w:val="right"/>
              <w:rPr>
                <w:sz w:val="18"/>
              </w:rPr>
            </w:pPr>
            <w:r w:rsidRPr="009C64D2">
              <w:rPr>
                <w:sz w:val="18"/>
              </w:rPr>
              <w:t>0.3</w:t>
            </w:r>
          </w:p>
        </w:tc>
        <w:tc>
          <w:tcPr>
            <w:tcW w:w="400" w:type="dxa"/>
            <w:shd w:val="clear" w:color="auto" w:fill="auto"/>
            <w:vAlign w:val="bottom"/>
          </w:tcPr>
          <w:p w:rsidR="00C9789E" w:rsidRPr="009C64D2" w:rsidRDefault="00C9789E" w:rsidP="009C64D2">
            <w:pPr>
              <w:pStyle w:val="SingleTxtG"/>
              <w:spacing w:before="40" w:after="40" w:line="220" w:lineRule="exact"/>
              <w:ind w:left="0" w:right="113"/>
              <w:jc w:val="right"/>
              <w:rPr>
                <w:sz w:val="18"/>
              </w:rPr>
            </w:pPr>
            <w:r w:rsidRPr="009C64D2">
              <w:rPr>
                <w:sz w:val="18"/>
              </w:rPr>
              <w:t>3.0</w:t>
            </w:r>
          </w:p>
        </w:tc>
        <w:tc>
          <w:tcPr>
            <w:tcW w:w="400" w:type="dxa"/>
            <w:shd w:val="clear" w:color="auto" w:fill="auto"/>
            <w:vAlign w:val="bottom"/>
          </w:tcPr>
          <w:p w:rsidR="00C9789E" w:rsidRPr="009C64D2" w:rsidRDefault="00C9789E" w:rsidP="009C64D2">
            <w:pPr>
              <w:pStyle w:val="SingleTxtG"/>
              <w:spacing w:before="40" w:after="40" w:line="220" w:lineRule="exact"/>
              <w:ind w:left="0" w:right="113"/>
              <w:jc w:val="right"/>
              <w:rPr>
                <w:sz w:val="18"/>
              </w:rPr>
            </w:pPr>
            <w:r w:rsidRPr="009C64D2">
              <w:rPr>
                <w:sz w:val="18"/>
              </w:rPr>
              <w:t>0.2</w:t>
            </w:r>
          </w:p>
        </w:tc>
        <w:tc>
          <w:tcPr>
            <w:tcW w:w="455" w:type="dxa"/>
            <w:shd w:val="clear" w:color="auto" w:fill="auto"/>
            <w:vAlign w:val="bottom"/>
          </w:tcPr>
          <w:p w:rsidR="00C9789E" w:rsidRPr="009C64D2" w:rsidRDefault="00C9789E" w:rsidP="009C64D2">
            <w:pPr>
              <w:pStyle w:val="SingleTxtG"/>
              <w:spacing w:before="40" w:after="40" w:line="220" w:lineRule="exact"/>
              <w:ind w:left="0" w:right="113"/>
              <w:jc w:val="right"/>
              <w:rPr>
                <w:sz w:val="18"/>
              </w:rPr>
            </w:pPr>
            <w:r w:rsidRPr="009C64D2">
              <w:rPr>
                <w:sz w:val="18"/>
              </w:rPr>
              <w:t>3.4</w:t>
            </w:r>
          </w:p>
        </w:tc>
        <w:tc>
          <w:tcPr>
            <w:tcW w:w="455" w:type="dxa"/>
            <w:shd w:val="clear" w:color="auto" w:fill="auto"/>
            <w:vAlign w:val="bottom"/>
          </w:tcPr>
          <w:p w:rsidR="00C9789E" w:rsidRPr="009C64D2" w:rsidRDefault="00C9789E" w:rsidP="009C64D2">
            <w:pPr>
              <w:pStyle w:val="SingleTxtG"/>
              <w:spacing w:before="40" w:after="40" w:line="220" w:lineRule="exact"/>
              <w:ind w:left="0" w:right="113"/>
              <w:jc w:val="right"/>
              <w:rPr>
                <w:sz w:val="18"/>
              </w:rPr>
            </w:pPr>
            <w:r w:rsidRPr="009C64D2">
              <w:rPr>
                <w:sz w:val="18"/>
              </w:rPr>
              <w:t>0.2</w:t>
            </w:r>
          </w:p>
        </w:tc>
      </w:tr>
      <w:tr w:rsidR="00C9789E" w:rsidRPr="009C64D2" w:rsidTr="00B77308">
        <w:trPr>
          <w:cantSplit/>
        </w:trPr>
        <w:tc>
          <w:tcPr>
            <w:tcW w:w="802" w:type="dxa"/>
            <w:shd w:val="clear" w:color="auto" w:fill="auto"/>
          </w:tcPr>
          <w:p w:rsidR="00C9789E" w:rsidRPr="009C64D2" w:rsidRDefault="00C9789E" w:rsidP="009C64D2">
            <w:pPr>
              <w:pStyle w:val="SingleTxtG"/>
              <w:spacing w:before="40" w:after="40" w:line="220" w:lineRule="exact"/>
              <w:ind w:left="0" w:right="113"/>
              <w:jc w:val="left"/>
              <w:rPr>
                <w:sz w:val="18"/>
              </w:rPr>
            </w:pPr>
            <w:r w:rsidRPr="009C64D2">
              <w:rPr>
                <w:sz w:val="18"/>
              </w:rPr>
              <w:t>Dec-13</w:t>
            </w:r>
          </w:p>
        </w:tc>
        <w:tc>
          <w:tcPr>
            <w:tcW w:w="485" w:type="dxa"/>
            <w:shd w:val="clear" w:color="auto" w:fill="auto"/>
            <w:vAlign w:val="bottom"/>
          </w:tcPr>
          <w:p w:rsidR="00C9789E" w:rsidRPr="009C64D2" w:rsidRDefault="00C9789E" w:rsidP="009C64D2">
            <w:pPr>
              <w:pStyle w:val="SingleTxtG"/>
              <w:spacing w:before="40" w:after="40" w:line="220" w:lineRule="exact"/>
              <w:ind w:left="0" w:right="113"/>
              <w:jc w:val="right"/>
              <w:rPr>
                <w:sz w:val="18"/>
              </w:rPr>
            </w:pPr>
            <w:r w:rsidRPr="009C64D2">
              <w:rPr>
                <w:sz w:val="18"/>
              </w:rPr>
              <w:t>5.5</w:t>
            </w:r>
          </w:p>
        </w:tc>
        <w:tc>
          <w:tcPr>
            <w:tcW w:w="485" w:type="dxa"/>
            <w:shd w:val="clear" w:color="auto" w:fill="auto"/>
            <w:vAlign w:val="bottom"/>
          </w:tcPr>
          <w:p w:rsidR="00C9789E" w:rsidRPr="009C64D2" w:rsidRDefault="00C9789E" w:rsidP="009C64D2">
            <w:pPr>
              <w:pStyle w:val="SingleTxtG"/>
              <w:spacing w:before="40" w:after="40" w:line="220" w:lineRule="exact"/>
              <w:ind w:left="0" w:right="113"/>
              <w:jc w:val="right"/>
              <w:rPr>
                <w:sz w:val="18"/>
              </w:rPr>
            </w:pPr>
            <w:r w:rsidRPr="009C64D2">
              <w:rPr>
                <w:sz w:val="18"/>
              </w:rPr>
              <w:t>0.3</w:t>
            </w:r>
          </w:p>
        </w:tc>
        <w:tc>
          <w:tcPr>
            <w:tcW w:w="486" w:type="dxa"/>
            <w:shd w:val="clear" w:color="auto" w:fill="auto"/>
            <w:vAlign w:val="bottom"/>
          </w:tcPr>
          <w:p w:rsidR="00C9789E" w:rsidRPr="009C64D2" w:rsidRDefault="00C9789E" w:rsidP="009C64D2">
            <w:pPr>
              <w:pStyle w:val="SingleTxtG"/>
              <w:spacing w:before="40" w:after="40" w:line="220" w:lineRule="exact"/>
              <w:ind w:left="0" w:right="113"/>
              <w:jc w:val="right"/>
              <w:rPr>
                <w:sz w:val="18"/>
              </w:rPr>
            </w:pPr>
            <w:r w:rsidRPr="009C64D2">
              <w:rPr>
                <w:sz w:val="18"/>
              </w:rPr>
              <w:t>3.3</w:t>
            </w:r>
          </w:p>
        </w:tc>
        <w:tc>
          <w:tcPr>
            <w:tcW w:w="486" w:type="dxa"/>
            <w:shd w:val="clear" w:color="auto" w:fill="auto"/>
            <w:vAlign w:val="bottom"/>
          </w:tcPr>
          <w:p w:rsidR="00C9789E" w:rsidRPr="009C64D2" w:rsidRDefault="00C9789E" w:rsidP="009C64D2">
            <w:pPr>
              <w:pStyle w:val="SingleTxtG"/>
              <w:spacing w:before="40" w:after="40" w:line="220" w:lineRule="exact"/>
              <w:ind w:left="0" w:right="113"/>
              <w:jc w:val="right"/>
              <w:rPr>
                <w:sz w:val="18"/>
              </w:rPr>
            </w:pPr>
            <w:r w:rsidRPr="009C64D2">
              <w:rPr>
                <w:sz w:val="18"/>
              </w:rPr>
              <w:t>0.2</w:t>
            </w:r>
          </w:p>
        </w:tc>
        <w:tc>
          <w:tcPr>
            <w:tcW w:w="486" w:type="dxa"/>
            <w:shd w:val="clear" w:color="auto" w:fill="auto"/>
            <w:vAlign w:val="bottom"/>
          </w:tcPr>
          <w:p w:rsidR="00C9789E" w:rsidRPr="009C64D2" w:rsidRDefault="00C9789E" w:rsidP="009C64D2">
            <w:pPr>
              <w:pStyle w:val="SingleTxtG"/>
              <w:spacing w:before="40" w:after="40" w:line="220" w:lineRule="exact"/>
              <w:ind w:left="0" w:right="113"/>
              <w:jc w:val="right"/>
              <w:rPr>
                <w:sz w:val="18"/>
              </w:rPr>
            </w:pPr>
            <w:r w:rsidRPr="009C64D2">
              <w:rPr>
                <w:sz w:val="18"/>
              </w:rPr>
              <w:t>3.2</w:t>
            </w:r>
          </w:p>
        </w:tc>
        <w:tc>
          <w:tcPr>
            <w:tcW w:w="486" w:type="dxa"/>
            <w:shd w:val="clear" w:color="auto" w:fill="auto"/>
            <w:vAlign w:val="bottom"/>
          </w:tcPr>
          <w:p w:rsidR="00C9789E" w:rsidRPr="009C64D2" w:rsidRDefault="00C9789E" w:rsidP="009C64D2">
            <w:pPr>
              <w:pStyle w:val="SingleTxtG"/>
              <w:spacing w:before="40" w:after="40" w:line="220" w:lineRule="exact"/>
              <w:ind w:left="0" w:right="113"/>
              <w:jc w:val="right"/>
              <w:rPr>
                <w:sz w:val="18"/>
              </w:rPr>
            </w:pPr>
            <w:r w:rsidRPr="009C64D2">
              <w:rPr>
                <w:sz w:val="18"/>
              </w:rPr>
              <w:t>0.2</w:t>
            </w:r>
          </w:p>
        </w:tc>
        <w:tc>
          <w:tcPr>
            <w:tcW w:w="486" w:type="dxa"/>
            <w:shd w:val="clear" w:color="auto" w:fill="auto"/>
            <w:vAlign w:val="bottom"/>
          </w:tcPr>
          <w:p w:rsidR="00C9789E" w:rsidRPr="009C64D2" w:rsidRDefault="00C9789E" w:rsidP="009C64D2">
            <w:pPr>
              <w:pStyle w:val="SingleTxtG"/>
              <w:spacing w:before="40" w:after="40" w:line="220" w:lineRule="exact"/>
              <w:ind w:left="0" w:right="113"/>
              <w:jc w:val="right"/>
              <w:rPr>
                <w:sz w:val="18"/>
              </w:rPr>
            </w:pPr>
            <w:r w:rsidRPr="009C64D2">
              <w:rPr>
                <w:sz w:val="18"/>
              </w:rPr>
              <w:t>3.8</w:t>
            </w:r>
          </w:p>
        </w:tc>
        <w:tc>
          <w:tcPr>
            <w:tcW w:w="486" w:type="dxa"/>
            <w:shd w:val="clear" w:color="auto" w:fill="auto"/>
            <w:vAlign w:val="bottom"/>
          </w:tcPr>
          <w:p w:rsidR="00C9789E" w:rsidRPr="009C64D2" w:rsidRDefault="00C9789E" w:rsidP="009C64D2">
            <w:pPr>
              <w:pStyle w:val="SingleTxtG"/>
              <w:spacing w:before="40" w:after="40" w:line="220" w:lineRule="exact"/>
              <w:ind w:left="0" w:right="113"/>
              <w:jc w:val="right"/>
              <w:rPr>
                <w:sz w:val="18"/>
              </w:rPr>
            </w:pPr>
            <w:r w:rsidRPr="009C64D2">
              <w:rPr>
                <w:sz w:val="18"/>
              </w:rPr>
              <w:t>0.3</w:t>
            </w:r>
          </w:p>
        </w:tc>
        <w:tc>
          <w:tcPr>
            <w:tcW w:w="486" w:type="dxa"/>
            <w:shd w:val="clear" w:color="auto" w:fill="auto"/>
            <w:vAlign w:val="bottom"/>
          </w:tcPr>
          <w:p w:rsidR="00C9789E" w:rsidRPr="009C64D2" w:rsidRDefault="00C9789E" w:rsidP="009C64D2">
            <w:pPr>
              <w:pStyle w:val="SingleTxtG"/>
              <w:spacing w:before="40" w:after="40" w:line="220" w:lineRule="exact"/>
              <w:ind w:left="0" w:right="113"/>
              <w:jc w:val="right"/>
              <w:rPr>
                <w:sz w:val="18"/>
              </w:rPr>
            </w:pPr>
            <w:r w:rsidRPr="009C64D2">
              <w:rPr>
                <w:sz w:val="18"/>
              </w:rPr>
              <w:t>3.7</w:t>
            </w:r>
          </w:p>
        </w:tc>
        <w:tc>
          <w:tcPr>
            <w:tcW w:w="486" w:type="dxa"/>
            <w:shd w:val="clear" w:color="auto" w:fill="auto"/>
            <w:vAlign w:val="bottom"/>
          </w:tcPr>
          <w:p w:rsidR="00C9789E" w:rsidRPr="009C64D2" w:rsidRDefault="00C9789E" w:rsidP="009C64D2">
            <w:pPr>
              <w:pStyle w:val="SingleTxtG"/>
              <w:spacing w:before="40" w:after="40" w:line="220" w:lineRule="exact"/>
              <w:ind w:left="0" w:right="113"/>
              <w:jc w:val="right"/>
              <w:rPr>
                <w:sz w:val="18"/>
              </w:rPr>
            </w:pPr>
            <w:r w:rsidRPr="009C64D2">
              <w:rPr>
                <w:sz w:val="18"/>
              </w:rPr>
              <w:t>0.4</w:t>
            </w:r>
          </w:p>
        </w:tc>
        <w:tc>
          <w:tcPr>
            <w:tcW w:w="400" w:type="dxa"/>
            <w:shd w:val="clear" w:color="auto" w:fill="auto"/>
            <w:vAlign w:val="bottom"/>
          </w:tcPr>
          <w:p w:rsidR="00C9789E" w:rsidRPr="009C64D2" w:rsidRDefault="00C9789E" w:rsidP="009C64D2">
            <w:pPr>
              <w:pStyle w:val="SingleTxtG"/>
              <w:spacing w:before="40" w:after="40" w:line="220" w:lineRule="exact"/>
              <w:ind w:left="0" w:right="113"/>
              <w:jc w:val="right"/>
              <w:rPr>
                <w:sz w:val="18"/>
              </w:rPr>
            </w:pPr>
            <w:r w:rsidRPr="009C64D2">
              <w:rPr>
                <w:sz w:val="18"/>
              </w:rPr>
              <w:t>3.3</w:t>
            </w:r>
          </w:p>
        </w:tc>
        <w:tc>
          <w:tcPr>
            <w:tcW w:w="400" w:type="dxa"/>
            <w:shd w:val="clear" w:color="auto" w:fill="auto"/>
            <w:vAlign w:val="bottom"/>
          </w:tcPr>
          <w:p w:rsidR="00C9789E" w:rsidRPr="009C64D2" w:rsidRDefault="00C9789E" w:rsidP="009C64D2">
            <w:pPr>
              <w:pStyle w:val="SingleTxtG"/>
              <w:spacing w:before="40" w:after="40" w:line="220" w:lineRule="exact"/>
              <w:ind w:left="0" w:right="113"/>
              <w:jc w:val="right"/>
              <w:rPr>
                <w:sz w:val="18"/>
              </w:rPr>
            </w:pPr>
            <w:r w:rsidRPr="009C64D2">
              <w:rPr>
                <w:sz w:val="18"/>
              </w:rPr>
              <w:t>0.3</w:t>
            </w:r>
          </w:p>
        </w:tc>
        <w:tc>
          <w:tcPr>
            <w:tcW w:w="455" w:type="dxa"/>
            <w:shd w:val="clear" w:color="auto" w:fill="auto"/>
            <w:vAlign w:val="bottom"/>
          </w:tcPr>
          <w:p w:rsidR="00C9789E" w:rsidRPr="009C64D2" w:rsidRDefault="00C9789E" w:rsidP="009C64D2">
            <w:pPr>
              <w:pStyle w:val="SingleTxtG"/>
              <w:spacing w:before="40" w:after="40" w:line="220" w:lineRule="exact"/>
              <w:ind w:left="0" w:right="113"/>
              <w:jc w:val="right"/>
              <w:rPr>
                <w:sz w:val="18"/>
              </w:rPr>
            </w:pPr>
            <w:r w:rsidRPr="009C64D2">
              <w:rPr>
                <w:sz w:val="18"/>
              </w:rPr>
              <w:t>3.8</w:t>
            </w:r>
          </w:p>
        </w:tc>
        <w:tc>
          <w:tcPr>
            <w:tcW w:w="455" w:type="dxa"/>
            <w:shd w:val="clear" w:color="auto" w:fill="auto"/>
            <w:vAlign w:val="bottom"/>
          </w:tcPr>
          <w:p w:rsidR="00C9789E" w:rsidRPr="009C64D2" w:rsidRDefault="00C9789E" w:rsidP="009C64D2">
            <w:pPr>
              <w:pStyle w:val="SingleTxtG"/>
              <w:spacing w:before="40" w:after="40" w:line="220" w:lineRule="exact"/>
              <w:ind w:left="0" w:right="113"/>
              <w:jc w:val="right"/>
              <w:rPr>
                <w:sz w:val="18"/>
              </w:rPr>
            </w:pPr>
            <w:r w:rsidRPr="009C64D2">
              <w:rPr>
                <w:sz w:val="18"/>
              </w:rPr>
              <w:t>0.3</w:t>
            </w:r>
          </w:p>
        </w:tc>
      </w:tr>
      <w:tr w:rsidR="00C9789E" w:rsidRPr="009C64D2" w:rsidTr="00B77308">
        <w:trPr>
          <w:cantSplit/>
        </w:trPr>
        <w:tc>
          <w:tcPr>
            <w:tcW w:w="802" w:type="dxa"/>
            <w:shd w:val="clear" w:color="auto" w:fill="auto"/>
          </w:tcPr>
          <w:p w:rsidR="00C9789E" w:rsidRPr="009C64D2" w:rsidRDefault="00C9789E" w:rsidP="009C64D2">
            <w:pPr>
              <w:pStyle w:val="SingleTxtG"/>
              <w:spacing w:before="40" w:after="40" w:line="220" w:lineRule="exact"/>
              <w:ind w:left="0" w:right="113"/>
              <w:jc w:val="left"/>
              <w:rPr>
                <w:sz w:val="18"/>
              </w:rPr>
            </w:pPr>
            <w:r w:rsidRPr="009C64D2">
              <w:rPr>
                <w:sz w:val="18"/>
              </w:rPr>
              <w:t>Sep-13</w:t>
            </w:r>
          </w:p>
        </w:tc>
        <w:tc>
          <w:tcPr>
            <w:tcW w:w="485" w:type="dxa"/>
            <w:shd w:val="clear" w:color="auto" w:fill="auto"/>
            <w:vAlign w:val="bottom"/>
          </w:tcPr>
          <w:p w:rsidR="00C9789E" w:rsidRPr="009C64D2" w:rsidRDefault="00C9789E" w:rsidP="009C64D2">
            <w:pPr>
              <w:pStyle w:val="SingleTxtG"/>
              <w:spacing w:before="40" w:after="40" w:line="220" w:lineRule="exact"/>
              <w:ind w:left="0" w:right="113"/>
              <w:jc w:val="right"/>
              <w:rPr>
                <w:sz w:val="18"/>
              </w:rPr>
            </w:pPr>
            <w:r w:rsidRPr="009C64D2">
              <w:rPr>
                <w:sz w:val="18"/>
              </w:rPr>
              <w:t>4.9</w:t>
            </w:r>
          </w:p>
        </w:tc>
        <w:tc>
          <w:tcPr>
            <w:tcW w:w="485" w:type="dxa"/>
            <w:shd w:val="clear" w:color="auto" w:fill="auto"/>
            <w:vAlign w:val="bottom"/>
          </w:tcPr>
          <w:p w:rsidR="00C9789E" w:rsidRPr="009C64D2" w:rsidRDefault="00C9789E" w:rsidP="009C64D2">
            <w:pPr>
              <w:pStyle w:val="SingleTxtG"/>
              <w:spacing w:before="40" w:after="40" w:line="220" w:lineRule="exact"/>
              <w:ind w:left="0" w:right="113"/>
              <w:jc w:val="right"/>
              <w:rPr>
                <w:sz w:val="18"/>
              </w:rPr>
            </w:pPr>
            <w:r w:rsidRPr="009C64D2">
              <w:rPr>
                <w:sz w:val="18"/>
              </w:rPr>
              <w:t>0.3</w:t>
            </w:r>
          </w:p>
        </w:tc>
        <w:tc>
          <w:tcPr>
            <w:tcW w:w="486" w:type="dxa"/>
            <w:shd w:val="clear" w:color="auto" w:fill="auto"/>
            <w:vAlign w:val="bottom"/>
          </w:tcPr>
          <w:p w:rsidR="00C9789E" w:rsidRPr="009C64D2" w:rsidRDefault="00C9789E" w:rsidP="009C64D2">
            <w:pPr>
              <w:pStyle w:val="SingleTxtG"/>
              <w:spacing w:before="40" w:after="40" w:line="220" w:lineRule="exact"/>
              <w:ind w:left="0" w:right="113"/>
              <w:jc w:val="right"/>
              <w:rPr>
                <w:sz w:val="18"/>
              </w:rPr>
            </w:pPr>
            <w:r w:rsidRPr="009C64D2">
              <w:rPr>
                <w:sz w:val="18"/>
              </w:rPr>
              <w:t>3.2</w:t>
            </w:r>
          </w:p>
        </w:tc>
        <w:tc>
          <w:tcPr>
            <w:tcW w:w="486" w:type="dxa"/>
            <w:shd w:val="clear" w:color="auto" w:fill="auto"/>
            <w:vAlign w:val="bottom"/>
          </w:tcPr>
          <w:p w:rsidR="00C9789E" w:rsidRPr="009C64D2" w:rsidRDefault="00C9789E" w:rsidP="009C64D2">
            <w:pPr>
              <w:pStyle w:val="SingleTxtG"/>
              <w:spacing w:before="40" w:after="40" w:line="220" w:lineRule="exact"/>
              <w:ind w:left="0" w:right="113"/>
              <w:jc w:val="right"/>
              <w:rPr>
                <w:sz w:val="18"/>
              </w:rPr>
            </w:pPr>
            <w:r w:rsidRPr="009C64D2">
              <w:rPr>
                <w:sz w:val="18"/>
              </w:rPr>
              <w:t>0.2</w:t>
            </w:r>
          </w:p>
        </w:tc>
        <w:tc>
          <w:tcPr>
            <w:tcW w:w="486" w:type="dxa"/>
            <w:shd w:val="clear" w:color="auto" w:fill="auto"/>
            <w:vAlign w:val="bottom"/>
          </w:tcPr>
          <w:p w:rsidR="00C9789E" w:rsidRPr="009C64D2" w:rsidRDefault="00C9789E" w:rsidP="009C64D2">
            <w:pPr>
              <w:pStyle w:val="SingleTxtG"/>
              <w:spacing w:before="40" w:after="40" w:line="220" w:lineRule="exact"/>
              <w:ind w:left="0" w:right="113"/>
              <w:jc w:val="right"/>
              <w:rPr>
                <w:sz w:val="18"/>
              </w:rPr>
            </w:pPr>
            <w:r w:rsidRPr="009C64D2">
              <w:rPr>
                <w:sz w:val="18"/>
              </w:rPr>
              <w:t>3.1</w:t>
            </w:r>
          </w:p>
        </w:tc>
        <w:tc>
          <w:tcPr>
            <w:tcW w:w="486" w:type="dxa"/>
            <w:shd w:val="clear" w:color="auto" w:fill="auto"/>
            <w:vAlign w:val="bottom"/>
          </w:tcPr>
          <w:p w:rsidR="00C9789E" w:rsidRPr="009C64D2" w:rsidRDefault="00C9789E" w:rsidP="009C64D2">
            <w:pPr>
              <w:pStyle w:val="SingleTxtG"/>
              <w:spacing w:before="40" w:after="40" w:line="220" w:lineRule="exact"/>
              <w:ind w:left="0" w:right="113"/>
              <w:jc w:val="right"/>
              <w:rPr>
                <w:sz w:val="18"/>
              </w:rPr>
            </w:pPr>
            <w:r w:rsidRPr="009C64D2">
              <w:rPr>
                <w:sz w:val="18"/>
              </w:rPr>
              <w:t>0.2</w:t>
            </w:r>
          </w:p>
        </w:tc>
        <w:tc>
          <w:tcPr>
            <w:tcW w:w="486" w:type="dxa"/>
            <w:shd w:val="clear" w:color="auto" w:fill="auto"/>
            <w:vAlign w:val="bottom"/>
          </w:tcPr>
          <w:p w:rsidR="00C9789E" w:rsidRPr="009C64D2" w:rsidRDefault="00C9789E" w:rsidP="009C64D2">
            <w:pPr>
              <w:pStyle w:val="SingleTxtG"/>
              <w:spacing w:before="40" w:after="40" w:line="220" w:lineRule="exact"/>
              <w:ind w:left="0" w:right="113"/>
              <w:jc w:val="right"/>
              <w:rPr>
                <w:sz w:val="18"/>
              </w:rPr>
            </w:pPr>
            <w:r w:rsidRPr="009C64D2">
              <w:rPr>
                <w:sz w:val="18"/>
              </w:rPr>
              <w:t>3.7</w:t>
            </w:r>
          </w:p>
        </w:tc>
        <w:tc>
          <w:tcPr>
            <w:tcW w:w="486" w:type="dxa"/>
            <w:shd w:val="clear" w:color="auto" w:fill="auto"/>
            <w:vAlign w:val="bottom"/>
          </w:tcPr>
          <w:p w:rsidR="00C9789E" w:rsidRPr="009C64D2" w:rsidRDefault="00C9789E" w:rsidP="009C64D2">
            <w:pPr>
              <w:pStyle w:val="SingleTxtG"/>
              <w:spacing w:before="40" w:after="40" w:line="220" w:lineRule="exact"/>
              <w:ind w:left="0" w:right="113"/>
              <w:jc w:val="right"/>
              <w:rPr>
                <w:sz w:val="18"/>
              </w:rPr>
            </w:pPr>
            <w:r w:rsidRPr="009C64D2">
              <w:rPr>
                <w:sz w:val="18"/>
              </w:rPr>
              <w:t>0.3</w:t>
            </w:r>
          </w:p>
        </w:tc>
        <w:tc>
          <w:tcPr>
            <w:tcW w:w="486" w:type="dxa"/>
            <w:shd w:val="clear" w:color="auto" w:fill="auto"/>
            <w:vAlign w:val="bottom"/>
          </w:tcPr>
          <w:p w:rsidR="00C9789E" w:rsidRPr="009C64D2" w:rsidRDefault="00C9789E" w:rsidP="009C64D2">
            <w:pPr>
              <w:pStyle w:val="SingleTxtG"/>
              <w:spacing w:before="40" w:after="40" w:line="220" w:lineRule="exact"/>
              <w:ind w:left="0" w:right="113"/>
              <w:jc w:val="right"/>
              <w:rPr>
                <w:sz w:val="18"/>
              </w:rPr>
            </w:pPr>
            <w:r w:rsidRPr="009C64D2">
              <w:rPr>
                <w:sz w:val="18"/>
              </w:rPr>
              <w:t>3.6</w:t>
            </w:r>
          </w:p>
        </w:tc>
        <w:tc>
          <w:tcPr>
            <w:tcW w:w="486" w:type="dxa"/>
            <w:shd w:val="clear" w:color="auto" w:fill="auto"/>
            <w:vAlign w:val="bottom"/>
          </w:tcPr>
          <w:p w:rsidR="00C9789E" w:rsidRPr="009C64D2" w:rsidRDefault="00C9789E" w:rsidP="009C64D2">
            <w:pPr>
              <w:pStyle w:val="SingleTxtG"/>
              <w:spacing w:before="40" w:after="40" w:line="220" w:lineRule="exact"/>
              <w:ind w:left="0" w:right="113"/>
              <w:jc w:val="right"/>
              <w:rPr>
                <w:sz w:val="18"/>
              </w:rPr>
            </w:pPr>
            <w:r w:rsidRPr="009C64D2">
              <w:rPr>
                <w:sz w:val="18"/>
              </w:rPr>
              <w:t>0.3</w:t>
            </w:r>
          </w:p>
        </w:tc>
        <w:tc>
          <w:tcPr>
            <w:tcW w:w="400" w:type="dxa"/>
            <w:shd w:val="clear" w:color="auto" w:fill="auto"/>
            <w:vAlign w:val="bottom"/>
          </w:tcPr>
          <w:p w:rsidR="00C9789E" w:rsidRPr="009C64D2" w:rsidRDefault="00C9789E" w:rsidP="009C64D2">
            <w:pPr>
              <w:pStyle w:val="SingleTxtG"/>
              <w:spacing w:before="40" w:after="40" w:line="220" w:lineRule="exact"/>
              <w:ind w:left="0" w:right="113"/>
              <w:jc w:val="right"/>
              <w:rPr>
                <w:sz w:val="18"/>
              </w:rPr>
            </w:pPr>
            <w:r w:rsidRPr="009C64D2">
              <w:rPr>
                <w:sz w:val="18"/>
              </w:rPr>
              <w:t>3.1</w:t>
            </w:r>
          </w:p>
        </w:tc>
        <w:tc>
          <w:tcPr>
            <w:tcW w:w="400" w:type="dxa"/>
            <w:shd w:val="clear" w:color="auto" w:fill="auto"/>
            <w:vAlign w:val="bottom"/>
          </w:tcPr>
          <w:p w:rsidR="00C9789E" w:rsidRPr="009C64D2" w:rsidRDefault="00C9789E" w:rsidP="009C64D2">
            <w:pPr>
              <w:pStyle w:val="SingleTxtG"/>
              <w:spacing w:before="40" w:after="40" w:line="220" w:lineRule="exact"/>
              <w:ind w:left="0" w:right="113"/>
              <w:jc w:val="right"/>
              <w:rPr>
                <w:sz w:val="18"/>
              </w:rPr>
            </w:pPr>
            <w:r w:rsidRPr="009C64D2">
              <w:rPr>
                <w:sz w:val="18"/>
              </w:rPr>
              <w:t>0.2</w:t>
            </w:r>
          </w:p>
        </w:tc>
        <w:tc>
          <w:tcPr>
            <w:tcW w:w="455" w:type="dxa"/>
            <w:shd w:val="clear" w:color="auto" w:fill="auto"/>
            <w:vAlign w:val="bottom"/>
          </w:tcPr>
          <w:p w:rsidR="00C9789E" w:rsidRPr="009C64D2" w:rsidRDefault="00C9789E" w:rsidP="009C64D2">
            <w:pPr>
              <w:pStyle w:val="SingleTxtG"/>
              <w:spacing w:before="40" w:after="40" w:line="220" w:lineRule="exact"/>
              <w:ind w:left="0" w:right="113"/>
              <w:jc w:val="right"/>
              <w:rPr>
                <w:sz w:val="18"/>
              </w:rPr>
            </w:pPr>
            <w:r w:rsidRPr="009C64D2">
              <w:rPr>
                <w:sz w:val="18"/>
              </w:rPr>
              <w:t>3.6</w:t>
            </w:r>
          </w:p>
        </w:tc>
        <w:tc>
          <w:tcPr>
            <w:tcW w:w="455" w:type="dxa"/>
            <w:shd w:val="clear" w:color="auto" w:fill="auto"/>
            <w:vAlign w:val="bottom"/>
          </w:tcPr>
          <w:p w:rsidR="00C9789E" w:rsidRPr="009C64D2" w:rsidRDefault="00C9789E" w:rsidP="009C64D2">
            <w:pPr>
              <w:pStyle w:val="SingleTxtG"/>
              <w:spacing w:before="40" w:after="40" w:line="220" w:lineRule="exact"/>
              <w:ind w:left="0" w:right="113"/>
              <w:jc w:val="right"/>
              <w:rPr>
                <w:sz w:val="18"/>
              </w:rPr>
            </w:pPr>
            <w:r w:rsidRPr="009C64D2">
              <w:rPr>
                <w:sz w:val="18"/>
              </w:rPr>
              <w:t>0.2</w:t>
            </w:r>
          </w:p>
        </w:tc>
      </w:tr>
      <w:tr w:rsidR="00C9789E" w:rsidRPr="009C64D2" w:rsidTr="00B77308">
        <w:trPr>
          <w:cantSplit/>
        </w:trPr>
        <w:tc>
          <w:tcPr>
            <w:tcW w:w="802" w:type="dxa"/>
            <w:shd w:val="clear" w:color="auto" w:fill="auto"/>
          </w:tcPr>
          <w:p w:rsidR="00C9789E" w:rsidRPr="009C64D2" w:rsidRDefault="00C9789E" w:rsidP="009C64D2">
            <w:pPr>
              <w:pStyle w:val="SingleTxtG"/>
              <w:spacing w:before="40" w:after="40" w:line="220" w:lineRule="exact"/>
              <w:ind w:left="0" w:right="113"/>
              <w:jc w:val="left"/>
              <w:rPr>
                <w:sz w:val="18"/>
              </w:rPr>
            </w:pPr>
            <w:r w:rsidRPr="009C64D2">
              <w:rPr>
                <w:sz w:val="18"/>
              </w:rPr>
              <w:t>Jun-13</w:t>
            </w:r>
          </w:p>
        </w:tc>
        <w:tc>
          <w:tcPr>
            <w:tcW w:w="485" w:type="dxa"/>
            <w:shd w:val="clear" w:color="auto" w:fill="auto"/>
            <w:vAlign w:val="bottom"/>
          </w:tcPr>
          <w:p w:rsidR="00C9789E" w:rsidRPr="009C64D2" w:rsidRDefault="00C9789E" w:rsidP="009C64D2">
            <w:pPr>
              <w:pStyle w:val="SingleTxtG"/>
              <w:spacing w:before="40" w:after="40" w:line="220" w:lineRule="exact"/>
              <w:ind w:left="0" w:right="113"/>
              <w:jc w:val="right"/>
              <w:rPr>
                <w:sz w:val="18"/>
              </w:rPr>
            </w:pPr>
            <w:r w:rsidRPr="009C64D2">
              <w:rPr>
                <w:sz w:val="18"/>
              </w:rPr>
              <w:t>5.1</w:t>
            </w:r>
          </w:p>
        </w:tc>
        <w:tc>
          <w:tcPr>
            <w:tcW w:w="485" w:type="dxa"/>
            <w:shd w:val="clear" w:color="auto" w:fill="auto"/>
            <w:vAlign w:val="bottom"/>
          </w:tcPr>
          <w:p w:rsidR="00C9789E" w:rsidRPr="009C64D2" w:rsidRDefault="00C9789E" w:rsidP="009C64D2">
            <w:pPr>
              <w:pStyle w:val="SingleTxtG"/>
              <w:spacing w:before="40" w:after="40" w:line="220" w:lineRule="exact"/>
              <w:ind w:left="0" w:right="113"/>
              <w:jc w:val="right"/>
              <w:rPr>
                <w:sz w:val="18"/>
              </w:rPr>
            </w:pPr>
            <w:r w:rsidRPr="009C64D2">
              <w:rPr>
                <w:sz w:val="18"/>
              </w:rPr>
              <w:t>0.3</w:t>
            </w:r>
          </w:p>
        </w:tc>
        <w:tc>
          <w:tcPr>
            <w:tcW w:w="486" w:type="dxa"/>
            <w:shd w:val="clear" w:color="auto" w:fill="auto"/>
            <w:vAlign w:val="bottom"/>
          </w:tcPr>
          <w:p w:rsidR="00C9789E" w:rsidRPr="009C64D2" w:rsidRDefault="00C9789E" w:rsidP="009C64D2">
            <w:pPr>
              <w:pStyle w:val="SingleTxtG"/>
              <w:spacing w:before="40" w:after="40" w:line="220" w:lineRule="exact"/>
              <w:ind w:left="0" w:right="113"/>
              <w:jc w:val="right"/>
              <w:rPr>
                <w:sz w:val="18"/>
              </w:rPr>
            </w:pPr>
            <w:r w:rsidRPr="009C64D2">
              <w:rPr>
                <w:sz w:val="18"/>
              </w:rPr>
              <w:t>3.3</w:t>
            </w:r>
          </w:p>
        </w:tc>
        <w:tc>
          <w:tcPr>
            <w:tcW w:w="486" w:type="dxa"/>
            <w:shd w:val="clear" w:color="auto" w:fill="auto"/>
            <w:vAlign w:val="bottom"/>
          </w:tcPr>
          <w:p w:rsidR="00C9789E" w:rsidRPr="009C64D2" w:rsidRDefault="00C9789E" w:rsidP="009C64D2">
            <w:pPr>
              <w:pStyle w:val="SingleTxtG"/>
              <w:spacing w:before="40" w:after="40" w:line="220" w:lineRule="exact"/>
              <w:ind w:left="0" w:right="113"/>
              <w:jc w:val="right"/>
              <w:rPr>
                <w:sz w:val="18"/>
              </w:rPr>
            </w:pPr>
            <w:r w:rsidRPr="009C64D2">
              <w:rPr>
                <w:sz w:val="18"/>
              </w:rPr>
              <w:t>0.2</w:t>
            </w:r>
          </w:p>
        </w:tc>
        <w:tc>
          <w:tcPr>
            <w:tcW w:w="486" w:type="dxa"/>
            <w:shd w:val="clear" w:color="auto" w:fill="auto"/>
            <w:vAlign w:val="bottom"/>
          </w:tcPr>
          <w:p w:rsidR="00C9789E" w:rsidRPr="009C64D2" w:rsidRDefault="00C9789E" w:rsidP="009C64D2">
            <w:pPr>
              <w:pStyle w:val="SingleTxtG"/>
              <w:spacing w:before="40" w:after="40" w:line="220" w:lineRule="exact"/>
              <w:ind w:left="0" w:right="113"/>
              <w:jc w:val="right"/>
              <w:rPr>
                <w:sz w:val="18"/>
              </w:rPr>
            </w:pPr>
            <w:r w:rsidRPr="009C64D2">
              <w:rPr>
                <w:sz w:val="18"/>
              </w:rPr>
              <w:t>3.2</w:t>
            </w:r>
          </w:p>
        </w:tc>
        <w:tc>
          <w:tcPr>
            <w:tcW w:w="486" w:type="dxa"/>
            <w:shd w:val="clear" w:color="auto" w:fill="auto"/>
            <w:vAlign w:val="bottom"/>
          </w:tcPr>
          <w:p w:rsidR="00C9789E" w:rsidRPr="009C64D2" w:rsidRDefault="00C9789E" w:rsidP="009C64D2">
            <w:pPr>
              <w:pStyle w:val="SingleTxtG"/>
              <w:spacing w:before="40" w:after="40" w:line="220" w:lineRule="exact"/>
              <w:ind w:left="0" w:right="113"/>
              <w:jc w:val="right"/>
              <w:rPr>
                <w:sz w:val="18"/>
              </w:rPr>
            </w:pPr>
            <w:r w:rsidRPr="009C64D2">
              <w:rPr>
                <w:sz w:val="18"/>
              </w:rPr>
              <w:t>0.2</w:t>
            </w:r>
          </w:p>
        </w:tc>
        <w:tc>
          <w:tcPr>
            <w:tcW w:w="486" w:type="dxa"/>
            <w:shd w:val="clear" w:color="auto" w:fill="auto"/>
            <w:vAlign w:val="bottom"/>
          </w:tcPr>
          <w:p w:rsidR="00C9789E" w:rsidRPr="009C64D2" w:rsidRDefault="00C9789E" w:rsidP="009C64D2">
            <w:pPr>
              <w:pStyle w:val="SingleTxtG"/>
              <w:spacing w:before="40" w:after="40" w:line="220" w:lineRule="exact"/>
              <w:ind w:left="0" w:right="113"/>
              <w:jc w:val="right"/>
              <w:rPr>
                <w:sz w:val="18"/>
              </w:rPr>
            </w:pPr>
            <w:r w:rsidRPr="009C64D2">
              <w:rPr>
                <w:sz w:val="18"/>
              </w:rPr>
              <w:t>3.8</w:t>
            </w:r>
          </w:p>
        </w:tc>
        <w:tc>
          <w:tcPr>
            <w:tcW w:w="486" w:type="dxa"/>
            <w:shd w:val="clear" w:color="auto" w:fill="auto"/>
            <w:vAlign w:val="bottom"/>
          </w:tcPr>
          <w:p w:rsidR="00C9789E" w:rsidRPr="009C64D2" w:rsidRDefault="00C9789E" w:rsidP="009C64D2">
            <w:pPr>
              <w:pStyle w:val="SingleTxtG"/>
              <w:spacing w:before="40" w:after="40" w:line="220" w:lineRule="exact"/>
              <w:ind w:left="0" w:right="113"/>
              <w:jc w:val="right"/>
              <w:rPr>
                <w:sz w:val="18"/>
              </w:rPr>
            </w:pPr>
            <w:r w:rsidRPr="009C64D2">
              <w:rPr>
                <w:sz w:val="18"/>
              </w:rPr>
              <w:t>0.3</w:t>
            </w:r>
          </w:p>
        </w:tc>
        <w:tc>
          <w:tcPr>
            <w:tcW w:w="486" w:type="dxa"/>
            <w:shd w:val="clear" w:color="auto" w:fill="auto"/>
            <w:vAlign w:val="bottom"/>
          </w:tcPr>
          <w:p w:rsidR="00C9789E" w:rsidRPr="009C64D2" w:rsidRDefault="00C9789E" w:rsidP="009C64D2">
            <w:pPr>
              <w:pStyle w:val="SingleTxtG"/>
              <w:spacing w:before="40" w:after="40" w:line="220" w:lineRule="exact"/>
              <w:ind w:left="0" w:right="113"/>
              <w:jc w:val="right"/>
              <w:rPr>
                <w:sz w:val="18"/>
              </w:rPr>
            </w:pPr>
            <w:r w:rsidRPr="009C64D2">
              <w:rPr>
                <w:sz w:val="18"/>
              </w:rPr>
              <w:t>3.7</w:t>
            </w:r>
          </w:p>
        </w:tc>
        <w:tc>
          <w:tcPr>
            <w:tcW w:w="486" w:type="dxa"/>
            <w:shd w:val="clear" w:color="auto" w:fill="auto"/>
            <w:vAlign w:val="bottom"/>
          </w:tcPr>
          <w:p w:rsidR="00C9789E" w:rsidRPr="009C64D2" w:rsidRDefault="00C9789E" w:rsidP="009C64D2">
            <w:pPr>
              <w:pStyle w:val="SingleTxtG"/>
              <w:spacing w:before="40" w:after="40" w:line="220" w:lineRule="exact"/>
              <w:ind w:left="0" w:right="113"/>
              <w:jc w:val="right"/>
              <w:rPr>
                <w:sz w:val="18"/>
              </w:rPr>
            </w:pPr>
            <w:r w:rsidRPr="009C64D2">
              <w:rPr>
                <w:sz w:val="18"/>
              </w:rPr>
              <w:t>0.3</w:t>
            </w:r>
          </w:p>
        </w:tc>
        <w:tc>
          <w:tcPr>
            <w:tcW w:w="400" w:type="dxa"/>
            <w:shd w:val="clear" w:color="auto" w:fill="auto"/>
            <w:vAlign w:val="bottom"/>
          </w:tcPr>
          <w:p w:rsidR="00C9789E" w:rsidRPr="009C64D2" w:rsidRDefault="00C9789E" w:rsidP="009C64D2">
            <w:pPr>
              <w:pStyle w:val="SingleTxtG"/>
              <w:spacing w:before="40" w:after="40" w:line="220" w:lineRule="exact"/>
              <w:ind w:left="0" w:right="113"/>
              <w:jc w:val="right"/>
              <w:rPr>
                <w:sz w:val="18"/>
              </w:rPr>
            </w:pPr>
            <w:r w:rsidRPr="009C64D2">
              <w:rPr>
                <w:sz w:val="18"/>
              </w:rPr>
              <w:t>3.3</w:t>
            </w:r>
          </w:p>
        </w:tc>
        <w:tc>
          <w:tcPr>
            <w:tcW w:w="400" w:type="dxa"/>
            <w:shd w:val="clear" w:color="auto" w:fill="auto"/>
            <w:vAlign w:val="bottom"/>
          </w:tcPr>
          <w:p w:rsidR="00C9789E" w:rsidRPr="009C64D2" w:rsidRDefault="00C9789E" w:rsidP="009C64D2">
            <w:pPr>
              <w:pStyle w:val="SingleTxtG"/>
              <w:spacing w:before="40" w:after="40" w:line="220" w:lineRule="exact"/>
              <w:ind w:left="0" w:right="113"/>
              <w:jc w:val="right"/>
              <w:rPr>
                <w:sz w:val="18"/>
              </w:rPr>
            </w:pPr>
            <w:r w:rsidRPr="009C64D2">
              <w:rPr>
                <w:sz w:val="18"/>
              </w:rPr>
              <w:t>0.3</w:t>
            </w:r>
          </w:p>
        </w:tc>
        <w:tc>
          <w:tcPr>
            <w:tcW w:w="455" w:type="dxa"/>
            <w:shd w:val="clear" w:color="auto" w:fill="auto"/>
            <w:vAlign w:val="bottom"/>
          </w:tcPr>
          <w:p w:rsidR="00C9789E" w:rsidRPr="009C64D2" w:rsidRDefault="00C9789E" w:rsidP="009C64D2">
            <w:pPr>
              <w:pStyle w:val="SingleTxtG"/>
              <w:spacing w:before="40" w:after="40" w:line="220" w:lineRule="exact"/>
              <w:ind w:left="0" w:right="113"/>
              <w:jc w:val="right"/>
              <w:rPr>
                <w:sz w:val="18"/>
              </w:rPr>
            </w:pPr>
            <w:r w:rsidRPr="009C64D2">
              <w:rPr>
                <w:sz w:val="18"/>
              </w:rPr>
              <w:t>3.8</w:t>
            </w:r>
          </w:p>
        </w:tc>
        <w:tc>
          <w:tcPr>
            <w:tcW w:w="455" w:type="dxa"/>
            <w:shd w:val="clear" w:color="auto" w:fill="auto"/>
            <w:vAlign w:val="bottom"/>
          </w:tcPr>
          <w:p w:rsidR="00C9789E" w:rsidRPr="009C64D2" w:rsidRDefault="00C9789E" w:rsidP="009C64D2">
            <w:pPr>
              <w:pStyle w:val="SingleTxtG"/>
              <w:spacing w:before="40" w:after="40" w:line="220" w:lineRule="exact"/>
              <w:ind w:left="0" w:right="113"/>
              <w:jc w:val="right"/>
              <w:rPr>
                <w:sz w:val="18"/>
              </w:rPr>
            </w:pPr>
            <w:r w:rsidRPr="009C64D2">
              <w:rPr>
                <w:sz w:val="18"/>
              </w:rPr>
              <w:t>0.3</w:t>
            </w:r>
          </w:p>
        </w:tc>
      </w:tr>
      <w:tr w:rsidR="00C9789E" w:rsidRPr="009C64D2" w:rsidTr="00B77308">
        <w:trPr>
          <w:cantSplit/>
        </w:trPr>
        <w:tc>
          <w:tcPr>
            <w:tcW w:w="802" w:type="dxa"/>
            <w:shd w:val="clear" w:color="auto" w:fill="auto"/>
          </w:tcPr>
          <w:p w:rsidR="00C9789E" w:rsidRPr="009C64D2" w:rsidRDefault="00C9789E" w:rsidP="009C64D2">
            <w:pPr>
              <w:pStyle w:val="SingleTxtG"/>
              <w:spacing w:before="40" w:after="40" w:line="220" w:lineRule="exact"/>
              <w:ind w:left="0" w:right="113"/>
              <w:jc w:val="left"/>
              <w:rPr>
                <w:sz w:val="18"/>
              </w:rPr>
            </w:pPr>
            <w:r w:rsidRPr="009C64D2">
              <w:rPr>
                <w:sz w:val="18"/>
              </w:rPr>
              <w:t>Mar-13</w:t>
            </w:r>
          </w:p>
        </w:tc>
        <w:tc>
          <w:tcPr>
            <w:tcW w:w="485" w:type="dxa"/>
            <w:shd w:val="clear" w:color="auto" w:fill="auto"/>
            <w:vAlign w:val="bottom"/>
          </w:tcPr>
          <w:p w:rsidR="00C9789E" w:rsidRPr="009C64D2" w:rsidRDefault="00C9789E" w:rsidP="009C64D2">
            <w:pPr>
              <w:pStyle w:val="SingleTxtG"/>
              <w:spacing w:before="40" w:after="40" w:line="220" w:lineRule="exact"/>
              <w:ind w:left="0" w:right="113"/>
              <w:jc w:val="right"/>
              <w:rPr>
                <w:sz w:val="18"/>
              </w:rPr>
            </w:pPr>
            <w:r w:rsidRPr="009C64D2">
              <w:rPr>
                <w:sz w:val="18"/>
              </w:rPr>
              <w:t>5.0</w:t>
            </w:r>
          </w:p>
        </w:tc>
        <w:tc>
          <w:tcPr>
            <w:tcW w:w="485" w:type="dxa"/>
            <w:shd w:val="clear" w:color="auto" w:fill="auto"/>
            <w:vAlign w:val="bottom"/>
          </w:tcPr>
          <w:p w:rsidR="00C9789E" w:rsidRPr="009C64D2" w:rsidRDefault="00C9789E" w:rsidP="009C64D2">
            <w:pPr>
              <w:pStyle w:val="SingleTxtG"/>
              <w:spacing w:before="40" w:after="40" w:line="220" w:lineRule="exact"/>
              <w:ind w:left="0" w:right="113"/>
              <w:jc w:val="right"/>
              <w:rPr>
                <w:sz w:val="18"/>
              </w:rPr>
            </w:pPr>
            <w:r w:rsidRPr="009C64D2">
              <w:rPr>
                <w:sz w:val="18"/>
              </w:rPr>
              <w:t>0.3</w:t>
            </w:r>
          </w:p>
        </w:tc>
        <w:tc>
          <w:tcPr>
            <w:tcW w:w="486" w:type="dxa"/>
            <w:shd w:val="clear" w:color="auto" w:fill="auto"/>
            <w:vAlign w:val="bottom"/>
          </w:tcPr>
          <w:p w:rsidR="00C9789E" w:rsidRPr="009C64D2" w:rsidRDefault="00C9789E" w:rsidP="009C64D2">
            <w:pPr>
              <w:pStyle w:val="SingleTxtG"/>
              <w:spacing w:before="40" w:after="40" w:line="220" w:lineRule="exact"/>
              <w:ind w:left="0" w:right="113"/>
              <w:jc w:val="right"/>
              <w:rPr>
                <w:sz w:val="18"/>
              </w:rPr>
            </w:pPr>
            <w:r w:rsidRPr="009C64D2">
              <w:rPr>
                <w:sz w:val="18"/>
              </w:rPr>
              <w:t>2.9</w:t>
            </w:r>
          </w:p>
        </w:tc>
        <w:tc>
          <w:tcPr>
            <w:tcW w:w="486" w:type="dxa"/>
            <w:shd w:val="clear" w:color="auto" w:fill="auto"/>
            <w:vAlign w:val="bottom"/>
          </w:tcPr>
          <w:p w:rsidR="00C9789E" w:rsidRPr="009C64D2" w:rsidRDefault="00C9789E" w:rsidP="009C64D2">
            <w:pPr>
              <w:pStyle w:val="SingleTxtG"/>
              <w:spacing w:before="40" w:after="40" w:line="220" w:lineRule="exact"/>
              <w:ind w:left="0" w:right="113"/>
              <w:jc w:val="right"/>
              <w:rPr>
                <w:sz w:val="18"/>
              </w:rPr>
            </w:pPr>
            <w:r w:rsidRPr="009C64D2">
              <w:rPr>
                <w:sz w:val="18"/>
              </w:rPr>
              <w:t>0.2</w:t>
            </w:r>
          </w:p>
        </w:tc>
        <w:tc>
          <w:tcPr>
            <w:tcW w:w="486" w:type="dxa"/>
            <w:shd w:val="clear" w:color="auto" w:fill="auto"/>
            <w:vAlign w:val="bottom"/>
          </w:tcPr>
          <w:p w:rsidR="00C9789E" w:rsidRPr="009C64D2" w:rsidRDefault="00C9789E" w:rsidP="009C64D2">
            <w:pPr>
              <w:pStyle w:val="SingleTxtG"/>
              <w:spacing w:before="40" w:after="40" w:line="220" w:lineRule="exact"/>
              <w:ind w:left="0" w:right="113"/>
              <w:jc w:val="right"/>
              <w:rPr>
                <w:sz w:val="18"/>
              </w:rPr>
            </w:pPr>
            <w:r w:rsidRPr="009C64D2">
              <w:rPr>
                <w:sz w:val="18"/>
              </w:rPr>
              <w:t>2.9</w:t>
            </w:r>
          </w:p>
        </w:tc>
        <w:tc>
          <w:tcPr>
            <w:tcW w:w="486" w:type="dxa"/>
            <w:shd w:val="clear" w:color="auto" w:fill="auto"/>
            <w:vAlign w:val="bottom"/>
          </w:tcPr>
          <w:p w:rsidR="00C9789E" w:rsidRPr="009C64D2" w:rsidRDefault="00C9789E" w:rsidP="009C64D2">
            <w:pPr>
              <w:pStyle w:val="SingleTxtG"/>
              <w:spacing w:before="40" w:after="40" w:line="220" w:lineRule="exact"/>
              <w:ind w:left="0" w:right="113"/>
              <w:jc w:val="right"/>
              <w:rPr>
                <w:sz w:val="18"/>
              </w:rPr>
            </w:pPr>
            <w:r w:rsidRPr="009C64D2">
              <w:rPr>
                <w:sz w:val="18"/>
              </w:rPr>
              <w:t>0.2</w:t>
            </w:r>
          </w:p>
        </w:tc>
        <w:tc>
          <w:tcPr>
            <w:tcW w:w="486" w:type="dxa"/>
            <w:shd w:val="clear" w:color="auto" w:fill="auto"/>
            <w:vAlign w:val="bottom"/>
          </w:tcPr>
          <w:p w:rsidR="00C9789E" w:rsidRPr="009C64D2" w:rsidRDefault="00C9789E" w:rsidP="009C64D2">
            <w:pPr>
              <w:pStyle w:val="SingleTxtG"/>
              <w:spacing w:before="40" w:after="40" w:line="220" w:lineRule="exact"/>
              <w:ind w:left="0" w:right="113"/>
              <w:jc w:val="right"/>
              <w:rPr>
                <w:sz w:val="18"/>
              </w:rPr>
            </w:pPr>
            <w:r w:rsidRPr="009C64D2">
              <w:rPr>
                <w:sz w:val="18"/>
              </w:rPr>
              <w:t>3.5</w:t>
            </w:r>
          </w:p>
        </w:tc>
        <w:tc>
          <w:tcPr>
            <w:tcW w:w="486" w:type="dxa"/>
            <w:shd w:val="clear" w:color="auto" w:fill="auto"/>
            <w:vAlign w:val="bottom"/>
          </w:tcPr>
          <w:p w:rsidR="00C9789E" w:rsidRPr="009C64D2" w:rsidRDefault="00C9789E" w:rsidP="009C64D2">
            <w:pPr>
              <w:pStyle w:val="SingleTxtG"/>
              <w:spacing w:before="40" w:after="40" w:line="220" w:lineRule="exact"/>
              <w:ind w:left="0" w:right="113"/>
              <w:jc w:val="right"/>
              <w:rPr>
                <w:sz w:val="18"/>
              </w:rPr>
            </w:pPr>
            <w:r w:rsidRPr="009C64D2">
              <w:rPr>
                <w:sz w:val="18"/>
              </w:rPr>
              <w:t>0.3</w:t>
            </w:r>
          </w:p>
        </w:tc>
        <w:tc>
          <w:tcPr>
            <w:tcW w:w="486" w:type="dxa"/>
            <w:shd w:val="clear" w:color="auto" w:fill="auto"/>
            <w:vAlign w:val="bottom"/>
          </w:tcPr>
          <w:p w:rsidR="00C9789E" w:rsidRPr="009C64D2" w:rsidRDefault="00C9789E" w:rsidP="009C64D2">
            <w:pPr>
              <w:pStyle w:val="SingleTxtG"/>
              <w:spacing w:before="40" w:after="40" w:line="220" w:lineRule="exact"/>
              <w:ind w:left="0" w:right="113"/>
              <w:jc w:val="right"/>
              <w:rPr>
                <w:sz w:val="18"/>
              </w:rPr>
            </w:pPr>
            <w:r w:rsidRPr="009C64D2">
              <w:rPr>
                <w:sz w:val="18"/>
              </w:rPr>
              <w:t>3.4</w:t>
            </w:r>
          </w:p>
        </w:tc>
        <w:tc>
          <w:tcPr>
            <w:tcW w:w="486" w:type="dxa"/>
            <w:shd w:val="clear" w:color="auto" w:fill="auto"/>
            <w:vAlign w:val="bottom"/>
          </w:tcPr>
          <w:p w:rsidR="00C9789E" w:rsidRPr="009C64D2" w:rsidRDefault="00C9789E" w:rsidP="009C64D2">
            <w:pPr>
              <w:pStyle w:val="SingleTxtG"/>
              <w:spacing w:before="40" w:after="40" w:line="220" w:lineRule="exact"/>
              <w:ind w:left="0" w:right="113"/>
              <w:jc w:val="right"/>
              <w:rPr>
                <w:sz w:val="18"/>
              </w:rPr>
            </w:pPr>
            <w:r w:rsidRPr="009C64D2">
              <w:rPr>
                <w:sz w:val="18"/>
              </w:rPr>
              <w:t>0.3</w:t>
            </w:r>
          </w:p>
        </w:tc>
        <w:tc>
          <w:tcPr>
            <w:tcW w:w="400" w:type="dxa"/>
            <w:shd w:val="clear" w:color="auto" w:fill="auto"/>
            <w:vAlign w:val="bottom"/>
          </w:tcPr>
          <w:p w:rsidR="00C9789E" w:rsidRPr="009C64D2" w:rsidRDefault="00C9789E" w:rsidP="009C64D2">
            <w:pPr>
              <w:pStyle w:val="SingleTxtG"/>
              <w:spacing w:before="40" w:after="40" w:line="220" w:lineRule="exact"/>
              <w:ind w:left="0" w:right="113"/>
              <w:jc w:val="right"/>
              <w:rPr>
                <w:sz w:val="18"/>
              </w:rPr>
            </w:pPr>
            <w:r w:rsidRPr="009C64D2">
              <w:rPr>
                <w:sz w:val="18"/>
              </w:rPr>
              <w:t>3.0</w:t>
            </w:r>
          </w:p>
        </w:tc>
        <w:tc>
          <w:tcPr>
            <w:tcW w:w="400" w:type="dxa"/>
            <w:shd w:val="clear" w:color="auto" w:fill="auto"/>
            <w:vAlign w:val="bottom"/>
          </w:tcPr>
          <w:p w:rsidR="00C9789E" w:rsidRPr="009C64D2" w:rsidRDefault="00C9789E" w:rsidP="009C64D2">
            <w:pPr>
              <w:pStyle w:val="SingleTxtG"/>
              <w:spacing w:before="40" w:after="40" w:line="220" w:lineRule="exact"/>
              <w:ind w:left="0" w:right="113"/>
              <w:jc w:val="right"/>
              <w:rPr>
                <w:sz w:val="18"/>
              </w:rPr>
            </w:pPr>
            <w:r w:rsidRPr="009C64D2">
              <w:rPr>
                <w:sz w:val="18"/>
              </w:rPr>
              <w:t>0.2</w:t>
            </w:r>
          </w:p>
        </w:tc>
        <w:tc>
          <w:tcPr>
            <w:tcW w:w="455" w:type="dxa"/>
            <w:shd w:val="clear" w:color="auto" w:fill="auto"/>
            <w:vAlign w:val="bottom"/>
          </w:tcPr>
          <w:p w:rsidR="00C9789E" w:rsidRPr="009C64D2" w:rsidRDefault="00C9789E" w:rsidP="009C64D2">
            <w:pPr>
              <w:pStyle w:val="SingleTxtG"/>
              <w:spacing w:before="40" w:after="40" w:line="220" w:lineRule="exact"/>
              <w:ind w:left="0" w:right="113"/>
              <w:jc w:val="right"/>
              <w:rPr>
                <w:sz w:val="18"/>
              </w:rPr>
            </w:pPr>
            <w:r w:rsidRPr="009C64D2">
              <w:rPr>
                <w:sz w:val="18"/>
              </w:rPr>
              <w:t>3.5</w:t>
            </w:r>
          </w:p>
        </w:tc>
        <w:tc>
          <w:tcPr>
            <w:tcW w:w="455" w:type="dxa"/>
            <w:shd w:val="clear" w:color="auto" w:fill="auto"/>
            <w:vAlign w:val="bottom"/>
          </w:tcPr>
          <w:p w:rsidR="00C9789E" w:rsidRPr="009C64D2" w:rsidRDefault="00C9789E" w:rsidP="009C64D2">
            <w:pPr>
              <w:pStyle w:val="SingleTxtG"/>
              <w:spacing w:before="40" w:after="40" w:line="220" w:lineRule="exact"/>
              <w:ind w:left="0" w:right="113"/>
              <w:jc w:val="right"/>
              <w:rPr>
                <w:sz w:val="18"/>
              </w:rPr>
            </w:pPr>
            <w:r w:rsidRPr="009C64D2">
              <w:rPr>
                <w:sz w:val="18"/>
              </w:rPr>
              <w:t>0.2</w:t>
            </w:r>
          </w:p>
        </w:tc>
      </w:tr>
    </w:tbl>
    <w:p w:rsidR="00C9789E" w:rsidRPr="00F62F1C" w:rsidRDefault="00C9789E" w:rsidP="009C64D2">
      <w:pPr>
        <w:pStyle w:val="SingleTxtG"/>
        <w:spacing w:before="240"/>
      </w:pPr>
      <w:r w:rsidRPr="00F62F1C">
        <w:t>135.</w:t>
      </w:r>
      <w:r w:rsidRPr="00F62F1C">
        <w:tab/>
        <w:t>Statistics on the multiple employment rate by urban and rural area in New Zealand are only available from June 2016.</w:t>
      </w:r>
    </w:p>
    <w:p w:rsidR="009C64D2" w:rsidRDefault="00C9789E" w:rsidP="009C64D2">
      <w:pPr>
        <w:pStyle w:val="Heading1"/>
      </w:pPr>
      <w:bookmarkStart w:id="50" w:name="_Toc494359774"/>
      <w:r w:rsidRPr="00F62F1C">
        <w:t>Figure 15</w:t>
      </w:r>
      <w:bookmarkEnd w:id="50"/>
    </w:p>
    <w:p w:rsidR="00C9789E" w:rsidRPr="009C64D2" w:rsidRDefault="00C9789E" w:rsidP="00706221">
      <w:pPr>
        <w:pStyle w:val="SingleTxtG"/>
        <w:rPr>
          <w:b/>
        </w:rPr>
      </w:pPr>
      <w:r w:rsidRPr="009C64D2">
        <w:rPr>
          <w:b/>
        </w:rPr>
        <w:t>Multiple employment rate by urban and rural area (%)</w:t>
      </w:r>
      <w:r w:rsidR="0023775B" w:rsidRPr="009C64D2">
        <w:rPr>
          <w:b/>
        </w:rPr>
        <w:t xml:space="preserve"> </w:t>
      </w:r>
      <w:r w:rsidRPr="009C64D2">
        <w:rPr>
          <w:b/>
        </w:rPr>
        <w:t>(data only available from June 2016 quarter)</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85"/>
        <w:gridCol w:w="1701"/>
        <w:gridCol w:w="1228"/>
        <w:gridCol w:w="1228"/>
        <w:gridCol w:w="1228"/>
      </w:tblGrid>
      <w:tr w:rsidR="00C9789E" w:rsidRPr="00177BCA" w:rsidTr="00B77308">
        <w:trPr>
          <w:cantSplit/>
          <w:tblHeader/>
        </w:trPr>
        <w:tc>
          <w:tcPr>
            <w:tcW w:w="1985" w:type="dxa"/>
            <w:tcBorders>
              <w:top w:val="single" w:sz="4" w:space="0" w:color="auto"/>
              <w:bottom w:val="single" w:sz="12" w:space="0" w:color="auto"/>
            </w:tcBorders>
            <w:shd w:val="clear" w:color="auto" w:fill="auto"/>
            <w:vAlign w:val="bottom"/>
          </w:tcPr>
          <w:p w:rsidR="00C9789E" w:rsidRPr="00177BCA" w:rsidRDefault="00C9789E" w:rsidP="00177BCA">
            <w:pPr>
              <w:pStyle w:val="SingleTxtG"/>
              <w:spacing w:before="80" w:after="80" w:line="200" w:lineRule="exact"/>
              <w:ind w:left="0" w:right="113"/>
              <w:jc w:val="left"/>
              <w:rPr>
                <w:i/>
                <w:sz w:val="16"/>
              </w:rPr>
            </w:pPr>
            <w:r w:rsidRPr="00177BCA">
              <w:rPr>
                <w:i/>
                <w:sz w:val="16"/>
              </w:rPr>
              <w:t>Quarter</w:t>
            </w:r>
          </w:p>
        </w:tc>
        <w:tc>
          <w:tcPr>
            <w:tcW w:w="1701" w:type="dxa"/>
            <w:tcBorders>
              <w:top w:val="single" w:sz="4" w:space="0" w:color="auto"/>
              <w:bottom w:val="single" w:sz="12" w:space="0" w:color="auto"/>
            </w:tcBorders>
            <w:shd w:val="clear" w:color="auto" w:fill="auto"/>
            <w:vAlign w:val="bottom"/>
            <w:hideMark/>
          </w:tcPr>
          <w:p w:rsidR="00C9789E" w:rsidRPr="00177BCA" w:rsidRDefault="00C9789E" w:rsidP="00177BCA">
            <w:pPr>
              <w:pStyle w:val="SingleTxtG"/>
              <w:spacing w:before="80" w:after="80" w:line="200" w:lineRule="exact"/>
              <w:ind w:left="0" w:right="113"/>
              <w:jc w:val="right"/>
              <w:rPr>
                <w:i/>
                <w:sz w:val="16"/>
              </w:rPr>
            </w:pPr>
          </w:p>
        </w:tc>
        <w:tc>
          <w:tcPr>
            <w:tcW w:w="1228" w:type="dxa"/>
            <w:tcBorders>
              <w:top w:val="single" w:sz="4" w:space="0" w:color="auto"/>
              <w:bottom w:val="single" w:sz="12" w:space="0" w:color="auto"/>
            </w:tcBorders>
            <w:shd w:val="clear" w:color="auto" w:fill="auto"/>
            <w:vAlign w:val="bottom"/>
            <w:hideMark/>
          </w:tcPr>
          <w:p w:rsidR="00C9789E" w:rsidRPr="00177BCA" w:rsidRDefault="00C9789E" w:rsidP="00177BCA">
            <w:pPr>
              <w:pStyle w:val="SingleTxtG"/>
              <w:spacing w:before="80" w:after="80" w:line="200" w:lineRule="exact"/>
              <w:ind w:left="0" w:right="113"/>
              <w:jc w:val="right"/>
              <w:rPr>
                <w:i/>
                <w:sz w:val="16"/>
              </w:rPr>
            </w:pPr>
            <w:r w:rsidRPr="00177BCA">
              <w:rPr>
                <w:i/>
                <w:sz w:val="16"/>
              </w:rPr>
              <w:t>Urban</w:t>
            </w:r>
          </w:p>
        </w:tc>
        <w:tc>
          <w:tcPr>
            <w:tcW w:w="1228" w:type="dxa"/>
            <w:tcBorders>
              <w:top w:val="single" w:sz="4" w:space="0" w:color="auto"/>
              <w:bottom w:val="single" w:sz="12" w:space="0" w:color="auto"/>
            </w:tcBorders>
            <w:shd w:val="clear" w:color="auto" w:fill="auto"/>
            <w:vAlign w:val="bottom"/>
            <w:hideMark/>
          </w:tcPr>
          <w:p w:rsidR="00C9789E" w:rsidRPr="00177BCA" w:rsidRDefault="00C9789E" w:rsidP="00177BCA">
            <w:pPr>
              <w:pStyle w:val="SingleTxtG"/>
              <w:spacing w:before="80" w:after="80" w:line="200" w:lineRule="exact"/>
              <w:ind w:left="0" w:right="113"/>
              <w:jc w:val="right"/>
              <w:rPr>
                <w:i/>
                <w:sz w:val="16"/>
              </w:rPr>
            </w:pPr>
            <w:r w:rsidRPr="00177BCA">
              <w:rPr>
                <w:i/>
                <w:sz w:val="16"/>
              </w:rPr>
              <w:t>Rural</w:t>
            </w:r>
          </w:p>
        </w:tc>
        <w:tc>
          <w:tcPr>
            <w:tcW w:w="1228" w:type="dxa"/>
            <w:tcBorders>
              <w:top w:val="single" w:sz="4" w:space="0" w:color="auto"/>
              <w:bottom w:val="single" w:sz="12" w:space="0" w:color="auto"/>
            </w:tcBorders>
            <w:shd w:val="clear" w:color="auto" w:fill="auto"/>
            <w:vAlign w:val="bottom"/>
            <w:hideMark/>
          </w:tcPr>
          <w:p w:rsidR="00C9789E" w:rsidRPr="00177BCA" w:rsidRDefault="00C9789E" w:rsidP="00177BCA">
            <w:pPr>
              <w:pStyle w:val="SingleTxtG"/>
              <w:spacing w:before="80" w:after="80" w:line="200" w:lineRule="exact"/>
              <w:ind w:left="0" w:right="113"/>
              <w:jc w:val="right"/>
              <w:rPr>
                <w:i/>
                <w:sz w:val="16"/>
              </w:rPr>
            </w:pPr>
            <w:r w:rsidRPr="00177BCA">
              <w:rPr>
                <w:i/>
                <w:sz w:val="16"/>
              </w:rPr>
              <w:t xml:space="preserve">Total Both </w:t>
            </w:r>
          </w:p>
        </w:tc>
      </w:tr>
      <w:tr w:rsidR="00C9789E" w:rsidRPr="00177BCA" w:rsidTr="00B77308">
        <w:trPr>
          <w:cantSplit/>
        </w:trPr>
        <w:tc>
          <w:tcPr>
            <w:tcW w:w="1985" w:type="dxa"/>
            <w:vMerge w:val="restart"/>
            <w:tcBorders>
              <w:top w:val="single" w:sz="12" w:space="0" w:color="auto"/>
            </w:tcBorders>
            <w:shd w:val="clear" w:color="auto" w:fill="auto"/>
          </w:tcPr>
          <w:p w:rsidR="00C9789E" w:rsidRPr="00177BCA" w:rsidRDefault="00C9789E" w:rsidP="00177BCA">
            <w:pPr>
              <w:pStyle w:val="SingleTxtG"/>
              <w:spacing w:before="40" w:after="40" w:line="220" w:lineRule="exact"/>
              <w:ind w:left="0" w:right="113"/>
              <w:jc w:val="left"/>
              <w:rPr>
                <w:sz w:val="18"/>
              </w:rPr>
            </w:pPr>
            <w:r w:rsidRPr="00177BCA">
              <w:rPr>
                <w:sz w:val="18"/>
              </w:rPr>
              <w:t>June 2016 quarter</w:t>
            </w:r>
          </w:p>
        </w:tc>
        <w:tc>
          <w:tcPr>
            <w:tcW w:w="1701" w:type="dxa"/>
            <w:tcBorders>
              <w:top w:val="single" w:sz="12" w:space="0" w:color="auto"/>
            </w:tcBorders>
            <w:shd w:val="clear" w:color="auto" w:fill="auto"/>
            <w:vAlign w:val="bottom"/>
            <w:hideMark/>
          </w:tcPr>
          <w:p w:rsidR="00C9789E" w:rsidRPr="00177BCA" w:rsidRDefault="00C9789E" w:rsidP="00177BCA">
            <w:pPr>
              <w:pStyle w:val="SingleTxtG"/>
              <w:spacing w:before="40" w:after="40" w:line="220" w:lineRule="exact"/>
              <w:ind w:left="0" w:right="113"/>
              <w:jc w:val="left"/>
              <w:rPr>
                <w:sz w:val="18"/>
              </w:rPr>
            </w:pPr>
            <w:r w:rsidRPr="00177BCA">
              <w:rPr>
                <w:sz w:val="18"/>
              </w:rPr>
              <w:t>Single job holder</w:t>
            </w:r>
          </w:p>
        </w:tc>
        <w:tc>
          <w:tcPr>
            <w:tcW w:w="1228" w:type="dxa"/>
            <w:tcBorders>
              <w:top w:val="single" w:sz="12" w:space="0" w:color="auto"/>
            </w:tcBorders>
            <w:shd w:val="clear" w:color="auto" w:fill="auto"/>
            <w:noWrap/>
            <w:vAlign w:val="bottom"/>
            <w:hideMark/>
          </w:tcPr>
          <w:p w:rsidR="00C9789E" w:rsidRPr="00177BCA" w:rsidRDefault="00C9789E" w:rsidP="00177BCA">
            <w:pPr>
              <w:pStyle w:val="SingleTxtG"/>
              <w:spacing w:before="40" w:after="40" w:line="220" w:lineRule="exact"/>
              <w:ind w:left="0" w:right="113"/>
              <w:jc w:val="right"/>
              <w:rPr>
                <w:sz w:val="18"/>
              </w:rPr>
            </w:pPr>
            <w:r w:rsidRPr="00177BCA">
              <w:rPr>
                <w:sz w:val="18"/>
              </w:rPr>
              <w:t>87.7</w:t>
            </w:r>
          </w:p>
        </w:tc>
        <w:tc>
          <w:tcPr>
            <w:tcW w:w="1228" w:type="dxa"/>
            <w:tcBorders>
              <w:top w:val="single" w:sz="12" w:space="0" w:color="auto"/>
            </w:tcBorders>
            <w:shd w:val="clear" w:color="auto" w:fill="auto"/>
            <w:noWrap/>
            <w:vAlign w:val="bottom"/>
            <w:hideMark/>
          </w:tcPr>
          <w:p w:rsidR="00C9789E" w:rsidRPr="00177BCA" w:rsidRDefault="00C9789E" w:rsidP="00177BCA">
            <w:pPr>
              <w:pStyle w:val="SingleTxtG"/>
              <w:spacing w:before="40" w:after="40" w:line="220" w:lineRule="exact"/>
              <w:ind w:left="0" w:right="113"/>
              <w:jc w:val="right"/>
              <w:rPr>
                <w:sz w:val="18"/>
              </w:rPr>
            </w:pPr>
            <w:r w:rsidRPr="00177BCA">
              <w:rPr>
                <w:sz w:val="18"/>
              </w:rPr>
              <w:t>12.3</w:t>
            </w:r>
          </w:p>
        </w:tc>
        <w:tc>
          <w:tcPr>
            <w:tcW w:w="1228" w:type="dxa"/>
            <w:tcBorders>
              <w:top w:val="single" w:sz="12" w:space="0" w:color="auto"/>
            </w:tcBorders>
            <w:shd w:val="clear" w:color="auto" w:fill="auto"/>
            <w:noWrap/>
            <w:vAlign w:val="bottom"/>
            <w:hideMark/>
          </w:tcPr>
          <w:p w:rsidR="00C9789E" w:rsidRPr="00177BCA" w:rsidRDefault="00C9789E" w:rsidP="00177BCA">
            <w:pPr>
              <w:pStyle w:val="SingleTxtG"/>
              <w:spacing w:before="40" w:after="40" w:line="220" w:lineRule="exact"/>
              <w:ind w:left="0" w:right="113"/>
              <w:jc w:val="right"/>
              <w:rPr>
                <w:sz w:val="18"/>
              </w:rPr>
            </w:pPr>
            <w:r w:rsidRPr="00177BCA">
              <w:rPr>
                <w:sz w:val="18"/>
              </w:rPr>
              <w:t>100</w:t>
            </w:r>
          </w:p>
        </w:tc>
      </w:tr>
      <w:tr w:rsidR="00C9789E" w:rsidRPr="00177BCA" w:rsidTr="00B77308">
        <w:trPr>
          <w:cantSplit/>
        </w:trPr>
        <w:tc>
          <w:tcPr>
            <w:tcW w:w="1985" w:type="dxa"/>
            <w:vMerge/>
            <w:shd w:val="clear" w:color="auto" w:fill="auto"/>
          </w:tcPr>
          <w:p w:rsidR="00C9789E" w:rsidRPr="00177BCA" w:rsidRDefault="00C9789E" w:rsidP="00177BCA">
            <w:pPr>
              <w:pStyle w:val="SingleTxtG"/>
              <w:spacing w:before="40" w:after="40" w:line="220" w:lineRule="exact"/>
              <w:ind w:left="0" w:right="113"/>
              <w:jc w:val="left"/>
              <w:rPr>
                <w:sz w:val="18"/>
              </w:rPr>
            </w:pPr>
          </w:p>
        </w:tc>
        <w:tc>
          <w:tcPr>
            <w:tcW w:w="1701" w:type="dxa"/>
            <w:shd w:val="clear" w:color="auto" w:fill="auto"/>
            <w:vAlign w:val="bottom"/>
            <w:hideMark/>
          </w:tcPr>
          <w:p w:rsidR="00C9789E" w:rsidRPr="00177BCA" w:rsidRDefault="00C9789E" w:rsidP="00177BCA">
            <w:pPr>
              <w:pStyle w:val="SingleTxtG"/>
              <w:spacing w:before="40" w:after="40" w:line="220" w:lineRule="exact"/>
              <w:ind w:left="0" w:right="113"/>
              <w:jc w:val="left"/>
              <w:rPr>
                <w:sz w:val="18"/>
              </w:rPr>
            </w:pPr>
            <w:r w:rsidRPr="00177BCA">
              <w:rPr>
                <w:sz w:val="18"/>
              </w:rPr>
              <w:t>Multiple job holder</w:t>
            </w:r>
          </w:p>
        </w:tc>
        <w:tc>
          <w:tcPr>
            <w:tcW w:w="1228" w:type="dxa"/>
            <w:shd w:val="clear" w:color="auto" w:fill="auto"/>
            <w:noWrap/>
            <w:vAlign w:val="bottom"/>
            <w:hideMark/>
          </w:tcPr>
          <w:p w:rsidR="00C9789E" w:rsidRPr="00177BCA" w:rsidRDefault="00C9789E" w:rsidP="00177BCA">
            <w:pPr>
              <w:pStyle w:val="SingleTxtG"/>
              <w:spacing w:before="40" w:after="40" w:line="220" w:lineRule="exact"/>
              <w:ind w:left="0" w:right="113"/>
              <w:jc w:val="right"/>
              <w:rPr>
                <w:sz w:val="18"/>
              </w:rPr>
            </w:pPr>
            <w:r w:rsidRPr="00177BCA">
              <w:rPr>
                <w:sz w:val="18"/>
              </w:rPr>
              <w:t>79.0</w:t>
            </w:r>
          </w:p>
        </w:tc>
        <w:tc>
          <w:tcPr>
            <w:tcW w:w="1228" w:type="dxa"/>
            <w:shd w:val="clear" w:color="auto" w:fill="auto"/>
            <w:noWrap/>
            <w:vAlign w:val="bottom"/>
            <w:hideMark/>
          </w:tcPr>
          <w:p w:rsidR="00C9789E" w:rsidRPr="00177BCA" w:rsidRDefault="00C9789E" w:rsidP="00177BCA">
            <w:pPr>
              <w:pStyle w:val="SingleTxtG"/>
              <w:spacing w:before="40" w:after="40" w:line="220" w:lineRule="exact"/>
              <w:ind w:left="0" w:right="113"/>
              <w:jc w:val="right"/>
              <w:rPr>
                <w:sz w:val="18"/>
              </w:rPr>
            </w:pPr>
            <w:r w:rsidRPr="00177BCA">
              <w:rPr>
                <w:sz w:val="18"/>
              </w:rPr>
              <w:t>21.0</w:t>
            </w:r>
          </w:p>
        </w:tc>
        <w:tc>
          <w:tcPr>
            <w:tcW w:w="1228" w:type="dxa"/>
            <w:shd w:val="clear" w:color="auto" w:fill="auto"/>
            <w:noWrap/>
            <w:vAlign w:val="bottom"/>
            <w:hideMark/>
          </w:tcPr>
          <w:p w:rsidR="00C9789E" w:rsidRPr="00177BCA" w:rsidRDefault="00C9789E" w:rsidP="00177BCA">
            <w:pPr>
              <w:pStyle w:val="SingleTxtG"/>
              <w:spacing w:before="40" w:after="40" w:line="220" w:lineRule="exact"/>
              <w:ind w:left="0" w:right="113"/>
              <w:jc w:val="right"/>
              <w:rPr>
                <w:sz w:val="18"/>
              </w:rPr>
            </w:pPr>
            <w:r w:rsidRPr="00177BCA">
              <w:rPr>
                <w:sz w:val="18"/>
              </w:rPr>
              <w:t>100</w:t>
            </w:r>
          </w:p>
        </w:tc>
      </w:tr>
      <w:tr w:rsidR="00C9789E" w:rsidRPr="00177BCA" w:rsidTr="00B77308">
        <w:trPr>
          <w:cantSplit/>
        </w:trPr>
        <w:tc>
          <w:tcPr>
            <w:tcW w:w="1985" w:type="dxa"/>
            <w:vMerge w:val="restart"/>
            <w:shd w:val="clear" w:color="auto" w:fill="auto"/>
          </w:tcPr>
          <w:p w:rsidR="00C9789E" w:rsidRPr="00177BCA" w:rsidRDefault="00C9789E" w:rsidP="00177BCA">
            <w:pPr>
              <w:pStyle w:val="SingleTxtG"/>
              <w:spacing w:before="40" w:after="40" w:line="220" w:lineRule="exact"/>
              <w:ind w:left="0" w:right="113"/>
              <w:jc w:val="left"/>
              <w:rPr>
                <w:sz w:val="18"/>
              </w:rPr>
            </w:pPr>
            <w:r w:rsidRPr="00177BCA">
              <w:rPr>
                <w:sz w:val="18"/>
              </w:rPr>
              <w:t>September 2016 quarter</w:t>
            </w:r>
          </w:p>
        </w:tc>
        <w:tc>
          <w:tcPr>
            <w:tcW w:w="1701" w:type="dxa"/>
            <w:shd w:val="clear" w:color="auto" w:fill="auto"/>
            <w:vAlign w:val="bottom"/>
            <w:hideMark/>
          </w:tcPr>
          <w:p w:rsidR="00C9789E" w:rsidRPr="00177BCA" w:rsidRDefault="00C9789E" w:rsidP="00177BCA">
            <w:pPr>
              <w:pStyle w:val="SingleTxtG"/>
              <w:spacing w:before="40" w:after="40" w:line="220" w:lineRule="exact"/>
              <w:ind w:left="0" w:right="113"/>
              <w:jc w:val="left"/>
              <w:rPr>
                <w:sz w:val="18"/>
              </w:rPr>
            </w:pPr>
            <w:r w:rsidRPr="00177BCA">
              <w:rPr>
                <w:sz w:val="18"/>
              </w:rPr>
              <w:t>Single job holder</w:t>
            </w:r>
          </w:p>
        </w:tc>
        <w:tc>
          <w:tcPr>
            <w:tcW w:w="1228" w:type="dxa"/>
            <w:shd w:val="clear" w:color="auto" w:fill="auto"/>
            <w:noWrap/>
            <w:vAlign w:val="bottom"/>
            <w:hideMark/>
          </w:tcPr>
          <w:p w:rsidR="00C9789E" w:rsidRPr="00177BCA" w:rsidRDefault="00C9789E" w:rsidP="00177BCA">
            <w:pPr>
              <w:pStyle w:val="SingleTxtG"/>
              <w:spacing w:before="40" w:after="40" w:line="220" w:lineRule="exact"/>
              <w:ind w:left="0" w:right="113"/>
              <w:jc w:val="right"/>
              <w:rPr>
                <w:sz w:val="18"/>
              </w:rPr>
            </w:pPr>
            <w:r w:rsidRPr="00177BCA">
              <w:rPr>
                <w:sz w:val="18"/>
              </w:rPr>
              <w:t>88.2</w:t>
            </w:r>
          </w:p>
        </w:tc>
        <w:tc>
          <w:tcPr>
            <w:tcW w:w="1228" w:type="dxa"/>
            <w:shd w:val="clear" w:color="auto" w:fill="auto"/>
            <w:noWrap/>
            <w:vAlign w:val="bottom"/>
            <w:hideMark/>
          </w:tcPr>
          <w:p w:rsidR="00C9789E" w:rsidRPr="00177BCA" w:rsidRDefault="00C9789E" w:rsidP="00177BCA">
            <w:pPr>
              <w:pStyle w:val="SingleTxtG"/>
              <w:spacing w:before="40" w:after="40" w:line="220" w:lineRule="exact"/>
              <w:ind w:left="0" w:right="113"/>
              <w:jc w:val="right"/>
              <w:rPr>
                <w:sz w:val="18"/>
              </w:rPr>
            </w:pPr>
            <w:r w:rsidRPr="00177BCA">
              <w:rPr>
                <w:sz w:val="18"/>
              </w:rPr>
              <w:t>11.8</w:t>
            </w:r>
          </w:p>
        </w:tc>
        <w:tc>
          <w:tcPr>
            <w:tcW w:w="1228" w:type="dxa"/>
            <w:shd w:val="clear" w:color="auto" w:fill="auto"/>
            <w:noWrap/>
            <w:vAlign w:val="bottom"/>
            <w:hideMark/>
          </w:tcPr>
          <w:p w:rsidR="00C9789E" w:rsidRPr="00177BCA" w:rsidRDefault="00C9789E" w:rsidP="00177BCA">
            <w:pPr>
              <w:pStyle w:val="SingleTxtG"/>
              <w:spacing w:before="40" w:after="40" w:line="220" w:lineRule="exact"/>
              <w:ind w:left="0" w:right="113"/>
              <w:jc w:val="right"/>
              <w:rPr>
                <w:sz w:val="18"/>
              </w:rPr>
            </w:pPr>
            <w:r w:rsidRPr="00177BCA">
              <w:rPr>
                <w:sz w:val="18"/>
              </w:rPr>
              <w:t>100</w:t>
            </w:r>
          </w:p>
        </w:tc>
      </w:tr>
      <w:tr w:rsidR="00C9789E" w:rsidRPr="00177BCA" w:rsidTr="00B77308">
        <w:trPr>
          <w:cantSplit/>
        </w:trPr>
        <w:tc>
          <w:tcPr>
            <w:tcW w:w="1985" w:type="dxa"/>
            <w:vMerge/>
            <w:shd w:val="clear" w:color="auto" w:fill="auto"/>
          </w:tcPr>
          <w:p w:rsidR="00C9789E" w:rsidRPr="00177BCA" w:rsidRDefault="00C9789E" w:rsidP="00177BCA">
            <w:pPr>
              <w:pStyle w:val="SingleTxtG"/>
              <w:spacing w:before="40" w:after="40" w:line="220" w:lineRule="exact"/>
              <w:ind w:left="0" w:right="113"/>
              <w:jc w:val="left"/>
              <w:rPr>
                <w:sz w:val="18"/>
              </w:rPr>
            </w:pPr>
          </w:p>
        </w:tc>
        <w:tc>
          <w:tcPr>
            <w:tcW w:w="1701" w:type="dxa"/>
            <w:shd w:val="clear" w:color="auto" w:fill="auto"/>
            <w:vAlign w:val="bottom"/>
            <w:hideMark/>
          </w:tcPr>
          <w:p w:rsidR="00C9789E" w:rsidRPr="00177BCA" w:rsidRDefault="00C9789E" w:rsidP="00177BCA">
            <w:pPr>
              <w:pStyle w:val="SingleTxtG"/>
              <w:spacing w:before="40" w:after="40" w:line="220" w:lineRule="exact"/>
              <w:ind w:left="0" w:right="113"/>
              <w:jc w:val="left"/>
              <w:rPr>
                <w:sz w:val="18"/>
              </w:rPr>
            </w:pPr>
            <w:r w:rsidRPr="00177BCA">
              <w:rPr>
                <w:sz w:val="18"/>
              </w:rPr>
              <w:t>Multiple job holder</w:t>
            </w:r>
          </w:p>
        </w:tc>
        <w:tc>
          <w:tcPr>
            <w:tcW w:w="1228" w:type="dxa"/>
            <w:shd w:val="clear" w:color="auto" w:fill="auto"/>
            <w:noWrap/>
            <w:vAlign w:val="bottom"/>
            <w:hideMark/>
          </w:tcPr>
          <w:p w:rsidR="00C9789E" w:rsidRPr="00177BCA" w:rsidRDefault="00C9789E" w:rsidP="00177BCA">
            <w:pPr>
              <w:pStyle w:val="SingleTxtG"/>
              <w:spacing w:before="40" w:after="40" w:line="220" w:lineRule="exact"/>
              <w:ind w:left="0" w:right="113"/>
              <w:jc w:val="right"/>
              <w:rPr>
                <w:sz w:val="18"/>
              </w:rPr>
            </w:pPr>
            <w:r w:rsidRPr="00177BCA">
              <w:rPr>
                <w:sz w:val="18"/>
              </w:rPr>
              <w:t>77.9</w:t>
            </w:r>
          </w:p>
        </w:tc>
        <w:tc>
          <w:tcPr>
            <w:tcW w:w="1228" w:type="dxa"/>
            <w:shd w:val="clear" w:color="auto" w:fill="auto"/>
            <w:noWrap/>
            <w:vAlign w:val="bottom"/>
            <w:hideMark/>
          </w:tcPr>
          <w:p w:rsidR="00C9789E" w:rsidRPr="00177BCA" w:rsidRDefault="00C9789E" w:rsidP="00177BCA">
            <w:pPr>
              <w:pStyle w:val="SingleTxtG"/>
              <w:spacing w:before="40" w:after="40" w:line="220" w:lineRule="exact"/>
              <w:ind w:left="0" w:right="113"/>
              <w:jc w:val="right"/>
              <w:rPr>
                <w:sz w:val="18"/>
              </w:rPr>
            </w:pPr>
            <w:r w:rsidRPr="00177BCA">
              <w:rPr>
                <w:sz w:val="18"/>
              </w:rPr>
              <w:t>22.1</w:t>
            </w:r>
          </w:p>
        </w:tc>
        <w:tc>
          <w:tcPr>
            <w:tcW w:w="1228" w:type="dxa"/>
            <w:shd w:val="clear" w:color="auto" w:fill="auto"/>
            <w:noWrap/>
            <w:vAlign w:val="bottom"/>
            <w:hideMark/>
          </w:tcPr>
          <w:p w:rsidR="00C9789E" w:rsidRPr="00177BCA" w:rsidRDefault="00C9789E" w:rsidP="00177BCA">
            <w:pPr>
              <w:pStyle w:val="SingleTxtG"/>
              <w:spacing w:before="40" w:after="40" w:line="220" w:lineRule="exact"/>
              <w:ind w:left="0" w:right="113"/>
              <w:jc w:val="right"/>
              <w:rPr>
                <w:sz w:val="18"/>
              </w:rPr>
            </w:pPr>
            <w:r w:rsidRPr="00177BCA">
              <w:rPr>
                <w:sz w:val="18"/>
              </w:rPr>
              <w:t>100</w:t>
            </w:r>
          </w:p>
        </w:tc>
      </w:tr>
      <w:tr w:rsidR="00C9789E" w:rsidRPr="00177BCA" w:rsidTr="00B77308">
        <w:trPr>
          <w:cantSplit/>
        </w:trPr>
        <w:tc>
          <w:tcPr>
            <w:tcW w:w="1985" w:type="dxa"/>
            <w:vMerge w:val="restart"/>
            <w:shd w:val="clear" w:color="auto" w:fill="auto"/>
          </w:tcPr>
          <w:p w:rsidR="00C9789E" w:rsidRPr="00177BCA" w:rsidRDefault="00C9789E" w:rsidP="00177BCA">
            <w:pPr>
              <w:pStyle w:val="SingleTxtG"/>
              <w:spacing w:before="40" w:after="40" w:line="220" w:lineRule="exact"/>
              <w:ind w:left="0" w:right="113"/>
              <w:jc w:val="left"/>
              <w:rPr>
                <w:sz w:val="18"/>
              </w:rPr>
            </w:pPr>
            <w:r w:rsidRPr="00177BCA">
              <w:rPr>
                <w:sz w:val="18"/>
              </w:rPr>
              <w:t>December 2016 quarter</w:t>
            </w:r>
          </w:p>
        </w:tc>
        <w:tc>
          <w:tcPr>
            <w:tcW w:w="1701" w:type="dxa"/>
            <w:shd w:val="clear" w:color="auto" w:fill="auto"/>
            <w:vAlign w:val="bottom"/>
            <w:hideMark/>
          </w:tcPr>
          <w:p w:rsidR="00C9789E" w:rsidRPr="00177BCA" w:rsidRDefault="00C9789E" w:rsidP="00177BCA">
            <w:pPr>
              <w:pStyle w:val="SingleTxtG"/>
              <w:spacing w:before="40" w:after="40" w:line="220" w:lineRule="exact"/>
              <w:ind w:left="0" w:right="113"/>
              <w:jc w:val="left"/>
              <w:rPr>
                <w:sz w:val="18"/>
              </w:rPr>
            </w:pPr>
            <w:r w:rsidRPr="00177BCA">
              <w:rPr>
                <w:sz w:val="18"/>
              </w:rPr>
              <w:t>Single job holder</w:t>
            </w:r>
          </w:p>
        </w:tc>
        <w:tc>
          <w:tcPr>
            <w:tcW w:w="1228" w:type="dxa"/>
            <w:shd w:val="clear" w:color="auto" w:fill="auto"/>
            <w:noWrap/>
            <w:vAlign w:val="bottom"/>
            <w:hideMark/>
          </w:tcPr>
          <w:p w:rsidR="00C9789E" w:rsidRPr="00177BCA" w:rsidRDefault="00C9789E" w:rsidP="00177BCA">
            <w:pPr>
              <w:pStyle w:val="SingleTxtG"/>
              <w:spacing w:before="40" w:after="40" w:line="220" w:lineRule="exact"/>
              <w:ind w:left="0" w:right="113"/>
              <w:jc w:val="right"/>
              <w:rPr>
                <w:sz w:val="18"/>
              </w:rPr>
            </w:pPr>
            <w:r w:rsidRPr="00177BCA">
              <w:rPr>
                <w:sz w:val="18"/>
              </w:rPr>
              <w:t>88.3</w:t>
            </w:r>
          </w:p>
        </w:tc>
        <w:tc>
          <w:tcPr>
            <w:tcW w:w="1228" w:type="dxa"/>
            <w:shd w:val="clear" w:color="auto" w:fill="auto"/>
            <w:noWrap/>
            <w:vAlign w:val="bottom"/>
            <w:hideMark/>
          </w:tcPr>
          <w:p w:rsidR="00C9789E" w:rsidRPr="00177BCA" w:rsidRDefault="00C9789E" w:rsidP="00177BCA">
            <w:pPr>
              <w:pStyle w:val="SingleTxtG"/>
              <w:spacing w:before="40" w:after="40" w:line="220" w:lineRule="exact"/>
              <w:ind w:left="0" w:right="113"/>
              <w:jc w:val="right"/>
              <w:rPr>
                <w:sz w:val="18"/>
              </w:rPr>
            </w:pPr>
            <w:r w:rsidRPr="00177BCA">
              <w:rPr>
                <w:sz w:val="18"/>
              </w:rPr>
              <w:t>11.7</w:t>
            </w:r>
          </w:p>
        </w:tc>
        <w:tc>
          <w:tcPr>
            <w:tcW w:w="1228" w:type="dxa"/>
            <w:shd w:val="clear" w:color="auto" w:fill="auto"/>
            <w:noWrap/>
            <w:vAlign w:val="bottom"/>
            <w:hideMark/>
          </w:tcPr>
          <w:p w:rsidR="00C9789E" w:rsidRPr="00177BCA" w:rsidRDefault="00C9789E" w:rsidP="00177BCA">
            <w:pPr>
              <w:pStyle w:val="SingleTxtG"/>
              <w:spacing w:before="40" w:after="40" w:line="220" w:lineRule="exact"/>
              <w:ind w:left="0" w:right="113"/>
              <w:jc w:val="right"/>
              <w:rPr>
                <w:sz w:val="18"/>
              </w:rPr>
            </w:pPr>
            <w:r w:rsidRPr="00177BCA">
              <w:rPr>
                <w:sz w:val="18"/>
              </w:rPr>
              <w:t>100</w:t>
            </w:r>
          </w:p>
        </w:tc>
      </w:tr>
      <w:tr w:rsidR="00C9789E" w:rsidRPr="00177BCA" w:rsidTr="00B77308">
        <w:trPr>
          <w:cantSplit/>
        </w:trPr>
        <w:tc>
          <w:tcPr>
            <w:tcW w:w="1985" w:type="dxa"/>
            <w:vMerge/>
            <w:shd w:val="clear" w:color="auto" w:fill="auto"/>
          </w:tcPr>
          <w:p w:rsidR="00C9789E" w:rsidRPr="00177BCA" w:rsidRDefault="00C9789E" w:rsidP="00177BCA">
            <w:pPr>
              <w:pStyle w:val="SingleTxtG"/>
              <w:spacing w:before="40" w:after="40" w:line="220" w:lineRule="exact"/>
              <w:ind w:left="0" w:right="113"/>
              <w:jc w:val="left"/>
              <w:rPr>
                <w:sz w:val="18"/>
              </w:rPr>
            </w:pPr>
          </w:p>
        </w:tc>
        <w:tc>
          <w:tcPr>
            <w:tcW w:w="1701" w:type="dxa"/>
            <w:shd w:val="clear" w:color="auto" w:fill="auto"/>
            <w:vAlign w:val="bottom"/>
          </w:tcPr>
          <w:p w:rsidR="00C9789E" w:rsidRPr="00177BCA" w:rsidRDefault="00C9789E" w:rsidP="00177BCA">
            <w:pPr>
              <w:pStyle w:val="SingleTxtG"/>
              <w:spacing w:before="40" w:after="40" w:line="220" w:lineRule="exact"/>
              <w:ind w:left="0" w:right="113"/>
              <w:jc w:val="left"/>
              <w:rPr>
                <w:sz w:val="18"/>
              </w:rPr>
            </w:pPr>
            <w:r w:rsidRPr="00177BCA">
              <w:rPr>
                <w:sz w:val="18"/>
              </w:rPr>
              <w:t>Multiple job holder</w:t>
            </w:r>
          </w:p>
        </w:tc>
        <w:tc>
          <w:tcPr>
            <w:tcW w:w="1228" w:type="dxa"/>
            <w:shd w:val="clear" w:color="auto" w:fill="auto"/>
            <w:noWrap/>
            <w:vAlign w:val="bottom"/>
          </w:tcPr>
          <w:p w:rsidR="00C9789E" w:rsidRPr="00177BCA" w:rsidRDefault="00C9789E" w:rsidP="00177BCA">
            <w:pPr>
              <w:pStyle w:val="SingleTxtG"/>
              <w:spacing w:before="40" w:after="40" w:line="220" w:lineRule="exact"/>
              <w:ind w:left="0" w:right="113"/>
              <w:jc w:val="right"/>
              <w:rPr>
                <w:sz w:val="18"/>
              </w:rPr>
            </w:pPr>
            <w:r w:rsidRPr="00177BCA">
              <w:rPr>
                <w:sz w:val="18"/>
              </w:rPr>
              <w:t>77.4</w:t>
            </w:r>
          </w:p>
        </w:tc>
        <w:tc>
          <w:tcPr>
            <w:tcW w:w="1228" w:type="dxa"/>
            <w:shd w:val="clear" w:color="auto" w:fill="auto"/>
            <w:noWrap/>
            <w:vAlign w:val="bottom"/>
          </w:tcPr>
          <w:p w:rsidR="00C9789E" w:rsidRPr="00177BCA" w:rsidRDefault="00C9789E" w:rsidP="00177BCA">
            <w:pPr>
              <w:pStyle w:val="SingleTxtG"/>
              <w:spacing w:before="40" w:after="40" w:line="220" w:lineRule="exact"/>
              <w:ind w:left="0" w:right="113"/>
              <w:jc w:val="right"/>
              <w:rPr>
                <w:sz w:val="18"/>
              </w:rPr>
            </w:pPr>
            <w:r w:rsidRPr="00177BCA">
              <w:rPr>
                <w:sz w:val="18"/>
              </w:rPr>
              <w:t>22.6</w:t>
            </w:r>
          </w:p>
        </w:tc>
        <w:tc>
          <w:tcPr>
            <w:tcW w:w="1228" w:type="dxa"/>
            <w:shd w:val="clear" w:color="auto" w:fill="auto"/>
            <w:noWrap/>
            <w:vAlign w:val="bottom"/>
          </w:tcPr>
          <w:p w:rsidR="00C9789E" w:rsidRPr="00177BCA" w:rsidRDefault="00C9789E" w:rsidP="00177BCA">
            <w:pPr>
              <w:pStyle w:val="SingleTxtG"/>
              <w:spacing w:before="40" w:after="40" w:line="220" w:lineRule="exact"/>
              <w:ind w:left="0" w:right="113"/>
              <w:jc w:val="right"/>
              <w:rPr>
                <w:sz w:val="18"/>
              </w:rPr>
            </w:pPr>
            <w:r w:rsidRPr="00177BCA">
              <w:rPr>
                <w:sz w:val="18"/>
              </w:rPr>
              <w:t>100</w:t>
            </w:r>
          </w:p>
        </w:tc>
      </w:tr>
    </w:tbl>
    <w:p w:rsidR="00C9789E" w:rsidRPr="00F62F1C" w:rsidRDefault="00C9789E" w:rsidP="00177BCA">
      <w:pPr>
        <w:pStyle w:val="SingleTxtG"/>
        <w:spacing w:before="240"/>
      </w:pPr>
      <w:r w:rsidRPr="00F62F1C">
        <w:t>136.</w:t>
      </w:r>
      <w:r w:rsidRPr="00F62F1C">
        <w:tab/>
        <w:t xml:space="preserve">The Government currently does not hold comparable data for multiple employment rates by ethnicity. The Household Labour Force Survey was redeveloped in June 2016 and now collects more robust data on multiple job-holding. In the future this will build up to a time series and will be able to provide multiple employment rates by ethnicity. </w:t>
      </w:r>
    </w:p>
    <w:p w:rsidR="00B305F6" w:rsidRDefault="00C9789E" w:rsidP="00B305F6">
      <w:pPr>
        <w:pStyle w:val="Heading1"/>
        <w:keepNext/>
        <w:keepLines/>
      </w:pPr>
      <w:bookmarkStart w:id="51" w:name="_Toc494359775"/>
      <w:r w:rsidRPr="00F62F1C">
        <w:lastRenderedPageBreak/>
        <w:t>Figure 16</w:t>
      </w:r>
      <w:bookmarkEnd w:id="51"/>
    </w:p>
    <w:p w:rsidR="00C9789E" w:rsidRPr="00B305F6" w:rsidRDefault="00C9789E" w:rsidP="00554B19">
      <w:pPr>
        <w:pStyle w:val="SingleTxtG"/>
        <w:jc w:val="left"/>
        <w:rPr>
          <w:b/>
        </w:rPr>
      </w:pPr>
      <w:r w:rsidRPr="00B305F6">
        <w:rPr>
          <w:b/>
        </w:rPr>
        <w:t>Those Not in Education, Employment or Training by sex (%) year ended December</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50"/>
        <w:gridCol w:w="1086"/>
        <w:gridCol w:w="1087"/>
        <w:gridCol w:w="1087"/>
        <w:gridCol w:w="1086"/>
        <w:gridCol w:w="1087"/>
        <w:gridCol w:w="1087"/>
      </w:tblGrid>
      <w:tr w:rsidR="00B305F6" w:rsidRPr="00B305F6" w:rsidTr="00F075D7">
        <w:trPr>
          <w:cantSplit/>
          <w:tblHeader/>
        </w:trPr>
        <w:tc>
          <w:tcPr>
            <w:tcW w:w="850" w:type="dxa"/>
            <w:vMerge w:val="restart"/>
            <w:tcBorders>
              <w:top w:val="single" w:sz="4" w:space="0" w:color="auto"/>
            </w:tcBorders>
            <w:shd w:val="clear" w:color="auto" w:fill="auto"/>
            <w:noWrap/>
            <w:vAlign w:val="bottom"/>
            <w:hideMark/>
          </w:tcPr>
          <w:p w:rsidR="00B305F6" w:rsidRPr="00B305F6" w:rsidRDefault="00B305F6" w:rsidP="00B305F6">
            <w:pPr>
              <w:pStyle w:val="SingleTxtG"/>
              <w:spacing w:before="80" w:after="80" w:line="200" w:lineRule="exact"/>
              <w:ind w:left="0" w:right="113"/>
              <w:jc w:val="left"/>
              <w:rPr>
                <w:i/>
                <w:sz w:val="16"/>
              </w:rPr>
            </w:pPr>
            <w:r w:rsidRPr="00B305F6">
              <w:rPr>
                <w:i/>
                <w:sz w:val="16"/>
              </w:rPr>
              <w:t xml:space="preserve"> </w:t>
            </w:r>
          </w:p>
          <w:p w:rsidR="00B305F6" w:rsidRPr="00B305F6" w:rsidRDefault="00B305F6" w:rsidP="00B305F6">
            <w:pPr>
              <w:pStyle w:val="SingleTxtG"/>
              <w:spacing w:before="80" w:after="80" w:line="200" w:lineRule="exact"/>
              <w:ind w:left="0" w:right="113"/>
              <w:jc w:val="left"/>
              <w:rPr>
                <w:i/>
                <w:sz w:val="16"/>
              </w:rPr>
            </w:pPr>
            <w:r w:rsidRPr="00B305F6">
              <w:rPr>
                <w:i/>
                <w:sz w:val="16"/>
              </w:rPr>
              <w:t>Year</w:t>
            </w:r>
          </w:p>
        </w:tc>
        <w:tc>
          <w:tcPr>
            <w:tcW w:w="2173" w:type="dxa"/>
            <w:gridSpan w:val="2"/>
            <w:tcBorders>
              <w:top w:val="single" w:sz="4" w:space="0" w:color="auto"/>
              <w:bottom w:val="single" w:sz="4" w:space="0" w:color="auto"/>
              <w:right w:val="single" w:sz="24" w:space="0" w:color="FFFFFF" w:themeColor="background1"/>
            </w:tcBorders>
            <w:shd w:val="clear" w:color="auto" w:fill="auto"/>
            <w:vAlign w:val="bottom"/>
            <w:hideMark/>
          </w:tcPr>
          <w:p w:rsidR="00B305F6" w:rsidRPr="00B305F6" w:rsidRDefault="00B305F6" w:rsidP="00B305F6">
            <w:pPr>
              <w:pStyle w:val="SingleTxtG"/>
              <w:spacing w:before="80" w:after="80" w:line="200" w:lineRule="exact"/>
              <w:ind w:left="0" w:right="113"/>
              <w:jc w:val="center"/>
              <w:rPr>
                <w:i/>
                <w:sz w:val="16"/>
              </w:rPr>
            </w:pPr>
            <w:r w:rsidRPr="00B305F6">
              <w:rPr>
                <w:i/>
                <w:sz w:val="16"/>
              </w:rPr>
              <w:t>Aged 15-19 years</w:t>
            </w:r>
          </w:p>
        </w:tc>
        <w:tc>
          <w:tcPr>
            <w:tcW w:w="2173"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rsidR="00B305F6" w:rsidRPr="00B305F6" w:rsidRDefault="00B305F6" w:rsidP="00B305F6">
            <w:pPr>
              <w:pStyle w:val="SingleTxtG"/>
              <w:spacing w:before="80" w:after="80" w:line="200" w:lineRule="exact"/>
              <w:ind w:left="0" w:right="113"/>
              <w:jc w:val="center"/>
              <w:rPr>
                <w:i/>
                <w:sz w:val="16"/>
              </w:rPr>
            </w:pPr>
            <w:r w:rsidRPr="00B305F6">
              <w:rPr>
                <w:i/>
                <w:sz w:val="16"/>
              </w:rPr>
              <w:t>Aged 20-24 years</w:t>
            </w:r>
          </w:p>
        </w:tc>
        <w:tc>
          <w:tcPr>
            <w:tcW w:w="2174" w:type="dxa"/>
            <w:gridSpan w:val="2"/>
            <w:tcBorders>
              <w:top w:val="single" w:sz="4" w:space="0" w:color="auto"/>
              <w:left w:val="single" w:sz="24" w:space="0" w:color="FFFFFF" w:themeColor="background1"/>
              <w:bottom w:val="single" w:sz="4" w:space="0" w:color="auto"/>
            </w:tcBorders>
            <w:shd w:val="clear" w:color="auto" w:fill="auto"/>
            <w:vAlign w:val="bottom"/>
            <w:hideMark/>
          </w:tcPr>
          <w:p w:rsidR="00B305F6" w:rsidRPr="00B305F6" w:rsidRDefault="00B305F6" w:rsidP="00B305F6">
            <w:pPr>
              <w:pStyle w:val="SingleTxtG"/>
              <w:spacing w:before="80" w:after="80" w:line="200" w:lineRule="exact"/>
              <w:ind w:left="0" w:right="113"/>
              <w:jc w:val="center"/>
              <w:rPr>
                <w:i/>
                <w:sz w:val="16"/>
              </w:rPr>
            </w:pPr>
            <w:r w:rsidRPr="00B305F6">
              <w:rPr>
                <w:i/>
                <w:sz w:val="16"/>
              </w:rPr>
              <w:t>Total aged 15-24 years</w:t>
            </w:r>
          </w:p>
        </w:tc>
      </w:tr>
      <w:tr w:rsidR="00B305F6" w:rsidRPr="00B305F6" w:rsidTr="00F075D7">
        <w:trPr>
          <w:cantSplit/>
        </w:trPr>
        <w:tc>
          <w:tcPr>
            <w:tcW w:w="850" w:type="dxa"/>
            <w:vMerge/>
            <w:tcBorders>
              <w:bottom w:val="single" w:sz="12" w:space="0" w:color="auto"/>
            </w:tcBorders>
            <w:shd w:val="clear" w:color="auto" w:fill="auto"/>
            <w:hideMark/>
          </w:tcPr>
          <w:p w:rsidR="00B305F6" w:rsidRPr="00B305F6" w:rsidRDefault="00B305F6" w:rsidP="00B305F6">
            <w:pPr>
              <w:pStyle w:val="SingleTxtG"/>
              <w:spacing w:before="80" w:after="80" w:line="200" w:lineRule="exact"/>
              <w:ind w:left="0" w:right="113"/>
              <w:jc w:val="left"/>
              <w:rPr>
                <w:i/>
                <w:sz w:val="16"/>
              </w:rPr>
            </w:pPr>
          </w:p>
        </w:tc>
        <w:tc>
          <w:tcPr>
            <w:tcW w:w="1086" w:type="dxa"/>
            <w:tcBorders>
              <w:top w:val="single" w:sz="4" w:space="0" w:color="auto"/>
              <w:bottom w:val="single" w:sz="12" w:space="0" w:color="auto"/>
            </w:tcBorders>
            <w:shd w:val="clear" w:color="auto" w:fill="auto"/>
            <w:vAlign w:val="bottom"/>
            <w:hideMark/>
          </w:tcPr>
          <w:p w:rsidR="00B305F6" w:rsidRPr="00B305F6" w:rsidRDefault="00B305F6" w:rsidP="00B305F6">
            <w:pPr>
              <w:pStyle w:val="SingleTxtG"/>
              <w:spacing w:before="80" w:after="80" w:line="200" w:lineRule="exact"/>
              <w:ind w:left="0" w:right="113"/>
              <w:jc w:val="right"/>
              <w:rPr>
                <w:i/>
                <w:sz w:val="16"/>
              </w:rPr>
            </w:pPr>
            <w:r w:rsidRPr="00B305F6">
              <w:rPr>
                <w:i/>
                <w:sz w:val="16"/>
              </w:rPr>
              <w:t>Male</w:t>
            </w:r>
          </w:p>
        </w:tc>
        <w:tc>
          <w:tcPr>
            <w:tcW w:w="1087" w:type="dxa"/>
            <w:tcBorders>
              <w:top w:val="single" w:sz="4" w:space="0" w:color="auto"/>
              <w:bottom w:val="single" w:sz="12" w:space="0" w:color="auto"/>
              <w:right w:val="single" w:sz="24" w:space="0" w:color="FFFFFF" w:themeColor="background1"/>
            </w:tcBorders>
            <w:shd w:val="clear" w:color="auto" w:fill="auto"/>
            <w:vAlign w:val="bottom"/>
            <w:hideMark/>
          </w:tcPr>
          <w:p w:rsidR="00B305F6" w:rsidRPr="00B305F6" w:rsidRDefault="00B305F6" w:rsidP="00B305F6">
            <w:pPr>
              <w:pStyle w:val="SingleTxtG"/>
              <w:spacing w:before="80" w:after="80" w:line="200" w:lineRule="exact"/>
              <w:ind w:left="0" w:right="113"/>
              <w:jc w:val="right"/>
              <w:rPr>
                <w:i/>
                <w:sz w:val="16"/>
              </w:rPr>
            </w:pPr>
            <w:r w:rsidRPr="00B305F6">
              <w:rPr>
                <w:i/>
                <w:sz w:val="16"/>
              </w:rPr>
              <w:t>Female</w:t>
            </w:r>
          </w:p>
        </w:tc>
        <w:tc>
          <w:tcPr>
            <w:tcW w:w="1087" w:type="dxa"/>
            <w:tcBorders>
              <w:top w:val="single" w:sz="4" w:space="0" w:color="auto"/>
              <w:left w:val="single" w:sz="24" w:space="0" w:color="FFFFFF" w:themeColor="background1"/>
              <w:bottom w:val="single" w:sz="12" w:space="0" w:color="auto"/>
            </w:tcBorders>
            <w:shd w:val="clear" w:color="auto" w:fill="auto"/>
            <w:vAlign w:val="bottom"/>
            <w:hideMark/>
          </w:tcPr>
          <w:p w:rsidR="00B305F6" w:rsidRPr="00B305F6" w:rsidRDefault="00B305F6" w:rsidP="00B305F6">
            <w:pPr>
              <w:pStyle w:val="SingleTxtG"/>
              <w:spacing w:before="80" w:after="80" w:line="200" w:lineRule="exact"/>
              <w:ind w:left="0" w:right="113"/>
              <w:jc w:val="right"/>
              <w:rPr>
                <w:i/>
                <w:sz w:val="16"/>
              </w:rPr>
            </w:pPr>
            <w:r w:rsidRPr="00B305F6">
              <w:rPr>
                <w:i/>
                <w:sz w:val="16"/>
              </w:rPr>
              <w:t>Male</w:t>
            </w:r>
          </w:p>
        </w:tc>
        <w:tc>
          <w:tcPr>
            <w:tcW w:w="1086" w:type="dxa"/>
            <w:tcBorders>
              <w:top w:val="single" w:sz="4" w:space="0" w:color="auto"/>
              <w:bottom w:val="single" w:sz="12" w:space="0" w:color="auto"/>
              <w:right w:val="single" w:sz="24" w:space="0" w:color="FFFFFF" w:themeColor="background1"/>
            </w:tcBorders>
            <w:shd w:val="clear" w:color="auto" w:fill="auto"/>
            <w:vAlign w:val="bottom"/>
            <w:hideMark/>
          </w:tcPr>
          <w:p w:rsidR="00B305F6" w:rsidRPr="00B305F6" w:rsidRDefault="00B305F6" w:rsidP="00B305F6">
            <w:pPr>
              <w:pStyle w:val="SingleTxtG"/>
              <w:spacing w:before="80" w:after="80" w:line="200" w:lineRule="exact"/>
              <w:ind w:left="0" w:right="113"/>
              <w:jc w:val="right"/>
              <w:rPr>
                <w:i/>
                <w:sz w:val="16"/>
              </w:rPr>
            </w:pPr>
            <w:r w:rsidRPr="00B305F6">
              <w:rPr>
                <w:i/>
                <w:sz w:val="16"/>
              </w:rPr>
              <w:t>Female</w:t>
            </w:r>
          </w:p>
        </w:tc>
        <w:tc>
          <w:tcPr>
            <w:tcW w:w="1087" w:type="dxa"/>
            <w:tcBorders>
              <w:top w:val="single" w:sz="4" w:space="0" w:color="auto"/>
              <w:left w:val="single" w:sz="24" w:space="0" w:color="FFFFFF" w:themeColor="background1"/>
              <w:bottom w:val="single" w:sz="12" w:space="0" w:color="auto"/>
            </w:tcBorders>
            <w:shd w:val="clear" w:color="auto" w:fill="auto"/>
            <w:vAlign w:val="bottom"/>
            <w:hideMark/>
          </w:tcPr>
          <w:p w:rsidR="00B305F6" w:rsidRPr="00B305F6" w:rsidRDefault="00B305F6" w:rsidP="00B305F6">
            <w:pPr>
              <w:pStyle w:val="SingleTxtG"/>
              <w:spacing w:before="80" w:after="80" w:line="200" w:lineRule="exact"/>
              <w:ind w:left="0" w:right="113"/>
              <w:jc w:val="right"/>
              <w:rPr>
                <w:i/>
                <w:sz w:val="16"/>
              </w:rPr>
            </w:pPr>
            <w:r w:rsidRPr="00B305F6">
              <w:rPr>
                <w:i/>
                <w:sz w:val="16"/>
              </w:rPr>
              <w:t>Male</w:t>
            </w:r>
          </w:p>
        </w:tc>
        <w:tc>
          <w:tcPr>
            <w:tcW w:w="1087" w:type="dxa"/>
            <w:tcBorders>
              <w:top w:val="single" w:sz="4" w:space="0" w:color="auto"/>
              <w:bottom w:val="single" w:sz="12" w:space="0" w:color="auto"/>
            </w:tcBorders>
            <w:shd w:val="clear" w:color="auto" w:fill="auto"/>
            <w:vAlign w:val="bottom"/>
            <w:hideMark/>
          </w:tcPr>
          <w:p w:rsidR="00B305F6" w:rsidRPr="00B305F6" w:rsidRDefault="00B305F6" w:rsidP="00B305F6">
            <w:pPr>
              <w:pStyle w:val="SingleTxtG"/>
              <w:spacing w:before="80" w:after="80" w:line="200" w:lineRule="exact"/>
              <w:ind w:left="0" w:right="113"/>
              <w:jc w:val="right"/>
              <w:rPr>
                <w:i/>
                <w:sz w:val="16"/>
              </w:rPr>
            </w:pPr>
            <w:r w:rsidRPr="00B305F6">
              <w:rPr>
                <w:i/>
                <w:sz w:val="16"/>
              </w:rPr>
              <w:t>Female</w:t>
            </w:r>
          </w:p>
        </w:tc>
      </w:tr>
      <w:tr w:rsidR="00C9789E" w:rsidRPr="00B305F6" w:rsidTr="00B77308">
        <w:trPr>
          <w:cantSplit/>
        </w:trPr>
        <w:tc>
          <w:tcPr>
            <w:tcW w:w="850" w:type="dxa"/>
            <w:tcBorders>
              <w:top w:val="single" w:sz="12" w:space="0" w:color="auto"/>
            </w:tcBorders>
            <w:shd w:val="clear" w:color="auto" w:fill="auto"/>
            <w:hideMark/>
          </w:tcPr>
          <w:p w:rsidR="00C9789E" w:rsidRPr="00B305F6" w:rsidRDefault="00C9789E" w:rsidP="00B305F6">
            <w:pPr>
              <w:pStyle w:val="SingleTxtG"/>
              <w:spacing w:before="40" w:after="40" w:line="220" w:lineRule="exact"/>
              <w:ind w:left="0" w:right="113"/>
              <w:jc w:val="left"/>
              <w:rPr>
                <w:sz w:val="18"/>
              </w:rPr>
            </w:pPr>
            <w:r w:rsidRPr="00B305F6">
              <w:rPr>
                <w:sz w:val="18"/>
              </w:rPr>
              <w:t>2012</w:t>
            </w:r>
          </w:p>
        </w:tc>
        <w:tc>
          <w:tcPr>
            <w:tcW w:w="1086" w:type="dxa"/>
            <w:tcBorders>
              <w:top w:val="single" w:sz="12" w:space="0" w:color="auto"/>
            </w:tcBorders>
            <w:shd w:val="clear" w:color="auto" w:fill="auto"/>
            <w:noWrap/>
            <w:vAlign w:val="bottom"/>
            <w:hideMark/>
          </w:tcPr>
          <w:p w:rsidR="00C9789E" w:rsidRPr="00B305F6" w:rsidRDefault="00C9789E" w:rsidP="00B305F6">
            <w:pPr>
              <w:pStyle w:val="SingleTxtG"/>
              <w:spacing w:before="40" w:after="40" w:line="220" w:lineRule="exact"/>
              <w:ind w:left="0" w:right="113"/>
              <w:jc w:val="right"/>
              <w:rPr>
                <w:sz w:val="18"/>
              </w:rPr>
            </w:pPr>
            <w:r w:rsidRPr="00B305F6">
              <w:rPr>
                <w:sz w:val="18"/>
              </w:rPr>
              <w:t>8.8</w:t>
            </w:r>
          </w:p>
        </w:tc>
        <w:tc>
          <w:tcPr>
            <w:tcW w:w="1087" w:type="dxa"/>
            <w:tcBorders>
              <w:top w:val="single" w:sz="12" w:space="0" w:color="auto"/>
            </w:tcBorders>
            <w:shd w:val="clear" w:color="auto" w:fill="auto"/>
            <w:noWrap/>
            <w:vAlign w:val="bottom"/>
            <w:hideMark/>
          </w:tcPr>
          <w:p w:rsidR="00C9789E" w:rsidRPr="00B305F6" w:rsidRDefault="00C9789E" w:rsidP="00B305F6">
            <w:pPr>
              <w:pStyle w:val="SingleTxtG"/>
              <w:spacing w:before="40" w:after="40" w:line="220" w:lineRule="exact"/>
              <w:ind w:left="0" w:right="113"/>
              <w:jc w:val="right"/>
              <w:rPr>
                <w:sz w:val="18"/>
              </w:rPr>
            </w:pPr>
            <w:r w:rsidRPr="00B305F6">
              <w:rPr>
                <w:sz w:val="18"/>
              </w:rPr>
              <w:t>9.4</w:t>
            </w:r>
          </w:p>
        </w:tc>
        <w:tc>
          <w:tcPr>
            <w:tcW w:w="1087" w:type="dxa"/>
            <w:tcBorders>
              <w:top w:val="single" w:sz="12" w:space="0" w:color="auto"/>
            </w:tcBorders>
            <w:shd w:val="clear" w:color="auto" w:fill="auto"/>
            <w:noWrap/>
            <w:vAlign w:val="bottom"/>
            <w:hideMark/>
          </w:tcPr>
          <w:p w:rsidR="00C9789E" w:rsidRPr="00B305F6" w:rsidRDefault="00C9789E" w:rsidP="00B305F6">
            <w:pPr>
              <w:pStyle w:val="SingleTxtG"/>
              <w:spacing w:before="40" w:after="40" w:line="220" w:lineRule="exact"/>
              <w:ind w:left="0" w:right="113"/>
              <w:jc w:val="right"/>
              <w:rPr>
                <w:sz w:val="18"/>
              </w:rPr>
            </w:pPr>
            <w:r w:rsidRPr="00B305F6">
              <w:rPr>
                <w:sz w:val="18"/>
              </w:rPr>
              <w:t>13.5</w:t>
            </w:r>
          </w:p>
        </w:tc>
        <w:tc>
          <w:tcPr>
            <w:tcW w:w="1086" w:type="dxa"/>
            <w:tcBorders>
              <w:top w:val="single" w:sz="12" w:space="0" w:color="auto"/>
            </w:tcBorders>
            <w:shd w:val="clear" w:color="auto" w:fill="auto"/>
            <w:noWrap/>
            <w:vAlign w:val="bottom"/>
            <w:hideMark/>
          </w:tcPr>
          <w:p w:rsidR="00C9789E" w:rsidRPr="00B305F6" w:rsidRDefault="00C9789E" w:rsidP="00B305F6">
            <w:pPr>
              <w:pStyle w:val="SingleTxtG"/>
              <w:spacing w:before="40" w:after="40" w:line="220" w:lineRule="exact"/>
              <w:ind w:left="0" w:right="113"/>
              <w:jc w:val="right"/>
              <w:rPr>
                <w:sz w:val="18"/>
              </w:rPr>
            </w:pPr>
            <w:r w:rsidRPr="00B305F6">
              <w:rPr>
                <w:sz w:val="18"/>
              </w:rPr>
              <w:t>22.5</w:t>
            </w:r>
          </w:p>
        </w:tc>
        <w:tc>
          <w:tcPr>
            <w:tcW w:w="1087" w:type="dxa"/>
            <w:tcBorders>
              <w:top w:val="single" w:sz="12" w:space="0" w:color="auto"/>
            </w:tcBorders>
            <w:shd w:val="clear" w:color="auto" w:fill="auto"/>
            <w:noWrap/>
            <w:vAlign w:val="bottom"/>
            <w:hideMark/>
          </w:tcPr>
          <w:p w:rsidR="00C9789E" w:rsidRPr="00B305F6" w:rsidRDefault="00C9789E" w:rsidP="00B305F6">
            <w:pPr>
              <w:pStyle w:val="SingleTxtG"/>
              <w:spacing w:before="40" w:after="40" w:line="220" w:lineRule="exact"/>
              <w:ind w:left="0" w:right="113"/>
              <w:jc w:val="right"/>
              <w:rPr>
                <w:sz w:val="18"/>
              </w:rPr>
            </w:pPr>
            <w:r w:rsidRPr="00B305F6">
              <w:rPr>
                <w:sz w:val="18"/>
              </w:rPr>
              <w:t>11.2</w:t>
            </w:r>
          </w:p>
        </w:tc>
        <w:tc>
          <w:tcPr>
            <w:tcW w:w="1087" w:type="dxa"/>
            <w:tcBorders>
              <w:top w:val="single" w:sz="12" w:space="0" w:color="auto"/>
            </w:tcBorders>
            <w:shd w:val="clear" w:color="auto" w:fill="auto"/>
            <w:noWrap/>
            <w:vAlign w:val="bottom"/>
            <w:hideMark/>
          </w:tcPr>
          <w:p w:rsidR="00C9789E" w:rsidRPr="00B305F6" w:rsidRDefault="00C9789E" w:rsidP="00B305F6">
            <w:pPr>
              <w:pStyle w:val="SingleTxtG"/>
              <w:spacing w:before="40" w:after="40" w:line="220" w:lineRule="exact"/>
              <w:ind w:left="0" w:right="113"/>
              <w:jc w:val="right"/>
              <w:rPr>
                <w:sz w:val="18"/>
              </w:rPr>
            </w:pPr>
            <w:r w:rsidRPr="00B305F6">
              <w:rPr>
                <w:sz w:val="18"/>
              </w:rPr>
              <w:t>16</w:t>
            </w:r>
          </w:p>
        </w:tc>
      </w:tr>
      <w:tr w:rsidR="00C9789E" w:rsidRPr="00B305F6" w:rsidTr="00B77308">
        <w:trPr>
          <w:cantSplit/>
        </w:trPr>
        <w:tc>
          <w:tcPr>
            <w:tcW w:w="850" w:type="dxa"/>
            <w:shd w:val="clear" w:color="auto" w:fill="auto"/>
            <w:hideMark/>
          </w:tcPr>
          <w:p w:rsidR="00C9789E" w:rsidRPr="00B305F6" w:rsidRDefault="00C9789E" w:rsidP="00B305F6">
            <w:pPr>
              <w:pStyle w:val="SingleTxtG"/>
              <w:spacing w:before="40" w:after="40" w:line="220" w:lineRule="exact"/>
              <w:ind w:left="0" w:right="113"/>
              <w:jc w:val="left"/>
              <w:rPr>
                <w:sz w:val="18"/>
              </w:rPr>
            </w:pPr>
            <w:r w:rsidRPr="00B305F6">
              <w:rPr>
                <w:sz w:val="18"/>
              </w:rPr>
              <w:t>2013</w:t>
            </w:r>
          </w:p>
        </w:tc>
        <w:tc>
          <w:tcPr>
            <w:tcW w:w="1086" w:type="dxa"/>
            <w:shd w:val="clear" w:color="auto" w:fill="auto"/>
            <w:noWrap/>
            <w:vAlign w:val="bottom"/>
            <w:hideMark/>
          </w:tcPr>
          <w:p w:rsidR="00C9789E" w:rsidRPr="00B305F6" w:rsidRDefault="00C9789E" w:rsidP="00B305F6">
            <w:pPr>
              <w:pStyle w:val="SingleTxtG"/>
              <w:spacing w:before="40" w:after="40" w:line="220" w:lineRule="exact"/>
              <w:ind w:left="0" w:right="113"/>
              <w:jc w:val="right"/>
              <w:rPr>
                <w:sz w:val="18"/>
              </w:rPr>
            </w:pPr>
            <w:r w:rsidRPr="00B305F6">
              <w:rPr>
                <w:sz w:val="18"/>
              </w:rPr>
              <w:t>7.5</w:t>
            </w:r>
          </w:p>
        </w:tc>
        <w:tc>
          <w:tcPr>
            <w:tcW w:w="1087" w:type="dxa"/>
            <w:shd w:val="clear" w:color="auto" w:fill="auto"/>
            <w:noWrap/>
            <w:vAlign w:val="bottom"/>
            <w:hideMark/>
          </w:tcPr>
          <w:p w:rsidR="00C9789E" w:rsidRPr="00B305F6" w:rsidRDefault="00C9789E" w:rsidP="00B305F6">
            <w:pPr>
              <w:pStyle w:val="SingleTxtG"/>
              <w:spacing w:before="40" w:after="40" w:line="220" w:lineRule="exact"/>
              <w:ind w:left="0" w:right="113"/>
              <w:jc w:val="right"/>
              <w:rPr>
                <w:sz w:val="18"/>
              </w:rPr>
            </w:pPr>
            <w:r w:rsidRPr="00B305F6">
              <w:rPr>
                <w:sz w:val="18"/>
              </w:rPr>
              <w:t>9.0</w:t>
            </w:r>
          </w:p>
        </w:tc>
        <w:tc>
          <w:tcPr>
            <w:tcW w:w="1087" w:type="dxa"/>
            <w:shd w:val="clear" w:color="auto" w:fill="auto"/>
            <w:noWrap/>
            <w:vAlign w:val="bottom"/>
            <w:hideMark/>
          </w:tcPr>
          <w:p w:rsidR="00C9789E" w:rsidRPr="00B305F6" w:rsidRDefault="00C9789E" w:rsidP="00B305F6">
            <w:pPr>
              <w:pStyle w:val="SingleTxtG"/>
              <w:spacing w:before="40" w:after="40" w:line="220" w:lineRule="exact"/>
              <w:ind w:left="0" w:right="113"/>
              <w:jc w:val="right"/>
              <w:rPr>
                <w:sz w:val="18"/>
              </w:rPr>
            </w:pPr>
            <w:r w:rsidRPr="00B305F6">
              <w:rPr>
                <w:sz w:val="18"/>
              </w:rPr>
              <w:t>10.4</w:t>
            </w:r>
          </w:p>
        </w:tc>
        <w:tc>
          <w:tcPr>
            <w:tcW w:w="1086" w:type="dxa"/>
            <w:shd w:val="clear" w:color="auto" w:fill="auto"/>
            <w:noWrap/>
            <w:vAlign w:val="bottom"/>
            <w:hideMark/>
          </w:tcPr>
          <w:p w:rsidR="00C9789E" w:rsidRPr="00B305F6" w:rsidRDefault="00C9789E" w:rsidP="00B305F6">
            <w:pPr>
              <w:pStyle w:val="SingleTxtG"/>
              <w:spacing w:before="40" w:after="40" w:line="220" w:lineRule="exact"/>
              <w:ind w:left="0" w:right="113"/>
              <w:jc w:val="right"/>
              <w:rPr>
                <w:sz w:val="18"/>
              </w:rPr>
            </w:pPr>
            <w:r w:rsidRPr="00B305F6">
              <w:rPr>
                <w:sz w:val="18"/>
              </w:rPr>
              <w:t>20.7</w:t>
            </w:r>
          </w:p>
        </w:tc>
        <w:tc>
          <w:tcPr>
            <w:tcW w:w="1087" w:type="dxa"/>
            <w:shd w:val="clear" w:color="auto" w:fill="auto"/>
            <w:noWrap/>
            <w:vAlign w:val="bottom"/>
            <w:hideMark/>
          </w:tcPr>
          <w:p w:rsidR="00C9789E" w:rsidRPr="00B305F6" w:rsidRDefault="00C9789E" w:rsidP="00B305F6">
            <w:pPr>
              <w:pStyle w:val="SingleTxtG"/>
              <w:spacing w:before="40" w:after="40" w:line="220" w:lineRule="exact"/>
              <w:ind w:left="0" w:right="113"/>
              <w:jc w:val="right"/>
              <w:rPr>
                <w:sz w:val="18"/>
              </w:rPr>
            </w:pPr>
            <w:r w:rsidRPr="00B305F6">
              <w:rPr>
                <w:sz w:val="18"/>
              </w:rPr>
              <w:t>9.0</w:t>
            </w:r>
          </w:p>
        </w:tc>
        <w:tc>
          <w:tcPr>
            <w:tcW w:w="1087" w:type="dxa"/>
            <w:shd w:val="clear" w:color="auto" w:fill="auto"/>
            <w:noWrap/>
            <w:vAlign w:val="bottom"/>
            <w:hideMark/>
          </w:tcPr>
          <w:p w:rsidR="00C9789E" w:rsidRPr="00B305F6" w:rsidRDefault="00C9789E" w:rsidP="00B305F6">
            <w:pPr>
              <w:pStyle w:val="SingleTxtG"/>
              <w:spacing w:before="40" w:after="40" w:line="220" w:lineRule="exact"/>
              <w:ind w:left="0" w:right="113"/>
              <w:jc w:val="right"/>
              <w:rPr>
                <w:sz w:val="18"/>
              </w:rPr>
            </w:pPr>
            <w:r w:rsidRPr="00B305F6">
              <w:rPr>
                <w:sz w:val="18"/>
              </w:rPr>
              <w:t>14.9</w:t>
            </w:r>
          </w:p>
        </w:tc>
      </w:tr>
      <w:tr w:rsidR="00C9789E" w:rsidRPr="00B305F6" w:rsidTr="00B77308">
        <w:trPr>
          <w:cantSplit/>
        </w:trPr>
        <w:tc>
          <w:tcPr>
            <w:tcW w:w="850" w:type="dxa"/>
            <w:shd w:val="clear" w:color="auto" w:fill="auto"/>
            <w:hideMark/>
          </w:tcPr>
          <w:p w:rsidR="00C9789E" w:rsidRPr="00B305F6" w:rsidRDefault="00C9789E" w:rsidP="00B305F6">
            <w:pPr>
              <w:pStyle w:val="SingleTxtG"/>
              <w:spacing w:before="40" w:after="40" w:line="220" w:lineRule="exact"/>
              <w:ind w:left="0" w:right="113"/>
              <w:jc w:val="left"/>
              <w:rPr>
                <w:sz w:val="18"/>
              </w:rPr>
            </w:pPr>
            <w:r w:rsidRPr="00B305F6">
              <w:rPr>
                <w:sz w:val="18"/>
              </w:rPr>
              <w:t>2014</w:t>
            </w:r>
          </w:p>
        </w:tc>
        <w:tc>
          <w:tcPr>
            <w:tcW w:w="1086" w:type="dxa"/>
            <w:shd w:val="clear" w:color="auto" w:fill="auto"/>
            <w:noWrap/>
            <w:vAlign w:val="bottom"/>
            <w:hideMark/>
          </w:tcPr>
          <w:p w:rsidR="00C9789E" w:rsidRPr="00B305F6" w:rsidRDefault="00C9789E" w:rsidP="00B305F6">
            <w:pPr>
              <w:pStyle w:val="SingleTxtG"/>
              <w:spacing w:before="40" w:after="40" w:line="220" w:lineRule="exact"/>
              <w:ind w:left="0" w:right="113"/>
              <w:jc w:val="right"/>
              <w:rPr>
                <w:sz w:val="18"/>
              </w:rPr>
            </w:pPr>
            <w:r w:rsidRPr="00B305F6">
              <w:rPr>
                <w:sz w:val="18"/>
              </w:rPr>
              <w:t>7.8</w:t>
            </w:r>
          </w:p>
        </w:tc>
        <w:tc>
          <w:tcPr>
            <w:tcW w:w="1087" w:type="dxa"/>
            <w:shd w:val="clear" w:color="auto" w:fill="auto"/>
            <w:noWrap/>
            <w:vAlign w:val="bottom"/>
            <w:hideMark/>
          </w:tcPr>
          <w:p w:rsidR="00C9789E" w:rsidRPr="00B305F6" w:rsidRDefault="00C9789E" w:rsidP="00B305F6">
            <w:pPr>
              <w:pStyle w:val="SingleTxtG"/>
              <w:spacing w:before="40" w:after="40" w:line="220" w:lineRule="exact"/>
              <w:ind w:left="0" w:right="113"/>
              <w:jc w:val="right"/>
              <w:rPr>
                <w:sz w:val="18"/>
              </w:rPr>
            </w:pPr>
            <w:r w:rsidRPr="00B305F6">
              <w:rPr>
                <w:sz w:val="18"/>
              </w:rPr>
              <w:t>7.9</w:t>
            </w:r>
          </w:p>
        </w:tc>
        <w:tc>
          <w:tcPr>
            <w:tcW w:w="1087" w:type="dxa"/>
            <w:shd w:val="clear" w:color="auto" w:fill="auto"/>
            <w:noWrap/>
            <w:vAlign w:val="bottom"/>
            <w:hideMark/>
          </w:tcPr>
          <w:p w:rsidR="00C9789E" w:rsidRPr="00B305F6" w:rsidRDefault="00C9789E" w:rsidP="00B305F6">
            <w:pPr>
              <w:pStyle w:val="SingleTxtG"/>
              <w:spacing w:before="40" w:after="40" w:line="220" w:lineRule="exact"/>
              <w:ind w:left="0" w:right="113"/>
              <w:jc w:val="right"/>
              <w:rPr>
                <w:sz w:val="18"/>
              </w:rPr>
            </w:pPr>
            <w:r w:rsidRPr="00B305F6">
              <w:rPr>
                <w:sz w:val="18"/>
              </w:rPr>
              <w:t>10.7</w:t>
            </w:r>
          </w:p>
        </w:tc>
        <w:tc>
          <w:tcPr>
            <w:tcW w:w="1086" w:type="dxa"/>
            <w:shd w:val="clear" w:color="auto" w:fill="auto"/>
            <w:noWrap/>
            <w:vAlign w:val="bottom"/>
            <w:hideMark/>
          </w:tcPr>
          <w:p w:rsidR="00C9789E" w:rsidRPr="00B305F6" w:rsidRDefault="00C9789E" w:rsidP="00B305F6">
            <w:pPr>
              <w:pStyle w:val="SingleTxtG"/>
              <w:spacing w:before="40" w:after="40" w:line="220" w:lineRule="exact"/>
              <w:ind w:left="0" w:right="113"/>
              <w:jc w:val="right"/>
              <w:rPr>
                <w:sz w:val="18"/>
              </w:rPr>
            </w:pPr>
            <w:r w:rsidRPr="00B305F6">
              <w:rPr>
                <w:sz w:val="18"/>
              </w:rPr>
              <w:t>19.3</w:t>
            </w:r>
          </w:p>
        </w:tc>
        <w:tc>
          <w:tcPr>
            <w:tcW w:w="1087" w:type="dxa"/>
            <w:shd w:val="clear" w:color="auto" w:fill="auto"/>
            <w:noWrap/>
            <w:vAlign w:val="bottom"/>
            <w:hideMark/>
          </w:tcPr>
          <w:p w:rsidR="00C9789E" w:rsidRPr="00B305F6" w:rsidRDefault="00C9789E" w:rsidP="00B305F6">
            <w:pPr>
              <w:pStyle w:val="SingleTxtG"/>
              <w:spacing w:before="40" w:after="40" w:line="220" w:lineRule="exact"/>
              <w:ind w:left="0" w:right="113"/>
              <w:jc w:val="right"/>
              <w:rPr>
                <w:sz w:val="18"/>
              </w:rPr>
            </w:pPr>
            <w:r w:rsidRPr="00B305F6">
              <w:rPr>
                <w:sz w:val="18"/>
              </w:rPr>
              <w:t>9.2</w:t>
            </w:r>
          </w:p>
        </w:tc>
        <w:tc>
          <w:tcPr>
            <w:tcW w:w="1087" w:type="dxa"/>
            <w:shd w:val="clear" w:color="auto" w:fill="auto"/>
            <w:noWrap/>
            <w:vAlign w:val="bottom"/>
            <w:hideMark/>
          </w:tcPr>
          <w:p w:rsidR="00C9789E" w:rsidRPr="00B305F6" w:rsidRDefault="00C9789E" w:rsidP="00B305F6">
            <w:pPr>
              <w:pStyle w:val="SingleTxtG"/>
              <w:spacing w:before="40" w:after="40" w:line="220" w:lineRule="exact"/>
              <w:ind w:left="0" w:right="113"/>
              <w:jc w:val="right"/>
              <w:rPr>
                <w:sz w:val="18"/>
              </w:rPr>
            </w:pPr>
            <w:r w:rsidRPr="00B305F6">
              <w:rPr>
                <w:sz w:val="18"/>
              </w:rPr>
              <w:t>13.7</w:t>
            </w:r>
          </w:p>
        </w:tc>
      </w:tr>
      <w:tr w:rsidR="00C9789E" w:rsidRPr="00B305F6" w:rsidTr="00B77308">
        <w:trPr>
          <w:cantSplit/>
        </w:trPr>
        <w:tc>
          <w:tcPr>
            <w:tcW w:w="850" w:type="dxa"/>
            <w:shd w:val="clear" w:color="auto" w:fill="auto"/>
            <w:hideMark/>
          </w:tcPr>
          <w:p w:rsidR="00C9789E" w:rsidRPr="00B305F6" w:rsidRDefault="00C9789E" w:rsidP="00B305F6">
            <w:pPr>
              <w:pStyle w:val="SingleTxtG"/>
              <w:spacing w:before="40" w:after="40" w:line="220" w:lineRule="exact"/>
              <w:ind w:left="0" w:right="113"/>
              <w:jc w:val="left"/>
              <w:rPr>
                <w:sz w:val="18"/>
              </w:rPr>
            </w:pPr>
            <w:r w:rsidRPr="00B305F6">
              <w:rPr>
                <w:sz w:val="18"/>
              </w:rPr>
              <w:t>2015</w:t>
            </w:r>
          </w:p>
        </w:tc>
        <w:tc>
          <w:tcPr>
            <w:tcW w:w="1086" w:type="dxa"/>
            <w:shd w:val="clear" w:color="auto" w:fill="auto"/>
            <w:noWrap/>
            <w:vAlign w:val="bottom"/>
            <w:hideMark/>
          </w:tcPr>
          <w:p w:rsidR="00C9789E" w:rsidRPr="00B305F6" w:rsidRDefault="00C9789E" w:rsidP="00B305F6">
            <w:pPr>
              <w:pStyle w:val="SingleTxtG"/>
              <w:spacing w:before="40" w:after="40" w:line="220" w:lineRule="exact"/>
              <w:ind w:left="0" w:right="113"/>
              <w:jc w:val="right"/>
              <w:rPr>
                <w:sz w:val="18"/>
              </w:rPr>
            </w:pPr>
            <w:r w:rsidRPr="00B305F6">
              <w:rPr>
                <w:sz w:val="18"/>
              </w:rPr>
              <w:t>7.1</w:t>
            </w:r>
          </w:p>
        </w:tc>
        <w:tc>
          <w:tcPr>
            <w:tcW w:w="1087" w:type="dxa"/>
            <w:shd w:val="clear" w:color="auto" w:fill="auto"/>
            <w:noWrap/>
            <w:vAlign w:val="bottom"/>
            <w:hideMark/>
          </w:tcPr>
          <w:p w:rsidR="00C9789E" w:rsidRPr="00B305F6" w:rsidRDefault="00C9789E" w:rsidP="00B305F6">
            <w:pPr>
              <w:pStyle w:val="SingleTxtG"/>
              <w:spacing w:before="40" w:after="40" w:line="220" w:lineRule="exact"/>
              <w:ind w:left="0" w:right="113"/>
              <w:jc w:val="right"/>
              <w:rPr>
                <w:sz w:val="18"/>
              </w:rPr>
            </w:pPr>
            <w:r w:rsidRPr="00B305F6">
              <w:rPr>
                <w:sz w:val="18"/>
              </w:rPr>
              <w:t>7.4</w:t>
            </w:r>
          </w:p>
        </w:tc>
        <w:tc>
          <w:tcPr>
            <w:tcW w:w="1087" w:type="dxa"/>
            <w:shd w:val="clear" w:color="auto" w:fill="auto"/>
            <w:noWrap/>
            <w:vAlign w:val="bottom"/>
            <w:hideMark/>
          </w:tcPr>
          <w:p w:rsidR="00C9789E" w:rsidRPr="00B305F6" w:rsidRDefault="00C9789E" w:rsidP="00B305F6">
            <w:pPr>
              <w:pStyle w:val="SingleTxtG"/>
              <w:spacing w:before="40" w:after="40" w:line="220" w:lineRule="exact"/>
              <w:ind w:left="0" w:right="113"/>
              <w:jc w:val="right"/>
              <w:rPr>
                <w:sz w:val="18"/>
              </w:rPr>
            </w:pPr>
            <w:r w:rsidRPr="00B305F6">
              <w:rPr>
                <w:sz w:val="18"/>
              </w:rPr>
              <w:t>11.6</w:t>
            </w:r>
          </w:p>
        </w:tc>
        <w:tc>
          <w:tcPr>
            <w:tcW w:w="1086" w:type="dxa"/>
            <w:shd w:val="clear" w:color="auto" w:fill="auto"/>
            <w:noWrap/>
            <w:vAlign w:val="bottom"/>
            <w:hideMark/>
          </w:tcPr>
          <w:p w:rsidR="00C9789E" w:rsidRPr="00B305F6" w:rsidRDefault="00C9789E" w:rsidP="00B305F6">
            <w:pPr>
              <w:pStyle w:val="SingleTxtG"/>
              <w:spacing w:before="40" w:after="40" w:line="220" w:lineRule="exact"/>
              <w:ind w:left="0" w:right="113"/>
              <w:jc w:val="right"/>
              <w:rPr>
                <w:sz w:val="18"/>
              </w:rPr>
            </w:pPr>
            <w:r w:rsidRPr="00B305F6">
              <w:rPr>
                <w:sz w:val="18"/>
              </w:rPr>
              <w:t>18.8</w:t>
            </w:r>
          </w:p>
        </w:tc>
        <w:tc>
          <w:tcPr>
            <w:tcW w:w="1087" w:type="dxa"/>
            <w:shd w:val="clear" w:color="auto" w:fill="auto"/>
            <w:noWrap/>
            <w:vAlign w:val="bottom"/>
            <w:hideMark/>
          </w:tcPr>
          <w:p w:rsidR="00C9789E" w:rsidRPr="00B305F6" w:rsidRDefault="00C9789E" w:rsidP="00B305F6">
            <w:pPr>
              <w:pStyle w:val="SingleTxtG"/>
              <w:spacing w:before="40" w:after="40" w:line="220" w:lineRule="exact"/>
              <w:ind w:left="0" w:right="113"/>
              <w:jc w:val="right"/>
              <w:rPr>
                <w:sz w:val="18"/>
              </w:rPr>
            </w:pPr>
            <w:r w:rsidRPr="00B305F6">
              <w:rPr>
                <w:sz w:val="18"/>
              </w:rPr>
              <w:t>9.4</w:t>
            </w:r>
          </w:p>
        </w:tc>
        <w:tc>
          <w:tcPr>
            <w:tcW w:w="1087" w:type="dxa"/>
            <w:shd w:val="clear" w:color="auto" w:fill="auto"/>
            <w:noWrap/>
            <w:vAlign w:val="bottom"/>
            <w:hideMark/>
          </w:tcPr>
          <w:p w:rsidR="00C9789E" w:rsidRPr="00B305F6" w:rsidRDefault="00C9789E" w:rsidP="00B305F6">
            <w:pPr>
              <w:pStyle w:val="SingleTxtG"/>
              <w:spacing w:before="40" w:after="40" w:line="220" w:lineRule="exact"/>
              <w:ind w:left="0" w:right="113"/>
              <w:jc w:val="right"/>
              <w:rPr>
                <w:sz w:val="18"/>
              </w:rPr>
            </w:pPr>
            <w:r w:rsidRPr="00B305F6">
              <w:rPr>
                <w:sz w:val="18"/>
              </w:rPr>
              <w:t>13.3</w:t>
            </w:r>
          </w:p>
        </w:tc>
      </w:tr>
      <w:tr w:rsidR="00C9789E" w:rsidRPr="00B305F6" w:rsidTr="00B77308">
        <w:trPr>
          <w:cantSplit/>
        </w:trPr>
        <w:tc>
          <w:tcPr>
            <w:tcW w:w="850" w:type="dxa"/>
            <w:shd w:val="clear" w:color="auto" w:fill="auto"/>
            <w:hideMark/>
          </w:tcPr>
          <w:p w:rsidR="00C9789E" w:rsidRPr="00B305F6" w:rsidRDefault="00C9789E" w:rsidP="00B305F6">
            <w:pPr>
              <w:pStyle w:val="SingleTxtG"/>
              <w:spacing w:before="40" w:after="40" w:line="220" w:lineRule="exact"/>
              <w:ind w:left="0" w:right="113"/>
              <w:jc w:val="left"/>
              <w:rPr>
                <w:sz w:val="18"/>
              </w:rPr>
            </w:pPr>
            <w:r w:rsidRPr="00B305F6">
              <w:rPr>
                <w:sz w:val="18"/>
              </w:rPr>
              <w:t>2016</w:t>
            </w:r>
          </w:p>
        </w:tc>
        <w:tc>
          <w:tcPr>
            <w:tcW w:w="1086" w:type="dxa"/>
            <w:shd w:val="clear" w:color="auto" w:fill="auto"/>
            <w:noWrap/>
            <w:vAlign w:val="bottom"/>
            <w:hideMark/>
          </w:tcPr>
          <w:p w:rsidR="00C9789E" w:rsidRPr="00B305F6" w:rsidRDefault="00C9789E" w:rsidP="00B305F6">
            <w:pPr>
              <w:pStyle w:val="SingleTxtG"/>
              <w:spacing w:before="40" w:after="40" w:line="220" w:lineRule="exact"/>
              <w:ind w:left="0" w:right="113"/>
              <w:jc w:val="right"/>
              <w:rPr>
                <w:sz w:val="18"/>
              </w:rPr>
            </w:pPr>
            <w:r w:rsidRPr="00B305F6">
              <w:rPr>
                <w:sz w:val="18"/>
              </w:rPr>
              <w:t>8.6</w:t>
            </w:r>
          </w:p>
        </w:tc>
        <w:tc>
          <w:tcPr>
            <w:tcW w:w="1087" w:type="dxa"/>
            <w:shd w:val="clear" w:color="auto" w:fill="auto"/>
            <w:noWrap/>
            <w:vAlign w:val="bottom"/>
            <w:hideMark/>
          </w:tcPr>
          <w:p w:rsidR="00C9789E" w:rsidRPr="00B305F6" w:rsidRDefault="00C9789E" w:rsidP="00B305F6">
            <w:pPr>
              <w:pStyle w:val="SingleTxtG"/>
              <w:spacing w:before="40" w:after="40" w:line="220" w:lineRule="exact"/>
              <w:ind w:left="0" w:right="113"/>
              <w:jc w:val="right"/>
              <w:rPr>
                <w:sz w:val="18"/>
              </w:rPr>
            </w:pPr>
            <w:r w:rsidRPr="00B305F6">
              <w:rPr>
                <w:sz w:val="18"/>
              </w:rPr>
              <w:t>7.5</w:t>
            </w:r>
          </w:p>
        </w:tc>
        <w:tc>
          <w:tcPr>
            <w:tcW w:w="1087" w:type="dxa"/>
            <w:shd w:val="clear" w:color="auto" w:fill="auto"/>
            <w:noWrap/>
            <w:vAlign w:val="bottom"/>
            <w:hideMark/>
          </w:tcPr>
          <w:p w:rsidR="00C9789E" w:rsidRPr="00B305F6" w:rsidRDefault="00C9789E" w:rsidP="00B305F6">
            <w:pPr>
              <w:pStyle w:val="SingleTxtG"/>
              <w:spacing w:before="40" w:after="40" w:line="220" w:lineRule="exact"/>
              <w:ind w:left="0" w:right="113"/>
              <w:jc w:val="right"/>
              <w:rPr>
                <w:sz w:val="18"/>
              </w:rPr>
            </w:pPr>
            <w:r w:rsidRPr="00B305F6">
              <w:rPr>
                <w:sz w:val="18"/>
              </w:rPr>
              <w:t>12.8</w:t>
            </w:r>
          </w:p>
        </w:tc>
        <w:tc>
          <w:tcPr>
            <w:tcW w:w="1086" w:type="dxa"/>
            <w:shd w:val="clear" w:color="auto" w:fill="auto"/>
            <w:noWrap/>
            <w:vAlign w:val="bottom"/>
            <w:hideMark/>
          </w:tcPr>
          <w:p w:rsidR="00C9789E" w:rsidRPr="00B305F6" w:rsidRDefault="00C9789E" w:rsidP="00B305F6">
            <w:pPr>
              <w:pStyle w:val="SingleTxtG"/>
              <w:spacing w:before="40" w:after="40" w:line="220" w:lineRule="exact"/>
              <w:ind w:left="0" w:right="113"/>
              <w:jc w:val="right"/>
              <w:rPr>
                <w:sz w:val="18"/>
              </w:rPr>
            </w:pPr>
            <w:r w:rsidRPr="00B305F6">
              <w:rPr>
                <w:sz w:val="18"/>
              </w:rPr>
              <w:t>18.5</w:t>
            </w:r>
          </w:p>
        </w:tc>
        <w:tc>
          <w:tcPr>
            <w:tcW w:w="1087" w:type="dxa"/>
            <w:shd w:val="clear" w:color="auto" w:fill="auto"/>
            <w:noWrap/>
            <w:vAlign w:val="bottom"/>
            <w:hideMark/>
          </w:tcPr>
          <w:p w:rsidR="00C9789E" w:rsidRPr="00B305F6" w:rsidRDefault="00C9789E" w:rsidP="00B305F6">
            <w:pPr>
              <w:pStyle w:val="SingleTxtG"/>
              <w:spacing w:before="40" w:after="40" w:line="220" w:lineRule="exact"/>
              <w:ind w:left="0" w:right="113"/>
              <w:jc w:val="right"/>
              <w:rPr>
                <w:sz w:val="18"/>
              </w:rPr>
            </w:pPr>
            <w:r w:rsidRPr="00B305F6">
              <w:rPr>
                <w:sz w:val="18"/>
              </w:rPr>
              <w:t>10.8</w:t>
            </w:r>
          </w:p>
        </w:tc>
        <w:tc>
          <w:tcPr>
            <w:tcW w:w="1087" w:type="dxa"/>
            <w:shd w:val="clear" w:color="auto" w:fill="auto"/>
            <w:noWrap/>
            <w:vAlign w:val="bottom"/>
            <w:hideMark/>
          </w:tcPr>
          <w:p w:rsidR="00C9789E" w:rsidRPr="00B305F6" w:rsidRDefault="00C9789E" w:rsidP="00B305F6">
            <w:pPr>
              <w:pStyle w:val="SingleTxtG"/>
              <w:spacing w:before="40" w:after="40" w:line="220" w:lineRule="exact"/>
              <w:ind w:left="0" w:right="113"/>
              <w:jc w:val="right"/>
              <w:rPr>
                <w:sz w:val="18"/>
              </w:rPr>
            </w:pPr>
            <w:r w:rsidRPr="00B305F6">
              <w:rPr>
                <w:sz w:val="18"/>
              </w:rPr>
              <w:t>13.2</w:t>
            </w:r>
          </w:p>
        </w:tc>
      </w:tr>
    </w:tbl>
    <w:p w:rsidR="005C416B" w:rsidRDefault="00C9789E" w:rsidP="005C416B">
      <w:pPr>
        <w:pStyle w:val="Heading1"/>
        <w:spacing w:before="240"/>
      </w:pPr>
      <w:bookmarkStart w:id="52" w:name="_Toc494359776"/>
      <w:r w:rsidRPr="00F62F1C">
        <w:t>Figure 17</w:t>
      </w:r>
      <w:bookmarkEnd w:id="52"/>
    </w:p>
    <w:p w:rsidR="00C9789E" w:rsidRPr="005C416B" w:rsidRDefault="00C9789E" w:rsidP="00706221">
      <w:pPr>
        <w:pStyle w:val="SingleTxtG"/>
        <w:rPr>
          <w:b/>
        </w:rPr>
      </w:pPr>
      <w:r w:rsidRPr="005C416B">
        <w:rPr>
          <w:b/>
        </w:rPr>
        <w:t>Those Not in Education, Employment or Training by age (%) year ended December</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044"/>
        <w:gridCol w:w="2108"/>
        <w:gridCol w:w="2109"/>
        <w:gridCol w:w="2109"/>
      </w:tblGrid>
      <w:tr w:rsidR="00C9789E" w:rsidRPr="005C416B" w:rsidTr="00B77308">
        <w:trPr>
          <w:cantSplit/>
          <w:tblHeader/>
        </w:trPr>
        <w:tc>
          <w:tcPr>
            <w:tcW w:w="1044" w:type="dxa"/>
            <w:tcBorders>
              <w:top w:val="single" w:sz="4" w:space="0" w:color="auto"/>
              <w:bottom w:val="single" w:sz="12" w:space="0" w:color="auto"/>
            </w:tcBorders>
            <w:shd w:val="clear" w:color="auto" w:fill="auto"/>
            <w:vAlign w:val="bottom"/>
            <w:hideMark/>
          </w:tcPr>
          <w:p w:rsidR="00C9789E" w:rsidRPr="005C416B" w:rsidRDefault="00C9789E" w:rsidP="005C416B">
            <w:pPr>
              <w:pStyle w:val="SingleTxtG"/>
              <w:spacing w:before="80" w:after="80" w:line="200" w:lineRule="exact"/>
              <w:ind w:left="0" w:right="113"/>
              <w:jc w:val="left"/>
              <w:rPr>
                <w:i/>
                <w:sz w:val="16"/>
              </w:rPr>
            </w:pPr>
            <w:r w:rsidRPr="005C416B">
              <w:rPr>
                <w:i/>
                <w:sz w:val="16"/>
              </w:rPr>
              <w:t>Year</w:t>
            </w:r>
          </w:p>
        </w:tc>
        <w:tc>
          <w:tcPr>
            <w:tcW w:w="2108" w:type="dxa"/>
            <w:tcBorders>
              <w:top w:val="single" w:sz="4" w:space="0" w:color="auto"/>
              <w:bottom w:val="single" w:sz="12" w:space="0" w:color="auto"/>
            </w:tcBorders>
            <w:shd w:val="clear" w:color="auto" w:fill="auto"/>
            <w:vAlign w:val="bottom"/>
            <w:hideMark/>
          </w:tcPr>
          <w:p w:rsidR="00C9789E" w:rsidRPr="005C416B" w:rsidRDefault="00C9789E" w:rsidP="005C416B">
            <w:pPr>
              <w:pStyle w:val="SingleTxtG"/>
              <w:spacing w:before="80" w:after="80" w:line="200" w:lineRule="exact"/>
              <w:ind w:left="0" w:right="113"/>
              <w:jc w:val="right"/>
              <w:rPr>
                <w:i/>
                <w:sz w:val="16"/>
              </w:rPr>
            </w:pPr>
            <w:r w:rsidRPr="005C416B">
              <w:rPr>
                <w:i/>
                <w:sz w:val="16"/>
              </w:rPr>
              <w:t>Aged 15-19 years</w:t>
            </w:r>
          </w:p>
        </w:tc>
        <w:tc>
          <w:tcPr>
            <w:tcW w:w="2109" w:type="dxa"/>
            <w:tcBorders>
              <w:top w:val="single" w:sz="4" w:space="0" w:color="auto"/>
              <w:bottom w:val="single" w:sz="12" w:space="0" w:color="auto"/>
            </w:tcBorders>
            <w:shd w:val="clear" w:color="auto" w:fill="auto"/>
            <w:vAlign w:val="bottom"/>
            <w:hideMark/>
          </w:tcPr>
          <w:p w:rsidR="00C9789E" w:rsidRPr="005C416B" w:rsidRDefault="00C9789E" w:rsidP="005C416B">
            <w:pPr>
              <w:pStyle w:val="SingleTxtG"/>
              <w:spacing w:before="80" w:after="80" w:line="200" w:lineRule="exact"/>
              <w:ind w:left="0" w:right="113"/>
              <w:jc w:val="right"/>
              <w:rPr>
                <w:i/>
                <w:sz w:val="16"/>
              </w:rPr>
            </w:pPr>
            <w:r w:rsidRPr="005C416B">
              <w:rPr>
                <w:i/>
                <w:sz w:val="16"/>
              </w:rPr>
              <w:t>Aged 20-24 years</w:t>
            </w:r>
          </w:p>
        </w:tc>
        <w:tc>
          <w:tcPr>
            <w:tcW w:w="2109" w:type="dxa"/>
            <w:tcBorders>
              <w:top w:val="single" w:sz="4" w:space="0" w:color="auto"/>
              <w:bottom w:val="single" w:sz="12" w:space="0" w:color="auto"/>
            </w:tcBorders>
            <w:shd w:val="clear" w:color="auto" w:fill="auto"/>
            <w:vAlign w:val="bottom"/>
            <w:hideMark/>
          </w:tcPr>
          <w:p w:rsidR="00C9789E" w:rsidRPr="005C416B" w:rsidRDefault="00C9789E" w:rsidP="005C416B">
            <w:pPr>
              <w:pStyle w:val="SingleTxtG"/>
              <w:spacing w:before="80" w:after="80" w:line="200" w:lineRule="exact"/>
              <w:ind w:left="0" w:right="113"/>
              <w:jc w:val="right"/>
              <w:rPr>
                <w:i/>
                <w:sz w:val="16"/>
              </w:rPr>
            </w:pPr>
            <w:r w:rsidRPr="005C416B">
              <w:rPr>
                <w:i/>
                <w:sz w:val="16"/>
              </w:rPr>
              <w:t>Total aged 15-24 years</w:t>
            </w:r>
          </w:p>
        </w:tc>
      </w:tr>
      <w:tr w:rsidR="00C9789E" w:rsidRPr="005C416B" w:rsidTr="00B77308">
        <w:trPr>
          <w:cantSplit/>
        </w:trPr>
        <w:tc>
          <w:tcPr>
            <w:tcW w:w="1044" w:type="dxa"/>
            <w:tcBorders>
              <w:top w:val="single" w:sz="12" w:space="0" w:color="auto"/>
            </w:tcBorders>
            <w:shd w:val="clear" w:color="auto" w:fill="auto"/>
            <w:hideMark/>
          </w:tcPr>
          <w:p w:rsidR="00C9789E" w:rsidRPr="005C416B" w:rsidRDefault="00C9789E" w:rsidP="005C416B">
            <w:pPr>
              <w:pStyle w:val="SingleTxtG"/>
              <w:spacing w:before="40" w:after="40" w:line="220" w:lineRule="exact"/>
              <w:ind w:left="0" w:right="113"/>
              <w:jc w:val="left"/>
              <w:rPr>
                <w:sz w:val="18"/>
              </w:rPr>
            </w:pPr>
            <w:r w:rsidRPr="005C416B">
              <w:rPr>
                <w:sz w:val="18"/>
              </w:rPr>
              <w:t>2012</w:t>
            </w:r>
          </w:p>
        </w:tc>
        <w:tc>
          <w:tcPr>
            <w:tcW w:w="2108" w:type="dxa"/>
            <w:tcBorders>
              <w:top w:val="single" w:sz="12" w:space="0" w:color="auto"/>
            </w:tcBorders>
            <w:shd w:val="clear" w:color="auto" w:fill="auto"/>
            <w:noWrap/>
            <w:vAlign w:val="bottom"/>
            <w:hideMark/>
          </w:tcPr>
          <w:p w:rsidR="00C9789E" w:rsidRPr="005C416B" w:rsidRDefault="00C9789E" w:rsidP="005C416B">
            <w:pPr>
              <w:pStyle w:val="SingleTxtG"/>
              <w:spacing w:before="40" w:after="40" w:line="220" w:lineRule="exact"/>
              <w:ind w:left="0" w:right="113"/>
              <w:jc w:val="right"/>
              <w:rPr>
                <w:sz w:val="18"/>
              </w:rPr>
            </w:pPr>
            <w:r w:rsidRPr="005C416B">
              <w:rPr>
                <w:sz w:val="18"/>
              </w:rPr>
              <w:t>9.1</w:t>
            </w:r>
          </w:p>
        </w:tc>
        <w:tc>
          <w:tcPr>
            <w:tcW w:w="2109" w:type="dxa"/>
            <w:tcBorders>
              <w:top w:val="single" w:sz="12" w:space="0" w:color="auto"/>
            </w:tcBorders>
            <w:shd w:val="clear" w:color="auto" w:fill="auto"/>
            <w:noWrap/>
            <w:vAlign w:val="bottom"/>
            <w:hideMark/>
          </w:tcPr>
          <w:p w:rsidR="00C9789E" w:rsidRPr="005C416B" w:rsidRDefault="00C9789E" w:rsidP="005C416B">
            <w:pPr>
              <w:pStyle w:val="SingleTxtG"/>
              <w:spacing w:before="40" w:after="40" w:line="220" w:lineRule="exact"/>
              <w:ind w:left="0" w:right="113"/>
              <w:jc w:val="right"/>
              <w:rPr>
                <w:sz w:val="18"/>
              </w:rPr>
            </w:pPr>
            <w:r w:rsidRPr="005C416B">
              <w:rPr>
                <w:sz w:val="18"/>
              </w:rPr>
              <w:t>18</w:t>
            </w:r>
          </w:p>
        </w:tc>
        <w:tc>
          <w:tcPr>
            <w:tcW w:w="2109" w:type="dxa"/>
            <w:tcBorders>
              <w:top w:val="single" w:sz="12" w:space="0" w:color="auto"/>
            </w:tcBorders>
            <w:shd w:val="clear" w:color="auto" w:fill="auto"/>
            <w:noWrap/>
            <w:vAlign w:val="bottom"/>
            <w:hideMark/>
          </w:tcPr>
          <w:p w:rsidR="00C9789E" w:rsidRPr="005C416B" w:rsidRDefault="00C9789E" w:rsidP="005C416B">
            <w:pPr>
              <w:pStyle w:val="SingleTxtG"/>
              <w:spacing w:before="40" w:after="40" w:line="220" w:lineRule="exact"/>
              <w:ind w:left="0" w:right="113"/>
              <w:jc w:val="right"/>
              <w:rPr>
                <w:sz w:val="18"/>
              </w:rPr>
            </w:pPr>
            <w:r w:rsidRPr="005C416B">
              <w:rPr>
                <w:sz w:val="18"/>
              </w:rPr>
              <w:t>13.5</w:t>
            </w:r>
          </w:p>
        </w:tc>
      </w:tr>
      <w:tr w:rsidR="00C9789E" w:rsidRPr="005C416B" w:rsidTr="00B77308">
        <w:trPr>
          <w:cantSplit/>
        </w:trPr>
        <w:tc>
          <w:tcPr>
            <w:tcW w:w="1044" w:type="dxa"/>
            <w:shd w:val="clear" w:color="auto" w:fill="auto"/>
            <w:hideMark/>
          </w:tcPr>
          <w:p w:rsidR="00C9789E" w:rsidRPr="005C416B" w:rsidRDefault="00C9789E" w:rsidP="005C416B">
            <w:pPr>
              <w:pStyle w:val="SingleTxtG"/>
              <w:spacing w:before="40" w:after="40" w:line="220" w:lineRule="exact"/>
              <w:ind w:left="0" w:right="113"/>
              <w:jc w:val="left"/>
              <w:rPr>
                <w:sz w:val="18"/>
              </w:rPr>
            </w:pPr>
            <w:r w:rsidRPr="005C416B">
              <w:rPr>
                <w:sz w:val="18"/>
              </w:rPr>
              <w:t>2013</w:t>
            </w:r>
          </w:p>
        </w:tc>
        <w:tc>
          <w:tcPr>
            <w:tcW w:w="2108" w:type="dxa"/>
            <w:shd w:val="clear" w:color="auto" w:fill="auto"/>
            <w:noWrap/>
            <w:vAlign w:val="bottom"/>
            <w:hideMark/>
          </w:tcPr>
          <w:p w:rsidR="00C9789E" w:rsidRPr="005C416B" w:rsidRDefault="00C9789E" w:rsidP="005C416B">
            <w:pPr>
              <w:pStyle w:val="SingleTxtG"/>
              <w:spacing w:before="40" w:after="40" w:line="220" w:lineRule="exact"/>
              <w:ind w:left="0" w:right="113"/>
              <w:jc w:val="right"/>
              <w:rPr>
                <w:sz w:val="18"/>
              </w:rPr>
            </w:pPr>
            <w:r w:rsidRPr="005C416B">
              <w:rPr>
                <w:sz w:val="18"/>
              </w:rPr>
              <w:t>8.3</w:t>
            </w:r>
          </w:p>
        </w:tc>
        <w:tc>
          <w:tcPr>
            <w:tcW w:w="2109" w:type="dxa"/>
            <w:shd w:val="clear" w:color="auto" w:fill="auto"/>
            <w:noWrap/>
            <w:vAlign w:val="bottom"/>
            <w:hideMark/>
          </w:tcPr>
          <w:p w:rsidR="00C9789E" w:rsidRPr="005C416B" w:rsidRDefault="00C9789E" w:rsidP="005C416B">
            <w:pPr>
              <w:pStyle w:val="SingleTxtG"/>
              <w:spacing w:before="40" w:after="40" w:line="220" w:lineRule="exact"/>
              <w:ind w:left="0" w:right="113"/>
              <w:jc w:val="right"/>
              <w:rPr>
                <w:sz w:val="18"/>
              </w:rPr>
            </w:pPr>
            <w:r w:rsidRPr="005C416B">
              <w:rPr>
                <w:sz w:val="18"/>
              </w:rPr>
              <w:t>15.5</w:t>
            </w:r>
          </w:p>
        </w:tc>
        <w:tc>
          <w:tcPr>
            <w:tcW w:w="2109" w:type="dxa"/>
            <w:shd w:val="clear" w:color="auto" w:fill="auto"/>
            <w:noWrap/>
            <w:vAlign w:val="bottom"/>
            <w:hideMark/>
          </w:tcPr>
          <w:p w:rsidR="00C9789E" w:rsidRPr="005C416B" w:rsidRDefault="00C9789E" w:rsidP="005C416B">
            <w:pPr>
              <w:pStyle w:val="SingleTxtG"/>
              <w:spacing w:before="40" w:after="40" w:line="220" w:lineRule="exact"/>
              <w:ind w:left="0" w:right="113"/>
              <w:jc w:val="right"/>
              <w:rPr>
                <w:sz w:val="18"/>
              </w:rPr>
            </w:pPr>
            <w:r w:rsidRPr="005C416B">
              <w:rPr>
                <w:sz w:val="18"/>
              </w:rPr>
              <w:t>11.9</w:t>
            </w:r>
          </w:p>
        </w:tc>
      </w:tr>
      <w:tr w:rsidR="00C9789E" w:rsidRPr="005C416B" w:rsidTr="00B77308">
        <w:trPr>
          <w:cantSplit/>
        </w:trPr>
        <w:tc>
          <w:tcPr>
            <w:tcW w:w="1044" w:type="dxa"/>
            <w:shd w:val="clear" w:color="auto" w:fill="auto"/>
            <w:hideMark/>
          </w:tcPr>
          <w:p w:rsidR="00C9789E" w:rsidRPr="005C416B" w:rsidRDefault="00C9789E" w:rsidP="005C416B">
            <w:pPr>
              <w:pStyle w:val="SingleTxtG"/>
              <w:spacing w:before="40" w:after="40" w:line="220" w:lineRule="exact"/>
              <w:ind w:left="0" w:right="113"/>
              <w:jc w:val="left"/>
              <w:rPr>
                <w:sz w:val="18"/>
              </w:rPr>
            </w:pPr>
            <w:r w:rsidRPr="005C416B">
              <w:rPr>
                <w:sz w:val="18"/>
              </w:rPr>
              <w:t>2014</w:t>
            </w:r>
          </w:p>
        </w:tc>
        <w:tc>
          <w:tcPr>
            <w:tcW w:w="2108" w:type="dxa"/>
            <w:shd w:val="clear" w:color="auto" w:fill="auto"/>
            <w:noWrap/>
            <w:vAlign w:val="bottom"/>
            <w:hideMark/>
          </w:tcPr>
          <w:p w:rsidR="00C9789E" w:rsidRPr="005C416B" w:rsidRDefault="00C9789E" w:rsidP="005C416B">
            <w:pPr>
              <w:pStyle w:val="SingleTxtG"/>
              <w:spacing w:before="40" w:after="40" w:line="220" w:lineRule="exact"/>
              <w:ind w:left="0" w:right="113"/>
              <w:jc w:val="right"/>
              <w:rPr>
                <w:sz w:val="18"/>
              </w:rPr>
            </w:pPr>
            <w:r w:rsidRPr="005C416B">
              <w:rPr>
                <w:sz w:val="18"/>
              </w:rPr>
              <w:t>7.8</w:t>
            </w:r>
          </w:p>
        </w:tc>
        <w:tc>
          <w:tcPr>
            <w:tcW w:w="2109" w:type="dxa"/>
            <w:shd w:val="clear" w:color="auto" w:fill="auto"/>
            <w:noWrap/>
            <w:vAlign w:val="bottom"/>
            <w:hideMark/>
          </w:tcPr>
          <w:p w:rsidR="00C9789E" w:rsidRPr="005C416B" w:rsidRDefault="00C9789E" w:rsidP="005C416B">
            <w:pPr>
              <w:pStyle w:val="SingleTxtG"/>
              <w:spacing w:before="40" w:after="40" w:line="220" w:lineRule="exact"/>
              <w:ind w:left="0" w:right="113"/>
              <w:jc w:val="right"/>
              <w:rPr>
                <w:sz w:val="18"/>
              </w:rPr>
            </w:pPr>
            <w:r w:rsidRPr="005C416B">
              <w:rPr>
                <w:sz w:val="18"/>
              </w:rPr>
              <w:t>14.9</w:t>
            </w:r>
          </w:p>
        </w:tc>
        <w:tc>
          <w:tcPr>
            <w:tcW w:w="2109" w:type="dxa"/>
            <w:shd w:val="clear" w:color="auto" w:fill="auto"/>
            <w:noWrap/>
            <w:vAlign w:val="bottom"/>
            <w:hideMark/>
          </w:tcPr>
          <w:p w:rsidR="00C9789E" w:rsidRPr="005C416B" w:rsidRDefault="00C9789E" w:rsidP="005C416B">
            <w:pPr>
              <w:pStyle w:val="SingleTxtG"/>
              <w:spacing w:before="40" w:after="40" w:line="220" w:lineRule="exact"/>
              <w:ind w:left="0" w:right="113"/>
              <w:jc w:val="right"/>
              <w:rPr>
                <w:sz w:val="18"/>
              </w:rPr>
            </w:pPr>
            <w:r w:rsidRPr="005C416B">
              <w:rPr>
                <w:sz w:val="18"/>
              </w:rPr>
              <w:t>11.4</w:t>
            </w:r>
          </w:p>
        </w:tc>
      </w:tr>
      <w:tr w:rsidR="00C9789E" w:rsidRPr="005C416B" w:rsidTr="00B77308">
        <w:trPr>
          <w:cantSplit/>
        </w:trPr>
        <w:tc>
          <w:tcPr>
            <w:tcW w:w="1044" w:type="dxa"/>
            <w:shd w:val="clear" w:color="auto" w:fill="auto"/>
            <w:hideMark/>
          </w:tcPr>
          <w:p w:rsidR="00C9789E" w:rsidRPr="005C416B" w:rsidRDefault="00C9789E" w:rsidP="005C416B">
            <w:pPr>
              <w:pStyle w:val="SingleTxtG"/>
              <w:spacing w:before="40" w:after="40" w:line="220" w:lineRule="exact"/>
              <w:ind w:left="0" w:right="113"/>
              <w:jc w:val="left"/>
              <w:rPr>
                <w:sz w:val="18"/>
              </w:rPr>
            </w:pPr>
            <w:r w:rsidRPr="005C416B">
              <w:rPr>
                <w:sz w:val="18"/>
              </w:rPr>
              <w:t>2015</w:t>
            </w:r>
          </w:p>
        </w:tc>
        <w:tc>
          <w:tcPr>
            <w:tcW w:w="2108" w:type="dxa"/>
            <w:shd w:val="clear" w:color="auto" w:fill="auto"/>
            <w:noWrap/>
            <w:vAlign w:val="bottom"/>
            <w:hideMark/>
          </w:tcPr>
          <w:p w:rsidR="00C9789E" w:rsidRPr="005C416B" w:rsidRDefault="00C9789E" w:rsidP="005C416B">
            <w:pPr>
              <w:pStyle w:val="SingleTxtG"/>
              <w:spacing w:before="40" w:after="40" w:line="220" w:lineRule="exact"/>
              <w:ind w:left="0" w:right="113"/>
              <w:jc w:val="right"/>
              <w:rPr>
                <w:sz w:val="18"/>
              </w:rPr>
            </w:pPr>
            <w:r w:rsidRPr="005C416B">
              <w:rPr>
                <w:sz w:val="18"/>
              </w:rPr>
              <w:t>7.3</w:t>
            </w:r>
          </w:p>
        </w:tc>
        <w:tc>
          <w:tcPr>
            <w:tcW w:w="2109" w:type="dxa"/>
            <w:shd w:val="clear" w:color="auto" w:fill="auto"/>
            <w:noWrap/>
            <w:vAlign w:val="bottom"/>
            <w:hideMark/>
          </w:tcPr>
          <w:p w:rsidR="00C9789E" w:rsidRPr="005C416B" w:rsidRDefault="00C9789E" w:rsidP="005C416B">
            <w:pPr>
              <w:pStyle w:val="SingleTxtG"/>
              <w:spacing w:before="40" w:after="40" w:line="220" w:lineRule="exact"/>
              <w:ind w:left="0" w:right="113"/>
              <w:jc w:val="right"/>
              <w:rPr>
                <w:sz w:val="18"/>
              </w:rPr>
            </w:pPr>
            <w:r w:rsidRPr="005C416B">
              <w:rPr>
                <w:sz w:val="18"/>
              </w:rPr>
              <w:t>15.1</w:t>
            </w:r>
          </w:p>
        </w:tc>
        <w:tc>
          <w:tcPr>
            <w:tcW w:w="2109" w:type="dxa"/>
            <w:shd w:val="clear" w:color="auto" w:fill="auto"/>
            <w:noWrap/>
            <w:vAlign w:val="bottom"/>
            <w:hideMark/>
          </w:tcPr>
          <w:p w:rsidR="00C9789E" w:rsidRPr="005C416B" w:rsidRDefault="00C9789E" w:rsidP="005C416B">
            <w:pPr>
              <w:pStyle w:val="SingleTxtG"/>
              <w:spacing w:before="40" w:after="40" w:line="220" w:lineRule="exact"/>
              <w:ind w:left="0" w:right="113"/>
              <w:jc w:val="right"/>
              <w:rPr>
                <w:sz w:val="18"/>
              </w:rPr>
            </w:pPr>
            <w:r w:rsidRPr="005C416B">
              <w:rPr>
                <w:sz w:val="18"/>
              </w:rPr>
              <w:t>11.3</w:t>
            </w:r>
          </w:p>
        </w:tc>
      </w:tr>
      <w:tr w:rsidR="00C9789E" w:rsidRPr="005C416B" w:rsidTr="00B77308">
        <w:trPr>
          <w:cantSplit/>
        </w:trPr>
        <w:tc>
          <w:tcPr>
            <w:tcW w:w="1044" w:type="dxa"/>
            <w:shd w:val="clear" w:color="auto" w:fill="auto"/>
            <w:hideMark/>
          </w:tcPr>
          <w:p w:rsidR="00C9789E" w:rsidRPr="005C416B" w:rsidRDefault="00C9789E" w:rsidP="005C416B">
            <w:pPr>
              <w:pStyle w:val="SingleTxtG"/>
              <w:spacing w:before="40" w:after="40" w:line="220" w:lineRule="exact"/>
              <w:ind w:left="0" w:right="113"/>
              <w:jc w:val="left"/>
              <w:rPr>
                <w:sz w:val="18"/>
              </w:rPr>
            </w:pPr>
            <w:r w:rsidRPr="005C416B">
              <w:rPr>
                <w:sz w:val="18"/>
              </w:rPr>
              <w:t>2016</w:t>
            </w:r>
          </w:p>
        </w:tc>
        <w:tc>
          <w:tcPr>
            <w:tcW w:w="2108" w:type="dxa"/>
            <w:shd w:val="clear" w:color="auto" w:fill="auto"/>
            <w:noWrap/>
            <w:vAlign w:val="bottom"/>
            <w:hideMark/>
          </w:tcPr>
          <w:p w:rsidR="00C9789E" w:rsidRPr="005C416B" w:rsidRDefault="00C9789E" w:rsidP="005C416B">
            <w:pPr>
              <w:pStyle w:val="SingleTxtG"/>
              <w:spacing w:before="40" w:after="40" w:line="220" w:lineRule="exact"/>
              <w:ind w:left="0" w:right="113"/>
              <w:jc w:val="right"/>
              <w:rPr>
                <w:sz w:val="18"/>
              </w:rPr>
            </w:pPr>
            <w:r w:rsidRPr="005C416B">
              <w:rPr>
                <w:sz w:val="18"/>
              </w:rPr>
              <w:t>8.1</w:t>
            </w:r>
          </w:p>
        </w:tc>
        <w:tc>
          <w:tcPr>
            <w:tcW w:w="2109" w:type="dxa"/>
            <w:shd w:val="clear" w:color="auto" w:fill="auto"/>
            <w:noWrap/>
            <w:vAlign w:val="bottom"/>
            <w:hideMark/>
          </w:tcPr>
          <w:p w:rsidR="00C9789E" w:rsidRPr="005C416B" w:rsidRDefault="00C9789E" w:rsidP="005C416B">
            <w:pPr>
              <w:pStyle w:val="SingleTxtG"/>
              <w:spacing w:before="40" w:after="40" w:line="220" w:lineRule="exact"/>
              <w:ind w:left="0" w:right="113"/>
              <w:jc w:val="right"/>
              <w:rPr>
                <w:sz w:val="18"/>
              </w:rPr>
            </w:pPr>
            <w:r w:rsidRPr="005C416B">
              <w:rPr>
                <w:sz w:val="18"/>
              </w:rPr>
              <w:t>15.5</w:t>
            </w:r>
          </w:p>
        </w:tc>
        <w:tc>
          <w:tcPr>
            <w:tcW w:w="2109" w:type="dxa"/>
            <w:shd w:val="clear" w:color="auto" w:fill="auto"/>
            <w:noWrap/>
            <w:vAlign w:val="bottom"/>
            <w:hideMark/>
          </w:tcPr>
          <w:p w:rsidR="00C9789E" w:rsidRPr="005C416B" w:rsidRDefault="00C9789E" w:rsidP="005C416B">
            <w:pPr>
              <w:pStyle w:val="SingleTxtG"/>
              <w:spacing w:before="40" w:after="40" w:line="220" w:lineRule="exact"/>
              <w:ind w:left="0" w:right="113"/>
              <w:jc w:val="right"/>
              <w:rPr>
                <w:sz w:val="18"/>
              </w:rPr>
            </w:pPr>
            <w:r w:rsidRPr="005C416B">
              <w:rPr>
                <w:sz w:val="18"/>
              </w:rPr>
              <w:t>12.0</w:t>
            </w:r>
          </w:p>
        </w:tc>
      </w:tr>
    </w:tbl>
    <w:p w:rsidR="00E66865" w:rsidRDefault="00C9789E" w:rsidP="00E66865">
      <w:pPr>
        <w:pStyle w:val="Heading1"/>
        <w:spacing w:before="240"/>
      </w:pPr>
      <w:bookmarkStart w:id="53" w:name="_Toc494359777"/>
      <w:r w:rsidRPr="00F62F1C">
        <w:t>Figure 18</w:t>
      </w:r>
      <w:bookmarkEnd w:id="53"/>
    </w:p>
    <w:p w:rsidR="00C9789E" w:rsidRPr="00E66865" w:rsidRDefault="00C9789E" w:rsidP="002F0099">
      <w:pPr>
        <w:pStyle w:val="SingleTxtG"/>
        <w:jc w:val="left"/>
        <w:rPr>
          <w:b/>
        </w:rPr>
      </w:pPr>
      <w:r w:rsidRPr="00E66865">
        <w:rPr>
          <w:b/>
        </w:rPr>
        <w:t>Those Not in Education, Employment or Training by ethnicity (%) year ended December</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99"/>
        <w:gridCol w:w="658"/>
        <w:gridCol w:w="680"/>
        <w:gridCol w:w="805"/>
        <w:gridCol w:w="568"/>
        <w:gridCol w:w="686"/>
        <w:gridCol w:w="796"/>
        <w:gridCol w:w="572"/>
        <w:gridCol w:w="572"/>
        <w:gridCol w:w="687"/>
        <w:gridCol w:w="570"/>
        <w:gridCol w:w="570"/>
        <w:gridCol w:w="742"/>
      </w:tblGrid>
      <w:tr w:rsidR="00C37531" w:rsidRPr="00C37531" w:rsidTr="00B77308">
        <w:trPr>
          <w:cantSplit/>
          <w:tblHeader/>
        </w:trPr>
        <w:tc>
          <w:tcPr>
            <w:tcW w:w="352" w:type="pct"/>
            <w:vMerge w:val="restart"/>
            <w:tcBorders>
              <w:top w:val="single" w:sz="4" w:space="0" w:color="auto"/>
            </w:tcBorders>
            <w:shd w:val="clear" w:color="auto" w:fill="auto"/>
            <w:noWrap/>
            <w:vAlign w:val="bottom"/>
            <w:hideMark/>
          </w:tcPr>
          <w:p w:rsidR="00C37531" w:rsidRPr="00C37531" w:rsidRDefault="00C37531" w:rsidP="00C37531">
            <w:pPr>
              <w:pStyle w:val="SingleTxtG"/>
              <w:spacing w:before="80" w:after="80" w:line="200" w:lineRule="exact"/>
              <w:ind w:left="0" w:right="113"/>
              <w:jc w:val="left"/>
              <w:rPr>
                <w:i/>
                <w:sz w:val="16"/>
              </w:rPr>
            </w:pPr>
            <w:r w:rsidRPr="00C37531">
              <w:rPr>
                <w:i/>
                <w:sz w:val="16"/>
              </w:rPr>
              <w:t>Year</w:t>
            </w:r>
          </w:p>
        </w:tc>
        <w:tc>
          <w:tcPr>
            <w:tcW w:w="1260" w:type="pct"/>
            <w:gridSpan w:val="3"/>
            <w:tcBorders>
              <w:top w:val="single" w:sz="4" w:space="0" w:color="auto"/>
              <w:bottom w:val="single" w:sz="4" w:space="0" w:color="auto"/>
              <w:right w:val="single" w:sz="24" w:space="0" w:color="FFFFFF" w:themeColor="background1"/>
            </w:tcBorders>
            <w:shd w:val="clear" w:color="auto" w:fill="auto"/>
            <w:vAlign w:val="bottom"/>
            <w:hideMark/>
          </w:tcPr>
          <w:p w:rsidR="00C37531" w:rsidRPr="00C37531" w:rsidRDefault="00C37531" w:rsidP="00C37531">
            <w:pPr>
              <w:pStyle w:val="SingleTxtG"/>
              <w:spacing w:before="80" w:after="80" w:line="200" w:lineRule="exact"/>
              <w:ind w:left="0" w:right="113"/>
              <w:jc w:val="center"/>
              <w:rPr>
                <w:i/>
                <w:sz w:val="16"/>
              </w:rPr>
            </w:pPr>
            <w:r w:rsidRPr="00C37531">
              <w:rPr>
                <w:i/>
                <w:sz w:val="16"/>
              </w:rPr>
              <w:t>European</w:t>
            </w:r>
          </w:p>
        </w:tc>
        <w:tc>
          <w:tcPr>
            <w:tcW w:w="1205" w:type="pct"/>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rsidR="00C37531" w:rsidRPr="00C37531" w:rsidRDefault="00C37531" w:rsidP="00C37531">
            <w:pPr>
              <w:pStyle w:val="SingleTxtG"/>
              <w:spacing w:before="80" w:after="80" w:line="200" w:lineRule="exact"/>
              <w:ind w:left="0" w:right="113"/>
              <w:jc w:val="center"/>
              <w:rPr>
                <w:i/>
                <w:sz w:val="16"/>
              </w:rPr>
            </w:pPr>
            <w:r w:rsidRPr="00C37531">
              <w:rPr>
                <w:i/>
                <w:sz w:val="16"/>
              </w:rPr>
              <w:t>Māori</w:t>
            </w:r>
          </w:p>
        </w:tc>
        <w:tc>
          <w:tcPr>
            <w:tcW w:w="1076" w:type="pct"/>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rsidR="00C37531" w:rsidRPr="00C37531" w:rsidRDefault="00C37531" w:rsidP="00C37531">
            <w:pPr>
              <w:pStyle w:val="SingleTxtG"/>
              <w:spacing w:before="80" w:after="80" w:line="200" w:lineRule="exact"/>
              <w:ind w:left="0" w:right="113"/>
              <w:jc w:val="center"/>
              <w:rPr>
                <w:i/>
                <w:sz w:val="16"/>
              </w:rPr>
            </w:pPr>
            <w:r w:rsidRPr="00C37531">
              <w:rPr>
                <w:i/>
                <w:sz w:val="16"/>
              </w:rPr>
              <w:t>Pasifika</w:t>
            </w:r>
          </w:p>
        </w:tc>
        <w:tc>
          <w:tcPr>
            <w:tcW w:w="1106" w:type="pct"/>
            <w:gridSpan w:val="3"/>
            <w:tcBorders>
              <w:top w:val="single" w:sz="4" w:space="0" w:color="auto"/>
              <w:left w:val="single" w:sz="24" w:space="0" w:color="FFFFFF" w:themeColor="background1"/>
              <w:bottom w:val="single" w:sz="4" w:space="0" w:color="auto"/>
            </w:tcBorders>
            <w:shd w:val="clear" w:color="auto" w:fill="auto"/>
            <w:vAlign w:val="bottom"/>
            <w:hideMark/>
          </w:tcPr>
          <w:p w:rsidR="00C37531" w:rsidRPr="00C37531" w:rsidRDefault="00C37531" w:rsidP="00C37531">
            <w:pPr>
              <w:pStyle w:val="SingleTxtG"/>
              <w:spacing w:before="80" w:after="80" w:line="200" w:lineRule="exact"/>
              <w:ind w:left="0" w:right="113"/>
              <w:jc w:val="center"/>
              <w:rPr>
                <w:i/>
                <w:sz w:val="16"/>
              </w:rPr>
            </w:pPr>
            <w:r w:rsidRPr="00C37531">
              <w:rPr>
                <w:i/>
                <w:sz w:val="16"/>
              </w:rPr>
              <w:t>Asian</w:t>
            </w:r>
          </w:p>
        </w:tc>
      </w:tr>
      <w:tr w:rsidR="00C37531" w:rsidRPr="00C37531" w:rsidTr="00B77308">
        <w:trPr>
          <w:cantSplit/>
        </w:trPr>
        <w:tc>
          <w:tcPr>
            <w:tcW w:w="352" w:type="pct"/>
            <w:vMerge/>
            <w:tcBorders>
              <w:bottom w:val="single" w:sz="12" w:space="0" w:color="auto"/>
            </w:tcBorders>
            <w:shd w:val="clear" w:color="auto" w:fill="auto"/>
            <w:noWrap/>
            <w:hideMark/>
          </w:tcPr>
          <w:p w:rsidR="00C37531" w:rsidRPr="00C37531" w:rsidRDefault="00C37531" w:rsidP="00C37531">
            <w:pPr>
              <w:pStyle w:val="SingleTxtG"/>
              <w:spacing w:before="80" w:after="80" w:line="200" w:lineRule="exact"/>
              <w:ind w:left="0" w:right="113"/>
              <w:jc w:val="right"/>
              <w:rPr>
                <w:i/>
                <w:sz w:val="16"/>
              </w:rPr>
            </w:pPr>
          </w:p>
        </w:tc>
        <w:tc>
          <w:tcPr>
            <w:tcW w:w="387" w:type="pct"/>
            <w:tcBorders>
              <w:top w:val="single" w:sz="4" w:space="0" w:color="auto"/>
              <w:bottom w:val="single" w:sz="12" w:space="0" w:color="auto"/>
            </w:tcBorders>
            <w:shd w:val="clear" w:color="auto" w:fill="auto"/>
            <w:vAlign w:val="bottom"/>
            <w:hideMark/>
          </w:tcPr>
          <w:p w:rsidR="00C37531" w:rsidRPr="00C37531" w:rsidRDefault="00C37531" w:rsidP="00C37531">
            <w:pPr>
              <w:pStyle w:val="SingleTxtG"/>
              <w:spacing w:before="80" w:after="80" w:line="200" w:lineRule="exact"/>
              <w:ind w:left="0" w:right="113"/>
              <w:jc w:val="right"/>
              <w:rPr>
                <w:i/>
                <w:sz w:val="16"/>
              </w:rPr>
            </w:pPr>
            <w:r w:rsidRPr="00C37531">
              <w:rPr>
                <w:i/>
                <w:sz w:val="16"/>
              </w:rPr>
              <w:t>Aged 15-19 years</w:t>
            </w:r>
          </w:p>
        </w:tc>
        <w:tc>
          <w:tcPr>
            <w:tcW w:w="400" w:type="pct"/>
            <w:tcBorders>
              <w:top w:val="single" w:sz="4" w:space="0" w:color="auto"/>
              <w:bottom w:val="single" w:sz="12" w:space="0" w:color="auto"/>
            </w:tcBorders>
            <w:shd w:val="clear" w:color="auto" w:fill="auto"/>
            <w:vAlign w:val="bottom"/>
            <w:hideMark/>
          </w:tcPr>
          <w:p w:rsidR="00C37531" w:rsidRPr="00C37531" w:rsidRDefault="00C37531" w:rsidP="00C37531">
            <w:pPr>
              <w:pStyle w:val="SingleTxtG"/>
              <w:spacing w:before="80" w:after="80" w:line="200" w:lineRule="exact"/>
              <w:ind w:left="0" w:right="113"/>
              <w:jc w:val="right"/>
              <w:rPr>
                <w:i/>
                <w:sz w:val="16"/>
              </w:rPr>
            </w:pPr>
            <w:r w:rsidRPr="00C37531">
              <w:rPr>
                <w:i/>
                <w:sz w:val="16"/>
              </w:rPr>
              <w:t>Aged 20-24 years</w:t>
            </w:r>
          </w:p>
        </w:tc>
        <w:tc>
          <w:tcPr>
            <w:tcW w:w="473" w:type="pct"/>
            <w:tcBorders>
              <w:top w:val="single" w:sz="4" w:space="0" w:color="auto"/>
              <w:bottom w:val="single" w:sz="12" w:space="0" w:color="auto"/>
              <w:right w:val="single" w:sz="24" w:space="0" w:color="FFFFFF" w:themeColor="background1"/>
            </w:tcBorders>
            <w:shd w:val="clear" w:color="auto" w:fill="auto"/>
            <w:vAlign w:val="bottom"/>
            <w:hideMark/>
          </w:tcPr>
          <w:p w:rsidR="00C37531" w:rsidRPr="00C37531" w:rsidRDefault="00C37531" w:rsidP="00C37531">
            <w:pPr>
              <w:pStyle w:val="SingleTxtG"/>
              <w:spacing w:before="80" w:after="80" w:line="200" w:lineRule="exact"/>
              <w:ind w:left="0" w:right="113"/>
              <w:jc w:val="right"/>
              <w:rPr>
                <w:i/>
                <w:sz w:val="16"/>
              </w:rPr>
            </w:pPr>
            <w:r w:rsidRPr="00C37531">
              <w:rPr>
                <w:i/>
                <w:sz w:val="16"/>
              </w:rPr>
              <w:t>Total aged 15-24 years</w:t>
            </w:r>
          </w:p>
        </w:tc>
        <w:tc>
          <w:tcPr>
            <w:tcW w:w="334" w:type="pct"/>
            <w:tcBorders>
              <w:top w:val="single" w:sz="4" w:space="0" w:color="auto"/>
              <w:left w:val="single" w:sz="24" w:space="0" w:color="FFFFFF" w:themeColor="background1"/>
              <w:bottom w:val="single" w:sz="12" w:space="0" w:color="auto"/>
            </w:tcBorders>
            <w:shd w:val="clear" w:color="auto" w:fill="auto"/>
            <w:vAlign w:val="bottom"/>
            <w:hideMark/>
          </w:tcPr>
          <w:p w:rsidR="00C37531" w:rsidRPr="00C37531" w:rsidRDefault="00C37531" w:rsidP="00C37531">
            <w:pPr>
              <w:pStyle w:val="SingleTxtG"/>
              <w:spacing w:before="80" w:after="80" w:line="200" w:lineRule="exact"/>
              <w:ind w:left="0" w:right="113"/>
              <w:jc w:val="right"/>
              <w:rPr>
                <w:i/>
                <w:sz w:val="16"/>
              </w:rPr>
            </w:pPr>
            <w:r w:rsidRPr="00C37531">
              <w:rPr>
                <w:i/>
                <w:sz w:val="16"/>
              </w:rPr>
              <w:t>Aged 15-19 years</w:t>
            </w:r>
          </w:p>
        </w:tc>
        <w:tc>
          <w:tcPr>
            <w:tcW w:w="403" w:type="pct"/>
            <w:tcBorders>
              <w:top w:val="single" w:sz="4" w:space="0" w:color="auto"/>
              <w:bottom w:val="single" w:sz="12" w:space="0" w:color="auto"/>
            </w:tcBorders>
            <w:shd w:val="clear" w:color="auto" w:fill="auto"/>
            <w:vAlign w:val="bottom"/>
            <w:hideMark/>
          </w:tcPr>
          <w:p w:rsidR="00C37531" w:rsidRPr="00C37531" w:rsidRDefault="00C37531" w:rsidP="00C37531">
            <w:pPr>
              <w:pStyle w:val="SingleTxtG"/>
              <w:spacing w:before="80" w:after="80" w:line="200" w:lineRule="exact"/>
              <w:ind w:left="0" w:right="113"/>
              <w:jc w:val="right"/>
              <w:rPr>
                <w:i/>
                <w:sz w:val="16"/>
              </w:rPr>
            </w:pPr>
            <w:r w:rsidRPr="00C37531">
              <w:rPr>
                <w:i/>
                <w:sz w:val="16"/>
              </w:rPr>
              <w:t>Aged 20-24 years</w:t>
            </w:r>
          </w:p>
        </w:tc>
        <w:tc>
          <w:tcPr>
            <w:tcW w:w="468" w:type="pct"/>
            <w:tcBorders>
              <w:top w:val="single" w:sz="4" w:space="0" w:color="auto"/>
              <w:bottom w:val="single" w:sz="12" w:space="0" w:color="auto"/>
              <w:right w:val="single" w:sz="24" w:space="0" w:color="FFFFFF" w:themeColor="background1"/>
            </w:tcBorders>
            <w:shd w:val="clear" w:color="auto" w:fill="auto"/>
            <w:vAlign w:val="bottom"/>
            <w:hideMark/>
          </w:tcPr>
          <w:p w:rsidR="00C37531" w:rsidRPr="00C37531" w:rsidRDefault="00C37531" w:rsidP="00C37531">
            <w:pPr>
              <w:pStyle w:val="SingleTxtG"/>
              <w:spacing w:before="80" w:after="80" w:line="200" w:lineRule="exact"/>
              <w:ind w:left="0" w:right="113"/>
              <w:jc w:val="right"/>
              <w:rPr>
                <w:i/>
                <w:sz w:val="16"/>
              </w:rPr>
            </w:pPr>
            <w:r w:rsidRPr="00C37531">
              <w:rPr>
                <w:i/>
                <w:sz w:val="16"/>
              </w:rPr>
              <w:t>Total aged 15-24 years</w:t>
            </w:r>
          </w:p>
        </w:tc>
        <w:tc>
          <w:tcPr>
            <w:tcW w:w="336" w:type="pct"/>
            <w:tcBorders>
              <w:top w:val="single" w:sz="4" w:space="0" w:color="auto"/>
              <w:left w:val="single" w:sz="24" w:space="0" w:color="FFFFFF" w:themeColor="background1"/>
              <w:bottom w:val="single" w:sz="12" w:space="0" w:color="auto"/>
            </w:tcBorders>
            <w:shd w:val="clear" w:color="auto" w:fill="auto"/>
            <w:vAlign w:val="bottom"/>
            <w:hideMark/>
          </w:tcPr>
          <w:p w:rsidR="00C37531" w:rsidRPr="00C37531" w:rsidRDefault="00C37531" w:rsidP="00C37531">
            <w:pPr>
              <w:pStyle w:val="SingleTxtG"/>
              <w:spacing w:before="80" w:after="80" w:line="200" w:lineRule="exact"/>
              <w:ind w:left="0" w:right="113"/>
              <w:jc w:val="right"/>
              <w:rPr>
                <w:i/>
                <w:sz w:val="16"/>
              </w:rPr>
            </w:pPr>
            <w:r w:rsidRPr="00C37531">
              <w:rPr>
                <w:i/>
                <w:sz w:val="16"/>
              </w:rPr>
              <w:t>Aged 15-19 years</w:t>
            </w:r>
          </w:p>
        </w:tc>
        <w:tc>
          <w:tcPr>
            <w:tcW w:w="336" w:type="pct"/>
            <w:tcBorders>
              <w:top w:val="single" w:sz="4" w:space="0" w:color="auto"/>
              <w:bottom w:val="single" w:sz="12" w:space="0" w:color="auto"/>
            </w:tcBorders>
            <w:shd w:val="clear" w:color="auto" w:fill="auto"/>
            <w:vAlign w:val="bottom"/>
            <w:hideMark/>
          </w:tcPr>
          <w:p w:rsidR="00C37531" w:rsidRPr="00C37531" w:rsidRDefault="00C37531" w:rsidP="00C37531">
            <w:pPr>
              <w:pStyle w:val="SingleTxtG"/>
              <w:spacing w:before="80" w:after="80" w:line="200" w:lineRule="exact"/>
              <w:ind w:left="0" w:right="113"/>
              <w:jc w:val="right"/>
              <w:rPr>
                <w:i/>
                <w:sz w:val="16"/>
              </w:rPr>
            </w:pPr>
            <w:r w:rsidRPr="00C37531">
              <w:rPr>
                <w:i/>
                <w:sz w:val="16"/>
              </w:rPr>
              <w:t>Aged 20-24 years</w:t>
            </w:r>
          </w:p>
        </w:tc>
        <w:tc>
          <w:tcPr>
            <w:tcW w:w="404" w:type="pct"/>
            <w:tcBorders>
              <w:top w:val="single" w:sz="4" w:space="0" w:color="auto"/>
              <w:bottom w:val="single" w:sz="12" w:space="0" w:color="auto"/>
              <w:right w:val="single" w:sz="24" w:space="0" w:color="FFFFFF" w:themeColor="background1"/>
            </w:tcBorders>
            <w:shd w:val="clear" w:color="auto" w:fill="auto"/>
            <w:vAlign w:val="bottom"/>
            <w:hideMark/>
          </w:tcPr>
          <w:p w:rsidR="00C37531" w:rsidRPr="00C37531" w:rsidRDefault="00C37531" w:rsidP="00676B08">
            <w:pPr>
              <w:pStyle w:val="SingleTxtG"/>
              <w:spacing w:before="80" w:after="80" w:line="200" w:lineRule="exact"/>
              <w:ind w:left="0" w:right="57"/>
              <w:jc w:val="right"/>
              <w:rPr>
                <w:i/>
                <w:sz w:val="16"/>
              </w:rPr>
            </w:pPr>
            <w:r w:rsidRPr="00C37531">
              <w:rPr>
                <w:i/>
                <w:sz w:val="16"/>
              </w:rPr>
              <w:t>Total aged 15-24 years</w:t>
            </w:r>
          </w:p>
        </w:tc>
        <w:tc>
          <w:tcPr>
            <w:tcW w:w="335" w:type="pct"/>
            <w:tcBorders>
              <w:top w:val="single" w:sz="4" w:space="0" w:color="auto"/>
              <w:left w:val="single" w:sz="24" w:space="0" w:color="FFFFFF" w:themeColor="background1"/>
              <w:bottom w:val="single" w:sz="12" w:space="0" w:color="auto"/>
            </w:tcBorders>
            <w:shd w:val="clear" w:color="auto" w:fill="auto"/>
            <w:vAlign w:val="bottom"/>
            <w:hideMark/>
          </w:tcPr>
          <w:p w:rsidR="00C37531" w:rsidRPr="00C37531" w:rsidRDefault="00C37531" w:rsidP="00C37531">
            <w:pPr>
              <w:pStyle w:val="SingleTxtG"/>
              <w:spacing w:before="80" w:after="80" w:line="200" w:lineRule="exact"/>
              <w:ind w:left="0" w:right="113"/>
              <w:jc w:val="right"/>
              <w:rPr>
                <w:i/>
                <w:sz w:val="16"/>
              </w:rPr>
            </w:pPr>
            <w:r w:rsidRPr="00C37531">
              <w:rPr>
                <w:i/>
                <w:sz w:val="16"/>
              </w:rPr>
              <w:t>Aged 15-19 years</w:t>
            </w:r>
          </w:p>
        </w:tc>
        <w:tc>
          <w:tcPr>
            <w:tcW w:w="335" w:type="pct"/>
            <w:tcBorders>
              <w:top w:val="single" w:sz="4" w:space="0" w:color="auto"/>
              <w:bottom w:val="single" w:sz="12" w:space="0" w:color="auto"/>
            </w:tcBorders>
            <w:shd w:val="clear" w:color="auto" w:fill="auto"/>
            <w:vAlign w:val="bottom"/>
            <w:hideMark/>
          </w:tcPr>
          <w:p w:rsidR="00C37531" w:rsidRPr="00C37531" w:rsidRDefault="00C37531" w:rsidP="00C37531">
            <w:pPr>
              <w:pStyle w:val="SingleTxtG"/>
              <w:spacing w:before="80" w:after="80" w:line="200" w:lineRule="exact"/>
              <w:ind w:left="0" w:right="113"/>
              <w:jc w:val="right"/>
              <w:rPr>
                <w:i/>
                <w:sz w:val="16"/>
              </w:rPr>
            </w:pPr>
            <w:r w:rsidRPr="00C37531">
              <w:rPr>
                <w:i/>
                <w:sz w:val="16"/>
              </w:rPr>
              <w:t>Aged 20-24 years</w:t>
            </w:r>
          </w:p>
        </w:tc>
        <w:tc>
          <w:tcPr>
            <w:tcW w:w="436" w:type="pct"/>
            <w:tcBorders>
              <w:top w:val="single" w:sz="4" w:space="0" w:color="auto"/>
              <w:bottom w:val="single" w:sz="12" w:space="0" w:color="auto"/>
            </w:tcBorders>
            <w:shd w:val="clear" w:color="auto" w:fill="auto"/>
            <w:vAlign w:val="bottom"/>
            <w:hideMark/>
          </w:tcPr>
          <w:p w:rsidR="00C37531" w:rsidRPr="00C37531" w:rsidRDefault="00C37531" w:rsidP="00C37531">
            <w:pPr>
              <w:pStyle w:val="SingleTxtG"/>
              <w:spacing w:before="80" w:after="80" w:line="200" w:lineRule="exact"/>
              <w:ind w:left="0" w:right="113"/>
              <w:jc w:val="right"/>
              <w:rPr>
                <w:i/>
                <w:sz w:val="16"/>
              </w:rPr>
            </w:pPr>
            <w:r w:rsidRPr="00C37531">
              <w:rPr>
                <w:i/>
                <w:sz w:val="16"/>
              </w:rPr>
              <w:t>Total aged 15-24 years</w:t>
            </w:r>
          </w:p>
        </w:tc>
      </w:tr>
      <w:tr w:rsidR="00C9789E" w:rsidRPr="00C37531" w:rsidTr="00B77308">
        <w:trPr>
          <w:cantSplit/>
        </w:trPr>
        <w:tc>
          <w:tcPr>
            <w:tcW w:w="352" w:type="pct"/>
            <w:tcBorders>
              <w:top w:val="single" w:sz="12" w:space="0" w:color="auto"/>
            </w:tcBorders>
            <w:shd w:val="clear" w:color="auto" w:fill="auto"/>
            <w:hideMark/>
          </w:tcPr>
          <w:p w:rsidR="00C9789E" w:rsidRPr="00C37531" w:rsidRDefault="00C9789E" w:rsidP="00C37531">
            <w:pPr>
              <w:pStyle w:val="SingleTxtG"/>
              <w:spacing w:before="40" w:after="40" w:line="220" w:lineRule="exact"/>
              <w:ind w:left="0" w:right="113"/>
              <w:jc w:val="left"/>
              <w:rPr>
                <w:sz w:val="18"/>
              </w:rPr>
            </w:pPr>
            <w:r w:rsidRPr="00C37531">
              <w:rPr>
                <w:sz w:val="18"/>
              </w:rPr>
              <w:t>2012</w:t>
            </w:r>
          </w:p>
        </w:tc>
        <w:tc>
          <w:tcPr>
            <w:tcW w:w="387" w:type="pct"/>
            <w:tcBorders>
              <w:top w:val="single" w:sz="12" w:space="0" w:color="auto"/>
            </w:tcBorders>
            <w:shd w:val="clear" w:color="auto" w:fill="auto"/>
            <w:noWrap/>
            <w:vAlign w:val="bottom"/>
            <w:hideMark/>
          </w:tcPr>
          <w:p w:rsidR="00C9789E" w:rsidRPr="00C37531" w:rsidRDefault="00C9789E" w:rsidP="00C37531">
            <w:pPr>
              <w:pStyle w:val="SingleTxtG"/>
              <w:spacing w:before="40" w:after="40" w:line="220" w:lineRule="exact"/>
              <w:ind w:left="0" w:right="113"/>
              <w:jc w:val="right"/>
              <w:rPr>
                <w:sz w:val="18"/>
              </w:rPr>
            </w:pPr>
            <w:r w:rsidRPr="00C37531">
              <w:rPr>
                <w:sz w:val="18"/>
              </w:rPr>
              <w:t>8.0</w:t>
            </w:r>
          </w:p>
        </w:tc>
        <w:tc>
          <w:tcPr>
            <w:tcW w:w="400" w:type="pct"/>
            <w:tcBorders>
              <w:top w:val="single" w:sz="12" w:space="0" w:color="auto"/>
            </w:tcBorders>
            <w:shd w:val="clear" w:color="auto" w:fill="auto"/>
            <w:noWrap/>
            <w:vAlign w:val="bottom"/>
            <w:hideMark/>
          </w:tcPr>
          <w:p w:rsidR="00C9789E" w:rsidRPr="00C37531" w:rsidRDefault="00C9789E" w:rsidP="00C37531">
            <w:pPr>
              <w:pStyle w:val="SingleTxtG"/>
              <w:spacing w:before="40" w:after="40" w:line="220" w:lineRule="exact"/>
              <w:ind w:left="0" w:right="113"/>
              <w:jc w:val="right"/>
              <w:rPr>
                <w:sz w:val="18"/>
              </w:rPr>
            </w:pPr>
            <w:r w:rsidRPr="00C37531">
              <w:rPr>
                <w:sz w:val="18"/>
              </w:rPr>
              <w:t>15.5</w:t>
            </w:r>
          </w:p>
        </w:tc>
        <w:tc>
          <w:tcPr>
            <w:tcW w:w="473" w:type="pct"/>
            <w:tcBorders>
              <w:top w:val="single" w:sz="12" w:space="0" w:color="auto"/>
            </w:tcBorders>
            <w:shd w:val="clear" w:color="auto" w:fill="auto"/>
            <w:noWrap/>
            <w:vAlign w:val="bottom"/>
            <w:hideMark/>
          </w:tcPr>
          <w:p w:rsidR="00C9789E" w:rsidRPr="00C37531" w:rsidRDefault="00C9789E" w:rsidP="00C37531">
            <w:pPr>
              <w:pStyle w:val="SingleTxtG"/>
              <w:spacing w:before="40" w:after="40" w:line="220" w:lineRule="exact"/>
              <w:ind w:left="0" w:right="113"/>
              <w:jc w:val="right"/>
              <w:rPr>
                <w:sz w:val="18"/>
              </w:rPr>
            </w:pPr>
            <w:r w:rsidRPr="00C37531">
              <w:rPr>
                <w:sz w:val="18"/>
              </w:rPr>
              <w:t>11.7</w:t>
            </w:r>
          </w:p>
        </w:tc>
        <w:tc>
          <w:tcPr>
            <w:tcW w:w="334" w:type="pct"/>
            <w:tcBorders>
              <w:top w:val="single" w:sz="12" w:space="0" w:color="auto"/>
            </w:tcBorders>
            <w:shd w:val="clear" w:color="auto" w:fill="auto"/>
            <w:noWrap/>
            <w:vAlign w:val="bottom"/>
            <w:hideMark/>
          </w:tcPr>
          <w:p w:rsidR="00C9789E" w:rsidRPr="00C37531" w:rsidRDefault="00C9789E" w:rsidP="00C37531">
            <w:pPr>
              <w:pStyle w:val="SingleTxtG"/>
              <w:spacing w:before="40" w:after="40" w:line="220" w:lineRule="exact"/>
              <w:ind w:left="0" w:right="113"/>
              <w:jc w:val="right"/>
              <w:rPr>
                <w:sz w:val="18"/>
              </w:rPr>
            </w:pPr>
            <w:r w:rsidRPr="00C37531">
              <w:rPr>
                <w:sz w:val="18"/>
              </w:rPr>
              <w:t>15.1</w:t>
            </w:r>
          </w:p>
        </w:tc>
        <w:tc>
          <w:tcPr>
            <w:tcW w:w="403" w:type="pct"/>
            <w:tcBorders>
              <w:top w:val="single" w:sz="12" w:space="0" w:color="auto"/>
            </w:tcBorders>
            <w:shd w:val="clear" w:color="auto" w:fill="auto"/>
            <w:noWrap/>
            <w:vAlign w:val="bottom"/>
            <w:hideMark/>
          </w:tcPr>
          <w:p w:rsidR="00C9789E" w:rsidRPr="00C37531" w:rsidRDefault="00C9789E" w:rsidP="00C37531">
            <w:pPr>
              <w:pStyle w:val="SingleTxtG"/>
              <w:spacing w:before="40" w:after="40" w:line="220" w:lineRule="exact"/>
              <w:ind w:left="0" w:right="113"/>
              <w:jc w:val="right"/>
              <w:rPr>
                <w:sz w:val="18"/>
              </w:rPr>
            </w:pPr>
            <w:r w:rsidRPr="00C37531">
              <w:rPr>
                <w:sz w:val="18"/>
              </w:rPr>
              <w:t>33.1</w:t>
            </w:r>
          </w:p>
        </w:tc>
        <w:tc>
          <w:tcPr>
            <w:tcW w:w="468" w:type="pct"/>
            <w:tcBorders>
              <w:top w:val="single" w:sz="12" w:space="0" w:color="auto"/>
            </w:tcBorders>
            <w:shd w:val="clear" w:color="auto" w:fill="auto"/>
            <w:noWrap/>
            <w:vAlign w:val="bottom"/>
            <w:hideMark/>
          </w:tcPr>
          <w:p w:rsidR="00C9789E" w:rsidRPr="00C37531" w:rsidRDefault="00C9789E" w:rsidP="00C37531">
            <w:pPr>
              <w:pStyle w:val="SingleTxtG"/>
              <w:spacing w:before="40" w:after="40" w:line="220" w:lineRule="exact"/>
              <w:ind w:left="0" w:right="113"/>
              <w:jc w:val="right"/>
              <w:rPr>
                <w:sz w:val="18"/>
              </w:rPr>
            </w:pPr>
            <w:r w:rsidRPr="00C37531">
              <w:rPr>
                <w:sz w:val="18"/>
              </w:rPr>
              <w:t>23.0</w:t>
            </w:r>
          </w:p>
        </w:tc>
        <w:tc>
          <w:tcPr>
            <w:tcW w:w="336" w:type="pct"/>
            <w:tcBorders>
              <w:top w:val="single" w:sz="12" w:space="0" w:color="auto"/>
            </w:tcBorders>
            <w:shd w:val="clear" w:color="auto" w:fill="auto"/>
            <w:noWrap/>
            <w:vAlign w:val="bottom"/>
            <w:hideMark/>
          </w:tcPr>
          <w:p w:rsidR="00C9789E" w:rsidRPr="00C37531" w:rsidRDefault="00C9789E" w:rsidP="00C37531">
            <w:pPr>
              <w:pStyle w:val="SingleTxtG"/>
              <w:spacing w:before="40" w:after="40" w:line="220" w:lineRule="exact"/>
              <w:ind w:left="0" w:right="113"/>
              <w:jc w:val="right"/>
              <w:rPr>
                <w:sz w:val="18"/>
              </w:rPr>
            </w:pPr>
            <w:r w:rsidRPr="00C37531">
              <w:rPr>
                <w:sz w:val="18"/>
              </w:rPr>
              <w:t>11.3</w:t>
            </w:r>
          </w:p>
        </w:tc>
        <w:tc>
          <w:tcPr>
            <w:tcW w:w="336" w:type="pct"/>
            <w:tcBorders>
              <w:top w:val="single" w:sz="12" w:space="0" w:color="auto"/>
            </w:tcBorders>
            <w:shd w:val="clear" w:color="auto" w:fill="auto"/>
            <w:noWrap/>
            <w:vAlign w:val="bottom"/>
            <w:hideMark/>
          </w:tcPr>
          <w:p w:rsidR="00C9789E" w:rsidRPr="00C37531" w:rsidRDefault="00C9789E" w:rsidP="00C37531">
            <w:pPr>
              <w:pStyle w:val="SingleTxtG"/>
              <w:spacing w:before="40" w:after="40" w:line="220" w:lineRule="exact"/>
              <w:ind w:left="0" w:right="113"/>
              <w:jc w:val="right"/>
              <w:rPr>
                <w:sz w:val="18"/>
              </w:rPr>
            </w:pPr>
            <w:r w:rsidRPr="00C37531">
              <w:rPr>
                <w:sz w:val="18"/>
              </w:rPr>
              <w:t>28.1</w:t>
            </w:r>
          </w:p>
        </w:tc>
        <w:tc>
          <w:tcPr>
            <w:tcW w:w="404" w:type="pct"/>
            <w:tcBorders>
              <w:top w:val="single" w:sz="12" w:space="0" w:color="auto"/>
            </w:tcBorders>
            <w:shd w:val="clear" w:color="auto" w:fill="auto"/>
            <w:noWrap/>
            <w:vAlign w:val="bottom"/>
            <w:hideMark/>
          </w:tcPr>
          <w:p w:rsidR="00C9789E" w:rsidRPr="00C37531" w:rsidRDefault="00C9789E" w:rsidP="00C37531">
            <w:pPr>
              <w:pStyle w:val="SingleTxtG"/>
              <w:spacing w:before="40" w:after="40" w:line="220" w:lineRule="exact"/>
              <w:ind w:left="0" w:right="113"/>
              <w:jc w:val="right"/>
              <w:rPr>
                <w:sz w:val="18"/>
              </w:rPr>
            </w:pPr>
            <w:r w:rsidRPr="00C37531">
              <w:rPr>
                <w:sz w:val="18"/>
              </w:rPr>
              <w:t>18.8</w:t>
            </w:r>
          </w:p>
        </w:tc>
        <w:tc>
          <w:tcPr>
            <w:tcW w:w="335" w:type="pct"/>
            <w:tcBorders>
              <w:top w:val="single" w:sz="12" w:space="0" w:color="auto"/>
            </w:tcBorders>
            <w:shd w:val="clear" w:color="auto" w:fill="auto"/>
            <w:noWrap/>
            <w:vAlign w:val="bottom"/>
            <w:hideMark/>
          </w:tcPr>
          <w:p w:rsidR="00C9789E" w:rsidRPr="00C37531" w:rsidRDefault="00C9789E" w:rsidP="00C37531">
            <w:pPr>
              <w:pStyle w:val="SingleTxtG"/>
              <w:spacing w:before="40" w:after="40" w:line="220" w:lineRule="exact"/>
              <w:ind w:left="0" w:right="113"/>
              <w:jc w:val="right"/>
              <w:rPr>
                <w:sz w:val="18"/>
              </w:rPr>
            </w:pPr>
            <w:r w:rsidRPr="00C37531">
              <w:rPr>
                <w:sz w:val="18"/>
              </w:rPr>
              <w:t>5.7</w:t>
            </w:r>
          </w:p>
        </w:tc>
        <w:tc>
          <w:tcPr>
            <w:tcW w:w="335" w:type="pct"/>
            <w:tcBorders>
              <w:top w:val="single" w:sz="12" w:space="0" w:color="auto"/>
            </w:tcBorders>
            <w:shd w:val="clear" w:color="auto" w:fill="auto"/>
            <w:noWrap/>
            <w:vAlign w:val="bottom"/>
            <w:hideMark/>
          </w:tcPr>
          <w:p w:rsidR="00C9789E" w:rsidRPr="00C37531" w:rsidRDefault="00C9789E" w:rsidP="00C37531">
            <w:pPr>
              <w:pStyle w:val="SingleTxtG"/>
              <w:spacing w:before="40" w:after="40" w:line="220" w:lineRule="exact"/>
              <w:ind w:left="0" w:right="113"/>
              <w:jc w:val="right"/>
              <w:rPr>
                <w:sz w:val="18"/>
              </w:rPr>
            </w:pPr>
            <w:r w:rsidRPr="00C37531">
              <w:rPr>
                <w:sz w:val="18"/>
              </w:rPr>
              <w:t>14.1</w:t>
            </w:r>
          </w:p>
        </w:tc>
        <w:tc>
          <w:tcPr>
            <w:tcW w:w="436" w:type="pct"/>
            <w:tcBorders>
              <w:top w:val="single" w:sz="12" w:space="0" w:color="auto"/>
            </w:tcBorders>
            <w:shd w:val="clear" w:color="auto" w:fill="auto"/>
            <w:noWrap/>
            <w:vAlign w:val="bottom"/>
            <w:hideMark/>
          </w:tcPr>
          <w:p w:rsidR="00C9789E" w:rsidRPr="00C37531" w:rsidRDefault="00C9789E" w:rsidP="00C37531">
            <w:pPr>
              <w:pStyle w:val="SingleTxtG"/>
              <w:spacing w:before="40" w:after="40" w:line="220" w:lineRule="exact"/>
              <w:ind w:left="0" w:right="113"/>
              <w:jc w:val="right"/>
              <w:rPr>
                <w:sz w:val="18"/>
              </w:rPr>
            </w:pPr>
            <w:r w:rsidRPr="00C37531">
              <w:rPr>
                <w:sz w:val="18"/>
              </w:rPr>
              <w:t>10.4</w:t>
            </w:r>
          </w:p>
        </w:tc>
      </w:tr>
      <w:tr w:rsidR="00C9789E" w:rsidRPr="00C37531" w:rsidTr="00B77308">
        <w:trPr>
          <w:cantSplit/>
        </w:trPr>
        <w:tc>
          <w:tcPr>
            <w:tcW w:w="352" w:type="pct"/>
            <w:shd w:val="clear" w:color="auto" w:fill="auto"/>
            <w:hideMark/>
          </w:tcPr>
          <w:p w:rsidR="00C9789E" w:rsidRPr="00C37531" w:rsidRDefault="00C9789E" w:rsidP="00C37531">
            <w:pPr>
              <w:pStyle w:val="SingleTxtG"/>
              <w:spacing w:before="40" w:after="40" w:line="220" w:lineRule="exact"/>
              <w:ind w:left="0" w:right="113"/>
              <w:jc w:val="left"/>
              <w:rPr>
                <w:sz w:val="18"/>
              </w:rPr>
            </w:pPr>
            <w:r w:rsidRPr="00C37531">
              <w:rPr>
                <w:sz w:val="18"/>
              </w:rPr>
              <w:t>2013</w:t>
            </w:r>
          </w:p>
        </w:tc>
        <w:tc>
          <w:tcPr>
            <w:tcW w:w="387" w:type="pct"/>
            <w:shd w:val="clear" w:color="auto" w:fill="auto"/>
            <w:noWrap/>
            <w:vAlign w:val="bottom"/>
            <w:hideMark/>
          </w:tcPr>
          <w:p w:rsidR="00C9789E" w:rsidRPr="00C37531" w:rsidRDefault="00C9789E" w:rsidP="00C37531">
            <w:pPr>
              <w:pStyle w:val="SingleTxtG"/>
              <w:spacing w:before="40" w:after="40" w:line="220" w:lineRule="exact"/>
              <w:ind w:left="0" w:right="113"/>
              <w:jc w:val="right"/>
              <w:rPr>
                <w:sz w:val="18"/>
              </w:rPr>
            </w:pPr>
            <w:r w:rsidRPr="00C37531">
              <w:rPr>
                <w:sz w:val="18"/>
              </w:rPr>
              <w:t>6.4</w:t>
            </w:r>
          </w:p>
        </w:tc>
        <w:tc>
          <w:tcPr>
            <w:tcW w:w="400" w:type="pct"/>
            <w:shd w:val="clear" w:color="auto" w:fill="auto"/>
            <w:noWrap/>
            <w:vAlign w:val="bottom"/>
            <w:hideMark/>
          </w:tcPr>
          <w:p w:rsidR="00C9789E" w:rsidRPr="00C37531" w:rsidRDefault="00C9789E" w:rsidP="00C37531">
            <w:pPr>
              <w:pStyle w:val="SingleTxtG"/>
              <w:spacing w:before="40" w:after="40" w:line="220" w:lineRule="exact"/>
              <w:ind w:left="0" w:right="113"/>
              <w:jc w:val="right"/>
              <w:rPr>
                <w:sz w:val="18"/>
              </w:rPr>
            </w:pPr>
            <w:r w:rsidRPr="00C37531">
              <w:rPr>
                <w:sz w:val="18"/>
              </w:rPr>
              <w:t>13.6</w:t>
            </w:r>
          </w:p>
        </w:tc>
        <w:tc>
          <w:tcPr>
            <w:tcW w:w="473" w:type="pct"/>
            <w:shd w:val="clear" w:color="auto" w:fill="auto"/>
            <w:noWrap/>
            <w:vAlign w:val="bottom"/>
            <w:hideMark/>
          </w:tcPr>
          <w:p w:rsidR="00C9789E" w:rsidRPr="00C37531" w:rsidRDefault="00C9789E" w:rsidP="00C37531">
            <w:pPr>
              <w:pStyle w:val="SingleTxtG"/>
              <w:spacing w:before="40" w:after="40" w:line="220" w:lineRule="exact"/>
              <w:ind w:left="0" w:right="113"/>
              <w:jc w:val="right"/>
              <w:rPr>
                <w:sz w:val="18"/>
              </w:rPr>
            </w:pPr>
            <w:r w:rsidRPr="00C37531">
              <w:rPr>
                <w:sz w:val="18"/>
              </w:rPr>
              <w:t>9.9</w:t>
            </w:r>
          </w:p>
        </w:tc>
        <w:tc>
          <w:tcPr>
            <w:tcW w:w="334" w:type="pct"/>
            <w:shd w:val="clear" w:color="auto" w:fill="auto"/>
            <w:noWrap/>
            <w:vAlign w:val="bottom"/>
            <w:hideMark/>
          </w:tcPr>
          <w:p w:rsidR="00C9789E" w:rsidRPr="00C37531" w:rsidRDefault="00C9789E" w:rsidP="00C37531">
            <w:pPr>
              <w:pStyle w:val="SingleTxtG"/>
              <w:spacing w:before="40" w:after="40" w:line="220" w:lineRule="exact"/>
              <w:ind w:left="0" w:right="113"/>
              <w:jc w:val="right"/>
              <w:rPr>
                <w:sz w:val="18"/>
              </w:rPr>
            </w:pPr>
            <w:r w:rsidRPr="00C37531">
              <w:rPr>
                <w:sz w:val="18"/>
              </w:rPr>
              <w:t>16.4</w:t>
            </w:r>
          </w:p>
        </w:tc>
        <w:tc>
          <w:tcPr>
            <w:tcW w:w="403" w:type="pct"/>
            <w:shd w:val="clear" w:color="auto" w:fill="auto"/>
            <w:noWrap/>
            <w:vAlign w:val="bottom"/>
            <w:hideMark/>
          </w:tcPr>
          <w:p w:rsidR="00C9789E" w:rsidRPr="00C37531" w:rsidRDefault="00C9789E" w:rsidP="00C37531">
            <w:pPr>
              <w:pStyle w:val="SingleTxtG"/>
              <w:spacing w:before="40" w:after="40" w:line="220" w:lineRule="exact"/>
              <w:ind w:left="0" w:right="113"/>
              <w:jc w:val="right"/>
              <w:rPr>
                <w:sz w:val="18"/>
              </w:rPr>
            </w:pPr>
            <w:r w:rsidRPr="00C37531">
              <w:rPr>
                <w:sz w:val="18"/>
              </w:rPr>
              <w:t>31.4</w:t>
            </w:r>
          </w:p>
        </w:tc>
        <w:tc>
          <w:tcPr>
            <w:tcW w:w="468" w:type="pct"/>
            <w:shd w:val="clear" w:color="auto" w:fill="auto"/>
            <w:noWrap/>
            <w:vAlign w:val="bottom"/>
            <w:hideMark/>
          </w:tcPr>
          <w:p w:rsidR="00C9789E" w:rsidRPr="00C37531" w:rsidRDefault="00C9789E" w:rsidP="00C37531">
            <w:pPr>
              <w:pStyle w:val="SingleTxtG"/>
              <w:spacing w:before="40" w:after="40" w:line="220" w:lineRule="exact"/>
              <w:ind w:left="0" w:right="113"/>
              <w:jc w:val="right"/>
              <w:rPr>
                <w:sz w:val="18"/>
              </w:rPr>
            </w:pPr>
            <w:r w:rsidRPr="00C37531">
              <w:rPr>
                <w:sz w:val="18"/>
              </w:rPr>
              <w:t>22.9</w:t>
            </w:r>
          </w:p>
        </w:tc>
        <w:tc>
          <w:tcPr>
            <w:tcW w:w="336" w:type="pct"/>
            <w:shd w:val="clear" w:color="auto" w:fill="auto"/>
            <w:noWrap/>
            <w:vAlign w:val="bottom"/>
            <w:hideMark/>
          </w:tcPr>
          <w:p w:rsidR="00C9789E" w:rsidRPr="00C37531" w:rsidRDefault="00C9789E" w:rsidP="00C37531">
            <w:pPr>
              <w:pStyle w:val="SingleTxtG"/>
              <w:spacing w:before="40" w:after="40" w:line="220" w:lineRule="exact"/>
              <w:ind w:left="0" w:right="113"/>
              <w:jc w:val="right"/>
              <w:rPr>
                <w:sz w:val="18"/>
              </w:rPr>
            </w:pPr>
            <w:r w:rsidRPr="00C37531">
              <w:rPr>
                <w:sz w:val="18"/>
              </w:rPr>
              <w:t>14.0</w:t>
            </w:r>
          </w:p>
        </w:tc>
        <w:tc>
          <w:tcPr>
            <w:tcW w:w="336" w:type="pct"/>
            <w:shd w:val="clear" w:color="auto" w:fill="auto"/>
            <w:noWrap/>
            <w:vAlign w:val="bottom"/>
            <w:hideMark/>
          </w:tcPr>
          <w:p w:rsidR="00C9789E" w:rsidRPr="00C37531" w:rsidRDefault="00C9789E" w:rsidP="00C37531">
            <w:pPr>
              <w:pStyle w:val="SingleTxtG"/>
              <w:spacing w:before="40" w:after="40" w:line="220" w:lineRule="exact"/>
              <w:ind w:left="0" w:right="113"/>
              <w:jc w:val="right"/>
              <w:rPr>
                <w:sz w:val="18"/>
              </w:rPr>
            </w:pPr>
            <w:r w:rsidRPr="00C37531">
              <w:rPr>
                <w:sz w:val="18"/>
              </w:rPr>
              <w:t>27.8</w:t>
            </w:r>
          </w:p>
        </w:tc>
        <w:tc>
          <w:tcPr>
            <w:tcW w:w="404" w:type="pct"/>
            <w:shd w:val="clear" w:color="auto" w:fill="auto"/>
            <w:noWrap/>
            <w:vAlign w:val="bottom"/>
            <w:hideMark/>
          </w:tcPr>
          <w:p w:rsidR="00C9789E" w:rsidRPr="00C37531" w:rsidRDefault="00C9789E" w:rsidP="00C37531">
            <w:pPr>
              <w:pStyle w:val="SingleTxtG"/>
              <w:spacing w:before="40" w:after="40" w:line="220" w:lineRule="exact"/>
              <w:ind w:left="0" w:right="113"/>
              <w:jc w:val="right"/>
              <w:rPr>
                <w:sz w:val="18"/>
              </w:rPr>
            </w:pPr>
            <w:r w:rsidRPr="00C37531">
              <w:rPr>
                <w:sz w:val="18"/>
              </w:rPr>
              <w:t>20.1</w:t>
            </w:r>
          </w:p>
        </w:tc>
        <w:tc>
          <w:tcPr>
            <w:tcW w:w="335" w:type="pct"/>
            <w:shd w:val="clear" w:color="auto" w:fill="auto"/>
            <w:noWrap/>
            <w:vAlign w:val="bottom"/>
            <w:hideMark/>
          </w:tcPr>
          <w:p w:rsidR="00C9789E" w:rsidRPr="00C37531" w:rsidRDefault="00C9789E" w:rsidP="00C37531">
            <w:pPr>
              <w:pStyle w:val="SingleTxtG"/>
              <w:spacing w:before="40" w:after="40" w:line="220" w:lineRule="exact"/>
              <w:ind w:left="0" w:right="113"/>
              <w:jc w:val="right"/>
              <w:rPr>
                <w:sz w:val="18"/>
              </w:rPr>
            </w:pPr>
            <w:r w:rsidRPr="00C37531">
              <w:rPr>
                <w:sz w:val="18"/>
              </w:rPr>
              <w:t>4.0</w:t>
            </w:r>
          </w:p>
        </w:tc>
        <w:tc>
          <w:tcPr>
            <w:tcW w:w="335" w:type="pct"/>
            <w:shd w:val="clear" w:color="auto" w:fill="auto"/>
            <w:noWrap/>
            <w:vAlign w:val="bottom"/>
            <w:hideMark/>
          </w:tcPr>
          <w:p w:rsidR="00C9789E" w:rsidRPr="00C37531" w:rsidRDefault="00C9789E" w:rsidP="00C37531">
            <w:pPr>
              <w:pStyle w:val="SingleTxtG"/>
              <w:spacing w:before="40" w:after="40" w:line="220" w:lineRule="exact"/>
              <w:ind w:left="0" w:right="113"/>
              <w:jc w:val="right"/>
              <w:rPr>
                <w:sz w:val="18"/>
              </w:rPr>
            </w:pPr>
            <w:r w:rsidRPr="00C37531">
              <w:rPr>
                <w:sz w:val="18"/>
              </w:rPr>
              <w:t>6.8</w:t>
            </w:r>
          </w:p>
        </w:tc>
        <w:tc>
          <w:tcPr>
            <w:tcW w:w="436" w:type="pct"/>
            <w:shd w:val="clear" w:color="auto" w:fill="auto"/>
            <w:noWrap/>
            <w:vAlign w:val="bottom"/>
            <w:hideMark/>
          </w:tcPr>
          <w:p w:rsidR="00C9789E" w:rsidRPr="00C37531" w:rsidRDefault="00C9789E" w:rsidP="00C37531">
            <w:pPr>
              <w:pStyle w:val="SingleTxtG"/>
              <w:spacing w:before="40" w:after="40" w:line="220" w:lineRule="exact"/>
              <w:ind w:left="0" w:right="113"/>
              <w:jc w:val="right"/>
              <w:rPr>
                <w:sz w:val="18"/>
              </w:rPr>
            </w:pPr>
            <w:r w:rsidRPr="00C37531">
              <w:rPr>
                <w:sz w:val="18"/>
              </w:rPr>
              <w:t>5.7</w:t>
            </w:r>
          </w:p>
        </w:tc>
      </w:tr>
      <w:tr w:rsidR="00C9789E" w:rsidRPr="00C37531" w:rsidTr="00B77308">
        <w:trPr>
          <w:cantSplit/>
        </w:trPr>
        <w:tc>
          <w:tcPr>
            <w:tcW w:w="352" w:type="pct"/>
            <w:shd w:val="clear" w:color="auto" w:fill="auto"/>
            <w:hideMark/>
          </w:tcPr>
          <w:p w:rsidR="00C9789E" w:rsidRPr="00C37531" w:rsidRDefault="00C9789E" w:rsidP="00C37531">
            <w:pPr>
              <w:pStyle w:val="SingleTxtG"/>
              <w:spacing w:before="40" w:after="40" w:line="220" w:lineRule="exact"/>
              <w:ind w:left="0" w:right="113"/>
              <w:jc w:val="left"/>
              <w:rPr>
                <w:sz w:val="18"/>
              </w:rPr>
            </w:pPr>
            <w:r w:rsidRPr="00C37531">
              <w:rPr>
                <w:sz w:val="18"/>
              </w:rPr>
              <w:t>2014</w:t>
            </w:r>
          </w:p>
        </w:tc>
        <w:tc>
          <w:tcPr>
            <w:tcW w:w="387" w:type="pct"/>
            <w:shd w:val="clear" w:color="auto" w:fill="auto"/>
            <w:noWrap/>
            <w:vAlign w:val="bottom"/>
            <w:hideMark/>
          </w:tcPr>
          <w:p w:rsidR="00C9789E" w:rsidRPr="00C37531" w:rsidRDefault="00C9789E" w:rsidP="00C37531">
            <w:pPr>
              <w:pStyle w:val="SingleTxtG"/>
              <w:spacing w:before="40" w:after="40" w:line="220" w:lineRule="exact"/>
              <w:ind w:left="0" w:right="113"/>
              <w:jc w:val="right"/>
              <w:rPr>
                <w:sz w:val="18"/>
              </w:rPr>
            </w:pPr>
            <w:r w:rsidRPr="00C37531">
              <w:rPr>
                <w:sz w:val="18"/>
              </w:rPr>
              <w:t>6.6</w:t>
            </w:r>
          </w:p>
        </w:tc>
        <w:tc>
          <w:tcPr>
            <w:tcW w:w="400" w:type="pct"/>
            <w:shd w:val="clear" w:color="auto" w:fill="auto"/>
            <w:noWrap/>
            <w:vAlign w:val="bottom"/>
            <w:hideMark/>
          </w:tcPr>
          <w:p w:rsidR="00C9789E" w:rsidRPr="00C37531" w:rsidRDefault="00C9789E" w:rsidP="00C37531">
            <w:pPr>
              <w:pStyle w:val="SingleTxtG"/>
              <w:spacing w:before="40" w:after="40" w:line="220" w:lineRule="exact"/>
              <w:ind w:left="0" w:right="113"/>
              <w:jc w:val="right"/>
              <w:rPr>
                <w:sz w:val="18"/>
              </w:rPr>
            </w:pPr>
            <w:r w:rsidRPr="00C37531">
              <w:rPr>
                <w:sz w:val="18"/>
              </w:rPr>
              <w:t>12.6</w:t>
            </w:r>
          </w:p>
        </w:tc>
        <w:tc>
          <w:tcPr>
            <w:tcW w:w="473" w:type="pct"/>
            <w:shd w:val="clear" w:color="auto" w:fill="auto"/>
            <w:noWrap/>
            <w:vAlign w:val="bottom"/>
            <w:hideMark/>
          </w:tcPr>
          <w:p w:rsidR="00C9789E" w:rsidRPr="00C37531" w:rsidRDefault="00C9789E" w:rsidP="00C37531">
            <w:pPr>
              <w:pStyle w:val="SingleTxtG"/>
              <w:spacing w:before="40" w:after="40" w:line="220" w:lineRule="exact"/>
              <w:ind w:left="0" w:right="113"/>
              <w:jc w:val="right"/>
              <w:rPr>
                <w:sz w:val="18"/>
              </w:rPr>
            </w:pPr>
            <w:r w:rsidRPr="00C37531">
              <w:rPr>
                <w:sz w:val="18"/>
              </w:rPr>
              <w:t>9.5</w:t>
            </w:r>
          </w:p>
        </w:tc>
        <w:tc>
          <w:tcPr>
            <w:tcW w:w="334" w:type="pct"/>
            <w:shd w:val="clear" w:color="auto" w:fill="auto"/>
            <w:noWrap/>
            <w:vAlign w:val="bottom"/>
            <w:hideMark/>
          </w:tcPr>
          <w:p w:rsidR="00C9789E" w:rsidRPr="00C37531" w:rsidRDefault="00C9789E" w:rsidP="00C37531">
            <w:pPr>
              <w:pStyle w:val="SingleTxtG"/>
              <w:spacing w:before="40" w:after="40" w:line="220" w:lineRule="exact"/>
              <w:ind w:left="0" w:right="113"/>
              <w:jc w:val="right"/>
              <w:rPr>
                <w:sz w:val="18"/>
              </w:rPr>
            </w:pPr>
            <w:r w:rsidRPr="00C37531">
              <w:rPr>
                <w:sz w:val="18"/>
              </w:rPr>
              <w:t>13.6</w:t>
            </w:r>
          </w:p>
        </w:tc>
        <w:tc>
          <w:tcPr>
            <w:tcW w:w="403" w:type="pct"/>
            <w:shd w:val="clear" w:color="auto" w:fill="auto"/>
            <w:noWrap/>
            <w:vAlign w:val="bottom"/>
            <w:hideMark/>
          </w:tcPr>
          <w:p w:rsidR="00C9789E" w:rsidRPr="00C37531" w:rsidRDefault="00C9789E" w:rsidP="00C37531">
            <w:pPr>
              <w:pStyle w:val="SingleTxtG"/>
              <w:spacing w:before="40" w:after="40" w:line="220" w:lineRule="exact"/>
              <w:ind w:left="0" w:right="113"/>
              <w:jc w:val="right"/>
              <w:rPr>
                <w:sz w:val="18"/>
              </w:rPr>
            </w:pPr>
            <w:r w:rsidRPr="00C37531">
              <w:rPr>
                <w:sz w:val="18"/>
              </w:rPr>
              <w:t>27.1</w:t>
            </w:r>
          </w:p>
        </w:tc>
        <w:tc>
          <w:tcPr>
            <w:tcW w:w="468" w:type="pct"/>
            <w:shd w:val="clear" w:color="auto" w:fill="auto"/>
            <w:noWrap/>
            <w:vAlign w:val="bottom"/>
            <w:hideMark/>
          </w:tcPr>
          <w:p w:rsidR="00C9789E" w:rsidRPr="00C37531" w:rsidRDefault="00C9789E" w:rsidP="00C37531">
            <w:pPr>
              <w:pStyle w:val="SingleTxtG"/>
              <w:spacing w:before="40" w:after="40" w:line="220" w:lineRule="exact"/>
              <w:ind w:left="0" w:right="113"/>
              <w:jc w:val="right"/>
              <w:rPr>
                <w:sz w:val="18"/>
              </w:rPr>
            </w:pPr>
            <w:r w:rsidRPr="00C37531">
              <w:rPr>
                <w:sz w:val="18"/>
              </w:rPr>
              <w:t>19.8</w:t>
            </w:r>
          </w:p>
        </w:tc>
        <w:tc>
          <w:tcPr>
            <w:tcW w:w="336" w:type="pct"/>
            <w:shd w:val="clear" w:color="auto" w:fill="auto"/>
            <w:noWrap/>
            <w:vAlign w:val="bottom"/>
            <w:hideMark/>
          </w:tcPr>
          <w:p w:rsidR="00C9789E" w:rsidRPr="00C37531" w:rsidRDefault="00C9789E" w:rsidP="00C37531">
            <w:pPr>
              <w:pStyle w:val="SingleTxtG"/>
              <w:spacing w:before="40" w:after="40" w:line="220" w:lineRule="exact"/>
              <w:ind w:left="0" w:right="113"/>
              <w:jc w:val="right"/>
              <w:rPr>
                <w:sz w:val="18"/>
              </w:rPr>
            </w:pPr>
            <w:r w:rsidRPr="00C37531">
              <w:rPr>
                <w:sz w:val="18"/>
              </w:rPr>
              <w:t>10.1</w:t>
            </w:r>
          </w:p>
        </w:tc>
        <w:tc>
          <w:tcPr>
            <w:tcW w:w="336" w:type="pct"/>
            <w:shd w:val="clear" w:color="auto" w:fill="auto"/>
            <w:noWrap/>
            <w:vAlign w:val="bottom"/>
            <w:hideMark/>
          </w:tcPr>
          <w:p w:rsidR="00C9789E" w:rsidRPr="00C37531" w:rsidRDefault="00C9789E" w:rsidP="00C37531">
            <w:pPr>
              <w:pStyle w:val="SingleTxtG"/>
              <w:spacing w:before="40" w:after="40" w:line="220" w:lineRule="exact"/>
              <w:ind w:left="0" w:right="113"/>
              <w:jc w:val="right"/>
              <w:rPr>
                <w:sz w:val="18"/>
              </w:rPr>
            </w:pPr>
            <w:r w:rsidRPr="00C37531">
              <w:rPr>
                <w:sz w:val="18"/>
              </w:rPr>
              <w:t>26.7</w:t>
            </w:r>
          </w:p>
        </w:tc>
        <w:tc>
          <w:tcPr>
            <w:tcW w:w="404" w:type="pct"/>
            <w:shd w:val="clear" w:color="auto" w:fill="auto"/>
            <w:noWrap/>
            <w:vAlign w:val="bottom"/>
            <w:hideMark/>
          </w:tcPr>
          <w:p w:rsidR="00C9789E" w:rsidRPr="00C37531" w:rsidRDefault="00C9789E" w:rsidP="00C37531">
            <w:pPr>
              <w:pStyle w:val="SingleTxtG"/>
              <w:spacing w:before="40" w:after="40" w:line="220" w:lineRule="exact"/>
              <w:ind w:left="0" w:right="113"/>
              <w:jc w:val="right"/>
              <w:rPr>
                <w:sz w:val="18"/>
              </w:rPr>
            </w:pPr>
            <w:r w:rsidRPr="00C37531">
              <w:rPr>
                <w:sz w:val="18"/>
              </w:rPr>
              <w:t>17.9</w:t>
            </w:r>
          </w:p>
        </w:tc>
        <w:tc>
          <w:tcPr>
            <w:tcW w:w="335" w:type="pct"/>
            <w:shd w:val="clear" w:color="auto" w:fill="auto"/>
            <w:noWrap/>
            <w:vAlign w:val="bottom"/>
            <w:hideMark/>
          </w:tcPr>
          <w:p w:rsidR="00C9789E" w:rsidRPr="00C37531" w:rsidRDefault="00C9789E" w:rsidP="00C37531">
            <w:pPr>
              <w:pStyle w:val="SingleTxtG"/>
              <w:spacing w:before="40" w:after="40" w:line="220" w:lineRule="exact"/>
              <w:ind w:left="0" w:right="113"/>
              <w:jc w:val="right"/>
              <w:rPr>
                <w:sz w:val="18"/>
              </w:rPr>
            </w:pPr>
            <w:r w:rsidRPr="00C37531">
              <w:rPr>
                <w:sz w:val="18"/>
              </w:rPr>
              <w:t>4.0</w:t>
            </w:r>
          </w:p>
        </w:tc>
        <w:tc>
          <w:tcPr>
            <w:tcW w:w="335" w:type="pct"/>
            <w:shd w:val="clear" w:color="auto" w:fill="auto"/>
            <w:noWrap/>
            <w:vAlign w:val="bottom"/>
            <w:hideMark/>
          </w:tcPr>
          <w:p w:rsidR="00C9789E" w:rsidRPr="00C37531" w:rsidRDefault="00C9789E" w:rsidP="00C37531">
            <w:pPr>
              <w:pStyle w:val="SingleTxtG"/>
              <w:spacing w:before="40" w:after="40" w:line="220" w:lineRule="exact"/>
              <w:ind w:left="0" w:right="113"/>
              <w:jc w:val="right"/>
              <w:rPr>
                <w:sz w:val="18"/>
              </w:rPr>
            </w:pPr>
            <w:r w:rsidRPr="00C37531">
              <w:rPr>
                <w:sz w:val="18"/>
              </w:rPr>
              <w:t>8.9</w:t>
            </w:r>
          </w:p>
        </w:tc>
        <w:tc>
          <w:tcPr>
            <w:tcW w:w="436" w:type="pct"/>
            <w:shd w:val="clear" w:color="auto" w:fill="auto"/>
            <w:noWrap/>
            <w:vAlign w:val="bottom"/>
            <w:hideMark/>
          </w:tcPr>
          <w:p w:rsidR="00C9789E" w:rsidRPr="00C37531" w:rsidRDefault="00C9789E" w:rsidP="00C37531">
            <w:pPr>
              <w:pStyle w:val="SingleTxtG"/>
              <w:spacing w:before="40" w:after="40" w:line="220" w:lineRule="exact"/>
              <w:ind w:left="0" w:right="113"/>
              <w:jc w:val="right"/>
              <w:rPr>
                <w:sz w:val="18"/>
              </w:rPr>
            </w:pPr>
            <w:r w:rsidRPr="00C37531">
              <w:rPr>
                <w:sz w:val="18"/>
              </w:rPr>
              <w:t>7.0</w:t>
            </w:r>
          </w:p>
        </w:tc>
      </w:tr>
      <w:tr w:rsidR="00C9789E" w:rsidRPr="00C37531" w:rsidTr="00B77308">
        <w:trPr>
          <w:cantSplit/>
        </w:trPr>
        <w:tc>
          <w:tcPr>
            <w:tcW w:w="352" w:type="pct"/>
            <w:shd w:val="clear" w:color="auto" w:fill="auto"/>
            <w:hideMark/>
          </w:tcPr>
          <w:p w:rsidR="00C9789E" w:rsidRPr="00C37531" w:rsidRDefault="00C9789E" w:rsidP="00C37531">
            <w:pPr>
              <w:pStyle w:val="SingleTxtG"/>
              <w:spacing w:before="40" w:after="40" w:line="220" w:lineRule="exact"/>
              <w:ind w:left="0" w:right="113"/>
              <w:jc w:val="left"/>
              <w:rPr>
                <w:sz w:val="18"/>
              </w:rPr>
            </w:pPr>
            <w:r w:rsidRPr="00C37531">
              <w:rPr>
                <w:sz w:val="18"/>
              </w:rPr>
              <w:t>2015</w:t>
            </w:r>
          </w:p>
        </w:tc>
        <w:tc>
          <w:tcPr>
            <w:tcW w:w="387" w:type="pct"/>
            <w:shd w:val="clear" w:color="auto" w:fill="auto"/>
            <w:noWrap/>
            <w:vAlign w:val="bottom"/>
            <w:hideMark/>
          </w:tcPr>
          <w:p w:rsidR="00C9789E" w:rsidRPr="00C37531" w:rsidRDefault="00C9789E" w:rsidP="00C37531">
            <w:pPr>
              <w:pStyle w:val="SingleTxtG"/>
              <w:spacing w:before="40" w:after="40" w:line="220" w:lineRule="exact"/>
              <w:ind w:left="0" w:right="113"/>
              <w:jc w:val="right"/>
              <w:rPr>
                <w:sz w:val="18"/>
              </w:rPr>
            </w:pPr>
            <w:r w:rsidRPr="00C37531">
              <w:rPr>
                <w:sz w:val="18"/>
              </w:rPr>
              <w:t>6.0</w:t>
            </w:r>
          </w:p>
        </w:tc>
        <w:tc>
          <w:tcPr>
            <w:tcW w:w="400" w:type="pct"/>
            <w:shd w:val="clear" w:color="auto" w:fill="auto"/>
            <w:noWrap/>
            <w:vAlign w:val="bottom"/>
            <w:hideMark/>
          </w:tcPr>
          <w:p w:rsidR="00C9789E" w:rsidRPr="00C37531" w:rsidRDefault="00C9789E" w:rsidP="00C37531">
            <w:pPr>
              <w:pStyle w:val="SingleTxtG"/>
              <w:spacing w:before="40" w:after="40" w:line="220" w:lineRule="exact"/>
              <w:ind w:left="0" w:right="113"/>
              <w:jc w:val="right"/>
              <w:rPr>
                <w:sz w:val="18"/>
              </w:rPr>
            </w:pPr>
            <w:r w:rsidRPr="00C37531">
              <w:rPr>
                <w:sz w:val="18"/>
              </w:rPr>
              <w:t>12.5</w:t>
            </w:r>
          </w:p>
        </w:tc>
        <w:tc>
          <w:tcPr>
            <w:tcW w:w="473" w:type="pct"/>
            <w:shd w:val="clear" w:color="auto" w:fill="auto"/>
            <w:noWrap/>
            <w:vAlign w:val="bottom"/>
            <w:hideMark/>
          </w:tcPr>
          <w:p w:rsidR="00C9789E" w:rsidRPr="00C37531" w:rsidRDefault="00C9789E" w:rsidP="00C37531">
            <w:pPr>
              <w:pStyle w:val="SingleTxtG"/>
              <w:spacing w:before="40" w:after="40" w:line="220" w:lineRule="exact"/>
              <w:ind w:left="0" w:right="113"/>
              <w:jc w:val="right"/>
              <w:rPr>
                <w:sz w:val="18"/>
              </w:rPr>
            </w:pPr>
            <w:r w:rsidRPr="00C37531">
              <w:rPr>
                <w:sz w:val="18"/>
              </w:rPr>
              <w:t>9.3</w:t>
            </w:r>
          </w:p>
        </w:tc>
        <w:tc>
          <w:tcPr>
            <w:tcW w:w="334" w:type="pct"/>
            <w:shd w:val="clear" w:color="auto" w:fill="auto"/>
            <w:noWrap/>
            <w:vAlign w:val="bottom"/>
            <w:hideMark/>
          </w:tcPr>
          <w:p w:rsidR="00C9789E" w:rsidRPr="00C37531" w:rsidRDefault="00C9789E" w:rsidP="00C37531">
            <w:pPr>
              <w:pStyle w:val="SingleTxtG"/>
              <w:spacing w:before="40" w:after="40" w:line="220" w:lineRule="exact"/>
              <w:ind w:left="0" w:right="113"/>
              <w:jc w:val="right"/>
              <w:rPr>
                <w:sz w:val="18"/>
              </w:rPr>
            </w:pPr>
            <w:r w:rsidRPr="00C37531">
              <w:rPr>
                <w:sz w:val="18"/>
              </w:rPr>
              <w:t>13.5</w:t>
            </w:r>
          </w:p>
        </w:tc>
        <w:tc>
          <w:tcPr>
            <w:tcW w:w="403" w:type="pct"/>
            <w:shd w:val="clear" w:color="auto" w:fill="auto"/>
            <w:noWrap/>
            <w:vAlign w:val="bottom"/>
            <w:hideMark/>
          </w:tcPr>
          <w:p w:rsidR="00C9789E" w:rsidRPr="00C37531" w:rsidRDefault="00C9789E" w:rsidP="00C37531">
            <w:pPr>
              <w:pStyle w:val="SingleTxtG"/>
              <w:spacing w:before="40" w:after="40" w:line="220" w:lineRule="exact"/>
              <w:ind w:left="0" w:right="113"/>
              <w:jc w:val="right"/>
              <w:rPr>
                <w:sz w:val="18"/>
              </w:rPr>
            </w:pPr>
            <w:r w:rsidRPr="00C37531">
              <w:rPr>
                <w:sz w:val="18"/>
              </w:rPr>
              <w:t>29.5</w:t>
            </w:r>
          </w:p>
        </w:tc>
        <w:tc>
          <w:tcPr>
            <w:tcW w:w="468" w:type="pct"/>
            <w:shd w:val="clear" w:color="auto" w:fill="auto"/>
            <w:noWrap/>
            <w:vAlign w:val="bottom"/>
            <w:hideMark/>
          </w:tcPr>
          <w:p w:rsidR="00C9789E" w:rsidRPr="00C37531" w:rsidRDefault="00C9789E" w:rsidP="00C37531">
            <w:pPr>
              <w:pStyle w:val="SingleTxtG"/>
              <w:spacing w:before="40" w:after="40" w:line="220" w:lineRule="exact"/>
              <w:ind w:left="0" w:right="113"/>
              <w:jc w:val="right"/>
              <w:rPr>
                <w:sz w:val="18"/>
              </w:rPr>
            </w:pPr>
            <w:r w:rsidRPr="00C37531">
              <w:rPr>
                <w:sz w:val="18"/>
              </w:rPr>
              <w:t>20.8</w:t>
            </w:r>
          </w:p>
        </w:tc>
        <w:tc>
          <w:tcPr>
            <w:tcW w:w="336" w:type="pct"/>
            <w:shd w:val="clear" w:color="auto" w:fill="auto"/>
            <w:noWrap/>
            <w:vAlign w:val="bottom"/>
            <w:hideMark/>
          </w:tcPr>
          <w:p w:rsidR="00C9789E" w:rsidRPr="00C37531" w:rsidRDefault="00C9789E" w:rsidP="00C37531">
            <w:pPr>
              <w:pStyle w:val="SingleTxtG"/>
              <w:spacing w:before="40" w:after="40" w:line="220" w:lineRule="exact"/>
              <w:ind w:left="0" w:right="113"/>
              <w:jc w:val="right"/>
              <w:rPr>
                <w:sz w:val="18"/>
              </w:rPr>
            </w:pPr>
            <w:r w:rsidRPr="00C37531">
              <w:rPr>
                <w:sz w:val="18"/>
              </w:rPr>
              <w:t>8.3</w:t>
            </w:r>
          </w:p>
        </w:tc>
        <w:tc>
          <w:tcPr>
            <w:tcW w:w="336" w:type="pct"/>
            <w:shd w:val="clear" w:color="auto" w:fill="auto"/>
            <w:noWrap/>
            <w:vAlign w:val="bottom"/>
            <w:hideMark/>
          </w:tcPr>
          <w:p w:rsidR="00C9789E" w:rsidRPr="00C37531" w:rsidRDefault="00C9789E" w:rsidP="00C37531">
            <w:pPr>
              <w:pStyle w:val="SingleTxtG"/>
              <w:spacing w:before="40" w:after="40" w:line="220" w:lineRule="exact"/>
              <w:ind w:left="0" w:right="113"/>
              <w:jc w:val="right"/>
              <w:rPr>
                <w:sz w:val="18"/>
              </w:rPr>
            </w:pPr>
            <w:r w:rsidRPr="00C37531">
              <w:rPr>
                <w:sz w:val="18"/>
              </w:rPr>
              <w:t>25.2</w:t>
            </w:r>
          </w:p>
        </w:tc>
        <w:tc>
          <w:tcPr>
            <w:tcW w:w="404" w:type="pct"/>
            <w:shd w:val="clear" w:color="auto" w:fill="auto"/>
            <w:noWrap/>
            <w:vAlign w:val="bottom"/>
            <w:hideMark/>
          </w:tcPr>
          <w:p w:rsidR="00C9789E" w:rsidRPr="00C37531" w:rsidRDefault="00C9789E" w:rsidP="00C37531">
            <w:pPr>
              <w:pStyle w:val="SingleTxtG"/>
              <w:spacing w:before="40" w:after="40" w:line="220" w:lineRule="exact"/>
              <w:ind w:left="0" w:right="113"/>
              <w:jc w:val="right"/>
              <w:rPr>
                <w:sz w:val="18"/>
              </w:rPr>
            </w:pPr>
            <w:r w:rsidRPr="00C37531">
              <w:rPr>
                <w:sz w:val="18"/>
              </w:rPr>
              <w:t>16.2</w:t>
            </w:r>
          </w:p>
        </w:tc>
        <w:tc>
          <w:tcPr>
            <w:tcW w:w="335" w:type="pct"/>
            <w:shd w:val="clear" w:color="auto" w:fill="auto"/>
            <w:noWrap/>
            <w:vAlign w:val="bottom"/>
            <w:hideMark/>
          </w:tcPr>
          <w:p w:rsidR="00C9789E" w:rsidRPr="00C37531" w:rsidRDefault="00C9789E" w:rsidP="00C37531">
            <w:pPr>
              <w:pStyle w:val="SingleTxtG"/>
              <w:spacing w:before="40" w:after="40" w:line="220" w:lineRule="exact"/>
              <w:ind w:left="0" w:right="113"/>
              <w:jc w:val="right"/>
              <w:rPr>
                <w:sz w:val="18"/>
              </w:rPr>
            </w:pPr>
            <w:r w:rsidRPr="00C37531">
              <w:rPr>
                <w:sz w:val="18"/>
              </w:rPr>
              <w:t>4.4</w:t>
            </w:r>
          </w:p>
        </w:tc>
        <w:tc>
          <w:tcPr>
            <w:tcW w:w="335" w:type="pct"/>
            <w:shd w:val="clear" w:color="auto" w:fill="auto"/>
            <w:noWrap/>
            <w:vAlign w:val="bottom"/>
            <w:hideMark/>
          </w:tcPr>
          <w:p w:rsidR="00C9789E" w:rsidRPr="00C37531" w:rsidRDefault="00C9789E" w:rsidP="00C37531">
            <w:pPr>
              <w:pStyle w:val="SingleTxtG"/>
              <w:spacing w:before="40" w:after="40" w:line="220" w:lineRule="exact"/>
              <w:ind w:left="0" w:right="113"/>
              <w:jc w:val="right"/>
              <w:rPr>
                <w:sz w:val="18"/>
              </w:rPr>
            </w:pPr>
            <w:r w:rsidRPr="00C37531">
              <w:rPr>
                <w:sz w:val="18"/>
              </w:rPr>
              <w:t>9.3</w:t>
            </w:r>
          </w:p>
        </w:tc>
        <w:tc>
          <w:tcPr>
            <w:tcW w:w="436" w:type="pct"/>
            <w:shd w:val="clear" w:color="auto" w:fill="auto"/>
            <w:noWrap/>
            <w:vAlign w:val="bottom"/>
            <w:hideMark/>
          </w:tcPr>
          <w:p w:rsidR="00C9789E" w:rsidRPr="00C37531" w:rsidRDefault="00C9789E" w:rsidP="00C37531">
            <w:pPr>
              <w:pStyle w:val="SingleTxtG"/>
              <w:spacing w:before="40" w:after="40" w:line="220" w:lineRule="exact"/>
              <w:ind w:left="0" w:right="113"/>
              <w:jc w:val="right"/>
              <w:rPr>
                <w:sz w:val="18"/>
              </w:rPr>
            </w:pPr>
            <w:r w:rsidRPr="00C37531">
              <w:rPr>
                <w:sz w:val="18"/>
              </w:rPr>
              <w:t>7.3</w:t>
            </w:r>
          </w:p>
        </w:tc>
      </w:tr>
      <w:tr w:rsidR="00C9789E" w:rsidRPr="00C37531" w:rsidTr="00B77308">
        <w:trPr>
          <w:cantSplit/>
        </w:trPr>
        <w:tc>
          <w:tcPr>
            <w:tcW w:w="352" w:type="pct"/>
            <w:shd w:val="clear" w:color="auto" w:fill="auto"/>
            <w:hideMark/>
          </w:tcPr>
          <w:p w:rsidR="00C9789E" w:rsidRPr="00C37531" w:rsidRDefault="00C9789E" w:rsidP="00C37531">
            <w:pPr>
              <w:pStyle w:val="SingleTxtG"/>
              <w:spacing w:before="40" w:after="40" w:line="220" w:lineRule="exact"/>
              <w:ind w:left="0" w:right="113"/>
              <w:jc w:val="left"/>
              <w:rPr>
                <w:sz w:val="18"/>
              </w:rPr>
            </w:pPr>
            <w:r w:rsidRPr="00C37531">
              <w:rPr>
                <w:sz w:val="18"/>
              </w:rPr>
              <w:t>2016</w:t>
            </w:r>
          </w:p>
        </w:tc>
        <w:tc>
          <w:tcPr>
            <w:tcW w:w="387" w:type="pct"/>
            <w:shd w:val="clear" w:color="auto" w:fill="auto"/>
            <w:noWrap/>
            <w:vAlign w:val="bottom"/>
            <w:hideMark/>
          </w:tcPr>
          <w:p w:rsidR="00C9789E" w:rsidRPr="00C37531" w:rsidRDefault="00C9789E" w:rsidP="00C37531">
            <w:pPr>
              <w:pStyle w:val="SingleTxtG"/>
              <w:spacing w:before="40" w:after="40" w:line="220" w:lineRule="exact"/>
              <w:ind w:left="0" w:right="113"/>
              <w:jc w:val="right"/>
              <w:rPr>
                <w:sz w:val="18"/>
              </w:rPr>
            </w:pPr>
            <w:r w:rsidRPr="00C37531">
              <w:rPr>
                <w:sz w:val="18"/>
              </w:rPr>
              <w:t>6.6</w:t>
            </w:r>
          </w:p>
        </w:tc>
        <w:tc>
          <w:tcPr>
            <w:tcW w:w="400" w:type="pct"/>
            <w:shd w:val="clear" w:color="auto" w:fill="auto"/>
            <w:noWrap/>
            <w:vAlign w:val="bottom"/>
            <w:hideMark/>
          </w:tcPr>
          <w:p w:rsidR="00C9789E" w:rsidRPr="00C37531" w:rsidRDefault="00C9789E" w:rsidP="00C37531">
            <w:pPr>
              <w:pStyle w:val="SingleTxtG"/>
              <w:spacing w:before="40" w:after="40" w:line="220" w:lineRule="exact"/>
              <w:ind w:left="0" w:right="113"/>
              <w:jc w:val="right"/>
              <w:rPr>
                <w:sz w:val="18"/>
              </w:rPr>
            </w:pPr>
            <w:r w:rsidRPr="00C37531">
              <w:rPr>
                <w:sz w:val="18"/>
              </w:rPr>
              <w:t>12.9</w:t>
            </w:r>
          </w:p>
        </w:tc>
        <w:tc>
          <w:tcPr>
            <w:tcW w:w="473" w:type="pct"/>
            <w:shd w:val="clear" w:color="auto" w:fill="auto"/>
            <w:noWrap/>
            <w:vAlign w:val="bottom"/>
            <w:hideMark/>
          </w:tcPr>
          <w:p w:rsidR="00C9789E" w:rsidRPr="00C37531" w:rsidRDefault="00C9789E" w:rsidP="00C37531">
            <w:pPr>
              <w:pStyle w:val="SingleTxtG"/>
              <w:spacing w:before="40" w:after="40" w:line="220" w:lineRule="exact"/>
              <w:ind w:left="0" w:right="113"/>
              <w:jc w:val="right"/>
              <w:rPr>
                <w:sz w:val="18"/>
              </w:rPr>
            </w:pPr>
            <w:r w:rsidRPr="00C37531">
              <w:rPr>
                <w:sz w:val="18"/>
              </w:rPr>
              <w:t>9.9</w:t>
            </w:r>
          </w:p>
        </w:tc>
        <w:tc>
          <w:tcPr>
            <w:tcW w:w="334" w:type="pct"/>
            <w:shd w:val="clear" w:color="auto" w:fill="auto"/>
            <w:noWrap/>
            <w:vAlign w:val="bottom"/>
            <w:hideMark/>
          </w:tcPr>
          <w:p w:rsidR="00C9789E" w:rsidRPr="00C37531" w:rsidRDefault="00C9789E" w:rsidP="00C37531">
            <w:pPr>
              <w:pStyle w:val="SingleTxtG"/>
              <w:spacing w:before="40" w:after="40" w:line="220" w:lineRule="exact"/>
              <w:ind w:left="0" w:right="113"/>
              <w:jc w:val="right"/>
              <w:rPr>
                <w:sz w:val="18"/>
              </w:rPr>
            </w:pPr>
            <w:r w:rsidRPr="00C37531">
              <w:rPr>
                <w:sz w:val="18"/>
              </w:rPr>
              <w:t>13.6</w:t>
            </w:r>
          </w:p>
        </w:tc>
        <w:tc>
          <w:tcPr>
            <w:tcW w:w="403" w:type="pct"/>
            <w:shd w:val="clear" w:color="auto" w:fill="auto"/>
            <w:noWrap/>
            <w:vAlign w:val="bottom"/>
            <w:hideMark/>
          </w:tcPr>
          <w:p w:rsidR="00C9789E" w:rsidRPr="00C37531" w:rsidRDefault="00C9789E" w:rsidP="00C37531">
            <w:pPr>
              <w:pStyle w:val="SingleTxtG"/>
              <w:spacing w:before="40" w:after="40" w:line="220" w:lineRule="exact"/>
              <w:ind w:left="0" w:right="113"/>
              <w:jc w:val="right"/>
              <w:rPr>
                <w:sz w:val="18"/>
              </w:rPr>
            </w:pPr>
            <w:r w:rsidRPr="00C37531">
              <w:rPr>
                <w:sz w:val="18"/>
              </w:rPr>
              <w:t>27.4</w:t>
            </w:r>
          </w:p>
        </w:tc>
        <w:tc>
          <w:tcPr>
            <w:tcW w:w="468" w:type="pct"/>
            <w:shd w:val="clear" w:color="auto" w:fill="auto"/>
            <w:noWrap/>
            <w:vAlign w:val="bottom"/>
            <w:hideMark/>
          </w:tcPr>
          <w:p w:rsidR="00C9789E" w:rsidRPr="00C37531" w:rsidRDefault="00C9789E" w:rsidP="00C37531">
            <w:pPr>
              <w:pStyle w:val="SingleTxtG"/>
              <w:spacing w:before="40" w:after="40" w:line="220" w:lineRule="exact"/>
              <w:ind w:left="0" w:right="113"/>
              <w:jc w:val="right"/>
              <w:rPr>
                <w:sz w:val="18"/>
              </w:rPr>
            </w:pPr>
            <w:r w:rsidRPr="00C37531">
              <w:rPr>
                <w:sz w:val="18"/>
              </w:rPr>
              <w:t>20.0</w:t>
            </w:r>
          </w:p>
        </w:tc>
        <w:tc>
          <w:tcPr>
            <w:tcW w:w="336" w:type="pct"/>
            <w:shd w:val="clear" w:color="auto" w:fill="auto"/>
            <w:noWrap/>
            <w:vAlign w:val="bottom"/>
            <w:hideMark/>
          </w:tcPr>
          <w:p w:rsidR="00C9789E" w:rsidRPr="00C37531" w:rsidRDefault="00C9789E" w:rsidP="00C37531">
            <w:pPr>
              <w:pStyle w:val="SingleTxtG"/>
              <w:spacing w:before="40" w:after="40" w:line="220" w:lineRule="exact"/>
              <w:ind w:left="0" w:right="113"/>
              <w:jc w:val="right"/>
              <w:rPr>
                <w:sz w:val="18"/>
              </w:rPr>
            </w:pPr>
            <w:r w:rsidRPr="00C37531">
              <w:rPr>
                <w:sz w:val="18"/>
              </w:rPr>
              <w:t>12.5</w:t>
            </w:r>
          </w:p>
        </w:tc>
        <w:tc>
          <w:tcPr>
            <w:tcW w:w="336" w:type="pct"/>
            <w:shd w:val="clear" w:color="auto" w:fill="auto"/>
            <w:noWrap/>
            <w:vAlign w:val="bottom"/>
            <w:hideMark/>
          </w:tcPr>
          <w:p w:rsidR="00C9789E" w:rsidRPr="00C37531" w:rsidRDefault="00C9789E" w:rsidP="00C37531">
            <w:pPr>
              <w:pStyle w:val="SingleTxtG"/>
              <w:spacing w:before="40" w:after="40" w:line="220" w:lineRule="exact"/>
              <w:ind w:left="0" w:right="113"/>
              <w:jc w:val="right"/>
              <w:rPr>
                <w:sz w:val="18"/>
              </w:rPr>
            </w:pPr>
            <w:r w:rsidRPr="00C37531">
              <w:rPr>
                <w:sz w:val="18"/>
              </w:rPr>
              <w:t>22.6</w:t>
            </w:r>
          </w:p>
        </w:tc>
        <w:tc>
          <w:tcPr>
            <w:tcW w:w="404" w:type="pct"/>
            <w:shd w:val="clear" w:color="auto" w:fill="auto"/>
            <w:noWrap/>
            <w:vAlign w:val="bottom"/>
            <w:hideMark/>
          </w:tcPr>
          <w:p w:rsidR="00C9789E" w:rsidRPr="00C37531" w:rsidRDefault="00C9789E" w:rsidP="00C37531">
            <w:pPr>
              <w:pStyle w:val="SingleTxtG"/>
              <w:spacing w:before="40" w:after="40" w:line="220" w:lineRule="exact"/>
              <w:ind w:left="0" w:right="113"/>
              <w:jc w:val="right"/>
              <w:rPr>
                <w:sz w:val="18"/>
              </w:rPr>
            </w:pPr>
            <w:r w:rsidRPr="00C37531">
              <w:rPr>
                <w:sz w:val="18"/>
              </w:rPr>
              <w:t>17.2</w:t>
            </w:r>
          </w:p>
        </w:tc>
        <w:tc>
          <w:tcPr>
            <w:tcW w:w="335" w:type="pct"/>
            <w:shd w:val="clear" w:color="auto" w:fill="auto"/>
            <w:noWrap/>
            <w:vAlign w:val="bottom"/>
            <w:hideMark/>
          </w:tcPr>
          <w:p w:rsidR="00C9789E" w:rsidRPr="00C37531" w:rsidRDefault="00C9789E" w:rsidP="00C37531">
            <w:pPr>
              <w:pStyle w:val="SingleTxtG"/>
              <w:spacing w:before="40" w:after="40" w:line="220" w:lineRule="exact"/>
              <w:ind w:left="0" w:right="113"/>
              <w:jc w:val="right"/>
              <w:rPr>
                <w:sz w:val="18"/>
              </w:rPr>
            </w:pPr>
            <w:r w:rsidRPr="00C37531">
              <w:rPr>
                <w:sz w:val="18"/>
              </w:rPr>
              <w:t>5.7</w:t>
            </w:r>
          </w:p>
        </w:tc>
        <w:tc>
          <w:tcPr>
            <w:tcW w:w="335" w:type="pct"/>
            <w:shd w:val="clear" w:color="auto" w:fill="auto"/>
            <w:noWrap/>
            <w:vAlign w:val="bottom"/>
            <w:hideMark/>
          </w:tcPr>
          <w:p w:rsidR="00C9789E" w:rsidRPr="00C37531" w:rsidRDefault="00C9789E" w:rsidP="00C37531">
            <w:pPr>
              <w:pStyle w:val="SingleTxtG"/>
              <w:spacing w:before="40" w:after="40" w:line="220" w:lineRule="exact"/>
              <w:ind w:left="0" w:right="113"/>
              <w:jc w:val="right"/>
              <w:rPr>
                <w:sz w:val="18"/>
              </w:rPr>
            </w:pPr>
            <w:r w:rsidRPr="00C37531">
              <w:rPr>
                <w:sz w:val="18"/>
              </w:rPr>
              <w:t>13.4</w:t>
            </w:r>
          </w:p>
        </w:tc>
        <w:tc>
          <w:tcPr>
            <w:tcW w:w="436" w:type="pct"/>
            <w:shd w:val="clear" w:color="auto" w:fill="auto"/>
            <w:noWrap/>
            <w:vAlign w:val="bottom"/>
            <w:hideMark/>
          </w:tcPr>
          <w:p w:rsidR="00C9789E" w:rsidRPr="00C37531" w:rsidRDefault="00C9789E" w:rsidP="00C37531">
            <w:pPr>
              <w:pStyle w:val="SingleTxtG"/>
              <w:spacing w:before="40" w:after="40" w:line="220" w:lineRule="exact"/>
              <w:ind w:left="0" w:right="113"/>
              <w:jc w:val="right"/>
              <w:rPr>
                <w:sz w:val="18"/>
              </w:rPr>
            </w:pPr>
            <w:r w:rsidRPr="00C37531">
              <w:rPr>
                <w:sz w:val="18"/>
              </w:rPr>
              <w:t>10.2</w:t>
            </w:r>
          </w:p>
        </w:tc>
      </w:tr>
    </w:tbl>
    <w:p w:rsidR="00553F98" w:rsidRDefault="00C9789E" w:rsidP="00553F98">
      <w:pPr>
        <w:pStyle w:val="Heading1"/>
        <w:spacing w:before="240"/>
      </w:pPr>
      <w:bookmarkStart w:id="54" w:name="_Toc494359778"/>
      <w:r w:rsidRPr="00F62F1C">
        <w:t>Figure 19</w:t>
      </w:r>
      <w:bookmarkEnd w:id="54"/>
    </w:p>
    <w:p w:rsidR="00C9789E" w:rsidRPr="00F62F1C" w:rsidRDefault="00C9789E" w:rsidP="00706221">
      <w:pPr>
        <w:pStyle w:val="SingleTxtG"/>
      </w:pPr>
      <w:r w:rsidRPr="00553F98">
        <w:rPr>
          <w:b/>
        </w:rPr>
        <w:t>Those not in Education, Employment or Training by urban and rural area (%) year ended December</w:t>
      </w:r>
      <w:r w:rsidRPr="00706221">
        <w:rPr>
          <w:rStyle w:val="FootnoteReference"/>
        </w:rPr>
        <w:footnoteReference w:id="33"/>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67"/>
        <w:gridCol w:w="2267"/>
        <w:gridCol w:w="2268"/>
        <w:gridCol w:w="2268"/>
      </w:tblGrid>
      <w:tr w:rsidR="00C9789E" w:rsidRPr="00553F98" w:rsidTr="00B77308">
        <w:trPr>
          <w:cantSplit/>
          <w:tblHeader/>
        </w:trPr>
        <w:tc>
          <w:tcPr>
            <w:tcW w:w="567" w:type="dxa"/>
            <w:tcBorders>
              <w:top w:val="single" w:sz="4" w:space="0" w:color="auto"/>
              <w:bottom w:val="single" w:sz="12" w:space="0" w:color="auto"/>
            </w:tcBorders>
            <w:shd w:val="clear" w:color="auto" w:fill="auto"/>
            <w:vAlign w:val="bottom"/>
            <w:hideMark/>
          </w:tcPr>
          <w:p w:rsidR="00C9789E" w:rsidRPr="00553F98" w:rsidRDefault="00C9789E" w:rsidP="00553F98">
            <w:pPr>
              <w:pStyle w:val="SingleTxtG"/>
              <w:spacing w:before="80" w:after="80" w:line="200" w:lineRule="exact"/>
              <w:ind w:left="0" w:right="113"/>
              <w:jc w:val="left"/>
              <w:rPr>
                <w:i/>
                <w:sz w:val="16"/>
              </w:rPr>
            </w:pPr>
            <w:r w:rsidRPr="00553F98">
              <w:rPr>
                <w:i/>
                <w:sz w:val="16"/>
              </w:rPr>
              <w:t>Year</w:t>
            </w:r>
          </w:p>
        </w:tc>
        <w:tc>
          <w:tcPr>
            <w:tcW w:w="2267" w:type="dxa"/>
            <w:tcBorders>
              <w:top w:val="single" w:sz="4" w:space="0" w:color="auto"/>
              <w:bottom w:val="single" w:sz="12" w:space="0" w:color="auto"/>
            </w:tcBorders>
            <w:shd w:val="clear" w:color="auto" w:fill="auto"/>
            <w:vAlign w:val="bottom"/>
            <w:hideMark/>
          </w:tcPr>
          <w:p w:rsidR="00C9789E" w:rsidRPr="00553F98" w:rsidRDefault="00C9789E" w:rsidP="00553F98">
            <w:pPr>
              <w:pStyle w:val="SingleTxtG"/>
              <w:spacing w:before="80" w:after="80" w:line="200" w:lineRule="exact"/>
              <w:ind w:left="0" w:right="113"/>
              <w:jc w:val="right"/>
              <w:rPr>
                <w:i/>
                <w:sz w:val="16"/>
              </w:rPr>
            </w:pPr>
            <w:r w:rsidRPr="00553F98">
              <w:rPr>
                <w:i/>
                <w:sz w:val="16"/>
              </w:rPr>
              <w:t>Urban</w:t>
            </w:r>
          </w:p>
        </w:tc>
        <w:tc>
          <w:tcPr>
            <w:tcW w:w="2268" w:type="dxa"/>
            <w:tcBorders>
              <w:top w:val="single" w:sz="4" w:space="0" w:color="auto"/>
              <w:bottom w:val="single" w:sz="12" w:space="0" w:color="auto"/>
            </w:tcBorders>
            <w:shd w:val="clear" w:color="auto" w:fill="auto"/>
            <w:vAlign w:val="bottom"/>
            <w:hideMark/>
          </w:tcPr>
          <w:p w:rsidR="00C9789E" w:rsidRPr="00553F98" w:rsidRDefault="00C9789E" w:rsidP="00553F98">
            <w:pPr>
              <w:pStyle w:val="SingleTxtG"/>
              <w:spacing w:before="80" w:after="80" w:line="200" w:lineRule="exact"/>
              <w:ind w:left="0" w:right="113"/>
              <w:jc w:val="right"/>
              <w:rPr>
                <w:i/>
                <w:sz w:val="16"/>
              </w:rPr>
            </w:pPr>
            <w:r w:rsidRPr="00553F98">
              <w:rPr>
                <w:i/>
                <w:sz w:val="16"/>
              </w:rPr>
              <w:t>Rural</w:t>
            </w:r>
          </w:p>
        </w:tc>
        <w:tc>
          <w:tcPr>
            <w:tcW w:w="2268" w:type="dxa"/>
            <w:tcBorders>
              <w:top w:val="single" w:sz="4" w:space="0" w:color="auto"/>
              <w:bottom w:val="single" w:sz="12" w:space="0" w:color="auto"/>
            </w:tcBorders>
            <w:shd w:val="clear" w:color="auto" w:fill="auto"/>
            <w:vAlign w:val="bottom"/>
            <w:hideMark/>
          </w:tcPr>
          <w:p w:rsidR="00C9789E" w:rsidRPr="00553F98" w:rsidRDefault="00C9789E" w:rsidP="00553F98">
            <w:pPr>
              <w:pStyle w:val="SingleTxtG"/>
              <w:spacing w:before="80" w:after="80" w:line="200" w:lineRule="exact"/>
              <w:ind w:left="0" w:right="113"/>
              <w:jc w:val="right"/>
              <w:rPr>
                <w:i/>
                <w:sz w:val="16"/>
              </w:rPr>
            </w:pPr>
            <w:r w:rsidRPr="00553F98">
              <w:rPr>
                <w:i/>
                <w:sz w:val="16"/>
              </w:rPr>
              <w:t xml:space="preserve">Total Both </w:t>
            </w:r>
          </w:p>
        </w:tc>
      </w:tr>
      <w:tr w:rsidR="00C9789E" w:rsidRPr="00553F98" w:rsidTr="00B77308">
        <w:trPr>
          <w:cantSplit/>
        </w:trPr>
        <w:tc>
          <w:tcPr>
            <w:tcW w:w="567" w:type="dxa"/>
            <w:tcBorders>
              <w:top w:val="single" w:sz="12" w:space="0" w:color="auto"/>
            </w:tcBorders>
            <w:shd w:val="clear" w:color="auto" w:fill="auto"/>
            <w:hideMark/>
          </w:tcPr>
          <w:p w:rsidR="00C9789E" w:rsidRPr="00553F98" w:rsidRDefault="00C9789E" w:rsidP="00553F98">
            <w:pPr>
              <w:pStyle w:val="SingleTxtG"/>
              <w:spacing w:before="40" w:after="40" w:line="220" w:lineRule="exact"/>
              <w:ind w:left="0" w:right="113"/>
              <w:jc w:val="left"/>
              <w:rPr>
                <w:sz w:val="18"/>
              </w:rPr>
            </w:pPr>
            <w:r w:rsidRPr="00553F98">
              <w:rPr>
                <w:sz w:val="18"/>
              </w:rPr>
              <w:t>2012</w:t>
            </w:r>
          </w:p>
        </w:tc>
        <w:tc>
          <w:tcPr>
            <w:tcW w:w="2267" w:type="dxa"/>
            <w:tcBorders>
              <w:top w:val="single" w:sz="12" w:space="0" w:color="auto"/>
            </w:tcBorders>
            <w:shd w:val="clear" w:color="auto" w:fill="auto"/>
            <w:noWrap/>
            <w:vAlign w:val="bottom"/>
            <w:hideMark/>
          </w:tcPr>
          <w:p w:rsidR="00C9789E" w:rsidRPr="00553F98" w:rsidRDefault="00C9789E" w:rsidP="00553F98">
            <w:pPr>
              <w:pStyle w:val="SingleTxtG"/>
              <w:spacing w:before="40" w:after="40" w:line="220" w:lineRule="exact"/>
              <w:ind w:left="0" w:right="113"/>
              <w:jc w:val="right"/>
              <w:rPr>
                <w:sz w:val="18"/>
              </w:rPr>
            </w:pPr>
            <w:r w:rsidRPr="00553F98">
              <w:rPr>
                <w:sz w:val="18"/>
              </w:rPr>
              <w:t>13.7</w:t>
            </w:r>
          </w:p>
        </w:tc>
        <w:tc>
          <w:tcPr>
            <w:tcW w:w="2268" w:type="dxa"/>
            <w:tcBorders>
              <w:top w:val="single" w:sz="12" w:space="0" w:color="auto"/>
            </w:tcBorders>
            <w:shd w:val="clear" w:color="auto" w:fill="auto"/>
            <w:noWrap/>
            <w:vAlign w:val="bottom"/>
            <w:hideMark/>
          </w:tcPr>
          <w:p w:rsidR="00C9789E" w:rsidRPr="00553F98" w:rsidRDefault="00C9789E" w:rsidP="00553F98">
            <w:pPr>
              <w:pStyle w:val="SingleTxtG"/>
              <w:spacing w:before="40" w:after="40" w:line="220" w:lineRule="exact"/>
              <w:ind w:left="0" w:right="113"/>
              <w:jc w:val="right"/>
              <w:rPr>
                <w:sz w:val="18"/>
              </w:rPr>
            </w:pPr>
            <w:r w:rsidRPr="00553F98">
              <w:rPr>
                <w:sz w:val="18"/>
              </w:rPr>
              <w:t>12.4</w:t>
            </w:r>
          </w:p>
        </w:tc>
        <w:tc>
          <w:tcPr>
            <w:tcW w:w="2268" w:type="dxa"/>
            <w:tcBorders>
              <w:top w:val="single" w:sz="12" w:space="0" w:color="auto"/>
            </w:tcBorders>
            <w:shd w:val="clear" w:color="auto" w:fill="auto"/>
            <w:noWrap/>
            <w:vAlign w:val="bottom"/>
            <w:hideMark/>
          </w:tcPr>
          <w:p w:rsidR="00C9789E" w:rsidRPr="00553F98" w:rsidRDefault="00C9789E" w:rsidP="00553F98">
            <w:pPr>
              <w:pStyle w:val="SingleTxtG"/>
              <w:spacing w:before="40" w:after="40" w:line="220" w:lineRule="exact"/>
              <w:ind w:left="0" w:right="113"/>
              <w:jc w:val="right"/>
              <w:rPr>
                <w:sz w:val="18"/>
              </w:rPr>
            </w:pPr>
            <w:r w:rsidRPr="00553F98">
              <w:rPr>
                <w:sz w:val="18"/>
              </w:rPr>
              <w:t>13.5</w:t>
            </w:r>
          </w:p>
        </w:tc>
      </w:tr>
      <w:tr w:rsidR="00C9789E" w:rsidRPr="00553F98" w:rsidTr="00B77308">
        <w:trPr>
          <w:cantSplit/>
        </w:trPr>
        <w:tc>
          <w:tcPr>
            <w:tcW w:w="567" w:type="dxa"/>
            <w:shd w:val="clear" w:color="auto" w:fill="auto"/>
            <w:hideMark/>
          </w:tcPr>
          <w:p w:rsidR="00C9789E" w:rsidRPr="00553F98" w:rsidRDefault="00C9789E" w:rsidP="00553F98">
            <w:pPr>
              <w:pStyle w:val="SingleTxtG"/>
              <w:spacing w:before="40" w:after="40" w:line="220" w:lineRule="exact"/>
              <w:ind w:left="0" w:right="113"/>
              <w:jc w:val="left"/>
              <w:rPr>
                <w:sz w:val="18"/>
              </w:rPr>
            </w:pPr>
            <w:r w:rsidRPr="00553F98">
              <w:rPr>
                <w:sz w:val="18"/>
              </w:rPr>
              <w:t>2013</w:t>
            </w:r>
          </w:p>
        </w:tc>
        <w:tc>
          <w:tcPr>
            <w:tcW w:w="2267" w:type="dxa"/>
            <w:shd w:val="clear" w:color="auto" w:fill="auto"/>
            <w:noWrap/>
            <w:vAlign w:val="bottom"/>
            <w:hideMark/>
          </w:tcPr>
          <w:p w:rsidR="00C9789E" w:rsidRPr="00553F98" w:rsidRDefault="00C9789E" w:rsidP="00553F98">
            <w:pPr>
              <w:pStyle w:val="SingleTxtG"/>
              <w:spacing w:before="40" w:after="40" w:line="220" w:lineRule="exact"/>
              <w:ind w:left="0" w:right="113"/>
              <w:jc w:val="right"/>
              <w:rPr>
                <w:sz w:val="18"/>
              </w:rPr>
            </w:pPr>
            <w:r w:rsidRPr="00553F98">
              <w:rPr>
                <w:sz w:val="18"/>
              </w:rPr>
              <w:t>11.9</w:t>
            </w:r>
          </w:p>
        </w:tc>
        <w:tc>
          <w:tcPr>
            <w:tcW w:w="2268" w:type="dxa"/>
            <w:shd w:val="clear" w:color="auto" w:fill="auto"/>
            <w:noWrap/>
            <w:vAlign w:val="bottom"/>
            <w:hideMark/>
          </w:tcPr>
          <w:p w:rsidR="00C9789E" w:rsidRPr="00553F98" w:rsidRDefault="00C9789E" w:rsidP="00553F98">
            <w:pPr>
              <w:pStyle w:val="SingleTxtG"/>
              <w:spacing w:before="40" w:after="40" w:line="220" w:lineRule="exact"/>
              <w:ind w:left="0" w:right="113"/>
              <w:jc w:val="right"/>
              <w:rPr>
                <w:sz w:val="18"/>
              </w:rPr>
            </w:pPr>
            <w:r w:rsidRPr="00553F98">
              <w:rPr>
                <w:sz w:val="18"/>
              </w:rPr>
              <w:t>12.3</w:t>
            </w:r>
          </w:p>
        </w:tc>
        <w:tc>
          <w:tcPr>
            <w:tcW w:w="2268" w:type="dxa"/>
            <w:shd w:val="clear" w:color="auto" w:fill="auto"/>
            <w:noWrap/>
            <w:vAlign w:val="bottom"/>
            <w:hideMark/>
          </w:tcPr>
          <w:p w:rsidR="00C9789E" w:rsidRPr="00553F98" w:rsidRDefault="00C9789E" w:rsidP="00553F98">
            <w:pPr>
              <w:pStyle w:val="SingleTxtG"/>
              <w:spacing w:before="40" w:after="40" w:line="220" w:lineRule="exact"/>
              <w:ind w:left="0" w:right="113"/>
              <w:jc w:val="right"/>
              <w:rPr>
                <w:sz w:val="18"/>
              </w:rPr>
            </w:pPr>
            <w:r w:rsidRPr="00553F98">
              <w:rPr>
                <w:sz w:val="18"/>
              </w:rPr>
              <w:t>11.9</w:t>
            </w:r>
          </w:p>
        </w:tc>
      </w:tr>
      <w:tr w:rsidR="00C9789E" w:rsidRPr="00553F98" w:rsidTr="00B77308">
        <w:trPr>
          <w:cantSplit/>
        </w:trPr>
        <w:tc>
          <w:tcPr>
            <w:tcW w:w="567" w:type="dxa"/>
            <w:shd w:val="clear" w:color="auto" w:fill="auto"/>
            <w:hideMark/>
          </w:tcPr>
          <w:p w:rsidR="00C9789E" w:rsidRPr="00553F98" w:rsidRDefault="00C9789E" w:rsidP="00553F98">
            <w:pPr>
              <w:pStyle w:val="SingleTxtG"/>
              <w:spacing w:before="40" w:after="40" w:line="220" w:lineRule="exact"/>
              <w:ind w:left="0" w:right="113"/>
              <w:jc w:val="left"/>
              <w:rPr>
                <w:sz w:val="18"/>
              </w:rPr>
            </w:pPr>
            <w:r w:rsidRPr="00553F98">
              <w:rPr>
                <w:sz w:val="18"/>
              </w:rPr>
              <w:t>2014</w:t>
            </w:r>
          </w:p>
        </w:tc>
        <w:tc>
          <w:tcPr>
            <w:tcW w:w="2267" w:type="dxa"/>
            <w:shd w:val="clear" w:color="auto" w:fill="auto"/>
            <w:noWrap/>
            <w:vAlign w:val="bottom"/>
            <w:hideMark/>
          </w:tcPr>
          <w:p w:rsidR="00C9789E" w:rsidRPr="00553F98" w:rsidRDefault="00C9789E" w:rsidP="00553F98">
            <w:pPr>
              <w:pStyle w:val="SingleTxtG"/>
              <w:spacing w:before="40" w:after="40" w:line="220" w:lineRule="exact"/>
              <w:ind w:left="0" w:right="113"/>
              <w:jc w:val="right"/>
              <w:rPr>
                <w:sz w:val="18"/>
              </w:rPr>
            </w:pPr>
            <w:r w:rsidRPr="00553F98">
              <w:rPr>
                <w:sz w:val="18"/>
              </w:rPr>
              <w:t>11.4</w:t>
            </w:r>
          </w:p>
        </w:tc>
        <w:tc>
          <w:tcPr>
            <w:tcW w:w="2268" w:type="dxa"/>
            <w:shd w:val="clear" w:color="auto" w:fill="auto"/>
            <w:noWrap/>
            <w:vAlign w:val="bottom"/>
            <w:hideMark/>
          </w:tcPr>
          <w:p w:rsidR="00C9789E" w:rsidRPr="00553F98" w:rsidRDefault="00C9789E" w:rsidP="00553F98">
            <w:pPr>
              <w:pStyle w:val="SingleTxtG"/>
              <w:spacing w:before="40" w:after="40" w:line="220" w:lineRule="exact"/>
              <w:ind w:left="0" w:right="113"/>
              <w:jc w:val="right"/>
              <w:rPr>
                <w:sz w:val="18"/>
              </w:rPr>
            </w:pPr>
            <w:r w:rsidRPr="00553F98">
              <w:rPr>
                <w:sz w:val="18"/>
              </w:rPr>
              <w:t>11.7</w:t>
            </w:r>
          </w:p>
        </w:tc>
        <w:tc>
          <w:tcPr>
            <w:tcW w:w="2268" w:type="dxa"/>
            <w:shd w:val="clear" w:color="auto" w:fill="auto"/>
            <w:noWrap/>
            <w:vAlign w:val="bottom"/>
            <w:hideMark/>
          </w:tcPr>
          <w:p w:rsidR="00C9789E" w:rsidRPr="00553F98" w:rsidRDefault="00C9789E" w:rsidP="00553F98">
            <w:pPr>
              <w:pStyle w:val="SingleTxtG"/>
              <w:spacing w:before="40" w:after="40" w:line="220" w:lineRule="exact"/>
              <w:ind w:left="0" w:right="113"/>
              <w:jc w:val="right"/>
              <w:rPr>
                <w:sz w:val="18"/>
              </w:rPr>
            </w:pPr>
            <w:r w:rsidRPr="00553F98">
              <w:rPr>
                <w:sz w:val="18"/>
              </w:rPr>
              <w:t>11.4</w:t>
            </w:r>
          </w:p>
        </w:tc>
      </w:tr>
      <w:tr w:rsidR="00C9789E" w:rsidRPr="00553F98" w:rsidTr="00B77308">
        <w:trPr>
          <w:cantSplit/>
        </w:trPr>
        <w:tc>
          <w:tcPr>
            <w:tcW w:w="567" w:type="dxa"/>
            <w:shd w:val="clear" w:color="auto" w:fill="auto"/>
            <w:hideMark/>
          </w:tcPr>
          <w:p w:rsidR="00C9789E" w:rsidRPr="00553F98" w:rsidRDefault="00C9789E" w:rsidP="00553F98">
            <w:pPr>
              <w:pStyle w:val="SingleTxtG"/>
              <w:spacing w:before="40" w:after="40" w:line="220" w:lineRule="exact"/>
              <w:ind w:left="0" w:right="113"/>
              <w:jc w:val="left"/>
              <w:rPr>
                <w:sz w:val="18"/>
              </w:rPr>
            </w:pPr>
            <w:r w:rsidRPr="00553F98">
              <w:rPr>
                <w:sz w:val="18"/>
              </w:rPr>
              <w:t>2015</w:t>
            </w:r>
          </w:p>
        </w:tc>
        <w:tc>
          <w:tcPr>
            <w:tcW w:w="2267" w:type="dxa"/>
            <w:shd w:val="clear" w:color="auto" w:fill="auto"/>
            <w:noWrap/>
            <w:vAlign w:val="bottom"/>
            <w:hideMark/>
          </w:tcPr>
          <w:p w:rsidR="00C9789E" w:rsidRPr="00553F98" w:rsidRDefault="00C9789E" w:rsidP="00553F98">
            <w:pPr>
              <w:pStyle w:val="SingleTxtG"/>
              <w:spacing w:before="40" w:after="40" w:line="220" w:lineRule="exact"/>
              <w:ind w:left="0" w:right="113"/>
              <w:jc w:val="right"/>
              <w:rPr>
                <w:sz w:val="18"/>
              </w:rPr>
            </w:pPr>
            <w:r w:rsidRPr="00553F98">
              <w:rPr>
                <w:sz w:val="18"/>
              </w:rPr>
              <w:t>11.4</w:t>
            </w:r>
          </w:p>
        </w:tc>
        <w:tc>
          <w:tcPr>
            <w:tcW w:w="2268" w:type="dxa"/>
            <w:shd w:val="clear" w:color="auto" w:fill="auto"/>
            <w:noWrap/>
            <w:vAlign w:val="bottom"/>
            <w:hideMark/>
          </w:tcPr>
          <w:p w:rsidR="00C9789E" w:rsidRPr="00553F98" w:rsidRDefault="00C9789E" w:rsidP="00553F98">
            <w:pPr>
              <w:pStyle w:val="SingleTxtG"/>
              <w:spacing w:before="40" w:after="40" w:line="220" w:lineRule="exact"/>
              <w:ind w:left="0" w:right="113"/>
              <w:jc w:val="right"/>
              <w:rPr>
                <w:sz w:val="18"/>
              </w:rPr>
            </w:pPr>
            <w:r w:rsidRPr="00553F98">
              <w:rPr>
                <w:sz w:val="18"/>
              </w:rPr>
              <w:t>10.3</w:t>
            </w:r>
          </w:p>
        </w:tc>
        <w:tc>
          <w:tcPr>
            <w:tcW w:w="2268" w:type="dxa"/>
            <w:shd w:val="clear" w:color="auto" w:fill="auto"/>
            <w:noWrap/>
            <w:vAlign w:val="bottom"/>
            <w:hideMark/>
          </w:tcPr>
          <w:p w:rsidR="00C9789E" w:rsidRPr="00553F98" w:rsidRDefault="00C9789E" w:rsidP="00553F98">
            <w:pPr>
              <w:pStyle w:val="SingleTxtG"/>
              <w:spacing w:before="40" w:after="40" w:line="220" w:lineRule="exact"/>
              <w:ind w:left="0" w:right="113"/>
              <w:jc w:val="right"/>
              <w:rPr>
                <w:sz w:val="18"/>
              </w:rPr>
            </w:pPr>
            <w:r w:rsidRPr="00553F98">
              <w:rPr>
                <w:sz w:val="18"/>
              </w:rPr>
              <w:t>11.3</w:t>
            </w:r>
          </w:p>
        </w:tc>
      </w:tr>
      <w:tr w:rsidR="00C9789E" w:rsidRPr="00553F98" w:rsidTr="00B77308">
        <w:trPr>
          <w:cantSplit/>
        </w:trPr>
        <w:tc>
          <w:tcPr>
            <w:tcW w:w="567" w:type="dxa"/>
            <w:shd w:val="clear" w:color="auto" w:fill="auto"/>
            <w:hideMark/>
          </w:tcPr>
          <w:p w:rsidR="00C9789E" w:rsidRPr="00553F98" w:rsidRDefault="00C9789E" w:rsidP="00553F98">
            <w:pPr>
              <w:pStyle w:val="SingleTxtG"/>
              <w:spacing w:before="40" w:after="40" w:line="220" w:lineRule="exact"/>
              <w:ind w:left="0" w:right="113"/>
              <w:jc w:val="left"/>
              <w:rPr>
                <w:sz w:val="18"/>
              </w:rPr>
            </w:pPr>
            <w:r w:rsidRPr="00553F98">
              <w:rPr>
                <w:sz w:val="18"/>
              </w:rPr>
              <w:t>2016</w:t>
            </w:r>
          </w:p>
        </w:tc>
        <w:tc>
          <w:tcPr>
            <w:tcW w:w="2267" w:type="dxa"/>
            <w:shd w:val="clear" w:color="auto" w:fill="auto"/>
            <w:noWrap/>
            <w:vAlign w:val="bottom"/>
            <w:hideMark/>
          </w:tcPr>
          <w:p w:rsidR="00C9789E" w:rsidRPr="00553F98" w:rsidRDefault="00C9789E" w:rsidP="00553F98">
            <w:pPr>
              <w:pStyle w:val="SingleTxtG"/>
              <w:spacing w:before="40" w:after="40" w:line="220" w:lineRule="exact"/>
              <w:ind w:left="0" w:right="113"/>
              <w:jc w:val="right"/>
              <w:rPr>
                <w:sz w:val="18"/>
              </w:rPr>
            </w:pPr>
            <w:r w:rsidRPr="00553F98">
              <w:rPr>
                <w:sz w:val="18"/>
              </w:rPr>
              <w:t>12.1</w:t>
            </w:r>
          </w:p>
        </w:tc>
        <w:tc>
          <w:tcPr>
            <w:tcW w:w="2268" w:type="dxa"/>
            <w:shd w:val="clear" w:color="auto" w:fill="auto"/>
            <w:noWrap/>
            <w:vAlign w:val="bottom"/>
            <w:hideMark/>
          </w:tcPr>
          <w:p w:rsidR="00C9789E" w:rsidRPr="00553F98" w:rsidRDefault="00C9789E" w:rsidP="00553F98">
            <w:pPr>
              <w:pStyle w:val="SingleTxtG"/>
              <w:spacing w:before="40" w:after="40" w:line="220" w:lineRule="exact"/>
              <w:ind w:left="0" w:right="113"/>
              <w:jc w:val="right"/>
              <w:rPr>
                <w:sz w:val="18"/>
              </w:rPr>
            </w:pPr>
            <w:r w:rsidRPr="00553F98">
              <w:rPr>
                <w:sz w:val="18"/>
              </w:rPr>
              <w:t>11.1</w:t>
            </w:r>
          </w:p>
        </w:tc>
        <w:tc>
          <w:tcPr>
            <w:tcW w:w="2268" w:type="dxa"/>
            <w:shd w:val="clear" w:color="auto" w:fill="auto"/>
            <w:noWrap/>
            <w:vAlign w:val="bottom"/>
            <w:hideMark/>
          </w:tcPr>
          <w:p w:rsidR="00C9789E" w:rsidRPr="00553F98" w:rsidRDefault="00C9789E" w:rsidP="00553F98">
            <w:pPr>
              <w:pStyle w:val="SingleTxtG"/>
              <w:spacing w:before="40" w:after="40" w:line="220" w:lineRule="exact"/>
              <w:ind w:left="0" w:right="113"/>
              <w:jc w:val="right"/>
              <w:rPr>
                <w:sz w:val="18"/>
              </w:rPr>
            </w:pPr>
            <w:r w:rsidRPr="00553F98">
              <w:rPr>
                <w:sz w:val="18"/>
              </w:rPr>
              <w:t>12.0</w:t>
            </w:r>
          </w:p>
        </w:tc>
      </w:tr>
    </w:tbl>
    <w:p w:rsidR="00C9789E" w:rsidRPr="00F62F1C" w:rsidRDefault="00C9789E" w:rsidP="00DA587F">
      <w:pPr>
        <w:pStyle w:val="H23G"/>
      </w:pPr>
      <w:r w:rsidRPr="00F62F1C">
        <w:tab/>
      </w:r>
      <w:r w:rsidRPr="00F62F1C">
        <w:tab/>
        <w:t>Impact of measures taken to promote adequate employment for women</w:t>
      </w:r>
    </w:p>
    <w:p w:rsidR="00C9789E" w:rsidRPr="00F62F1C" w:rsidRDefault="00C9789E" w:rsidP="00706221">
      <w:pPr>
        <w:pStyle w:val="SingleTxtG"/>
      </w:pPr>
      <w:r w:rsidRPr="00F62F1C">
        <w:t>137.</w:t>
      </w:r>
      <w:r w:rsidRPr="00F62F1C">
        <w:tab/>
        <w:t xml:space="preserve">In the December 2016 quarter, there were 800 fewer women employed in the construction industry in Canterbury than at the same time the previous year. Women made </w:t>
      </w:r>
      <w:r w:rsidRPr="00F62F1C">
        <w:lastRenderedPageBreak/>
        <w:t>up 16.3 per cent (7,500) of construction workers in Canterbury in the December 2016 quarter. While the number of female construction workers in Canterbury has fallen in the last year, women still make up a larger percentage of the construction industry than before the earthquakes. In the December 2010 quarter women made up 12.7 per cent (3,000) of the construction industry workforce in Canterbury.</w:t>
      </w:r>
    </w:p>
    <w:p w:rsidR="00C9789E" w:rsidRPr="00F62F1C" w:rsidRDefault="00C9789E" w:rsidP="00DA587F">
      <w:pPr>
        <w:pStyle w:val="H23G"/>
      </w:pPr>
      <w:r w:rsidRPr="00F62F1C">
        <w:tab/>
      </w:r>
      <w:r w:rsidRPr="00F62F1C">
        <w:tab/>
        <w:t>Impact of measures taken to promote adequate employment for Māori</w:t>
      </w:r>
    </w:p>
    <w:p w:rsidR="00C9789E" w:rsidRPr="00F62F1C" w:rsidRDefault="00C9789E" w:rsidP="00DA587F">
      <w:pPr>
        <w:pStyle w:val="H4G"/>
      </w:pPr>
      <w:r w:rsidRPr="00F62F1C">
        <w:tab/>
      </w:r>
      <w:r w:rsidRPr="00F62F1C">
        <w:tab/>
        <w:t>Māori and Pasifika Trades Training</w:t>
      </w:r>
    </w:p>
    <w:p w:rsidR="00C9789E" w:rsidRPr="00F62F1C" w:rsidRDefault="00C9789E" w:rsidP="00706221">
      <w:pPr>
        <w:pStyle w:val="SingleTxtG"/>
      </w:pPr>
      <w:r w:rsidRPr="00F62F1C">
        <w:t>138.</w:t>
      </w:r>
      <w:r w:rsidRPr="00F62F1C">
        <w:tab/>
        <w:t>Māori and Pasifika Trades Training (MPTT) is designed to enable more Māori and Pasifika learners, aged 16</w:t>
      </w:r>
      <w:r w:rsidR="003533B9">
        <w:t>-</w:t>
      </w:r>
      <w:r w:rsidRPr="00F62F1C">
        <w:t>40, to obtain practical qualifications and progress to employment and workplace-based training.</w:t>
      </w:r>
    </w:p>
    <w:p w:rsidR="00C9789E" w:rsidRPr="00F62F1C" w:rsidRDefault="00C9789E" w:rsidP="00706221">
      <w:pPr>
        <w:pStyle w:val="SingleTxtG"/>
      </w:pPr>
      <w:r w:rsidRPr="00F62F1C">
        <w:t>139.</w:t>
      </w:r>
      <w:r w:rsidRPr="00F62F1C">
        <w:tab/>
        <w:t xml:space="preserve">Analysis of the impact shows MPTT has made some good progress in terms of performance and progression of MPTT graduates into apprenticeships. Performance figures </w:t>
      </w:r>
      <w:proofErr w:type="spellStart"/>
      <w:r w:rsidRPr="00F62F1C">
        <w:t>indate</w:t>
      </w:r>
      <w:proofErr w:type="spellEnd"/>
      <w:r w:rsidRPr="00F62F1C">
        <w:t xml:space="preserve"> that course completion rates in 2014 were 7.6 percent higher for the MPTT than Non-MPTT Māori and Pasifika learners, studying towards the same qualifications.</w:t>
      </w:r>
    </w:p>
    <w:p w:rsidR="00C9789E" w:rsidRPr="00F62F1C" w:rsidRDefault="00C9789E" w:rsidP="00761D4A">
      <w:pPr>
        <w:pStyle w:val="H4G"/>
      </w:pPr>
      <w:r w:rsidRPr="00F62F1C">
        <w:tab/>
      </w:r>
      <w:r w:rsidRPr="00F62F1C">
        <w:tab/>
      </w:r>
      <w:proofErr w:type="spellStart"/>
      <w:r w:rsidRPr="00F62F1C">
        <w:t>Te</w:t>
      </w:r>
      <w:proofErr w:type="spellEnd"/>
      <w:r w:rsidRPr="00F62F1C">
        <w:t xml:space="preserve"> </w:t>
      </w:r>
      <w:proofErr w:type="spellStart"/>
      <w:r w:rsidRPr="00F62F1C">
        <w:t>Puni</w:t>
      </w:r>
      <w:proofErr w:type="spellEnd"/>
      <w:r w:rsidRPr="00F62F1C">
        <w:t xml:space="preserve"> </w:t>
      </w:r>
      <w:proofErr w:type="spellStart"/>
      <w:r w:rsidRPr="00F62F1C">
        <w:t>Kōkiri</w:t>
      </w:r>
      <w:proofErr w:type="spellEnd"/>
      <w:r w:rsidRPr="00F62F1C">
        <w:t xml:space="preserve"> Cadetships Initiative</w:t>
      </w:r>
    </w:p>
    <w:p w:rsidR="00C9789E" w:rsidRPr="00F62F1C" w:rsidRDefault="00C9789E" w:rsidP="00706221">
      <w:pPr>
        <w:pStyle w:val="SingleTxtG"/>
      </w:pPr>
      <w:r w:rsidRPr="00F62F1C">
        <w:t>140.</w:t>
      </w:r>
      <w:r w:rsidRPr="00F62F1C">
        <w:tab/>
      </w:r>
      <w:proofErr w:type="spellStart"/>
      <w:r w:rsidRPr="00F62F1C">
        <w:t>Te</w:t>
      </w:r>
      <w:proofErr w:type="spellEnd"/>
      <w:r w:rsidRPr="00F62F1C">
        <w:t xml:space="preserve"> </w:t>
      </w:r>
      <w:proofErr w:type="spellStart"/>
      <w:r w:rsidRPr="00F62F1C">
        <w:t>Puni</w:t>
      </w:r>
      <w:proofErr w:type="spellEnd"/>
      <w:r w:rsidRPr="00F62F1C">
        <w:t xml:space="preserve"> </w:t>
      </w:r>
      <w:proofErr w:type="spellStart"/>
      <w:r w:rsidRPr="00F62F1C">
        <w:t>Kōkiri</w:t>
      </w:r>
      <w:proofErr w:type="spellEnd"/>
      <w:r w:rsidRPr="00F62F1C">
        <w:t xml:space="preserve"> Cadetships Initiative was developed to increase Māori achievement in higher-level qualifications. The Government partners with employers in targeted industries including energy, infrastructure telecommunications, transport/logistics, food processing, knowledge-intensive manufacturing or primary industries (excluding the forestry sector) to grow Māori capability and/or improve Māori labour market resiliency during economic recessions, increase Māori participation in strategic and/or growth industries, and build productive relationships with Māori communities.</w:t>
      </w:r>
    </w:p>
    <w:p w:rsidR="00C9789E" w:rsidRPr="00F62F1C" w:rsidRDefault="00C9789E" w:rsidP="00706221">
      <w:pPr>
        <w:pStyle w:val="SingleTxtG"/>
      </w:pPr>
      <w:r w:rsidRPr="00F62F1C">
        <w:t>141.</w:t>
      </w:r>
      <w:r w:rsidRPr="00F62F1C">
        <w:tab/>
        <w:t>Since its inception in 2009, 1767 cadets have participated in the Cadetship Initiative. The level of interest from employers has increased as the value of the initiative has been recognised by sector leaders.</w:t>
      </w:r>
      <w:r w:rsidR="0023775B">
        <w:t xml:space="preserve"> </w:t>
      </w:r>
      <w:r w:rsidRPr="00F62F1C">
        <w:t>In 2014-15 17 employers took on 350 cadets.</w:t>
      </w:r>
      <w:r w:rsidR="0023775B">
        <w:t xml:space="preserve"> </w:t>
      </w:r>
      <w:r w:rsidRPr="00F62F1C">
        <w:t>The number of cadets remaining in employment has increased since 2009 from 71 percent to 100 percent in 2013/2014.</w:t>
      </w:r>
    </w:p>
    <w:p w:rsidR="00C9789E" w:rsidRPr="00F62F1C" w:rsidRDefault="00C9789E" w:rsidP="00761D4A">
      <w:pPr>
        <w:pStyle w:val="H4G"/>
      </w:pPr>
      <w:r w:rsidRPr="00F62F1C">
        <w:tab/>
      </w:r>
      <w:r w:rsidRPr="00F62F1C">
        <w:tab/>
        <w:t>Impact of measures taken to promote adequate employment for young people</w:t>
      </w:r>
    </w:p>
    <w:p w:rsidR="00C9789E" w:rsidRPr="00F62F1C" w:rsidRDefault="00C9789E" w:rsidP="00706221">
      <w:pPr>
        <w:pStyle w:val="SingleTxtG"/>
      </w:pPr>
      <w:r w:rsidRPr="00F62F1C">
        <w:t>142.</w:t>
      </w:r>
      <w:r w:rsidRPr="00F62F1C">
        <w:tab/>
        <w:t>Building Skilled and Safe Workplaces (SSW) brings together New Zealand</w:t>
      </w:r>
      <w:r w:rsidR="00D34D95">
        <w:t>’</w:t>
      </w:r>
      <w:r w:rsidRPr="00F62F1C">
        <w:t>s targets and initiatives for lifting New Zealanders</w:t>
      </w:r>
      <w:r w:rsidR="00D34D95">
        <w:t>’</w:t>
      </w:r>
      <w:r w:rsidRPr="00F62F1C">
        <w:t xml:space="preserve"> skills and qualifications, reducing long-term unemployment and strengthening workplace health and safety. The SSW work stream</w:t>
      </w:r>
      <w:r w:rsidR="00D34D95">
        <w:t>’</w:t>
      </w:r>
      <w:r w:rsidRPr="00F62F1C">
        <w:t>s major results include:</w:t>
      </w:r>
    </w:p>
    <w:p w:rsidR="00C9789E" w:rsidRPr="00F62F1C" w:rsidRDefault="00C9789E" w:rsidP="00761D4A">
      <w:pPr>
        <w:pStyle w:val="Bullet1G"/>
      </w:pPr>
      <w:r w:rsidRPr="00F62F1C">
        <w:t>Lifting the educational achievement of young New Zealanders and supporting them into education, training or employment. Outcomes for young people remain challenging with 15-24 year-olds not in employment, education or training rising slightly from 11.3 percent in the year to December 2015 to 12 percent in the year to December 2016. On track to increase the proportion of 25-34 year-olds with qualifications at New Zealand Qualifications Framework Level 4 or above (i.e. advanced trade qualifications, diplomas and degrees);</w:t>
      </w:r>
    </w:p>
    <w:p w:rsidR="00C9789E" w:rsidRPr="00F62F1C" w:rsidRDefault="00C9789E" w:rsidP="00761D4A">
      <w:pPr>
        <w:pStyle w:val="Bullet1G"/>
      </w:pPr>
      <w:r w:rsidRPr="00F62F1C">
        <w:t>Getting people off benefits and into employment. Since the Government Welfare Reforms on the labour market were introduced in 2012, the number of people on a main benefit has dropped. In December 2016 the number of people on main benefits was 297,010 a reduction from 350,932 in December 2011;</w:t>
      </w:r>
    </w:p>
    <w:p w:rsidR="00C9789E" w:rsidRPr="00F62F1C" w:rsidRDefault="00C9789E" w:rsidP="00761D4A">
      <w:pPr>
        <w:pStyle w:val="Bullet1G"/>
      </w:pPr>
      <w:r w:rsidRPr="00F62F1C">
        <w:t>Apprenticeship participation. An increase in apprenticeship enrolments and participation can be attributed to the Reboot Scheme which was a subsidy for both</w:t>
      </w:r>
      <w:r w:rsidR="0023775B">
        <w:t xml:space="preserve"> </w:t>
      </w:r>
      <w:r w:rsidRPr="00F62F1C">
        <w:t xml:space="preserve">employers for training expenses and an individual signing up to an apprenticeship. The scheme ran from 6 March 2013 to 31 December 2014 and was intended to enhance the profile of New Zealand Apprenticeships, attract new apprentices considering a trade vocation, and to provide an incentive for employers to take on new apprentices. A total number of 20,000 apprenticeship places were funded. </w:t>
      </w:r>
    </w:p>
    <w:p w:rsidR="00C9789E" w:rsidRPr="00F62F1C" w:rsidRDefault="00C9789E" w:rsidP="00B84BE9">
      <w:pPr>
        <w:pStyle w:val="H23G"/>
      </w:pPr>
      <w:r w:rsidRPr="00F62F1C">
        <w:lastRenderedPageBreak/>
        <w:tab/>
      </w:r>
      <w:r w:rsidRPr="00F62F1C">
        <w:tab/>
        <w:t>Youth Guarantee Scheme</w:t>
      </w:r>
    </w:p>
    <w:p w:rsidR="00C9789E" w:rsidRPr="00F62F1C" w:rsidRDefault="00C9789E" w:rsidP="00706221">
      <w:pPr>
        <w:pStyle w:val="SingleTxtG"/>
      </w:pPr>
      <w:r w:rsidRPr="00F62F1C">
        <w:t>143.</w:t>
      </w:r>
      <w:r w:rsidRPr="00F62F1C">
        <w:tab/>
        <w:t>The Youth Guarantee scheme was introduced in 2009, as an initiative to improve the educational achievement of 16 and 17 year olds, particularly those who had not been well-served by traditional schooling.</w:t>
      </w:r>
      <w:r w:rsidR="0023775B">
        <w:t xml:space="preserve"> </w:t>
      </w:r>
    </w:p>
    <w:p w:rsidR="00C9789E" w:rsidRPr="00F62F1C" w:rsidRDefault="00C9789E" w:rsidP="00706221">
      <w:pPr>
        <w:pStyle w:val="SingleTxtG"/>
      </w:pPr>
      <w:r w:rsidRPr="00F62F1C">
        <w:t>144.</w:t>
      </w:r>
      <w:r w:rsidRPr="00F62F1C">
        <w:tab/>
        <w:t xml:space="preserve">Youth Guarantee initiatives notably to improve NCEA Level 2 or equivalent achievement, particularly for Māori and Pasifika, and provides pathways for secondary tertiary transitions through progression into further education or training. It is focused on the 70 percent of young people who do not progress to degree level education with a particular focus on those groups who are at risk of not achieving. </w:t>
      </w:r>
    </w:p>
    <w:p w:rsidR="00C9789E" w:rsidRPr="00F62F1C" w:rsidRDefault="00C9789E" w:rsidP="00CB2556">
      <w:pPr>
        <w:pStyle w:val="H4G"/>
      </w:pPr>
      <w:r w:rsidRPr="00F62F1C">
        <w:tab/>
      </w:r>
      <w:r w:rsidRPr="00F62F1C">
        <w:tab/>
        <w:t>Impact of measures taken to promote adequate employment for persons with disabilities</w:t>
      </w:r>
    </w:p>
    <w:p w:rsidR="00C9789E" w:rsidRPr="00F62F1C" w:rsidRDefault="00C9789E" w:rsidP="00706221">
      <w:pPr>
        <w:pStyle w:val="SingleTxtG"/>
      </w:pPr>
      <w:r w:rsidRPr="00F62F1C">
        <w:t>145.</w:t>
      </w:r>
      <w:r w:rsidRPr="00F62F1C">
        <w:tab/>
        <w:t xml:space="preserve">The Government provides work-focused case management for disabled people and people with health conditions to support them to gain and maintain employment. The Government has also trialled initiatives to support this cohort back to employment, such as through the Young Supported Living Payment trial. </w:t>
      </w:r>
    </w:p>
    <w:p w:rsidR="00C9789E" w:rsidRPr="00F62F1C" w:rsidRDefault="00C9789E" w:rsidP="00706221">
      <w:pPr>
        <w:pStyle w:val="SingleTxtG"/>
      </w:pPr>
      <w:r w:rsidRPr="00F62F1C">
        <w:t>146.</w:t>
      </w:r>
      <w:r w:rsidRPr="00F62F1C">
        <w:tab/>
        <w:t xml:space="preserve">The Government funds a range of organisations to provide specialist services such as supported employment for disabled people and people with health conditions. The impacts of some of the specialist employment interventions for disabled people have produced mixed results. Some interventions show promise. Project 300 was a regional intervention launched in April 2015 that aimed to get 300 health and disability clients into work. The Project exceeded its goal with 505 clients into full-time work and 79 clients into part-time work. Following its success, Project 300 has been rolled out across the country under the name </w:t>
      </w:r>
      <w:r w:rsidR="00152C9E">
        <w:t>“</w:t>
      </w:r>
      <w:proofErr w:type="spellStart"/>
      <w:r w:rsidRPr="00F62F1C">
        <w:t>EmployAbility</w:t>
      </w:r>
      <w:proofErr w:type="spellEnd"/>
      <w:r w:rsidR="00152C9E">
        <w:t>”</w:t>
      </w:r>
      <w:r w:rsidRPr="00F62F1C">
        <w:t>.</w:t>
      </w:r>
    </w:p>
    <w:p w:rsidR="00C9789E" w:rsidRPr="00F62F1C" w:rsidRDefault="00C9789E" w:rsidP="00381F41">
      <w:pPr>
        <w:pStyle w:val="H1G"/>
      </w:pPr>
      <w:r w:rsidRPr="00F62F1C">
        <w:tab/>
      </w:r>
      <w:bookmarkStart w:id="55" w:name="_Toc494359779"/>
      <w:r w:rsidRPr="00F62F1C">
        <w:t>F.</w:t>
      </w:r>
      <w:r w:rsidRPr="00F62F1C">
        <w:tab/>
        <w:t>Article 7</w:t>
      </w:r>
      <w:r w:rsidR="001F5C90">
        <w:t xml:space="preserve"> — </w:t>
      </w:r>
      <w:r w:rsidRPr="00F62F1C">
        <w:t>Right to just and favourable conditions of work</w:t>
      </w:r>
      <w:bookmarkEnd w:id="55"/>
      <w:r w:rsidRPr="00F62F1C">
        <w:t xml:space="preserve"> </w:t>
      </w:r>
    </w:p>
    <w:p w:rsidR="00C9789E" w:rsidRPr="00F62F1C" w:rsidRDefault="00C9789E" w:rsidP="00706221">
      <w:pPr>
        <w:pStyle w:val="SingleTxtG"/>
      </w:pPr>
      <w:r w:rsidRPr="00F62F1C">
        <w:t>147.</w:t>
      </w:r>
      <w:r w:rsidRPr="00F62F1C">
        <w:tab/>
        <w:t xml:space="preserve">The Employment Standards Legislation Bill included a package of measures to prevent unfair employment practices in the New Zealand labour market, such as </w:t>
      </w:r>
      <w:r w:rsidR="00D34D95">
        <w:t>“</w:t>
      </w:r>
      <w:r w:rsidRPr="00F62F1C">
        <w:t>zero-hour contracts</w:t>
      </w:r>
      <w:r w:rsidR="00D34D95">
        <w:t>”</w:t>
      </w:r>
      <w:r w:rsidRPr="00F62F1C">
        <w:t>. The changes prohibit:</w:t>
      </w:r>
    </w:p>
    <w:p w:rsidR="00C9789E" w:rsidRPr="00F62F1C" w:rsidRDefault="00FF1218" w:rsidP="007A7C8B">
      <w:pPr>
        <w:pStyle w:val="Bullet1G"/>
      </w:pPr>
      <w:r w:rsidRPr="00F62F1C">
        <w:t xml:space="preserve">Zero </w:t>
      </w:r>
      <w:r w:rsidR="00C9789E" w:rsidRPr="00F62F1C">
        <w:t>hour contracts by prohibiting unfair employment practices where employers do not commit any hours of work, but expect employees to be available when required without compensation;</w:t>
      </w:r>
    </w:p>
    <w:p w:rsidR="00C9789E" w:rsidRPr="00F62F1C" w:rsidRDefault="00FF1218" w:rsidP="007A7C8B">
      <w:pPr>
        <w:pStyle w:val="Bullet1G"/>
      </w:pPr>
      <w:r w:rsidRPr="00F62F1C">
        <w:t xml:space="preserve">Employers </w:t>
      </w:r>
      <w:r w:rsidR="00C9789E" w:rsidRPr="00F62F1C">
        <w:t>requiring employees to be available to work for more than the agreed hours without having a genuine reason based on reasonable grounds;</w:t>
      </w:r>
    </w:p>
    <w:p w:rsidR="00C9789E" w:rsidRPr="00F62F1C" w:rsidRDefault="00FF1218" w:rsidP="007A7C8B">
      <w:pPr>
        <w:pStyle w:val="Bullet1G"/>
      </w:pPr>
      <w:r w:rsidRPr="00F62F1C">
        <w:t xml:space="preserve">Employers </w:t>
      </w:r>
      <w:r w:rsidR="00C9789E" w:rsidRPr="00F62F1C">
        <w:t>requiring employees to be available to work for more than the agreed hours without paying reasonable compensation for the number of hours the employee is required to be available;</w:t>
      </w:r>
    </w:p>
    <w:p w:rsidR="00C9789E" w:rsidRPr="00F62F1C" w:rsidRDefault="00FF1218" w:rsidP="007A7C8B">
      <w:pPr>
        <w:pStyle w:val="Bullet1G"/>
      </w:pPr>
      <w:r w:rsidRPr="00F62F1C">
        <w:t xml:space="preserve">Employers </w:t>
      </w:r>
      <w:r w:rsidR="00C9789E" w:rsidRPr="00F62F1C">
        <w:t>cancelling a shift without the provision for reasonable notice or reasonable compensation;</w:t>
      </w:r>
    </w:p>
    <w:p w:rsidR="00C9789E" w:rsidRPr="00F62F1C" w:rsidRDefault="00FF1218" w:rsidP="007A7C8B">
      <w:pPr>
        <w:pStyle w:val="Bullet1G"/>
      </w:pPr>
      <w:r w:rsidRPr="00F62F1C">
        <w:t xml:space="preserve">Employers </w:t>
      </w:r>
      <w:r w:rsidR="00C9789E" w:rsidRPr="00F62F1C">
        <w:t>putting unreasonable restrictions on secondary employment of employees;</w:t>
      </w:r>
    </w:p>
    <w:p w:rsidR="00C9789E" w:rsidRPr="00F62F1C" w:rsidRDefault="00FF1218" w:rsidP="007A7C8B">
      <w:pPr>
        <w:pStyle w:val="Bullet1G"/>
      </w:pPr>
      <w:r w:rsidRPr="00F62F1C">
        <w:t xml:space="preserve">Employers </w:t>
      </w:r>
      <w:r w:rsidR="00C9789E" w:rsidRPr="00F62F1C">
        <w:t>making unreasonable deductions from employees</w:t>
      </w:r>
      <w:r w:rsidR="00D34D95">
        <w:t>’</w:t>
      </w:r>
      <w:r w:rsidR="00C9789E" w:rsidRPr="00F62F1C">
        <w:t xml:space="preserve"> wages.</w:t>
      </w:r>
    </w:p>
    <w:p w:rsidR="00C9789E" w:rsidRPr="00F62F1C" w:rsidRDefault="00C9789E" w:rsidP="00706221">
      <w:pPr>
        <w:pStyle w:val="SingleTxtG"/>
      </w:pPr>
      <w:r w:rsidRPr="00F62F1C">
        <w:t>148.</w:t>
      </w:r>
      <w:r w:rsidRPr="00F62F1C">
        <w:tab/>
        <w:t xml:space="preserve">The New Zealand adult minimum wage rate is one of the highest wage rates in the OECD and has been for a number of years. It is currently set at $15.75/hour. The minimum wage rate is reviewed annually. The objective of the minimum wage review is to keep increasing the minimum wage over time to protect the income of low-paid workers. </w:t>
      </w:r>
    </w:p>
    <w:p w:rsidR="00C9789E" w:rsidRPr="00F62F1C" w:rsidRDefault="00C9789E" w:rsidP="00706221">
      <w:pPr>
        <w:pStyle w:val="SingleTxtG"/>
      </w:pPr>
      <w:r w:rsidRPr="00F62F1C">
        <w:t>149.</w:t>
      </w:r>
      <w:r w:rsidRPr="00F62F1C">
        <w:tab/>
        <w:t xml:space="preserve">The adult minimum wage is a minimum entitlement which applies to all employees aged 16 years or over. There are two other minimum wage rates which are set at 80 percent of the adult minimum wage: </w:t>
      </w:r>
    </w:p>
    <w:p w:rsidR="00C9789E" w:rsidRPr="00F62F1C" w:rsidRDefault="00AA1C98" w:rsidP="00AA1C98">
      <w:pPr>
        <w:pStyle w:val="Bullet1G"/>
      </w:pPr>
      <w:r w:rsidRPr="00F62F1C">
        <w:t xml:space="preserve">The </w:t>
      </w:r>
      <w:r w:rsidR="00C9789E" w:rsidRPr="00F62F1C">
        <w:t xml:space="preserve">starting-out wage applies to eligible employees aged 16 to 19 years, and </w:t>
      </w:r>
    </w:p>
    <w:p w:rsidR="00C9789E" w:rsidRPr="00F62F1C" w:rsidRDefault="00AA1C98" w:rsidP="00AA1C98">
      <w:pPr>
        <w:pStyle w:val="Bullet1G"/>
      </w:pPr>
      <w:r w:rsidRPr="00F62F1C">
        <w:t xml:space="preserve">The </w:t>
      </w:r>
      <w:r w:rsidR="00C9789E" w:rsidRPr="00F62F1C">
        <w:t xml:space="preserve">training wage applies to employees aged over 20 years who are undertaking a minimum amount of qualified training. </w:t>
      </w:r>
    </w:p>
    <w:p w:rsidR="00C9789E" w:rsidRPr="00F62F1C" w:rsidRDefault="00C9789E" w:rsidP="00706221">
      <w:pPr>
        <w:pStyle w:val="SingleTxtG"/>
      </w:pPr>
      <w:r w:rsidRPr="00F62F1C">
        <w:lastRenderedPageBreak/>
        <w:t>150.</w:t>
      </w:r>
      <w:r w:rsidRPr="00F62F1C">
        <w:tab/>
        <w:t xml:space="preserve">The minimum wage sets a wage floor. The level of the minimum wage balances the need to ensure that low income workers are not exploited against potential </w:t>
      </w:r>
      <w:r w:rsidR="00080E32">
        <w:t>“</w:t>
      </w:r>
      <w:proofErr w:type="spellStart"/>
      <w:r w:rsidRPr="00F62F1C">
        <w:t>disemployment</w:t>
      </w:r>
      <w:proofErr w:type="spellEnd"/>
      <w:r w:rsidR="00080E32">
        <w:t>”</w:t>
      </w:r>
      <w:r w:rsidRPr="00F62F1C">
        <w:t xml:space="preserve"> effects that increases to the minimum wage rate may have. </w:t>
      </w:r>
    </w:p>
    <w:p w:rsidR="00C9789E" w:rsidRPr="00F62F1C" w:rsidRDefault="00C9789E" w:rsidP="00706221">
      <w:pPr>
        <w:pStyle w:val="SingleTxtG"/>
      </w:pPr>
      <w:r w:rsidRPr="00F62F1C">
        <w:t>151.</w:t>
      </w:r>
      <w:r w:rsidRPr="00F62F1C">
        <w:tab/>
        <w:t xml:space="preserve">The disposable incomes of minimum wage workers are determined by a range of factors, including their eligibility for financial assistance from the government. For example, low income workers may also qualify for Working for Families tax credits from Inland Revenue, and other social assistance available through the Government such as the Accommodation Supplement (to help with the costs of housing). </w:t>
      </w:r>
    </w:p>
    <w:p w:rsidR="00C9789E" w:rsidRPr="00F62F1C" w:rsidRDefault="00C9789E" w:rsidP="00706221">
      <w:pPr>
        <w:pStyle w:val="SingleTxtG"/>
      </w:pPr>
      <w:r w:rsidRPr="00F62F1C">
        <w:t>152.</w:t>
      </w:r>
      <w:r w:rsidRPr="00F62F1C">
        <w:tab/>
        <w:t xml:space="preserve">New Zealand does not have an official poverty measure. The Government publishes updated figures each year to demonstrate trends in indicators of inequality and hardship. </w:t>
      </w:r>
    </w:p>
    <w:p w:rsidR="00C9789E" w:rsidRPr="00F62F1C" w:rsidRDefault="00C9789E" w:rsidP="00F56968">
      <w:pPr>
        <w:pStyle w:val="H4G"/>
      </w:pPr>
      <w:r w:rsidRPr="00F62F1C">
        <w:tab/>
      </w:r>
      <w:r w:rsidRPr="00F62F1C">
        <w:tab/>
        <w:t>Human Rights Act 1993</w:t>
      </w:r>
    </w:p>
    <w:p w:rsidR="00C9789E" w:rsidRPr="00F62F1C" w:rsidRDefault="00C9789E" w:rsidP="00706221">
      <w:pPr>
        <w:pStyle w:val="SingleTxtG"/>
      </w:pPr>
      <w:r w:rsidRPr="00F62F1C">
        <w:t>153.</w:t>
      </w:r>
      <w:r w:rsidRPr="00F62F1C">
        <w:tab/>
        <w:t>The Human Rights Act protects people in New Zealand from discrimination</w:t>
      </w:r>
      <w:r w:rsidR="00C023EF">
        <w:t>.</w:t>
      </w:r>
      <w:r w:rsidRPr="00706221">
        <w:rPr>
          <w:rStyle w:val="FootnoteReference"/>
        </w:rPr>
        <w:footnoteReference w:id="34"/>
      </w:r>
      <w:r w:rsidRPr="00F62F1C">
        <w:t xml:space="preserve"> The Act outlines what behaviours are against the law, and the process for protecting New Zealanders rights. The Human Rights Commission (Commission) respond to, and resolve, human rights complaints from the public through mediation. If a complaint is not resolved at mediation the public can take legal action through the Human Rights Review Tribunal (Tribunal).</w:t>
      </w:r>
    </w:p>
    <w:p w:rsidR="00C9789E" w:rsidRPr="00F62F1C" w:rsidRDefault="00C9789E" w:rsidP="00706221">
      <w:pPr>
        <w:pStyle w:val="SingleTxtG"/>
      </w:pPr>
      <w:r w:rsidRPr="00F62F1C">
        <w:t>154.</w:t>
      </w:r>
      <w:r w:rsidRPr="00F62F1C">
        <w:tab/>
        <w:t>The following chart shows the enquiries received by the Commission that pertained to a prohibited ground of discrimination, coupled with complaints alleging unlawful discrimination. Issues of unlawful discrimination fall into two categories: the public sector (Part 1A of the Human Rights Act 1993), with 30 percent of all enquiries and complaints, and the private sector (Part 2 of the Human Rights Act 1993), with 70 percent. Complaints received by the Commission in 2015/16 b</w:t>
      </w:r>
      <w:r w:rsidR="00B06BE3">
        <w:t>y ground are shown in Figure 20.</w:t>
      </w:r>
    </w:p>
    <w:p w:rsidR="00F56968" w:rsidRDefault="00C9789E" w:rsidP="00F56968">
      <w:pPr>
        <w:pStyle w:val="Heading1"/>
      </w:pPr>
      <w:bookmarkStart w:id="56" w:name="_Toc494359780"/>
      <w:r w:rsidRPr="00F62F1C">
        <w:t>Figure 20</w:t>
      </w:r>
      <w:bookmarkEnd w:id="56"/>
    </w:p>
    <w:p w:rsidR="00C9789E" w:rsidRPr="00F56968" w:rsidRDefault="00C9789E" w:rsidP="00F56968">
      <w:pPr>
        <w:pStyle w:val="SingleTxtG"/>
        <w:jc w:val="left"/>
        <w:rPr>
          <w:b/>
        </w:rPr>
      </w:pPr>
      <w:r w:rsidRPr="00F56968">
        <w:rPr>
          <w:b/>
        </w:rPr>
        <w:t>Unlawful Discrimination Enquiries and Complaints Part1A and Part 2 (Grouped by Ground)</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01"/>
        <w:gridCol w:w="3769"/>
      </w:tblGrid>
      <w:tr w:rsidR="00C9789E" w:rsidRPr="00704EEF" w:rsidTr="00B77308">
        <w:trPr>
          <w:cantSplit/>
          <w:tblHeader/>
        </w:trPr>
        <w:tc>
          <w:tcPr>
            <w:tcW w:w="3601" w:type="dxa"/>
            <w:tcBorders>
              <w:top w:val="single" w:sz="4" w:space="0" w:color="auto"/>
              <w:bottom w:val="single" w:sz="12" w:space="0" w:color="auto"/>
            </w:tcBorders>
            <w:shd w:val="clear" w:color="auto" w:fill="auto"/>
            <w:vAlign w:val="bottom"/>
          </w:tcPr>
          <w:p w:rsidR="00C9789E" w:rsidRPr="00704EEF" w:rsidRDefault="00C9789E" w:rsidP="00704EEF">
            <w:pPr>
              <w:pStyle w:val="SingleTxtG"/>
              <w:spacing w:before="80" w:after="80" w:line="200" w:lineRule="exact"/>
              <w:ind w:left="0" w:right="113"/>
              <w:jc w:val="left"/>
              <w:rPr>
                <w:i/>
                <w:sz w:val="16"/>
              </w:rPr>
            </w:pPr>
            <w:r w:rsidRPr="00704EEF">
              <w:rPr>
                <w:i/>
                <w:sz w:val="16"/>
              </w:rPr>
              <w:t>Ground</w:t>
            </w:r>
          </w:p>
        </w:tc>
        <w:tc>
          <w:tcPr>
            <w:tcW w:w="3769" w:type="dxa"/>
            <w:tcBorders>
              <w:top w:val="single" w:sz="4" w:space="0" w:color="auto"/>
              <w:bottom w:val="single" w:sz="12" w:space="0" w:color="auto"/>
            </w:tcBorders>
            <w:shd w:val="clear" w:color="auto" w:fill="auto"/>
            <w:vAlign w:val="bottom"/>
          </w:tcPr>
          <w:p w:rsidR="00C9789E" w:rsidRPr="00704EEF" w:rsidRDefault="00C9789E" w:rsidP="00704EEF">
            <w:pPr>
              <w:pStyle w:val="SingleTxtG"/>
              <w:spacing w:before="80" w:after="80" w:line="200" w:lineRule="exact"/>
              <w:ind w:left="0" w:right="113"/>
              <w:jc w:val="right"/>
              <w:rPr>
                <w:i/>
                <w:sz w:val="16"/>
              </w:rPr>
            </w:pPr>
            <w:r w:rsidRPr="00704EEF">
              <w:rPr>
                <w:i/>
                <w:sz w:val="16"/>
              </w:rPr>
              <w:t>Number of enquiries and complaints</w:t>
            </w:r>
          </w:p>
        </w:tc>
      </w:tr>
      <w:tr w:rsidR="00C9789E" w:rsidRPr="00704EEF" w:rsidTr="00B77308">
        <w:trPr>
          <w:cantSplit/>
        </w:trPr>
        <w:tc>
          <w:tcPr>
            <w:tcW w:w="3601" w:type="dxa"/>
            <w:tcBorders>
              <w:top w:val="single" w:sz="12" w:space="0" w:color="auto"/>
            </w:tcBorders>
            <w:shd w:val="clear" w:color="auto" w:fill="auto"/>
          </w:tcPr>
          <w:p w:rsidR="00C9789E" w:rsidRPr="00704EEF" w:rsidRDefault="00C9789E" w:rsidP="00704EEF">
            <w:pPr>
              <w:pStyle w:val="SingleTxtG"/>
              <w:spacing w:before="40" w:after="40" w:line="220" w:lineRule="exact"/>
              <w:ind w:left="0" w:right="113"/>
              <w:jc w:val="left"/>
              <w:rPr>
                <w:sz w:val="18"/>
              </w:rPr>
            </w:pPr>
            <w:r w:rsidRPr="00704EEF">
              <w:rPr>
                <w:sz w:val="18"/>
              </w:rPr>
              <w:t>Disability</w:t>
            </w:r>
          </w:p>
        </w:tc>
        <w:tc>
          <w:tcPr>
            <w:tcW w:w="3769" w:type="dxa"/>
            <w:tcBorders>
              <w:top w:val="single" w:sz="12" w:space="0" w:color="auto"/>
            </w:tcBorders>
            <w:shd w:val="clear" w:color="auto" w:fill="auto"/>
            <w:vAlign w:val="bottom"/>
          </w:tcPr>
          <w:p w:rsidR="00C9789E" w:rsidRPr="00704EEF" w:rsidRDefault="00C9789E" w:rsidP="00704EEF">
            <w:pPr>
              <w:pStyle w:val="SingleTxtG"/>
              <w:spacing w:before="40" w:after="40" w:line="220" w:lineRule="exact"/>
              <w:ind w:left="0" w:right="113"/>
              <w:jc w:val="right"/>
              <w:rPr>
                <w:sz w:val="18"/>
              </w:rPr>
            </w:pPr>
            <w:r w:rsidRPr="00704EEF">
              <w:rPr>
                <w:sz w:val="18"/>
              </w:rPr>
              <w:t>455</w:t>
            </w:r>
          </w:p>
        </w:tc>
      </w:tr>
      <w:tr w:rsidR="00C9789E" w:rsidRPr="00704EEF" w:rsidTr="00B77308">
        <w:trPr>
          <w:cantSplit/>
        </w:trPr>
        <w:tc>
          <w:tcPr>
            <w:tcW w:w="3601" w:type="dxa"/>
            <w:shd w:val="clear" w:color="auto" w:fill="auto"/>
          </w:tcPr>
          <w:p w:rsidR="00C9789E" w:rsidRPr="00704EEF" w:rsidRDefault="00C9789E" w:rsidP="00704EEF">
            <w:pPr>
              <w:pStyle w:val="SingleTxtG"/>
              <w:spacing w:before="40" w:after="40" w:line="220" w:lineRule="exact"/>
              <w:ind w:left="0" w:right="113"/>
              <w:jc w:val="left"/>
              <w:rPr>
                <w:sz w:val="18"/>
              </w:rPr>
            </w:pPr>
            <w:r w:rsidRPr="00704EEF">
              <w:rPr>
                <w:sz w:val="18"/>
              </w:rPr>
              <w:t xml:space="preserve">Race related grounds </w:t>
            </w:r>
          </w:p>
        </w:tc>
        <w:tc>
          <w:tcPr>
            <w:tcW w:w="3769" w:type="dxa"/>
            <w:shd w:val="clear" w:color="auto" w:fill="auto"/>
            <w:vAlign w:val="bottom"/>
          </w:tcPr>
          <w:p w:rsidR="00C9789E" w:rsidRPr="00704EEF" w:rsidRDefault="00C9789E" w:rsidP="00704EEF">
            <w:pPr>
              <w:pStyle w:val="SingleTxtG"/>
              <w:spacing w:before="40" w:after="40" w:line="220" w:lineRule="exact"/>
              <w:ind w:left="0" w:right="113"/>
              <w:jc w:val="right"/>
              <w:rPr>
                <w:sz w:val="18"/>
              </w:rPr>
            </w:pPr>
            <w:r w:rsidRPr="00704EEF">
              <w:rPr>
                <w:sz w:val="18"/>
              </w:rPr>
              <w:t>282</w:t>
            </w:r>
          </w:p>
        </w:tc>
      </w:tr>
      <w:tr w:rsidR="00C9789E" w:rsidRPr="00704EEF" w:rsidTr="00B77308">
        <w:trPr>
          <w:cantSplit/>
        </w:trPr>
        <w:tc>
          <w:tcPr>
            <w:tcW w:w="3601" w:type="dxa"/>
            <w:shd w:val="clear" w:color="auto" w:fill="auto"/>
          </w:tcPr>
          <w:p w:rsidR="00C9789E" w:rsidRPr="00704EEF" w:rsidRDefault="00C9789E" w:rsidP="00704EEF">
            <w:pPr>
              <w:pStyle w:val="SingleTxtG"/>
              <w:spacing w:before="40" w:after="40" w:line="220" w:lineRule="exact"/>
              <w:ind w:left="0" w:right="113"/>
              <w:jc w:val="left"/>
              <w:rPr>
                <w:sz w:val="18"/>
              </w:rPr>
            </w:pPr>
            <w:r w:rsidRPr="00704EEF">
              <w:rPr>
                <w:sz w:val="18"/>
              </w:rPr>
              <w:t>Sex</w:t>
            </w:r>
          </w:p>
        </w:tc>
        <w:tc>
          <w:tcPr>
            <w:tcW w:w="3769" w:type="dxa"/>
            <w:shd w:val="clear" w:color="auto" w:fill="auto"/>
            <w:vAlign w:val="bottom"/>
          </w:tcPr>
          <w:p w:rsidR="00C9789E" w:rsidRPr="00704EEF" w:rsidRDefault="00C9789E" w:rsidP="00704EEF">
            <w:pPr>
              <w:pStyle w:val="SingleTxtG"/>
              <w:spacing w:before="40" w:after="40" w:line="220" w:lineRule="exact"/>
              <w:ind w:left="0" w:right="113"/>
              <w:jc w:val="right"/>
              <w:rPr>
                <w:sz w:val="18"/>
              </w:rPr>
            </w:pPr>
            <w:r w:rsidRPr="00704EEF">
              <w:rPr>
                <w:sz w:val="18"/>
              </w:rPr>
              <w:t>199</w:t>
            </w:r>
          </w:p>
        </w:tc>
      </w:tr>
      <w:tr w:rsidR="00C9789E" w:rsidRPr="00704EEF" w:rsidTr="00B77308">
        <w:trPr>
          <w:cantSplit/>
        </w:trPr>
        <w:tc>
          <w:tcPr>
            <w:tcW w:w="3601" w:type="dxa"/>
            <w:shd w:val="clear" w:color="auto" w:fill="auto"/>
          </w:tcPr>
          <w:p w:rsidR="00C9789E" w:rsidRPr="00704EEF" w:rsidRDefault="00C9789E" w:rsidP="00704EEF">
            <w:pPr>
              <w:pStyle w:val="SingleTxtG"/>
              <w:spacing w:before="40" w:after="40" w:line="220" w:lineRule="exact"/>
              <w:ind w:left="0" w:right="113"/>
              <w:jc w:val="left"/>
              <w:rPr>
                <w:sz w:val="18"/>
              </w:rPr>
            </w:pPr>
            <w:r w:rsidRPr="00704EEF">
              <w:rPr>
                <w:sz w:val="18"/>
              </w:rPr>
              <w:t>Age</w:t>
            </w:r>
          </w:p>
        </w:tc>
        <w:tc>
          <w:tcPr>
            <w:tcW w:w="3769" w:type="dxa"/>
            <w:shd w:val="clear" w:color="auto" w:fill="auto"/>
            <w:vAlign w:val="bottom"/>
          </w:tcPr>
          <w:p w:rsidR="00C9789E" w:rsidRPr="00704EEF" w:rsidRDefault="00C9789E" w:rsidP="00704EEF">
            <w:pPr>
              <w:pStyle w:val="SingleTxtG"/>
              <w:spacing w:before="40" w:after="40" w:line="220" w:lineRule="exact"/>
              <w:ind w:left="0" w:right="113"/>
              <w:jc w:val="right"/>
              <w:rPr>
                <w:sz w:val="18"/>
              </w:rPr>
            </w:pPr>
            <w:r w:rsidRPr="00704EEF">
              <w:rPr>
                <w:sz w:val="18"/>
              </w:rPr>
              <w:t>136</w:t>
            </w:r>
          </w:p>
        </w:tc>
      </w:tr>
      <w:tr w:rsidR="00C9789E" w:rsidRPr="00704EEF" w:rsidTr="00B77308">
        <w:trPr>
          <w:cantSplit/>
        </w:trPr>
        <w:tc>
          <w:tcPr>
            <w:tcW w:w="3601" w:type="dxa"/>
            <w:shd w:val="clear" w:color="auto" w:fill="auto"/>
          </w:tcPr>
          <w:p w:rsidR="00C9789E" w:rsidRPr="00704EEF" w:rsidRDefault="00C9789E" w:rsidP="00704EEF">
            <w:pPr>
              <w:pStyle w:val="SingleTxtG"/>
              <w:spacing w:before="40" w:after="40" w:line="220" w:lineRule="exact"/>
              <w:ind w:left="0" w:right="113"/>
              <w:jc w:val="left"/>
              <w:rPr>
                <w:sz w:val="18"/>
              </w:rPr>
            </w:pPr>
            <w:r w:rsidRPr="00704EEF">
              <w:rPr>
                <w:sz w:val="18"/>
              </w:rPr>
              <w:t>Family status</w:t>
            </w:r>
          </w:p>
        </w:tc>
        <w:tc>
          <w:tcPr>
            <w:tcW w:w="3769" w:type="dxa"/>
            <w:shd w:val="clear" w:color="auto" w:fill="auto"/>
            <w:vAlign w:val="bottom"/>
          </w:tcPr>
          <w:p w:rsidR="00C9789E" w:rsidRPr="00704EEF" w:rsidRDefault="00C9789E" w:rsidP="00704EEF">
            <w:pPr>
              <w:pStyle w:val="SingleTxtG"/>
              <w:spacing w:before="40" w:after="40" w:line="220" w:lineRule="exact"/>
              <w:ind w:left="0" w:right="113"/>
              <w:jc w:val="right"/>
              <w:rPr>
                <w:sz w:val="18"/>
              </w:rPr>
            </w:pPr>
            <w:r w:rsidRPr="00704EEF">
              <w:rPr>
                <w:sz w:val="18"/>
              </w:rPr>
              <w:t>103</w:t>
            </w:r>
          </w:p>
        </w:tc>
      </w:tr>
      <w:tr w:rsidR="00C9789E" w:rsidRPr="00704EEF" w:rsidTr="00B77308">
        <w:trPr>
          <w:cantSplit/>
        </w:trPr>
        <w:tc>
          <w:tcPr>
            <w:tcW w:w="3601" w:type="dxa"/>
            <w:shd w:val="clear" w:color="auto" w:fill="auto"/>
          </w:tcPr>
          <w:p w:rsidR="00C9789E" w:rsidRPr="00704EEF" w:rsidRDefault="00C9789E" w:rsidP="00704EEF">
            <w:pPr>
              <w:pStyle w:val="SingleTxtG"/>
              <w:spacing w:before="40" w:after="40" w:line="220" w:lineRule="exact"/>
              <w:ind w:left="0" w:right="113"/>
              <w:jc w:val="left"/>
              <w:rPr>
                <w:sz w:val="18"/>
              </w:rPr>
            </w:pPr>
            <w:r w:rsidRPr="00704EEF">
              <w:rPr>
                <w:sz w:val="18"/>
              </w:rPr>
              <w:t>Sexual harassment</w:t>
            </w:r>
          </w:p>
        </w:tc>
        <w:tc>
          <w:tcPr>
            <w:tcW w:w="3769" w:type="dxa"/>
            <w:shd w:val="clear" w:color="auto" w:fill="auto"/>
            <w:vAlign w:val="bottom"/>
          </w:tcPr>
          <w:p w:rsidR="00C9789E" w:rsidRPr="00704EEF" w:rsidRDefault="00C9789E" w:rsidP="00704EEF">
            <w:pPr>
              <w:pStyle w:val="SingleTxtG"/>
              <w:spacing w:before="40" w:after="40" w:line="220" w:lineRule="exact"/>
              <w:ind w:left="0" w:right="113"/>
              <w:jc w:val="right"/>
              <w:rPr>
                <w:sz w:val="18"/>
              </w:rPr>
            </w:pPr>
            <w:r w:rsidRPr="00704EEF">
              <w:rPr>
                <w:sz w:val="18"/>
              </w:rPr>
              <w:t>93</w:t>
            </w:r>
          </w:p>
        </w:tc>
      </w:tr>
      <w:tr w:rsidR="00C9789E" w:rsidRPr="00704EEF" w:rsidTr="00B77308">
        <w:trPr>
          <w:cantSplit/>
        </w:trPr>
        <w:tc>
          <w:tcPr>
            <w:tcW w:w="3601" w:type="dxa"/>
            <w:shd w:val="clear" w:color="auto" w:fill="auto"/>
          </w:tcPr>
          <w:p w:rsidR="00C9789E" w:rsidRPr="00704EEF" w:rsidRDefault="00C9789E" w:rsidP="00704EEF">
            <w:pPr>
              <w:pStyle w:val="SingleTxtG"/>
              <w:spacing w:before="40" w:after="40" w:line="220" w:lineRule="exact"/>
              <w:ind w:left="0" w:right="113"/>
              <w:jc w:val="left"/>
              <w:rPr>
                <w:sz w:val="18"/>
              </w:rPr>
            </w:pPr>
            <w:r w:rsidRPr="00704EEF">
              <w:rPr>
                <w:sz w:val="18"/>
              </w:rPr>
              <w:t>Religious belief</w:t>
            </w:r>
          </w:p>
        </w:tc>
        <w:tc>
          <w:tcPr>
            <w:tcW w:w="3769" w:type="dxa"/>
            <w:shd w:val="clear" w:color="auto" w:fill="auto"/>
            <w:vAlign w:val="bottom"/>
          </w:tcPr>
          <w:p w:rsidR="00C9789E" w:rsidRPr="00704EEF" w:rsidRDefault="00C9789E" w:rsidP="00704EEF">
            <w:pPr>
              <w:pStyle w:val="SingleTxtG"/>
              <w:spacing w:before="40" w:after="40" w:line="220" w:lineRule="exact"/>
              <w:ind w:left="0" w:right="113"/>
              <w:jc w:val="right"/>
              <w:rPr>
                <w:sz w:val="18"/>
              </w:rPr>
            </w:pPr>
            <w:r w:rsidRPr="00704EEF">
              <w:rPr>
                <w:sz w:val="18"/>
              </w:rPr>
              <w:t>82</w:t>
            </w:r>
          </w:p>
        </w:tc>
      </w:tr>
      <w:tr w:rsidR="00C9789E" w:rsidRPr="00704EEF" w:rsidTr="00B77308">
        <w:trPr>
          <w:cantSplit/>
        </w:trPr>
        <w:tc>
          <w:tcPr>
            <w:tcW w:w="3601" w:type="dxa"/>
            <w:shd w:val="clear" w:color="auto" w:fill="auto"/>
          </w:tcPr>
          <w:p w:rsidR="00C9789E" w:rsidRPr="00704EEF" w:rsidRDefault="00C9789E" w:rsidP="00704EEF">
            <w:pPr>
              <w:pStyle w:val="SingleTxtG"/>
              <w:spacing w:before="40" w:after="40" w:line="220" w:lineRule="exact"/>
              <w:ind w:left="0" w:right="113"/>
              <w:jc w:val="left"/>
              <w:rPr>
                <w:sz w:val="18"/>
              </w:rPr>
            </w:pPr>
            <w:r w:rsidRPr="00704EEF">
              <w:rPr>
                <w:sz w:val="18"/>
              </w:rPr>
              <w:t>Racial harassment</w:t>
            </w:r>
          </w:p>
        </w:tc>
        <w:tc>
          <w:tcPr>
            <w:tcW w:w="3769" w:type="dxa"/>
            <w:shd w:val="clear" w:color="auto" w:fill="auto"/>
            <w:vAlign w:val="bottom"/>
          </w:tcPr>
          <w:p w:rsidR="00C9789E" w:rsidRPr="00704EEF" w:rsidRDefault="00C9789E" w:rsidP="00704EEF">
            <w:pPr>
              <w:pStyle w:val="SingleTxtG"/>
              <w:spacing w:before="40" w:after="40" w:line="220" w:lineRule="exact"/>
              <w:ind w:left="0" w:right="113"/>
              <w:jc w:val="right"/>
              <w:rPr>
                <w:sz w:val="18"/>
              </w:rPr>
            </w:pPr>
            <w:r w:rsidRPr="00704EEF">
              <w:rPr>
                <w:sz w:val="18"/>
              </w:rPr>
              <w:t>80</w:t>
            </w:r>
          </w:p>
        </w:tc>
      </w:tr>
      <w:tr w:rsidR="00C9789E" w:rsidRPr="00704EEF" w:rsidTr="00B77308">
        <w:trPr>
          <w:cantSplit/>
        </w:trPr>
        <w:tc>
          <w:tcPr>
            <w:tcW w:w="3601" w:type="dxa"/>
            <w:shd w:val="clear" w:color="auto" w:fill="auto"/>
          </w:tcPr>
          <w:p w:rsidR="00C9789E" w:rsidRPr="00704EEF" w:rsidRDefault="00C9789E" w:rsidP="00704EEF">
            <w:pPr>
              <w:pStyle w:val="SingleTxtG"/>
              <w:spacing w:before="40" w:after="40" w:line="220" w:lineRule="exact"/>
              <w:ind w:left="0" w:right="113"/>
              <w:jc w:val="left"/>
              <w:rPr>
                <w:sz w:val="18"/>
              </w:rPr>
            </w:pPr>
            <w:r w:rsidRPr="00704EEF">
              <w:rPr>
                <w:sz w:val="18"/>
              </w:rPr>
              <w:t>Racial disharmony</w:t>
            </w:r>
          </w:p>
        </w:tc>
        <w:tc>
          <w:tcPr>
            <w:tcW w:w="3769" w:type="dxa"/>
            <w:shd w:val="clear" w:color="auto" w:fill="auto"/>
            <w:vAlign w:val="bottom"/>
          </w:tcPr>
          <w:p w:rsidR="00C9789E" w:rsidRPr="00704EEF" w:rsidRDefault="00C9789E" w:rsidP="00704EEF">
            <w:pPr>
              <w:pStyle w:val="SingleTxtG"/>
              <w:spacing w:before="40" w:after="40" w:line="220" w:lineRule="exact"/>
              <w:ind w:left="0" w:right="113"/>
              <w:jc w:val="right"/>
              <w:rPr>
                <w:sz w:val="18"/>
              </w:rPr>
            </w:pPr>
            <w:r w:rsidRPr="00704EEF">
              <w:rPr>
                <w:sz w:val="18"/>
              </w:rPr>
              <w:t>53</w:t>
            </w:r>
          </w:p>
        </w:tc>
      </w:tr>
      <w:tr w:rsidR="00C9789E" w:rsidRPr="00704EEF" w:rsidTr="00B77308">
        <w:trPr>
          <w:cantSplit/>
        </w:trPr>
        <w:tc>
          <w:tcPr>
            <w:tcW w:w="3601" w:type="dxa"/>
            <w:shd w:val="clear" w:color="auto" w:fill="auto"/>
          </w:tcPr>
          <w:p w:rsidR="00C9789E" w:rsidRPr="00704EEF" w:rsidRDefault="00C9789E" w:rsidP="00704EEF">
            <w:pPr>
              <w:pStyle w:val="SingleTxtG"/>
              <w:spacing w:before="40" w:after="40" w:line="220" w:lineRule="exact"/>
              <w:ind w:left="0" w:right="113"/>
              <w:jc w:val="left"/>
              <w:rPr>
                <w:sz w:val="18"/>
              </w:rPr>
            </w:pPr>
            <w:r w:rsidRPr="00704EEF">
              <w:rPr>
                <w:sz w:val="18"/>
              </w:rPr>
              <w:t>Sexual orientation</w:t>
            </w:r>
          </w:p>
        </w:tc>
        <w:tc>
          <w:tcPr>
            <w:tcW w:w="3769" w:type="dxa"/>
            <w:shd w:val="clear" w:color="auto" w:fill="auto"/>
            <w:vAlign w:val="bottom"/>
          </w:tcPr>
          <w:p w:rsidR="00C9789E" w:rsidRPr="00704EEF" w:rsidRDefault="00C9789E" w:rsidP="00704EEF">
            <w:pPr>
              <w:pStyle w:val="SingleTxtG"/>
              <w:spacing w:before="40" w:after="40" w:line="220" w:lineRule="exact"/>
              <w:ind w:left="0" w:right="113"/>
              <w:jc w:val="right"/>
              <w:rPr>
                <w:sz w:val="18"/>
              </w:rPr>
            </w:pPr>
            <w:r w:rsidRPr="00704EEF">
              <w:rPr>
                <w:sz w:val="18"/>
              </w:rPr>
              <w:t>46</w:t>
            </w:r>
          </w:p>
        </w:tc>
      </w:tr>
      <w:tr w:rsidR="00C9789E" w:rsidRPr="00704EEF" w:rsidTr="00B77308">
        <w:trPr>
          <w:cantSplit/>
        </w:trPr>
        <w:tc>
          <w:tcPr>
            <w:tcW w:w="3601" w:type="dxa"/>
            <w:shd w:val="clear" w:color="auto" w:fill="auto"/>
          </w:tcPr>
          <w:p w:rsidR="00C9789E" w:rsidRPr="00704EEF" w:rsidRDefault="00C9789E" w:rsidP="00704EEF">
            <w:pPr>
              <w:pStyle w:val="SingleTxtG"/>
              <w:spacing w:before="40" w:after="40" w:line="220" w:lineRule="exact"/>
              <w:ind w:left="0" w:right="113"/>
              <w:jc w:val="left"/>
              <w:rPr>
                <w:sz w:val="18"/>
              </w:rPr>
            </w:pPr>
            <w:r w:rsidRPr="00704EEF">
              <w:rPr>
                <w:sz w:val="18"/>
              </w:rPr>
              <w:t>Marital status</w:t>
            </w:r>
          </w:p>
        </w:tc>
        <w:tc>
          <w:tcPr>
            <w:tcW w:w="3769" w:type="dxa"/>
            <w:shd w:val="clear" w:color="auto" w:fill="auto"/>
            <w:vAlign w:val="bottom"/>
          </w:tcPr>
          <w:p w:rsidR="00C9789E" w:rsidRPr="00704EEF" w:rsidRDefault="00C9789E" w:rsidP="00704EEF">
            <w:pPr>
              <w:pStyle w:val="SingleTxtG"/>
              <w:spacing w:before="40" w:after="40" w:line="220" w:lineRule="exact"/>
              <w:ind w:left="0" w:right="113"/>
              <w:jc w:val="right"/>
              <w:rPr>
                <w:sz w:val="18"/>
              </w:rPr>
            </w:pPr>
            <w:r w:rsidRPr="00704EEF">
              <w:rPr>
                <w:sz w:val="18"/>
              </w:rPr>
              <w:t>30</w:t>
            </w:r>
          </w:p>
        </w:tc>
      </w:tr>
      <w:tr w:rsidR="00C9789E" w:rsidRPr="00704EEF" w:rsidTr="00B77308">
        <w:trPr>
          <w:cantSplit/>
        </w:trPr>
        <w:tc>
          <w:tcPr>
            <w:tcW w:w="3601" w:type="dxa"/>
            <w:shd w:val="clear" w:color="auto" w:fill="auto"/>
          </w:tcPr>
          <w:p w:rsidR="00C9789E" w:rsidRPr="00704EEF" w:rsidRDefault="00C9789E" w:rsidP="00704EEF">
            <w:pPr>
              <w:pStyle w:val="SingleTxtG"/>
              <w:spacing w:before="40" w:after="40" w:line="220" w:lineRule="exact"/>
              <w:ind w:left="0" w:right="113"/>
              <w:jc w:val="left"/>
              <w:rPr>
                <w:sz w:val="18"/>
              </w:rPr>
            </w:pPr>
            <w:r w:rsidRPr="00704EEF">
              <w:rPr>
                <w:sz w:val="18"/>
              </w:rPr>
              <w:t>Employment status</w:t>
            </w:r>
          </w:p>
        </w:tc>
        <w:tc>
          <w:tcPr>
            <w:tcW w:w="3769" w:type="dxa"/>
            <w:shd w:val="clear" w:color="auto" w:fill="auto"/>
            <w:vAlign w:val="bottom"/>
          </w:tcPr>
          <w:p w:rsidR="00C9789E" w:rsidRPr="00704EEF" w:rsidRDefault="00C9789E" w:rsidP="00704EEF">
            <w:pPr>
              <w:pStyle w:val="SingleTxtG"/>
              <w:spacing w:before="40" w:after="40" w:line="220" w:lineRule="exact"/>
              <w:ind w:left="0" w:right="113"/>
              <w:jc w:val="right"/>
              <w:rPr>
                <w:sz w:val="18"/>
              </w:rPr>
            </w:pPr>
            <w:r w:rsidRPr="00704EEF">
              <w:rPr>
                <w:sz w:val="18"/>
              </w:rPr>
              <w:t>27</w:t>
            </w:r>
          </w:p>
        </w:tc>
      </w:tr>
      <w:tr w:rsidR="00C9789E" w:rsidRPr="00704EEF" w:rsidTr="00B77308">
        <w:trPr>
          <w:cantSplit/>
        </w:trPr>
        <w:tc>
          <w:tcPr>
            <w:tcW w:w="3601" w:type="dxa"/>
            <w:shd w:val="clear" w:color="auto" w:fill="auto"/>
          </w:tcPr>
          <w:p w:rsidR="00C9789E" w:rsidRPr="00704EEF" w:rsidRDefault="00C9789E" w:rsidP="00704EEF">
            <w:pPr>
              <w:pStyle w:val="SingleTxtG"/>
              <w:spacing w:before="40" w:after="40" w:line="220" w:lineRule="exact"/>
              <w:ind w:left="0" w:right="113"/>
              <w:jc w:val="left"/>
              <w:rPr>
                <w:sz w:val="18"/>
              </w:rPr>
            </w:pPr>
            <w:r w:rsidRPr="00704EEF">
              <w:rPr>
                <w:sz w:val="18"/>
              </w:rPr>
              <w:t>Ethical belief</w:t>
            </w:r>
          </w:p>
        </w:tc>
        <w:tc>
          <w:tcPr>
            <w:tcW w:w="3769" w:type="dxa"/>
            <w:shd w:val="clear" w:color="auto" w:fill="auto"/>
            <w:vAlign w:val="bottom"/>
          </w:tcPr>
          <w:p w:rsidR="00C9789E" w:rsidRPr="00704EEF" w:rsidRDefault="00C9789E" w:rsidP="00704EEF">
            <w:pPr>
              <w:pStyle w:val="SingleTxtG"/>
              <w:spacing w:before="40" w:after="40" w:line="220" w:lineRule="exact"/>
              <w:ind w:left="0" w:right="113"/>
              <w:jc w:val="right"/>
              <w:rPr>
                <w:sz w:val="18"/>
              </w:rPr>
            </w:pPr>
            <w:r w:rsidRPr="00704EEF">
              <w:rPr>
                <w:sz w:val="18"/>
              </w:rPr>
              <w:t>23</w:t>
            </w:r>
          </w:p>
        </w:tc>
      </w:tr>
      <w:tr w:rsidR="00C9789E" w:rsidRPr="00704EEF" w:rsidTr="00B77308">
        <w:trPr>
          <w:cantSplit/>
        </w:trPr>
        <w:tc>
          <w:tcPr>
            <w:tcW w:w="3601" w:type="dxa"/>
            <w:shd w:val="clear" w:color="auto" w:fill="auto"/>
          </w:tcPr>
          <w:p w:rsidR="00C9789E" w:rsidRPr="00704EEF" w:rsidRDefault="00C9789E" w:rsidP="00704EEF">
            <w:pPr>
              <w:pStyle w:val="SingleTxtG"/>
              <w:spacing w:before="40" w:after="40" w:line="220" w:lineRule="exact"/>
              <w:ind w:left="0" w:right="113"/>
              <w:jc w:val="left"/>
              <w:rPr>
                <w:sz w:val="18"/>
              </w:rPr>
            </w:pPr>
            <w:r w:rsidRPr="00704EEF">
              <w:rPr>
                <w:sz w:val="18"/>
              </w:rPr>
              <w:t>Victimisation</w:t>
            </w:r>
          </w:p>
        </w:tc>
        <w:tc>
          <w:tcPr>
            <w:tcW w:w="3769" w:type="dxa"/>
            <w:shd w:val="clear" w:color="auto" w:fill="auto"/>
            <w:vAlign w:val="bottom"/>
          </w:tcPr>
          <w:p w:rsidR="00C9789E" w:rsidRPr="00704EEF" w:rsidRDefault="00C9789E" w:rsidP="00704EEF">
            <w:pPr>
              <w:pStyle w:val="SingleTxtG"/>
              <w:spacing w:before="40" w:after="40" w:line="220" w:lineRule="exact"/>
              <w:ind w:left="0" w:right="113"/>
              <w:jc w:val="right"/>
              <w:rPr>
                <w:sz w:val="18"/>
              </w:rPr>
            </w:pPr>
            <w:r w:rsidRPr="00704EEF">
              <w:rPr>
                <w:sz w:val="18"/>
              </w:rPr>
              <w:t>19</w:t>
            </w:r>
          </w:p>
        </w:tc>
      </w:tr>
      <w:tr w:rsidR="00C9789E" w:rsidRPr="00704EEF" w:rsidTr="00B77308">
        <w:trPr>
          <w:cantSplit/>
        </w:trPr>
        <w:tc>
          <w:tcPr>
            <w:tcW w:w="3601" w:type="dxa"/>
            <w:shd w:val="clear" w:color="auto" w:fill="auto"/>
          </w:tcPr>
          <w:p w:rsidR="00C9789E" w:rsidRPr="00704EEF" w:rsidRDefault="00C9789E" w:rsidP="00704EEF">
            <w:pPr>
              <w:pStyle w:val="SingleTxtG"/>
              <w:spacing w:before="40" w:after="40" w:line="220" w:lineRule="exact"/>
              <w:ind w:left="0" w:right="113"/>
              <w:jc w:val="left"/>
              <w:rPr>
                <w:sz w:val="18"/>
              </w:rPr>
            </w:pPr>
            <w:r w:rsidRPr="00704EEF">
              <w:rPr>
                <w:sz w:val="18"/>
              </w:rPr>
              <w:t>Political opinion</w:t>
            </w:r>
          </w:p>
        </w:tc>
        <w:tc>
          <w:tcPr>
            <w:tcW w:w="3769" w:type="dxa"/>
            <w:shd w:val="clear" w:color="auto" w:fill="auto"/>
            <w:vAlign w:val="bottom"/>
          </w:tcPr>
          <w:p w:rsidR="00C9789E" w:rsidRPr="00704EEF" w:rsidRDefault="00C9789E" w:rsidP="00704EEF">
            <w:pPr>
              <w:pStyle w:val="SingleTxtG"/>
              <w:spacing w:before="40" w:after="40" w:line="220" w:lineRule="exact"/>
              <w:ind w:left="0" w:right="113"/>
              <w:jc w:val="right"/>
              <w:rPr>
                <w:sz w:val="18"/>
              </w:rPr>
            </w:pPr>
            <w:r w:rsidRPr="00704EEF">
              <w:rPr>
                <w:sz w:val="18"/>
              </w:rPr>
              <w:t>11</w:t>
            </w:r>
          </w:p>
        </w:tc>
      </w:tr>
    </w:tbl>
    <w:p w:rsidR="00C9789E" w:rsidRPr="00F62F1C" w:rsidRDefault="00C9789E" w:rsidP="00704EEF">
      <w:pPr>
        <w:pStyle w:val="SingleTxtG"/>
        <w:spacing w:before="240"/>
      </w:pPr>
      <w:r w:rsidRPr="00F62F1C">
        <w:t>155.</w:t>
      </w:r>
      <w:r w:rsidRPr="00F62F1C">
        <w:tab/>
        <w:t>The Commission reported 92 percent of customers were satisfied with the Commission</w:t>
      </w:r>
      <w:r w:rsidR="00D34D95">
        <w:t>’</w:t>
      </w:r>
      <w:r w:rsidRPr="00F62F1C">
        <w:t>s mediation process in 2015/16. Ninety-one percent of complaints of unlawful discrimination were closed within one year</w:t>
      </w:r>
      <w:r w:rsidR="002F5089">
        <w:t>.</w:t>
      </w:r>
      <w:r w:rsidRPr="00706221">
        <w:rPr>
          <w:rStyle w:val="FootnoteReference"/>
        </w:rPr>
        <w:footnoteReference w:id="35"/>
      </w:r>
    </w:p>
    <w:p w:rsidR="00C9789E" w:rsidRPr="00F62F1C" w:rsidRDefault="00C9789E" w:rsidP="00706221">
      <w:pPr>
        <w:pStyle w:val="SingleTxtG"/>
      </w:pPr>
      <w:r w:rsidRPr="00F62F1C">
        <w:lastRenderedPageBreak/>
        <w:t>156.</w:t>
      </w:r>
      <w:r w:rsidRPr="00F62F1C">
        <w:tab/>
        <w:t>Remedies available are at the discretion of the Tribunal</w:t>
      </w:r>
      <w:r w:rsidRPr="00706221">
        <w:rPr>
          <w:rStyle w:val="FootnoteReference"/>
        </w:rPr>
        <w:footnoteReference w:id="36"/>
      </w:r>
      <w:r w:rsidRPr="00F62F1C">
        <w:t xml:space="preserve"> including an order restraining the defendant from continuing or repeating the breach, damages, an order that the defendant perform any acts specified in the order with a view to redressing any loss or damage suffered by the complainant, an order that the defendant undertake any specified training or any other programme, or implement any specified policy or programme in order to assist or enable the defendant to comply with the provisions of the HRA, or any other relief the Tribunal thinks fit.</w:t>
      </w:r>
      <w:r w:rsidR="0023775B">
        <w:t xml:space="preserve"> </w:t>
      </w:r>
    </w:p>
    <w:p w:rsidR="00C9789E" w:rsidRPr="00F62F1C" w:rsidRDefault="00C9789E" w:rsidP="00056AE3">
      <w:pPr>
        <w:pStyle w:val="H4G"/>
      </w:pPr>
      <w:r w:rsidRPr="00F62F1C">
        <w:tab/>
      </w:r>
      <w:r w:rsidRPr="00F62F1C">
        <w:tab/>
        <w:t>Employment Relations Act 1992</w:t>
      </w:r>
    </w:p>
    <w:p w:rsidR="00C9789E" w:rsidRPr="00F62F1C" w:rsidRDefault="00C9789E" w:rsidP="00706221">
      <w:pPr>
        <w:pStyle w:val="SingleTxtG"/>
      </w:pPr>
      <w:r w:rsidRPr="00F62F1C">
        <w:t>157.</w:t>
      </w:r>
      <w:r w:rsidRPr="00F62F1C">
        <w:tab/>
        <w:t>The Employment Relations Act (ERA) protects employees from discrimination and sexual and racial harassment</w:t>
      </w:r>
      <w:r w:rsidR="00056AE3">
        <w:t>.</w:t>
      </w:r>
      <w:r w:rsidRPr="00706221">
        <w:rPr>
          <w:rStyle w:val="FootnoteReference"/>
        </w:rPr>
        <w:footnoteReference w:id="37"/>
      </w:r>
      <w:r w:rsidRPr="00F62F1C">
        <w:t xml:space="preserve"> The prohibited grounds for discrimination replicate those in the HRA and include sex, religious belief and ethnic or national origins, among others. Discrimination includes refusing or omitting to offer or afford to that employee the same terms of employment, conditions of work, fringe benefits or opportunities for training, promotion,</w:t>
      </w:r>
      <w:r w:rsidR="0023775B">
        <w:t xml:space="preserve"> </w:t>
      </w:r>
      <w:r w:rsidRPr="00F62F1C">
        <w:t>or transfer as are made available for other employees of the same or substantially similar qualifications, experience or skills employed in the same or substantially similar circumstances.</w:t>
      </w:r>
      <w:r w:rsidR="0023775B">
        <w:t xml:space="preserve"> </w:t>
      </w:r>
    </w:p>
    <w:p w:rsidR="00C9789E" w:rsidRPr="00F62F1C" w:rsidRDefault="00C9789E" w:rsidP="00706221">
      <w:pPr>
        <w:pStyle w:val="SingleTxtG"/>
      </w:pPr>
      <w:r w:rsidRPr="00F62F1C">
        <w:t>158.</w:t>
      </w:r>
      <w:r w:rsidRPr="00F62F1C">
        <w:tab/>
        <w:t xml:space="preserve">The ERA also provides a means to address bullying in employment. Repeated verbal or emotional attacks on an employee may constitute a breach of good faith, as the duty of good faith requires parties in an employment relationship to be active and constructive in maintaining productive employment relationships. </w:t>
      </w:r>
    </w:p>
    <w:p w:rsidR="00C9789E" w:rsidRPr="00F62F1C" w:rsidRDefault="00C9789E" w:rsidP="00706221">
      <w:pPr>
        <w:pStyle w:val="SingleTxtG"/>
      </w:pPr>
      <w:r w:rsidRPr="00F62F1C">
        <w:t>159.</w:t>
      </w:r>
      <w:r w:rsidRPr="00F62F1C">
        <w:tab/>
        <w:t>The Government provides a free employment mediation service to help resolve employment relationship problems. In 2015, the mediation service received 7,115 applications. This included 55 applications which were recorded as relating to discrimination</w:t>
      </w:r>
      <w:r w:rsidR="003E58BE">
        <w:t>.</w:t>
      </w:r>
      <w:r w:rsidRPr="00706221">
        <w:rPr>
          <w:rStyle w:val="FootnoteReference"/>
        </w:rPr>
        <w:footnoteReference w:id="38"/>
      </w:r>
    </w:p>
    <w:p w:rsidR="00C9789E" w:rsidRPr="00F62F1C" w:rsidRDefault="00C9789E" w:rsidP="00706221">
      <w:pPr>
        <w:pStyle w:val="SingleTxtG"/>
      </w:pPr>
      <w:r w:rsidRPr="00F62F1C">
        <w:t>160.</w:t>
      </w:r>
      <w:r w:rsidRPr="00F62F1C">
        <w:tab/>
        <w:t xml:space="preserve">If mediation is unsuccessful or not wanted, employees can raise a personal grievance with their employer under the ERA in relation to discrimination, sexual or racial harassment or workplace bullying. Employees may then bring proceedings in the Employment Relations Authority and subsequently the Employment Court. </w:t>
      </w:r>
    </w:p>
    <w:p w:rsidR="00C9789E" w:rsidRPr="00F62F1C" w:rsidRDefault="00C9789E" w:rsidP="00706221">
      <w:pPr>
        <w:pStyle w:val="SingleTxtG"/>
      </w:pPr>
      <w:r w:rsidRPr="00F62F1C">
        <w:t>161.</w:t>
      </w:r>
      <w:r w:rsidRPr="00F62F1C">
        <w:tab/>
        <w:t>The Employment Relations Authority or the Employment Court may award a range of remedies</w:t>
      </w:r>
      <w:r w:rsidRPr="00706221">
        <w:rPr>
          <w:rStyle w:val="FootnoteReference"/>
        </w:rPr>
        <w:footnoteReference w:id="39"/>
      </w:r>
      <w:r w:rsidRPr="00F62F1C">
        <w:t xml:space="preserve"> including reinstating the employee in the employee</w:t>
      </w:r>
      <w:r w:rsidR="00D34D95">
        <w:t>’</w:t>
      </w:r>
      <w:r w:rsidRPr="00F62F1C">
        <w:t>s former position or the placement of the employee in a position no less advantageous to the employee, reimbursing the employee of a sum equal to the whole or any part of the wages or other money lost by the employee as a result of the grievance, compensation, disciplinary or rehabilitative action (in sexual or racial harassment cases).</w:t>
      </w:r>
    </w:p>
    <w:p w:rsidR="00C9789E" w:rsidRPr="00F62F1C" w:rsidRDefault="00C9789E" w:rsidP="00032292">
      <w:pPr>
        <w:pStyle w:val="H4G"/>
      </w:pPr>
      <w:r w:rsidRPr="00F62F1C">
        <w:tab/>
      </w:r>
      <w:r w:rsidRPr="00F62F1C">
        <w:tab/>
        <w:t xml:space="preserve">Health and Safety at Work Act 2015 </w:t>
      </w:r>
    </w:p>
    <w:p w:rsidR="00C9789E" w:rsidRPr="00F62F1C" w:rsidRDefault="00C9789E" w:rsidP="00706221">
      <w:pPr>
        <w:pStyle w:val="SingleTxtG"/>
      </w:pPr>
      <w:r w:rsidRPr="00F62F1C">
        <w:t>162.</w:t>
      </w:r>
      <w:r w:rsidRPr="00F62F1C">
        <w:tab/>
        <w:t>Under the Health and Safety at Work Act 2015 (HSWA), a person</w:t>
      </w:r>
      <w:r w:rsidR="00D34D95">
        <w:t>’</w:t>
      </w:r>
      <w:r w:rsidRPr="00F62F1C">
        <w:t xml:space="preserve">s behaviour can be considered a hazard where that behaviour has the potential to cause death, injury or illness to a person. Workplace bullying that creates a risk to the health and safety of workers can therefore be considered a workplace hazard. The HSWA requires that a person conducting business or an undertaking must do what is reasonably practicable to eliminate or minimise a health and safety risk. A failure to manage the risk arising from workplace bullying could give rise to enforcement action being taken by </w:t>
      </w:r>
      <w:proofErr w:type="spellStart"/>
      <w:r w:rsidRPr="00F62F1C">
        <w:t>WorkSafe</w:t>
      </w:r>
      <w:proofErr w:type="spellEnd"/>
      <w:r w:rsidRPr="00F62F1C">
        <w:t xml:space="preserve"> NZ. </w:t>
      </w:r>
    </w:p>
    <w:p w:rsidR="00C9789E" w:rsidRPr="00F62F1C" w:rsidRDefault="00C9789E" w:rsidP="004A19BD">
      <w:pPr>
        <w:pStyle w:val="H1G"/>
      </w:pPr>
      <w:r w:rsidRPr="00F62F1C">
        <w:lastRenderedPageBreak/>
        <w:tab/>
      </w:r>
      <w:bookmarkStart w:id="57" w:name="_Toc494359781"/>
      <w:r w:rsidRPr="00F62F1C">
        <w:t>G.</w:t>
      </w:r>
      <w:r w:rsidRPr="00F62F1C">
        <w:tab/>
        <w:t>Article 8</w:t>
      </w:r>
      <w:r w:rsidR="001F5C90">
        <w:t xml:space="preserve"> — </w:t>
      </w:r>
      <w:r w:rsidRPr="00F62F1C">
        <w:t>Trade Union Rights</w:t>
      </w:r>
      <w:bookmarkEnd w:id="57"/>
    </w:p>
    <w:p w:rsidR="00C9789E" w:rsidRPr="00F62F1C" w:rsidRDefault="00C9789E" w:rsidP="00706221">
      <w:pPr>
        <w:pStyle w:val="SingleTxtG"/>
      </w:pPr>
      <w:r w:rsidRPr="00F62F1C">
        <w:t>163.</w:t>
      </w:r>
      <w:r w:rsidRPr="00F62F1C">
        <w:tab/>
        <w:t>The Employment Relations Amendment Act 2016 (ER Act) includes changes to collective bargaining which aim to increase choice and flexibility for parties within the collective bargaining framework, reduce ineffective bargaining, and improve fairness and balance in bargaining requirements. Changes include:</w:t>
      </w:r>
    </w:p>
    <w:p w:rsidR="00C9789E" w:rsidRPr="00F62F1C" w:rsidRDefault="008161F5" w:rsidP="008161F5">
      <w:pPr>
        <w:pStyle w:val="Bullet1G"/>
      </w:pPr>
      <w:r w:rsidRPr="00F62F1C">
        <w:t xml:space="preserve">No </w:t>
      </w:r>
      <w:r w:rsidR="00C9789E" w:rsidRPr="00F62F1C">
        <w:t>requirement for collective agreement to be concluded, however parties must still deal with each other in good faith. The ER Act provides some protections against parties that end bargaining by deadlocking on one issue. Either party can seek a declaration from the Employment Relations Authority about whether bargaining has concluded;</w:t>
      </w:r>
    </w:p>
    <w:p w:rsidR="00C9789E" w:rsidRPr="00F62F1C" w:rsidRDefault="008161F5" w:rsidP="008161F5">
      <w:pPr>
        <w:pStyle w:val="Bullet1G"/>
      </w:pPr>
      <w:r w:rsidRPr="00F62F1C">
        <w:t xml:space="preserve">Removal </w:t>
      </w:r>
      <w:r w:rsidR="00C9789E" w:rsidRPr="00F62F1C">
        <w:t xml:space="preserve">of the </w:t>
      </w:r>
      <w:r>
        <w:t>“</w:t>
      </w:r>
      <w:r w:rsidR="00C9789E" w:rsidRPr="00F62F1C">
        <w:t>30-day rule</w:t>
      </w:r>
      <w:r>
        <w:t>”</w:t>
      </w:r>
      <w:r w:rsidR="00C9789E" w:rsidRPr="00F62F1C">
        <w:t xml:space="preserve"> for new employees. Previously the law required new employees (who were not union members) to be employed on the terms and conditions in the collective agreement for their first 30 days on the job if their work was covered by a collective agreement. The removal of this rule means employees who are not union members can negotiate an individual agreement as they see fit from the start of their employment, even if there is a collective agreement that covers their work;</w:t>
      </w:r>
    </w:p>
    <w:p w:rsidR="00C9789E" w:rsidRPr="00F62F1C" w:rsidRDefault="002B77CD" w:rsidP="008161F5">
      <w:pPr>
        <w:pStyle w:val="Bullet1G"/>
      </w:pPr>
      <w:r w:rsidRPr="00F62F1C">
        <w:t xml:space="preserve">Employers </w:t>
      </w:r>
      <w:r w:rsidR="00C9789E" w:rsidRPr="00F62F1C">
        <w:t>can opt out of bargaining for a multi-employer collective agreement. Where an employer opts out, the employer or union can then initiate bargaining for a single employer collective agreement;</w:t>
      </w:r>
    </w:p>
    <w:p w:rsidR="00C9789E" w:rsidRPr="00F62F1C" w:rsidRDefault="002B77CD" w:rsidP="008161F5">
      <w:pPr>
        <w:pStyle w:val="Bullet1G"/>
      </w:pPr>
      <w:r w:rsidRPr="00F62F1C">
        <w:t xml:space="preserve">Written </w:t>
      </w:r>
      <w:r w:rsidR="00C9789E" w:rsidRPr="00F62F1C">
        <w:t>notice in advance needed for all strikes and lockouts. This change means unions or employees must give written notice of any proposed action to the employer and the Chief Executive of the Ministry of Business Innovation and Employment;</w:t>
      </w:r>
    </w:p>
    <w:p w:rsidR="00C9789E" w:rsidRPr="00F62F1C" w:rsidRDefault="002B77CD" w:rsidP="008161F5">
      <w:pPr>
        <w:pStyle w:val="Bullet1G"/>
      </w:pPr>
      <w:r w:rsidRPr="00F62F1C">
        <w:t xml:space="preserve">Specified </w:t>
      </w:r>
      <w:r w:rsidR="00C9789E" w:rsidRPr="00F62F1C">
        <w:t>pay deductions for partial strikes. Employers have the option to reduce the pay employees would have received if there was no partial strike. Employers must give the workers written notice before making the deduction. If employees think their employer has made or calculated an incorrect deduction, the union must ask the employer in writing for the information they used to calculate the pay deduction. The employer must respond and if the union considers that the employer made a mistake, they must tell the employer. Where the union and employer cannot resolve the matter, the union can apply to the Employment Relations Authority.</w:t>
      </w:r>
    </w:p>
    <w:p w:rsidR="00C9789E" w:rsidRPr="00F62F1C" w:rsidRDefault="00C9789E" w:rsidP="002B77CD">
      <w:pPr>
        <w:pStyle w:val="H1G"/>
      </w:pPr>
      <w:r w:rsidRPr="00F62F1C">
        <w:tab/>
      </w:r>
      <w:bookmarkStart w:id="58" w:name="_Toc494359782"/>
      <w:r w:rsidRPr="00F62F1C">
        <w:t>H.</w:t>
      </w:r>
      <w:r w:rsidRPr="00F62F1C">
        <w:tab/>
        <w:t>Article 9</w:t>
      </w:r>
      <w:r w:rsidR="001F5C90">
        <w:t xml:space="preserve"> — </w:t>
      </w:r>
      <w:r w:rsidRPr="00F62F1C">
        <w:t>Right to social security</w:t>
      </w:r>
      <w:bookmarkEnd w:id="58"/>
    </w:p>
    <w:p w:rsidR="00C9789E" w:rsidRPr="00F62F1C" w:rsidRDefault="00C9789E" w:rsidP="00BF648F">
      <w:pPr>
        <w:pStyle w:val="H23G"/>
      </w:pPr>
      <w:r w:rsidRPr="00F62F1C">
        <w:tab/>
      </w:r>
      <w:r w:rsidRPr="00F62F1C">
        <w:tab/>
        <w:t>Measures taken to ensure that ongoing welfare reforms do not further disadvantage the most marginalized individuals and groups</w:t>
      </w:r>
    </w:p>
    <w:p w:rsidR="00C9789E" w:rsidRPr="00F62F1C" w:rsidRDefault="00C9789E" w:rsidP="00706221">
      <w:pPr>
        <w:pStyle w:val="SingleTxtG"/>
      </w:pPr>
      <w:r w:rsidRPr="00F62F1C">
        <w:t>164.</w:t>
      </w:r>
      <w:r w:rsidRPr="00F62F1C">
        <w:tab/>
        <w:t xml:space="preserve">Participation in employment offers the best opportunity to increase family income to the benefit of parents and children. Welfare reforms reset expectations to encourage those who can work to be actively looking for work. People receiving a main benefit are required to meet work obligations consistent with their work capacity. Those with children are also obliged to take all reasonable steps to ensure that they are accessing key Government services for their children such as education and primary health care. Sanctions are only applied as a last resort with efforts made at every stage to help the client re-comply. </w:t>
      </w:r>
    </w:p>
    <w:p w:rsidR="00C9789E" w:rsidRPr="00F62F1C" w:rsidRDefault="00C9789E" w:rsidP="00706221">
      <w:pPr>
        <w:pStyle w:val="SingleTxtG"/>
      </w:pPr>
      <w:r w:rsidRPr="00F62F1C">
        <w:t>165.</w:t>
      </w:r>
      <w:r w:rsidRPr="00F62F1C">
        <w:tab/>
        <w:t xml:space="preserve">Welfare reforms increase support to those most at risk of long term benefit dependence. The reforms have resulted in increased availability of employment assistance and case management support for those most likely to stay on benefit long term, for example sole parents and those with health conditions or disabilities. Main benefit numbers in June 2016 were lower than in June 2011. </w:t>
      </w:r>
    </w:p>
    <w:p w:rsidR="00C9789E" w:rsidRPr="00F62F1C" w:rsidRDefault="00C9789E" w:rsidP="00561388">
      <w:pPr>
        <w:pStyle w:val="H23G"/>
      </w:pPr>
      <w:r w:rsidRPr="00F62F1C">
        <w:tab/>
      </w:r>
      <w:r w:rsidRPr="00F62F1C">
        <w:tab/>
        <w:t>Social assistance measures in place for those no longer entitled to insurance-linked benefits</w:t>
      </w:r>
    </w:p>
    <w:p w:rsidR="00C9789E" w:rsidRPr="00F62F1C" w:rsidRDefault="00C9789E" w:rsidP="00706221">
      <w:pPr>
        <w:pStyle w:val="SingleTxtG"/>
      </w:pPr>
      <w:r w:rsidRPr="00F62F1C">
        <w:t>166.</w:t>
      </w:r>
      <w:r w:rsidRPr="00F62F1C">
        <w:tab/>
        <w:t xml:space="preserve">New Zealand does not have insurance-linked benefits; instead New Zealand has welfare benefits based on need-based eligibility criteria that are not linked to insurance </w:t>
      </w:r>
      <w:r w:rsidRPr="00F62F1C">
        <w:lastRenderedPageBreak/>
        <w:t>contributions.</w:t>
      </w:r>
      <w:r w:rsidRPr="00706221">
        <w:rPr>
          <w:rStyle w:val="FootnoteReference"/>
        </w:rPr>
        <w:footnoteReference w:id="40"/>
      </w:r>
      <w:r w:rsidRPr="00F62F1C">
        <w:t xml:space="preserve"> Welfare eligibility is not linked to contributions and is not time-limited; therefore no social assistance measures are required as entitlement is on-going, provided recipients meet the conditions of assistance.</w:t>
      </w:r>
    </w:p>
    <w:p w:rsidR="00C9789E" w:rsidRPr="00F62F1C" w:rsidRDefault="00C9789E" w:rsidP="00706221">
      <w:pPr>
        <w:pStyle w:val="SingleTxtG"/>
      </w:pPr>
      <w:r w:rsidRPr="00F62F1C">
        <w:t>167.</w:t>
      </w:r>
      <w:r w:rsidRPr="00F62F1C">
        <w:tab/>
        <w:t xml:space="preserve">The intent of the welfare reform is to improve outcomes for New Zealanders by ensuring that those who can work are actively looking for work. The reforms also ensure that beneficiaries with children are taking all reasonable steps to ensure that they are accessing key Government services such as primary health care and education for their children (social obligations). It is the most disadvantaged and vulnerable families in the benefit system who are more likely to not fully participate in child education and health initiatives. </w:t>
      </w:r>
    </w:p>
    <w:p w:rsidR="00C9789E" w:rsidRPr="00F62F1C" w:rsidRDefault="00C9789E" w:rsidP="00706221">
      <w:pPr>
        <w:pStyle w:val="SingleTxtG"/>
      </w:pPr>
      <w:r w:rsidRPr="00F62F1C">
        <w:t>168.</w:t>
      </w:r>
      <w:r w:rsidRPr="00F62F1C">
        <w:tab/>
        <w:t xml:space="preserve">Sanctions are only used when clients do not have a good and sufficient reason for not meeting their obligations and assistance can be resumed provided the client meets their obligations. The sanction regime for work obligations is tiered, with sanctions increasing if the client does not meet their obligations on additional occasions. A sanction reduces the amount of benefit payment payable to the client. All clients who fail their obligations have a five working day notice period to dispute the failure or </w:t>
      </w:r>
      <w:proofErr w:type="spellStart"/>
      <w:r w:rsidRPr="00F62F1C">
        <w:t>recomply</w:t>
      </w:r>
      <w:proofErr w:type="spellEnd"/>
      <w:r w:rsidRPr="00F62F1C">
        <w:t xml:space="preserve"> before a sanction is imposed. </w:t>
      </w:r>
    </w:p>
    <w:p w:rsidR="00C9789E" w:rsidRPr="00F62F1C" w:rsidRDefault="00C9789E" w:rsidP="00706221">
      <w:pPr>
        <w:pStyle w:val="SingleTxtG"/>
      </w:pPr>
      <w:r w:rsidRPr="00F62F1C">
        <w:t>169.</w:t>
      </w:r>
      <w:r w:rsidRPr="00F62F1C">
        <w:tab/>
        <w:t>For clients with dependent children, 50 percent protection applies across all sanction levels, in order to maintain a level of income available for the support of children, and supplementary assistance continues to be paid. The policy settings have been designed to maintain a level of income protection for children.</w:t>
      </w:r>
    </w:p>
    <w:p w:rsidR="00C9789E" w:rsidRPr="00F62F1C" w:rsidRDefault="00C9789E" w:rsidP="00706221">
      <w:pPr>
        <w:pStyle w:val="SingleTxtG"/>
      </w:pPr>
      <w:r w:rsidRPr="00F62F1C">
        <w:t>170.</w:t>
      </w:r>
      <w:r w:rsidRPr="00F62F1C">
        <w:tab/>
        <w:t>Should beneficiaries fail to take reasonable steps to meet their social obligations, they must be contacted at least four times before initiating a failure to meet a social obligation. At each contact point, staff encourage and support the client to meet their social obligations. If a client does not agree with a sanction imposed they have the right to apply for a Review of Decision at any time within three months of the original decision being advised.</w:t>
      </w:r>
    </w:p>
    <w:p w:rsidR="00C9789E" w:rsidRPr="00F62F1C" w:rsidRDefault="00C9789E" w:rsidP="00226956">
      <w:pPr>
        <w:pStyle w:val="H1G"/>
      </w:pPr>
      <w:r w:rsidRPr="00F62F1C">
        <w:tab/>
      </w:r>
      <w:bookmarkStart w:id="59" w:name="_Toc494359783"/>
      <w:r w:rsidRPr="00F62F1C">
        <w:t>I.</w:t>
      </w:r>
      <w:r w:rsidRPr="00F62F1C">
        <w:tab/>
        <w:t>Article 11</w:t>
      </w:r>
      <w:r w:rsidR="001F5C90">
        <w:t xml:space="preserve"> — </w:t>
      </w:r>
      <w:r w:rsidRPr="00F62F1C">
        <w:t>Right to an adequate standard of living</w:t>
      </w:r>
      <w:bookmarkEnd w:id="59"/>
    </w:p>
    <w:p w:rsidR="00C9789E" w:rsidRPr="00F62F1C" w:rsidRDefault="00C9789E" w:rsidP="00706221">
      <w:pPr>
        <w:pStyle w:val="SingleTxtG"/>
      </w:pPr>
      <w:r w:rsidRPr="00F62F1C">
        <w:t>171.</w:t>
      </w:r>
      <w:r w:rsidRPr="00F62F1C">
        <w:tab/>
        <w:t xml:space="preserve">New Zealand does not have an official poverty measure. The Government publishes a range of measures including both traditional income measures and non-income hardship measures. A range of thresholds help the Government understand what is happening at different levels of disadvantage. </w:t>
      </w:r>
    </w:p>
    <w:p w:rsidR="00C9789E" w:rsidRPr="00F62F1C" w:rsidRDefault="00C9789E" w:rsidP="00706221">
      <w:pPr>
        <w:pStyle w:val="SingleTxtG"/>
      </w:pPr>
      <w:r w:rsidRPr="00F62F1C">
        <w:t>172.</w:t>
      </w:r>
      <w:r w:rsidRPr="00F62F1C">
        <w:tab/>
        <w:t>Figures are based both on low household incomes and measures of material hardship. Household incomes are calculated both before deducting housing costs (BHC) and after deducting housing costs (AHC).</w:t>
      </w:r>
    </w:p>
    <w:p w:rsidR="00C9789E" w:rsidRPr="00F62F1C" w:rsidRDefault="00C9789E" w:rsidP="00226956">
      <w:pPr>
        <w:pStyle w:val="H23G"/>
      </w:pPr>
      <w:r w:rsidRPr="00F62F1C">
        <w:tab/>
      </w:r>
      <w:r w:rsidRPr="00F62F1C">
        <w:tab/>
        <w:t>BHC income (income before deducting housing costs)</w:t>
      </w:r>
    </w:p>
    <w:p w:rsidR="00C9789E" w:rsidRPr="00F62F1C" w:rsidRDefault="00C9789E" w:rsidP="00706221">
      <w:pPr>
        <w:pStyle w:val="SingleTxtG"/>
      </w:pPr>
      <w:r w:rsidRPr="00F62F1C">
        <w:t>173.</w:t>
      </w:r>
      <w:r w:rsidRPr="00F62F1C">
        <w:tab/>
        <w:t xml:space="preserve">Household income from all household members from all sources after paying income tax gives an indication of the different levels of financial resources available to different households, all else being equal. </w:t>
      </w:r>
    </w:p>
    <w:p w:rsidR="00C9789E" w:rsidRPr="00F62F1C" w:rsidRDefault="00C9789E" w:rsidP="00706221">
      <w:pPr>
        <w:pStyle w:val="SingleTxtG"/>
      </w:pPr>
      <w:r w:rsidRPr="00F62F1C">
        <w:t>174.</w:t>
      </w:r>
      <w:r w:rsidRPr="00F62F1C">
        <w:tab/>
        <w:t>There are many factors other than current income that make a difference to the actual day-to-day living standards of households. For example, the largest item on the household budget for many households is accommodation costs. Accommodation costs cannot usually be changed in the short-term. To better compare the material wellbeing of households when using incomes, household income after deducting housing costs (AHC incomes) is also used.</w:t>
      </w:r>
    </w:p>
    <w:p w:rsidR="00C9789E" w:rsidRPr="00F62F1C" w:rsidRDefault="00C9789E" w:rsidP="00226956">
      <w:pPr>
        <w:pStyle w:val="H23G"/>
      </w:pPr>
      <w:r w:rsidRPr="00F62F1C">
        <w:tab/>
      </w:r>
      <w:r w:rsidRPr="00F62F1C">
        <w:tab/>
        <w:t xml:space="preserve">AHC income (income </w:t>
      </w:r>
      <w:r w:rsidR="00226956">
        <w:t>after deducting housing costs)</w:t>
      </w:r>
    </w:p>
    <w:p w:rsidR="00C9789E" w:rsidRPr="00F62F1C" w:rsidRDefault="00C9789E" w:rsidP="00706221">
      <w:pPr>
        <w:pStyle w:val="SingleTxtG"/>
      </w:pPr>
      <w:r w:rsidRPr="00F62F1C">
        <w:t>175.</w:t>
      </w:r>
      <w:r w:rsidRPr="00F62F1C">
        <w:tab/>
        <w:t>AHC income (</w:t>
      </w:r>
      <w:proofErr w:type="spellStart"/>
      <w:r w:rsidRPr="00F62F1C">
        <w:t>ie</w:t>
      </w:r>
      <w:proofErr w:type="spellEnd"/>
      <w:r w:rsidRPr="00F62F1C">
        <w:t xml:space="preserve"> BHC income after deducting housing costs) is a very useful measure for understanding the real-life differences in consumption possibilities for </w:t>
      </w:r>
      <w:r w:rsidRPr="00F62F1C">
        <w:lastRenderedPageBreak/>
        <w:t xml:space="preserve">households when looking at income alone. AHC income is sometimes called </w:t>
      </w:r>
      <w:r w:rsidR="00D34D95">
        <w:t>“</w:t>
      </w:r>
      <w:r w:rsidRPr="00F62F1C">
        <w:t>residual income</w:t>
      </w:r>
      <w:r w:rsidR="00D34D95">
        <w:t>”</w:t>
      </w:r>
      <w:r w:rsidRPr="00F62F1C">
        <w:t xml:space="preserve">. </w:t>
      </w:r>
    </w:p>
    <w:p w:rsidR="00C9789E" w:rsidRPr="00F62F1C" w:rsidRDefault="00C9789E" w:rsidP="00706221">
      <w:pPr>
        <w:pStyle w:val="SingleTxtG"/>
      </w:pPr>
      <w:r w:rsidRPr="00F62F1C">
        <w:t>176.</w:t>
      </w:r>
      <w:r w:rsidRPr="00F62F1C">
        <w:tab/>
        <w:t xml:space="preserve">One of the low-income measures the government uses </w:t>
      </w:r>
      <w:proofErr w:type="gramStart"/>
      <w:r w:rsidRPr="00F62F1C">
        <w:t>is</w:t>
      </w:r>
      <w:proofErr w:type="gramEnd"/>
      <w:r w:rsidRPr="00F62F1C">
        <w:t xml:space="preserve"> </w:t>
      </w:r>
      <w:r w:rsidR="00D34D95">
        <w:t>“</w:t>
      </w:r>
      <w:r w:rsidRPr="00F62F1C">
        <w:t>50 percent of median after deducting housing costs</w:t>
      </w:r>
      <w:r w:rsidR="00D34D95">
        <w:t>”</w:t>
      </w:r>
      <w:r w:rsidRPr="00F62F1C">
        <w:t xml:space="preserve"> measure, with the threshold held fixed in real terms relative to an anchor year (2007) to monitor how children are faring in real terms relative to a fixed standard. </w:t>
      </w:r>
    </w:p>
    <w:p w:rsidR="00C9789E" w:rsidRPr="00F62F1C" w:rsidRDefault="00C9789E" w:rsidP="00706221">
      <w:pPr>
        <w:pStyle w:val="SingleTxtG"/>
      </w:pPr>
      <w:r w:rsidRPr="00F62F1C">
        <w:t>177.</w:t>
      </w:r>
      <w:r w:rsidRPr="00F62F1C">
        <w:tab/>
        <w:t>The Government has developed a Housing Affordability Measure (HAM) that calculates AHC for renters and potential first home buyers using government administrative data. This provides a clearer picture of shifts in housing affordability trends for households, and gives the Government a more robust measurement of how much income households have left after their basic household costs have been paid.</w:t>
      </w:r>
    </w:p>
    <w:p w:rsidR="00C9789E" w:rsidRPr="00F62F1C" w:rsidRDefault="00C9789E" w:rsidP="00706221">
      <w:pPr>
        <w:pStyle w:val="SingleTxtG"/>
      </w:pPr>
      <w:r w:rsidRPr="00F62F1C">
        <w:t>178.</w:t>
      </w:r>
      <w:r w:rsidRPr="00F62F1C">
        <w:tab/>
        <w:t>There are other factors (in addition to income and housing costs) that also contribute to a household</w:t>
      </w:r>
      <w:r w:rsidR="00D34D95">
        <w:t>’</w:t>
      </w:r>
      <w:r w:rsidRPr="00F62F1C">
        <w:t>s material wellbeing. The combined impact of all these factors on a household</w:t>
      </w:r>
      <w:r w:rsidR="00D34D95">
        <w:t>’</w:t>
      </w:r>
      <w:r w:rsidRPr="00F62F1C">
        <w:t xml:space="preserve">s material wellbeing can be captured by examining more directly the actual living conditions and consumption possibilities that households experience. </w:t>
      </w:r>
    </w:p>
    <w:p w:rsidR="00C9789E" w:rsidRPr="00F62F1C" w:rsidRDefault="00C9789E" w:rsidP="00226956">
      <w:pPr>
        <w:pStyle w:val="H23G"/>
      </w:pPr>
      <w:r w:rsidRPr="00F62F1C">
        <w:tab/>
      </w:r>
      <w:r w:rsidRPr="00F62F1C">
        <w:tab/>
        <w:t>MWI (Material Wellbeing Index)</w:t>
      </w:r>
    </w:p>
    <w:p w:rsidR="00C9789E" w:rsidRPr="00F62F1C" w:rsidRDefault="00C9789E" w:rsidP="00706221">
      <w:pPr>
        <w:pStyle w:val="SingleTxtG"/>
      </w:pPr>
      <w:r w:rsidRPr="00F62F1C">
        <w:t>179.</w:t>
      </w:r>
      <w:r w:rsidRPr="00F62F1C">
        <w:tab/>
        <w:t xml:space="preserve">The MWI is made up of 24 items that give direct information on the day-to-day actual living conditions that households experience. They are about the basics such as food, clothes, accommodation, electricity, transport, keeping warm, maintaining household appliances in working order, and so on, and also about the freedoms households report to purchase and consume non-essentials that are commonly aspired to. </w:t>
      </w:r>
    </w:p>
    <w:p w:rsidR="00C9789E" w:rsidRPr="00F62F1C" w:rsidRDefault="00C9789E" w:rsidP="00706221">
      <w:pPr>
        <w:pStyle w:val="SingleTxtG"/>
      </w:pPr>
      <w:r w:rsidRPr="00F62F1C">
        <w:t>180.</w:t>
      </w:r>
      <w:r w:rsidRPr="00F62F1C">
        <w:tab/>
        <w:t>Figure 21 below shows trends in low income rates for children (0-17 years) from 2001 to 2015 and the trends in material hardship from 2007 to 2015 using a measure and threshold close to the European Union</w:t>
      </w:r>
      <w:r w:rsidR="00D34D95">
        <w:t>’</w:t>
      </w:r>
      <w:r w:rsidRPr="00F62F1C">
        <w:t xml:space="preserve">s </w:t>
      </w:r>
      <w:r w:rsidR="00AE22B9">
        <w:t>“</w:t>
      </w:r>
      <w:r w:rsidRPr="00F62F1C">
        <w:t>standard</w:t>
      </w:r>
      <w:r w:rsidR="00AE22B9">
        <w:t>”</w:t>
      </w:r>
      <w:r w:rsidRPr="00F62F1C">
        <w:t xml:space="preserve"> material deprivation threshold.</w:t>
      </w:r>
    </w:p>
    <w:p w:rsidR="00226956" w:rsidRDefault="00C9789E" w:rsidP="00226956">
      <w:pPr>
        <w:pStyle w:val="Heading1"/>
      </w:pPr>
      <w:bookmarkStart w:id="60" w:name="_Toc494359784"/>
      <w:r w:rsidRPr="00F62F1C">
        <w:t>Figure 21</w:t>
      </w:r>
      <w:bookmarkEnd w:id="60"/>
    </w:p>
    <w:p w:rsidR="00C9789E" w:rsidRPr="00226956" w:rsidRDefault="00C9789E" w:rsidP="00706221">
      <w:pPr>
        <w:pStyle w:val="SingleTxtG"/>
        <w:rPr>
          <w:b/>
        </w:rPr>
      </w:pPr>
      <w:r w:rsidRPr="00226956">
        <w:rPr>
          <w:b/>
        </w:rPr>
        <w:t>Trends in low income and material hardship rates, children (0-17 years)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51"/>
        <w:gridCol w:w="1150"/>
        <w:gridCol w:w="1134"/>
        <w:gridCol w:w="851"/>
        <w:gridCol w:w="850"/>
        <w:gridCol w:w="993"/>
        <w:gridCol w:w="992"/>
        <w:gridCol w:w="849"/>
      </w:tblGrid>
      <w:tr w:rsidR="00FB0736" w:rsidRPr="006E2B65" w:rsidTr="00B77308">
        <w:trPr>
          <w:cantSplit/>
          <w:tblHeader/>
        </w:trPr>
        <w:tc>
          <w:tcPr>
            <w:tcW w:w="551" w:type="dxa"/>
            <w:vMerge w:val="restart"/>
            <w:tcBorders>
              <w:top w:val="single" w:sz="4" w:space="0" w:color="auto"/>
              <w:bottom w:val="single" w:sz="12" w:space="0" w:color="auto"/>
            </w:tcBorders>
            <w:shd w:val="clear" w:color="auto" w:fill="auto"/>
            <w:vAlign w:val="bottom"/>
          </w:tcPr>
          <w:p w:rsidR="00FB0736" w:rsidRPr="006E2B65" w:rsidRDefault="00FB0736" w:rsidP="006E2B65">
            <w:pPr>
              <w:pStyle w:val="SingleTxtG"/>
              <w:spacing w:before="80" w:after="80" w:line="200" w:lineRule="exact"/>
              <w:ind w:left="0" w:right="113"/>
              <w:jc w:val="left"/>
              <w:rPr>
                <w:i/>
                <w:sz w:val="16"/>
              </w:rPr>
            </w:pPr>
            <w:r w:rsidRPr="006E2B65">
              <w:rPr>
                <w:i/>
                <w:sz w:val="16"/>
              </w:rPr>
              <w:t>Year</w:t>
            </w:r>
          </w:p>
        </w:tc>
        <w:tc>
          <w:tcPr>
            <w:tcW w:w="2284" w:type="dxa"/>
            <w:gridSpan w:val="2"/>
            <w:tcBorders>
              <w:top w:val="single" w:sz="4" w:space="0" w:color="auto"/>
              <w:bottom w:val="single" w:sz="4" w:space="0" w:color="auto"/>
              <w:right w:val="single" w:sz="24" w:space="0" w:color="FFFFFF" w:themeColor="background1"/>
            </w:tcBorders>
            <w:shd w:val="clear" w:color="auto" w:fill="auto"/>
            <w:vAlign w:val="bottom"/>
          </w:tcPr>
          <w:p w:rsidR="00FB0736" w:rsidRPr="006E2B65" w:rsidRDefault="00FB0736" w:rsidP="00C24354">
            <w:pPr>
              <w:pStyle w:val="SingleTxtG"/>
              <w:spacing w:before="80" w:after="80" w:line="200" w:lineRule="exact"/>
              <w:ind w:left="0" w:right="113"/>
              <w:jc w:val="center"/>
              <w:rPr>
                <w:i/>
                <w:sz w:val="16"/>
              </w:rPr>
            </w:pPr>
            <w:r w:rsidRPr="006E2B65">
              <w:rPr>
                <w:i/>
                <w:sz w:val="16"/>
              </w:rPr>
              <w:t xml:space="preserve">Low incomes </w:t>
            </w:r>
            <w:r>
              <w:rPr>
                <w:i/>
                <w:sz w:val="16"/>
              </w:rPr>
              <w:br/>
            </w:r>
            <w:r w:rsidRPr="006E2B65">
              <w:rPr>
                <w:i/>
                <w:sz w:val="16"/>
              </w:rPr>
              <w:t>(before deducting housing costs)</w:t>
            </w:r>
          </w:p>
        </w:tc>
        <w:tc>
          <w:tcPr>
            <w:tcW w:w="3686" w:type="dxa"/>
            <w:gridSpan w:val="4"/>
            <w:tcBorders>
              <w:top w:val="single" w:sz="4" w:space="0" w:color="auto"/>
              <w:left w:val="single" w:sz="24" w:space="0" w:color="FFFFFF" w:themeColor="background1"/>
              <w:bottom w:val="single" w:sz="4" w:space="0" w:color="auto"/>
            </w:tcBorders>
            <w:shd w:val="clear" w:color="auto" w:fill="auto"/>
            <w:vAlign w:val="bottom"/>
          </w:tcPr>
          <w:p w:rsidR="00FB0736" w:rsidRPr="006E2B65" w:rsidRDefault="00FB0736" w:rsidP="00C24354">
            <w:pPr>
              <w:pStyle w:val="SingleTxtG"/>
              <w:spacing w:before="80" w:after="80" w:line="200" w:lineRule="exact"/>
              <w:ind w:left="0" w:right="113"/>
              <w:jc w:val="center"/>
              <w:rPr>
                <w:i/>
                <w:sz w:val="16"/>
              </w:rPr>
            </w:pPr>
            <w:r w:rsidRPr="006E2B65">
              <w:rPr>
                <w:i/>
                <w:sz w:val="16"/>
              </w:rPr>
              <w:t xml:space="preserve">Low incomes </w:t>
            </w:r>
            <w:r>
              <w:rPr>
                <w:i/>
                <w:sz w:val="16"/>
              </w:rPr>
              <w:br/>
            </w:r>
            <w:r w:rsidRPr="006E2B65">
              <w:rPr>
                <w:i/>
                <w:sz w:val="16"/>
              </w:rPr>
              <w:t>(after deducting housing costs)</w:t>
            </w:r>
          </w:p>
        </w:tc>
        <w:tc>
          <w:tcPr>
            <w:tcW w:w="849" w:type="dxa"/>
            <w:vMerge w:val="restart"/>
            <w:tcBorders>
              <w:top w:val="single" w:sz="4" w:space="0" w:color="auto"/>
              <w:bottom w:val="single" w:sz="4" w:space="0" w:color="auto"/>
            </w:tcBorders>
            <w:shd w:val="clear" w:color="auto" w:fill="auto"/>
            <w:vAlign w:val="bottom"/>
          </w:tcPr>
          <w:p w:rsidR="00FB0736" w:rsidRPr="006E2B65" w:rsidRDefault="00FB0736" w:rsidP="006E2B65">
            <w:pPr>
              <w:pStyle w:val="SingleTxtG"/>
              <w:spacing w:before="80" w:after="80" w:line="200" w:lineRule="exact"/>
              <w:ind w:left="0" w:right="113"/>
              <w:jc w:val="right"/>
              <w:rPr>
                <w:i/>
                <w:sz w:val="16"/>
              </w:rPr>
            </w:pPr>
            <w:r w:rsidRPr="006E2B65">
              <w:rPr>
                <w:i/>
                <w:sz w:val="16"/>
              </w:rPr>
              <w:t xml:space="preserve">Material hardship </w:t>
            </w:r>
          </w:p>
        </w:tc>
      </w:tr>
      <w:tr w:rsidR="00FB0736" w:rsidRPr="006E2B65" w:rsidTr="00B77308">
        <w:trPr>
          <w:cantSplit/>
          <w:tblHeader/>
        </w:trPr>
        <w:tc>
          <w:tcPr>
            <w:tcW w:w="551" w:type="dxa"/>
            <w:vMerge/>
            <w:tcBorders>
              <w:top w:val="single" w:sz="12" w:space="0" w:color="auto"/>
            </w:tcBorders>
            <w:shd w:val="clear" w:color="auto" w:fill="auto"/>
            <w:vAlign w:val="bottom"/>
            <w:hideMark/>
          </w:tcPr>
          <w:p w:rsidR="00FB0736" w:rsidRPr="006E2B65" w:rsidRDefault="00FB0736" w:rsidP="006E2B65">
            <w:pPr>
              <w:pStyle w:val="SingleTxtG"/>
              <w:spacing w:before="40" w:after="40" w:line="220" w:lineRule="exact"/>
              <w:ind w:left="0" w:right="113"/>
              <w:jc w:val="left"/>
              <w:rPr>
                <w:sz w:val="18"/>
              </w:rPr>
            </w:pPr>
          </w:p>
        </w:tc>
        <w:tc>
          <w:tcPr>
            <w:tcW w:w="2284" w:type="dxa"/>
            <w:gridSpan w:val="2"/>
            <w:tcBorders>
              <w:top w:val="single" w:sz="4" w:space="0" w:color="auto"/>
              <w:bottom w:val="single" w:sz="4" w:space="0" w:color="auto"/>
              <w:right w:val="single" w:sz="24" w:space="0" w:color="FFFFFF" w:themeColor="background1"/>
            </w:tcBorders>
            <w:shd w:val="clear" w:color="auto" w:fill="auto"/>
            <w:vAlign w:val="bottom"/>
            <w:hideMark/>
          </w:tcPr>
          <w:p w:rsidR="00FB0736" w:rsidRPr="00FB0736" w:rsidRDefault="00FB0736" w:rsidP="00C24354">
            <w:pPr>
              <w:pStyle w:val="SingleTxtG"/>
              <w:spacing w:before="80" w:after="80" w:line="200" w:lineRule="exact"/>
              <w:ind w:left="0" w:right="113"/>
              <w:jc w:val="center"/>
              <w:rPr>
                <w:i/>
                <w:sz w:val="16"/>
              </w:rPr>
            </w:pPr>
            <w:r w:rsidRPr="00FB0736">
              <w:rPr>
                <w:i/>
                <w:sz w:val="16"/>
              </w:rPr>
              <w:t>Moving line</w:t>
            </w:r>
            <w:r>
              <w:rPr>
                <w:i/>
                <w:sz w:val="16"/>
              </w:rPr>
              <w:br/>
            </w:r>
            <w:r w:rsidRPr="00FB0736">
              <w:rPr>
                <w:i/>
                <w:sz w:val="16"/>
              </w:rPr>
              <w:t>(relative low income)</w:t>
            </w:r>
          </w:p>
        </w:tc>
        <w:tc>
          <w:tcPr>
            <w:tcW w:w="1701" w:type="dxa"/>
            <w:gridSpan w:val="2"/>
            <w:tcBorders>
              <w:top w:val="single" w:sz="4" w:space="0" w:color="auto"/>
              <w:left w:val="single" w:sz="24" w:space="0" w:color="FFFFFF" w:themeColor="background1"/>
              <w:bottom w:val="single" w:sz="4" w:space="0" w:color="auto"/>
            </w:tcBorders>
            <w:shd w:val="clear" w:color="auto" w:fill="auto"/>
            <w:vAlign w:val="bottom"/>
            <w:hideMark/>
          </w:tcPr>
          <w:p w:rsidR="00FB0736" w:rsidRPr="00FB0736" w:rsidRDefault="00FB0736" w:rsidP="00C24354">
            <w:pPr>
              <w:pStyle w:val="SingleTxtG"/>
              <w:spacing w:before="80" w:after="80" w:line="200" w:lineRule="exact"/>
              <w:ind w:left="0" w:right="113"/>
              <w:jc w:val="center"/>
              <w:rPr>
                <w:i/>
                <w:sz w:val="16"/>
              </w:rPr>
            </w:pPr>
            <w:r w:rsidRPr="00FB0736">
              <w:rPr>
                <w:i/>
                <w:sz w:val="16"/>
              </w:rPr>
              <w:t>Moving line</w:t>
            </w:r>
            <w:r>
              <w:rPr>
                <w:i/>
                <w:sz w:val="16"/>
              </w:rPr>
              <w:br/>
            </w:r>
            <w:r w:rsidRPr="00FB0736">
              <w:rPr>
                <w:i/>
                <w:sz w:val="16"/>
              </w:rPr>
              <w:t>(relative low income)</w:t>
            </w:r>
          </w:p>
        </w:tc>
        <w:tc>
          <w:tcPr>
            <w:tcW w:w="1985" w:type="dxa"/>
            <w:gridSpan w:val="2"/>
            <w:tcBorders>
              <w:top w:val="single" w:sz="4" w:space="0" w:color="auto"/>
              <w:bottom w:val="single" w:sz="4" w:space="0" w:color="auto"/>
            </w:tcBorders>
            <w:shd w:val="clear" w:color="auto" w:fill="auto"/>
            <w:vAlign w:val="bottom"/>
            <w:hideMark/>
          </w:tcPr>
          <w:p w:rsidR="00FB0736" w:rsidRPr="00FB0736" w:rsidRDefault="00FB0736" w:rsidP="00C24354">
            <w:pPr>
              <w:pStyle w:val="SingleTxtG"/>
              <w:spacing w:before="80" w:after="80" w:line="200" w:lineRule="exact"/>
              <w:ind w:left="0" w:right="113"/>
              <w:jc w:val="center"/>
              <w:rPr>
                <w:i/>
                <w:sz w:val="16"/>
              </w:rPr>
            </w:pPr>
            <w:r w:rsidRPr="00FB0736">
              <w:rPr>
                <w:i/>
                <w:sz w:val="16"/>
              </w:rPr>
              <w:t>Anchored line</w:t>
            </w:r>
            <w:r>
              <w:rPr>
                <w:i/>
                <w:sz w:val="16"/>
              </w:rPr>
              <w:br/>
            </w:r>
            <w:r w:rsidRPr="00FB0736">
              <w:rPr>
                <w:i/>
                <w:sz w:val="16"/>
              </w:rPr>
              <w:t xml:space="preserve">(ref </w:t>
            </w:r>
            <w:proofErr w:type="spellStart"/>
            <w:r w:rsidRPr="00FB0736">
              <w:rPr>
                <w:i/>
                <w:sz w:val="16"/>
              </w:rPr>
              <w:t>yr</w:t>
            </w:r>
            <w:proofErr w:type="spellEnd"/>
            <w:r w:rsidRPr="00FB0736">
              <w:rPr>
                <w:i/>
                <w:sz w:val="16"/>
              </w:rPr>
              <w:t xml:space="preserve"> is 2007)</w:t>
            </w:r>
          </w:p>
        </w:tc>
        <w:tc>
          <w:tcPr>
            <w:tcW w:w="849" w:type="dxa"/>
            <w:vMerge/>
            <w:tcBorders>
              <w:top w:val="single" w:sz="4" w:space="0" w:color="auto"/>
              <w:bottom w:val="single" w:sz="4" w:space="0" w:color="auto"/>
            </w:tcBorders>
            <w:shd w:val="clear" w:color="auto" w:fill="auto"/>
            <w:vAlign w:val="bottom"/>
          </w:tcPr>
          <w:p w:rsidR="00FB0736" w:rsidRPr="00FB0736" w:rsidRDefault="00FB0736" w:rsidP="00FB0736">
            <w:pPr>
              <w:pStyle w:val="SingleTxtG"/>
              <w:spacing w:before="80" w:after="80" w:line="200" w:lineRule="exact"/>
              <w:ind w:left="0" w:right="113"/>
              <w:jc w:val="right"/>
              <w:rPr>
                <w:i/>
                <w:sz w:val="16"/>
              </w:rPr>
            </w:pPr>
          </w:p>
        </w:tc>
      </w:tr>
      <w:tr w:rsidR="00C860D2" w:rsidRPr="006E2B65" w:rsidTr="00B77308">
        <w:trPr>
          <w:cantSplit/>
          <w:tblHeader/>
        </w:trPr>
        <w:tc>
          <w:tcPr>
            <w:tcW w:w="551" w:type="dxa"/>
            <w:vMerge/>
            <w:tcBorders>
              <w:bottom w:val="single" w:sz="12" w:space="0" w:color="auto"/>
            </w:tcBorders>
            <w:shd w:val="clear" w:color="auto" w:fill="auto"/>
            <w:vAlign w:val="bottom"/>
            <w:hideMark/>
          </w:tcPr>
          <w:p w:rsidR="00C9789E" w:rsidRPr="006E2B65" w:rsidRDefault="00C9789E" w:rsidP="006E2B65">
            <w:pPr>
              <w:pStyle w:val="SingleTxtG"/>
              <w:spacing w:before="40" w:after="40" w:line="220" w:lineRule="exact"/>
              <w:ind w:left="0" w:right="113"/>
              <w:jc w:val="left"/>
              <w:rPr>
                <w:sz w:val="18"/>
              </w:rPr>
            </w:pPr>
          </w:p>
        </w:tc>
        <w:tc>
          <w:tcPr>
            <w:tcW w:w="1150" w:type="dxa"/>
            <w:tcBorders>
              <w:top w:val="single" w:sz="4" w:space="0" w:color="auto"/>
              <w:bottom w:val="single" w:sz="12" w:space="0" w:color="auto"/>
            </w:tcBorders>
            <w:shd w:val="clear" w:color="auto" w:fill="auto"/>
            <w:vAlign w:val="bottom"/>
            <w:hideMark/>
          </w:tcPr>
          <w:p w:rsidR="00C9789E" w:rsidRPr="00FB0736" w:rsidRDefault="00C9789E" w:rsidP="00FB0736">
            <w:pPr>
              <w:pStyle w:val="SingleTxtG"/>
              <w:spacing w:before="80" w:after="80" w:line="200" w:lineRule="exact"/>
              <w:ind w:left="0" w:right="113"/>
              <w:jc w:val="right"/>
              <w:rPr>
                <w:i/>
                <w:sz w:val="16"/>
              </w:rPr>
            </w:pPr>
            <w:r w:rsidRPr="00FB0736">
              <w:rPr>
                <w:i/>
                <w:sz w:val="16"/>
              </w:rPr>
              <w:t>50 percent</w:t>
            </w:r>
          </w:p>
        </w:tc>
        <w:tc>
          <w:tcPr>
            <w:tcW w:w="1134" w:type="dxa"/>
            <w:tcBorders>
              <w:top w:val="single" w:sz="4" w:space="0" w:color="auto"/>
              <w:bottom w:val="single" w:sz="12" w:space="0" w:color="auto"/>
              <w:right w:val="single" w:sz="24" w:space="0" w:color="FFFFFF" w:themeColor="background1"/>
            </w:tcBorders>
            <w:shd w:val="clear" w:color="auto" w:fill="auto"/>
            <w:vAlign w:val="bottom"/>
            <w:hideMark/>
          </w:tcPr>
          <w:p w:rsidR="00C9789E" w:rsidRPr="00FB0736" w:rsidRDefault="00C9789E" w:rsidP="00FB0736">
            <w:pPr>
              <w:pStyle w:val="SingleTxtG"/>
              <w:spacing w:before="80" w:after="80" w:line="200" w:lineRule="exact"/>
              <w:ind w:left="0" w:right="113"/>
              <w:jc w:val="right"/>
              <w:rPr>
                <w:i/>
                <w:sz w:val="16"/>
              </w:rPr>
            </w:pPr>
            <w:r w:rsidRPr="00FB0736">
              <w:rPr>
                <w:i/>
                <w:sz w:val="16"/>
              </w:rPr>
              <w:t>60 percent</w:t>
            </w:r>
          </w:p>
        </w:tc>
        <w:tc>
          <w:tcPr>
            <w:tcW w:w="851" w:type="dxa"/>
            <w:tcBorders>
              <w:top w:val="single" w:sz="4" w:space="0" w:color="auto"/>
              <w:left w:val="single" w:sz="24" w:space="0" w:color="FFFFFF" w:themeColor="background1"/>
              <w:bottom w:val="single" w:sz="12" w:space="0" w:color="auto"/>
            </w:tcBorders>
            <w:shd w:val="clear" w:color="auto" w:fill="auto"/>
            <w:vAlign w:val="bottom"/>
            <w:hideMark/>
          </w:tcPr>
          <w:p w:rsidR="00C9789E" w:rsidRPr="00FB0736" w:rsidRDefault="00C9789E" w:rsidP="00FB0736">
            <w:pPr>
              <w:pStyle w:val="SingleTxtG"/>
              <w:spacing w:before="80" w:after="80" w:line="200" w:lineRule="exact"/>
              <w:ind w:left="0" w:right="113"/>
              <w:jc w:val="right"/>
              <w:rPr>
                <w:i/>
                <w:sz w:val="16"/>
              </w:rPr>
            </w:pPr>
            <w:r w:rsidRPr="00FB0736">
              <w:rPr>
                <w:i/>
                <w:sz w:val="16"/>
              </w:rPr>
              <w:t>50 percent</w:t>
            </w:r>
          </w:p>
        </w:tc>
        <w:tc>
          <w:tcPr>
            <w:tcW w:w="850" w:type="dxa"/>
            <w:tcBorders>
              <w:top w:val="single" w:sz="4" w:space="0" w:color="auto"/>
              <w:bottom w:val="single" w:sz="12" w:space="0" w:color="auto"/>
            </w:tcBorders>
            <w:shd w:val="clear" w:color="auto" w:fill="auto"/>
            <w:vAlign w:val="bottom"/>
            <w:hideMark/>
          </w:tcPr>
          <w:p w:rsidR="00C9789E" w:rsidRPr="00FB0736" w:rsidRDefault="00C9789E" w:rsidP="00FB0736">
            <w:pPr>
              <w:pStyle w:val="SingleTxtG"/>
              <w:spacing w:before="80" w:after="80" w:line="200" w:lineRule="exact"/>
              <w:ind w:left="0" w:right="113"/>
              <w:jc w:val="right"/>
              <w:rPr>
                <w:i/>
                <w:sz w:val="16"/>
              </w:rPr>
            </w:pPr>
            <w:r w:rsidRPr="00FB0736">
              <w:rPr>
                <w:i/>
                <w:sz w:val="16"/>
              </w:rPr>
              <w:t>60 percent</w:t>
            </w:r>
          </w:p>
        </w:tc>
        <w:tc>
          <w:tcPr>
            <w:tcW w:w="993" w:type="dxa"/>
            <w:tcBorders>
              <w:top w:val="single" w:sz="4" w:space="0" w:color="auto"/>
              <w:bottom w:val="single" w:sz="12" w:space="0" w:color="auto"/>
            </w:tcBorders>
            <w:shd w:val="clear" w:color="auto" w:fill="auto"/>
            <w:vAlign w:val="bottom"/>
            <w:hideMark/>
          </w:tcPr>
          <w:p w:rsidR="00C9789E" w:rsidRPr="00FB0736" w:rsidRDefault="00C9789E" w:rsidP="00FB0736">
            <w:pPr>
              <w:pStyle w:val="SingleTxtG"/>
              <w:spacing w:before="80" w:after="80" w:line="200" w:lineRule="exact"/>
              <w:ind w:left="0" w:right="113"/>
              <w:jc w:val="right"/>
              <w:rPr>
                <w:i/>
                <w:sz w:val="16"/>
              </w:rPr>
            </w:pPr>
            <w:r w:rsidRPr="00FB0736">
              <w:rPr>
                <w:i/>
                <w:sz w:val="16"/>
              </w:rPr>
              <w:t>50 percent</w:t>
            </w:r>
          </w:p>
        </w:tc>
        <w:tc>
          <w:tcPr>
            <w:tcW w:w="992" w:type="dxa"/>
            <w:tcBorders>
              <w:top w:val="single" w:sz="4" w:space="0" w:color="auto"/>
              <w:bottom w:val="single" w:sz="12" w:space="0" w:color="auto"/>
            </w:tcBorders>
            <w:shd w:val="clear" w:color="auto" w:fill="auto"/>
            <w:vAlign w:val="bottom"/>
            <w:hideMark/>
          </w:tcPr>
          <w:p w:rsidR="00C9789E" w:rsidRPr="00FB0736" w:rsidRDefault="00C9789E" w:rsidP="00FB0736">
            <w:pPr>
              <w:pStyle w:val="SingleTxtG"/>
              <w:spacing w:before="80" w:after="80" w:line="200" w:lineRule="exact"/>
              <w:ind w:left="0" w:right="113"/>
              <w:jc w:val="right"/>
              <w:rPr>
                <w:i/>
                <w:sz w:val="16"/>
              </w:rPr>
            </w:pPr>
            <w:r w:rsidRPr="00FB0736">
              <w:rPr>
                <w:i/>
                <w:sz w:val="16"/>
              </w:rPr>
              <w:t>60 percent</w:t>
            </w:r>
          </w:p>
        </w:tc>
        <w:tc>
          <w:tcPr>
            <w:tcW w:w="849" w:type="dxa"/>
            <w:tcBorders>
              <w:top w:val="single" w:sz="4" w:space="0" w:color="auto"/>
              <w:bottom w:val="single" w:sz="12" w:space="0" w:color="auto"/>
            </w:tcBorders>
            <w:shd w:val="clear" w:color="auto" w:fill="auto"/>
            <w:vAlign w:val="bottom"/>
          </w:tcPr>
          <w:p w:rsidR="00C9789E" w:rsidRPr="00FB0736" w:rsidRDefault="00C9789E" w:rsidP="00FB0736">
            <w:pPr>
              <w:pStyle w:val="SingleTxtG"/>
              <w:spacing w:before="80" w:after="80" w:line="200" w:lineRule="exact"/>
              <w:ind w:left="0" w:right="113"/>
              <w:jc w:val="right"/>
              <w:rPr>
                <w:i/>
                <w:sz w:val="16"/>
              </w:rPr>
            </w:pPr>
            <w:r w:rsidRPr="00FB0736">
              <w:rPr>
                <w:i/>
                <w:sz w:val="16"/>
              </w:rPr>
              <w:t>50 percent</w:t>
            </w:r>
          </w:p>
        </w:tc>
      </w:tr>
      <w:tr w:rsidR="00C860D2" w:rsidRPr="006E2B65" w:rsidTr="00B77308">
        <w:trPr>
          <w:cantSplit/>
          <w:tblHeader/>
        </w:trPr>
        <w:tc>
          <w:tcPr>
            <w:tcW w:w="551" w:type="dxa"/>
            <w:tcBorders>
              <w:top w:val="single" w:sz="12" w:space="0" w:color="auto"/>
            </w:tcBorders>
            <w:shd w:val="clear" w:color="auto" w:fill="auto"/>
            <w:hideMark/>
          </w:tcPr>
          <w:p w:rsidR="00C9789E" w:rsidRPr="006E2B65" w:rsidRDefault="00C9789E" w:rsidP="006E2B65">
            <w:pPr>
              <w:pStyle w:val="SingleTxtG"/>
              <w:spacing w:before="40" w:after="40" w:line="220" w:lineRule="exact"/>
              <w:ind w:left="0" w:right="113"/>
              <w:jc w:val="left"/>
              <w:rPr>
                <w:sz w:val="18"/>
              </w:rPr>
            </w:pPr>
            <w:r w:rsidRPr="006E2B65">
              <w:rPr>
                <w:sz w:val="18"/>
              </w:rPr>
              <w:t>2001</w:t>
            </w:r>
          </w:p>
        </w:tc>
        <w:tc>
          <w:tcPr>
            <w:tcW w:w="1150" w:type="dxa"/>
            <w:tcBorders>
              <w:top w:val="single" w:sz="12" w:space="0" w:color="auto"/>
            </w:tcBorders>
            <w:shd w:val="clear" w:color="auto" w:fill="auto"/>
            <w:vAlign w:val="bottom"/>
            <w:hideMark/>
          </w:tcPr>
          <w:p w:rsidR="00C9789E" w:rsidRPr="006E2B65" w:rsidRDefault="00C9789E" w:rsidP="006E2B65">
            <w:pPr>
              <w:pStyle w:val="SingleTxtG"/>
              <w:spacing w:before="40" w:after="40" w:line="220" w:lineRule="exact"/>
              <w:ind w:left="0" w:right="113"/>
              <w:jc w:val="right"/>
              <w:rPr>
                <w:sz w:val="18"/>
              </w:rPr>
            </w:pPr>
            <w:r w:rsidRPr="006E2B65">
              <w:rPr>
                <w:sz w:val="18"/>
              </w:rPr>
              <w:t>12%</w:t>
            </w:r>
          </w:p>
        </w:tc>
        <w:tc>
          <w:tcPr>
            <w:tcW w:w="1134" w:type="dxa"/>
            <w:tcBorders>
              <w:top w:val="single" w:sz="12" w:space="0" w:color="auto"/>
            </w:tcBorders>
            <w:shd w:val="clear" w:color="auto" w:fill="auto"/>
            <w:vAlign w:val="bottom"/>
            <w:hideMark/>
          </w:tcPr>
          <w:p w:rsidR="00C9789E" w:rsidRPr="006E2B65" w:rsidRDefault="00C9789E" w:rsidP="006E2B65">
            <w:pPr>
              <w:pStyle w:val="SingleTxtG"/>
              <w:spacing w:before="40" w:after="40" w:line="220" w:lineRule="exact"/>
              <w:ind w:left="0" w:right="113"/>
              <w:jc w:val="right"/>
              <w:rPr>
                <w:sz w:val="18"/>
              </w:rPr>
            </w:pPr>
            <w:r w:rsidRPr="006E2B65">
              <w:rPr>
                <w:sz w:val="18"/>
              </w:rPr>
              <w:t>24%</w:t>
            </w:r>
          </w:p>
        </w:tc>
        <w:tc>
          <w:tcPr>
            <w:tcW w:w="851" w:type="dxa"/>
            <w:tcBorders>
              <w:top w:val="single" w:sz="12" w:space="0" w:color="auto"/>
            </w:tcBorders>
            <w:shd w:val="clear" w:color="auto" w:fill="auto"/>
            <w:vAlign w:val="bottom"/>
            <w:hideMark/>
          </w:tcPr>
          <w:p w:rsidR="00C9789E" w:rsidRPr="006E2B65" w:rsidRDefault="00C9789E" w:rsidP="006E2B65">
            <w:pPr>
              <w:pStyle w:val="SingleTxtG"/>
              <w:spacing w:before="40" w:after="40" w:line="220" w:lineRule="exact"/>
              <w:ind w:left="0" w:right="113"/>
              <w:jc w:val="right"/>
              <w:rPr>
                <w:sz w:val="18"/>
              </w:rPr>
            </w:pPr>
            <w:r w:rsidRPr="006E2B65">
              <w:rPr>
                <w:sz w:val="18"/>
              </w:rPr>
              <w:t>21%</w:t>
            </w:r>
          </w:p>
        </w:tc>
        <w:tc>
          <w:tcPr>
            <w:tcW w:w="850" w:type="dxa"/>
            <w:tcBorders>
              <w:top w:val="single" w:sz="12" w:space="0" w:color="auto"/>
            </w:tcBorders>
            <w:shd w:val="clear" w:color="auto" w:fill="auto"/>
            <w:vAlign w:val="bottom"/>
            <w:hideMark/>
          </w:tcPr>
          <w:p w:rsidR="00C9789E" w:rsidRPr="006E2B65" w:rsidRDefault="00C9789E" w:rsidP="006E2B65">
            <w:pPr>
              <w:pStyle w:val="SingleTxtG"/>
              <w:spacing w:before="40" w:after="40" w:line="220" w:lineRule="exact"/>
              <w:ind w:left="0" w:right="113"/>
              <w:jc w:val="right"/>
              <w:rPr>
                <w:sz w:val="18"/>
              </w:rPr>
            </w:pPr>
            <w:r w:rsidRPr="006E2B65">
              <w:rPr>
                <w:sz w:val="18"/>
              </w:rPr>
              <w:t>30%</w:t>
            </w:r>
          </w:p>
        </w:tc>
        <w:tc>
          <w:tcPr>
            <w:tcW w:w="993" w:type="dxa"/>
            <w:tcBorders>
              <w:top w:val="single" w:sz="12" w:space="0" w:color="auto"/>
            </w:tcBorders>
            <w:shd w:val="clear" w:color="auto" w:fill="auto"/>
            <w:vAlign w:val="bottom"/>
            <w:hideMark/>
          </w:tcPr>
          <w:p w:rsidR="00C9789E" w:rsidRPr="006E2B65" w:rsidRDefault="00C9789E" w:rsidP="006E2B65">
            <w:pPr>
              <w:pStyle w:val="SingleTxtG"/>
              <w:spacing w:before="40" w:after="40" w:line="220" w:lineRule="exact"/>
              <w:ind w:left="0" w:right="113"/>
              <w:jc w:val="right"/>
              <w:rPr>
                <w:sz w:val="18"/>
              </w:rPr>
            </w:pPr>
            <w:r w:rsidRPr="006E2B65">
              <w:rPr>
                <w:sz w:val="18"/>
              </w:rPr>
              <w:t>27%</w:t>
            </w:r>
          </w:p>
        </w:tc>
        <w:tc>
          <w:tcPr>
            <w:tcW w:w="992" w:type="dxa"/>
            <w:tcBorders>
              <w:top w:val="single" w:sz="12" w:space="0" w:color="auto"/>
            </w:tcBorders>
            <w:shd w:val="clear" w:color="auto" w:fill="auto"/>
            <w:vAlign w:val="bottom"/>
            <w:hideMark/>
          </w:tcPr>
          <w:p w:rsidR="00C9789E" w:rsidRPr="006E2B65" w:rsidRDefault="00C9789E" w:rsidP="006E2B65">
            <w:pPr>
              <w:pStyle w:val="SingleTxtG"/>
              <w:spacing w:before="40" w:after="40" w:line="220" w:lineRule="exact"/>
              <w:ind w:left="0" w:right="113"/>
              <w:jc w:val="right"/>
              <w:rPr>
                <w:sz w:val="18"/>
              </w:rPr>
            </w:pPr>
            <w:r w:rsidRPr="006E2B65">
              <w:rPr>
                <w:sz w:val="18"/>
              </w:rPr>
              <w:t>37%</w:t>
            </w:r>
          </w:p>
        </w:tc>
        <w:tc>
          <w:tcPr>
            <w:tcW w:w="849" w:type="dxa"/>
            <w:tcBorders>
              <w:top w:val="single" w:sz="12" w:space="0" w:color="auto"/>
            </w:tcBorders>
            <w:shd w:val="clear" w:color="auto" w:fill="auto"/>
            <w:vAlign w:val="bottom"/>
          </w:tcPr>
          <w:p w:rsidR="00C9789E" w:rsidRPr="006E2B65" w:rsidRDefault="00C9789E" w:rsidP="006E2B65">
            <w:pPr>
              <w:pStyle w:val="SingleTxtG"/>
              <w:spacing w:before="40" w:after="40" w:line="220" w:lineRule="exact"/>
              <w:ind w:left="0" w:right="113"/>
              <w:jc w:val="right"/>
              <w:rPr>
                <w:sz w:val="18"/>
              </w:rPr>
            </w:pPr>
            <w:r w:rsidRPr="006E2B65">
              <w:rPr>
                <w:sz w:val="18"/>
              </w:rPr>
              <w:t>-</w:t>
            </w:r>
          </w:p>
        </w:tc>
      </w:tr>
      <w:tr w:rsidR="00C860D2" w:rsidRPr="006E2B65" w:rsidTr="00B77308">
        <w:trPr>
          <w:cantSplit/>
        </w:trPr>
        <w:tc>
          <w:tcPr>
            <w:tcW w:w="551" w:type="dxa"/>
            <w:shd w:val="clear" w:color="auto" w:fill="auto"/>
            <w:hideMark/>
          </w:tcPr>
          <w:p w:rsidR="00C9789E" w:rsidRPr="006E2B65" w:rsidRDefault="00C9789E" w:rsidP="006E2B65">
            <w:pPr>
              <w:pStyle w:val="SingleTxtG"/>
              <w:spacing w:before="40" w:after="40" w:line="220" w:lineRule="exact"/>
              <w:ind w:left="0" w:right="113"/>
              <w:jc w:val="left"/>
              <w:rPr>
                <w:sz w:val="18"/>
              </w:rPr>
            </w:pPr>
            <w:r w:rsidRPr="006E2B65">
              <w:rPr>
                <w:sz w:val="18"/>
              </w:rPr>
              <w:t>2004</w:t>
            </w:r>
          </w:p>
        </w:tc>
        <w:tc>
          <w:tcPr>
            <w:tcW w:w="1150" w:type="dxa"/>
            <w:shd w:val="clear" w:color="auto" w:fill="auto"/>
            <w:vAlign w:val="bottom"/>
            <w:hideMark/>
          </w:tcPr>
          <w:p w:rsidR="00C9789E" w:rsidRPr="006E2B65" w:rsidRDefault="00C9789E" w:rsidP="006E2B65">
            <w:pPr>
              <w:pStyle w:val="SingleTxtG"/>
              <w:spacing w:before="40" w:after="40" w:line="220" w:lineRule="exact"/>
              <w:ind w:left="0" w:right="113"/>
              <w:jc w:val="right"/>
              <w:rPr>
                <w:sz w:val="18"/>
              </w:rPr>
            </w:pPr>
            <w:r w:rsidRPr="006E2B65">
              <w:rPr>
                <w:sz w:val="18"/>
              </w:rPr>
              <w:t>14%</w:t>
            </w:r>
          </w:p>
        </w:tc>
        <w:tc>
          <w:tcPr>
            <w:tcW w:w="1134" w:type="dxa"/>
            <w:shd w:val="clear" w:color="auto" w:fill="auto"/>
            <w:vAlign w:val="bottom"/>
            <w:hideMark/>
          </w:tcPr>
          <w:p w:rsidR="00C9789E" w:rsidRPr="006E2B65" w:rsidRDefault="00C9789E" w:rsidP="006E2B65">
            <w:pPr>
              <w:pStyle w:val="SingleTxtG"/>
              <w:spacing w:before="40" w:after="40" w:line="220" w:lineRule="exact"/>
              <w:ind w:left="0" w:right="113"/>
              <w:jc w:val="right"/>
              <w:rPr>
                <w:sz w:val="18"/>
              </w:rPr>
            </w:pPr>
            <w:r w:rsidRPr="006E2B65">
              <w:rPr>
                <w:sz w:val="18"/>
              </w:rPr>
              <w:t>26%</w:t>
            </w:r>
          </w:p>
        </w:tc>
        <w:tc>
          <w:tcPr>
            <w:tcW w:w="851" w:type="dxa"/>
            <w:shd w:val="clear" w:color="auto" w:fill="auto"/>
            <w:vAlign w:val="bottom"/>
            <w:hideMark/>
          </w:tcPr>
          <w:p w:rsidR="00C9789E" w:rsidRPr="006E2B65" w:rsidRDefault="00C9789E" w:rsidP="006E2B65">
            <w:pPr>
              <w:pStyle w:val="SingleTxtG"/>
              <w:spacing w:before="40" w:after="40" w:line="220" w:lineRule="exact"/>
              <w:ind w:left="0" w:right="113"/>
              <w:jc w:val="right"/>
              <w:rPr>
                <w:sz w:val="18"/>
              </w:rPr>
            </w:pPr>
            <w:r w:rsidRPr="006E2B65">
              <w:rPr>
                <w:sz w:val="18"/>
              </w:rPr>
              <w:t>19%</w:t>
            </w:r>
          </w:p>
        </w:tc>
        <w:tc>
          <w:tcPr>
            <w:tcW w:w="850" w:type="dxa"/>
            <w:shd w:val="clear" w:color="auto" w:fill="auto"/>
            <w:vAlign w:val="bottom"/>
            <w:hideMark/>
          </w:tcPr>
          <w:p w:rsidR="00C9789E" w:rsidRPr="006E2B65" w:rsidRDefault="00C9789E" w:rsidP="006E2B65">
            <w:pPr>
              <w:pStyle w:val="SingleTxtG"/>
              <w:spacing w:before="40" w:after="40" w:line="220" w:lineRule="exact"/>
              <w:ind w:left="0" w:right="113"/>
              <w:jc w:val="right"/>
              <w:rPr>
                <w:sz w:val="18"/>
              </w:rPr>
            </w:pPr>
            <w:r w:rsidRPr="006E2B65">
              <w:rPr>
                <w:sz w:val="18"/>
              </w:rPr>
              <w:t>28%</w:t>
            </w:r>
          </w:p>
        </w:tc>
        <w:tc>
          <w:tcPr>
            <w:tcW w:w="993" w:type="dxa"/>
            <w:shd w:val="clear" w:color="auto" w:fill="auto"/>
            <w:vAlign w:val="bottom"/>
            <w:hideMark/>
          </w:tcPr>
          <w:p w:rsidR="00C9789E" w:rsidRPr="006E2B65" w:rsidRDefault="00C9789E" w:rsidP="006E2B65">
            <w:pPr>
              <w:pStyle w:val="SingleTxtG"/>
              <w:spacing w:before="40" w:after="40" w:line="220" w:lineRule="exact"/>
              <w:ind w:left="0" w:right="113"/>
              <w:jc w:val="right"/>
              <w:rPr>
                <w:sz w:val="18"/>
              </w:rPr>
            </w:pPr>
            <w:r w:rsidRPr="006E2B65">
              <w:rPr>
                <w:sz w:val="18"/>
              </w:rPr>
              <w:t>23%</w:t>
            </w:r>
          </w:p>
        </w:tc>
        <w:tc>
          <w:tcPr>
            <w:tcW w:w="992" w:type="dxa"/>
            <w:shd w:val="clear" w:color="auto" w:fill="auto"/>
            <w:vAlign w:val="bottom"/>
            <w:hideMark/>
          </w:tcPr>
          <w:p w:rsidR="00C9789E" w:rsidRPr="006E2B65" w:rsidRDefault="00C9789E" w:rsidP="006E2B65">
            <w:pPr>
              <w:pStyle w:val="SingleTxtG"/>
              <w:spacing w:before="40" w:after="40" w:line="220" w:lineRule="exact"/>
              <w:ind w:left="0" w:right="113"/>
              <w:jc w:val="right"/>
              <w:rPr>
                <w:sz w:val="18"/>
              </w:rPr>
            </w:pPr>
            <w:r w:rsidRPr="006E2B65">
              <w:rPr>
                <w:sz w:val="18"/>
              </w:rPr>
              <w:t>31%</w:t>
            </w:r>
          </w:p>
        </w:tc>
        <w:tc>
          <w:tcPr>
            <w:tcW w:w="849" w:type="dxa"/>
            <w:shd w:val="clear" w:color="auto" w:fill="auto"/>
            <w:vAlign w:val="bottom"/>
          </w:tcPr>
          <w:p w:rsidR="00C9789E" w:rsidRPr="006E2B65" w:rsidRDefault="00C9789E" w:rsidP="006E2B65">
            <w:pPr>
              <w:pStyle w:val="SingleTxtG"/>
              <w:spacing w:before="40" w:after="40" w:line="220" w:lineRule="exact"/>
              <w:ind w:left="0" w:right="113"/>
              <w:jc w:val="right"/>
              <w:rPr>
                <w:sz w:val="18"/>
              </w:rPr>
            </w:pPr>
            <w:r w:rsidRPr="006E2B65">
              <w:rPr>
                <w:sz w:val="18"/>
              </w:rPr>
              <w:t>-</w:t>
            </w:r>
          </w:p>
        </w:tc>
      </w:tr>
      <w:tr w:rsidR="00C860D2" w:rsidRPr="006E2B65" w:rsidTr="00B77308">
        <w:trPr>
          <w:cantSplit/>
        </w:trPr>
        <w:tc>
          <w:tcPr>
            <w:tcW w:w="551" w:type="dxa"/>
            <w:shd w:val="clear" w:color="auto" w:fill="auto"/>
            <w:hideMark/>
          </w:tcPr>
          <w:p w:rsidR="00C9789E" w:rsidRPr="006E2B65" w:rsidRDefault="00C9789E" w:rsidP="006E2B65">
            <w:pPr>
              <w:pStyle w:val="SingleTxtG"/>
              <w:spacing w:before="40" w:after="40" w:line="220" w:lineRule="exact"/>
              <w:ind w:left="0" w:right="113"/>
              <w:jc w:val="left"/>
              <w:rPr>
                <w:sz w:val="18"/>
              </w:rPr>
            </w:pPr>
            <w:r w:rsidRPr="006E2B65">
              <w:rPr>
                <w:sz w:val="18"/>
              </w:rPr>
              <w:t>2007</w:t>
            </w:r>
          </w:p>
        </w:tc>
        <w:tc>
          <w:tcPr>
            <w:tcW w:w="1150" w:type="dxa"/>
            <w:shd w:val="clear" w:color="auto" w:fill="auto"/>
            <w:vAlign w:val="bottom"/>
            <w:hideMark/>
          </w:tcPr>
          <w:p w:rsidR="00C9789E" w:rsidRPr="006E2B65" w:rsidRDefault="00C9789E" w:rsidP="006E2B65">
            <w:pPr>
              <w:pStyle w:val="SingleTxtG"/>
              <w:spacing w:before="40" w:after="40" w:line="220" w:lineRule="exact"/>
              <w:ind w:left="0" w:right="113"/>
              <w:jc w:val="right"/>
              <w:rPr>
                <w:sz w:val="18"/>
              </w:rPr>
            </w:pPr>
            <w:r w:rsidRPr="006E2B65">
              <w:rPr>
                <w:sz w:val="18"/>
              </w:rPr>
              <w:t>13%</w:t>
            </w:r>
          </w:p>
        </w:tc>
        <w:tc>
          <w:tcPr>
            <w:tcW w:w="1134" w:type="dxa"/>
            <w:shd w:val="clear" w:color="auto" w:fill="auto"/>
            <w:vAlign w:val="bottom"/>
            <w:hideMark/>
          </w:tcPr>
          <w:p w:rsidR="00C9789E" w:rsidRPr="006E2B65" w:rsidRDefault="00C9789E" w:rsidP="006E2B65">
            <w:pPr>
              <w:pStyle w:val="SingleTxtG"/>
              <w:spacing w:before="40" w:after="40" w:line="220" w:lineRule="exact"/>
              <w:ind w:left="0" w:right="113"/>
              <w:jc w:val="right"/>
              <w:rPr>
                <w:sz w:val="18"/>
              </w:rPr>
            </w:pPr>
            <w:r w:rsidRPr="006E2B65">
              <w:rPr>
                <w:sz w:val="18"/>
              </w:rPr>
              <w:t>20%</w:t>
            </w:r>
          </w:p>
        </w:tc>
        <w:tc>
          <w:tcPr>
            <w:tcW w:w="851" w:type="dxa"/>
            <w:shd w:val="clear" w:color="auto" w:fill="auto"/>
            <w:vAlign w:val="bottom"/>
            <w:hideMark/>
          </w:tcPr>
          <w:p w:rsidR="00C9789E" w:rsidRPr="006E2B65" w:rsidRDefault="00C9789E" w:rsidP="006E2B65">
            <w:pPr>
              <w:pStyle w:val="SingleTxtG"/>
              <w:spacing w:before="40" w:after="40" w:line="220" w:lineRule="exact"/>
              <w:ind w:left="0" w:right="113"/>
              <w:jc w:val="right"/>
              <w:rPr>
                <w:sz w:val="18"/>
              </w:rPr>
            </w:pPr>
            <w:r w:rsidRPr="006E2B65">
              <w:rPr>
                <w:sz w:val="18"/>
              </w:rPr>
              <w:t>16%</w:t>
            </w:r>
          </w:p>
        </w:tc>
        <w:tc>
          <w:tcPr>
            <w:tcW w:w="850" w:type="dxa"/>
            <w:shd w:val="clear" w:color="auto" w:fill="auto"/>
            <w:vAlign w:val="bottom"/>
            <w:hideMark/>
          </w:tcPr>
          <w:p w:rsidR="00C9789E" w:rsidRPr="006E2B65" w:rsidRDefault="00C9789E" w:rsidP="006E2B65">
            <w:pPr>
              <w:pStyle w:val="SingleTxtG"/>
              <w:spacing w:before="40" w:after="40" w:line="220" w:lineRule="exact"/>
              <w:ind w:left="0" w:right="113"/>
              <w:jc w:val="right"/>
              <w:rPr>
                <w:sz w:val="18"/>
              </w:rPr>
            </w:pPr>
            <w:r w:rsidRPr="006E2B65">
              <w:rPr>
                <w:sz w:val="18"/>
              </w:rPr>
              <w:t>22%</w:t>
            </w:r>
          </w:p>
        </w:tc>
        <w:tc>
          <w:tcPr>
            <w:tcW w:w="993" w:type="dxa"/>
            <w:shd w:val="clear" w:color="auto" w:fill="auto"/>
            <w:vAlign w:val="bottom"/>
            <w:hideMark/>
          </w:tcPr>
          <w:p w:rsidR="00C9789E" w:rsidRPr="006E2B65" w:rsidRDefault="00C9789E" w:rsidP="006E2B65">
            <w:pPr>
              <w:pStyle w:val="SingleTxtG"/>
              <w:spacing w:before="40" w:after="40" w:line="220" w:lineRule="exact"/>
              <w:ind w:left="0" w:right="113"/>
              <w:jc w:val="right"/>
              <w:rPr>
                <w:sz w:val="18"/>
              </w:rPr>
            </w:pPr>
            <w:r w:rsidRPr="006E2B65">
              <w:rPr>
                <w:sz w:val="18"/>
              </w:rPr>
              <w:t>16%</w:t>
            </w:r>
          </w:p>
        </w:tc>
        <w:tc>
          <w:tcPr>
            <w:tcW w:w="992" w:type="dxa"/>
            <w:shd w:val="clear" w:color="auto" w:fill="auto"/>
            <w:vAlign w:val="bottom"/>
            <w:hideMark/>
          </w:tcPr>
          <w:p w:rsidR="00C9789E" w:rsidRPr="006E2B65" w:rsidRDefault="00C9789E" w:rsidP="006E2B65">
            <w:pPr>
              <w:pStyle w:val="SingleTxtG"/>
              <w:spacing w:before="40" w:after="40" w:line="220" w:lineRule="exact"/>
              <w:ind w:left="0" w:right="113"/>
              <w:jc w:val="right"/>
              <w:rPr>
                <w:sz w:val="18"/>
              </w:rPr>
            </w:pPr>
            <w:r w:rsidRPr="006E2B65">
              <w:rPr>
                <w:sz w:val="18"/>
              </w:rPr>
              <w:t>22%</w:t>
            </w:r>
          </w:p>
        </w:tc>
        <w:tc>
          <w:tcPr>
            <w:tcW w:w="849" w:type="dxa"/>
            <w:shd w:val="clear" w:color="auto" w:fill="auto"/>
            <w:vAlign w:val="bottom"/>
          </w:tcPr>
          <w:p w:rsidR="00C9789E" w:rsidRPr="006E2B65" w:rsidRDefault="00C9789E" w:rsidP="006E2B65">
            <w:pPr>
              <w:pStyle w:val="SingleTxtG"/>
              <w:spacing w:before="40" w:after="40" w:line="220" w:lineRule="exact"/>
              <w:ind w:left="0" w:right="113"/>
              <w:jc w:val="right"/>
              <w:rPr>
                <w:sz w:val="18"/>
              </w:rPr>
            </w:pPr>
            <w:r w:rsidRPr="006E2B65">
              <w:rPr>
                <w:sz w:val="18"/>
              </w:rPr>
              <w:t>14%</w:t>
            </w:r>
          </w:p>
        </w:tc>
      </w:tr>
      <w:tr w:rsidR="00C860D2" w:rsidRPr="006E2B65" w:rsidTr="00B77308">
        <w:trPr>
          <w:cantSplit/>
        </w:trPr>
        <w:tc>
          <w:tcPr>
            <w:tcW w:w="551" w:type="dxa"/>
            <w:shd w:val="clear" w:color="auto" w:fill="auto"/>
            <w:hideMark/>
          </w:tcPr>
          <w:p w:rsidR="00C9789E" w:rsidRPr="006E2B65" w:rsidRDefault="00C9789E" w:rsidP="006E2B65">
            <w:pPr>
              <w:pStyle w:val="SingleTxtG"/>
              <w:spacing w:before="40" w:after="40" w:line="220" w:lineRule="exact"/>
              <w:ind w:left="0" w:right="113"/>
              <w:jc w:val="left"/>
              <w:rPr>
                <w:sz w:val="18"/>
              </w:rPr>
            </w:pPr>
            <w:r w:rsidRPr="006E2B65">
              <w:rPr>
                <w:sz w:val="18"/>
              </w:rPr>
              <w:t>2010</w:t>
            </w:r>
          </w:p>
        </w:tc>
        <w:tc>
          <w:tcPr>
            <w:tcW w:w="1150" w:type="dxa"/>
            <w:shd w:val="clear" w:color="auto" w:fill="auto"/>
            <w:vAlign w:val="bottom"/>
            <w:hideMark/>
          </w:tcPr>
          <w:p w:rsidR="00C9789E" w:rsidRPr="006E2B65" w:rsidRDefault="00C9789E" w:rsidP="006E2B65">
            <w:pPr>
              <w:pStyle w:val="SingleTxtG"/>
              <w:spacing w:before="40" w:after="40" w:line="220" w:lineRule="exact"/>
              <w:ind w:left="0" w:right="113"/>
              <w:jc w:val="right"/>
              <w:rPr>
                <w:sz w:val="18"/>
              </w:rPr>
            </w:pPr>
            <w:r w:rsidRPr="006E2B65">
              <w:rPr>
                <w:sz w:val="18"/>
              </w:rPr>
              <w:t>14%</w:t>
            </w:r>
          </w:p>
        </w:tc>
        <w:tc>
          <w:tcPr>
            <w:tcW w:w="1134" w:type="dxa"/>
            <w:shd w:val="clear" w:color="auto" w:fill="auto"/>
            <w:vAlign w:val="bottom"/>
            <w:hideMark/>
          </w:tcPr>
          <w:p w:rsidR="00C9789E" w:rsidRPr="006E2B65" w:rsidRDefault="00C9789E" w:rsidP="006E2B65">
            <w:pPr>
              <w:pStyle w:val="SingleTxtG"/>
              <w:spacing w:before="40" w:after="40" w:line="220" w:lineRule="exact"/>
              <w:ind w:left="0" w:right="113"/>
              <w:jc w:val="right"/>
              <w:rPr>
                <w:sz w:val="18"/>
              </w:rPr>
            </w:pPr>
            <w:r w:rsidRPr="006E2B65">
              <w:rPr>
                <w:sz w:val="18"/>
              </w:rPr>
              <w:t>23%</w:t>
            </w:r>
          </w:p>
        </w:tc>
        <w:tc>
          <w:tcPr>
            <w:tcW w:w="851" w:type="dxa"/>
            <w:shd w:val="clear" w:color="auto" w:fill="auto"/>
            <w:vAlign w:val="bottom"/>
            <w:hideMark/>
          </w:tcPr>
          <w:p w:rsidR="00C9789E" w:rsidRPr="006E2B65" w:rsidRDefault="00C9789E" w:rsidP="006E2B65">
            <w:pPr>
              <w:pStyle w:val="SingleTxtG"/>
              <w:spacing w:before="40" w:after="40" w:line="220" w:lineRule="exact"/>
              <w:ind w:left="0" w:right="113"/>
              <w:jc w:val="right"/>
              <w:rPr>
                <w:sz w:val="18"/>
              </w:rPr>
            </w:pPr>
            <w:r w:rsidRPr="006E2B65">
              <w:rPr>
                <w:sz w:val="18"/>
              </w:rPr>
              <w:t>20%</w:t>
            </w:r>
          </w:p>
        </w:tc>
        <w:tc>
          <w:tcPr>
            <w:tcW w:w="850" w:type="dxa"/>
            <w:shd w:val="clear" w:color="auto" w:fill="auto"/>
            <w:vAlign w:val="bottom"/>
            <w:hideMark/>
          </w:tcPr>
          <w:p w:rsidR="00C9789E" w:rsidRPr="006E2B65" w:rsidRDefault="00C9789E" w:rsidP="006E2B65">
            <w:pPr>
              <w:pStyle w:val="SingleTxtG"/>
              <w:spacing w:before="40" w:after="40" w:line="220" w:lineRule="exact"/>
              <w:ind w:left="0" w:right="113"/>
              <w:jc w:val="right"/>
              <w:rPr>
                <w:sz w:val="18"/>
              </w:rPr>
            </w:pPr>
            <w:r w:rsidRPr="006E2B65">
              <w:rPr>
                <w:sz w:val="18"/>
              </w:rPr>
              <w:t>30%</w:t>
            </w:r>
          </w:p>
        </w:tc>
        <w:tc>
          <w:tcPr>
            <w:tcW w:w="993" w:type="dxa"/>
            <w:shd w:val="clear" w:color="auto" w:fill="auto"/>
            <w:vAlign w:val="bottom"/>
            <w:hideMark/>
          </w:tcPr>
          <w:p w:rsidR="00C9789E" w:rsidRPr="006E2B65" w:rsidRDefault="00C9789E" w:rsidP="006E2B65">
            <w:pPr>
              <w:pStyle w:val="SingleTxtG"/>
              <w:spacing w:before="40" w:after="40" w:line="220" w:lineRule="exact"/>
              <w:ind w:left="0" w:right="113"/>
              <w:jc w:val="right"/>
              <w:rPr>
                <w:sz w:val="18"/>
              </w:rPr>
            </w:pPr>
            <w:r w:rsidRPr="006E2B65">
              <w:rPr>
                <w:sz w:val="18"/>
              </w:rPr>
              <w:t>19%</w:t>
            </w:r>
          </w:p>
        </w:tc>
        <w:tc>
          <w:tcPr>
            <w:tcW w:w="992" w:type="dxa"/>
            <w:shd w:val="clear" w:color="auto" w:fill="auto"/>
            <w:vAlign w:val="bottom"/>
            <w:hideMark/>
          </w:tcPr>
          <w:p w:rsidR="00C9789E" w:rsidRPr="006E2B65" w:rsidRDefault="00C9789E" w:rsidP="006E2B65">
            <w:pPr>
              <w:pStyle w:val="SingleTxtG"/>
              <w:spacing w:before="40" w:after="40" w:line="220" w:lineRule="exact"/>
              <w:ind w:left="0" w:right="113"/>
              <w:jc w:val="right"/>
              <w:rPr>
                <w:sz w:val="18"/>
              </w:rPr>
            </w:pPr>
            <w:r w:rsidRPr="006E2B65">
              <w:rPr>
                <w:sz w:val="18"/>
              </w:rPr>
              <w:t>26%</w:t>
            </w:r>
          </w:p>
        </w:tc>
        <w:tc>
          <w:tcPr>
            <w:tcW w:w="849" w:type="dxa"/>
            <w:shd w:val="clear" w:color="auto" w:fill="auto"/>
            <w:vAlign w:val="bottom"/>
          </w:tcPr>
          <w:p w:rsidR="00C9789E" w:rsidRPr="006E2B65" w:rsidRDefault="00C9789E" w:rsidP="006E2B65">
            <w:pPr>
              <w:pStyle w:val="SingleTxtG"/>
              <w:spacing w:before="40" w:after="40" w:line="220" w:lineRule="exact"/>
              <w:ind w:left="0" w:right="113"/>
              <w:jc w:val="right"/>
              <w:rPr>
                <w:sz w:val="18"/>
              </w:rPr>
            </w:pPr>
            <w:r w:rsidRPr="006E2B65">
              <w:rPr>
                <w:sz w:val="18"/>
              </w:rPr>
              <w:t>20%</w:t>
            </w:r>
          </w:p>
        </w:tc>
      </w:tr>
      <w:tr w:rsidR="00C860D2" w:rsidRPr="006E2B65" w:rsidTr="00B77308">
        <w:trPr>
          <w:cantSplit/>
        </w:trPr>
        <w:tc>
          <w:tcPr>
            <w:tcW w:w="551" w:type="dxa"/>
            <w:shd w:val="clear" w:color="auto" w:fill="auto"/>
          </w:tcPr>
          <w:p w:rsidR="00C9789E" w:rsidRPr="006E2B65" w:rsidRDefault="00C9789E" w:rsidP="006E2B65">
            <w:pPr>
              <w:pStyle w:val="SingleTxtG"/>
              <w:spacing w:before="40" w:after="40" w:line="220" w:lineRule="exact"/>
              <w:ind w:left="0" w:right="113"/>
              <w:jc w:val="left"/>
              <w:rPr>
                <w:sz w:val="18"/>
              </w:rPr>
            </w:pPr>
            <w:r w:rsidRPr="006E2B65">
              <w:rPr>
                <w:sz w:val="18"/>
              </w:rPr>
              <w:t>2013</w:t>
            </w:r>
          </w:p>
        </w:tc>
        <w:tc>
          <w:tcPr>
            <w:tcW w:w="1150" w:type="dxa"/>
            <w:shd w:val="clear" w:color="auto" w:fill="auto"/>
            <w:vAlign w:val="bottom"/>
          </w:tcPr>
          <w:p w:rsidR="00C9789E" w:rsidRPr="006E2B65" w:rsidRDefault="00C9789E" w:rsidP="006E2B65">
            <w:pPr>
              <w:pStyle w:val="SingleTxtG"/>
              <w:spacing w:before="40" w:after="40" w:line="220" w:lineRule="exact"/>
              <w:ind w:left="0" w:right="113"/>
              <w:jc w:val="right"/>
              <w:rPr>
                <w:sz w:val="18"/>
              </w:rPr>
            </w:pPr>
            <w:r w:rsidRPr="006E2B65">
              <w:rPr>
                <w:sz w:val="18"/>
              </w:rPr>
              <w:t>11%</w:t>
            </w:r>
          </w:p>
        </w:tc>
        <w:tc>
          <w:tcPr>
            <w:tcW w:w="1134" w:type="dxa"/>
            <w:shd w:val="clear" w:color="auto" w:fill="auto"/>
            <w:vAlign w:val="bottom"/>
          </w:tcPr>
          <w:p w:rsidR="00C9789E" w:rsidRPr="006E2B65" w:rsidRDefault="00C9789E" w:rsidP="006E2B65">
            <w:pPr>
              <w:pStyle w:val="SingleTxtG"/>
              <w:spacing w:before="40" w:after="40" w:line="220" w:lineRule="exact"/>
              <w:ind w:left="0" w:right="113"/>
              <w:jc w:val="right"/>
              <w:rPr>
                <w:sz w:val="18"/>
              </w:rPr>
            </w:pPr>
            <w:r w:rsidRPr="006E2B65">
              <w:rPr>
                <w:sz w:val="18"/>
              </w:rPr>
              <w:t>20%</w:t>
            </w:r>
          </w:p>
        </w:tc>
        <w:tc>
          <w:tcPr>
            <w:tcW w:w="851" w:type="dxa"/>
            <w:shd w:val="clear" w:color="auto" w:fill="auto"/>
            <w:vAlign w:val="bottom"/>
          </w:tcPr>
          <w:p w:rsidR="00C9789E" w:rsidRPr="006E2B65" w:rsidRDefault="00C9789E" w:rsidP="006E2B65">
            <w:pPr>
              <w:pStyle w:val="SingleTxtG"/>
              <w:spacing w:before="40" w:after="40" w:line="220" w:lineRule="exact"/>
              <w:ind w:left="0" w:right="113"/>
              <w:jc w:val="right"/>
              <w:rPr>
                <w:sz w:val="18"/>
              </w:rPr>
            </w:pPr>
            <w:r w:rsidRPr="006E2B65">
              <w:rPr>
                <w:sz w:val="18"/>
              </w:rPr>
              <w:t>20%</w:t>
            </w:r>
          </w:p>
        </w:tc>
        <w:tc>
          <w:tcPr>
            <w:tcW w:w="850" w:type="dxa"/>
            <w:shd w:val="clear" w:color="auto" w:fill="auto"/>
            <w:vAlign w:val="bottom"/>
          </w:tcPr>
          <w:p w:rsidR="00C9789E" w:rsidRPr="006E2B65" w:rsidRDefault="00C9789E" w:rsidP="006E2B65">
            <w:pPr>
              <w:pStyle w:val="SingleTxtG"/>
              <w:spacing w:before="40" w:after="40" w:line="220" w:lineRule="exact"/>
              <w:ind w:left="0" w:right="113"/>
              <w:jc w:val="right"/>
              <w:rPr>
                <w:sz w:val="18"/>
              </w:rPr>
            </w:pPr>
            <w:r w:rsidRPr="006E2B65">
              <w:rPr>
                <w:sz w:val="18"/>
              </w:rPr>
              <w:t>24%</w:t>
            </w:r>
          </w:p>
        </w:tc>
        <w:tc>
          <w:tcPr>
            <w:tcW w:w="993" w:type="dxa"/>
            <w:shd w:val="clear" w:color="auto" w:fill="auto"/>
            <w:vAlign w:val="bottom"/>
          </w:tcPr>
          <w:p w:rsidR="00C9789E" w:rsidRPr="006E2B65" w:rsidRDefault="00C9789E" w:rsidP="006E2B65">
            <w:pPr>
              <w:pStyle w:val="SingleTxtG"/>
              <w:spacing w:before="40" w:after="40" w:line="220" w:lineRule="exact"/>
              <w:ind w:left="0" w:right="113"/>
              <w:jc w:val="right"/>
              <w:rPr>
                <w:sz w:val="18"/>
              </w:rPr>
            </w:pPr>
            <w:r w:rsidRPr="006E2B65">
              <w:rPr>
                <w:sz w:val="18"/>
              </w:rPr>
              <w:t>17%</w:t>
            </w:r>
          </w:p>
        </w:tc>
        <w:tc>
          <w:tcPr>
            <w:tcW w:w="992" w:type="dxa"/>
            <w:shd w:val="clear" w:color="auto" w:fill="auto"/>
            <w:vAlign w:val="bottom"/>
          </w:tcPr>
          <w:p w:rsidR="00C9789E" w:rsidRPr="006E2B65" w:rsidRDefault="00C9789E" w:rsidP="006E2B65">
            <w:pPr>
              <w:pStyle w:val="SingleTxtG"/>
              <w:spacing w:before="40" w:after="40" w:line="220" w:lineRule="exact"/>
              <w:ind w:left="0" w:right="113"/>
              <w:jc w:val="right"/>
              <w:rPr>
                <w:sz w:val="18"/>
              </w:rPr>
            </w:pPr>
            <w:r w:rsidRPr="006E2B65">
              <w:rPr>
                <w:sz w:val="18"/>
              </w:rPr>
              <w:t>22%</w:t>
            </w:r>
          </w:p>
        </w:tc>
        <w:tc>
          <w:tcPr>
            <w:tcW w:w="849" w:type="dxa"/>
            <w:shd w:val="clear" w:color="auto" w:fill="auto"/>
            <w:vAlign w:val="bottom"/>
          </w:tcPr>
          <w:p w:rsidR="00C9789E" w:rsidRPr="006E2B65" w:rsidRDefault="00C9789E" w:rsidP="006E2B65">
            <w:pPr>
              <w:pStyle w:val="SingleTxtG"/>
              <w:spacing w:before="40" w:after="40" w:line="220" w:lineRule="exact"/>
              <w:ind w:left="0" w:right="113"/>
              <w:jc w:val="right"/>
              <w:rPr>
                <w:sz w:val="18"/>
              </w:rPr>
            </w:pPr>
            <w:r w:rsidRPr="006E2B65">
              <w:rPr>
                <w:sz w:val="18"/>
              </w:rPr>
              <w:t>15%</w:t>
            </w:r>
          </w:p>
        </w:tc>
      </w:tr>
      <w:tr w:rsidR="00C860D2" w:rsidRPr="006E2B65" w:rsidTr="00B77308">
        <w:trPr>
          <w:cantSplit/>
        </w:trPr>
        <w:tc>
          <w:tcPr>
            <w:tcW w:w="551" w:type="dxa"/>
            <w:shd w:val="clear" w:color="auto" w:fill="auto"/>
          </w:tcPr>
          <w:p w:rsidR="00C9789E" w:rsidRPr="006E2B65" w:rsidRDefault="00C9789E" w:rsidP="006E2B65">
            <w:pPr>
              <w:pStyle w:val="SingleTxtG"/>
              <w:spacing w:before="40" w:after="40" w:line="220" w:lineRule="exact"/>
              <w:ind w:left="0" w:right="113"/>
              <w:jc w:val="left"/>
              <w:rPr>
                <w:sz w:val="18"/>
              </w:rPr>
            </w:pPr>
            <w:r w:rsidRPr="006E2B65">
              <w:rPr>
                <w:sz w:val="18"/>
              </w:rPr>
              <w:t>2015</w:t>
            </w:r>
          </w:p>
        </w:tc>
        <w:tc>
          <w:tcPr>
            <w:tcW w:w="1150" w:type="dxa"/>
            <w:shd w:val="clear" w:color="auto" w:fill="auto"/>
            <w:vAlign w:val="bottom"/>
          </w:tcPr>
          <w:p w:rsidR="00C9789E" w:rsidRPr="006E2B65" w:rsidRDefault="00C9789E" w:rsidP="006E2B65">
            <w:pPr>
              <w:pStyle w:val="SingleTxtG"/>
              <w:spacing w:before="40" w:after="40" w:line="220" w:lineRule="exact"/>
              <w:ind w:left="0" w:right="113"/>
              <w:jc w:val="right"/>
              <w:rPr>
                <w:sz w:val="18"/>
              </w:rPr>
            </w:pPr>
            <w:r w:rsidRPr="006E2B65">
              <w:rPr>
                <w:sz w:val="18"/>
              </w:rPr>
              <w:t>13%</w:t>
            </w:r>
          </w:p>
        </w:tc>
        <w:tc>
          <w:tcPr>
            <w:tcW w:w="1134" w:type="dxa"/>
            <w:shd w:val="clear" w:color="auto" w:fill="auto"/>
            <w:vAlign w:val="bottom"/>
          </w:tcPr>
          <w:p w:rsidR="00C9789E" w:rsidRPr="006E2B65" w:rsidRDefault="00C9789E" w:rsidP="006E2B65">
            <w:pPr>
              <w:pStyle w:val="SingleTxtG"/>
              <w:spacing w:before="40" w:after="40" w:line="220" w:lineRule="exact"/>
              <w:ind w:left="0" w:right="113"/>
              <w:jc w:val="right"/>
              <w:rPr>
                <w:sz w:val="18"/>
              </w:rPr>
            </w:pPr>
            <w:r w:rsidRPr="006E2B65">
              <w:rPr>
                <w:sz w:val="18"/>
              </w:rPr>
              <w:t>21%</w:t>
            </w:r>
          </w:p>
        </w:tc>
        <w:tc>
          <w:tcPr>
            <w:tcW w:w="851" w:type="dxa"/>
            <w:shd w:val="clear" w:color="auto" w:fill="auto"/>
            <w:vAlign w:val="bottom"/>
          </w:tcPr>
          <w:p w:rsidR="00C9789E" w:rsidRPr="006E2B65" w:rsidRDefault="00C9789E" w:rsidP="006E2B65">
            <w:pPr>
              <w:pStyle w:val="SingleTxtG"/>
              <w:spacing w:before="40" w:after="40" w:line="220" w:lineRule="exact"/>
              <w:ind w:left="0" w:right="113"/>
              <w:jc w:val="right"/>
              <w:rPr>
                <w:sz w:val="18"/>
              </w:rPr>
            </w:pPr>
            <w:r w:rsidRPr="006E2B65">
              <w:rPr>
                <w:sz w:val="18"/>
              </w:rPr>
              <w:t>20%</w:t>
            </w:r>
          </w:p>
        </w:tc>
        <w:tc>
          <w:tcPr>
            <w:tcW w:w="850" w:type="dxa"/>
            <w:shd w:val="clear" w:color="auto" w:fill="auto"/>
            <w:vAlign w:val="bottom"/>
          </w:tcPr>
          <w:p w:rsidR="00C9789E" w:rsidRPr="006E2B65" w:rsidRDefault="00C9789E" w:rsidP="006E2B65">
            <w:pPr>
              <w:pStyle w:val="SingleTxtG"/>
              <w:spacing w:before="40" w:after="40" w:line="220" w:lineRule="exact"/>
              <w:ind w:left="0" w:right="113"/>
              <w:jc w:val="right"/>
              <w:rPr>
                <w:sz w:val="18"/>
              </w:rPr>
            </w:pPr>
            <w:r w:rsidRPr="006E2B65">
              <w:rPr>
                <w:sz w:val="18"/>
              </w:rPr>
              <w:t>28%</w:t>
            </w:r>
          </w:p>
        </w:tc>
        <w:tc>
          <w:tcPr>
            <w:tcW w:w="993" w:type="dxa"/>
            <w:shd w:val="clear" w:color="auto" w:fill="auto"/>
            <w:vAlign w:val="bottom"/>
          </w:tcPr>
          <w:p w:rsidR="00C9789E" w:rsidRPr="006E2B65" w:rsidRDefault="00C9789E" w:rsidP="006E2B65">
            <w:pPr>
              <w:pStyle w:val="SingleTxtG"/>
              <w:spacing w:before="40" w:after="40" w:line="220" w:lineRule="exact"/>
              <w:ind w:left="0" w:right="113"/>
              <w:jc w:val="right"/>
              <w:rPr>
                <w:sz w:val="18"/>
              </w:rPr>
            </w:pPr>
            <w:r w:rsidRPr="006E2B65">
              <w:rPr>
                <w:sz w:val="18"/>
              </w:rPr>
              <w:t>15%</w:t>
            </w:r>
          </w:p>
        </w:tc>
        <w:tc>
          <w:tcPr>
            <w:tcW w:w="992" w:type="dxa"/>
            <w:shd w:val="clear" w:color="auto" w:fill="auto"/>
            <w:vAlign w:val="bottom"/>
          </w:tcPr>
          <w:p w:rsidR="00C9789E" w:rsidRPr="006E2B65" w:rsidRDefault="00C9789E" w:rsidP="006E2B65">
            <w:pPr>
              <w:pStyle w:val="SingleTxtG"/>
              <w:spacing w:before="40" w:after="40" w:line="220" w:lineRule="exact"/>
              <w:ind w:left="0" w:right="113"/>
              <w:jc w:val="right"/>
              <w:rPr>
                <w:sz w:val="18"/>
              </w:rPr>
            </w:pPr>
            <w:r w:rsidRPr="006E2B65">
              <w:rPr>
                <w:sz w:val="18"/>
              </w:rPr>
              <w:t>21%</w:t>
            </w:r>
          </w:p>
        </w:tc>
        <w:tc>
          <w:tcPr>
            <w:tcW w:w="849" w:type="dxa"/>
            <w:shd w:val="clear" w:color="auto" w:fill="auto"/>
            <w:vAlign w:val="bottom"/>
          </w:tcPr>
          <w:p w:rsidR="00C9789E" w:rsidRPr="006E2B65" w:rsidRDefault="00C9789E" w:rsidP="006E2B65">
            <w:pPr>
              <w:pStyle w:val="SingleTxtG"/>
              <w:spacing w:before="40" w:after="40" w:line="220" w:lineRule="exact"/>
              <w:ind w:left="0" w:right="113"/>
              <w:jc w:val="right"/>
              <w:rPr>
                <w:sz w:val="18"/>
              </w:rPr>
            </w:pPr>
            <w:r w:rsidRPr="006E2B65">
              <w:rPr>
                <w:sz w:val="18"/>
              </w:rPr>
              <w:t>14%</w:t>
            </w:r>
          </w:p>
        </w:tc>
      </w:tr>
    </w:tbl>
    <w:p w:rsidR="00C9789E" w:rsidRPr="00F62F1C" w:rsidRDefault="00C9789E" w:rsidP="00314A1C">
      <w:pPr>
        <w:pStyle w:val="SingleTxtG"/>
        <w:spacing w:before="240"/>
      </w:pPr>
      <w:r w:rsidRPr="00F62F1C">
        <w:t>181.</w:t>
      </w:r>
      <w:r w:rsidRPr="00F62F1C">
        <w:tab/>
        <w:t>Figure 22 compares the low income and material hardship rates for children, older New Zealanders (aged 65+) and for the whole population.</w:t>
      </w:r>
    </w:p>
    <w:p w:rsidR="00314A1C" w:rsidRDefault="00C9789E" w:rsidP="00314A1C">
      <w:pPr>
        <w:pStyle w:val="Heading1"/>
      </w:pPr>
      <w:bookmarkStart w:id="61" w:name="_Toc494359785"/>
      <w:r w:rsidRPr="00F62F1C">
        <w:t>Figure 22</w:t>
      </w:r>
      <w:bookmarkEnd w:id="61"/>
    </w:p>
    <w:p w:rsidR="00C9789E" w:rsidRPr="00314A1C" w:rsidRDefault="00C9789E" w:rsidP="00706221">
      <w:pPr>
        <w:pStyle w:val="SingleTxtG"/>
        <w:rPr>
          <w:b/>
        </w:rPr>
      </w:pPr>
      <w:r w:rsidRPr="00314A1C">
        <w:rPr>
          <w:b/>
        </w:rPr>
        <w:t>Low income and material hardship rates for children (0-17 years), older New Zealanders (65+) and the population as a whole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13"/>
        <w:gridCol w:w="1142"/>
        <w:gridCol w:w="1143"/>
        <w:gridCol w:w="1143"/>
        <w:gridCol w:w="1143"/>
        <w:gridCol w:w="1143"/>
        <w:gridCol w:w="1143"/>
      </w:tblGrid>
      <w:tr w:rsidR="00E77847" w:rsidRPr="00314A1C" w:rsidTr="00B77308">
        <w:trPr>
          <w:cantSplit/>
          <w:tblHeader/>
        </w:trPr>
        <w:tc>
          <w:tcPr>
            <w:tcW w:w="513" w:type="dxa"/>
            <w:vMerge w:val="restart"/>
            <w:tcBorders>
              <w:top w:val="single" w:sz="4" w:space="0" w:color="auto"/>
            </w:tcBorders>
            <w:shd w:val="clear" w:color="auto" w:fill="auto"/>
            <w:vAlign w:val="bottom"/>
          </w:tcPr>
          <w:p w:rsidR="00E77847" w:rsidRPr="00314A1C" w:rsidRDefault="00E77847" w:rsidP="00E77847">
            <w:pPr>
              <w:pStyle w:val="SingleTxtG"/>
              <w:spacing w:before="80" w:after="80" w:line="200" w:lineRule="exact"/>
              <w:ind w:left="0" w:right="113"/>
              <w:jc w:val="left"/>
              <w:rPr>
                <w:i/>
                <w:sz w:val="16"/>
              </w:rPr>
            </w:pPr>
            <w:r w:rsidRPr="00803785">
              <w:rPr>
                <w:i/>
                <w:sz w:val="16"/>
              </w:rPr>
              <w:t>Year</w:t>
            </w:r>
          </w:p>
        </w:tc>
        <w:tc>
          <w:tcPr>
            <w:tcW w:w="3428" w:type="dxa"/>
            <w:gridSpan w:val="3"/>
            <w:tcBorders>
              <w:top w:val="single" w:sz="4" w:space="0" w:color="auto"/>
              <w:bottom w:val="single" w:sz="4" w:space="0" w:color="auto"/>
              <w:right w:val="single" w:sz="24" w:space="0" w:color="FFFFFF" w:themeColor="background1"/>
            </w:tcBorders>
            <w:shd w:val="clear" w:color="auto" w:fill="auto"/>
            <w:vAlign w:val="bottom"/>
          </w:tcPr>
          <w:p w:rsidR="00E77847" w:rsidRPr="00314A1C" w:rsidRDefault="00E77847" w:rsidP="00093A98">
            <w:pPr>
              <w:pStyle w:val="SingleTxtG"/>
              <w:spacing w:before="80" w:after="80" w:line="200" w:lineRule="exact"/>
              <w:ind w:left="0" w:right="113"/>
              <w:jc w:val="center"/>
              <w:rPr>
                <w:i/>
                <w:sz w:val="16"/>
              </w:rPr>
            </w:pPr>
            <w:r w:rsidRPr="00314A1C">
              <w:rPr>
                <w:i/>
                <w:sz w:val="16"/>
              </w:rPr>
              <w:t>Low incomes</w:t>
            </w:r>
            <w:r>
              <w:rPr>
                <w:i/>
                <w:sz w:val="16"/>
              </w:rPr>
              <w:br/>
            </w:r>
            <w:r w:rsidRPr="00314A1C">
              <w:rPr>
                <w:i/>
                <w:sz w:val="16"/>
              </w:rPr>
              <w:t>(after housing costs, 50% 2007 median)</w:t>
            </w:r>
          </w:p>
        </w:tc>
        <w:tc>
          <w:tcPr>
            <w:tcW w:w="3429" w:type="dxa"/>
            <w:gridSpan w:val="3"/>
            <w:tcBorders>
              <w:top w:val="single" w:sz="4" w:space="0" w:color="auto"/>
              <w:left w:val="single" w:sz="24" w:space="0" w:color="FFFFFF" w:themeColor="background1"/>
              <w:bottom w:val="single" w:sz="4" w:space="0" w:color="auto"/>
            </w:tcBorders>
            <w:shd w:val="clear" w:color="auto" w:fill="auto"/>
            <w:vAlign w:val="bottom"/>
          </w:tcPr>
          <w:p w:rsidR="00E77847" w:rsidRPr="00314A1C" w:rsidRDefault="00E77847" w:rsidP="00093A98">
            <w:pPr>
              <w:pStyle w:val="SingleTxtG"/>
              <w:spacing w:before="80" w:after="80" w:line="200" w:lineRule="exact"/>
              <w:ind w:left="0" w:right="113"/>
              <w:jc w:val="center"/>
              <w:rPr>
                <w:i/>
                <w:sz w:val="16"/>
              </w:rPr>
            </w:pPr>
            <w:r w:rsidRPr="00314A1C">
              <w:rPr>
                <w:i/>
                <w:sz w:val="16"/>
              </w:rPr>
              <w:t xml:space="preserve">Material hardship </w:t>
            </w:r>
            <w:r>
              <w:rPr>
                <w:i/>
                <w:sz w:val="16"/>
              </w:rPr>
              <w:br/>
            </w:r>
            <w:r w:rsidRPr="00314A1C">
              <w:rPr>
                <w:i/>
                <w:sz w:val="16"/>
              </w:rPr>
              <w:t>(using the EU’s standard threshold)</w:t>
            </w:r>
          </w:p>
        </w:tc>
      </w:tr>
      <w:tr w:rsidR="00E77847" w:rsidRPr="00314A1C" w:rsidTr="00B77308">
        <w:trPr>
          <w:cantSplit/>
          <w:tblHeader/>
        </w:trPr>
        <w:tc>
          <w:tcPr>
            <w:tcW w:w="513" w:type="dxa"/>
            <w:vMerge/>
            <w:tcBorders>
              <w:bottom w:val="single" w:sz="12" w:space="0" w:color="auto"/>
            </w:tcBorders>
            <w:shd w:val="clear" w:color="auto" w:fill="auto"/>
            <w:hideMark/>
          </w:tcPr>
          <w:p w:rsidR="00E77847" w:rsidRPr="00803785" w:rsidRDefault="00E77847" w:rsidP="00E77847">
            <w:pPr>
              <w:pStyle w:val="SingleTxtG"/>
              <w:spacing w:before="80" w:after="80" w:line="200" w:lineRule="exact"/>
              <w:ind w:left="0" w:right="113"/>
              <w:jc w:val="left"/>
              <w:rPr>
                <w:i/>
                <w:sz w:val="16"/>
              </w:rPr>
            </w:pPr>
          </w:p>
        </w:tc>
        <w:tc>
          <w:tcPr>
            <w:tcW w:w="1142" w:type="dxa"/>
            <w:tcBorders>
              <w:top w:val="single" w:sz="4" w:space="0" w:color="auto"/>
              <w:bottom w:val="single" w:sz="12" w:space="0" w:color="auto"/>
            </w:tcBorders>
            <w:shd w:val="clear" w:color="auto" w:fill="auto"/>
            <w:vAlign w:val="bottom"/>
          </w:tcPr>
          <w:p w:rsidR="00E77847" w:rsidRPr="00803785" w:rsidRDefault="00E77847" w:rsidP="00803785">
            <w:pPr>
              <w:pStyle w:val="SingleTxtG"/>
              <w:spacing w:before="80" w:after="80" w:line="200" w:lineRule="exact"/>
              <w:ind w:left="0" w:right="113"/>
              <w:jc w:val="right"/>
              <w:rPr>
                <w:i/>
                <w:sz w:val="16"/>
              </w:rPr>
            </w:pPr>
            <w:r w:rsidRPr="00803785">
              <w:rPr>
                <w:i/>
                <w:sz w:val="16"/>
              </w:rPr>
              <w:t>children</w:t>
            </w:r>
          </w:p>
        </w:tc>
        <w:tc>
          <w:tcPr>
            <w:tcW w:w="1143" w:type="dxa"/>
            <w:tcBorders>
              <w:top w:val="single" w:sz="4" w:space="0" w:color="auto"/>
              <w:bottom w:val="single" w:sz="12" w:space="0" w:color="auto"/>
            </w:tcBorders>
            <w:shd w:val="clear" w:color="auto" w:fill="auto"/>
            <w:vAlign w:val="bottom"/>
          </w:tcPr>
          <w:p w:rsidR="00E77847" w:rsidRPr="00803785" w:rsidRDefault="00E77847" w:rsidP="00803785">
            <w:pPr>
              <w:pStyle w:val="SingleTxtG"/>
              <w:spacing w:before="80" w:after="80" w:line="200" w:lineRule="exact"/>
              <w:ind w:left="0" w:right="113"/>
              <w:jc w:val="right"/>
              <w:rPr>
                <w:i/>
                <w:sz w:val="16"/>
              </w:rPr>
            </w:pPr>
            <w:r w:rsidRPr="00803785">
              <w:rPr>
                <w:i/>
                <w:sz w:val="16"/>
              </w:rPr>
              <w:t>65+</w:t>
            </w:r>
          </w:p>
        </w:tc>
        <w:tc>
          <w:tcPr>
            <w:tcW w:w="1143" w:type="dxa"/>
            <w:tcBorders>
              <w:top w:val="single" w:sz="4" w:space="0" w:color="auto"/>
              <w:bottom w:val="single" w:sz="12" w:space="0" w:color="auto"/>
              <w:right w:val="single" w:sz="24" w:space="0" w:color="FFFFFF" w:themeColor="background1"/>
            </w:tcBorders>
            <w:shd w:val="clear" w:color="auto" w:fill="auto"/>
            <w:vAlign w:val="bottom"/>
          </w:tcPr>
          <w:p w:rsidR="00E77847" w:rsidRPr="00803785" w:rsidRDefault="00E77847" w:rsidP="00803785">
            <w:pPr>
              <w:pStyle w:val="SingleTxtG"/>
              <w:spacing w:before="80" w:after="80" w:line="200" w:lineRule="exact"/>
              <w:ind w:left="0" w:right="113"/>
              <w:jc w:val="right"/>
              <w:rPr>
                <w:i/>
                <w:sz w:val="16"/>
              </w:rPr>
            </w:pPr>
            <w:r w:rsidRPr="00803785">
              <w:rPr>
                <w:i/>
                <w:sz w:val="16"/>
              </w:rPr>
              <w:t>ALL</w:t>
            </w:r>
          </w:p>
        </w:tc>
        <w:tc>
          <w:tcPr>
            <w:tcW w:w="1143" w:type="dxa"/>
            <w:tcBorders>
              <w:top w:val="single" w:sz="4" w:space="0" w:color="auto"/>
              <w:left w:val="single" w:sz="24" w:space="0" w:color="FFFFFF" w:themeColor="background1"/>
              <w:bottom w:val="single" w:sz="12" w:space="0" w:color="auto"/>
            </w:tcBorders>
            <w:shd w:val="clear" w:color="auto" w:fill="auto"/>
            <w:vAlign w:val="bottom"/>
          </w:tcPr>
          <w:p w:rsidR="00E77847" w:rsidRPr="00803785" w:rsidRDefault="00E77847" w:rsidP="00803785">
            <w:pPr>
              <w:pStyle w:val="SingleTxtG"/>
              <w:spacing w:before="80" w:after="80" w:line="200" w:lineRule="exact"/>
              <w:ind w:left="0" w:right="113"/>
              <w:jc w:val="right"/>
              <w:rPr>
                <w:i/>
                <w:sz w:val="16"/>
              </w:rPr>
            </w:pPr>
            <w:r w:rsidRPr="00803785">
              <w:rPr>
                <w:i/>
                <w:sz w:val="16"/>
              </w:rPr>
              <w:t>children</w:t>
            </w:r>
          </w:p>
        </w:tc>
        <w:tc>
          <w:tcPr>
            <w:tcW w:w="1143" w:type="dxa"/>
            <w:tcBorders>
              <w:top w:val="single" w:sz="4" w:space="0" w:color="auto"/>
              <w:bottom w:val="single" w:sz="12" w:space="0" w:color="auto"/>
            </w:tcBorders>
            <w:shd w:val="clear" w:color="auto" w:fill="auto"/>
            <w:vAlign w:val="bottom"/>
            <w:hideMark/>
          </w:tcPr>
          <w:p w:rsidR="00E77847" w:rsidRPr="00803785" w:rsidRDefault="00E77847" w:rsidP="00803785">
            <w:pPr>
              <w:pStyle w:val="SingleTxtG"/>
              <w:spacing w:before="80" w:after="80" w:line="200" w:lineRule="exact"/>
              <w:ind w:left="0" w:right="113"/>
              <w:jc w:val="right"/>
              <w:rPr>
                <w:i/>
                <w:sz w:val="16"/>
              </w:rPr>
            </w:pPr>
            <w:r w:rsidRPr="00803785">
              <w:rPr>
                <w:i/>
                <w:sz w:val="16"/>
              </w:rPr>
              <w:t>65+</w:t>
            </w:r>
          </w:p>
        </w:tc>
        <w:tc>
          <w:tcPr>
            <w:tcW w:w="1143" w:type="dxa"/>
            <w:tcBorders>
              <w:top w:val="single" w:sz="4" w:space="0" w:color="auto"/>
              <w:bottom w:val="single" w:sz="12" w:space="0" w:color="auto"/>
            </w:tcBorders>
            <w:shd w:val="clear" w:color="auto" w:fill="auto"/>
            <w:vAlign w:val="bottom"/>
          </w:tcPr>
          <w:p w:rsidR="00E77847" w:rsidRPr="00803785" w:rsidRDefault="00E77847" w:rsidP="00803785">
            <w:pPr>
              <w:pStyle w:val="SingleTxtG"/>
              <w:spacing w:before="80" w:after="80" w:line="200" w:lineRule="exact"/>
              <w:ind w:left="0" w:right="113"/>
              <w:jc w:val="right"/>
              <w:rPr>
                <w:i/>
                <w:sz w:val="16"/>
              </w:rPr>
            </w:pPr>
            <w:r w:rsidRPr="00803785">
              <w:rPr>
                <w:i/>
                <w:sz w:val="16"/>
              </w:rPr>
              <w:t>ALL</w:t>
            </w:r>
          </w:p>
        </w:tc>
      </w:tr>
      <w:tr w:rsidR="00C9789E" w:rsidRPr="00314A1C" w:rsidTr="00B77308">
        <w:trPr>
          <w:cantSplit/>
        </w:trPr>
        <w:tc>
          <w:tcPr>
            <w:tcW w:w="513" w:type="dxa"/>
            <w:tcBorders>
              <w:top w:val="single" w:sz="12" w:space="0" w:color="auto"/>
              <w:bottom w:val="nil"/>
            </w:tcBorders>
            <w:shd w:val="clear" w:color="auto" w:fill="auto"/>
            <w:hideMark/>
          </w:tcPr>
          <w:p w:rsidR="00C9789E" w:rsidRPr="00314A1C" w:rsidRDefault="00C9789E" w:rsidP="00314A1C">
            <w:pPr>
              <w:pStyle w:val="SingleTxtG"/>
              <w:spacing w:before="40" w:after="40" w:line="220" w:lineRule="exact"/>
              <w:ind w:left="0" w:right="113"/>
              <w:jc w:val="left"/>
              <w:rPr>
                <w:sz w:val="18"/>
              </w:rPr>
            </w:pPr>
            <w:r w:rsidRPr="00314A1C">
              <w:rPr>
                <w:sz w:val="18"/>
              </w:rPr>
              <w:t>2001</w:t>
            </w:r>
          </w:p>
        </w:tc>
        <w:tc>
          <w:tcPr>
            <w:tcW w:w="1142" w:type="dxa"/>
            <w:tcBorders>
              <w:top w:val="single" w:sz="12" w:space="0" w:color="auto"/>
              <w:bottom w:val="nil"/>
            </w:tcBorders>
            <w:shd w:val="clear" w:color="auto" w:fill="auto"/>
            <w:vAlign w:val="bottom"/>
          </w:tcPr>
          <w:p w:rsidR="00C9789E" w:rsidRPr="00314A1C" w:rsidRDefault="00C9789E" w:rsidP="00314A1C">
            <w:pPr>
              <w:pStyle w:val="SingleTxtG"/>
              <w:spacing w:before="40" w:after="40" w:line="220" w:lineRule="exact"/>
              <w:ind w:left="0" w:right="113"/>
              <w:jc w:val="right"/>
              <w:rPr>
                <w:sz w:val="18"/>
              </w:rPr>
            </w:pPr>
            <w:r w:rsidRPr="00314A1C">
              <w:rPr>
                <w:sz w:val="18"/>
              </w:rPr>
              <w:t>27%</w:t>
            </w:r>
          </w:p>
        </w:tc>
        <w:tc>
          <w:tcPr>
            <w:tcW w:w="1143" w:type="dxa"/>
            <w:tcBorders>
              <w:top w:val="single" w:sz="12" w:space="0" w:color="auto"/>
              <w:bottom w:val="nil"/>
            </w:tcBorders>
            <w:shd w:val="clear" w:color="auto" w:fill="auto"/>
            <w:vAlign w:val="bottom"/>
          </w:tcPr>
          <w:p w:rsidR="00C9789E" w:rsidRPr="00314A1C" w:rsidRDefault="00C9789E" w:rsidP="00314A1C">
            <w:pPr>
              <w:pStyle w:val="SingleTxtG"/>
              <w:spacing w:before="40" w:after="40" w:line="220" w:lineRule="exact"/>
              <w:ind w:left="0" w:right="113"/>
              <w:jc w:val="right"/>
              <w:rPr>
                <w:sz w:val="18"/>
              </w:rPr>
            </w:pPr>
            <w:r w:rsidRPr="00314A1C">
              <w:rPr>
                <w:sz w:val="18"/>
              </w:rPr>
              <w:t>7%</w:t>
            </w:r>
          </w:p>
        </w:tc>
        <w:tc>
          <w:tcPr>
            <w:tcW w:w="1143" w:type="dxa"/>
            <w:tcBorders>
              <w:top w:val="single" w:sz="12" w:space="0" w:color="auto"/>
              <w:bottom w:val="nil"/>
            </w:tcBorders>
            <w:shd w:val="clear" w:color="auto" w:fill="auto"/>
            <w:vAlign w:val="bottom"/>
          </w:tcPr>
          <w:p w:rsidR="00C9789E" w:rsidRPr="00314A1C" w:rsidRDefault="00C9789E" w:rsidP="00314A1C">
            <w:pPr>
              <w:pStyle w:val="SingleTxtG"/>
              <w:spacing w:before="40" w:after="40" w:line="220" w:lineRule="exact"/>
              <w:ind w:left="0" w:right="113"/>
              <w:jc w:val="right"/>
              <w:rPr>
                <w:sz w:val="18"/>
              </w:rPr>
            </w:pPr>
            <w:r w:rsidRPr="00314A1C">
              <w:rPr>
                <w:sz w:val="18"/>
              </w:rPr>
              <w:t>18%</w:t>
            </w:r>
          </w:p>
        </w:tc>
        <w:tc>
          <w:tcPr>
            <w:tcW w:w="1143" w:type="dxa"/>
            <w:tcBorders>
              <w:top w:val="single" w:sz="12" w:space="0" w:color="auto"/>
              <w:bottom w:val="nil"/>
            </w:tcBorders>
            <w:shd w:val="clear" w:color="auto" w:fill="auto"/>
            <w:vAlign w:val="bottom"/>
          </w:tcPr>
          <w:p w:rsidR="00C9789E" w:rsidRPr="00314A1C" w:rsidRDefault="00C9789E" w:rsidP="00314A1C">
            <w:pPr>
              <w:pStyle w:val="SingleTxtG"/>
              <w:spacing w:before="40" w:after="40" w:line="220" w:lineRule="exact"/>
              <w:ind w:left="0" w:right="113"/>
              <w:jc w:val="right"/>
              <w:rPr>
                <w:sz w:val="18"/>
              </w:rPr>
            </w:pPr>
            <w:r w:rsidRPr="00314A1C">
              <w:rPr>
                <w:sz w:val="18"/>
              </w:rPr>
              <w:t>-</w:t>
            </w:r>
          </w:p>
        </w:tc>
        <w:tc>
          <w:tcPr>
            <w:tcW w:w="1143" w:type="dxa"/>
            <w:tcBorders>
              <w:top w:val="single" w:sz="12" w:space="0" w:color="auto"/>
              <w:bottom w:val="nil"/>
            </w:tcBorders>
            <w:shd w:val="clear" w:color="auto" w:fill="auto"/>
            <w:vAlign w:val="bottom"/>
          </w:tcPr>
          <w:p w:rsidR="00C9789E" w:rsidRPr="00314A1C" w:rsidRDefault="00C9789E" w:rsidP="00314A1C">
            <w:pPr>
              <w:pStyle w:val="SingleTxtG"/>
              <w:spacing w:before="40" w:after="40" w:line="220" w:lineRule="exact"/>
              <w:ind w:left="0" w:right="113"/>
              <w:jc w:val="right"/>
              <w:rPr>
                <w:sz w:val="18"/>
              </w:rPr>
            </w:pPr>
            <w:r w:rsidRPr="00314A1C">
              <w:rPr>
                <w:sz w:val="18"/>
              </w:rPr>
              <w:t>-</w:t>
            </w:r>
          </w:p>
        </w:tc>
        <w:tc>
          <w:tcPr>
            <w:tcW w:w="1143" w:type="dxa"/>
            <w:tcBorders>
              <w:top w:val="single" w:sz="12" w:space="0" w:color="auto"/>
              <w:bottom w:val="nil"/>
            </w:tcBorders>
            <w:shd w:val="clear" w:color="auto" w:fill="auto"/>
            <w:vAlign w:val="bottom"/>
          </w:tcPr>
          <w:p w:rsidR="00C9789E" w:rsidRPr="00314A1C" w:rsidRDefault="00C9789E" w:rsidP="00314A1C">
            <w:pPr>
              <w:pStyle w:val="SingleTxtG"/>
              <w:spacing w:before="40" w:after="40" w:line="220" w:lineRule="exact"/>
              <w:ind w:left="0" w:right="113"/>
              <w:jc w:val="right"/>
              <w:rPr>
                <w:sz w:val="18"/>
              </w:rPr>
            </w:pPr>
            <w:r w:rsidRPr="00314A1C">
              <w:rPr>
                <w:sz w:val="18"/>
              </w:rPr>
              <w:t>-</w:t>
            </w:r>
          </w:p>
        </w:tc>
      </w:tr>
      <w:tr w:rsidR="00C9789E" w:rsidRPr="00314A1C" w:rsidTr="00B77308">
        <w:trPr>
          <w:cantSplit/>
        </w:trPr>
        <w:tc>
          <w:tcPr>
            <w:tcW w:w="513" w:type="dxa"/>
            <w:tcBorders>
              <w:top w:val="nil"/>
              <w:bottom w:val="nil"/>
            </w:tcBorders>
            <w:shd w:val="clear" w:color="auto" w:fill="auto"/>
            <w:hideMark/>
          </w:tcPr>
          <w:p w:rsidR="00C9789E" w:rsidRPr="00314A1C" w:rsidRDefault="00C9789E" w:rsidP="00314A1C">
            <w:pPr>
              <w:pStyle w:val="SingleTxtG"/>
              <w:spacing w:before="40" w:after="40" w:line="220" w:lineRule="exact"/>
              <w:ind w:left="0" w:right="113"/>
              <w:jc w:val="left"/>
              <w:rPr>
                <w:sz w:val="18"/>
              </w:rPr>
            </w:pPr>
            <w:r w:rsidRPr="00314A1C">
              <w:rPr>
                <w:sz w:val="18"/>
              </w:rPr>
              <w:t>2004</w:t>
            </w:r>
          </w:p>
        </w:tc>
        <w:tc>
          <w:tcPr>
            <w:tcW w:w="1142" w:type="dxa"/>
            <w:tcBorders>
              <w:top w:val="nil"/>
              <w:bottom w:val="nil"/>
            </w:tcBorders>
            <w:shd w:val="clear" w:color="auto" w:fill="auto"/>
            <w:vAlign w:val="bottom"/>
          </w:tcPr>
          <w:p w:rsidR="00C9789E" w:rsidRPr="00314A1C" w:rsidRDefault="00C9789E" w:rsidP="00314A1C">
            <w:pPr>
              <w:pStyle w:val="SingleTxtG"/>
              <w:spacing w:before="40" w:after="40" w:line="220" w:lineRule="exact"/>
              <w:ind w:left="0" w:right="113"/>
              <w:jc w:val="right"/>
              <w:rPr>
                <w:sz w:val="18"/>
              </w:rPr>
            </w:pPr>
            <w:r w:rsidRPr="00314A1C">
              <w:rPr>
                <w:sz w:val="18"/>
              </w:rPr>
              <w:t>23%</w:t>
            </w:r>
          </w:p>
        </w:tc>
        <w:tc>
          <w:tcPr>
            <w:tcW w:w="1143" w:type="dxa"/>
            <w:tcBorders>
              <w:top w:val="nil"/>
              <w:bottom w:val="nil"/>
            </w:tcBorders>
            <w:shd w:val="clear" w:color="auto" w:fill="auto"/>
            <w:vAlign w:val="bottom"/>
          </w:tcPr>
          <w:p w:rsidR="00C9789E" w:rsidRPr="00314A1C" w:rsidRDefault="00C9789E" w:rsidP="00314A1C">
            <w:pPr>
              <w:pStyle w:val="SingleTxtG"/>
              <w:spacing w:before="40" w:after="40" w:line="220" w:lineRule="exact"/>
              <w:ind w:left="0" w:right="113"/>
              <w:jc w:val="right"/>
              <w:rPr>
                <w:sz w:val="18"/>
              </w:rPr>
            </w:pPr>
            <w:r w:rsidRPr="00314A1C">
              <w:rPr>
                <w:sz w:val="18"/>
              </w:rPr>
              <w:t>6%</w:t>
            </w:r>
          </w:p>
        </w:tc>
        <w:tc>
          <w:tcPr>
            <w:tcW w:w="1143" w:type="dxa"/>
            <w:tcBorders>
              <w:top w:val="nil"/>
              <w:bottom w:val="nil"/>
            </w:tcBorders>
            <w:shd w:val="clear" w:color="auto" w:fill="auto"/>
            <w:vAlign w:val="bottom"/>
          </w:tcPr>
          <w:p w:rsidR="00C9789E" w:rsidRPr="00314A1C" w:rsidRDefault="00C9789E" w:rsidP="00314A1C">
            <w:pPr>
              <w:pStyle w:val="SingleTxtG"/>
              <w:spacing w:before="40" w:after="40" w:line="220" w:lineRule="exact"/>
              <w:ind w:left="0" w:right="113"/>
              <w:jc w:val="right"/>
              <w:rPr>
                <w:sz w:val="18"/>
              </w:rPr>
            </w:pPr>
            <w:r w:rsidRPr="00314A1C">
              <w:rPr>
                <w:sz w:val="18"/>
              </w:rPr>
              <w:t>17%</w:t>
            </w:r>
          </w:p>
        </w:tc>
        <w:tc>
          <w:tcPr>
            <w:tcW w:w="1143" w:type="dxa"/>
            <w:tcBorders>
              <w:top w:val="nil"/>
              <w:bottom w:val="nil"/>
            </w:tcBorders>
            <w:shd w:val="clear" w:color="auto" w:fill="auto"/>
            <w:vAlign w:val="bottom"/>
          </w:tcPr>
          <w:p w:rsidR="00C9789E" w:rsidRPr="00314A1C" w:rsidRDefault="00C9789E" w:rsidP="00314A1C">
            <w:pPr>
              <w:pStyle w:val="SingleTxtG"/>
              <w:spacing w:before="40" w:after="40" w:line="220" w:lineRule="exact"/>
              <w:ind w:left="0" w:right="113"/>
              <w:jc w:val="right"/>
              <w:rPr>
                <w:sz w:val="18"/>
              </w:rPr>
            </w:pPr>
            <w:r w:rsidRPr="00314A1C">
              <w:rPr>
                <w:sz w:val="18"/>
              </w:rPr>
              <w:t>-</w:t>
            </w:r>
          </w:p>
        </w:tc>
        <w:tc>
          <w:tcPr>
            <w:tcW w:w="1143" w:type="dxa"/>
            <w:tcBorders>
              <w:top w:val="nil"/>
              <w:bottom w:val="nil"/>
            </w:tcBorders>
            <w:shd w:val="clear" w:color="auto" w:fill="auto"/>
            <w:vAlign w:val="bottom"/>
          </w:tcPr>
          <w:p w:rsidR="00C9789E" w:rsidRPr="00314A1C" w:rsidRDefault="00C9789E" w:rsidP="00314A1C">
            <w:pPr>
              <w:pStyle w:val="SingleTxtG"/>
              <w:spacing w:before="40" w:after="40" w:line="220" w:lineRule="exact"/>
              <w:ind w:left="0" w:right="113"/>
              <w:jc w:val="right"/>
              <w:rPr>
                <w:sz w:val="18"/>
              </w:rPr>
            </w:pPr>
            <w:r w:rsidRPr="00314A1C">
              <w:rPr>
                <w:sz w:val="18"/>
              </w:rPr>
              <w:t>-</w:t>
            </w:r>
          </w:p>
        </w:tc>
        <w:tc>
          <w:tcPr>
            <w:tcW w:w="1143" w:type="dxa"/>
            <w:tcBorders>
              <w:top w:val="nil"/>
              <w:bottom w:val="nil"/>
            </w:tcBorders>
            <w:shd w:val="clear" w:color="auto" w:fill="auto"/>
            <w:vAlign w:val="bottom"/>
          </w:tcPr>
          <w:p w:rsidR="00C9789E" w:rsidRPr="00314A1C" w:rsidRDefault="00C9789E" w:rsidP="00314A1C">
            <w:pPr>
              <w:pStyle w:val="SingleTxtG"/>
              <w:spacing w:before="40" w:after="40" w:line="220" w:lineRule="exact"/>
              <w:ind w:left="0" w:right="113"/>
              <w:jc w:val="right"/>
              <w:rPr>
                <w:sz w:val="18"/>
              </w:rPr>
            </w:pPr>
            <w:r w:rsidRPr="00314A1C">
              <w:rPr>
                <w:sz w:val="18"/>
              </w:rPr>
              <w:t>-</w:t>
            </w:r>
          </w:p>
        </w:tc>
      </w:tr>
      <w:tr w:rsidR="00C9789E" w:rsidRPr="00314A1C" w:rsidTr="00B77308">
        <w:trPr>
          <w:cantSplit/>
        </w:trPr>
        <w:tc>
          <w:tcPr>
            <w:tcW w:w="513" w:type="dxa"/>
            <w:tcBorders>
              <w:top w:val="nil"/>
            </w:tcBorders>
            <w:shd w:val="clear" w:color="auto" w:fill="auto"/>
            <w:hideMark/>
          </w:tcPr>
          <w:p w:rsidR="00C9789E" w:rsidRPr="00314A1C" w:rsidRDefault="00C9789E" w:rsidP="00E77847">
            <w:pPr>
              <w:pStyle w:val="SingleTxtG"/>
              <w:spacing w:before="40" w:after="40" w:line="220" w:lineRule="exact"/>
              <w:ind w:left="0" w:right="113"/>
              <w:rPr>
                <w:sz w:val="18"/>
              </w:rPr>
            </w:pPr>
            <w:r w:rsidRPr="00314A1C">
              <w:rPr>
                <w:sz w:val="18"/>
              </w:rPr>
              <w:lastRenderedPageBreak/>
              <w:t>2007</w:t>
            </w:r>
          </w:p>
        </w:tc>
        <w:tc>
          <w:tcPr>
            <w:tcW w:w="1142" w:type="dxa"/>
            <w:tcBorders>
              <w:top w:val="nil"/>
            </w:tcBorders>
            <w:shd w:val="clear" w:color="auto" w:fill="auto"/>
            <w:vAlign w:val="bottom"/>
          </w:tcPr>
          <w:p w:rsidR="00C9789E" w:rsidRPr="00314A1C" w:rsidRDefault="00C9789E" w:rsidP="00314A1C">
            <w:pPr>
              <w:pStyle w:val="SingleTxtG"/>
              <w:spacing w:before="40" w:after="40" w:line="220" w:lineRule="exact"/>
              <w:ind w:left="0" w:right="113"/>
              <w:jc w:val="right"/>
              <w:rPr>
                <w:sz w:val="18"/>
              </w:rPr>
            </w:pPr>
            <w:r w:rsidRPr="00314A1C">
              <w:rPr>
                <w:sz w:val="18"/>
              </w:rPr>
              <w:t>16%</w:t>
            </w:r>
          </w:p>
        </w:tc>
        <w:tc>
          <w:tcPr>
            <w:tcW w:w="1143" w:type="dxa"/>
            <w:tcBorders>
              <w:top w:val="nil"/>
            </w:tcBorders>
            <w:shd w:val="clear" w:color="auto" w:fill="auto"/>
            <w:vAlign w:val="bottom"/>
          </w:tcPr>
          <w:p w:rsidR="00C9789E" w:rsidRPr="00314A1C" w:rsidRDefault="00C9789E" w:rsidP="00314A1C">
            <w:pPr>
              <w:pStyle w:val="SingleTxtG"/>
              <w:spacing w:before="40" w:after="40" w:line="220" w:lineRule="exact"/>
              <w:ind w:left="0" w:right="113"/>
              <w:jc w:val="right"/>
              <w:rPr>
                <w:sz w:val="18"/>
              </w:rPr>
            </w:pPr>
            <w:r w:rsidRPr="00314A1C">
              <w:rPr>
                <w:sz w:val="18"/>
              </w:rPr>
              <w:t>7%</w:t>
            </w:r>
          </w:p>
        </w:tc>
        <w:tc>
          <w:tcPr>
            <w:tcW w:w="1143" w:type="dxa"/>
            <w:tcBorders>
              <w:top w:val="nil"/>
            </w:tcBorders>
            <w:shd w:val="clear" w:color="auto" w:fill="auto"/>
            <w:vAlign w:val="bottom"/>
          </w:tcPr>
          <w:p w:rsidR="00C9789E" w:rsidRPr="00314A1C" w:rsidRDefault="00C9789E" w:rsidP="00314A1C">
            <w:pPr>
              <w:pStyle w:val="SingleTxtG"/>
              <w:spacing w:before="40" w:after="40" w:line="220" w:lineRule="exact"/>
              <w:ind w:left="0" w:right="113"/>
              <w:jc w:val="right"/>
              <w:rPr>
                <w:sz w:val="18"/>
              </w:rPr>
            </w:pPr>
            <w:r w:rsidRPr="00314A1C">
              <w:rPr>
                <w:sz w:val="18"/>
              </w:rPr>
              <w:t>13%</w:t>
            </w:r>
          </w:p>
        </w:tc>
        <w:tc>
          <w:tcPr>
            <w:tcW w:w="1143" w:type="dxa"/>
            <w:tcBorders>
              <w:top w:val="nil"/>
            </w:tcBorders>
            <w:shd w:val="clear" w:color="auto" w:fill="auto"/>
            <w:vAlign w:val="bottom"/>
          </w:tcPr>
          <w:p w:rsidR="00C9789E" w:rsidRPr="00314A1C" w:rsidRDefault="00C9789E" w:rsidP="00314A1C">
            <w:pPr>
              <w:pStyle w:val="SingleTxtG"/>
              <w:spacing w:before="40" w:after="40" w:line="220" w:lineRule="exact"/>
              <w:ind w:left="0" w:right="113"/>
              <w:jc w:val="right"/>
              <w:rPr>
                <w:sz w:val="18"/>
              </w:rPr>
            </w:pPr>
            <w:r w:rsidRPr="00314A1C">
              <w:rPr>
                <w:sz w:val="18"/>
              </w:rPr>
              <w:t>14%</w:t>
            </w:r>
          </w:p>
        </w:tc>
        <w:tc>
          <w:tcPr>
            <w:tcW w:w="1143" w:type="dxa"/>
            <w:tcBorders>
              <w:top w:val="nil"/>
            </w:tcBorders>
            <w:shd w:val="clear" w:color="auto" w:fill="auto"/>
            <w:vAlign w:val="bottom"/>
          </w:tcPr>
          <w:p w:rsidR="00C9789E" w:rsidRPr="00314A1C" w:rsidRDefault="00C9789E" w:rsidP="00314A1C">
            <w:pPr>
              <w:pStyle w:val="SingleTxtG"/>
              <w:spacing w:before="40" w:after="40" w:line="220" w:lineRule="exact"/>
              <w:ind w:left="0" w:right="113"/>
              <w:jc w:val="right"/>
              <w:rPr>
                <w:sz w:val="18"/>
              </w:rPr>
            </w:pPr>
            <w:r w:rsidRPr="00314A1C">
              <w:rPr>
                <w:sz w:val="18"/>
              </w:rPr>
              <w:t>4%</w:t>
            </w:r>
          </w:p>
        </w:tc>
        <w:tc>
          <w:tcPr>
            <w:tcW w:w="1143" w:type="dxa"/>
            <w:tcBorders>
              <w:top w:val="nil"/>
            </w:tcBorders>
            <w:shd w:val="clear" w:color="auto" w:fill="auto"/>
            <w:vAlign w:val="bottom"/>
          </w:tcPr>
          <w:p w:rsidR="00C9789E" w:rsidRPr="00314A1C" w:rsidRDefault="00C9789E" w:rsidP="00314A1C">
            <w:pPr>
              <w:pStyle w:val="SingleTxtG"/>
              <w:spacing w:before="40" w:after="40" w:line="220" w:lineRule="exact"/>
              <w:ind w:left="0" w:right="113"/>
              <w:jc w:val="right"/>
              <w:rPr>
                <w:sz w:val="18"/>
              </w:rPr>
            </w:pPr>
            <w:r w:rsidRPr="00314A1C">
              <w:rPr>
                <w:sz w:val="18"/>
              </w:rPr>
              <w:t>10%</w:t>
            </w:r>
          </w:p>
        </w:tc>
      </w:tr>
      <w:tr w:rsidR="00C9789E" w:rsidRPr="00314A1C" w:rsidTr="00B77308">
        <w:trPr>
          <w:cantSplit/>
        </w:trPr>
        <w:tc>
          <w:tcPr>
            <w:tcW w:w="513" w:type="dxa"/>
            <w:shd w:val="clear" w:color="auto" w:fill="auto"/>
          </w:tcPr>
          <w:p w:rsidR="00C9789E" w:rsidRPr="00314A1C" w:rsidRDefault="00C9789E" w:rsidP="00314A1C">
            <w:pPr>
              <w:pStyle w:val="SingleTxtG"/>
              <w:spacing w:before="40" w:after="40" w:line="220" w:lineRule="exact"/>
              <w:ind w:left="0" w:right="113"/>
              <w:jc w:val="left"/>
              <w:rPr>
                <w:sz w:val="18"/>
              </w:rPr>
            </w:pPr>
            <w:r w:rsidRPr="00314A1C">
              <w:rPr>
                <w:sz w:val="18"/>
              </w:rPr>
              <w:t>2010</w:t>
            </w:r>
          </w:p>
        </w:tc>
        <w:tc>
          <w:tcPr>
            <w:tcW w:w="1142" w:type="dxa"/>
            <w:shd w:val="clear" w:color="auto" w:fill="auto"/>
            <w:vAlign w:val="bottom"/>
          </w:tcPr>
          <w:p w:rsidR="00C9789E" w:rsidRPr="00314A1C" w:rsidRDefault="00C9789E" w:rsidP="00314A1C">
            <w:pPr>
              <w:pStyle w:val="SingleTxtG"/>
              <w:spacing w:before="40" w:after="40" w:line="220" w:lineRule="exact"/>
              <w:ind w:left="0" w:right="113"/>
              <w:jc w:val="right"/>
              <w:rPr>
                <w:sz w:val="18"/>
              </w:rPr>
            </w:pPr>
            <w:r w:rsidRPr="00314A1C">
              <w:rPr>
                <w:sz w:val="18"/>
              </w:rPr>
              <w:t>19%</w:t>
            </w:r>
          </w:p>
        </w:tc>
        <w:tc>
          <w:tcPr>
            <w:tcW w:w="1143" w:type="dxa"/>
            <w:shd w:val="clear" w:color="auto" w:fill="auto"/>
            <w:vAlign w:val="bottom"/>
          </w:tcPr>
          <w:p w:rsidR="00C9789E" w:rsidRPr="00314A1C" w:rsidRDefault="00C9789E" w:rsidP="00314A1C">
            <w:pPr>
              <w:pStyle w:val="SingleTxtG"/>
              <w:spacing w:before="40" w:after="40" w:line="220" w:lineRule="exact"/>
              <w:ind w:left="0" w:right="113"/>
              <w:jc w:val="right"/>
              <w:rPr>
                <w:sz w:val="18"/>
              </w:rPr>
            </w:pPr>
            <w:r w:rsidRPr="00314A1C">
              <w:rPr>
                <w:sz w:val="18"/>
              </w:rPr>
              <w:t>5%</w:t>
            </w:r>
          </w:p>
        </w:tc>
        <w:tc>
          <w:tcPr>
            <w:tcW w:w="1143" w:type="dxa"/>
            <w:shd w:val="clear" w:color="auto" w:fill="auto"/>
            <w:vAlign w:val="bottom"/>
          </w:tcPr>
          <w:p w:rsidR="00C9789E" w:rsidRPr="00314A1C" w:rsidRDefault="00C9789E" w:rsidP="00314A1C">
            <w:pPr>
              <w:pStyle w:val="SingleTxtG"/>
              <w:spacing w:before="40" w:after="40" w:line="220" w:lineRule="exact"/>
              <w:ind w:left="0" w:right="113"/>
              <w:jc w:val="right"/>
              <w:rPr>
                <w:sz w:val="18"/>
              </w:rPr>
            </w:pPr>
            <w:r w:rsidRPr="00314A1C">
              <w:rPr>
                <w:sz w:val="18"/>
              </w:rPr>
              <w:t>12%</w:t>
            </w:r>
          </w:p>
        </w:tc>
        <w:tc>
          <w:tcPr>
            <w:tcW w:w="1143" w:type="dxa"/>
            <w:shd w:val="clear" w:color="auto" w:fill="auto"/>
            <w:vAlign w:val="bottom"/>
          </w:tcPr>
          <w:p w:rsidR="00C9789E" w:rsidRPr="00314A1C" w:rsidRDefault="00C9789E" w:rsidP="00314A1C">
            <w:pPr>
              <w:pStyle w:val="SingleTxtG"/>
              <w:spacing w:before="40" w:after="40" w:line="220" w:lineRule="exact"/>
              <w:ind w:left="0" w:right="113"/>
              <w:jc w:val="right"/>
              <w:rPr>
                <w:sz w:val="18"/>
              </w:rPr>
            </w:pPr>
            <w:r w:rsidRPr="00314A1C">
              <w:rPr>
                <w:sz w:val="18"/>
              </w:rPr>
              <w:t>20%</w:t>
            </w:r>
          </w:p>
        </w:tc>
        <w:tc>
          <w:tcPr>
            <w:tcW w:w="1143" w:type="dxa"/>
            <w:shd w:val="clear" w:color="auto" w:fill="auto"/>
            <w:vAlign w:val="bottom"/>
          </w:tcPr>
          <w:p w:rsidR="00C9789E" w:rsidRPr="00314A1C" w:rsidRDefault="00C9789E" w:rsidP="00314A1C">
            <w:pPr>
              <w:pStyle w:val="SingleTxtG"/>
              <w:spacing w:before="40" w:after="40" w:line="220" w:lineRule="exact"/>
              <w:ind w:left="0" w:right="113"/>
              <w:jc w:val="right"/>
              <w:rPr>
                <w:sz w:val="18"/>
              </w:rPr>
            </w:pPr>
            <w:r w:rsidRPr="00314A1C">
              <w:rPr>
                <w:sz w:val="18"/>
              </w:rPr>
              <w:t>3%</w:t>
            </w:r>
          </w:p>
        </w:tc>
        <w:tc>
          <w:tcPr>
            <w:tcW w:w="1143" w:type="dxa"/>
            <w:shd w:val="clear" w:color="auto" w:fill="auto"/>
            <w:vAlign w:val="bottom"/>
          </w:tcPr>
          <w:p w:rsidR="00C9789E" w:rsidRPr="00314A1C" w:rsidRDefault="00C9789E" w:rsidP="00314A1C">
            <w:pPr>
              <w:pStyle w:val="SingleTxtG"/>
              <w:spacing w:before="40" w:after="40" w:line="220" w:lineRule="exact"/>
              <w:ind w:left="0" w:right="113"/>
              <w:jc w:val="right"/>
              <w:rPr>
                <w:sz w:val="18"/>
              </w:rPr>
            </w:pPr>
            <w:r w:rsidRPr="00314A1C">
              <w:rPr>
                <w:sz w:val="18"/>
              </w:rPr>
              <w:t>12%</w:t>
            </w:r>
          </w:p>
        </w:tc>
      </w:tr>
      <w:tr w:rsidR="00C9789E" w:rsidRPr="00314A1C" w:rsidTr="00B77308">
        <w:trPr>
          <w:cantSplit/>
        </w:trPr>
        <w:tc>
          <w:tcPr>
            <w:tcW w:w="513" w:type="dxa"/>
            <w:shd w:val="clear" w:color="auto" w:fill="auto"/>
          </w:tcPr>
          <w:p w:rsidR="00C9789E" w:rsidRPr="00314A1C" w:rsidRDefault="00C9789E" w:rsidP="00314A1C">
            <w:pPr>
              <w:pStyle w:val="SingleTxtG"/>
              <w:spacing w:before="40" w:after="40" w:line="220" w:lineRule="exact"/>
              <w:ind w:left="0" w:right="113"/>
              <w:jc w:val="left"/>
              <w:rPr>
                <w:sz w:val="18"/>
              </w:rPr>
            </w:pPr>
            <w:r w:rsidRPr="00314A1C">
              <w:rPr>
                <w:sz w:val="18"/>
              </w:rPr>
              <w:t>2013</w:t>
            </w:r>
          </w:p>
        </w:tc>
        <w:tc>
          <w:tcPr>
            <w:tcW w:w="1142" w:type="dxa"/>
            <w:shd w:val="clear" w:color="auto" w:fill="auto"/>
            <w:vAlign w:val="bottom"/>
          </w:tcPr>
          <w:p w:rsidR="00C9789E" w:rsidRPr="00314A1C" w:rsidRDefault="00C9789E" w:rsidP="00314A1C">
            <w:pPr>
              <w:pStyle w:val="SingleTxtG"/>
              <w:spacing w:before="40" w:after="40" w:line="220" w:lineRule="exact"/>
              <w:ind w:left="0" w:right="113"/>
              <w:jc w:val="right"/>
              <w:rPr>
                <w:sz w:val="18"/>
              </w:rPr>
            </w:pPr>
            <w:r w:rsidRPr="00314A1C">
              <w:rPr>
                <w:sz w:val="18"/>
              </w:rPr>
              <w:t>17%</w:t>
            </w:r>
          </w:p>
        </w:tc>
        <w:tc>
          <w:tcPr>
            <w:tcW w:w="1143" w:type="dxa"/>
            <w:shd w:val="clear" w:color="auto" w:fill="auto"/>
            <w:vAlign w:val="bottom"/>
          </w:tcPr>
          <w:p w:rsidR="00C9789E" w:rsidRPr="00314A1C" w:rsidRDefault="00C9789E" w:rsidP="00314A1C">
            <w:pPr>
              <w:pStyle w:val="SingleTxtG"/>
              <w:spacing w:before="40" w:after="40" w:line="220" w:lineRule="exact"/>
              <w:ind w:left="0" w:right="113"/>
              <w:jc w:val="right"/>
              <w:rPr>
                <w:sz w:val="18"/>
              </w:rPr>
            </w:pPr>
            <w:r w:rsidRPr="00314A1C">
              <w:rPr>
                <w:sz w:val="18"/>
              </w:rPr>
              <w:t>3%</w:t>
            </w:r>
          </w:p>
        </w:tc>
        <w:tc>
          <w:tcPr>
            <w:tcW w:w="1143" w:type="dxa"/>
            <w:shd w:val="clear" w:color="auto" w:fill="auto"/>
            <w:vAlign w:val="bottom"/>
          </w:tcPr>
          <w:p w:rsidR="00C9789E" w:rsidRPr="00314A1C" w:rsidRDefault="00C9789E" w:rsidP="00314A1C">
            <w:pPr>
              <w:pStyle w:val="SingleTxtG"/>
              <w:spacing w:before="40" w:after="40" w:line="220" w:lineRule="exact"/>
              <w:ind w:left="0" w:right="113"/>
              <w:jc w:val="right"/>
              <w:rPr>
                <w:sz w:val="18"/>
              </w:rPr>
            </w:pPr>
            <w:r w:rsidRPr="00314A1C">
              <w:rPr>
                <w:sz w:val="18"/>
              </w:rPr>
              <w:t>12%</w:t>
            </w:r>
          </w:p>
        </w:tc>
        <w:tc>
          <w:tcPr>
            <w:tcW w:w="1143" w:type="dxa"/>
            <w:shd w:val="clear" w:color="auto" w:fill="auto"/>
            <w:vAlign w:val="bottom"/>
          </w:tcPr>
          <w:p w:rsidR="00C9789E" w:rsidRPr="00314A1C" w:rsidRDefault="00C9789E" w:rsidP="00314A1C">
            <w:pPr>
              <w:pStyle w:val="SingleTxtG"/>
              <w:spacing w:before="40" w:after="40" w:line="220" w:lineRule="exact"/>
              <w:ind w:left="0" w:right="113"/>
              <w:jc w:val="right"/>
              <w:rPr>
                <w:sz w:val="18"/>
              </w:rPr>
            </w:pPr>
            <w:r w:rsidRPr="00314A1C">
              <w:rPr>
                <w:sz w:val="18"/>
              </w:rPr>
              <w:t>15%</w:t>
            </w:r>
          </w:p>
        </w:tc>
        <w:tc>
          <w:tcPr>
            <w:tcW w:w="1143" w:type="dxa"/>
            <w:shd w:val="clear" w:color="auto" w:fill="auto"/>
            <w:vAlign w:val="bottom"/>
          </w:tcPr>
          <w:p w:rsidR="00C9789E" w:rsidRPr="00314A1C" w:rsidRDefault="00C9789E" w:rsidP="00314A1C">
            <w:pPr>
              <w:pStyle w:val="SingleTxtG"/>
              <w:spacing w:before="40" w:after="40" w:line="220" w:lineRule="exact"/>
              <w:ind w:left="0" w:right="113"/>
              <w:jc w:val="right"/>
              <w:rPr>
                <w:sz w:val="18"/>
              </w:rPr>
            </w:pPr>
            <w:r w:rsidRPr="00314A1C">
              <w:rPr>
                <w:sz w:val="18"/>
              </w:rPr>
              <w:t>2%</w:t>
            </w:r>
          </w:p>
        </w:tc>
        <w:tc>
          <w:tcPr>
            <w:tcW w:w="1143" w:type="dxa"/>
            <w:shd w:val="clear" w:color="auto" w:fill="auto"/>
            <w:vAlign w:val="bottom"/>
          </w:tcPr>
          <w:p w:rsidR="00C9789E" w:rsidRPr="00314A1C" w:rsidRDefault="00C9789E" w:rsidP="00314A1C">
            <w:pPr>
              <w:pStyle w:val="SingleTxtG"/>
              <w:spacing w:before="40" w:after="40" w:line="220" w:lineRule="exact"/>
              <w:ind w:left="0" w:right="113"/>
              <w:jc w:val="right"/>
              <w:rPr>
                <w:sz w:val="18"/>
              </w:rPr>
            </w:pPr>
            <w:r w:rsidRPr="00314A1C">
              <w:rPr>
                <w:sz w:val="18"/>
              </w:rPr>
              <w:t>9%</w:t>
            </w:r>
          </w:p>
        </w:tc>
      </w:tr>
      <w:tr w:rsidR="00C9789E" w:rsidRPr="00314A1C" w:rsidTr="00B77308">
        <w:trPr>
          <w:cantSplit/>
        </w:trPr>
        <w:tc>
          <w:tcPr>
            <w:tcW w:w="513" w:type="dxa"/>
            <w:shd w:val="clear" w:color="auto" w:fill="auto"/>
          </w:tcPr>
          <w:p w:rsidR="00C9789E" w:rsidRPr="00314A1C" w:rsidRDefault="00C9789E" w:rsidP="00314A1C">
            <w:pPr>
              <w:pStyle w:val="SingleTxtG"/>
              <w:spacing w:before="40" w:after="40" w:line="220" w:lineRule="exact"/>
              <w:ind w:left="0" w:right="113"/>
              <w:jc w:val="left"/>
              <w:rPr>
                <w:sz w:val="18"/>
              </w:rPr>
            </w:pPr>
            <w:r w:rsidRPr="00314A1C">
              <w:rPr>
                <w:sz w:val="18"/>
              </w:rPr>
              <w:t>2015</w:t>
            </w:r>
          </w:p>
        </w:tc>
        <w:tc>
          <w:tcPr>
            <w:tcW w:w="1142" w:type="dxa"/>
            <w:shd w:val="clear" w:color="auto" w:fill="auto"/>
            <w:vAlign w:val="bottom"/>
          </w:tcPr>
          <w:p w:rsidR="00C9789E" w:rsidRPr="00314A1C" w:rsidRDefault="00C9789E" w:rsidP="00314A1C">
            <w:pPr>
              <w:pStyle w:val="SingleTxtG"/>
              <w:spacing w:before="40" w:after="40" w:line="220" w:lineRule="exact"/>
              <w:ind w:left="0" w:right="113"/>
              <w:jc w:val="right"/>
              <w:rPr>
                <w:sz w:val="18"/>
              </w:rPr>
            </w:pPr>
            <w:r w:rsidRPr="00314A1C">
              <w:rPr>
                <w:sz w:val="18"/>
              </w:rPr>
              <w:t>15%</w:t>
            </w:r>
          </w:p>
        </w:tc>
        <w:tc>
          <w:tcPr>
            <w:tcW w:w="1143" w:type="dxa"/>
            <w:shd w:val="clear" w:color="auto" w:fill="auto"/>
            <w:vAlign w:val="bottom"/>
          </w:tcPr>
          <w:p w:rsidR="00C9789E" w:rsidRPr="00314A1C" w:rsidRDefault="00C9789E" w:rsidP="00314A1C">
            <w:pPr>
              <w:pStyle w:val="SingleTxtG"/>
              <w:spacing w:before="40" w:after="40" w:line="220" w:lineRule="exact"/>
              <w:ind w:left="0" w:right="113"/>
              <w:jc w:val="right"/>
              <w:rPr>
                <w:sz w:val="18"/>
              </w:rPr>
            </w:pPr>
            <w:r w:rsidRPr="00314A1C">
              <w:rPr>
                <w:sz w:val="18"/>
              </w:rPr>
              <w:t>4%</w:t>
            </w:r>
          </w:p>
        </w:tc>
        <w:tc>
          <w:tcPr>
            <w:tcW w:w="1143" w:type="dxa"/>
            <w:shd w:val="clear" w:color="auto" w:fill="auto"/>
            <w:vAlign w:val="bottom"/>
          </w:tcPr>
          <w:p w:rsidR="00C9789E" w:rsidRPr="00314A1C" w:rsidRDefault="00C9789E" w:rsidP="00314A1C">
            <w:pPr>
              <w:pStyle w:val="SingleTxtG"/>
              <w:spacing w:before="40" w:after="40" w:line="220" w:lineRule="exact"/>
              <w:ind w:left="0" w:right="113"/>
              <w:jc w:val="right"/>
              <w:rPr>
                <w:sz w:val="18"/>
              </w:rPr>
            </w:pPr>
            <w:r w:rsidRPr="00314A1C">
              <w:rPr>
                <w:sz w:val="18"/>
              </w:rPr>
              <w:t>11%</w:t>
            </w:r>
          </w:p>
        </w:tc>
        <w:tc>
          <w:tcPr>
            <w:tcW w:w="1143" w:type="dxa"/>
            <w:shd w:val="clear" w:color="auto" w:fill="auto"/>
            <w:vAlign w:val="bottom"/>
          </w:tcPr>
          <w:p w:rsidR="00C9789E" w:rsidRPr="00314A1C" w:rsidRDefault="00C9789E" w:rsidP="00314A1C">
            <w:pPr>
              <w:pStyle w:val="SingleTxtG"/>
              <w:spacing w:before="40" w:after="40" w:line="220" w:lineRule="exact"/>
              <w:ind w:left="0" w:right="113"/>
              <w:jc w:val="right"/>
              <w:rPr>
                <w:sz w:val="18"/>
              </w:rPr>
            </w:pPr>
            <w:r w:rsidRPr="00314A1C">
              <w:rPr>
                <w:sz w:val="18"/>
              </w:rPr>
              <w:t>14%</w:t>
            </w:r>
          </w:p>
        </w:tc>
        <w:tc>
          <w:tcPr>
            <w:tcW w:w="1143" w:type="dxa"/>
            <w:shd w:val="clear" w:color="auto" w:fill="auto"/>
            <w:vAlign w:val="bottom"/>
          </w:tcPr>
          <w:p w:rsidR="00C9789E" w:rsidRPr="00314A1C" w:rsidRDefault="00C9789E" w:rsidP="00314A1C">
            <w:pPr>
              <w:pStyle w:val="SingleTxtG"/>
              <w:spacing w:before="40" w:after="40" w:line="220" w:lineRule="exact"/>
              <w:ind w:left="0" w:right="113"/>
              <w:jc w:val="right"/>
              <w:rPr>
                <w:sz w:val="18"/>
              </w:rPr>
            </w:pPr>
            <w:r w:rsidRPr="00314A1C">
              <w:rPr>
                <w:sz w:val="18"/>
              </w:rPr>
              <w:t>3%</w:t>
            </w:r>
          </w:p>
        </w:tc>
        <w:tc>
          <w:tcPr>
            <w:tcW w:w="1143" w:type="dxa"/>
            <w:shd w:val="clear" w:color="auto" w:fill="auto"/>
            <w:vAlign w:val="bottom"/>
          </w:tcPr>
          <w:p w:rsidR="00C9789E" w:rsidRPr="00314A1C" w:rsidRDefault="00C9789E" w:rsidP="00314A1C">
            <w:pPr>
              <w:pStyle w:val="SingleTxtG"/>
              <w:spacing w:before="40" w:after="40" w:line="220" w:lineRule="exact"/>
              <w:ind w:left="0" w:right="113"/>
              <w:jc w:val="right"/>
              <w:rPr>
                <w:sz w:val="18"/>
              </w:rPr>
            </w:pPr>
            <w:r w:rsidRPr="00314A1C">
              <w:rPr>
                <w:sz w:val="18"/>
              </w:rPr>
              <w:t>8%</w:t>
            </w:r>
          </w:p>
        </w:tc>
      </w:tr>
    </w:tbl>
    <w:p w:rsidR="00C9789E" w:rsidRPr="00F62F1C" w:rsidRDefault="00C9789E" w:rsidP="00E16932">
      <w:pPr>
        <w:pStyle w:val="SingleTxtG"/>
        <w:spacing w:before="240"/>
      </w:pPr>
      <w:r w:rsidRPr="00F62F1C">
        <w:t>182.</w:t>
      </w:r>
      <w:r w:rsidRPr="00F62F1C">
        <w:tab/>
        <w:t>Figure 23 shows low income and material hardship rates for different ethnic groups for children (0-17yrs), and for the population as a whole.</w:t>
      </w:r>
    </w:p>
    <w:p w:rsidR="00EA3446" w:rsidRDefault="00C9789E" w:rsidP="00946157">
      <w:pPr>
        <w:pStyle w:val="Heading1"/>
        <w:spacing w:before="240"/>
      </w:pPr>
      <w:bookmarkStart w:id="62" w:name="_Toc494359786"/>
      <w:r w:rsidRPr="00F62F1C">
        <w:t>Figure 23</w:t>
      </w:r>
      <w:bookmarkEnd w:id="62"/>
    </w:p>
    <w:p w:rsidR="00C9789E" w:rsidRPr="00EA3446" w:rsidRDefault="00EA3446" w:rsidP="00706221">
      <w:pPr>
        <w:pStyle w:val="SingleTxtG"/>
        <w:rPr>
          <w:b/>
        </w:rPr>
      </w:pPr>
      <w:r w:rsidRPr="00EA3446">
        <w:rPr>
          <w:b/>
        </w:rPr>
        <w:t xml:space="preserve">Low </w:t>
      </w:r>
      <w:r w:rsidR="00C9789E" w:rsidRPr="00EA3446">
        <w:rPr>
          <w:b/>
        </w:rPr>
        <w:t xml:space="preserve">income and material hardship rates for different ethnic groups for children </w:t>
      </w:r>
      <w:r w:rsidR="00D07B22">
        <w:rPr>
          <w:b/>
        </w:rPr>
        <w:br/>
      </w:r>
      <w:r w:rsidR="00C9789E" w:rsidRPr="00EA3446">
        <w:rPr>
          <w:b/>
        </w:rPr>
        <w:t>(0-17</w:t>
      </w:r>
      <w:r w:rsidR="00D07B22">
        <w:rPr>
          <w:b/>
        </w:rPr>
        <w:t xml:space="preserve"> </w:t>
      </w:r>
      <w:proofErr w:type="spellStart"/>
      <w:r w:rsidR="00C9789E" w:rsidRPr="00EA3446">
        <w:rPr>
          <w:b/>
        </w:rPr>
        <w:t>yrs</w:t>
      </w:r>
      <w:proofErr w:type="spellEnd"/>
      <w:r w:rsidR="00C9789E" w:rsidRPr="00EA3446">
        <w:rPr>
          <w:b/>
        </w:rPr>
        <w:t>), and for the population as a whole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60"/>
        <w:gridCol w:w="1452"/>
        <w:gridCol w:w="1453"/>
        <w:gridCol w:w="1452"/>
        <w:gridCol w:w="1453"/>
      </w:tblGrid>
      <w:tr w:rsidR="001848F0" w:rsidRPr="00E77847" w:rsidTr="00B77308">
        <w:trPr>
          <w:cantSplit/>
          <w:tblHeader/>
        </w:trPr>
        <w:tc>
          <w:tcPr>
            <w:tcW w:w="1560" w:type="dxa"/>
            <w:vMerge w:val="restart"/>
            <w:tcBorders>
              <w:top w:val="single" w:sz="4" w:space="0" w:color="auto"/>
            </w:tcBorders>
            <w:shd w:val="clear" w:color="auto" w:fill="auto"/>
            <w:vAlign w:val="bottom"/>
          </w:tcPr>
          <w:p w:rsidR="001848F0" w:rsidRPr="00E77847" w:rsidRDefault="001848F0" w:rsidP="001848F0">
            <w:pPr>
              <w:pStyle w:val="SingleTxtG"/>
              <w:spacing w:before="80" w:after="80" w:line="200" w:lineRule="exact"/>
              <w:ind w:left="0" w:right="113"/>
              <w:jc w:val="left"/>
              <w:rPr>
                <w:i/>
                <w:sz w:val="16"/>
              </w:rPr>
            </w:pPr>
            <w:r w:rsidRPr="001848F0">
              <w:rPr>
                <w:i/>
                <w:sz w:val="16"/>
              </w:rPr>
              <w:t>Year</w:t>
            </w:r>
          </w:p>
        </w:tc>
        <w:tc>
          <w:tcPr>
            <w:tcW w:w="2905" w:type="dxa"/>
            <w:gridSpan w:val="2"/>
            <w:tcBorders>
              <w:top w:val="single" w:sz="4" w:space="0" w:color="auto"/>
              <w:bottom w:val="single" w:sz="4" w:space="0" w:color="auto"/>
              <w:right w:val="single" w:sz="24" w:space="0" w:color="FFFFFF" w:themeColor="background1"/>
            </w:tcBorders>
            <w:shd w:val="clear" w:color="auto" w:fill="auto"/>
            <w:vAlign w:val="bottom"/>
          </w:tcPr>
          <w:p w:rsidR="001848F0" w:rsidRPr="00E77847" w:rsidRDefault="001848F0" w:rsidP="001848F0">
            <w:pPr>
              <w:pStyle w:val="SingleTxtG"/>
              <w:spacing w:before="80" w:after="80" w:line="200" w:lineRule="exact"/>
              <w:ind w:left="0" w:right="113"/>
              <w:jc w:val="center"/>
              <w:rPr>
                <w:i/>
                <w:sz w:val="16"/>
              </w:rPr>
            </w:pPr>
            <w:r w:rsidRPr="00E77847">
              <w:rPr>
                <w:i/>
                <w:sz w:val="16"/>
              </w:rPr>
              <w:t>Low incomes</w:t>
            </w:r>
            <w:r>
              <w:rPr>
                <w:i/>
                <w:sz w:val="16"/>
              </w:rPr>
              <w:br/>
            </w:r>
            <w:r w:rsidRPr="00E77847">
              <w:rPr>
                <w:i/>
                <w:sz w:val="16"/>
              </w:rPr>
              <w:t>(after housing costs, 50% 2007 median)</w:t>
            </w:r>
          </w:p>
        </w:tc>
        <w:tc>
          <w:tcPr>
            <w:tcW w:w="2905" w:type="dxa"/>
            <w:gridSpan w:val="2"/>
            <w:tcBorders>
              <w:top w:val="single" w:sz="4" w:space="0" w:color="auto"/>
              <w:left w:val="single" w:sz="24" w:space="0" w:color="FFFFFF" w:themeColor="background1"/>
              <w:bottom w:val="single" w:sz="4" w:space="0" w:color="auto"/>
            </w:tcBorders>
            <w:shd w:val="clear" w:color="auto" w:fill="auto"/>
            <w:vAlign w:val="bottom"/>
          </w:tcPr>
          <w:p w:rsidR="001848F0" w:rsidRPr="00E77847" w:rsidRDefault="001848F0" w:rsidP="001848F0">
            <w:pPr>
              <w:pStyle w:val="SingleTxtG"/>
              <w:spacing w:before="80" w:after="80" w:line="200" w:lineRule="exact"/>
              <w:ind w:left="0" w:right="113"/>
              <w:jc w:val="center"/>
              <w:rPr>
                <w:i/>
                <w:sz w:val="16"/>
              </w:rPr>
            </w:pPr>
            <w:r w:rsidRPr="00E77847">
              <w:rPr>
                <w:i/>
                <w:sz w:val="16"/>
              </w:rPr>
              <w:t xml:space="preserve">Material hardship </w:t>
            </w:r>
            <w:r>
              <w:rPr>
                <w:i/>
                <w:sz w:val="16"/>
              </w:rPr>
              <w:br/>
            </w:r>
            <w:r w:rsidRPr="00E77847">
              <w:rPr>
                <w:i/>
                <w:sz w:val="16"/>
              </w:rPr>
              <w:t>(using the EU’s standard threshold)</w:t>
            </w:r>
          </w:p>
        </w:tc>
      </w:tr>
      <w:tr w:rsidR="001848F0" w:rsidRPr="00E77847" w:rsidTr="00B77308">
        <w:trPr>
          <w:cantSplit/>
          <w:tblHeader/>
        </w:trPr>
        <w:tc>
          <w:tcPr>
            <w:tcW w:w="1560" w:type="dxa"/>
            <w:vMerge/>
            <w:tcBorders>
              <w:bottom w:val="single" w:sz="12" w:space="0" w:color="auto"/>
            </w:tcBorders>
            <w:shd w:val="clear" w:color="auto" w:fill="auto"/>
            <w:hideMark/>
          </w:tcPr>
          <w:p w:rsidR="001848F0" w:rsidRPr="001848F0" w:rsidRDefault="001848F0" w:rsidP="001848F0">
            <w:pPr>
              <w:pStyle w:val="SingleTxtG"/>
              <w:spacing w:before="80" w:after="80" w:line="200" w:lineRule="exact"/>
              <w:ind w:left="0" w:right="113"/>
              <w:jc w:val="left"/>
              <w:rPr>
                <w:i/>
                <w:sz w:val="16"/>
              </w:rPr>
            </w:pPr>
          </w:p>
        </w:tc>
        <w:tc>
          <w:tcPr>
            <w:tcW w:w="1452" w:type="dxa"/>
            <w:tcBorders>
              <w:top w:val="single" w:sz="4" w:space="0" w:color="auto"/>
              <w:bottom w:val="single" w:sz="12" w:space="0" w:color="auto"/>
            </w:tcBorders>
            <w:shd w:val="clear" w:color="auto" w:fill="auto"/>
            <w:vAlign w:val="bottom"/>
          </w:tcPr>
          <w:p w:rsidR="001848F0" w:rsidRPr="001848F0" w:rsidRDefault="001848F0" w:rsidP="001848F0">
            <w:pPr>
              <w:pStyle w:val="SingleTxtG"/>
              <w:spacing w:before="80" w:after="80" w:line="200" w:lineRule="exact"/>
              <w:ind w:left="0" w:right="113"/>
              <w:jc w:val="right"/>
              <w:rPr>
                <w:i/>
                <w:sz w:val="16"/>
              </w:rPr>
            </w:pPr>
            <w:r w:rsidRPr="001848F0">
              <w:rPr>
                <w:i/>
                <w:sz w:val="16"/>
              </w:rPr>
              <w:t>children</w:t>
            </w:r>
          </w:p>
        </w:tc>
        <w:tc>
          <w:tcPr>
            <w:tcW w:w="1453" w:type="dxa"/>
            <w:tcBorders>
              <w:top w:val="single" w:sz="4" w:space="0" w:color="auto"/>
              <w:bottom w:val="single" w:sz="12" w:space="0" w:color="auto"/>
              <w:right w:val="single" w:sz="24" w:space="0" w:color="FFFFFF" w:themeColor="background1"/>
            </w:tcBorders>
            <w:shd w:val="clear" w:color="auto" w:fill="auto"/>
            <w:vAlign w:val="bottom"/>
          </w:tcPr>
          <w:p w:rsidR="001848F0" w:rsidRPr="001848F0" w:rsidRDefault="001848F0" w:rsidP="001848F0">
            <w:pPr>
              <w:pStyle w:val="SingleTxtG"/>
              <w:spacing w:before="80" w:after="80" w:line="200" w:lineRule="exact"/>
              <w:ind w:left="0" w:right="113"/>
              <w:jc w:val="right"/>
              <w:rPr>
                <w:i/>
                <w:sz w:val="16"/>
              </w:rPr>
            </w:pPr>
            <w:r w:rsidRPr="001848F0">
              <w:rPr>
                <w:i/>
                <w:sz w:val="16"/>
              </w:rPr>
              <w:t>ALL</w:t>
            </w:r>
          </w:p>
        </w:tc>
        <w:tc>
          <w:tcPr>
            <w:tcW w:w="1452" w:type="dxa"/>
            <w:tcBorders>
              <w:top w:val="single" w:sz="4" w:space="0" w:color="auto"/>
              <w:left w:val="single" w:sz="24" w:space="0" w:color="FFFFFF" w:themeColor="background1"/>
              <w:bottom w:val="single" w:sz="12" w:space="0" w:color="auto"/>
            </w:tcBorders>
            <w:shd w:val="clear" w:color="auto" w:fill="auto"/>
            <w:vAlign w:val="bottom"/>
          </w:tcPr>
          <w:p w:rsidR="001848F0" w:rsidRPr="001848F0" w:rsidRDefault="001848F0" w:rsidP="001848F0">
            <w:pPr>
              <w:pStyle w:val="SingleTxtG"/>
              <w:spacing w:before="80" w:after="80" w:line="200" w:lineRule="exact"/>
              <w:ind w:left="0" w:right="113"/>
              <w:jc w:val="right"/>
              <w:rPr>
                <w:i/>
                <w:sz w:val="16"/>
              </w:rPr>
            </w:pPr>
            <w:r w:rsidRPr="001848F0">
              <w:rPr>
                <w:i/>
                <w:sz w:val="16"/>
              </w:rPr>
              <w:t>children</w:t>
            </w:r>
          </w:p>
        </w:tc>
        <w:tc>
          <w:tcPr>
            <w:tcW w:w="1453" w:type="dxa"/>
            <w:tcBorders>
              <w:top w:val="single" w:sz="4" w:space="0" w:color="auto"/>
              <w:bottom w:val="single" w:sz="12" w:space="0" w:color="auto"/>
            </w:tcBorders>
            <w:shd w:val="clear" w:color="auto" w:fill="auto"/>
            <w:vAlign w:val="bottom"/>
          </w:tcPr>
          <w:p w:rsidR="001848F0" w:rsidRPr="001848F0" w:rsidRDefault="001848F0" w:rsidP="001848F0">
            <w:pPr>
              <w:pStyle w:val="SingleTxtG"/>
              <w:spacing w:before="80" w:after="80" w:line="200" w:lineRule="exact"/>
              <w:ind w:left="0" w:right="113"/>
              <w:jc w:val="right"/>
              <w:rPr>
                <w:i/>
                <w:sz w:val="16"/>
              </w:rPr>
            </w:pPr>
            <w:r w:rsidRPr="001848F0">
              <w:rPr>
                <w:i/>
                <w:sz w:val="16"/>
              </w:rPr>
              <w:t>ALL</w:t>
            </w:r>
          </w:p>
        </w:tc>
      </w:tr>
      <w:tr w:rsidR="00C9789E" w:rsidRPr="00E77847" w:rsidTr="00B77308">
        <w:trPr>
          <w:cantSplit/>
        </w:trPr>
        <w:tc>
          <w:tcPr>
            <w:tcW w:w="1560" w:type="dxa"/>
            <w:tcBorders>
              <w:top w:val="single" w:sz="12" w:space="0" w:color="auto"/>
            </w:tcBorders>
            <w:shd w:val="clear" w:color="auto" w:fill="auto"/>
            <w:tcMar>
              <w:right w:w="170" w:type="dxa"/>
            </w:tcMar>
          </w:tcPr>
          <w:p w:rsidR="00C9789E" w:rsidRPr="00E77847" w:rsidRDefault="00C9789E" w:rsidP="00E77847">
            <w:pPr>
              <w:pStyle w:val="SingleTxtG"/>
              <w:spacing w:before="40" w:after="40" w:line="220" w:lineRule="exact"/>
              <w:ind w:left="0" w:right="113"/>
              <w:jc w:val="left"/>
              <w:rPr>
                <w:sz w:val="18"/>
              </w:rPr>
            </w:pPr>
            <w:r w:rsidRPr="00E77847">
              <w:rPr>
                <w:sz w:val="18"/>
              </w:rPr>
              <w:t>2012-2014 (</w:t>
            </w:r>
            <w:proofErr w:type="spellStart"/>
            <w:r w:rsidRPr="00E77847">
              <w:rPr>
                <w:sz w:val="18"/>
              </w:rPr>
              <w:t>avg</w:t>
            </w:r>
            <w:proofErr w:type="spellEnd"/>
            <w:r w:rsidRPr="00E77847">
              <w:rPr>
                <w:sz w:val="18"/>
              </w:rPr>
              <w:t>)</w:t>
            </w:r>
          </w:p>
        </w:tc>
        <w:tc>
          <w:tcPr>
            <w:tcW w:w="1452" w:type="dxa"/>
            <w:tcBorders>
              <w:top w:val="single" w:sz="12" w:space="0" w:color="auto"/>
            </w:tcBorders>
            <w:shd w:val="clear" w:color="auto" w:fill="auto"/>
            <w:vAlign w:val="bottom"/>
          </w:tcPr>
          <w:p w:rsidR="00C9789E" w:rsidRPr="00E77847" w:rsidRDefault="00C9789E" w:rsidP="00E77847">
            <w:pPr>
              <w:pStyle w:val="SingleTxtG"/>
              <w:spacing w:before="40" w:after="40" w:line="220" w:lineRule="exact"/>
              <w:ind w:left="0" w:right="113"/>
              <w:jc w:val="right"/>
              <w:rPr>
                <w:sz w:val="18"/>
              </w:rPr>
            </w:pPr>
            <w:r w:rsidRPr="00E77847">
              <w:rPr>
                <w:sz w:val="18"/>
              </w:rPr>
              <w:t>18%</w:t>
            </w:r>
          </w:p>
        </w:tc>
        <w:tc>
          <w:tcPr>
            <w:tcW w:w="1453" w:type="dxa"/>
            <w:tcBorders>
              <w:top w:val="single" w:sz="12" w:space="0" w:color="auto"/>
            </w:tcBorders>
            <w:shd w:val="clear" w:color="auto" w:fill="auto"/>
            <w:vAlign w:val="bottom"/>
          </w:tcPr>
          <w:p w:rsidR="00C9789E" w:rsidRPr="00E77847" w:rsidRDefault="00C9789E" w:rsidP="00E77847">
            <w:pPr>
              <w:pStyle w:val="SingleTxtG"/>
              <w:spacing w:before="40" w:after="40" w:line="220" w:lineRule="exact"/>
              <w:ind w:left="0" w:right="113"/>
              <w:jc w:val="right"/>
              <w:rPr>
                <w:sz w:val="18"/>
              </w:rPr>
            </w:pPr>
            <w:r w:rsidRPr="00E77847">
              <w:rPr>
                <w:sz w:val="18"/>
              </w:rPr>
              <w:t>12%</w:t>
            </w:r>
          </w:p>
        </w:tc>
        <w:tc>
          <w:tcPr>
            <w:tcW w:w="1452" w:type="dxa"/>
            <w:tcBorders>
              <w:top w:val="single" w:sz="12" w:space="0" w:color="auto"/>
            </w:tcBorders>
            <w:shd w:val="clear" w:color="auto" w:fill="auto"/>
            <w:vAlign w:val="bottom"/>
          </w:tcPr>
          <w:p w:rsidR="00C9789E" w:rsidRPr="00E77847" w:rsidRDefault="00C9789E" w:rsidP="00E77847">
            <w:pPr>
              <w:pStyle w:val="SingleTxtG"/>
              <w:spacing w:before="40" w:after="40" w:line="220" w:lineRule="exact"/>
              <w:ind w:left="0" w:right="113"/>
              <w:jc w:val="right"/>
              <w:rPr>
                <w:sz w:val="18"/>
              </w:rPr>
            </w:pPr>
            <w:r w:rsidRPr="00E77847">
              <w:rPr>
                <w:sz w:val="18"/>
              </w:rPr>
              <w:t>14%</w:t>
            </w:r>
          </w:p>
        </w:tc>
        <w:tc>
          <w:tcPr>
            <w:tcW w:w="1453" w:type="dxa"/>
            <w:tcBorders>
              <w:top w:val="single" w:sz="12" w:space="0" w:color="auto"/>
            </w:tcBorders>
            <w:shd w:val="clear" w:color="auto" w:fill="auto"/>
            <w:vAlign w:val="bottom"/>
          </w:tcPr>
          <w:p w:rsidR="00C9789E" w:rsidRPr="00E77847" w:rsidRDefault="00C9789E" w:rsidP="00E77847">
            <w:pPr>
              <w:pStyle w:val="SingleTxtG"/>
              <w:spacing w:before="40" w:after="40" w:line="220" w:lineRule="exact"/>
              <w:ind w:left="0" w:right="113"/>
              <w:jc w:val="right"/>
              <w:rPr>
                <w:sz w:val="18"/>
              </w:rPr>
            </w:pPr>
            <w:r w:rsidRPr="00E77847">
              <w:rPr>
                <w:sz w:val="18"/>
              </w:rPr>
              <w:t>8%</w:t>
            </w:r>
          </w:p>
        </w:tc>
      </w:tr>
      <w:tr w:rsidR="00C9789E" w:rsidRPr="00E77847" w:rsidTr="00B77308">
        <w:trPr>
          <w:cantSplit/>
        </w:trPr>
        <w:tc>
          <w:tcPr>
            <w:tcW w:w="1560" w:type="dxa"/>
            <w:shd w:val="clear" w:color="auto" w:fill="auto"/>
            <w:tcMar>
              <w:right w:w="170" w:type="dxa"/>
            </w:tcMar>
          </w:tcPr>
          <w:p w:rsidR="00C9789E" w:rsidRPr="00E77847" w:rsidRDefault="00C9789E" w:rsidP="00E77847">
            <w:pPr>
              <w:pStyle w:val="SingleTxtG"/>
              <w:spacing w:before="40" w:after="40" w:line="220" w:lineRule="exact"/>
              <w:ind w:left="0" w:right="113"/>
              <w:jc w:val="left"/>
              <w:rPr>
                <w:sz w:val="18"/>
              </w:rPr>
            </w:pPr>
            <w:r w:rsidRPr="00E77847">
              <w:rPr>
                <w:sz w:val="18"/>
              </w:rPr>
              <w:t>European</w:t>
            </w:r>
          </w:p>
        </w:tc>
        <w:tc>
          <w:tcPr>
            <w:tcW w:w="1452" w:type="dxa"/>
            <w:shd w:val="clear" w:color="auto" w:fill="auto"/>
            <w:vAlign w:val="bottom"/>
          </w:tcPr>
          <w:p w:rsidR="00C9789E" w:rsidRPr="00E77847" w:rsidRDefault="00C9789E" w:rsidP="00E77847">
            <w:pPr>
              <w:pStyle w:val="SingleTxtG"/>
              <w:spacing w:before="40" w:after="40" w:line="220" w:lineRule="exact"/>
              <w:ind w:left="0" w:right="113"/>
              <w:jc w:val="right"/>
              <w:rPr>
                <w:sz w:val="18"/>
              </w:rPr>
            </w:pPr>
            <w:r w:rsidRPr="00E77847">
              <w:rPr>
                <w:sz w:val="18"/>
              </w:rPr>
              <w:t>12%</w:t>
            </w:r>
          </w:p>
        </w:tc>
        <w:tc>
          <w:tcPr>
            <w:tcW w:w="1453" w:type="dxa"/>
            <w:shd w:val="clear" w:color="auto" w:fill="auto"/>
            <w:vAlign w:val="bottom"/>
          </w:tcPr>
          <w:p w:rsidR="00C9789E" w:rsidRPr="00E77847" w:rsidRDefault="00C9789E" w:rsidP="00E77847">
            <w:pPr>
              <w:pStyle w:val="SingleTxtG"/>
              <w:spacing w:before="40" w:after="40" w:line="220" w:lineRule="exact"/>
              <w:ind w:left="0" w:right="113"/>
              <w:jc w:val="right"/>
              <w:rPr>
                <w:sz w:val="18"/>
              </w:rPr>
            </w:pPr>
            <w:r w:rsidRPr="00E77847">
              <w:rPr>
                <w:sz w:val="18"/>
              </w:rPr>
              <w:t>9%</w:t>
            </w:r>
          </w:p>
        </w:tc>
        <w:tc>
          <w:tcPr>
            <w:tcW w:w="1452" w:type="dxa"/>
            <w:shd w:val="clear" w:color="auto" w:fill="auto"/>
            <w:vAlign w:val="bottom"/>
          </w:tcPr>
          <w:p w:rsidR="00C9789E" w:rsidRPr="00E77847" w:rsidRDefault="00C9789E" w:rsidP="00E77847">
            <w:pPr>
              <w:pStyle w:val="SingleTxtG"/>
              <w:spacing w:before="40" w:after="40" w:line="220" w:lineRule="exact"/>
              <w:ind w:left="0" w:right="113"/>
              <w:jc w:val="right"/>
              <w:rPr>
                <w:sz w:val="18"/>
              </w:rPr>
            </w:pPr>
            <w:r w:rsidRPr="00E77847">
              <w:rPr>
                <w:sz w:val="18"/>
              </w:rPr>
              <w:t>9%</w:t>
            </w:r>
          </w:p>
        </w:tc>
        <w:tc>
          <w:tcPr>
            <w:tcW w:w="1453" w:type="dxa"/>
            <w:shd w:val="clear" w:color="auto" w:fill="auto"/>
            <w:vAlign w:val="bottom"/>
          </w:tcPr>
          <w:p w:rsidR="00C9789E" w:rsidRPr="00E77847" w:rsidRDefault="00C9789E" w:rsidP="00E77847">
            <w:pPr>
              <w:pStyle w:val="SingleTxtG"/>
              <w:spacing w:before="40" w:after="40" w:line="220" w:lineRule="exact"/>
              <w:ind w:left="0" w:right="113"/>
              <w:jc w:val="right"/>
              <w:rPr>
                <w:sz w:val="18"/>
              </w:rPr>
            </w:pPr>
            <w:r w:rsidRPr="00E77847">
              <w:rPr>
                <w:sz w:val="18"/>
              </w:rPr>
              <w:t>6%</w:t>
            </w:r>
          </w:p>
        </w:tc>
      </w:tr>
      <w:tr w:rsidR="00C9789E" w:rsidRPr="00E77847" w:rsidTr="00B77308">
        <w:trPr>
          <w:cantSplit/>
        </w:trPr>
        <w:tc>
          <w:tcPr>
            <w:tcW w:w="1560" w:type="dxa"/>
            <w:shd w:val="clear" w:color="auto" w:fill="auto"/>
            <w:tcMar>
              <w:right w:w="170" w:type="dxa"/>
            </w:tcMar>
          </w:tcPr>
          <w:p w:rsidR="00C9789E" w:rsidRPr="00E77847" w:rsidRDefault="00C9789E" w:rsidP="00E77847">
            <w:pPr>
              <w:pStyle w:val="SingleTxtG"/>
              <w:spacing w:before="40" w:after="40" w:line="220" w:lineRule="exact"/>
              <w:ind w:left="0" w:right="113"/>
              <w:jc w:val="left"/>
              <w:rPr>
                <w:sz w:val="18"/>
              </w:rPr>
            </w:pPr>
            <w:r w:rsidRPr="00E77847">
              <w:rPr>
                <w:sz w:val="18"/>
              </w:rPr>
              <w:t>Māori</w:t>
            </w:r>
          </w:p>
        </w:tc>
        <w:tc>
          <w:tcPr>
            <w:tcW w:w="1452" w:type="dxa"/>
            <w:shd w:val="clear" w:color="auto" w:fill="auto"/>
            <w:vAlign w:val="bottom"/>
          </w:tcPr>
          <w:p w:rsidR="00C9789E" w:rsidRPr="00E77847" w:rsidRDefault="00C9789E" w:rsidP="00E77847">
            <w:pPr>
              <w:pStyle w:val="SingleTxtG"/>
              <w:spacing w:before="40" w:after="40" w:line="220" w:lineRule="exact"/>
              <w:ind w:left="0" w:right="113"/>
              <w:jc w:val="right"/>
              <w:rPr>
                <w:sz w:val="18"/>
              </w:rPr>
            </w:pPr>
            <w:r w:rsidRPr="00E77847">
              <w:rPr>
                <w:sz w:val="18"/>
              </w:rPr>
              <w:t>26%</w:t>
            </w:r>
          </w:p>
        </w:tc>
        <w:tc>
          <w:tcPr>
            <w:tcW w:w="1453" w:type="dxa"/>
            <w:shd w:val="clear" w:color="auto" w:fill="auto"/>
            <w:vAlign w:val="bottom"/>
          </w:tcPr>
          <w:p w:rsidR="00C9789E" w:rsidRPr="00E77847" w:rsidRDefault="00C9789E" w:rsidP="00E77847">
            <w:pPr>
              <w:pStyle w:val="SingleTxtG"/>
              <w:spacing w:before="40" w:after="40" w:line="220" w:lineRule="exact"/>
              <w:ind w:left="0" w:right="113"/>
              <w:jc w:val="right"/>
              <w:rPr>
                <w:sz w:val="18"/>
              </w:rPr>
            </w:pPr>
            <w:r w:rsidRPr="00E77847">
              <w:rPr>
                <w:sz w:val="18"/>
              </w:rPr>
              <w:t>20%</w:t>
            </w:r>
          </w:p>
        </w:tc>
        <w:tc>
          <w:tcPr>
            <w:tcW w:w="1452" w:type="dxa"/>
            <w:shd w:val="clear" w:color="auto" w:fill="auto"/>
            <w:vAlign w:val="bottom"/>
          </w:tcPr>
          <w:p w:rsidR="00C9789E" w:rsidRPr="00E77847" w:rsidRDefault="00C9789E" w:rsidP="00E77847">
            <w:pPr>
              <w:pStyle w:val="SingleTxtG"/>
              <w:spacing w:before="40" w:after="40" w:line="220" w:lineRule="exact"/>
              <w:ind w:left="0" w:right="113"/>
              <w:jc w:val="right"/>
              <w:rPr>
                <w:sz w:val="18"/>
              </w:rPr>
            </w:pPr>
            <w:r w:rsidRPr="00E77847">
              <w:rPr>
                <w:sz w:val="18"/>
              </w:rPr>
              <w:t>26%</w:t>
            </w:r>
          </w:p>
        </w:tc>
        <w:tc>
          <w:tcPr>
            <w:tcW w:w="1453" w:type="dxa"/>
            <w:shd w:val="clear" w:color="auto" w:fill="auto"/>
            <w:vAlign w:val="bottom"/>
          </w:tcPr>
          <w:p w:rsidR="00C9789E" w:rsidRPr="00E77847" w:rsidRDefault="00C9789E" w:rsidP="00E77847">
            <w:pPr>
              <w:pStyle w:val="SingleTxtG"/>
              <w:spacing w:before="40" w:after="40" w:line="220" w:lineRule="exact"/>
              <w:ind w:left="0" w:right="113"/>
              <w:jc w:val="right"/>
              <w:rPr>
                <w:sz w:val="18"/>
              </w:rPr>
            </w:pPr>
            <w:r w:rsidRPr="00E77847">
              <w:rPr>
                <w:sz w:val="18"/>
              </w:rPr>
              <w:t>21%</w:t>
            </w:r>
          </w:p>
        </w:tc>
      </w:tr>
      <w:tr w:rsidR="00C9789E" w:rsidRPr="00E77847" w:rsidTr="00B77308">
        <w:trPr>
          <w:cantSplit/>
        </w:trPr>
        <w:tc>
          <w:tcPr>
            <w:tcW w:w="1560" w:type="dxa"/>
            <w:shd w:val="clear" w:color="auto" w:fill="auto"/>
            <w:tcMar>
              <w:right w:w="170" w:type="dxa"/>
            </w:tcMar>
          </w:tcPr>
          <w:p w:rsidR="00C9789E" w:rsidRPr="00E77847" w:rsidRDefault="00C9789E" w:rsidP="00E77847">
            <w:pPr>
              <w:pStyle w:val="SingleTxtG"/>
              <w:spacing w:before="40" w:after="40" w:line="220" w:lineRule="exact"/>
              <w:ind w:left="0" w:right="113"/>
              <w:jc w:val="left"/>
              <w:rPr>
                <w:sz w:val="18"/>
              </w:rPr>
            </w:pPr>
            <w:r w:rsidRPr="00E77847">
              <w:rPr>
                <w:sz w:val="18"/>
              </w:rPr>
              <w:t>Pacific</w:t>
            </w:r>
          </w:p>
        </w:tc>
        <w:tc>
          <w:tcPr>
            <w:tcW w:w="1452" w:type="dxa"/>
            <w:shd w:val="clear" w:color="auto" w:fill="auto"/>
            <w:vAlign w:val="bottom"/>
          </w:tcPr>
          <w:p w:rsidR="00C9789E" w:rsidRPr="00E77847" w:rsidRDefault="00C9789E" w:rsidP="00E77847">
            <w:pPr>
              <w:pStyle w:val="SingleTxtG"/>
              <w:spacing w:before="40" w:after="40" w:line="220" w:lineRule="exact"/>
              <w:ind w:left="0" w:right="113"/>
              <w:jc w:val="right"/>
              <w:rPr>
                <w:sz w:val="18"/>
              </w:rPr>
            </w:pPr>
            <w:r w:rsidRPr="00E77847">
              <w:rPr>
                <w:sz w:val="18"/>
              </w:rPr>
              <w:t>21%</w:t>
            </w:r>
          </w:p>
        </w:tc>
        <w:tc>
          <w:tcPr>
            <w:tcW w:w="1453" w:type="dxa"/>
            <w:shd w:val="clear" w:color="auto" w:fill="auto"/>
            <w:vAlign w:val="bottom"/>
          </w:tcPr>
          <w:p w:rsidR="00C9789E" w:rsidRPr="00E77847" w:rsidRDefault="00C9789E" w:rsidP="00E77847">
            <w:pPr>
              <w:pStyle w:val="SingleTxtG"/>
              <w:spacing w:before="40" w:after="40" w:line="220" w:lineRule="exact"/>
              <w:ind w:left="0" w:right="113"/>
              <w:jc w:val="right"/>
              <w:rPr>
                <w:sz w:val="18"/>
              </w:rPr>
            </w:pPr>
            <w:r w:rsidRPr="00E77847">
              <w:rPr>
                <w:sz w:val="18"/>
              </w:rPr>
              <w:t>17%</w:t>
            </w:r>
          </w:p>
        </w:tc>
        <w:tc>
          <w:tcPr>
            <w:tcW w:w="1452" w:type="dxa"/>
            <w:shd w:val="clear" w:color="auto" w:fill="auto"/>
            <w:vAlign w:val="bottom"/>
          </w:tcPr>
          <w:p w:rsidR="00C9789E" w:rsidRPr="00E77847" w:rsidRDefault="00C9789E" w:rsidP="00E77847">
            <w:pPr>
              <w:pStyle w:val="SingleTxtG"/>
              <w:spacing w:before="40" w:after="40" w:line="220" w:lineRule="exact"/>
              <w:ind w:left="0" w:right="113"/>
              <w:jc w:val="right"/>
              <w:rPr>
                <w:sz w:val="18"/>
              </w:rPr>
            </w:pPr>
            <w:r w:rsidRPr="00E77847">
              <w:rPr>
                <w:sz w:val="18"/>
              </w:rPr>
              <w:t>41%</w:t>
            </w:r>
          </w:p>
        </w:tc>
        <w:tc>
          <w:tcPr>
            <w:tcW w:w="1453" w:type="dxa"/>
            <w:shd w:val="clear" w:color="auto" w:fill="auto"/>
            <w:vAlign w:val="bottom"/>
          </w:tcPr>
          <w:p w:rsidR="00C9789E" w:rsidRPr="00E77847" w:rsidRDefault="00C9789E" w:rsidP="00E77847">
            <w:pPr>
              <w:pStyle w:val="SingleTxtG"/>
              <w:spacing w:before="40" w:after="40" w:line="220" w:lineRule="exact"/>
              <w:ind w:left="0" w:right="113"/>
              <w:jc w:val="right"/>
              <w:rPr>
                <w:sz w:val="18"/>
              </w:rPr>
            </w:pPr>
            <w:r w:rsidRPr="00E77847">
              <w:rPr>
                <w:sz w:val="18"/>
              </w:rPr>
              <w:t>34%</w:t>
            </w:r>
          </w:p>
        </w:tc>
      </w:tr>
      <w:tr w:rsidR="00C9789E" w:rsidRPr="00E77847" w:rsidTr="00B77308">
        <w:trPr>
          <w:cantSplit/>
        </w:trPr>
        <w:tc>
          <w:tcPr>
            <w:tcW w:w="1560" w:type="dxa"/>
            <w:shd w:val="clear" w:color="auto" w:fill="auto"/>
            <w:tcMar>
              <w:right w:w="170" w:type="dxa"/>
            </w:tcMar>
          </w:tcPr>
          <w:p w:rsidR="00C9789E" w:rsidRPr="00E77847" w:rsidRDefault="00C9789E" w:rsidP="00E77847">
            <w:pPr>
              <w:pStyle w:val="SingleTxtG"/>
              <w:spacing w:before="40" w:after="40" w:line="220" w:lineRule="exact"/>
              <w:ind w:left="0" w:right="113"/>
              <w:jc w:val="left"/>
              <w:rPr>
                <w:sz w:val="18"/>
              </w:rPr>
            </w:pPr>
            <w:r w:rsidRPr="00E77847">
              <w:rPr>
                <w:sz w:val="18"/>
              </w:rPr>
              <w:t>Other</w:t>
            </w:r>
          </w:p>
        </w:tc>
        <w:tc>
          <w:tcPr>
            <w:tcW w:w="1452" w:type="dxa"/>
            <w:shd w:val="clear" w:color="auto" w:fill="auto"/>
            <w:vAlign w:val="bottom"/>
          </w:tcPr>
          <w:p w:rsidR="00C9789E" w:rsidRPr="00E77847" w:rsidRDefault="00C9789E" w:rsidP="00E77847">
            <w:pPr>
              <w:pStyle w:val="SingleTxtG"/>
              <w:spacing w:before="40" w:after="40" w:line="220" w:lineRule="exact"/>
              <w:ind w:left="0" w:right="113"/>
              <w:jc w:val="right"/>
              <w:rPr>
                <w:sz w:val="18"/>
              </w:rPr>
            </w:pPr>
            <w:r w:rsidRPr="00E77847">
              <w:rPr>
                <w:sz w:val="18"/>
              </w:rPr>
              <w:t>23%</w:t>
            </w:r>
          </w:p>
        </w:tc>
        <w:tc>
          <w:tcPr>
            <w:tcW w:w="1453" w:type="dxa"/>
            <w:shd w:val="clear" w:color="auto" w:fill="auto"/>
            <w:vAlign w:val="bottom"/>
          </w:tcPr>
          <w:p w:rsidR="00C9789E" w:rsidRPr="00E77847" w:rsidRDefault="00C9789E" w:rsidP="00E77847">
            <w:pPr>
              <w:pStyle w:val="SingleTxtG"/>
              <w:spacing w:before="40" w:after="40" w:line="220" w:lineRule="exact"/>
              <w:ind w:left="0" w:right="113"/>
              <w:jc w:val="right"/>
              <w:rPr>
                <w:sz w:val="18"/>
              </w:rPr>
            </w:pPr>
            <w:r w:rsidRPr="00E77847">
              <w:rPr>
                <w:sz w:val="18"/>
              </w:rPr>
              <w:t>19%</w:t>
            </w:r>
          </w:p>
        </w:tc>
        <w:tc>
          <w:tcPr>
            <w:tcW w:w="1452" w:type="dxa"/>
            <w:shd w:val="clear" w:color="auto" w:fill="auto"/>
            <w:vAlign w:val="bottom"/>
          </w:tcPr>
          <w:p w:rsidR="00C9789E" w:rsidRPr="00E77847" w:rsidRDefault="00C9789E" w:rsidP="00E77847">
            <w:pPr>
              <w:pStyle w:val="SingleTxtG"/>
              <w:spacing w:before="40" w:after="40" w:line="220" w:lineRule="exact"/>
              <w:ind w:left="0" w:right="113"/>
              <w:jc w:val="right"/>
              <w:rPr>
                <w:sz w:val="18"/>
              </w:rPr>
            </w:pPr>
            <w:r w:rsidRPr="00E77847">
              <w:rPr>
                <w:sz w:val="18"/>
              </w:rPr>
              <w:t>6%</w:t>
            </w:r>
          </w:p>
        </w:tc>
        <w:tc>
          <w:tcPr>
            <w:tcW w:w="1453" w:type="dxa"/>
            <w:shd w:val="clear" w:color="auto" w:fill="auto"/>
            <w:vAlign w:val="bottom"/>
          </w:tcPr>
          <w:p w:rsidR="00C9789E" w:rsidRPr="00E77847" w:rsidRDefault="00C9789E" w:rsidP="00E77847">
            <w:pPr>
              <w:pStyle w:val="SingleTxtG"/>
              <w:spacing w:before="40" w:after="40" w:line="220" w:lineRule="exact"/>
              <w:ind w:left="0" w:right="113"/>
              <w:jc w:val="right"/>
              <w:rPr>
                <w:sz w:val="18"/>
              </w:rPr>
            </w:pPr>
            <w:r w:rsidRPr="00E77847">
              <w:rPr>
                <w:sz w:val="18"/>
              </w:rPr>
              <w:t>4%</w:t>
            </w:r>
          </w:p>
        </w:tc>
      </w:tr>
    </w:tbl>
    <w:p w:rsidR="00C9789E" w:rsidRPr="00F62F1C" w:rsidRDefault="00C9789E" w:rsidP="0096027A">
      <w:pPr>
        <w:pStyle w:val="SingleTxtG"/>
        <w:spacing w:before="240"/>
      </w:pPr>
      <w:r w:rsidRPr="00F62F1C">
        <w:t>183.</w:t>
      </w:r>
      <w:r w:rsidRPr="00F62F1C">
        <w:tab/>
        <w:t>Figure 24 shows low income and material hardship rates by family status and for the population as a whole. Please note the sole parent household category captures only two in three sole parent families as one in three live in households with other adults.</w:t>
      </w:r>
    </w:p>
    <w:p w:rsidR="00E36599" w:rsidRDefault="00C9789E" w:rsidP="00835B6C">
      <w:pPr>
        <w:pStyle w:val="Heading1"/>
        <w:spacing w:before="240"/>
      </w:pPr>
      <w:bookmarkStart w:id="63" w:name="_Toc494359787"/>
      <w:r w:rsidRPr="00F62F1C">
        <w:t>Figure 24</w:t>
      </w:r>
      <w:bookmarkEnd w:id="63"/>
    </w:p>
    <w:p w:rsidR="00C9789E" w:rsidRPr="00E36599" w:rsidRDefault="00E36599" w:rsidP="00706221">
      <w:pPr>
        <w:pStyle w:val="SingleTxtG"/>
        <w:rPr>
          <w:b/>
        </w:rPr>
      </w:pPr>
      <w:r w:rsidRPr="00E36599">
        <w:rPr>
          <w:b/>
        </w:rPr>
        <w:t xml:space="preserve">Low </w:t>
      </w:r>
      <w:r w:rsidR="00C9789E" w:rsidRPr="00E36599">
        <w:rPr>
          <w:b/>
        </w:rPr>
        <w:t>income and material hardship rates by family status an</w:t>
      </w:r>
      <w:r w:rsidRPr="00E36599">
        <w:rPr>
          <w:b/>
        </w:rPr>
        <w:t>d for the population as a whole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09"/>
        <w:gridCol w:w="2126"/>
        <w:gridCol w:w="993"/>
        <w:gridCol w:w="992"/>
        <w:gridCol w:w="1134"/>
        <w:gridCol w:w="1416"/>
      </w:tblGrid>
      <w:tr w:rsidR="006871B5" w:rsidRPr="003844EE" w:rsidTr="00B77308">
        <w:trPr>
          <w:cantSplit/>
          <w:tblHeader/>
        </w:trPr>
        <w:tc>
          <w:tcPr>
            <w:tcW w:w="709" w:type="dxa"/>
            <w:vMerge w:val="restart"/>
            <w:tcBorders>
              <w:top w:val="single" w:sz="4" w:space="0" w:color="auto"/>
            </w:tcBorders>
            <w:shd w:val="clear" w:color="auto" w:fill="auto"/>
            <w:vAlign w:val="bottom"/>
          </w:tcPr>
          <w:p w:rsidR="006871B5" w:rsidRPr="003844EE" w:rsidRDefault="006871B5" w:rsidP="00B3366A">
            <w:pPr>
              <w:pStyle w:val="SingleTxtG"/>
              <w:spacing w:before="80" w:after="80" w:line="200" w:lineRule="exact"/>
              <w:ind w:left="0" w:right="113"/>
              <w:jc w:val="left"/>
              <w:rPr>
                <w:i/>
                <w:sz w:val="16"/>
              </w:rPr>
            </w:pPr>
            <w:r w:rsidRPr="00B84414">
              <w:rPr>
                <w:i/>
                <w:sz w:val="16"/>
              </w:rPr>
              <w:t>Year</w:t>
            </w:r>
          </w:p>
        </w:tc>
        <w:tc>
          <w:tcPr>
            <w:tcW w:w="2126" w:type="dxa"/>
            <w:vMerge w:val="restart"/>
            <w:tcBorders>
              <w:top w:val="single" w:sz="4" w:space="0" w:color="auto"/>
            </w:tcBorders>
            <w:shd w:val="clear" w:color="auto" w:fill="auto"/>
            <w:vAlign w:val="bottom"/>
          </w:tcPr>
          <w:p w:rsidR="006871B5" w:rsidRPr="003844EE" w:rsidRDefault="006871B5" w:rsidP="006871B5">
            <w:pPr>
              <w:pStyle w:val="SingleTxtG"/>
              <w:spacing w:before="80" w:after="80" w:line="200" w:lineRule="exact"/>
              <w:ind w:left="0" w:right="113"/>
              <w:jc w:val="left"/>
              <w:rPr>
                <w:i/>
                <w:sz w:val="16"/>
              </w:rPr>
            </w:pPr>
            <w:r w:rsidRPr="00B84414">
              <w:rPr>
                <w:i/>
                <w:sz w:val="16"/>
              </w:rPr>
              <w:t>Family status</w:t>
            </w:r>
          </w:p>
        </w:tc>
        <w:tc>
          <w:tcPr>
            <w:tcW w:w="1985" w:type="dxa"/>
            <w:gridSpan w:val="2"/>
            <w:tcBorders>
              <w:top w:val="single" w:sz="4" w:space="0" w:color="auto"/>
              <w:bottom w:val="single" w:sz="4" w:space="0" w:color="auto"/>
              <w:right w:val="single" w:sz="24" w:space="0" w:color="FFFFFF" w:themeColor="background1"/>
            </w:tcBorders>
            <w:shd w:val="clear" w:color="auto" w:fill="auto"/>
            <w:vAlign w:val="bottom"/>
          </w:tcPr>
          <w:p w:rsidR="006871B5" w:rsidRPr="003844EE" w:rsidRDefault="006871B5" w:rsidP="00B84414">
            <w:pPr>
              <w:pStyle w:val="SingleTxtG"/>
              <w:spacing w:before="80" w:after="80" w:line="200" w:lineRule="exact"/>
              <w:ind w:left="0" w:right="113"/>
              <w:jc w:val="right"/>
              <w:rPr>
                <w:i/>
                <w:sz w:val="16"/>
              </w:rPr>
            </w:pPr>
            <w:r w:rsidRPr="003844EE">
              <w:rPr>
                <w:i/>
                <w:sz w:val="16"/>
              </w:rPr>
              <w:t>Low incomes</w:t>
            </w:r>
            <w:r>
              <w:rPr>
                <w:i/>
                <w:sz w:val="16"/>
              </w:rPr>
              <w:br/>
            </w:r>
            <w:r w:rsidRPr="003844EE">
              <w:rPr>
                <w:i/>
                <w:sz w:val="16"/>
              </w:rPr>
              <w:t>(after housing costs, 50% 2007 median)</w:t>
            </w:r>
          </w:p>
        </w:tc>
        <w:tc>
          <w:tcPr>
            <w:tcW w:w="2550" w:type="dxa"/>
            <w:gridSpan w:val="2"/>
            <w:tcBorders>
              <w:top w:val="single" w:sz="4" w:space="0" w:color="auto"/>
              <w:left w:val="single" w:sz="24" w:space="0" w:color="FFFFFF" w:themeColor="background1"/>
              <w:bottom w:val="single" w:sz="4" w:space="0" w:color="auto"/>
            </w:tcBorders>
            <w:shd w:val="clear" w:color="auto" w:fill="auto"/>
            <w:vAlign w:val="bottom"/>
          </w:tcPr>
          <w:p w:rsidR="006871B5" w:rsidRPr="003844EE" w:rsidRDefault="006871B5" w:rsidP="00B84414">
            <w:pPr>
              <w:pStyle w:val="SingleTxtG"/>
              <w:spacing w:before="80" w:after="80" w:line="200" w:lineRule="exact"/>
              <w:ind w:left="0" w:right="113"/>
              <w:jc w:val="right"/>
              <w:rPr>
                <w:i/>
                <w:sz w:val="16"/>
              </w:rPr>
            </w:pPr>
            <w:r w:rsidRPr="003844EE">
              <w:rPr>
                <w:i/>
                <w:sz w:val="16"/>
              </w:rPr>
              <w:t>Material hardship</w:t>
            </w:r>
            <w:r>
              <w:rPr>
                <w:i/>
                <w:sz w:val="16"/>
              </w:rPr>
              <w:br/>
            </w:r>
            <w:r w:rsidRPr="003844EE">
              <w:rPr>
                <w:i/>
                <w:sz w:val="16"/>
              </w:rPr>
              <w:t>(using the EU’s «standard» threshold)</w:t>
            </w:r>
          </w:p>
        </w:tc>
      </w:tr>
      <w:tr w:rsidR="006871B5" w:rsidRPr="00B84414" w:rsidTr="00B77308">
        <w:trPr>
          <w:cantSplit/>
          <w:tblHeader/>
        </w:trPr>
        <w:tc>
          <w:tcPr>
            <w:tcW w:w="709" w:type="dxa"/>
            <w:vMerge/>
            <w:tcBorders>
              <w:bottom w:val="single" w:sz="12" w:space="0" w:color="auto"/>
            </w:tcBorders>
            <w:shd w:val="clear" w:color="auto" w:fill="auto"/>
            <w:hideMark/>
          </w:tcPr>
          <w:p w:rsidR="006871B5" w:rsidRPr="00B84414" w:rsidRDefault="006871B5" w:rsidP="00B3366A">
            <w:pPr>
              <w:pStyle w:val="SingleTxtG"/>
              <w:spacing w:before="80" w:after="80" w:line="200" w:lineRule="exact"/>
              <w:ind w:left="0" w:right="113"/>
              <w:jc w:val="left"/>
              <w:rPr>
                <w:i/>
                <w:sz w:val="16"/>
              </w:rPr>
            </w:pPr>
          </w:p>
        </w:tc>
        <w:tc>
          <w:tcPr>
            <w:tcW w:w="2126" w:type="dxa"/>
            <w:vMerge/>
            <w:tcBorders>
              <w:bottom w:val="single" w:sz="12" w:space="0" w:color="auto"/>
            </w:tcBorders>
            <w:shd w:val="clear" w:color="auto" w:fill="auto"/>
          </w:tcPr>
          <w:p w:rsidR="006871B5" w:rsidRPr="00B84414" w:rsidRDefault="006871B5" w:rsidP="00B84414">
            <w:pPr>
              <w:pStyle w:val="SingleTxtG"/>
              <w:spacing w:before="80" w:after="80" w:line="200" w:lineRule="exact"/>
              <w:ind w:left="0" w:right="113"/>
              <w:jc w:val="right"/>
              <w:rPr>
                <w:i/>
                <w:sz w:val="16"/>
              </w:rPr>
            </w:pPr>
          </w:p>
        </w:tc>
        <w:tc>
          <w:tcPr>
            <w:tcW w:w="993" w:type="dxa"/>
            <w:tcBorders>
              <w:top w:val="single" w:sz="4" w:space="0" w:color="auto"/>
              <w:bottom w:val="single" w:sz="12" w:space="0" w:color="auto"/>
            </w:tcBorders>
            <w:shd w:val="clear" w:color="auto" w:fill="auto"/>
            <w:vAlign w:val="bottom"/>
          </w:tcPr>
          <w:p w:rsidR="006871B5" w:rsidRPr="00B84414" w:rsidRDefault="006871B5" w:rsidP="00B84414">
            <w:pPr>
              <w:pStyle w:val="SingleTxtG"/>
              <w:spacing w:before="80" w:after="80" w:line="200" w:lineRule="exact"/>
              <w:ind w:left="0" w:right="113"/>
              <w:jc w:val="right"/>
              <w:rPr>
                <w:i/>
                <w:sz w:val="16"/>
              </w:rPr>
            </w:pPr>
            <w:r w:rsidRPr="00B84414">
              <w:rPr>
                <w:i/>
                <w:sz w:val="16"/>
              </w:rPr>
              <w:t>children</w:t>
            </w:r>
          </w:p>
        </w:tc>
        <w:tc>
          <w:tcPr>
            <w:tcW w:w="992" w:type="dxa"/>
            <w:tcBorders>
              <w:top w:val="single" w:sz="4" w:space="0" w:color="auto"/>
              <w:bottom w:val="single" w:sz="12" w:space="0" w:color="auto"/>
              <w:right w:val="single" w:sz="24" w:space="0" w:color="FFFFFF" w:themeColor="background1"/>
            </w:tcBorders>
            <w:shd w:val="clear" w:color="auto" w:fill="auto"/>
            <w:vAlign w:val="bottom"/>
          </w:tcPr>
          <w:p w:rsidR="006871B5" w:rsidRPr="00B84414" w:rsidRDefault="006871B5" w:rsidP="00B84414">
            <w:pPr>
              <w:pStyle w:val="SingleTxtG"/>
              <w:spacing w:before="80" w:after="80" w:line="200" w:lineRule="exact"/>
              <w:ind w:left="0" w:right="113"/>
              <w:jc w:val="right"/>
              <w:rPr>
                <w:i/>
                <w:sz w:val="16"/>
              </w:rPr>
            </w:pPr>
            <w:r w:rsidRPr="00B84414">
              <w:rPr>
                <w:i/>
                <w:sz w:val="16"/>
              </w:rPr>
              <w:t>ALL</w:t>
            </w:r>
          </w:p>
        </w:tc>
        <w:tc>
          <w:tcPr>
            <w:tcW w:w="1134" w:type="dxa"/>
            <w:tcBorders>
              <w:top w:val="single" w:sz="4" w:space="0" w:color="auto"/>
              <w:left w:val="single" w:sz="24" w:space="0" w:color="FFFFFF" w:themeColor="background1"/>
              <w:bottom w:val="single" w:sz="12" w:space="0" w:color="auto"/>
            </w:tcBorders>
            <w:shd w:val="clear" w:color="auto" w:fill="auto"/>
            <w:vAlign w:val="bottom"/>
          </w:tcPr>
          <w:p w:rsidR="006871B5" w:rsidRPr="00B84414" w:rsidRDefault="006871B5" w:rsidP="00B84414">
            <w:pPr>
              <w:pStyle w:val="SingleTxtG"/>
              <w:spacing w:before="80" w:after="80" w:line="200" w:lineRule="exact"/>
              <w:ind w:left="0" w:right="113"/>
              <w:jc w:val="right"/>
              <w:rPr>
                <w:i/>
                <w:sz w:val="16"/>
              </w:rPr>
            </w:pPr>
            <w:r w:rsidRPr="00B84414">
              <w:rPr>
                <w:i/>
                <w:sz w:val="16"/>
              </w:rPr>
              <w:t>children</w:t>
            </w:r>
          </w:p>
        </w:tc>
        <w:tc>
          <w:tcPr>
            <w:tcW w:w="1416" w:type="dxa"/>
            <w:tcBorders>
              <w:top w:val="single" w:sz="4" w:space="0" w:color="auto"/>
              <w:bottom w:val="single" w:sz="12" w:space="0" w:color="auto"/>
            </w:tcBorders>
            <w:shd w:val="clear" w:color="auto" w:fill="auto"/>
            <w:vAlign w:val="bottom"/>
          </w:tcPr>
          <w:p w:rsidR="006871B5" w:rsidRPr="00B84414" w:rsidRDefault="006871B5" w:rsidP="00B84414">
            <w:pPr>
              <w:pStyle w:val="SingleTxtG"/>
              <w:spacing w:before="80" w:after="80" w:line="200" w:lineRule="exact"/>
              <w:ind w:left="0" w:right="113"/>
              <w:jc w:val="right"/>
              <w:rPr>
                <w:i/>
                <w:sz w:val="16"/>
              </w:rPr>
            </w:pPr>
            <w:r w:rsidRPr="00B84414">
              <w:rPr>
                <w:i/>
                <w:sz w:val="16"/>
              </w:rPr>
              <w:t>ALL</w:t>
            </w:r>
          </w:p>
        </w:tc>
      </w:tr>
      <w:tr w:rsidR="00C9789E" w:rsidRPr="003844EE" w:rsidTr="00B77308">
        <w:trPr>
          <w:cantSplit/>
        </w:trPr>
        <w:tc>
          <w:tcPr>
            <w:tcW w:w="709" w:type="dxa"/>
            <w:vMerge w:val="restart"/>
            <w:tcBorders>
              <w:top w:val="single" w:sz="12" w:space="0" w:color="auto"/>
            </w:tcBorders>
            <w:shd w:val="clear" w:color="auto" w:fill="auto"/>
            <w:tcMar>
              <w:right w:w="170" w:type="dxa"/>
            </w:tcMar>
          </w:tcPr>
          <w:p w:rsidR="00C9789E" w:rsidRPr="003844EE" w:rsidRDefault="00C9789E" w:rsidP="00B3366A">
            <w:pPr>
              <w:pStyle w:val="SingleTxtG"/>
              <w:spacing w:before="40" w:after="40" w:line="220" w:lineRule="exact"/>
              <w:ind w:left="0" w:right="113"/>
              <w:jc w:val="left"/>
              <w:rPr>
                <w:sz w:val="18"/>
              </w:rPr>
            </w:pPr>
            <w:r w:rsidRPr="003844EE">
              <w:rPr>
                <w:sz w:val="18"/>
              </w:rPr>
              <w:t>2012</w:t>
            </w:r>
            <w:r w:rsidR="003A514F">
              <w:rPr>
                <w:sz w:val="18"/>
              </w:rPr>
              <w:t>-</w:t>
            </w:r>
            <w:r w:rsidRPr="003844EE">
              <w:rPr>
                <w:sz w:val="18"/>
              </w:rPr>
              <w:t>2014 (</w:t>
            </w:r>
            <w:proofErr w:type="spellStart"/>
            <w:r w:rsidRPr="003844EE">
              <w:rPr>
                <w:sz w:val="18"/>
              </w:rPr>
              <w:t>avg</w:t>
            </w:r>
            <w:proofErr w:type="spellEnd"/>
            <w:r w:rsidRPr="003844EE">
              <w:rPr>
                <w:sz w:val="18"/>
              </w:rPr>
              <w:t>)</w:t>
            </w:r>
          </w:p>
        </w:tc>
        <w:tc>
          <w:tcPr>
            <w:tcW w:w="2126" w:type="dxa"/>
            <w:tcBorders>
              <w:top w:val="single" w:sz="12" w:space="0" w:color="auto"/>
            </w:tcBorders>
            <w:shd w:val="clear" w:color="auto" w:fill="auto"/>
          </w:tcPr>
          <w:p w:rsidR="00C9789E" w:rsidRPr="003844EE" w:rsidRDefault="00C9789E" w:rsidP="003844EE">
            <w:pPr>
              <w:pStyle w:val="SingleTxtG"/>
              <w:spacing w:before="40" w:after="40" w:line="220" w:lineRule="exact"/>
              <w:ind w:left="0" w:right="113"/>
              <w:jc w:val="left"/>
              <w:rPr>
                <w:sz w:val="18"/>
              </w:rPr>
            </w:pPr>
            <w:r w:rsidRPr="003844EE">
              <w:rPr>
                <w:sz w:val="18"/>
              </w:rPr>
              <w:t>Population</w:t>
            </w:r>
          </w:p>
        </w:tc>
        <w:tc>
          <w:tcPr>
            <w:tcW w:w="993" w:type="dxa"/>
            <w:tcBorders>
              <w:top w:val="single" w:sz="12" w:space="0" w:color="auto"/>
            </w:tcBorders>
            <w:shd w:val="clear" w:color="auto" w:fill="auto"/>
            <w:vAlign w:val="bottom"/>
          </w:tcPr>
          <w:p w:rsidR="00C9789E" w:rsidRPr="003844EE" w:rsidRDefault="00C9789E" w:rsidP="003844EE">
            <w:pPr>
              <w:pStyle w:val="SingleTxtG"/>
              <w:spacing w:before="40" w:after="40" w:line="220" w:lineRule="exact"/>
              <w:ind w:left="0" w:right="113"/>
              <w:jc w:val="right"/>
              <w:rPr>
                <w:sz w:val="18"/>
              </w:rPr>
            </w:pPr>
            <w:r w:rsidRPr="003844EE">
              <w:rPr>
                <w:sz w:val="18"/>
              </w:rPr>
              <w:t>18%</w:t>
            </w:r>
          </w:p>
        </w:tc>
        <w:tc>
          <w:tcPr>
            <w:tcW w:w="992" w:type="dxa"/>
            <w:tcBorders>
              <w:top w:val="single" w:sz="12" w:space="0" w:color="auto"/>
            </w:tcBorders>
            <w:shd w:val="clear" w:color="auto" w:fill="auto"/>
            <w:vAlign w:val="bottom"/>
          </w:tcPr>
          <w:p w:rsidR="00C9789E" w:rsidRPr="003844EE" w:rsidRDefault="00C9789E" w:rsidP="003844EE">
            <w:pPr>
              <w:pStyle w:val="SingleTxtG"/>
              <w:spacing w:before="40" w:after="40" w:line="220" w:lineRule="exact"/>
              <w:ind w:left="0" w:right="113"/>
              <w:jc w:val="right"/>
              <w:rPr>
                <w:sz w:val="18"/>
              </w:rPr>
            </w:pPr>
            <w:r w:rsidRPr="003844EE">
              <w:rPr>
                <w:sz w:val="18"/>
              </w:rPr>
              <w:t>12%</w:t>
            </w:r>
          </w:p>
        </w:tc>
        <w:tc>
          <w:tcPr>
            <w:tcW w:w="1134" w:type="dxa"/>
            <w:tcBorders>
              <w:top w:val="single" w:sz="12" w:space="0" w:color="auto"/>
            </w:tcBorders>
            <w:shd w:val="clear" w:color="auto" w:fill="auto"/>
            <w:vAlign w:val="bottom"/>
          </w:tcPr>
          <w:p w:rsidR="00C9789E" w:rsidRPr="003844EE" w:rsidRDefault="00C9789E" w:rsidP="003844EE">
            <w:pPr>
              <w:pStyle w:val="SingleTxtG"/>
              <w:spacing w:before="40" w:after="40" w:line="220" w:lineRule="exact"/>
              <w:ind w:left="0" w:right="113"/>
              <w:jc w:val="right"/>
              <w:rPr>
                <w:sz w:val="18"/>
              </w:rPr>
            </w:pPr>
            <w:r w:rsidRPr="003844EE">
              <w:rPr>
                <w:sz w:val="18"/>
              </w:rPr>
              <w:t>14%</w:t>
            </w:r>
          </w:p>
        </w:tc>
        <w:tc>
          <w:tcPr>
            <w:tcW w:w="1416" w:type="dxa"/>
            <w:tcBorders>
              <w:top w:val="single" w:sz="12" w:space="0" w:color="auto"/>
            </w:tcBorders>
            <w:shd w:val="clear" w:color="auto" w:fill="auto"/>
            <w:vAlign w:val="bottom"/>
          </w:tcPr>
          <w:p w:rsidR="00C9789E" w:rsidRPr="003844EE" w:rsidRDefault="00C9789E" w:rsidP="003844EE">
            <w:pPr>
              <w:pStyle w:val="SingleTxtG"/>
              <w:spacing w:before="40" w:after="40" w:line="220" w:lineRule="exact"/>
              <w:ind w:left="0" w:right="113"/>
              <w:jc w:val="right"/>
              <w:rPr>
                <w:sz w:val="18"/>
              </w:rPr>
            </w:pPr>
            <w:r w:rsidRPr="003844EE">
              <w:rPr>
                <w:sz w:val="18"/>
              </w:rPr>
              <w:t>8%</w:t>
            </w:r>
          </w:p>
        </w:tc>
      </w:tr>
      <w:tr w:rsidR="00C9789E" w:rsidRPr="003844EE" w:rsidTr="00B77308">
        <w:trPr>
          <w:cantSplit/>
        </w:trPr>
        <w:tc>
          <w:tcPr>
            <w:tcW w:w="709" w:type="dxa"/>
            <w:vMerge/>
            <w:shd w:val="clear" w:color="auto" w:fill="auto"/>
            <w:tcMar>
              <w:right w:w="170" w:type="dxa"/>
            </w:tcMar>
          </w:tcPr>
          <w:p w:rsidR="00C9789E" w:rsidRPr="003844EE" w:rsidRDefault="00C9789E" w:rsidP="003844EE">
            <w:pPr>
              <w:pStyle w:val="SingleTxtG"/>
              <w:spacing w:before="40" w:after="40" w:line="220" w:lineRule="exact"/>
              <w:ind w:left="0" w:right="113"/>
              <w:jc w:val="left"/>
              <w:rPr>
                <w:sz w:val="18"/>
              </w:rPr>
            </w:pPr>
          </w:p>
        </w:tc>
        <w:tc>
          <w:tcPr>
            <w:tcW w:w="2126" w:type="dxa"/>
            <w:shd w:val="clear" w:color="auto" w:fill="auto"/>
          </w:tcPr>
          <w:p w:rsidR="00C9789E" w:rsidRPr="003844EE" w:rsidRDefault="00C9789E" w:rsidP="003844EE">
            <w:pPr>
              <w:pStyle w:val="SingleTxtG"/>
              <w:spacing w:before="40" w:after="40" w:line="220" w:lineRule="exact"/>
              <w:ind w:left="0" w:right="113"/>
              <w:jc w:val="left"/>
              <w:rPr>
                <w:sz w:val="18"/>
              </w:rPr>
            </w:pPr>
            <w:r w:rsidRPr="003844EE">
              <w:rPr>
                <w:sz w:val="18"/>
              </w:rPr>
              <w:t>Sole parent</w:t>
            </w:r>
          </w:p>
        </w:tc>
        <w:tc>
          <w:tcPr>
            <w:tcW w:w="993" w:type="dxa"/>
            <w:shd w:val="clear" w:color="auto" w:fill="auto"/>
            <w:vAlign w:val="bottom"/>
          </w:tcPr>
          <w:p w:rsidR="00C9789E" w:rsidRPr="003844EE" w:rsidRDefault="00C9789E" w:rsidP="003844EE">
            <w:pPr>
              <w:pStyle w:val="SingleTxtG"/>
              <w:spacing w:before="40" w:after="40" w:line="220" w:lineRule="exact"/>
              <w:ind w:left="0" w:right="113"/>
              <w:jc w:val="right"/>
              <w:rPr>
                <w:sz w:val="18"/>
              </w:rPr>
            </w:pPr>
            <w:r w:rsidRPr="003844EE">
              <w:rPr>
                <w:sz w:val="18"/>
              </w:rPr>
              <w:t>54%</w:t>
            </w:r>
          </w:p>
        </w:tc>
        <w:tc>
          <w:tcPr>
            <w:tcW w:w="992" w:type="dxa"/>
            <w:shd w:val="clear" w:color="auto" w:fill="auto"/>
            <w:vAlign w:val="bottom"/>
          </w:tcPr>
          <w:p w:rsidR="00C9789E" w:rsidRPr="003844EE" w:rsidRDefault="00C9789E" w:rsidP="003844EE">
            <w:pPr>
              <w:pStyle w:val="SingleTxtG"/>
              <w:spacing w:before="40" w:after="40" w:line="220" w:lineRule="exact"/>
              <w:ind w:left="0" w:right="113"/>
              <w:jc w:val="right"/>
              <w:rPr>
                <w:sz w:val="18"/>
              </w:rPr>
            </w:pPr>
            <w:r w:rsidRPr="003844EE">
              <w:rPr>
                <w:sz w:val="18"/>
              </w:rPr>
              <w:t>53%</w:t>
            </w:r>
          </w:p>
        </w:tc>
        <w:tc>
          <w:tcPr>
            <w:tcW w:w="1134" w:type="dxa"/>
            <w:shd w:val="clear" w:color="auto" w:fill="auto"/>
            <w:vAlign w:val="bottom"/>
          </w:tcPr>
          <w:p w:rsidR="00C9789E" w:rsidRPr="003844EE" w:rsidRDefault="00C9789E" w:rsidP="003844EE">
            <w:pPr>
              <w:pStyle w:val="SingleTxtG"/>
              <w:spacing w:before="40" w:after="40" w:line="220" w:lineRule="exact"/>
              <w:ind w:left="0" w:right="113"/>
              <w:jc w:val="right"/>
              <w:rPr>
                <w:sz w:val="18"/>
              </w:rPr>
            </w:pPr>
            <w:r w:rsidRPr="003844EE">
              <w:rPr>
                <w:sz w:val="18"/>
              </w:rPr>
              <w:t>33%</w:t>
            </w:r>
          </w:p>
        </w:tc>
        <w:tc>
          <w:tcPr>
            <w:tcW w:w="1416" w:type="dxa"/>
            <w:shd w:val="clear" w:color="auto" w:fill="auto"/>
            <w:vAlign w:val="bottom"/>
          </w:tcPr>
          <w:p w:rsidR="00C9789E" w:rsidRPr="003844EE" w:rsidRDefault="00C9789E" w:rsidP="003844EE">
            <w:pPr>
              <w:pStyle w:val="SingleTxtG"/>
              <w:spacing w:before="40" w:after="40" w:line="220" w:lineRule="exact"/>
              <w:ind w:left="0" w:right="113"/>
              <w:jc w:val="right"/>
              <w:rPr>
                <w:sz w:val="18"/>
              </w:rPr>
            </w:pPr>
            <w:r w:rsidRPr="003844EE">
              <w:rPr>
                <w:sz w:val="18"/>
              </w:rPr>
              <w:t>33%</w:t>
            </w:r>
          </w:p>
        </w:tc>
      </w:tr>
      <w:tr w:rsidR="00C9789E" w:rsidRPr="003844EE" w:rsidTr="00B77308">
        <w:trPr>
          <w:cantSplit/>
        </w:trPr>
        <w:tc>
          <w:tcPr>
            <w:tcW w:w="709" w:type="dxa"/>
            <w:vMerge/>
            <w:shd w:val="clear" w:color="auto" w:fill="auto"/>
            <w:tcMar>
              <w:right w:w="170" w:type="dxa"/>
            </w:tcMar>
          </w:tcPr>
          <w:p w:rsidR="00C9789E" w:rsidRPr="003844EE" w:rsidRDefault="00C9789E" w:rsidP="003844EE">
            <w:pPr>
              <w:pStyle w:val="SingleTxtG"/>
              <w:spacing w:before="40" w:after="40" w:line="220" w:lineRule="exact"/>
              <w:ind w:left="0" w:right="113"/>
              <w:jc w:val="left"/>
              <w:rPr>
                <w:sz w:val="18"/>
              </w:rPr>
            </w:pPr>
          </w:p>
        </w:tc>
        <w:tc>
          <w:tcPr>
            <w:tcW w:w="2126" w:type="dxa"/>
            <w:shd w:val="clear" w:color="auto" w:fill="auto"/>
          </w:tcPr>
          <w:p w:rsidR="00C9789E" w:rsidRPr="003844EE" w:rsidRDefault="00C9789E" w:rsidP="003844EE">
            <w:pPr>
              <w:pStyle w:val="SingleTxtG"/>
              <w:spacing w:before="40" w:after="40" w:line="220" w:lineRule="exact"/>
              <w:ind w:left="0" w:right="113"/>
              <w:jc w:val="left"/>
              <w:rPr>
                <w:sz w:val="18"/>
              </w:rPr>
            </w:pPr>
            <w:r w:rsidRPr="003844EE">
              <w:rPr>
                <w:sz w:val="18"/>
              </w:rPr>
              <w:t>Two parent</w:t>
            </w:r>
          </w:p>
        </w:tc>
        <w:tc>
          <w:tcPr>
            <w:tcW w:w="993" w:type="dxa"/>
            <w:shd w:val="clear" w:color="auto" w:fill="auto"/>
            <w:vAlign w:val="bottom"/>
          </w:tcPr>
          <w:p w:rsidR="00C9789E" w:rsidRPr="003844EE" w:rsidRDefault="00C9789E" w:rsidP="003844EE">
            <w:pPr>
              <w:pStyle w:val="SingleTxtG"/>
              <w:spacing w:before="40" w:after="40" w:line="220" w:lineRule="exact"/>
              <w:ind w:left="0" w:right="113"/>
              <w:jc w:val="right"/>
              <w:rPr>
                <w:sz w:val="18"/>
              </w:rPr>
            </w:pPr>
            <w:r w:rsidRPr="003844EE">
              <w:rPr>
                <w:sz w:val="18"/>
              </w:rPr>
              <w:t>10%</w:t>
            </w:r>
          </w:p>
        </w:tc>
        <w:tc>
          <w:tcPr>
            <w:tcW w:w="992" w:type="dxa"/>
            <w:shd w:val="clear" w:color="auto" w:fill="auto"/>
            <w:vAlign w:val="bottom"/>
          </w:tcPr>
          <w:p w:rsidR="00C9789E" w:rsidRPr="003844EE" w:rsidRDefault="00C9789E" w:rsidP="003844EE">
            <w:pPr>
              <w:pStyle w:val="SingleTxtG"/>
              <w:spacing w:before="40" w:after="40" w:line="220" w:lineRule="exact"/>
              <w:ind w:left="0" w:right="113"/>
              <w:jc w:val="right"/>
              <w:rPr>
                <w:sz w:val="18"/>
              </w:rPr>
            </w:pPr>
            <w:r w:rsidRPr="003844EE">
              <w:rPr>
                <w:sz w:val="18"/>
              </w:rPr>
              <w:t>10%</w:t>
            </w:r>
          </w:p>
        </w:tc>
        <w:tc>
          <w:tcPr>
            <w:tcW w:w="1134" w:type="dxa"/>
            <w:shd w:val="clear" w:color="auto" w:fill="auto"/>
            <w:vAlign w:val="bottom"/>
          </w:tcPr>
          <w:p w:rsidR="00C9789E" w:rsidRPr="003844EE" w:rsidRDefault="00C9789E" w:rsidP="003844EE">
            <w:pPr>
              <w:pStyle w:val="SingleTxtG"/>
              <w:spacing w:before="40" w:after="40" w:line="220" w:lineRule="exact"/>
              <w:ind w:left="0" w:right="113"/>
              <w:jc w:val="right"/>
              <w:rPr>
                <w:sz w:val="18"/>
              </w:rPr>
            </w:pPr>
            <w:r w:rsidRPr="003844EE">
              <w:rPr>
                <w:sz w:val="18"/>
              </w:rPr>
              <w:t>7%</w:t>
            </w:r>
          </w:p>
        </w:tc>
        <w:tc>
          <w:tcPr>
            <w:tcW w:w="1416" w:type="dxa"/>
            <w:shd w:val="clear" w:color="auto" w:fill="auto"/>
            <w:vAlign w:val="bottom"/>
          </w:tcPr>
          <w:p w:rsidR="00C9789E" w:rsidRPr="003844EE" w:rsidRDefault="00C9789E" w:rsidP="003844EE">
            <w:pPr>
              <w:pStyle w:val="SingleTxtG"/>
              <w:spacing w:before="40" w:after="40" w:line="220" w:lineRule="exact"/>
              <w:ind w:left="0" w:right="113"/>
              <w:jc w:val="right"/>
              <w:rPr>
                <w:sz w:val="18"/>
              </w:rPr>
            </w:pPr>
            <w:r w:rsidRPr="003844EE">
              <w:rPr>
                <w:sz w:val="18"/>
              </w:rPr>
              <w:t>7%</w:t>
            </w:r>
          </w:p>
        </w:tc>
      </w:tr>
      <w:tr w:rsidR="00C9789E" w:rsidRPr="003844EE" w:rsidTr="00B77308">
        <w:trPr>
          <w:cantSplit/>
        </w:trPr>
        <w:tc>
          <w:tcPr>
            <w:tcW w:w="709" w:type="dxa"/>
            <w:vMerge/>
            <w:shd w:val="clear" w:color="auto" w:fill="auto"/>
            <w:tcMar>
              <w:right w:w="170" w:type="dxa"/>
            </w:tcMar>
          </w:tcPr>
          <w:p w:rsidR="00C9789E" w:rsidRPr="003844EE" w:rsidRDefault="00C9789E" w:rsidP="003844EE">
            <w:pPr>
              <w:pStyle w:val="SingleTxtG"/>
              <w:spacing w:before="40" w:after="40" w:line="220" w:lineRule="exact"/>
              <w:ind w:left="0" w:right="113"/>
              <w:jc w:val="left"/>
              <w:rPr>
                <w:sz w:val="18"/>
              </w:rPr>
            </w:pPr>
          </w:p>
        </w:tc>
        <w:tc>
          <w:tcPr>
            <w:tcW w:w="2126" w:type="dxa"/>
            <w:shd w:val="clear" w:color="auto" w:fill="auto"/>
          </w:tcPr>
          <w:p w:rsidR="00C9789E" w:rsidRPr="003844EE" w:rsidRDefault="00C9789E" w:rsidP="003844EE">
            <w:pPr>
              <w:pStyle w:val="SingleTxtG"/>
              <w:spacing w:before="40" w:after="40" w:line="220" w:lineRule="exact"/>
              <w:ind w:left="0" w:right="113"/>
              <w:jc w:val="left"/>
              <w:rPr>
                <w:sz w:val="18"/>
              </w:rPr>
            </w:pPr>
            <w:r w:rsidRPr="003844EE">
              <w:rPr>
                <w:sz w:val="18"/>
              </w:rPr>
              <w:t>Other family households with children</w:t>
            </w:r>
          </w:p>
        </w:tc>
        <w:tc>
          <w:tcPr>
            <w:tcW w:w="993" w:type="dxa"/>
            <w:shd w:val="clear" w:color="auto" w:fill="auto"/>
            <w:vAlign w:val="bottom"/>
          </w:tcPr>
          <w:p w:rsidR="00C9789E" w:rsidRPr="003844EE" w:rsidRDefault="00C9789E" w:rsidP="003844EE">
            <w:pPr>
              <w:pStyle w:val="SingleTxtG"/>
              <w:spacing w:before="40" w:after="40" w:line="220" w:lineRule="exact"/>
              <w:ind w:left="0" w:right="113"/>
              <w:jc w:val="right"/>
              <w:rPr>
                <w:sz w:val="18"/>
              </w:rPr>
            </w:pPr>
            <w:r w:rsidRPr="003844EE">
              <w:rPr>
                <w:sz w:val="18"/>
              </w:rPr>
              <w:t>12%</w:t>
            </w:r>
          </w:p>
        </w:tc>
        <w:tc>
          <w:tcPr>
            <w:tcW w:w="992" w:type="dxa"/>
            <w:shd w:val="clear" w:color="auto" w:fill="auto"/>
            <w:vAlign w:val="bottom"/>
          </w:tcPr>
          <w:p w:rsidR="00C9789E" w:rsidRPr="003844EE" w:rsidRDefault="00C9789E" w:rsidP="003844EE">
            <w:pPr>
              <w:pStyle w:val="SingleTxtG"/>
              <w:spacing w:before="40" w:after="40" w:line="220" w:lineRule="exact"/>
              <w:ind w:left="0" w:right="113"/>
              <w:jc w:val="right"/>
              <w:rPr>
                <w:sz w:val="18"/>
              </w:rPr>
            </w:pPr>
            <w:r w:rsidRPr="003844EE">
              <w:rPr>
                <w:sz w:val="18"/>
              </w:rPr>
              <w:t>11%</w:t>
            </w:r>
          </w:p>
        </w:tc>
        <w:tc>
          <w:tcPr>
            <w:tcW w:w="1134" w:type="dxa"/>
            <w:shd w:val="clear" w:color="auto" w:fill="auto"/>
            <w:vAlign w:val="bottom"/>
          </w:tcPr>
          <w:p w:rsidR="00C9789E" w:rsidRPr="003844EE" w:rsidRDefault="00C9789E" w:rsidP="003844EE">
            <w:pPr>
              <w:pStyle w:val="SingleTxtG"/>
              <w:spacing w:before="40" w:after="40" w:line="220" w:lineRule="exact"/>
              <w:ind w:left="0" w:right="113"/>
              <w:jc w:val="right"/>
              <w:rPr>
                <w:sz w:val="18"/>
              </w:rPr>
            </w:pPr>
            <w:r w:rsidRPr="003844EE">
              <w:rPr>
                <w:sz w:val="18"/>
              </w:rPr>
              <w:t>17%</w:t>
            </w:r>
          </w:p>
        </w:tc>
        <w:tc>
          <w:tcPr>
            <w:tcW w:w="1416" w:type="dxa"/>
            <w:shd w:val="clear" w:color="auto" w:fill="auto"/>
            <w:vAlign w:val="bottom"/>
          </w:tcPr>
          <w:p w:rsidR="00C9789E" w:rsidRPr="003844EE" w:rsidRDefault="00C9789E" w:rsidP="003844EE">
            <w:pPr>
              <w:pStyle w:val="SingleTxtG"/>
              <w:spacing w:before="40" w:after="40" w:line="220" w:lineRule="exact"/>
              <w:ind w:left="0" w:right="113"/>
              <w:jc w:val="right"/>
              <w:rPr>
                <w:sz w:val="18"/>
              </w:rPr>
            </w:pPr>
            <w:r w:rsidRPr="003844EE">
              <w:rPr>
                <w:sz w:val="18"/>
              </w:rPr>
              <w:t>17%</w:t>
            </w:r>
          </w:p>
        </w:tc>
      </w:tr>
    </w:tbl>
    <w:p w:rsidR="00C9789E" w:rsidRPr="00F62F1C" w:rsidRDefault="00C9789E" w:rsidP="00C11BF4">
      <w:pPr>
        <w:pStyle w:val="H4G"/>
      </w:pPr>
      <w:r w:rsidRPr="00F62F1C">
        <w:tab/>
      </w:r>
      <w:r w:rsidRPr="00F62F1C">
        <w:tab/>
        <w:t>Obstacles to reducing child poverty</w:t>
      </w:r>
    </w:p>
    <w:p w:rsidR="00C9789E" w:rsidRPr="00F62F1C" w:rsidRDefault="00C9789E" w:rsidP="00706221">
      <w:pPr>
        <w:pStyle w:val="SingleTxtG"/>
      </w:pPr>
      <w:r w:rsidRPr="00F62F1C">
        <w:t>184.</w:t>
      </w:r>
      <w:r w:rsidRPr="00F62F1C">
        <w:tab/>
        <w:t>Child poverty is dynamic and the causes are multiple and varied.</w:t>
      </w:r>
      <w:r w:rsidRPr="00706221">
        <w:rPr>
          <w:rStyle w:val="FootnoteReference"/>
        </w:rPr>
        <w:footnoteReference w:id="41"/>
      </w:r>
      <w:r w:rsidRPr="00F62F1C">
        <w:t xml:space="preserve"> The Expert Advisory Group on Solutions to Child Poverty established by the Children</w:t>
      </w:r>
      <w:r w:rsidR="00D34D95">
        <w:t>’</w:t>
      </w:r>
      <w:r w:rsidRPr="00F62F1C">
        <w:t>s Commissioner reported low household income is a major dimension of child poverty and is the result of a combination of factors. These factors include labour market conditions, low skill levels or limited expertise, social and health issues, housing costs, and government policies and spending priorities.</w:t>
      </w:r>
    </w:p>
    <w:p w:rsidR="00C9789E" w:rsidRPr="00F62F1C" w:rsidRDefault="00C9789E" w:rsidP="00706221">
      <w:pPr>
        <w:pStyle w:val="SingleTxtG"/>
      </w:pPr>
      <w:r w:rsidRPr="00F62F1C">
        <w:lastRenderedPageBreak/>
        <w:t>185.</w:t>
      </w:r>
      <w:r w:rsidRPr="00F62F1C">
        <w:tab/>
        <w:t>The Government</w:t>
      </w:r>
      <w:r w:rsidR="00D34D95">
        <w:t>’</w:t>
      </w:r>
      <w:r w:rsidRPr="00F62F1C">
        <w:t>s key initiatives to address child poverty include:</w:t>
      </w:r>
    </w:p>
    <w:p w:rsidR="00C9789E" w:rsidRPr="00F62F1C" w:rsidRDefault="0016397E" w:rsidP="00D8236C">
      <w:pPr>
        <w:pStyle w:val="Bullet1G"/>
      </w:pPr>
      <w:r w:rsidRPr="00F62F1C">
        <w:t xml:space="preserve">Promoting </w:t>
      </w:r>
      <w:r w:rsidR="00C9789E" w:rsidRPr="00F62F1C">
        <w:t>economic growth through sound fiscal and macro-economic management;</w:t>
      </w:r>
    </w:p>
    <w:p w:rsidR="00C9789E" w:rsidRPr="00F62F1C" w:rsidRDefault="0016397E" w:rsidP="00D8236C">
      <w:pPr>
        <w:pStyle w:val="Bullet1G"/>
      </w:pPr>
      <w:r w:rsidRPr="00F62F1C">
        <w:t xml:space="preserve">Welfare </w:t>
      </w:r>
      <w:r w:rsidR="00C9789E" w:rsidRPr="00F62F1C">
        <w:t>reform, aimed at reducing long-term benefit dependence and the negative outcomes associated with that dependence;</w:t>
      </w:r>
    </w:p>
    <w:p w:rsidR="00C9789E" w:rsidRPr="00F62F1C" w:rsidRDefault="0016397E" w:rsidP="00D8236C">
      <w:pPr>
        <w:pStyle w:val="Bullet1G"/>
      </w:pPr>
      <w:r w:rsidRPr="00F62F1C">
        <w:t xml:space="preserve">Increasing </w:t>
      </w:r>
      <w:r w:rsidR="00C9789E" w:rsidRPr="00F62F1C">
        <w:t>investment to reduce hardship in families with children</w:t>
      </w:r>
      <w:r w:rsidR="001F5C90">
        <w:t xml:space="preserve"> — </w:t>
      </w:r>
      <w:r w:rsidR="00C9789E" w:rsidRPr="00F62F1C">
        <w:t>including increases to benefits, family tax credits and childcare assistance</w:t>
      </w:r>
      <w:r w:rsidR="001F5C90">
        <w:t xml:space="preserve"> — </w:t>
      </w:r>
      <w:r w:rsidR="00C9789E" w:rsidRPr="00F62F1C">
        <w:t>alongside increased work expectations for beneficiary parents;</w:t>
      </w:r>
    </w:p>
    <w:p w:rsidR="00C9789E" w:rsidRPr="00F62F1C" w:rsidRDefault="0016397E" w:rsidP="00D8236C">
      <w:pPr>
        <w:pStyle w:val="Bullet1G"/>
      </w:pPr>
      <w:r w:rsidRPr="00F62F1C">
        <w:t xml:space="preserve">Taking </w:t>
      </w:r>
      <w:r w:rsidR="00C9789E" w:rsidRPr="00F62F1C">
        <w:t>an investment approach, which means investing time and resources where they will be most effective in reducing long-term benefit receipt;</w:t>
      </w:r>
    </w:p>
    <w:p w:rsidR="00C9789E" w:rsidRPr="00F62F1C" w:rsidRDefault="0016397E" w:rsidP="00D8236C">
      <w:pPr>
        <w:pStyle w:val="Bullet1G"/>
      </w:pPr>
      <w:r w:rsidRPr="00F62F1C">
        <w:t xml:space="preserve">Education </w:t>
      </w:r>
      <w:r w:rsidR="00C9789E" w:rsidRPr="00F62F1C">
        <w:t>reforms such as national standards aimed at addressing New Zealand</w:t>
      </w:r>
      <w:r w:rsidR="00D34D95">
        <w:t>’</w:t>
      </w:r>
      <w:r w:rsidR="00C9789E" w:rsidRPr="00F62F1C">
        <w:t>s tail of poor educational achievement;</w:t>
      </w:r>
    </w:p>
    <w:p w:rsidR="00C9789E" w:rsidRPr="00F62F1C" w:rsidRDefault="0016397E" w:rsidP="00D8236C">
      <w:pPr>
        <w:pStyle w:val="Bullet1G"/>
      </w:pPr>
      <w:r w:rsidRPr="00F62F1C">
        <w:t xml:space="preserve">Free </w:t>
      </w:r>
      <w:r w:rsidR="00C9789E" w:rsidRPr="00F62F1C">
        <w:t>doctors</w:t>
      </w:r>
      <w:r w:rsidR="00D34D95">
        <w:t>’</w:t>
      </w:r>
      <w:r w:rsidR="00C9789E" w:rsidRPr="00F62F1C">
        <w:t xml:space="preserve"> visits for children under 13 years of age, home insulation subsidies and breakfast in schools;</w:t>
      </w:r>
    </w:p>
    <w:p w:rsidR="00C9789E" w:rsidRPr="00F62F1C" w:rsidRDefault="0016397E" w:rsidP="00D8236C">
      <w:pPr>
        <w:pStyle w:val="Bullet1G"/>
      </w:pPr>
      <w:r w:rsidRPr="00F62F1C">
        <w:t xml:space="preserve">The </w:t>
      </w:r>
      <w:proofErr w:type="spellStart"/>
      <w:r w:rsidR="00C9789E" w:rsidRPr="00F62F1C">
        <w:t>Whānau</w:t>
      </w:r>
      <w:proofErr w:type="spellEnd"/>
      <w:r w:rsidR="00C9789E" w:rsidRPr="00F62F1C">
        <w:t xml:space="preserve"> </w:t>
      </w:r>
      <w:proofErr w:type="spellStart"/>
      <w:r w:rsidR="00C9789E" w:rsidRPr="00F62F1C">
        <w:t>Ora</w:t>
      </w:r>
      <w:proofErr w:type="spellEnd"/>
      <w:r w:rsidR="000C03A3">
        <w:t xml:space="preserve"> </w:t>
      </w:r>
      <w:r w:rsidR="00C9789E" w:rsidRPr="00F62F1C">
        <w:t>initiative which recognises the need for a holistic view of the issues affecting individuals and their wider families.</w:t>
      </w:r>
    </w:p>
    <w:p w:rsidR="00C9789E" w:rsidRPr="00F62F1C" w:rsidRDefault="00C9789E" w:rsidP="00706221">
      <w:pPr>
        <w:pStyle w:val="SingleTxtG"/>
      </w:pPr>
      <w:r w:rsidRPr="00F62F1C">
        <w:t>186.</w:t>
      </w:r>
      <w:r w:rsidRPr="00F62F1C">
        <w:tab/>
        <w:t xml:space="preserve">The Government is taking steps to better support vulnerable and low income families to access essential items and support, particularly for low income families with dependent children. </w:t>
      </w:r>
    </w:p>
    <w:p w:rsidR="00C9789E" w:rsidRPr="00F62F1C" w:rsidRDefault="00C9789E" w:rsidP="00706221">
      <w:pPr>
        <w:pStyle w:val="SingleTxtG"/>
      </w:pPr>
      <w:r w:rsidRPr="00F62F1C">
        <w:t>187.</w:t>
      </w:r>
      <w:r w:rsidRPr="00F62F1C">
        <w:tab/>
        <w:t>In 2015, the Government announced a $790 million package to support children living in hardship. The package provided an increase in financial support to both beneficiary and low income working families to help relieve pressure on the budgets of these households. To better support these families, from 1 April 2016 the Child Material Hardship Package provided:</w:t>
      </w:r>
    </w:p>
    <w:p w:rsidR="00C9789E" w:rsidRPr="00F62F1C" w:rsidRDefault="00106D61" w:rsidP="00106D61">
      <w:pPr>
        <w:pStyle w:val="Bullet1G"/>
      </w:pPr>
      <w:r w:rsidRPr="00F62F1C">
        <w:t xml:space="preserve">A </w:t>
      </w:r>
      <w:r w:rsidR="00C9789E" w:rsidRPr="00F62F1C">
        <w:t>$25.00 per week (after tax) increase in core benefit rates for families with dependent children</w:t>
      </w:r>
      <w:r w:rsidR="001F5C90">
        <w:t xml:space="preserve"> — </w:t>
      </w:r>
      <w:r w:rsidR="00C9789E" w:rsidRPr="00F62F1C">
        <w:t>the first substantial increase to core benefit rates since 1972</w:t>
      </w:r>
      <w:r w:rsidR="00C11BF4">
        <w:t>;</w:t>
      </w:r>
    </w:p>
    <w:p w:rsidR="00C9789E" w:rsidRPr="00F62F1C" w:rsidRDefault="00106D61" w:rsidP="00106D61">
      <w:pPr>
        <w:pStyle w:val="Bullet1G"/>
      </w:pPr>
      <w:r w:rsidRPr="00F62F1C">
        <w:t xml:space="preserve">An </w:t>
      </w:r>
      <w:r w:rsidR="00C9789E" w:rsidRPr="00F62F1C">
        <w:t>increase in Working for Families Tax Credits</w:t>
      </w:r>
      <w:r w:rsidR="001F5C90">
        <w:t xml:space="preserve"> — </w:t>
      </w:r>
      <w:r w:rsidR="00C9789E" w:rsidRPr="00F62F1C">
        <w:t>a $12.50 per week increase in the In-Work Tax Credit and a $12.00 per week increase in the Minimum Family Tax Credit</w:t>
      </w:r>
      <w:r w:rsidR="00C11BF4">
        <w:t>;</w:t>
      </w:r>
    </w:p>
    <w:p w:rsidR="00C9789E" w:rsidRPr="00F62F1C" w:rsidRDefault="00106D61" w:rsidP="00106D61">
      <w:pPr>
        <w:pStyle w:val="Bullet1G"/>
      </w:pPr>
      <w:r w:rsidRPr="00F62F1C">
        <w:t xml:space="preserve">An </w:t>
      </w:r>
      <w:r w:rsidR="00C9789E" w:rsidRPr="00F62F1C">
        <w:t>increase in Childcare Assistance targeted through new lower income thresholds</w:t>
      </w:r>
      <w:r w:rsidR="001F5C90">
        <w:t xml:space="preserve"> — </w:t>
      </w:r>
      <w:r w:rsidR="00C9789E" w:rsidRPr="00F62F1C">
        <w:t>the top rate of Childcare Assistance increased from $4.00 to $5.00 per hour.</w:t>
      </w:r>
    </w:p>
    <w:p w:rsidR="00C9789E" w:rsidRPr="00F62F1C" w:rsidRDefault="00C9789E" w:rsidP="00706221">
      <w:pPr>
        <w:pStyle w:val="SingleTxtG"/>
      </w:pPr>
      <w:r w:rsidRPr="00F62F1C">
        <w:t>188.</w:t>
      </w:r>
      <w:r w:rsidRPr="00F62F1C">
        <w:tab/>
        <w:t xml:space="preserve">The increase in financial support is expected to have a direct impact on helping to relieve pressure on the budgets of the lowest income families with children. This increase in financial support will strengthen the position of these households so they are better able to purchase essential items for their children, such as food and clothing, as examples. </w:t>
      </w:r>
    </w:p>
    <w:p w:rsidR="00C9789E" w:rsidRPr="00F62F1C" w:rsidRDefault="00C9789E" w:rsidP="00884164">
      <w:pPr>
        <w:pStyle w:val="H4G"/>
      </w:pPr>
      <w:r w:rsidRPr="00F62F1C">
        <w:tab/>
      </w:r>
      <w:r w:rsidRPr="00F62F1C">
        <w:tab/>
        <w:t>Social Housing</w:t>
      </w:r>
    </w:p>
    <w:p w:rsidR="00C9789E" w:rsidRPr="00F62F1C" w:rsidRDefault="00C9789E" w:rsidP="00706221">
      <w:pPr>
        <w:pStyle w:val="SingleTxtG"/>
      </w:pPr>
      <w:r w:rsidRPr="00F62F1C">
        <w:t>189.</w:t>
      </w:r>
      <w:r w:rsidRPr="00F62F1C">
        <w:tab/>
        <w:t>Eligibility for social housing is confined to clients who are determined at risk (priority A) or in serious housing need (priority B). The Social Housing Register is divided into the Housing Register and the Transfer Register. The Housing Register includes eligible applicants ready to be matched to a suitable property. The Transfer Register is made up of people already in social housing but who have requested, and are eligible for, a transfer to another property. As at 30 June 2016 there were 3,877 households on the housing register ready to be matched to a suitable property.</w:t>
      </w:r>
    </w:p>
    <w:p w:rsidR="00C0624D" w:rsidRDefault="00C9789E" w:rsidP="00C0624D">
      <w:pPr>
        <w:pStyle w:val="Heading1"/>
        <w:keepNext/>
        <w:keepLines/>
      </w:pPr>
      <w:bookmarkStart w:id="64" w:name="_Toc494359788"/>
      <w:r w:rsidRPr="00F62F1C">
        <w:lastRenderedPageBreak/>
        <w:t>Figure 25</w:t>
      </w:r>
      <w:bookmarkEnd w:id="64"/>
    </w:p>
    <w:p w:rsidR="00C9789E" w:rsidRPr="00C0624D" w:rsidRDefault="00C9789E" w:rsidP="00C0624D">
      <w:pPr>
        <w:pStyle w:val="Heading1"/>
        <w:keepNext/>
        <w:keepLines/>
        <w:rPr>
          <w:b/>
        </w:rPr>
      </w:pPr>
      <w:bookmarkStart w:id="65" w:name="_Toc494359789"/>
      <w:r w:rsidRPr="00C0624D">
        <w:rPr>
          <w:b/>
        </w:rPr>
        <w:t>Social housing register numbers by register</w:t>
      </w:r>
      <w:bookmarkEnd w:id="65"/>
    </w:p>
    <w:p w:rsidR="00C9789E" w:rsidRPr="00F62F1C" w:rsidRDefault="00C9789E" w:rsidP="00706221">
      <w:pPr>
        <w:pStyle w:val="SingleTxtG"/>
      </w:pPr>
      <w:r w:rsidRPr="00F62F1C">
        <w:rPr>
          <w:noProof/>
          <w:lang w:eastAsia="en-GB"/>
        </w:rPr>
        <w:drawing>
          <wp:inline distT="0" distB="0" distL="0" distR="0" wp14:anchorId="3D2F6223" wp14:editId="5DD49ED9">
            <wp:extent cx="5079532" cy="3063923"/>
            <wp:effectExtent l="0" t="0" r="6985" b="3175"/>
            <wp:docPr id="5" name="Picture 5" descr="Social housing register numbers by register from June 2014 to June 2016. Click image to enlarge.">
              <a:hlinkClick xmlns:a="http://schemas.openxmlformats.org/drawingml/2006/main" r:id="rId9" tooltip="&quot;Social housing register numbers by register from June 2014 to June 2016. Click image to enlarg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ocial housing register numbers by register from June 2014 to June 2016. Click image to enlarge.">
                      <a:hlinkClick r:id="rId9" tooltip="&quot;Social housing register numbers by register from June 2014 to June 2016. Click image to enlarge.&quot;"/>
                    </pic:cNvPr>
                    <pic:cNvPicPr>
                      <a:picLocks noChangeAspect="1" noChangeArrowheads="1"/>
                    </pic:cNvPicPr>
                  </pic:nvPicPr>
                  <pic:blipFill>
                    <a:blip r:embed="rId10" cstate="print"/>
                    <a:srcRect/>
                    <a:stretch>
                      <a:fillRect/>
                    </a:stretch>
                  </pic:blipFill>
                  <pic:spPr bwMode="auto">
                    <a:xfrm>
                      <a:off x="0" y="0"/>
                      <a:ext cx="5094735" cy="3073094"/>
                    </a:xfrm>
                    <a:prstGeom prst="rect">
                      <a:avLst/>
                    </a:prstGeom>
                    <a:noFill/>
                    <a:ln w="9525">
                      <a:noFill/>
                      <a:miter lim="800000"/>
                      <a:headEnd/>
                      <a:tailEnd/>
                    </a:ln>
                  </pic:spPr>
                </pic:pic>
              </a:graphicData>
            </a:graphic>
          </wp:inline>
        </w:drawing>
      </w:r>
    </w:p>
    <w:p w:rsidR="00C9789E" w:rsidRPr="00F62F1C" w:rsidRDefault="00C9789E" w:rsidP="00706221">
      <w:pPr>
        <w:pStyle w:val="SingleTxtG"/>
      </w:pPr>
      <w:bookmarkStart w:id="66" w:name="Socialhousingregisternumbersbyhouseholdd"/>
      <w:bookmarkEnd w:id="66"/>
      <w:r w:rsidRPr="00F62F1C">
        <w:t>190.</w:t>
      </w:r>
      <w:r w:rsidRPr="00F62F1C">
        <w:tab/>
        <w:t>The main applications for the Social Housing Register for June 2016 were for:</w:t>
      </w:r>
    </w:p>
    <w:p w:rsidR="00C9789E" w:rsidRPr="00F62F1C" w:rsidRDefault="00186902" w:rsidP="00186902">
      <w:pPr>
        <w:pStyle w:val="Bullet1G"/>
      </w:pPr>
      <w:r w:rsidRPr="00F62F1C">
        <w:t>Single</w:t>
      </w:r>
      <w:r w:rsidR="00C9789E" w:rsidRPr="00F62F1C">
        <w:t>-person applicants, either a single adult with child(</w:t>
      </w:r>
      <w:proofErr w:type="spellStart"/>
      <w:r w:rsidR="00C9789E" w:rsidRPr="00F62F1C">
        <w:t>ren</w:t>
      </w:r>
      <w:proofErr w:type="spellEnd"/>
      <w:r w:rsidR="00C9789E" w:rsidRPr="00F62F1C">
        <w:t>) (35.3 percent) or a single adult (45.2 percent);</w:t>
      </w:r>
    </w:p>
    <w:p w:rsidR="00C9789E" w:rsidRPr="00F62F1C" w:rsidRDefault="00186902" w:rsidP="00186902">
      <w:pPr>
        <w:pStyle w:val="Bullet1G"/>
      </w:pPr>
      <w:r w:rsidRPr="00F62F1C">
        <w:t xml:space="preserve">Applicants </w:t>
      </w:r>
      <w:r w:rsidR="00C9789E" w:rsidRPr="00F62F1C">
        <w:t xml:space="preserve">in the 25 to 39 </w:t>
      </w:r>
      <w:proofErr w:type="gramStart"/>
      <w:r w:rsidR="00C9789E" w:rsidRPr="00F62F1C">
        <w:t>year</w:t>
      </w:r>
      <w:r w:rsidR="007B7E6B">
        <w:t>s</w:t>
      </w:r>
      <w:proofErr w:type="gramEnd"/>
      <w:r w:rsidR="00C9789E" w:rsidRPr="00F62F1C">
        <w:t xml:space="preserve"> age group (34.4 percent);</w:t>
      </w:r>
    </w:p>
    <w:p w:rsidR="00C9789E" w:rsidRPr="00F62F1C" w:rsidRDefault="00186902" w:rsidP="00186902">
      <w:pPr>
        <w:pStyle w:val="Bullet1G"/>
      </w:pPr>
      <w:r w:rsidRPr="00F62F1C">
        <w:t xml:space="preserve">Applicants </w:t>
      </w:r>
      <w:r w:rsidR="00C9789E" w:rsidRPr="00F62F1C">
        <w:t>who self-identified as Māori (42.1 percent);</w:t>
      </w:r>
    </w:p>
    <w:p w:rsidR="00C9789E" w:rsidRPr="00F62F1C" w:rsidRDefault="00186902" w:rsidP="00186902">
      <w:pPr>
        <w:pStyle w:val="Bullet1G"/>
      </w:pPr>
      <w:r w:rsidRPr="00F62F1C">
        <w:t xml:space="preserve">One </w:t>
      </w:r>
      <w:r w:rsidR="00C9789E" w:rsidRPr="00F62F1C">
        <w:t>bedroom houses (41.3 percent).</w:t>
      </w:r>
    </w:p>
    <w:p w:rsidR="00C9789E" w:rsidRPr="00F62F1C" w:rsidRDefault="00C9789E" w:rsidP="00706221">
      <w:pPr>
        <w:pStyle w:val="SingleTxtG"/>
      </w:pPr>
      <w:r w:rsidRPr="00F62F1C">
        <w:t>191.</w:t>
      </w:r>
      <w:r w:rsidRPr="00F62F1C">
        <w:tab/>
        <w:t>The Social Allocation System (SAS) is the assessment tool used to process applications for social housing. Applicants are asked a series of questions to determine eligibility and need for social housing. Questions are structured to understand the applicant</w:t>
      </w:r>
      <w:r w:rsidR="00D34D95">
        <w:t>’</w:t>
      </w:r>
      <w:r w:rsidRPr="00F62F1C">
        <w:t xml:space="preserve">s current living situation and whether they have a need to move, including the condition of their existing home, the presence of domestic violence, and overcrowding. </w:t>
      </w:r>
    </w:p>
    <w:p w:rsidR="00C9789E" w:rsidRPr="00F62F1C" w:rsidRDefault="00C9789E" w:rsidP="00706221">
      <w:pPr>
        <w:pStyle w:val="SingleTxtG"/>
      </w:pPr>
      <w:r w:rsidRPr="00F62F1C">
        <w:t>192.</w:t>
      </w:r>
      <w:r w:rsidRPr="00F62F1C">
        <w:tab/>
        <w:t>A second component of the needs assessment is assessing a person</w:t>
      </w:r>
      <w:r w:rsidR="00D34D95">
        <w:t>’</w:t>
      </w:r>
      <w:r w:rsidRPr="00F62F1C">
        <w:t xml:space="preserve">s need for social housing. This has less to do with their current living situation and more to do with their ability to access, sustain, and afford a private rental. </w:t>
      </w:r>
    </w:p>
    <w:p w:rsidR="00C9789E" w:rsidRPr="00F62F1C" w:rsidRDefault="00C9789E" w:rsidP="00FE641E">
      <w:pPr>
        <w:pStyle w:val="H4G"/>
      </w:pPr>
      <w:r w:rsidRPr="00F62F1C">
        <w:tab/>
      </w:r>
      <w:r w:rsidRPr="00F62F1C">
        <w:tab/>
        <w:t>Social Housing Reform Programme</w:t>
      </w:r>
    </w:p>
    <w:p w:rsidR="00C9789E" w:rsidRPr="00F62F1C" w:rsidRDefault="00C9789E" w:rsidP="00706221">
      <w:pPr>
        <w:pStyle w:val="SingleTxtG"/>
      </w:pPr>
      <w:r w:rsidRPr="00F62F1C">
        <w:t>193.</w:t>
      </w:r>
      <w:r w:rsidRPr="00F62F1C">
        <w:tab/>
        <w:t>The Social Housing Reform Programme will increase the diversity and supply of social housing in New Zealand and encourage more innovation and responsiveness to tenants. This includes ensuring social housing places are available for those who need it by paying Income Related Rent Subsidy (IRRS) to social housing providers and opening up IRRS to community housing providers.</w:t>
      </w:r>
    </w:p>
    <w:p w:rsidR="00C9789E" w:rsidRPr="00F62F1C" w:rsidRDefault="00C9789E" w:rsidP="00706221">
      <w:pPr>
        <w:pStyle w:val="SingleTxtG"/>
      </w:pPr>
      <w:r w:rsidRPr="00F62F1C">
        <w:t>194.</w:t>
      </w:r>
      <w:r w:rsidRPr="00F62F1C">
        <w:tab/>
        <w:t>The Government has successfully implemented a range of demand management initiatives to help people to move into the private market and reduce the need for social housing. These initiatives are targeted at both those on the social housing register and those in social housing which frees up a place for someone on the register. In 2016 the Government committed $144.5 million towards new social housing supply in Auckland, and $354 million towards emergency housing.</w:t>
      </w:r>
    </w:p>
    <w:p w:rsidR="00C9789E" w:rsidRPr="00F62F1C" w:rsidRDefault="00C9789E" w:rsidP="00686E62">
      <w:pPr>
        <w:pStyle w:val="H4G"/>
      </w:pPr>
      <w:r w:rsidRPr="00F62F1C">
        <w:tab/>
      </w:r>
      <w:r w:rsidRPr="00F62F1C">
        <w:tab/>
        <w:t>Affordability</w:t>
      </w:r>
    </w:p>
    <w:p w:rsidR="00C9789E" w:rsidRPr="00F62F1C" w:rsidRDefault="00C9789E" w:rsidP="00706221">
      <w:pPr>
        <w:pStyle w:val="SingleTxtG"/>
      </w:pPr>
      <w:r w:rsidRPr="00F62F1C">
        <w:t>195.</w:t>
      </w:r>
      <w:r w:rsidRPr="00F62F1C">
        <w:tab/>
        <w:t xml:space="preserve">Housing affordability is a significant issue for many New Zealand families, the economy and Government as high house prices increase social and economic inequality. </w:t>
      </w:r>
      <w:r w:rsidRPr="00F62F1C">
        <w:lastRenderedPageBreak/>
        <w:t>The Government is delivering a work programme to improve housing affordability. The work spans five key areas:</w:t>
      </w:r>
    </w:p>
    <w:p w:rsidR="00C9789E" w:rsidRPr="00F62F1C" w:rsidRDefault="00AC118A" w:rsidP="00AC118A">
      <w:pPr>
        <w:pStyle w:val="Bullet1G"/>
      </w:pPr>
      <w:r w:rsidRPr="00F62F1C">
        <w:t xml:space="preserve">The </w:t>
      </w:r>
      <w:r w:rsidR="00C9789E" w:rsidRPr="00F62F1C">
        <w:t>supply of land</w:t>
      </w:r>
      <w:r w:rsidR="00252C18">
        <w:t>;</w:t>
      </w:r>
    </w:p>
    <w:p w:rsidR="00C9789E" w:rsidRPr="00F62F1C" w:rsidRDefault="00AC118A" w:rsidP="00AC118A">
      <w:pPr>
        <w:pStyle w:val="Bullet1G"/>
      </w:pPr>
      <w:r w:rsidRPr="00F62F1C">
        <w:t xml:space="preserve">The </w:t>
      </w:r>
      <w:r w:rsidR="00C9789E" w:rsidRPr="00F62F1C">
        <w:t>regulation of pla</w:t>
      </w:r>
      <w:r w:rsidR="00252C18">
        <w:t>nning, development and building;</w:t>
      </w:r>
    </w:p>
    <w:p w:rsidR="00C9789E" w:rsidRPr="00F62F1C" w:rsidRDefault="00AC118A" w:rsidP="00AC118A">
      <w:pPr>
        <w:pStyle w:val="Bullet1G"/>
      </w:pPr>
      <w:r w:rsidRPr="00F62F1C">
        <w:t xml:space="preserve">The </w:t>
      </w:r>
      <w:r w:rsidR="00C9789E" w:rsidRPr="00F62F1C">
        <w:t>provision of infrastructure</w:t>
      </w:r>
      <w:r w:rsidR="00252C18">
        <w:t>;</w:t>
      </w:r>
    </w:p>
    <w:p w:rsidR="00C9789E" w:rsidRPr="00F62F1C" w:rsidRDefault="00AC118A" w:rsidP="00AC118A">
      <w:pPr>
        <w:pStyle w:val="Bullet1G"/>
      </w:pPr>
      <w:r w:rsidRPr="00F62F1C">
        <w:t xml:space="preserve">The </w:t>
      </w:r>
      <w:r w:rsidR="00C9789E" w:rsidRPr="00F62F1C">
        <w:t>level of skills and innova</w:t>
      </w:r>
      <w:r w:rsidR="00252C18">
        <w:t>tion in the construction sector;</w:t>
      </w:r>
    </w:p>
    <w:p w:rsidR="00C9789E" w:rsidRPr="00F62F1C" w:rsidRDefault="00AC118A" w:rsidP="00AC118A">
      <w:pPr>
        <w:pStyle w:val="Bullet1G"/>
      </w:pPr>
      <w:r>
        <w:t>T</w:t>
      </w:r>
      <w:r w:rsidR="00C9789E" w:rsidRPr="00F62F1C">
        <w:t>he delivery of new housing.</w:t>
      </w:r>
    </w:p>
    <w:p w:rsidR="00C9789E" w:rsidRPr="00F62F1C" w:rsidRDefault="00C9789E" w:rsidP="00706221">
      <w:pPr>
        <w:pStyle w:val="SingleTxtG"/>
      </w:pPr>
      <w:r w:rsidRPr="00F62F1C">
        <w:t>196.</w:t>
      </w:r>
      <w:r w:rsidRPr="00F62F1C">
        <w:tab/>
        <w:t>Key initiatives include:</w:t>
      </w:r>
    </w:p>
    <w:p w:rsidR="00C9789E" w:rsidRPr="00F62F1C" w:rsidRDefault="00C9789E" w:rsidP="00A06805">
      <w:pPr>
        <w:pStyle w:val="Bullet1G"/>
      </w:pPr>
      <w:r w:rsidRPr="00A06805">
        <w:rPr>
          <w:b/>
        </w:rPr>
        <w:t>The Housing Accords and Special Housing Areas Act 2013</w:t>
      </w:r>
      <w:r w:rsidR="001F5C90">
        <w:t xml:space="preserve"> — </w:t>
      </w:r>
      <w:r w:rsidRPr="00F62F1C">
        <w:t>This act enables the streamlining of new housing developments in special housing areas, which are expected to deliver an additional 60,000 homes in Auckland alone</w:t>
      </w:r>
      <w:r w:rsidR="000C03A3">
        <w:t xml:space="preserve"> </w:t>
      </w:r>
      <w:r w:rsidR="00384249">
        <w:t>once they are fully developed;</w:t>
      </w:r>
    </w:p>
    <w:p w:rsidR="00C9789E" w:rsidRPr="00F62F1C" w:rsidRDefault="00C9789E" w:rsidP="00A06805">
      <w:pPr>
        <w:pStyle w:val="Bullet1G"/>
      </w:pPr>
      <w:r w:rsidRPr="00A06805">
        <w:rPr>
          <w:b/>
        </w:rPr>
        <w:t>National Policy Statement on Urban Development Capacity</w:t>
      </w:r>
      <w:r w:rsidR="001F5C90">
        <w:t xml:space="preserve"> — </w:t>
      </w:r>
      <w:r w:rsidRPr="00F62F1C">
        <w:t>A National Policy Statement on Urban Development Capacity has been developed to direct councils to provide sufficient development capacity for housing and businesses in urban areas with growth pressures. The National Policy Statement was finalised on 31 October 2016 and beca</w:t>
      </w:r>
      <w:r w:rsidR="00384249">
        <w:t>me operative on 1 December 2016;</w:t>
      </w:r>
    </w:p>
    <w:p w:rsidR="00C9789E" w:rsidRPr="00F62F1C" w:rsidRDefault="00C9789E" w:rsidP="00A06805">
      <w:pPr>
        <w:pStyle w:val="Bullet1G"/>
      </w:pPr>
      <w:r w:rsidRPr="00A06805">
        <w:rPr>
          <w:b/>
        </w:rPr>
        <w:t>Urban Development Legislation</w:t>
      </w:r>
      <w:r w:rsidR="001F5C90">
        <w:t xml:space="preserve"> — </w:t>
      </w:r>
      <w:r w:rsidRPr="00F62F1C">
        <w:t>The Government is considering legislation to enable publicly-controlled urban development authorities to access powers to acquire parcels of land and then plan and oversee the necessary development. Developments could include housing, commercial premises, associated infrastructure, and amenities including parks, commun</w:t>
      </w:r>
      <w:r w:rsidR="00384249">
        <w:t>ity spaces or shopping centres;</w:t>
      </w:r>
    </w:p>
    <w:p w:rsidR="00C9789E" w:rsidRPr="00F62F1C" w:rsidRDefault="00C9789E" w:rsidP="00A06805">
      <w:pPr>
        <w:pStyle w:val="Bullet1G"/>
      </w:pPr>
      <w:r w:rsidRPr="00A06805">
        <w:rPr>
          <w:b/>
        </w:rPr>
        <w:t>Direct facilitation of new housing supply</w:t>
      </w:r>
      <w:r w:rsidR="00251668">
        <w:t xml:space="preserve"> — </w:t>
      </w:r>
      <w:r w:rsidRPr="00F62F1C">
        <w:t>The Government is undertaking a programme of work to facilitate housing construction, delivering 34,000 brand new purpose-built houses over 10 years, including more social and affordable homes. The houses will be built on vacant and under-utilised Crown-owned land in Auckland, and through redeveloping Housing New Zealand Corporation</w:t>
      </w:r>
      <w:r w:rsidR="00D34D95">
        <w:t>’</w:t>
      </w:r>
      <w:r w:rsidRPr="00F62F1C">
        <w:t>s Auckland housing portfolio</w:t>
      </w:r>
      <w:r w:rsidR="00384249">
        <w:t>;</w:t>
      </w:r>
    </w:p>
    <w:p w:rsidR="00C9789E" w:rsidRPr="00F62F1C" w:rsidRDefault="00C9789E" w:rsidP="00A06805">
      <w:pPr>
        <w:pStyle w:val="Bullet1G"/>
      </w:pPr>
      <w:r w:rsidRPr="00A06805">
        <w:rPr>
          <w:b/>
        </w:rPr>
        <w:t>Housing Infrastructure Fund</w:t>
      </w:r>
      <w:r w:rsidR="001F5C90">
        <w:t xml:space="preserve"> — </w:t>
      </w:r>
      <w:r w:rsidRPr="00F62F1C">
        <w:t>in September 2016, the Government made $1 billion available to assist councils with high urban population growth to advance infrastructure projects important to increasing housing supply.</w:t>
      </w:r>
      <w:r w:rsidR="0023775B">
        <w:t xml:space="preserve"> </w:t>
      </w:r>
      <w:proofErr w:type="gramStart"/>
      <w:r w:rsidRPr="00F62F1C">
        <w:t>Specifically</w:t>
      </w:r>
      <w:proofErr w:type="gramEnd"/>
      <w:r w:rsidRPr="00F62F1C">
        <w:t xml:space="preserve"> the fund will bring forward the construction of water supply, wastewater, </w:t>
      </w:r>
      <w:proofErr w:type="spellStart"/>
      <w:r w:rsidRPr="00F62F1C">
        <w:t>stormwater</w:t>
      </w:r>
      <w:proofErr w:type="spellEnd"/>
      <w:r w:rsidRPr="00F62F1C">
        <w:t xml:space="preserve"> and transport infrastructure to allow the development of land and houses faster than</w:t>
      </w:r>
      <w:r w:rsidR="00384249">
        <w:t xml:space="preserve"> would have occurred without it;</w:t>
      </w:r>
    </w:p>
    <w:p w:rsidR="00C9789E" w:rsidRPr="00F62F1C" w:rsidRDefault="00C9789E" w:rsidP="00A06805">
      <w:pPr>
        <w:pStyle w:val="Bullet1G"/>
      </w:pPr>
      <w:r w:rsidRPr="00A06805">
        <w:rPr>
          <w:b/>
        </w:rPr>
        <w:t>The Māori Housing Strategy</w:t>
      </w:r>
      <w:r w:rsidR="001F5C90">
        <w:t xml:space="preserve"> — </w:t>
      </w:r>
      <w:r w:rsidRPr="00F62F1C">
        <w:t xml:space="preserve">In 2014 the Government released the Māori Housing Strategy. The Māori Housing Network (part of </w:t>
      </w:r>
      <w:proofErr w:type="spellStart"/>
      <w:r w:rsidRPr="00F62F1C">
        <w:t>Te</w:t>
      </w:r>
      <w:proofErr w:type="spellEnd"/>
      <w:r w:rsidRPr="00F62F1C">
        <w:t xml:space="preserve"> </w:t>
      </w:r>
      <w:proofErr w:type="spellStart"/>
      <w:r w:rsidRPr="00F62F1C">
        <w:t>Puni</w:t>
      </w:r>
      <w:proofErr w:type="spellEnd"/>
      <w:r w:rsidRPr="00F62F1C">
        <w:t xml:space="preserve"> </w:t>
      </w:r>
      <w:proofErr w:type="spellStart"/>
      <w:r w:rsidRPr="00F62F1C">
        <w:t>Kōkiri</w:t>
      </w:r>
      <w:proofErr w:type="spellEnd"/>
      <w:r w:rsidRPr="00F62F1C">
        <w:t xml:space="preserve">, the Ministry of Māori Development) was launched in October 2015 to help more </w:t>
      </w:r>
      <w:proofErr w:type="spellStart"/>
      <w:r w:rsidRPr="00F62F1C">
        <w:t>whānau</w:t>
      </w:r>
      <w:proofErr w:type="spellEnd"/>
      <w:r w:rsidRPr="00F62F1C">
        <w:t xml:space="preserve"> access safe, secure and healthy homes. As at 30 April 2017 it has contributed to the costs of 63 new affordable rental homes owned by Māori collectives, funded housing repair projects for 379 </w:t>
      </w:r>
      <w:proofErr w:type="spellStart"/>
      <w:r w:rsidRPr="00F62F1C">
        <w:t>whānau</w:t>
      </w:r>
      <w:proofErr w:type="spellEnd"/>
      <w:r w:rsidRPr="00F62F1C">
        <w:t>, and funded infrastructure development for 176 homes.</w:t>
      </w:r>
    </w:p>
    <w:p w:rsidR="00C9789E" w:rsidRPr="00F62F1C" w:rsidRDefault="00C9789E" w:rsidP="00E52A59">
      <w:pPr>
        <w:pStyle w:val="H4G"/>
      </w:pPr>
      <w:r w:rsidRPr="00F62F1C">
        <w:tab/>
      </w:r>
      <w:r w:rsidRPr="00F62F1C">
        <w:tab/>
        <w:t>Habitability</w:t>
      </w:r>
    </w:p>
    <w:p w:rsidR="00C9789E" w:rsidRPr="00F62F1C" w:rsidRDefault="00C9789E" w:rsidP="00706221">
      <w:pPr>
        <w:pStyle w:val="SingleTxtG"/>
      </w:pPr>
      <w:r w:rsidRPr="00F62F1C">
        <w:t>197.</w:t>
      </w:r>
      <w:r w:rsidRPr="00F62F1C">
        <w:tab/>
        <w:t xml:space="preserve">All houses in New Zealand are expected to comply with the requirements of the Health Act 1956, Housing Improvement Regulations and, in the case of new builds and certain renovations, the current Building Code. Landlords, including where the State is the landlord, must comply with the Residential Tenancies Act 1986 which states that landlords must provide the premises in a reasonable state of cleanliness and repair, and comply with all requirements in respect of building health and safety. </w:t>
      </w:r>
    </w:p>
    <w:p w:rsidR="00C9789E" w:rsidRPr="00F62F1C" w:rsidRDefault="00C9789E" w:rsidP="00706221">
      <w:pPr>
        <w:pStyle w:val="SingleTxtG"/>
      </w:pPr>
      <w:r w:rsidRPr="00F62F1C">
        <w:t>198.</w:t>
      </w:r>
      <w:r w:rsidRPr="00F62F1C">
        <w:tab/>
        <w:t xml:space="preserve">Any premises which are deemed to be dangerous or unsanitary may be issued with a cleansing or closing order by the local authority. </w:t>
      </w:r>
    </w:p>
    <w:p w:rsidR="00C9789E" w:rsidRPr="00F62F1C" w:rsidRDefault="00C9789E" w:rsidP="00706221">
      <w:pPr>
        <w:pStyle w:val="SingleTxtG"/>
      </w:pPr>
      <w:r w:rsidRPr="00F62F1C">
        <w:t>199.</w:t>
      </w:r>
      <w:r w:rsidRPr="00F62F1C">
        <w:tab/>
        <w:t xml:space="preserve">The Māori Housing Network funds the improvement of housing for </w:t>
      </w:r>
      <w:proofErr w:type="spellStart"/>
      <w:r w:rsidRPr="00F62F1C">
        <w:t>whānau</w:t>
      </w:r>
      <w:proofErr w:type="spellEnd"/>
      <w:r w:rsidRPr="00F62F1C">
        <w:t xml:space="preserve"> to help houses meet minimum standards of habitability. To date, it has supported repairs of 379 </w:t>
      </w:r>
      <w:r w:rsidRPr="00F62F1C">
        <w:lastRenderedPageBreak/>
        <w:t xml:space="preserve">homes generally in rural and sometimes remote locations. The Network has also supported eight emergency housing projects to help </w:t>
      </w:r>
      <w:proofErr w:type="spellStart"/>
      <w:r w:rsidRPr="00F62F1C">
        <w:t>whānau</w:t>
      </w:r>
      <w:proofErr w:type="spellEnd"/>
      <w:r w:rsidRPr="00F62F1C">
        <w:t xml:space="preserve"> without homes. </w:t>
      </w:r>
    </w:p>
    <w:p w:rsidR="00C9789E" w:rsidRPr="00F62F1C" w:rsidRDefault="00C9789E" w:rsidP="00706221">
      <w:pPr>
        <w:pStyle w:val="SingleTxtG"/>
      </w:pPr>
      <w:r w:rsidRPr="00F62F1C">
        <w:t>200.</w:t>
      </w:r>
      <w:r w:rsidRPr="00F62F1C">
        <w:tab/>
        <w:t>Amendments to the Residential Tenancies Act in 2016 strengthened the powers of the Government to investigate and take action against landlords who seriously or persistently breach the Act, where there is a public interest to do so. The Residential Tenancies Act further provides for tenancies to be terminated if the property is considered to be either destroyed or so seriously damaged as to be uninhabitable. In such cases landlords must give tenants seven days</w:t>
      </w:r>
      <w:r w:rsidR="00D34D95">
        <w:t>’</w:t>
      </w:r>
      <w:r w:rsidRPr="00F62F1C">
        <w:t xml:space="preserve"> notice; tenants must give landlords two. </w:t>
      </w:r>
    </w:p>
    <w:p w:rsidR="00C9789E" w:rsidRPr="00F62F1C" w:rsidRDefault="00C9789E" w:rsidP="00706221">
      <w:pPr>
        <w:pStyle w:val="SingleTxtG"/>
      </w:pPr>
      <w:r w:rsidRPr="00F62F1C">
        <w:t>201.</w:t>
      </w:r>
      <w:r w:rsidRPr="00F62F1C">
        <w:tab/>
        <w:t xml:space="preserve">Amendments to the Act last year also made it compulsory for all rental properties to have smoke alarms from 1 July 2016 and for all private rental properties to have underfloor and ceiling insulation installed to a required standard (where it can be practically installed) by 1 July 2019. </w:t>
      </w:r>
    </w:p>
    <w:p w:rsidR="00C9789E" w:rsidRPr="00F62F1C" w:rsidRDefault="00C9789E" w:rsidP="00E52A59">
      <w:pPr>
        <w:pStyle w:val="H4G"/>
      </w:pPr>
      <w:r w:rsidRPr="00F62F1C">
        <w:tab/>
      </w:r>
      <w:r w:rsidRPr="00F62F1C">
        <w:tab/>
        <w:t>Security of Tenure</w:t>
      </w:r>
    </w:p>
    <w:p w:rsidR="00C9789E" w:rsidRPr="00F62F1C" w:rsidRDefault="00C9789E" w:rsidP="00706221">
      <w:pPr>
        <w:pStyle w:val="SingleTxtG"/>
      </w:pPr>
      <w:r w:rsidRPr="00F62F1C">
        <w:t>202.</w:t>
      </w:r>
      <w:r w:rsidRPr="00F62F1C">
        <w:tab/>
        <w:t>Under the Residential Tenancies Act 1986, landlords and tenants may negotiate and sign a fixed-term tenancy for any length of time. Upon the expiry of the fixed-term the tenancy rolls over to a periodic tenancy, provided neither party takes action to renew or end the tenancy. In a periodic tenancy if the landlord chooses to terminate the tenancy they must give the tenant 90 days</w:t>
      </w:r>
      <w:r w:rsidR="00D34D95">
        <w:t>’</w:t>
      </w:r>
      <w:r w:rsidRPr="00F62F1C">
        <w:t xml:space="preserve"> notice (with some exceptions); tenants must give their landlords 21 days</w:t>
      </w:r>
      <w:r w:rsidR="00D34D95">
        <w:t>’</w:t>
      </w:r>
      <w:r w:rsidRPr="00F62F1C">
        <w:t xml:space="preserve"> notice to terminate the tenancy.</w:t>
      </w:r>
      <w:r w:rsidR="0023775B">
        <w:t xml:space="preserve"> </w:t>
      </w:r>
      <w:r w:rsidRPr="00F62F1C">
        <w:t>On average, 46 percent of Census respondents had been in their property less than two years. The average length of tenancy based on bond data is approximately two years.</w:t>
      </w:r>
    </w:p>
    <w:p w:rsidR="00C9789E" w:rsidRPr="00F62F1C" w:rsidRDefault="00C9789E" w:rsidP="00706221">
      <w:pPr>
        <w:pStyle w:val="SingleTxtG"/>
      </w:pPr>
      <w:r w:rsidRPr="00F62F1C">
        <w:t>203.</w:t>
      </w:r>
      <w:r w:rsidRPr="00F62F1C">
        <w:tab/>
        <w:t>New Zealand has recently updated its residential tenancies legislation to improve the security of tenure for tenants. The Residential Tenancies Amendment Act, in force from 1 July 2016, has increased the length of time available to tenants to contest an alleged retaliatory notice at the Tenancy Tribunal from 14 to 28 days. Further, issuing a retaliatory notice is now an unlawful act. Landlords who have been found to have issued such a notice may face a penalty of up to $4,000.</w:t>
      </w:r>
      <w:r w:rsidR="0023775B">
        <w:t xml:space="preserve"> </w:t>
      </w:r>
    </w:p>
    <w:p w:rsidR="00C9789E" w:rsidRPr="00F62F1C" w:rsidRDefault="00C9789E" w:rsidP="00BB5784">
      <w:pPr>
        <w:pStyle w:val="H1G"/>
      </w:pPr>
      <w:r w:rsidRPr="00F62F1C">
        <w:tab/>
      </w:r>
      <w:bookmarkStart w:id="67" w:name="_Toc494359790"/>
      <w:r w:rsidRPr="00F62F1C">
        <w:t>J.</w:t>
      </w:r>
      <w:r w:rsidRPr="00F62F1C">
        <w:tab/>
        <w:t>Article 12</w:t>
      </w:r>
      <w:r w:rsidR="001F5C90">
        <w:t xml:space="preserve"> — </w:t>
      </w:r>
      <w:r w:rsidRPr="00F62F1C">
        <w:t>Right to physical and mental health</w:t>
      </w:r>
      <w:bookmarkEnd w:id="67"/>
    </w:p>
    <w:p w:rsidR="00C9789E" w:rsidRPr="00F62F1C" w:rsidRDefault="00C9789E" w:rsidP="00342473">
      <w:pPr>
        <w:pStyle w:val="H23G"/>
      </w:pPr>
      <w:r w:rsidRPr="00F62F1C">
        <w:tab/>
      </w:r>
      <w:r w:rsidRPr="00F62F1C">
        <w:tab/>
        <w:t xml:space="preserve">Ala </w:t>
      </w:r>
      <w:proofErr w:type="spellStart"/>
      <w:r w:rsidRPr="00F62F1C">
        <w:t>Mo</w:t>
      </w:r>
      <w:r w:rsidR="00D34D95">
        <w:t>’</w:t>
      </w:r>
      <w:r w:rsidRPr="00F62F1C">
        <w:t>ui</w:t>
      </w:r>
      <w:proofErr w:type="spellEnd"/>
      <w:r w:rsidRPr="00F62F1C">
        <w:t>: Pathways to Pacific Health and Wellbeing 2014-2018</w:t>
      </w:r>
    </w:p>
    <w:p w:rsidR="00C9789E" w:rsidRPr="00F62F1C" w:rsidRDefault="00C9789E" w:rsidP="00706221">
      <w:pPr>
        <w:pStyle w:val="SingleTxtG"/>
      </w:pPr>
      <w:r w:rsidRPr="00F62F1C">
        <w:t>204.</w:t>
      </w:r>
      <w:r w:rsidRPr="00F62F1C">
        <w:tab/>
      </w:r>
      <w:proofErr w:type="spellStart"/>
      <w:r w:rsidRPr="00F62F1C">
        <w:t>ʼAla</w:t>
      </w:r>
      <w:proofErr w:type="spellEnd"/>
      <w:r w:rsidRPr="00F62F1C">
        <w:t xml:space="preserve"> </w:t>
      </w:r>
      <w:proofErr w:type="spellStart"/>
      <w:r w:rsidRPr="00F62F1C">
        <w:t>Mo</w:t>
      </w:r>
      <w:r w:rsidR="00D34D95">
        <w:t>’</w:t>
      </w:r>
      <w:r w:rsidRPr="00F62F1C">
        <w:t>ui</w:t>
      </w:r>
      <w:proofErr w:type="spellEnd"/>
      <w:r w:rsidRPr="00F62F1C">
        <w:t>: Pathways to Pa</w:t>
      </w:r>
      <w:r w:rsidR="00F42C86">
        <w:t>cific Health and Wellbeing 2014-</w:t>
      </w:r>
      <w:r w:rsidRPr="00F62F1C">
        <w:t xml:space="preserve">18 is a four-year plan to deliver high-quality health services that meet the needs of Pasifika. An evaluation of the plan in 2015 showed areas where the health sector is performing well for Pasifika and where further improvement is needed. Below are tables showing increased rates of access to services. </w:t>
      </w:r>
    </w:p>
    <w:p w:rsidR="00173499" w:rsidRDefault="00C9789E" w:rsidP="00173499">
      <w:pPr>
        <w:pStyle w:val="Heading1"/>
      </w:pPr>
      <w:bookmarkStart w:id="68" w:name="_Toc494359791"/>
      <w:r w:rsidRPr="00F62F1C">
        <w:t>Figure 26</w:t>
      </w:r>
      <w:bookmarkEnd w:id="68"/>
    </w:p>
    <w:p w:rsidR="00C9789E" w:rsidRPr="00173499" w:rsidRDefault="00C9789E" w:rsidP="00706221">
      <w:pPr>
        <w:pStyle w:val="SingleTxtG"/>
        <w:rPr>
          <w:b/>
        </w:rPr>
      </w:pPr>
      <w:r w:rsidRPr="00173499">
        <w:rPr>
          <w:b/>
        </w:rPr>
        <w:t>Increased access rate to mental health services between 2012/2013 and 2014/2015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64"/>
        <w:gridCol w:w="1484"/>
        <w:gridCol w:w="1903"/>
        <w:gridCol w:w="2019"/>
      </w:tblGrid>
      <w:tr w:rsidR="00C9789E" w:rsidRPr="00173499" w:rsidTr="00B77308">
        <w:trPr>
          <w:cantSplit/>
          <w:tblHeader/>
        </w:trPr>
        <w:tc>
          <w:tcPr>
            <w:tcW w:w="1332" w:type="pct"/>
            <w:tcBorders>
              <w:top w:val="single" w:sz="4" w:space="0" w:color="auto"/>
              <w:bottom w:val="single" w:sz="12" w:space="0" w:color="auto"/>
            </w:tcBorders>
            <w:shd w:val="clear" w:color="auto" w:fill="auto"/>
            <w:noWrap/>
            <w:vAlign w:val="bottom"/>
            <w:hideMark/>
          </w:tcPr>
          <w:p w:rsidR="00C9789E" w:rsidRPr="00173499" w:rsidRDefault="00C9789E" w:rsidP="00173499">
            <w:pPr>
              <w:pStyle w:val="SingleTxtG"/>
              <w:spacing w:before="80" w:after="80" w:line="200" w:lineRule="exact"/>
              <w:ind w:left="0" w:right="113"/>
              <w:jc w:val="left"/>
              <w:rPr>
                <w:i/>
                <w:sz w:val="16"/>
              </w:rPr>
            </w:pPr>
          </w:p>
        </w:tc>
        <w:tc>
          <w:tcPr>
            <w:tcW w:w="1007" w:type="pct"/>
            <w:tcBorders>
              <w:top w:val="single" w:sz="4" w:space="0" w:color="auto"/>
              <w:bottom w:val="single" w:sz="12" w:space="0" w:color="auto"/>
            </w:tcBorders>
            <w:shd w:val="clear" w:color="auto" w:fill="auto"/>
            <w:noWrap/>
            <w:vAlign w:val="bottom"/>
            <w:hideMark/>
          </w:tcPr>
          <w:p w:rsidR="00C9789E" w:rsidRPr="00173499" w:rsidRDefault="00C9789E" w:rsidP="00173499">
            <w:pPr>
              <w:pStyle w:val="SingleTxtG"/>
              <w:spacing w:before="80" w:after="80" w:line="200" w:lineRule="exact"/>
              <w:ind w:left="0" w:right="113"/>
              <w:jc w:val="right"/>
              <w:rPr>
                <w:i/>
                <w:sz w:val="16"/>
              </w:rPr>
            </w:pPr>
            <w:r w:rsidRPr="00173499">
              <w:rPr>
                <w:i/>
                <w:sz w:val="16"/>
              </w:rPr>
              <w:t>2012/2013</w:t>
            </w:r>
          </w:p>
        </w:tc>
        <w:tc>
          <w:tcPr>
            <w:tcW w:w="1291" w:type="pct"/>
            <w:tcBorders>
              <w:top w:val="single" w:sz="4" w:space="0" w:color="auto"/>
              <w:bottom w:val="single" w:sz="12" w:space="0" w:color="auto"/>
            </w:tcBorders>
            <w:shd w:val="clear" w:color="auto" w:fill="auto"/>
            <w:noWrap/>
            <w:vAlign w:val="bottom"/>
            <w:hideMark/>
          </w:tcPr>
          <w:p w:rsidR="00C9789E" w:rsidRPr="00173499" w:rsidRDefault="00C9789E" w:rsidP="00173499">
            <w:pPr>
              <w:pStyle w:val="SingleTxtG"/>
              <w:spacing w:before="80" w:after="80" w:line="200" w:lineRule="exact"/>
              <w:ind w:left="0" w:right="113"/>
              <w:jc w:val="right"/>
              <w:rPr>
                <w:i/>
                <w:sz w:val="16"/>
              </w:rPr>
            </w:pPr>
            <w:r w:rsidRPr="00173499">
              <w:rPr>
                <w:i/>
                <w:sz w:val="16"/>
              </w:rPr>
              <w:t>2013/2014</w:t>
            </w:r>
          </w:p>
        </w:tc>
        <w:tc>
          <w:tcPr>
            <w:tcW w:w="1370" w:type="pct"/>
            <w:tcBorders>
              <w:top w:val="single" w:sz="4" w:space="0" w:color="auto"/>
              <w:bottom w:val="single" w:sz="12" w:space="0" w:color="auto"/>
            </w:tcBorders>
            <w:shd w:val="clear" w:color="auto" w:fill="auto"/>
            <w:noWrap/>
            <w:vAlign w:val="bottom"/>
            <w:hideMark/>
          </w:tcPr>
          <w:p w:rsidR="00C9789E" w:rsidRPr="00173499" w:rsidRDefault="00C9789E" w:rsidP="00173499">
            <w:pPr>
              <w:pStyle w:val="SingleTxtG"/>
              <w:spacing w:before="80" w:after="80" w:line="200" w:lineRule="exact"/>
              <w:ind w:left="0" w:right="113"/>
              <w:jc w:val="right"/>
              <w:rPr>
                <w:i/>
                <w:sz w:val="16"/>
              </w:rPr>
            </w:pPr>
            <w:r w:rsidRPr="00173499">
              <w:rPr>
                <w:i/>
                <w:sz w:val="16"/>
              </w:rPr>
              <w:t>2014/2015</w:t>
            </w:r>
          </w:p>
        </w:tc>
      </w:tr>
      <w:tr w:rsidR="00C9789E" w:rsidRPr="00173499" w:rsidTr="00B77308">
        <w:trPr>
          <w:cantSplit/>
        </w:trPr>
        <w:tc>
          <w:tcPr>
            <w:tcW w:w="1332" w:type="pct"/>
            <w:tcBorders>
              <w:top w:val="single" w:sz="12" w:space="0" w:color="auto"/>
              <w:bottom w:val="single" w:sz="4" w:space="0" w:color="auto"/>
            </w:tcBorders>
            <w:shd w:val="clear" w:color="auto" w:fill="auto"/>
            <w:noWrap/>
            <w:hideMark/>
          </w:tcPr>
          <w:p w:rsidR="00C9789E" w:rsidRPr="00173499" w:rsidRDefault="00C9789E" w:rsidP="00173499">
            <w:pPr>
              <w:pStyle w:val="SingleTxtG"/>
              <w:spacing w:before="40" w:after="40" w:line="220" w:lineRule="exact"/>
              <w:ind w:left="0" w:right="113"/>
              <w:jc w:val="left"/>
              <w:rPr>
                <w:sz w:val="18"/>
              </w:rPr>
            </w:pPr>
            <w:r w:rsidRPr="00173499">
              <w:rPr>
                <w:sz w:val="18"/>
              </w:rPr>
              <w:t>Pacific</w:t>
            </w:r>
          </w:p>
        </w:tc>
        <w:tc>
          <w:tcPr>
            <w:tcW w:w="1007" w:type="pct"/>
            <w:tcBorders>
              <w:top w:val="single" w:sz="12" w:space="0" w:color="auto"/>
              <w:bottom w:val="single" w:sz="4" w:space="0" w:color="auto"/>
            </w:tcBorders>
            <w:shd w:val="clear" w:color="auto" w:fill="auto"/>
            <w:noWrap/>
            <w:vAlign w:val="bottom"/>
            <w:hideMark/>
          </w:tcPr>
          <w:p w:rsidR="00C9789E" w:rsidRPr="00173499" w:rsidRDefault="00C9789E" w:rsidP="00173499">
            <w:pPr>
              <w:pStyle w:val="SingleTxtG"/>
              <w:spacing w:before="40" w:after="40" w:line="220" w:lineRule="exact"/>
              <w:ind w:left="0" w:right="113"/>
              <w:jc w:val="right"/>
              <w:rPr>
                <w:sz w:val="18"/>
              </w:rPr>
            </w:pPr>
            <w:r w:rsidRPr="00173499">
              <w:rPr>
                <w:sz w:val="18"/>
              </w:rPr>
              <w:t>2.90</w:t>
            </w:r>
          </w:p>
        </w:tc>
        <w:tc>
          <w:tcPr>
            <w:tcW w:w="1291" w:type="pct"/>
            <w:tcBorders>
              <w:top w:val="single" w:sz="12" w:space="0" w:color="auto"/>
              <w:bottom w:val="single" w:sz="4" w:space="0" w:color="auto"/>
            </w:tcBorders>
            <w:shd w:val="clear" w:color="auto" w:fill="auto"/>
            <w:noWrap/>
            <w:vAlign w:val="bottom"/>
            <w:hideMark/>
          </w:tcPr>
          <w:p w:rsidR="00C9789E" w:rsidRPr="00173499" w:rsidRDefault="00C9789E" w:rsidP="00173499">
            <w:pPr>
              <w:pStyle w:val="SingleTxtG"/>
              <w:spacing w:before="40" w:after="40" w:line="220" w:lineRule="exact"/>
              <w:ind w:left="0" w:right="113"/>
              <w:jc w:val="right"/>
              <w:rPr>
                <w:sz w:val="18"/>
              </w:rPr>
            </w:pPr>
            <w:r w:rsidRPr="00173499">
              <w:rPr>
                <w:sz w:val="18"/>
              </w:rPr>
              <w:t>2.89</w:t>
            </w:r>
          </w:p>
        </w:tc>
        <w:tc>
          <w:tcPr>
            <w:tcW w:w="1370" w:type="pct"/>
            <w:tcBorders>
              <w:top w:val="single" w:sz="12" w:space="0" w:color="auto"/>
              <w:bottom w:val="single" w:sz="4" w:space="0" w:color="auto"/>
            </w:tcBorders>
            <w:shd w:val="clear" w:color="auto" w:fill="auto"/>
            <w:noWrap/>
            <w:vAlign w:val="bottom"/>
            <w:hideMark/>
          </w:tcPr>
          <w:p w:rsidR="00C9789E" w:rsidRPr="00173499" w:rsidRDefault="00C9789E" w:rsidP="00173499">
            <w:pPr>
              <w:pStyle w:val="SingleTxtG"/>
              <w:spacing w:before="40" w:after="40" w:line="220" w:lineRule="exact"/>
              <w:ind w:left="0" w:right="113"/>
              <w:jc w:val="right"/>
              <w:rPr>
                <w:sz w:val="18"/>
              </w:rPr>
            </w:pPr>
            <w:r w:rsidRPr="00173499">
              <w:rPr>
                <w:sz w:val="18"/>
              </w:rPr>
              <w:t>3.13</w:t>
            </w:r>
          </w:p>
        </w:tc>
      </w:tr>
      <w:tr w:rsidR="00C9789E" w:rsidRPr="00173499" w:rsidTr="00B77308">
        <w:trPr>
          <w:cantSplit/>
        </w:trPr>
        <w:tc>
          <w:tcPr>
            <w:tcW w:w="1332" w:type="pct"/>
            <w:tcBorders>
              <w:top w:val="single" w:sz="4" w:space="0" w:color="auto"/>
              <w:bottom w:val="single" w:sz="12" w:space="0" w:color="auto"/>
            </w:tcBorders>
            <w:shd w:val="clear" w:color="auto" w:fill="auto"/>
            <w:noWrap/>
            <w:hideMark/>
          </w:tcPr>
          <w:p w:rsidR="00C9789E" w:rsidRPr="00541D27" w:rsidRDefault="00C9789E" w:rsidP="00541D27">
            <w:pPr>
              <w:pStyle w:val="SingleTxtG"/>
              <w:spacing w:before="80" w:after="80" w:line="220" w:lineRule="exact"/>
              <w:ind w:left="283" w:right="0"/>
              <w:jc w:val="left"/>
              <w:rPr>
                <w:b/>
                <w:sz w:val="18"/>
              </w:rPr>
            </w:pPr>
            <w:r w:rsidRPr="00541D27">
              <w:rPr>
                <w:b/>
                <w:sz w:val="18"/>
              </w:rPr>
              <w:t>Total New Zealand</w:t>
            </w:r>
          </w:p>
        </w:tc>
        <w:tc>
          <w:tcPr>
            <w:tcW w:w="1007" w:type="pct"/>
            <w:tcBorders>
              <w:top w:val="single" w:sz="4" w:space="0" w:color="auto"/>
              <w:bottom w:val="single" w:sz="12" w:space="0" w:color="auto"/>
            </w:tcBorders>
            <w:shd w:val="clear" w:color="auto" w:fill="auto"/>
            <w:noWrap/>
            <w:vAlign w:val="bottom"/>
            <w:hideMark/>
          </w:tcPr>
          <w:p w:rsidR="00C9789E" w:rsidRPr="00541D27" w:rsidRDefault="00C9789E" w:rsidP="00541D27">
            <w:pPr>
              <w:pStyle w:val="SingleTxtG"/>
              <w:spacing w:before="80" w:after="80" w:line="220" w:lineRule="exact"/>
              <w:ind w:left="0" w:right="113"/>
              <w:jc w:val="right"/>
              <w:rPr>
                <w:b/>
                <w:sz w:val="18"/>
              </w:rPr>
            </w:pPr>
            <w:r w:rsidRPr="00541D27">
              <w:rPr>
                <w:b/>
                <w:sz w:val="18"/>
              </w:rPr>
              <w:t>3.40</w:t>
            </w:r>
          </w:p>
        </w:tc>
        <w:tc>
          <w:tcPr>
            <w:tcW w:w="1291" w:type="pct"/>
            <w:tcBorders>
              <w:top w:val="single" w:sz="4" w:space="0" w:color="auto"/>
              <w:bottom w:val="single" w:sz="12" w:space="0" w:color="auto"/>
            </w:tcBorders>
            <w:shd w:val="clear" w:color="auto" w:fill="auto"/>
            <w:noWrap/>
            <w:vAlign w:val="bottom"/>
            <w:hideMark/>
          </w:tcPr>
          <w:p w:rsidR="00C9789E" w:rsidRPr="00541D27" w:rsidRDefault="00C9789E" w:rsidP="00541D27">
            <w:pPr>
              <w:pStyle w:val="SingleTxtG"/>
              <w:spacing w:before="80" w:after="80" w:line="220" w:lineRule="exact"/>
              <w:ind w:left="0" w:right="113"/>
              <w:jc w:val="right"/>
              <w:rPr>
                <w:b/>
                <w:sz w:val="18"/>
              </w:rPr>
            </w:pPr>
            <w:r w:rsidRPr="00541D27">
              <w:rPr>
                <w:b/>
                <w:sz w:val="18"/>
              </w:rPr>
              <w:t>3.47</w:t>
            </w:r>
          </w:p>
        </w:tc>
        <w:tc>
          <w:tcPr>
            <w:tcW w:w="1370" w:type="pct"/>
            <w:tcBorders>
              <w:top w:val="single" w:sz="4" w:space="0" w:color="auto"/>
              <w:bottom w:val="single" w:sz="12" w:space="0" w:color="auto"/>
            </w:tcBorders>
            <w:shd w:val="clear" w:color="auto" w:fill="auto"/>
            <w:noWrap/>
            <w:vAlign w:val="bottom"/>
            <w:hideMark/>
          </w:tcPr>
          <w:p w:rsidR="00C9789E" w:rsidRPr="00541D27" w:rsidRDefault="00C9789E" w:rsidP="00541D27">
            <w:pPr>
              <w:pStyle w:val="SingleTxtG"/>
              <w:spacing w:before="80" w:after="80" w:line="220" w:lineRule="exact"/>
              <w:ind w:left="0" w:right="113"/>
              <w:jc w:val="right"/>
              <w:rPr>
                <w:b/>
                <w:sz w:val="18"/>
              </w:rPr>
            </w:pPr>
            <w:r w:rsidRPr="00541D27">
              <w:rPr>
                <w:b/>
                <w:sz w:val="18"/>
              </w:rPr>
              <w:t>3.46</w:t>
            </w:r>
          </w:p>
        </w:tc>
      </w:tr>
    </w:tbl>
    <w:p w:rsidR="00E1604B" w:rsidRDefault="00C9789E" w:rsidP="00E1604B">
      <w:pPr>
        <w:pStyle w:val="Heading1"/>
        <w:spacing w:before="240"/>
      </w:pPr>
      <w:bookmarkStart w:id="69" w:name="_Toc494359792"/>
      <w:r w:rsidRPr="00F62F1C">
        <w:t>Figure 27</w:t>
      </w:r>
      <w:bookmarkEnd w:id="69"/>
    </w:p>
    <w:p w:rsidR="00C9789E" w:rsidRPr="00E1604B" w:rsidRDefault="00C9789E" w:rsidP="00F21131">
      <w:pPr>
        <w:pStyle w:val="SingleTxtG"/>
        <w:jc w:val="left"/>
        <w:rPr>
          <w:b/>
        </w:rPr>
      </w:pPr>
      <w:r w:rsidRPr="00E1604B">
        <w:rPr>
          <w:b/>
        </w:rPr>
        <w:t xml:space="preserve">Increased access rate to alcohol and drug services between 2012/2013 and </w:t>
      </w:r>
      <w:r w:rsidR="005E1642">
        <w:rPr>
          <w:b/>
        </w:rPr>
        <w:br/>
      </w:r>
      <w:r w:rsidRPr="00E1604B">
        <w:rPr>
          <w:b/>
        </w:rPr>
        <w:t>2014/2015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55"/>
        <w:gridCol w:w="1506"/>
        <w:gridCol w:w="1778"/>
        <w:gridCol w:w="2131"/>
      </w:tblGrid>
      <w:tr w:rsidR="00C9789E" w:rsidRPr="00F21131" w:rsidTr="00B77308">
        <w:trPr>
          <w:cantSplit/>
          <w:tblHeader/>
        </w:trPr>
        <w:tc>
          <w:tcPr>
            <w:tcW w:w="2340" w:type="dxa"/>
            <w:tcBorders>
              <w:top w:val="single" w:sz="4" w:space="0" w:color="auto"/>
              <w:bottom w:val="single" w:sz="12" w:space="0" w:color="auto"/>
            </w:tcBorders>
            <w:shd w:val="clear" w:color="auto" w:fill="auto"/>
            <w:noWrap/>
            <w:vAlign w:val="bottom"/>
            <w:hideMark/>
          </w:tcPr>
          <w:p w:rsidR="00C9789E" w:rsidRPr="00F21131" w:rsidRDefault="000C03A3" w:rsidP="00F21131">
            <w:pPr>
              <w:pStyle w:val="SingleTxtG"/>
              <w:spacing w:before="80" w:after="80" w:line="200" w:lineRule="exact"/>
              <w:ind w:left="0" w:right="113"/>
              <w:jc w:val="left"/>
              <w:rPr>
                <w:i/>
                <w:sz w:val="16"/>
              </w:rPr>
            </w:pPr>
            <w:r w:rsidRPr="00F21131">
              <w:rPr>
                <w:i/>
                <w:sz w:val="16"/>
              </w:rPr>
              <w:t xml:space="preserve"> </w:t>
            </w:r>
          </w:p>
        </w:tc>
        <w:tc>
          <w:tcPr>
            <w:tcW w:w="1801" w:type="dxa"/>
            <w:tcBorders>
              <w:top w:val="single" w:sz="4" w:space="0" w:color="auto"/>
              <w:bottom w:val="single" w:sz="12" w:space="0" w:color="auto"/>
            </w:tcBorders>
            <w:shd w:val="clear" w:color="auto" w:fill="auto"/>
            <w:noWrap/>
            <w:vAlign w:val="bottom"/>
            <w:hideMark/>
          </w:tcPr>
          <w:p w:rsidR="00C9789E" w:rsidRPr="00F21131" w:rsidRDefault="00C9789E" w:rsidP="00F21131">
            <w:pPr>
              <w:pStyle w:val="SingleTxtG"/>
              <w:spacing w:before="80" w:after="80" w:line="200" w:lineRule="exact"/>
              <w:ind w:left="0" w:right="113"/>
              <w:jc w:val="right"/>
              <w:rPr>
                <w:i/>
                <w:sz w:val="16"/>
              </w:rPr>
            </w:pPr>
            <w:r w:rsidRPr="00F21131">
              <w:rPr>
                <w:i/>
                <w:sz w:val="16"/>
              </w:rPr>
              <w:t>2012/2013</w:t>
            </w:r>
          </w:p>
        </w:tc>
        <w:tc>
          <w:tcPr>
            <w:tcW w:w="2127" w:type="dxa"/>
            <w:tcBorders>
              <w:top w:val="single" w:sz="4" w:space="0" w:color="auto"/>
              <w:bottom w:val="single" w:sz="12" w:space="0" w:color="auto"/>
            </w:tcBorders>
            <w:shd w:val="clear" w:color="auto" w:fill="auto"/>
            <w:noWrap/>
            <w:vAlign w:val="bottom"/>
            <w:hideMark/>
          </w:tcPr>
          <w:p w:rsidR="00C9789E" w:rsidRPr="00F21131" w:rsidRDefault="00C9789E" w:rsidP="00F21131">
            <w:pPr>
              <w:pStyle w:val="SingleTxtG"/>
              <w:spacing w:before="80" w:after="80" w:line="200" w:lineRule="exact"/>
              <w:ind w:left="0" w:right="113"/>
              <w:jc w:val="right"/>
              <w:rPr>
                <w:i/>
                <w:sz w:val="16"/>
              </w:rPr>
            </w:pPr>
            <w:r w:rsidRPr="00F21131">
              <w:rPr>
                <w:i/>
                <w:sz w:val="16"/>
              </w:rPr>
              <w:t>2013/2014</w:t>
            </w:r>
          </w:p>
        </w:tc>
        <w:tc>
          <w:tcPr>
            <w:tcW w:w="2551" w:type="dxa"/>
            <w:tcBorders>
              <w:top w:val="single" w:sz="4" w:space="0" w:color="auto"/>
              <w:bottom w:val="single" w:sz="12" w:space="0" w:color="auto"/>
            </w:tcBorders>
            <w:shd w:val="clear" w:color="auto" w:fill="auto"/>
            <w:noWrap/>
            <w:vAlign w:val="bottom"/>
            <w:hideMark/>
          </w:tcPr>
          <w:p w:rsidR="00C9789E" w:rsidRPr="00F21131" w:rsidRDefault="00C9789E" w:rsidP="00F21131">
            <w:pPr>
              <w:pStyle w:val="SingleTxtG"/>
              <w:spacing w:before="80" w:after="80" w:line="200" w:lineRule="exact"/>
              <w:ind w:left="0" w:right="113"/>
              <w:jc w:val="right"/>
              <w:rPr>
                <w:i/>
                <w:sz w:val="16"/>
              </w:rPr>
            </w:pPr>
            <w:r w:rsidRPr="00F21131">
              <w:rPr>
                <w:i/>
                <w:sz w:val="16"/>
              </w:rPr>
              <w:t>2014/2015</w:t>
            </w:r>
          </w:p>
        </w:tc>
      </w:tr>
      <w:tr w:rsidR="00C9789E" w:rsidRPr="00F21131" w:rsidTr="00B77308">
        <w:trPr>
          <w:cantSplit/>
        </w:trPr>
        <w:tc>
          <w:tcPr>
            <w:tcW w:w="2340" w:type="dxa"/>
            <w:tcBorders>
              <w:top w:val="single" w:sz="12" w:space="0" w:color="auto"/>
              <w:bottom w:val="single" w:sz="4" w:space="0" w:color="auto"/>
            </w:tcBorders>
            <w:shd w:val="clear" w:color="auto" w:fill="auto"/>
            <w:noWrap/>
            <w:hideMark/>
          </w:tcPr>
          <w:p w:rsidR="00C9789E" w:rsidRPr="00F21131" w:rsidRDefault="00C9789E" w:rsidP="00F21131">
            <w:pPr>
              <w:pStyle w:val="SingleTxtG"/>
              <w:spacing w:before="40" w:after="40" w:line="220" w:lineRule="exact"/>
              <w:ind w:left="0" w:right="113"/>
              <w:jc w:val="left"/>
              <w:rPr>
                <w:sz w:val="18"/>
              </w:rPr>
            </w:pPr>
            <w:r w:rsidRPr="00F21131">
              <w:rPr>
                <w:sz w:val="18"/>
              </w:rPr>
              <w:t>Pacific</w:t>
            </w:r>
          </w:p>
        </w:tc>
        <w:tc>
          <w:tcPr>
            <w:tcW w:w="1801" w:type="dxa"/>
            <w:tcBorders>
              <w:top w:val="single" w:sz="12" w:space="0" w:color="auto"/>
              <w:bottom w:val="single" w:sz="4" w:space="0" w:color="auto"/>
            </w:tcBorders>
            <w:shd w:val="clear" w:color="auto" w:fill="auto"/>
            <w:noWrap/>
            <w:vAlign w:val="bottom"/>
            <w:hideMark/>
          </w:tcPr>
          <w:p w:rsidR="00C9789E" w:rsidRPr="00F21131" w:rsidRDefault="00C9789E" w:rsidP="00F21131">
            <w:pPr>
              <w:pStyle w:val="SingleTxtG"/>
              <w:spacing w:before="40" w:after="40" w:line="220" w:lineRule="exact"/>
              <w:ind w:left="0" w:right="113"/>
              <w:jc w:val="right"/>
              <w:rPr>
                <w:sz w:val="18"/>
              </w:rPr>
            </w:pPr>
            <w:r w:rsidRPr="00F21131">
              <w:rPr>
                <w:sz w:val="18"/>
              </w:rPr>
              <w:t>0.81</w:t>
            </w:r>
          </w:p>
        </w:tc>
        <w:tc>
          <w:tcPr>
            <w:tcW w:w="2127" w:type="dxa"/>
            <w:tcBorders>
              <w:top w:val="single" w:sz="12" w:space="0" w:color="auto"/>
              <w:bottom w:val="single" w:sz="4" w:space="0" w:color="auto"/>
            </w:tcBorders>
            <w:shd w:val="clear" w:color="auto" w:fill="auto"/>
            <w:noWrap/>
            <w:vAlign w:val="bottom"/>
            <w:hideMark/>
          </w:tcPr>
          <w:p w:rsidR="00C9789E" w:rsidRPr="00F21131" w:rsidRDefault="00C9789E" w:rsidP="00F21131">
            <w:pPr>
              <w:pStyle w:val="SingleTxtG"/>
              <w:spacing w:before="40" w:after="40" w:line="220" w:lineRule="exact"/>
              <w:ind w:left="0" w:right="113"/>
              <w:jc w:val="right"/>
              <w:rPr>
                <w:sz w:val="18"/>
              </w:rPr>
            </w:pPr>
            <w:r w:rsidRPr="00F21131">
              <w:rPr>
                <w:sz w:val="18"/>
              </w:rPr>
              <w:t>0.85</w:t>
            </w:r>
          </w:p>
        </w:tc>
        <w:tc>
          <w:tcPr>
            <w:tcW w:w="2551" w:type="dxa"/>
            <w:tcBorders>
              <w:top w:val="single" w:sz="12" w:space="0" w:color="auto"/>
              <w:bottom w:val="single" w:sz="4" w:space="0" w:color="auto"/>
            </w:tcBorders>
            <w:shd w:val="clear" w:color="auto" w:fill="auto"/>
            <w:noWrap/>
            <w:vAlign w:val="bottom"/>
            <w:hideMark/>
          </w:tcPr>
          <w:p w:rsidR="00C9789E" w:rsidRPr="00F21131" w:rsidRDefault="00C9789E" w:rsidP="00F21131">
            <w:pPr>
              <w:pStyle w:val="SingleTxtG"/>
              <w:spacing w:before="40" w:after="40" w:line="220" w:lineRule="exact"/>
              <w:ind w:left="0" w:right="113"/>
              <w:jc w:val="right"/>
              <w:rPr>
                <w:sz w:val="18"/>
              </w:rPr>
            </w:pPr>
            <w:r w:rsidRPr="00F21131">
              <w:rPr>
                <w:sz w:val="18"/>
              </w:rPr>
              <w:t>1.24</w:t>
            </w:r>
          </w:p>
        </w:tc>
      </w:tr>
      <w:tr w:rsidR="00C9789E" w:rsidRPr="00F21131" w:rsidTr="00B77308">
        <w:trPr>
          <w:cantSplit/>
        </w:trPr>
        <w:tc>
          <w:tcPr>
            <w:tcW w:w="2340" w:type="dxa"/>
            <w:tcBorders>
              <w:top w:val="single" w:sz="4" w:space="0" w:color="auto"/>
              <w:bottom w:val="single" w:sz="12" w:space="0" w:color="auto"/>
            </w:tcBorders>
            <w:shd w:val="clear" w:color="auto" w:fill="auto"/>
            <w:noWrap/>
            <w:hideMark/>
          </w:tcPr>
          <w:p w:rsidR="00C9789E" w:rsidRPr="00F21131" w:rsidRDefault="00C9789E" w:rsidP="0063100F">
            <w:pPr>
              <w:pStyle w:val="SingleTxtG"/>
              <w:spacing w:before="80" w:after="80" w:line="220" w:lineRule="exact"/>
              <w:ind w:left="283" w:right="0"/>
              <w:jc w:val="left"/>
              <w:rPr>
                <w:sz w:val="18"/>
              </w:rPr>
            </w:pPr>
            <w:r w:rsidRPr="0063100F">
              <w:rPr>
                <w:b/>
                <w:sz w:val="18"/>
              </w:rPr>
              <w:t>Total New Zealand</w:t>
            </w:r>
          </w:p>
        </w:tc>
        <w:tc>
          <w:tcPr>
            <w:tcW w:w="1801" w:type="dxa"/>
            <w:tcBorders>
              <w:top w:val="single" w:sz="4" w:space="0" w:color="auto"/>
              <w:bottom w:val="single" w:sz="12" w:space="0" w:color="auto"/>
            </w:tcBorders>
            <w:shd w:val="clear" w:color="auto" w:fill="auto"/>
            <w:noWrap/>
            <w:vAlign w:val="bottom"/>
            <w:hideMark/>
          </w:tcPr>
          <w:p w:rsidR="00C9789E" w:rsidRPr="0063100F" w:rsidRDefault="00C9789E" w:rsidP="0063100F">
            <w:pPr>
              <w:pStyle w:val="SingleTxtG"/>
              <w:spacing w:before="80" w:after="80" w:line="220" w:lineRule="exact"/>
              <w:ind w:left="0" w:right="113"/>
              <w:jc w:val="right"/>
              <w:rPr>
                <w:b/>
                <w:sz w:val="18"/>
              </w:rPr>
            </w:pPr>
            <w:r w:rsidRPr="0063100F">
              <w:rPr>
                <w:b/>
                <w:sz w:val="18"/>
              </w:rPr>
              <w:t>1.00</w:t>
            </w:r>
          </w:p>
        </w:tc>
        <w:tc>
          <w:tcPr>
            <w:tcW w:w="2127" w:type="dxa"/>
            <w:tcBorders>
              <w:top w:val="single" w:sz="4" w:space="0" w:color="auto"/>
              <w:bottom w:val="single" w:sz="12" w:space="0" w:color="auto"/>
            </w:tcBorders>
            <w:shd w:val="clear" w:color="auto" w:fill="auto"/>
            <w:noWrap/>
            <w:vAlign w:val="bottom"/>
            <w:hideMark/>
          </w:tcPr>
          <w:p w:rsidR="00C9789E" w:rsidRPr="0063100F" w:rsidRDefault="00C9789E" w:rsidP="0063100F">
            <w:pPr>
              <w:pStyle w:val="SingleTxtG"/>
              <w:spacing w:before="80" w:after="80" w:line="220" w:lineRule="exact"/>
              <w:ind w:left="0" w:right="113"/>
              <w:jc w:val="right"/>
              <w:rPr>
                <w:b/>
                <w:sz w:val="18"/>
              </w:rPr>
            </w:pPr>
            <w:r w:rsidRPr="0063100F">
              <w:rPr>
                <w:b/>
                <w:sz w:val="18"/>
              </w:rPr>
              <w:t>1.01</w:t>
            </w:r>
          </w:p>
        </w:tc>
        <w:tc>
          <w:tcPr>
            <w:tcW w:w="2551" w:type="dxa"/>
            <w:tcBorders>
              <w:top w:val="single" w:sz="4" w:space="0" w:color="auto"/>
              <w:bottom w:val="single" w:sz="12" w:space="0" w:color="auto"/>
            </w:tcBorders>
            <w:shd w:val="clear" w:color="auto" w:fill="auto"/>
            <w:noWrap/>
            <w:vAlign w:val="bottom"/>
            <w:hideMark/>
          </w:tcPr>
          <w:p w:rsidR="00C9789E" w:rsidRPr="0063100F" w:rsidRDefault="00C9789E" w:rsidP="0063100F">
            <w:pPr>
              <w:pStyle w:val="SingleTxtG"/>
              <w:spacing w:before="80" w:after="80" w:line="220" w:lineRule="exact"/>
              <w:ind w:left="0" w:right="113"/>
              <w:jc w:val="right"/>
              <w:rPr>
                <w:b/>
                <w:sz w:val="18"/>
              </w:rPr>
            </w:pPr>
            <w:r w:rsidRPr="0063100F">
              <w:rPr>
                <w:b/>
                <w:sz w:val="18"/>
              </w:rPr>
              <w:t>1.03</w:t>
            </w:r>
          </w:p>
        </w:tc>
      </w:tr>
    </w:tbl>
    <w:p w:rsidR="00796AEC" w:rsidRDefault="00C9789E" w:rsidP="00796AEC">
      <w:pPr>
        <w:pStyle w:val="Heading1"/>
        <w:keepNext/>
        <w:keepLines/>
      </w:pPr>
      <w:bookmarkStart w:id="70" w:name="_Toc494359793"/>
      <w:r w:rsidRPr="00F62F1C">
        <w:lastRenderedPageBreak/>
        <w:t>Figure 28</w:t>
      </w:r>
      <w:bookmarkEnd w:id="70"/>
    </w:p>
    <w:p w:rsidR="00C9789E" w:rsidRPr="00796AEC" w:rsidRDefault="00C9789E" w:rsidP="00706221">
      <w:pPr>
        <w:pStyle w:val="SingleTxtG"/>
        <w:rPr>
          <w:b/>
        </w:rPr>
      </w:pPr>
      <w:r w:rsidRPr="00796AEC">
        <w:rPr>
          <w:b/>
        </w:rPr>
        <w:t>Increased rate of adults receiving cardiovascular risk assessments between March 2013 and September 2015 (%)</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92"/>
        <w:gridCol w:w="752"/>
        <w:gridCol w:w="752"/>
        <w:gridCol w:w="752"/>
        <w:gridCol w:w="752"/>
        <w:gridCol w:w="752"/>
        <w:gridCol w:w="752"/>
        <w:gridCol w:w="752"/>
        <w:gridCol w:w="752"/>
        <w:gridCol w:w="752"/>
        <w:gridCol w:w="745"/>
      </w:tblGrid>
      <w:tr w:rsidR="00C9789E" w:rsidRPr="008F631C" w:rsidTr="00B77308">
        <w:trPr>
          <w:cantSplit/>
          <w:tblHeader/>
        </w:trPr>
        <w:tc>
          <w:tcPr>
            <w:tcW w:w="584" w:type="pct"/>
            <w:tcBorders>
              <w:top w:val="single" w:sz="4" w:space="0" w:color="auto"/>
              <w:bottom w:val="single" w:sz="12" w:space="0" w:color="auto"/>
            </w:tcBorders>
            <w:shd w:val="clear" w:color="auto" w:fill="auto"/>
            <w:noWrap/>
            <w:vAlign w:val="bottom"/>
            <w:hideMark/>
          </w:tcPr>
          <w:p w:rsidR="00C9789E" w:rsidRPr="008F631C" w:rsidRDefault="000C03A3" w:rsidP="008F631C">
            <w:pPr>
              <w:pStyle w:val="SingleTxtG"/>
              <w:spacing w:before="80" w:after="80" w:line="200" w:lineRule="exact"/>
              <w:ind w:left="0" w:right="113"/>
              <w:jc w:val="left"/>
              <w:rPr>
                <w:i/>
                <w:sz w:val="16"/>
              </w:rPr>
            </w:pPr>
            <w:r w:rsidRPr="008F631C">
              <w:rPr>
                <w:i/>
                <w:sz w:val="16"/>
              </w:rPr>
              <w:t xml:space="preserve"> </w:t>
            </w:r>
          </w:p>
        </w:tc>
        <w:tc>
          <w:tcPr>
            <w:tcW w:w="442" w:type="pct"/>
            <w:tcBorders>
              <w:top w:val="single" w:sz="4" w:space="0" w:color="auto"/>
              <w:bottom w:val="single" w:sz="12" w:space="0" w:color="auto"/>
            </w:tcBorders>
            <w:shd w:val="clear" w:color="auto" w:fill="auto"/>
            <w:noWrap/>
            <w:vAlign w:val="bottom"/>
            <w:hideMark/>
          </w:tcPr>
          <w:p w:rsidR="00C9789E" w:rsidRPr="008F631C" w:rsidRDefault="00C9789E" w:rsidP="00157CDB">
            <w:pPr>
              <w:pStyle w:val="SingleTxtG"/>
              <w:spacing w:before="80" w:after="80" w:line="200" w:lineRule="exact"/>
              <w:ind w:left="0" w:right="57"/>
              <w:jc w:val="right"/>
              <w:rPr>
                <w:i/>
                <w:sz w:val="16"/>
              </w:rPr>
            </w:pPr>
            <w:r w:rsidRPr="008F631C">
              <w:rPr>
                <w:i/>
                <w:sz w:val="16"/>
              </w:rPr>
              <w:t>Mar 2013</w:t>
            </w:r>
          </w:p>
        </w:tc>
        <w:tc>
          <w:tcPr>
            <w:tcW w:w="442" w:type="pct"/>
            <w:tcBorders>
              <w:top w:val="single" w:sz="4" w:space="0" w:color="auto"/>
              <w:bottom w:val="single" w:sz="12" w:space="0" w:color="auto"/>
            </w:tcBorders>
            <w:shd w:val="clear" w:color="auto" w:fill="auto"/>
            <w:noWrap/>
            <w:vAlign w:val="bottom"/>
            <w:hideMark/>
          </w:tcPr>
          <w:p w:rsidR="00C9789E" w:rsidRPr="008F631C" w:rsidRDefault="00C9789E" w:rsidP="00157CDB">
            <w:pPr>
              <w:pStyle w:val="SingleTxtG"/>
              <w:spacing w:before="80" w:after="80" w:line="200" w:lineRule="exact"/>
              <w:ind w:left="0" w:right="57"/>
              <w:jc w:val="right"/>
              <w:rPr>
                <w:i/>
                <w:sz w:val="16"/>
              </w:rPr>
            </w:pPr>
            <w:r w:rsidRPr="008F631C">
              <w:rPr>
                <w:i/>
                <w:sz w:val="16"/>
              </w:rPr>
              <w:t>Jun 2013</w:t>
            </w:r>
          </w:p>
        </w:tc>
        <w:tc>
          <w:tcPr>
            <w:tcW w:w="442" w:type="pct"/>
            <w:tcBorders>
              <w:top w:val="single" w:sz="4" w:space="0" w:color="auto"/>
              <w:bottom w:val="single" w:sz="12" w:space="0" w:color="auto"/>
            </w:tcBorders>
            <w:shd w:val="clear" w:color="auto" w:fill="auto"/>
            <w:noWrap/>
            <w:vAlign w:val="bottom"/>
            <w:hideMark/>
          </w:tcPr>
          <w:p w:rsidR="00C9789E" w:rsidRPr="008F631C" w:rsidRDefault="00C9789E" w:rsidP="00157CDB">
            <w:pPr>
              <w:pStyle w:val="SingleTxtG"/>
              <w:spacing w:before="80" w:after="80" w:line="200" w:lineRule="exact"/>
              <w:ind w:left="0" w:right="57"/>
              <w:jc w:val="right"/>
              <w:rPr>
                <w:i/>
                <w:sz w:val="16"/>
              </w:rPr>
            </w:pPr>
            <w:r w:rsidRPr="008F631C">
              <w:rPr>
                <w:i/>
                <w:sz w:val="16"/>
              </w:rPr>
              <w:t>Sep 2013</w:t>
            </w:r>
          </w:p>
        </w:tc>
        <w:tc>
          <w:tcPr>
            <w:tcW w:w="442" w:type="pct"/>
            <w:tcBorders>
              <w:top w:val="single" w:sz="4" w:space="0" w:color="auto"/>
              <w:bottom w:val="single" w:sz="12" w:space="0" w:color="auto"/>
            </w:tcBorders>
            <w:shd w:val="clear" w:color="auto" w:fill="auto"/>
            <w:noWrap/>
            <w:vAlign w:val="bottom"/>
            <w:hideMark/>
          </w:tcPr>
          <w:p w:rsidR="00C9789E" w:rsidRPr="008F631C" w:rsidRDefault="00C9789E" w:rsidP="00157CDB">
            <w:pPr>
              <w:pStyle w:val="SingleTxtG"/>
              <w:spacing w:before="80" w:after="80" w:line="200" w:lineRule="exact"/>
              <w:ind w:left="0" w:right="57"/>
              <w:jc w:val="right"/>
              <w:rPr>
                <w:i/>
                <w:sz w:val="16"/>
              </w:rPr>
            </w:pPr>
            <w:r w:rsidRPr="008F631C">
              <w:rPr>
                <w:i/>
                <w:sz w:val="16"/>
              </w:rPr>
              <w:t>Dec 2013</w:t>
            </w:r>
          </w:p>
        </w:tc>
        <w:tc>
          <w:tcPr>
            <w:tcW w:w="442" w:type="pct"/>
            <w:tcBorders>
              <w:top w:val="single" w:sz="4" w:space="0" w:color="auto"/>
              <w:bottom w:val="single" w:sz="12" w:space="0" w:color="auto"/>
            </w:tcBorders>
            <w:shd w:val="clear" w:color="auto" w:fill="auto"/>
            <w:noWrap/>
            <w:vAlign w:val="bottom"/>
            <w:hideMark/>
          </w:tcPr>
          <w:p w:rsidR="00C9789E" w:rsidRPr="008F631C" w:rsidRDefault="00C9789E" w:rsidP="00157CDB">
            <w:pPr>
              <w:pStyle w:val="SingleTxtG"/>
              <w:spacing w:before="80" w:after="80" w:line="200" w:lineRule="exact"/>
              <w:ind w:left="0" w:right="57"/>
              <w:jc w:val="right"/>
              <w:rPr>
                <w:i/>
                <w:sz w:val="16"/>
              </w:rPr>
            </w:pPr>
            <w:r w:rsidRPr="008F631C">
              <w:rPr>
                <w:i/>
                <w:sz w:val="16"/>
              </w:rPr>
              <w:t>Mar 2014</w:t>
            </w:r>
          </w:p>
        </w:tc>
        <w:tc>
          <w:tcPr>
            <w:tcW w:w="442" w:type="pct"/>
            <w:tcBorders>
              <w:top w:val="single" w:sz="4" w:space="0" w:color="auto"/>
              <w:bottom w:val="single" w:sz="12" w:space="0" w:color="auto"/>
            </w:tcBorders>
            <w:shd w:val="clear" w:color="auto" w:fill="auto"/>
            <w:noWrap/>
            <w:vAlign w:val="bottom"/>
            <w:hideMark/>
          </w:tcPr>
          <w:p w:rsidR="00C9789E" w:rsidRPr="008F631C" w:rsidRDefault="00C9789E" w:rsidP="00157CDB">
            <w:pPr>
              <w:pStyle w:val="SingleTxtG"/>
              <w:spacing w:before="80" w:after="80" w:line="200" w:lineRule="exact"/>
              <w:ind w:left="0" w:right="57"/>
              <w:jc w:val="right"/>
              <w:rPr>
                <w:i/>
                <w:sz w:val="16"/>
              </w:rPr>
            </w:pPr>
            <w:r w:rsidRPr="008F631C">
              <w:rPr>
                <w:i/>
                <w:sz w:val="16"/>
              </w:rPr>
              <w:t>Jun 2014</w:t>
            </w:r>
          </w:p>
        </w:tc>
        <w:tc>
          <w:tcPr>
            <w:tcW w:w="442" w:type="pct"/>
            <w:tcBorders>
              <w:top w:val="single" w:sz="4" w:space="0" w:color="auto"/>
              <w:bottom w:val="single" w:sz="12" w:space="0" w:color="auto"/>
            </w:tcBorders>
            <w:shd w:val="clear" w:color="auto" w:fill="auto"/>
            <w:noWrap/>
            <w:vAlign w:val="bottom"/>
            <w:hideMark/>
          </w:tcPr>
          <w:p w:rsidR="00C9789E" w:rsidRPr="008F631C" w:rsidRDefault="00C9789E" w:rsidP="00157CDB">
            <w:pPr>
              <w:pStyle w:val="SingleTxtG"/>
              <w:spacing w:before="80" w:after="80" w:line="200" w:lineRule="exact"/>
              <w:ind w:left="0" w:right="57"/>
              <w:jc w:val="right"/>
              <w:rPr>
                <w:i/>
                <w:sz w:val="16"/>
              </w:rPr>
            </w:pPr>
            <w:r w:rsidRPr="008F631C">
              <w:rPr>
                <w:i/>
                <w:sz w:val="16"/>
              </w:rPr>
              <w:t>Sep 2014</w:t>
            </w:r>
          </w:p>
        </w:tc>
        <w:tc>
          <w:tcPr>
            <w:tcW w:w="442" w:type="pct"/>
            <w:tcBorders>
              <w:top w:val="single" w:sz="4" w:space="0" w:color="auto"/>
              <w:bottom w:val="single" w:sz="12" w:space="0" w:color="auto"/>
            </w:tcBorders>
            <w:shd w:val="clear" w:color="auto" w:fill="auto"/>
            <w:noWrap/>
            <w:vAlign w:val="bottom"/>
            <w:hideMark/>
          </w:tcPr>
          <w:p w:rsidR="00C9789E" w:rsidRPr="008F631C" w:rsidRDefault="00C9789E" w:rsidP="00157CDB">
            <w:pPr>
              <w:pStyle w:val="SingleTxtG"/>
              <w:spacing w:before="80" w:after="80" w:line="200" w:lineRule="exact"/>
              <w:ind w:left="0" w:right="57"/>
              <w:jc w:val="right"/>
              <w:rPr>
                <w:i/>
                <w:sz w:val="16"/>
              </w:rPr>
            </w:pPr>
            <w:r w:rsidRPr="008F631C">
              <w:rPr>
                <w:i/>
                <w:sz w:val="16"/>
              </w:rPr>
              <w:t>Dec 2014</w:t>
            </w:r>
          </w:p>
        </w:tc>
        <w:tc>
          <w:tcPr>
            <w:tcW w:w="442" w:type="pct"/>
            <w:tcBorders>
              <w:top w:val="single" w:sz="4" w:space="0" w:color="auto"/>
              <w:bottom w:val="single" w:sz="12" w:space="0" w:color="auto"/>
            </w:tcBorders>
            <w:shd w:val="clear" w:color="auto" w:fill="auto"/>
            <w:noWrap/>
            <w:vAlign w:val="bottom"/>
            <w:hideMark/>
          </w:tcPr>
          <w:p w:rsidR="00C9789E" w:rsidRPr="008F631C" w:rsidRDefault="00C9789E" w:rsidP="00157CDB">
            <w:pPr>
              <w:pStyle w:val="SingleTxtG"/>
              <w:spacing w:before="80" w:after="80" w:line="200" w:lineRule="exact"/>
              <w:ind w:left="0" w:right="57"/>
              <w:jc w:val="right"/>
              <w:rPr>
                <w:i/>
                <w:sz w:val="16"/>
              </w:rPr>
            </w:pPr>
            <w:r w:rsidRPr="008F631C">
              <w:rPr>
                <w:i/>
                <w:sz w:val="16"/>
              </w:rPr>
              <w:t>Mar 2015</w:t>
            </w:r>
          </w:p>
        </w:tc>
        <w:tc>
          <w:tcPr>
            <w:tcW w:w="442" w:type="pct"/>
            <w:tcBorders>
              <w:top w:val="single" w:sz="4" w:space="0" w:color="auto"/>
              <w:bottom w:val="single" w:sz="12" w:space="0" w:color="auto"/>
            </w:tcBorders>
            <w:shd w:val="clear" w:color="auto" w:fill="auto"/>
            <w:noWrap/>
            <w:vAlign w:val="bottom"/>
            <w:hideMark/>
          </w:tcPr>
          <w:p w:rsidR="00C9789E" w:rsidRPr="008F631C" w:rsidRDefault="00C9789E" w:rsidP="00157CDB">
            <w:pPr>
              <w:pStyle w:val="SingleTxtG"/>
              <w:spacing w:before="80" w:after="80" w:line="200" w:lineRule="exact"/>
              <w:ind w:left="0" w:right="57"/>
              <w:jc w:val="right"/>
              <w:rPr>
                <w:i/>
                <w:sz w:val="16"/>
              </w:rPr>
            </w:pPr>
            <w:r w:rsidRPr="008F631C">
              <w:rPr>
                <w:i/>
                <w:sz w:val="16"/>
              </w:rPr>
              <w:t>Sep 2015</w:t>
            </w:r>
          </w:p>
        </w:tc>
      </w:tr>
      <w:tr w:rsidR="00C9789E" w:rsidRPr="008F631C" w:rsidTr="00B77308">
        <w:trPr>
          <w:cantSplit/>
        </w:trPr>
        <w:tc>
          <w:tcPr>
            <w:tcW w:w="584" w:type="pct"/>
            <w:tcBorders>
              <w:top w:val="single" w:sz="12" w:space="0" w:color="auto"/>
              <w:bottom w:val="single" w:sz="4" w:space="0" w:color="auto"/>
            </w:tcBorders>
            <w:shd w:val="clear" w:color="auto" w:fill="auto"/>
            <w:noWrap/>
            <w:hideMark/>
          </w:tcPr>
          <w:p w:rsidR="00C9789E" w:rsidRPr="008F631C" w:rsidRDefault="00C9789E" w:rsidP="008F631C">
            <w:pPr>
              <w:pStyle w:val="SingleTxtG"/>
              <w:spacing w:before="40" w:after="40" w:line="220" w:lineRule="exact"/>
              <w:ind w:left="0" w:right="113"/>
              <w:jc w:val="left"/>
              <w:rPr>
                <w:sz w:val="18"/>
              </w:rPr>
            </w:pPr>
            <w:r w:rsidRPr="008F631C">
              <w:rPr>
                <w:sz w:val="18"/>
              </w:rPr>
              <w:t>Pacific</w:t>
            </w:r>
          </w:p>
        </w:tc>
        <w:tc>
          <w:tcPr>
            <w:tcW w:w="442" w:type="pct"/>
            <w:tcBorders>
              <w:top w:val="single" w:sz="12" w:space="0" w:color="auto"/>
              <w:bottom w:val="single" w:sz="4" w:space="0" w:color="auto"/>
            </w:tcBorders>
            <w:shd w:val="clear" w:color="auto" w:fill="auto"/>
            <w:noWrap/>
            <w:vAlign w:val="bottom"/>
            <w:hideMark/>
          </w:tcPr>
          <w:p w:rsidR="00C9789E" w:rsidRPr="008F631C" w:rsidRDefault="00C9789E" w:rsidP="008F631C">
            <w:pPr>
              <w:pStyle w:val="SingleTxtG"/>
              <w:spacing w:before="40" w:after="40" w:line="220" w:lineRule="exact"/>
              <w:ind w:left="0" w:right="113"/>
              <w:jc w:val="right"/>
              <w:rPr>
                <w:sz w:val="18"/>
              </w:rPr>
            </w:pPr>
            <w:r w:rsidRPr="008F631C">
              <w:rPr>
                <w:sz w:val="18"/>
              </w:rPr>
              <w:t>65.3</w:t>
            </w:r>
          </w:p>
        </w:tc>
        <w:tc>
          <w:tcPr>
            <w:tcW w:w="442" w:type="pct"/>
            <w:tcBorders>
              <w:top w:val="single" w:sz="12" w:space="0" w:color="auto"/>
              <w:bottom w:val="single" w:sz="4" w:space="0" w:color="auto"/>
            </w:tcBorders>
            <w:shd w:val="clear" w:color="auto" w:fill="auto"/>
            <w:noWrap/>
            <w:vAlign w:val="bottom"/>
            <w:hideMark/>
          </w:tcPr>
          <w:p w:rsidR="00C9789E" w:rsidRPr="008F631C" w:rsidRDefault="00C9789E" w:rsidP="008F631C">
            <w:pPr>
              <w:pStyle w:val="SingleTxtG"/>
              <w:spacing w:before="40" w:after="40" w:line="220" w:lineRule="exact"/>
              <w:ind w:left="0" w:right="113"/>
              <w:jc w:val="right"/>
              <w:rPr>
                <w:sz w:val="18"/>
              </w:rPr>
            </w:pPr>
            <w:r w:rsidRPr="008F631C">
              <w:rPr>
                <w:sz w:val="18"/>
              </w:rPr>
              <w:t>74.3</w:t>
            </w:r>
          </w:p>
        </w:tc>
        <w:tc>
          <w:tcPr>
            <w:tcW w:w="442" w:type="pct"/>
            <w:tcBorders>
              <w:top w:val="single" w:sz="12" w:space="0" w:color="auto"/>
              <w:bottom w:val="single" w:sz="4" w:space="0" w:color="auto"/>
            </w:tcBorders>
            <w:shd w:val="clear" w:color="auto" w:fill="auto"/>
            <w:noWrap/>
            <w:vAlign w:val="bottom"/>
            <w:hideMark/>
          </w:tcPr>
          <w:p w:rsidR="00C9789E" w:rsidRPr="008F631C" w:rsidRDefault="00C9789E" w:rsidP="008F631C">
            <w:pPr>
              <w:pStyle w:val="SingleTxtG"/>
              <w:spacing w:before="40" w:after="40" w:line="220" w:lineRule="exact"/>
              <w:ind w:left="0" w:right="113"/>
              <w:jc w:val="right"/>
              <w:rPr>
                <w:sz w:val="18"/>
              </w:rPr>
            </w:pPr>
            <w:r w:rsidRPr="008F631C">
              <w:rPr>
                <w:sz w:val="18"/>
              </w:rPr>
              <w:t>75.5</w:t>
            </w:r>
          </w:p>
        </w:tc>
        <w:tc>
          <w:tcPr>
            <w:tcW w:w="442" w:type="pct"/>
            <w:tcBorders>
              <w:top w:val="single" w:sz="12" w:space="0" w:color="auto"/>
              <w:bottom w:val="single" w:sz="4" w:space="0" w:color="auto"/>
            </w:tcBorders>
            <w:shd w:val="clear" w:color="auto" w:fill="auto"/>
            <w:noWrap/>
            <w:vAlign w:val="bottom"/>
            <w:hideMark/>
          </w:tcPr>
          <w:p w:rsidR="00C9789E" w:rsidRPr="008F631C" w:rsidRDefault="00C9789E" w:rsidP="008F631C">
            <w:pPr>
              <w:pStyle w:val="SingleTxtG"/>
              <w:spacing w:before="40" w:after="40" w:line="220" w:lineRule="exact"/>
              <w:ind w:left="0" w:right="113"/>
              <w:jc w:val="right"/>
              <w:rPr>
                <w:sz w:val="18"/>
              </w:rPr>
            </w:pPr>
            <w:r w:rsidRPr="008F631C">
              <w:rPr>
                <w:sz w:val="18"/>
              </w:rPr>
              <w:t>78.5</w:t>
            </w:r>
          </w:p>
        </w:tc>
        <w:tc>
          <w:tcPr>
            <w:tcW w:w="442" w:type="pct"/>
            <w:tcBorders>
              <w:top w:val="single" w:sz="12" w:space="0" w:color="auto"/>
              <w:bottom w:val="single" w:sz="4" w:space="0" w:color="auto"/>
            </w:tcBorders>
            <w:shd w:val="clear" w:color="auto" w:fill="auto"/>
            <w:noWrap/>
            <w:vAlign w:val="bottom"/>
            <w:hideMark/>
          </w:tcPr>
          <w:p w:rsidR="00C9789E" w:rsidRPr="008F631C" w:rsidRDefault="00C9789E" w:rsidP="008F631C">
            <w:pPr>
              <w:pStyle w:val="SingleTxtG"/>
              <w:spacing w:before="40" w:after="40" w:line="220" w:lineRule="exact"/>
              <w:ind w:left="0" w:right="113"/>
              <w:jc w:val="right"/>
              <w:rPr>
                <w:sz w:val="18"/>
              </w:rPr>
            </w:pPr>
            <w:r w:rsidRPr="008F631C">
              <w:rPr>
                <w:sz w:val="18"/>
              </w:rPr>
              <w:t>80.7</w:t>
            </w:r>
          </w:p>
        </w:tc>
        <w:tc>
          <w:tcPr>
            <w:tcW w:w="442" w:type="pct"/>
            <w:tcBorders>
              <w:top w:val="single" w:sz="12" w:space="0" w:color="auto"/>
              <w:bottom w:val="single" w:sz="4" w:space="0" w:color="auto"/>
            </w:tcBorders>
            <w:shd w:val="clear" w:color="auto" w:fill="auto"/>
            <w:noWrap/>
            <w:vAlign w:val="bottom"/>
            <w:hideMark/>
          </w:tcPr>
          <w:p w:rsidR="00C9789E" w:rsidRPr="008F631C" w:rsidRDefault="00C9789E" w:rsidP="008F631C">
            <w:pPr>
              <w:pStyle w:val="SingleTxtG"/>
              <w:spacing w:before="40" w:after="40" w:line="220" w:lineRule="exact"/>
              <w:ind w:left="0" w:right="113"/>
              <w:jc w:val="right"/>
              <w:rPr>
                <w:sz w:val="18"/>
              </w:rPr>
            </w:pPr>
            <w:r w:rsidRPr="008F631C">
              <w:rPr>
                <w:sz w:val="18"/>
              </w:rPr>
              <w:t>86.4</w:t>
            </w:r>
          </w:p>
        </w:tc>
        <w:tc>
          <w:tcPr>
            <w:tcW w:w="442" w:type="pct"/>
            <w:tcBorders>
              <w:top w:val="single" w:sz="12" w:space="0" w:color="auto"/>
              <w:bottom w:val="single" w:sz="4" w:space="0" w:color="auto"/>
            </w:tcBorders>
            <w:shd w:val="clear" w:color="auto" w:fill="auto"/>
            <w:noWrap/>
            <w:vAlign w:val="bottom"/>
            <w:hideMark/>
          </w:tcPr>
          <w:p w:rsidR="00C9789E" w:rsidRPr="008F631C" w:rsidRDefault="00C9789E" w:rsidP="008F631C">
            <w:pPr>
              <w:pStyle w:val="SingleTxtG"/>
              <w:spacing w:before="40" w:after="40" w:line="220" w:lineRule="exact"/>
              <w:ind w:left="0" w:right="113"/>
              <w:jc w:val="right"/>
              <w:rPr>
                <w:sz w:val="18"/>
              </w:rPr>
            </w:pPr>
            <w:r w:rsidRPr="008F631C">
              <w:rPr>
                <w:sz w:val="18"/>
              </w:rPr>
              <w:t>86.7</w:t>
            </w:r>
          </w:p>
        </w:tc>
        <w:tc>
          <w:tcPr>
            <w:tcW w:w="442" w:type="pct"/>
            <w:tcBorders>
              <w:top w:val="single" w:sz="12" w:space="0" w:color="auto"/>
              <w:bottom w:val="single" w:sz="4" w:space="0" w:color="auto"/>
            </w:tcBorders>
            <w:shd w:val="clear" w:color="auto" w:fill="auto"/>
            <w:noWrap/>
            <w:vAlign w:val="bottom"/>
            <w:hideMark/>
          </w:tcPr>
          <w:p w:rsidR="00C9789E" w:rsidRPr="008F631C" w:rsidRDefault="00C9789E" w:rsidP="008F631C">
            <w:pPr>
              <w:pStyle w:val="SingleTxtG"/>
              <w:spacing w:before="40" w:after="40" w:line="220" w:lineRule="exact"/>
              <w:ind w:left="0" w:right="113"/>
              <w:jc w:val="right"/>
              <w:rPr>
                <w:sz w:val="18"/>
              </w:rPr>
            </w:pPr>
            <w:r w:rsidRPr="008F631C">
              <w:rPr>
                <w:sz w:val="18"/>
              </w:rPr>
              <w:t>87.3</w:t>
            </w:r>
          </w:p>
        </w:tc>
        <w:tc>
          <w:tcPr>
            <w:tcW w:w="442" w:type="pct"/>
            <w:tcBorders>
              <w:top w:val="single" w:sz="12" w:space="0" w:color="auto"/>
              <w:bottom w:val="single" w:sz="4" w:space="0" w:color="auto"/>
            </w:tcBorders>
            <w:shd w:val="clear" w:color="auto" w:fill="auto"/>
            <w:noWrap/>
            <w:vAlign w:val="bottom"/>
            <w:hideMark/>
          </w:tcPr>
          <w:p w:rsidR="00C9789E" w:rsidRPr="008F631C" w:rsidRDefault="00C9789E" w:rsidP="008F631C">
            <w:pPr>
              <w:pStyle w:val="SingleTxtG"/>
              <w:spacing w:before="40" w:after="40" w:line="220" w:lineRule="exact"/>
              <w:ind w:left="0" w:right="113"/>
              <w:jc w:val="right"/>
              <w:rPr>
                <w:sz w:val="18"/>
              </w:rPr>
            </w:pPr>
            <w:r w:rsidRPr="008F631C">
              <w:rPr>
                <w:sz w:val="18"/>
              </w:rPr>
              <w:t>87.9</w:t>
            </w:r>
          </w:p>
        </w:tc>
        <w:tc>
          <w:tcPr>
            <w:tcW w:w="442" w:type="pct"/>
            <w:tcBorders>
              <w:top w:val="single" w:sz="12" w:space="0" w:color="auto"/>
              <w:bottom w:val="single" w:sz="4" w:space="0" w:color="auto"/>
            </w:tcBorders>
            <w:shd w:val="clear" w:color="auto" w:fill="auto"/>
            <w:noWrap/>
            <w:vAlign w:val="bottom"/>
            <w:hideMark/>
          </w:tcPr>
          <w:p w:rsidR="00C9789E" w:rsidRPr="008F631C" w:rsidRDefault="00C9789E" w:rsidP="008F631C">
            <w:pPr>
              <w:pStyle w:val="SingleTxtG"/>
              <w:spacing w:before="40" w:after="40" w:line="220" w:lineRule="exact"/>
              <w:ind w:left="0" w:right="113"/>
              <w:jc w:val="right"/>
              <w:rPr>
                <w:sz w:val="18"/>
              </w:rPr>
            </w:pPr>
            <w:r w:rsidRPr="008F631C">
              <w:rPr>
                <w:sz w:val="18"/>
              </w:rPr>
              <w:t>89.2</w:t>
            </w:r>
          </w:p>
        </w:tc>
      </w:tr>
      <w:tr w:rsidR="00C9789E" w:rsidRPr="008F631C" w:rsidTr="00B77308">
        <w:trPr>
          <w:cantSplit/>
        </w:trPr>
        <w:tc>
          <w:tcPr>
            <w:tcW w:w="584" w:type="pct"/>
            <w:tcBorders>
              <w:top w:val="single" w:sz="4" w:space="0" w:color="auto"/>
              <w:bottom w:val="single" w:sz="12" w:space="0" w:color="auto"/>
            </w:tcBorders>
            <w:shd w:val="clear" w:color="auto" w:fill="auto"/>
            <w:noWrap/>
            <w:hideMark/>
          </w:tcPr>
          <w:p w:rsidR="00C9789E" w:rsidRPr="00157CDB" w:rsidRDefault="00C9789E" w:rsidP="00157CDB">
            <w:pPr>
              <w:pStyle w:val="SingleTxtG"/>
              <w:spacing w:before="80" w:after="80" w:line="220" w:lineRule="exact"/>
              <w:ind w:left="0" w:right="113"/>
              <w:jc w:val="right"/>
              <w:rPr>
                <w:b/>
                <w:sz w:val="18"/>
              </w:rPr>
            </w:pPr>
            <w:r w:rsidRPr="00157CDB">
              <w:rPr>
                <w:b/>
                <w:sz w:val="18"/>
              </w:rPr>
              <w:t>Total New Zealand</w:t>
            </w:r>
          </w:p>
        </w:tc>
        <w:tc>
          <w:tcPr>
            <w:tcW w:w="442" w:type="pct"/>
            <w:tcBorders>
              <w:top w:val="single" w:sz="4" w:space="0" w:color="auto"/>
              <w:bottom w:val="single" w:sz="12" w:space="0" w:color="auto"/>
            </w:tcBorders>
            <w:shd w:val="clear" w:color="auto" w:fill="auto"/>
            <w:noWrap/>
            <w:vAlign w:val="bottom"/>
            <w:hideMark/>
          </w:tcPr>
          <w:p w:rsidR="00C9789E" w:rsidRPr="00157CDB" w:rsidRDefault="00C9789E" w:rsidP="00157CDB">
            <w:pPr>
              <w:pStyle w:val="SingleTxtG"/>
              <w:spacing w:before="80" w:after="80" w:line="220" w:lineRule="exact"/>
              <w:ind w:left="0" w:right="113"/>
              <w:jc w:val="right"/>
              <w:rPr>
                <w:b/>
                <w:sz w:val="18"/>
              </w:rPr>
            </w:pPr>
            <w:r w:rsidRPr="00157CDB">
              <w:rPr>
                <w:b/>
                <w:sz w:val="18"/>
              </w:rPr>
              <w:t>58.8</w:t>
            </w:r>
          </w:p>
        </w:tc>
        <w:tc>
          <w:tcPr>
            <w:tcW w:w="442" w:type="pct"/>
            <w:tcBorders>
              <w:top w:val="single" w:sz="4" w:space="0" w:color="auto"/>
              <w:bottom w:val="single" w:sz="12" w:space="0" w:color="auto"/>
            </w:tcBorders>
            <w:shd w:val="clear" w:color="auto" w:fill="auto"/>
            <w:noWrap/>
            <w:vAlign w:val="bottom"/>
            <w:hideMark/>
          </w:tcPr>
          <w:p w:rsidR="00C9789E" w:rsidRPr="00157CDB" w:rsidRDefault="00C9789E" w:rsidP="00157CDB">
            <w:pPr>
              <w:pStyle w:val="SingleTxtG"/>
              <w:spacing w:before="80" w:after="80" w:line="220" w:lineRule="exact"/>
              <w:ind w:left="0" w:right="113"/>
              <w:jc w:val="right"/>
              <w:rPr>
                <w:b/>
                <w:sz w:val="18"/>
              </w:rPr>
            </w:pPr>
            <w:r w:rsidRPr="00157CDB">
              <w:rPr>
                <w:b/>
                <w:sz w:val="18"/>
              </w:rPr>
              <w:t>67.1</w:t>
            </w:r>
          </w:p>
        </w:tc>
        <w:tc>
          <w:tcPr>
            <w:tcW w:w="442" w:type="pct"/>
            <w:tcBorders>
              <w:top w:val="single" w:sz="4" w:space="0" w:color="auto"/>
              <w:bottom w:val="single" w:sz="12" w:space="0" w:color="auto"/>
            </w:tcBorders>
            <w:shd w:val="clear" w:color="auto" w:fill="auto"/>
            <w:noWrap/>
            <w:vAlign w:val="bottom"/>
            <w:hideMark/>
          </w:tcPr>
          <w:p w:rsidR="00C9789E" w:rsidRPr="00157CDB" w:rsidRDefault="00C9789E" w:rsidP="00157CDB">
            <w:pPr>
              <w:pStyle w:val="SingleTxtG"/>
              <w:spacing w:before="80" w:after="80" w:line="220" w:lineRule="exact"/>
              <w:ind w:left="0" w:right="113"/>
              <w:jc w:val="right"/>
              <w:rPr>
                <w:b/>
                <w:sz w:val="18"/>
              </w:rPr>
            </w:pPr>
            <w:r w:rsidRPr="00157CDB">
              <w:rPr>
                <w:b/>
                <w:sz w:val="18"/>
              </w:rPr>
              <w:t>69.1</w:t>
            </w:r>
          </w:p>
        </w:tc>
        <w:tc>
          <w:tcPr>
            <w:tcW w:w="442" w:type="pct"/>
            <w:tcBorders>
              <w:top w:val="single" w:sz="4" w:space="0" w:color="auto"/>
              <w:bottom w:val="single" w:sz="12" w:space="0" w:color="auto"/>
            </w:tcBorders>
            <w:shd w:val="clear" w:color="auto" w:fill="auto"/>
            <w:noWrap/>
            <w:vAlign w:val="bottom"/>
            <w:hideMark/>
          </w:tcPr>
          <w:p w:rsidR="00C9789E" w:rsidRPr="00157CDB" w:rsidRDefault="00C9789E" w:rsidP="00157CDB">
            <w:pPr>
              <w:pStyle w:val="SingleTxtG"/>
              <w:spacing w:before="80" w:after="80" w:line="220" w:lineRule="exact"/>
              <w:ind w:left="0" w:right="113"/>
              <w:jc w:val="right"/>
              <w:rPr>
                <w:b/>
                <w:sz w:val="18"/>
              </w:rPr>
            </w:pPr>
            <w:r w:rsidRPr="00157CDB">
              <w:rPr>
                <w:b/>
                <w:sz w:val="18"/>
              </w:rPr>
              <w:t>73.0</w:t>
            </w:r>
          </w:p>
        </w:tc>
        <w:tc>
          <w:tcPr>
            <w:tcW w:w="442" w:type="pct"/>
            <w:tcBorders>
              <w:top w:val="single" w:sz="4" w:space="0" w:color="auto"/>
              <w:bottom w:val="single" w:sz="12" w:space="0" w:color="auto"/>
            </w:tcBorders>
            <w:shd w:val="clear" w:color="auto" w:fill="auto"/>
            <w:noWrap/>
            <w:vAlign w:val="bottom"/>
            <w:hideMark/>
          </w:tcPr>
          <w:p w:rsidR="00C9789E" w:rsidRPr="00157CDB" w:rsidRDefault="00C9789E" w:rsidP="00157CDB">
            <w:pPr>
              <w:pStyle w:val="SingleTxtG"/>
              <w:spacing w:before="80" w:after="80" w:line="220" w:lineRule="exact"/>
              <w:ind w:left="0" w:right="113"/>
              <w:jc w:val="right"/>
              <w:rPr>
                <w:b/>
                <w:sz w:val="18"/>
              </w:rPr>
            </w:pPr>
            <w:r w:rsidRPr="00157CDB">
              <w:rPr>
                <w:b/>
                <w:sz w:val="18"/>
              </w:rPr>
              <w:t>77.6</w:t>
            </w:r>
          </w:p>
        </w:tc>
        <w:tc>
          <w:tcPr>
            <w:tcW w:w="442" w:type="pct"/>
            <w:tcBorders>
              <w:top w:val="single" w:sz="4" w:space="0" w:color="auto"/>
              <w:bottom w:val="single" w:sz="12" w:space="0" w:color="auto"/>
            </w:tcBorders>
            <w:shd w:val="clear" w:color="auto" w:fill="auto"/>
            <w:noWrap/>
            <w:vAlign w:val="bottom"/>
            <w:hideMark/>
          </w:tcPr>
          <w:p w:rsidR="00C9789E" w:rsidRPr="00157CDB" w:rsidRDefault="00C9789E" w:rsidP="00157CDB">
            <w:pPr>
              <w:pStyle w:val="SingleTxtG"/>
              <w:spacing w:before="80" w:after="80" w:line="220" w:lineRule="exact"/>
              <w:ind w:left="0" w:right="113"/>
              <w:jc w:val="right"/>
              <w:rPr>
                <w:b/>
                <w:sz w:val="18"/>
              </w:rPr>
            </w:pPr>
            <w:r w:rsidRPr="00157CDB">
              <w:rPr>
                <w:b/>
                <w:sz w:val="18"/>
              </w:rPr>
              <w:t>83.7</w:t>
            </w:r>
          </w:p>
        </w:tc>
        <w:tc>
          <w:tcPr>
            <w:tcW w:w="442" w:type="pct"/>
            <w:tcBorders>
              <w:top w:val="single" w:sz="4" w:space="0" w:color="auto"/>
              <w:bottom w:val="single" w:sz="12" w:space="0" w:color="auto"/>
            </w:tcBorders>
            <w:shd w:val="clear" w:color="auto" w:fill="auto"/>
            <w:noWrap/>
            <w:vAlign w:val="bottom"/>
            <w:hideMark/>
          </w:tcPr>
          <w:p w:rsidR="00C9789E" w:rsidRPr="00157CDB" w:rsidRDefault="00C9789E" w:rsidP="00157CDB">
            <w:pPr>
              <w:pStyle w:val="SingleTxtG"/>
              <w:spacing w:before="80" w:after="80" w:line="220" w:lineRule="exact"/>
              <w:ind w:left="0" w:right="113"/>
              <w:jc w:val="right"/>
              <w:rPr>
                <w:b/>
                <w:sz w:val="18"/>
              </w:rPr>
            </w:pPr>
            <w:r w:rsidRPr="00157CDB">
              <w:rPr>
                <w:b/>
                <w:sz w:val="18"/>
              </w:rPr>
              <w:t>84.9</w:t>
            </w:r>
          </w:p>
        </w:tc>
        <w:tc>
          <w:tcPr>
            <w:tcW w:w="442" w:type="pct"/>
            <w:tcBorders>
              <w:top w:val="single" w:sz="4" w:space="0" w:color="auto"/>
              <w:bottom w:val="single" w:sz="12" w:space="0" w:color="auto"/>
            </w:tcBorders>
            <w:shd w:val="clear" w:color="auto" w:fill="auto"/>
            <w:noWrap/>
            <w:vAlign w:val="bottom"/>
            <w:hideMark/>
          </w:tcPr>
          <w:p w:rsidR="00C9789E" w:rsidRPr="00157CDB" w:rsidRDefault="00C9789E" w:rsidP="00157CDB">
            <w:pPr>
              <w:pStyle w:val="SingleTxtG"/>
              <w:spacing w:before="80" w:after="80" w:line="220" w:lineRule="exact"/>
              <w:ind w:left="0" w:right="113"/>
              <w:jc w:val="right"/>
              <w:rPr>
                <w:b/>
                <w:sz w:val="18"/>
              </w:rPr>
            </w:pPr>
            <w:r w:rsidRPr="00157CDB">
              <w:rPr>
                <w:b/>
                <w:sz w:val="18"/>
              </w:rPr>
              <w:t>86.1</w:t>
            </w:r>
          </w:p>
        </w:tc>
        <w:tc>
          <w:tcPr>
            <w:tcW w:w="442" w:type="pct"/>
            <w:tcBorders>
              <w:top w:val="single" w:sz="4" w:space="0" w:color="auto"/>
              <w:bottom w:val="single" w:sz="12" w:space="0" w:color="auto"/>
            </w:tcBorders>
            <w:shd w:val="clear" w:color="auto" w:fill="auto"/>
            <w:noWrap/>
            <w:vAlign w:val="bottom"/>
            <w:hideMark/>
          </w:tcPr>
          <w:p w:rsidR="00C9789E" w:rsidRPr="00157CDB" w:rsidRDefault="00C9789E" w:rsidP="00157CDB">
            <w:pPr>
              <w:pStyle w:val="SingleTxtG"/>
              <w:spacing w:before="80" w:after="80" w:line="220" w:lineRule="exact"/>
              <w:ind w:left="0" w:right="113"/>
              <w:jc w:val="right"/>
              <w:rPr>
                <w:b/>
                <w:sz w:val="18"/>
              </w:rPr>
            </w:pPr>
            <w:r w:rsidRPr="00157CDB">
              <w:rPr>
                <w:b/>
                <w:sz w:val="18"/>
              </w:rPr>
              <w:t>86.9</w:t>
            </w:r>
          </w:p>
        </w:tc>
        <w:tc>
          <w:tcPr>
            <w:tcW w:w="442" w:type="pct"/>
            <w:tcBorders>
              <w:top w:val="single" w:sz="4" w:space="0" w:color="auto"/>
              <w:bottom w:val="single" w:sz="12" w:space="0" w:color="auto"/>
            </w:tcBorders>
            <w:shd w:val="clear" w:color="auto" w:fill="auto"/>
            <w:noWrap/>
            <w:vAlign w:val="bottom"/>
            <w:hideMark/>
          </w:tcPr>
          <w:p w:rsidR="00C9789E" w:rsidRPr="00157CDB" w:rsidRDefault="00C9789E" w:rsidP="00157CDB">
            <w:pPr>
              <w:pStyle w:val="SingleTxtG"/>
              <w:spacing w:before="80" w:after="80" w:line="220" w:lineRule="exact"/>
              <w:ind w:left="0" w:right="113"/>
              <w:jc w:val="right"/>
              <w:rPr>
                <w:b/>
                <w:sz w:val="18"/>
              </w:rPr>
            </w:pPr>
            <w:r w:rsidRPr="00157CDB">
              <w:rPr>
                <w:b/>
                <w:sz w:val="18"/>
              </w:rPr>
              <w:t>89.8</w:t>
            </w:r>
          </w:p>
        </w:tc>
      </w:tr>
    </w:tbl>
    <w:p w:rsidR="00C9789E" w:rsidRPr="00F94AAD" w:rsidRDefault="00C9789E" w:rsidP="00F94AAD">
      <w:pPr>
        <w:spacing w:before="120" w:line="240" w:lineRule="atLeast"/>
        <w:ind w:left="1134" w:right="1134" w:firstLine="170"/>
        <w:rPr>
          <w:sz w:val="18"/>
        </w:rPr>
      </w:pPr>
      <w:r w:rsidRPr="00F94AAD">
        <w:rPr>
          <w:sz w:val="18"/>
        </w:rPr>
        <w:t>Interventions by the Government to improve access to health services</w:t>
      </w:r>
      <w:r w:rsidR="00F94AAD" w:rsidRPr="00F94AAD">
        <w:rPr>
          <w:sz w:val="18"/>
        </w:rPr>
        <w:t>.</w:t>
      </w:r>
    </w:p>
    <w:p w:rsidR="00C9789E" w:rsidRPr="00F62F1C" w:rsidRDefault="00C9789E" w:rsidP="00F94AAD">
      <w:pPr>
        <w:pStyle w:val="H23G"/>
      </w:pPr>
      <w:r w:rsidRPr="00F62F1C">
        <w:tab/>
      </w:r>
      <w:r w:rsidRPr="00F62F1C">
        <w:tab/>
        <w:t>Zero Fees for Under-13s</w:t>
      </w:r>
    </w:p>
    <w:p w:rsidR="00C9789E" w:rsidRPr="00F62F1C" w:rsidRDefault="00C9789E" w:rsidP="00706221">
      <w:pPr>
        <w:pStyle w:val="SingleTxtG"/>
      </w:pPr>
      <w:r w:rsidRPr="00F62F1C">
        <w:t>205.</w:t>
      </w:r>
      <w:r w:rsidRPr="00F62F1C">
        <w:tab/>
        <w:t>From 1 July 2015, all children aged under 13 who are eligible for publicly funded health services became eligible for free general practice visits and exemption from the standard $5 prescription charge. District Health Boards are also required to ensure that children aged under 13 can access zero-fee after-hours care and prescription medicines within reasonable travel time (maximum of one hour).</w:t>
      </w:r>
    </w:p>
    <w:p w:rsidR="00C9789E" w:rsidRPr="00F62F1C" w:rsidRDefault="00C9789E" w:rsidP="00706221">
      <w:pPr>
        <w:pStyle w:val="SingleTxtG"/>
      </w:pPr>
      <w:r w:rsidRPr="00F62F1C">
        <w:t>206.</w:t>
      </w:r>
      <w:r w:rsidRPr="00F62F1C">
        <w:tab/>
        <w:t>The average number of visits for under-13s has increased almost 14 percent between July and December 2016, compared with the same period in 2014.</w:t>
      </w:r>
      <w:r w:rsidR="0023775B">
        <w:t xml:space="preserve"> </w:t>
      </w:r>
      <w:r w:rsidRPr="00F62F1C">
        <w:t>The data shows that more Maori and Pacific children are being seen by their enrolled GP.</w:t>
      </w:r>
      <w:r w:rsidR="0023775B">
        <w:t xml:space="preserve"> </w:t>
      </w:r>
      <w:r w:rsidRPr="00F62F1C">
        <w:t>There was a 14.9 percent increase in visits for Maori children and an 11.1 percent increase in visits for Pacific children between July and December 2016, compared with the same period in 2014.</w:t>
      </w:r>
    </w:p>
    <w:p w:rsidR="00C9789E" w:rsidRPr="00F62F1C" w:rsidRDefault="00C9789E" w:rsidP="00394EE2">
      <w:pPr>
        <w:pStyle w:val="H23G"/>
      </w:pPr>
      <w:r w:rsidRPr="00F62F1C">
        <w:tab/>
      </w:r>
      <w:r w:rsidRPr="00F62F1C">
        <w:tab/>
        <w:t>Interventions by the Government to address health inequities</w:t>
      </w:r>
    </w:p>
    <w:p w:rsidR="00C9789E" w:rsidRPr="00F62F1C" w:rsidRDefault="00C9789E" w:rsidP="00394EE2">
      <w:pPr>
        <w:pStyle w:val="H4G"/>
      </w:pPr>
      <w:r w:rsidRPr="00F62F1C">
        <w:tab/>
      </w:r>
      <w:r w:rsidRPr="00F62F1C">
        <w:tab/>
        <w:t>The Childhood Obesity programme</w:t>
      </w:r>
    </w:p>
    <w:p w:rsidR="00C9789E" w:rsidRPr="00F62F1C" w:rsidRDefault="00C9789E" w:rsidP="00706221">
      <w:pPr>
        <w:pStyle w:val="SingleTxtG"/>
      </w:pPr>
      <w:r w:rsidRPr="00F62F1C">
        <w:t>207.</w:t>
      </w:r>
      <w:r w:rsidRPr="00F62F1C">
        <w:tab/>
        <w:t>The programme includes the Raising Healthy Kids health target that focuses on intervening in the early stages of life to ensure positive, sustained effects on health.</w:t>
      </w:r>
      <w:r w:rsidR="0023775B">
        <w:t xml:space="preserve"> </w:t>
      </w:r>
      <w:r w:rsidRPr="00F62F1C">
        <w:t>The target is that by December 2017, 95 percent of obese children identified in the B4 School Check (B4SC) programme will be offered a referral to a health professional for clinical assessment and family based nutrition, activity and lifestyle interventions.</w:t>
      </w:r>
      <w:r w:rsidR="0023775B">
        <w:t xml:space="preserve"> </w:t>
      </w:r>
      <w:r w:rsidRPr="00F62F1C">
        <w:t>The target will ensure four-year-olds identified as obese while getting their B4SC will be offered a referral to manage any medical complication and any services they and their family may find helpful to support healthy eating and activity.</w:t>
      </w:r>
      <w:r w:rsidR="0023775B">
        <w:t xml:space="preserve"> </w:t>
      </w:r>
    </w:p>
    <w:p w:rsidR="00C9789E" w:rsidRPr="00F62F1C" w:rsidRDefault="00C9789E" w:rsidP="00706221">
      <w:pPr>
        <w:pStyle w:val="SingleTxtG"/>
      </w:pPr>
      <w:r w:rsidRPr="00F62F1C">
        <w:t>208.</w:t>
      </w:r>
      <w:r w:rsidRPr="00F62F1C">
        <w:tab/>
        <w:t>For quarter three of the target, of children identified as obese at their B4SC, 86 percent were referred to a health professional for clinical assessment and family based nutrition, activity and lifestyle interventions.</w:t>
      </w:r>
      <w:r w:rsidR="0023775B">
        <w:t xml:space="preserve"> </w:t>
      </w:r>
      <w:r w:rsidRPr="00F62F1C">
        <w:t>Of these referrals, 93 percent of Pasifika children identified as obese were referred and 83 percent of Māori children identified as obese were referred.</w:t>
      </w:r>
      <w:r w:rsidR="0023775B">
        <w:t xml:space="preserve"> </w:t>
      </w:r>
      <w:r w:rsidRPr="00F62F1C">
        <w:t>Data is based on all acknowledged referrals for obese children up to the end of the quarter from B4SC</w:t>
      </w:r>
      <w:r w:rsidR="00D34D95">
        <w:t>’</w:t>
      </w:r>
      <w:r w:rsidRPr="00F62F1C">
        <w:t>s occurring in the six months between 1 September 2016 and 28 February 2017.</w:t>
      </w:r>
    </w:p>
    <w:p w:rsidR="00C9789E" w:rsidRPr="00F62F1C" w:rsidRDefault="00C9789E" w:rsidP="00811207">
      <w:pPr>
        <w:pStyle w:val="H4G"/>
      </w:pPr>
      <w:r w:rsidRPr="00F62F1C">
        <w:tab/>
      </w:r>
      <w:r w:rsidRPr="00F62F1C">
        <w:tab/>
        <w:t xml:space="preserve">The Rheumatic Fever Prevention Programme </w:t>
      </w:r>
    </w:p>
    <w:p w:rsidR="00C9789E" w:rsidRPr="00F62F1C" w:rsidRDefault="00C9789E" w:rsidP="00706221">
      <w:pPr>
        <w:pStyle w:val="SingleTxtG"/>
      </w:pPr>
      <w:r w:rsidRPr="00F62F1C">
        <w:t>209.</w:t>
      </w:r>
      <w:r w:rsidRPr="00F62F1C">
        <w:tab/>
        <w:t>This programme aims to prevent and treat strep throat infections, which can lead to rheumatic fever. There has been a 23 percent statistically significant decrease from the beginning of the programme in 2012 to 2016</w:t>
      </w:r>
      <w:r w:rsidR="00DA32B5">
        <w:t>.</w:t>
      </w:r>
      <w:r w:rsidRPr="00706221">
        <w:rPr>
          <w:rStyle w:val="FootnoteReference"/>
        </w:rPr>
        <w:footnoteReference w:id="42"/>
      </w:r>
      <w:r w:rsidRPr="00F62F1C">
        <w:t xml:space="preserve"> Since 2012, there has been no change in hospital admissions of rheumatic fever for Pasifika peoples. The programme has implemented a suite of initiatives including the Pasifika and Māori engagement strategies (awareness raising), free sore throat clinics; a national awareness campaign and the healthy housing initiative. </w:t>
      </w:r>
    </w:p>
    <w:p w:rsidR="00C9789E" w:rsidRPr="00F62F1C" w:rsidRDefault="00C9789E" w:rsidP="00D411E3">
      <w:pPr>
        <w:pStyle w:val="H4G"/>
      </w:pPr>
      <w:r w:rsidRPr="00F62F1C">
        <w:lastRenderedPageBreak/>
        <w:tab/>
      </w:r>
      <w:r w:rsidRPr="00F62F1C">
        <w:tab/>
        <w:t>The use of seclusion for Māori in specialist mental health services</w:t>
      </w:r>
    </w:p>
    <w:p w:rsidR="00C9789E" w:rsidRPr="00F62F1C" w:rsidRDefault="00C9789E" w:rsidP="00706221">
      <w:pPr>
        <w:pStyle w:val="SingleTxtG"/>
      </w:pPr>
      <w:r w:rsidRPr="00F62F1C">
        <w:t>210.</w:t>
      </w:r>
      <w:r w:rsidRPr="00F62F1C">
        <w:tab/>
        <w:t xml:space="preserve">In 2009 the Government introduced a seclusion reduction policy, </w:t>
      </w:r>
      <w:r w:rsidR="00D34D95">
        <w:t>“</w:t>
      </w:r>
      <w:r w:rsidRPr="00F62F1C">
        <w:t>The Health and Disability Services (Restraint Minimisation and Safe Practices)</w:t>
      </w:r>
      <w:r w:rsidR="00D34D95">
        <w:t>”</w:t>
      </w:r>
      <w:r w:rsidRPr="00F62F1C">
        <w:t>. The revised guidelines on seclusion identify best practice methods for using seclusion in mental health inpatient units.</w:t>
      </w:r>
      <w:r w:rsidR="0023775B">
        <w:t xml:space="preserve"> </w:t>
      </w:r>
      <w:r w:rsidRPr="00F62F1C">
        <w:t>The intent is to progressively decrease and limit the use of seclusion for mental health service users.</w:t>
      </w:r>
      <w:r w:rsidR="0023775B">
        <w:t xml:space="preserve"> </w:t>
      </w:r>
    </w:p>
    <w:p w:rsidR="00C9789E" w:rsidRPr="00F62F1C" w:rsidRDefault="00C9789E" w:rsidP="00706221">
      <w:pPr>
        <w:pStyle w:val="SingleTxtG"/>
      </w:pPr>
      <w:r w:rsidRPr="00F62F1C">
        <w:t>211.</w:t>
      </w:r>
      <w:r w:rsidRPr="00F62F1C">
        <w:tab/>
        <w:t>Reducing (and eventually eliminating) seclusion is also a goal of the Government</w:t>
      </w:r>
      <w:r w:rsidR="00D34D95">
        <w:t>’</w:t>
      </w:r>
      <w:r w:rsidRPr="00F62F1C">
        <w:t xml:space="preserve">s service development plan </w:t>
      </w:r>
      <w:r w:rsidR="00D34D95">
        <w:t>“</w:t>
      </w:r>
      <w:r w:rsidRPr="00F62F1C">
        <w:t>Rising to the Challenge the Mental health and Addiction Service Development Plan 2012-2017.</w:t>
      </w:r>
      <w:r w:rsidR="00D34D95">
        <w:t>”</w:t>
      </w:r>
      <w:r w:rsidR="0023775B">
        <w:t xml:space="preserve"> </w:t>
      </w:r>
    </w:p>
    <w:p w:rsidR="00C9789E" w:rsidRPr="00F62F1C" w:rsidRDefault="00C9789E" w:rsidP="00706221">
      <w:pPr>
        <w:pStyle w:val="SingleTxtG"/>
      </w:pPr>
      <w:r w:rsidRPr="00F62F1C">
        <w:t>212.</w:t>
      </w:r>
      <w:r w:rsidRPr="00F62F1C">
        <w:tab/>
        <w:t>Figure 29 shows the proportion of Māori secluded in adult inpatient services (for those aged 20</w:t>
      </w:r>
      <w:r w:rsidR="006D26C6">
        <w:t>-</w:t>
      </w:r>
      <w:r w:rsidRPr="00F62F1C">
        <w:t>64 years) between 2007 and 2015. In that time frame, the number of people secluded who identify as Māori decreased by 15 percent.</w:t>
      </w:r>
      <w:r w:rsidRPr="00706221">
        <w:rPr>
          <w:rStyle w:val="FootnoteReference"/>
        </w:rPr>
        <w:footnoteReference w:id="43"/>
      </w:r>
    </w:p>
    <w:p w:rsidR="003803A8" w:rsidRDefault="00C9789E" w:rsidP="003803A8">
      <w:pPr>
        <w:pStyle w:val="Heading1"/>
      </w:pPr>
      <w:bookmarkStart w:id="71" w:name="_Toc437176557"/>
      <w:bookmarkStart w:id="72" w:name="_Toc494359794"/>
      <w:r w:rsidRPr="00F62F1C">
        <w:t xml:space="preserve">Figure </w:t>
      </w:r>
      <w:bookmarkEnd w:id="71"/>
      <w:r w:rsidRPr="00F62F1C">
        <w:t>29</w:t>
      </w:r>
      <w:bookmarkEnd w:id="72"/>
    </w:p>
    <w:p w:rsidR="00C9789E" w:rsidRPr="003803A8" w:rsidRDefault="00C9789E" w:rsidP="00706221">
      <w:pPr>
        <w:pStyle w:val="SingleTxtG"/>
        <w:rPr>
          <w:b/>
        </w:rPr>
      </w:pPr>
      <w:r w:rsidRPr="003803A8">
        <w:rPr>
          <w:b/>
        </w:rPr>
        <w:t>Proportion of Māori secluded in adult inpatient services</w:t>
      </w:r>
    </w:p>
    <w:p w:rsidR="00C9789E" w:rsidRPr="00F62F1C" w:rsidRDefault="00C9789E" w:rsidP="00706221">
      <w:pPr>
        <w:pStyle w:val="SingleTxtG"/>
      </w:pPr>
      <w:r w:rsidRPr="00F62F1C">
        <w:rPr>
          <w:noProof/>
          <w:lang w:eastAsia="en-GB"/>
        </w:rPr>
        <w:drawing>
          <wp:inline distT="0" distB="0" distL="0" distR="0" wp14:anchorId="40DEC545" wp14:editId="3D42CB1F">
            <wp:extent cx="5464800" cy="2613600"/>
            <wp:effectExtent l="0" t="0" r="3175" b="0"/>
            <wp:docPr id="4"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C9789E" w:rsidRPr="00F62F1C" w:rsidRDefault="00C9789E" w:rsidP="0011395F">
      <w:pPr>
        <w:pStyle w:val="H23G"/>
      </w:pPr>
      <w:r w:rsidRPr="00F62F1C">
        <w:tab/>
      </w:r>
      <w:r w:rsidRPr="00F62F1C">
        <w:tab/>
        <w:t>Water</w:t>
      </w:r>
    </w:p>
    <w:p w:rsidR="00C9789E" w:rsidRPr="00F62F1C" w:rsidRDefault="00C9789E" w:rsidP="00706221">
      <w:pPr>
        <w:pStyle w:val="SingleTxtG"/>
      </w:pPr>
      <w:r w:rsidRPr="00F62F1C">
        <w:t>213.</w:t>
      </w:r>
      <w:r w:rsidRPr="00F62F1C">
        <w:tab/>
        <w:t>New Zealand</w:t>
      </w:r>
      <w:r w:rsidR="00D34D95">
        <w:t>’</w:t>
      </w:r>
      <w:r w:rsidRPr="00F62F1C">
        <w:t>s water distribution is not privatised.</w:t>
      </w:r>
      <w:r w:rsidR="0023775B">
        <w:t xml:space="preserve"> </w:t>
      </w:r>
      <w:r w:rsidRPr="00F62F1C">
        <w:t>The Government</w:t>
      </w:r>
      <w:r w:rsidR="00D34D95">
        <w:t>’</w:t>
      </w:r>
      <w:r w:rsidRPr="00F62F1C">
        <w:t>s position is that no-one owns fresh water</w:t>
      </w:r>
      <w:r w:rsidR="001F5C90">
        <w:t xml:space="preserve"> — </w:t>
      </w:r>
      <w:r w:rsidRPr="00F62F1C">
        <w:t xml:space="preserve">it is a resource that we must look after for the benefit of all New Zealanders. </w:t>
      </w:r>
    </w:p>
    <w:p w:rsidR="00C9789E" w:rsidRPr="00F62F1C" w:rsidRDefault="00C9789E" w:rsidP="00706221">
      <w:pPr>
        <w:pStyle w:val="SingleTxtG"/>
      </w:pPr>
      <w:r w:rsidRPr="00F62F1C">
        <w:t>214.</w:t>
      </w:r>
      <w:r w:rsidRPr="00F62F1C">
        <w:tab/>
        <w:t>Water utilities are the legislated responsibility of local government and must be run as not for profit operations.</w:t>
      </w:r>
      <w:r w:rsidR="0023775B">
        <w:t xml:space="preserve"> </w:t>
      </w:r>
      <w:r w:rsidRPr="00F62F1C">
        <w:t>Rates (taxes) charged by councils help to pay for water collection and treatment facilities, pipes, and water conservation measures. In some municipal areas in New Zealand, households are individually metered, and pay for these services on a volumetric basis, in others the charges are levied based on property value and incorporated in the general rate.</w:t>
      </w:r>
      <w:r w:rsidR="000C03A3">
        <w:t xml:space="preserve"> </w:t>
      </w:r>
      <w:r w:rsidRPr="00F62F1C">
        <w:t>Businesses like water bottling companies charge for the infrastructure that purifies and delivers the water.</w:t>
      </w:r>
    </w:p>
    <w:p w:rsidR="00C9789E" w:rsidRPr="00F62F1C" w:rsidRDefault="00C9789E" w:rsidP="003D3A6C">
      <w:pPr>
        <w:pStyle w:val="H23G"/>
      </w:pPr>
      <w:r w:rsidRPr="00F62F1C">
        <w:tab/>
      </w:r>
      <w:r w:rsidRPr="00F62F1C">
        <w:tab/>
        <w:t>Measures taken to address freshwater pollution from agriculture and the impact</w:t>
      </w:r>
    </w:p>
    <w:p w:rsidR="00C9789E" w:rsidRPr="00F62F1C" w:rsidRDefault="00C9789E" w:rsidP="00706221">
      <w:pPr>
        <w:pStyle w:val="SingleTxtG"/>
      </w:pPr>
      <w:r w:rsidRPr="00F62F1C">
        <w:t>215.</w:t>
      </w:r>
      <w:r w:rsidRPr="00F62F1C">
        <w:tab/>
        <w:t>Impacts on fresh water, from all sources including agriculture, are addressed primarily through national resource management legislation and regional government policy and regulation. Point source discharges</w:t>
      </w:r>
      <w:r w:rsidRPr="00706221">
        <w:rPr>
          <w:rStyle w:val="FootnoteReference"/>
        </w:rPr>
        <w:footnoteReference w:id="44"/>
      </w:r>
      <w:r w:rsidRPr="00F62F1C">
        <w:t xml:space="preserve"> have been subject to regulation beginning </w:t>
      </w:r>
      <w:r w:rsidRPr="00F62F1C">
        <w:lastRenderedPageBreak/>
        <w:t>in the mid-1960</w:t>
      </w:r>
      <w:r w:rsidR="00D34D95">
        <w:t>’</w:t>
      </w:r>
      <w:r w:rsidRPr="00F62F1C">
        <w:t>s. Controls for point source and diffuse source discharge</w:t>
      </w:r>
      <w:r w:rsidRPr="00706221">
        <w:rPr>
          <w:rStyle w:val="FootnoteReference"/>
        </w:rPr>
        <w:footnoteReference w:id="45"/>
      </w:r>
      <w:r w:rsidRPr="00F62F1C">
        <w:t xml:space="preserve"> have evolved through subsequent review and refinement of legislation and regulation.</w:t>
      </w:r>
    </w:p>
    <w:p w:rsidR="00C9789E" w:rsidRPr="00F62F1C" w:rsidRDefault="00C9789E" w:rsidP="00706221">
      <w:pPr>
        <w:pStyle w:val="SingleTxtG"/>
      </w:pPr>
      <w:r w:rsidRPr="00F62F1C">
        <w:t>216.</w:t>
      </w:r>
      <w:r w:rsidRPr="00F62F1C">
        <w:tab/>
        <w:t xml:space="preserve">Central government regulation in the form of the National Policy Statement for Freshwater Management (NPS-FM) came into effect in 2011 and requires regional councils to put in place limits on resource use, set targets and timelines for eliminating over-allocation and maintaining or improving water quality by 2030. </w:t>
      </w:r>
    </w:p>
    <w:p w:rsidR="00C9789E" w:rsidRPr="00F62F1C" w:rsidRDefault="00C9789E" w:rsidP="00706221">
      <w:pPr>
        <w:pStyle w:val="SingleTxtG"/>
      </w:pPr>
      <w:r w:rsidRPr="00F62F1C">
        <w:t>217.</w:t>
      </w:r>
      <w:r w:rsidRPr="00F62F1C">
        <w:tab/>
        <w:t>The NPS-FM requires regional councils to set objectives in their regional plans, based on the values that are important locally. These objectives must consider human and ecosystem health. For example, if a community values swimming in a river, it should set an objective for the water body about the maximum acceptable levels of E. coli. The NPS-FM describes acceptable levels of E. coli for water to be suitable for swimming. A council can then prescribe rules, such as stock exclusion, so the river can meet this state.</w:t>
      </w:r>
    </w:p>
    <w:p w:rsidR="00C9789E" w:rsidRPr="00F62F1C" w:rsidRDefault="00C9789E" w:rsidP="00706221">
      <w:pPr>
        <w:pStyle w:val="SingleTxtG"/>
      </w:pPr>
      <w:r w:rsidRPr="00F62F1C">
        <w:t>218.</w:t>
      </w:r>
      <w:r w:rsidRPr="00F62F1C">
        <w:tab/>
        <w:t>The NPS-FM gives councils until 2030 to set fresh water outcomes and have rules in place to work toward achieving those outcomes. The Government expects most if not all councils will have measures in place by 2025. In 2015:</w:t>
      </w:r>
    </w:p>
    <w:p w:rsidR="00C9789E" w:rsidRPr="00F62F1C" w:rsidRDefault="00C9789E" w:rsidP="00825AE0">
      <w:pPr>
        <w:pStyle w:val="Bullet1G"/>
      </w:pPr>
      <w:r w:rsidRPr="00F62F1C">
        <w:t>78 percent (20,588,307 ha) of large surface water river catchments and 36 percent (or 139,264 ha) of lake catchments</w:t>
      </w:r>
      <w:r w:rsidR="000C03A3">
        <w:t xml:space="preserve"> </w:t>
      </w:r>
      <w:r w:rsidRPr="00F62F1C">
        <w:t>in NZ have quantified flow regimes in place that set limits;</w:t>
      </w:r>
    </w:p>
    <w:p w:rsidR="00C9789E" w:rsidRPr="00F62F1C" w:rsidRDefault="00C9789E" w:rsidP="00825AE0">
      <w:pPr>
        <w:pStyle w:val="Bullet1G"/>
      </w:pPr>
      <w:r w:rsidRPr="00F62F1C">
        <w:t>8 percent (2,229,117 ha) of significant river catchments and 24 percent (92,159 ha) of lake catchments have quantified policy for land and water management that sets surface water quality limits.</w:t>
      </w:r>
    </w:p>
    <w:p w:rsidR="00C9789E" w:rsidRPr="00F62F1C" w:rsidRDefault="00C9789E" w:rsidP="00825AE0">
      <w:pPr>
        <w:pStyle w:val="H1G"/>
      </w:pPr>
      <w:r w:rsidRPr="00F62F1C">
        <w:tab/>
      </w:r>
      <w:bookmarkStart w:id="73" w:name="_Toc494359795"/>
      <w:r w:rsidRPr="00F62F1C">
        <w:t>K.</w:t>
      </w:r>
      <w:r w:rsidRPr="00F62F1C">
        <w:tab/>
        <w:t>Articles 13 and 14</w:t>
      </w:r>
      <w:r w:rsidR="001F5C90">
        <w:t xml:space="preserve"> — </w:t>
      </w:r>
      <w:r w:rsidRPr="00F62F1C">
        <w:t>Right to education</w:t>
      </w:r>
      <w:bookmarkEnd w:id="73"/>
    </w:p>
    <w:p w:rsidR="00C9789E" w:rsidRPr="00F62F1C" w:rsidRDefault="00C9789E" w:rsidP="00706221">
      <w:pPr>
        <w:pStyle w:val="SingleTxtG"/>
      </w:pPr>
      <w:bookmarkStart w:id="74" w:name="_Toc456855181"/>
      <w:r w:rsidRPr="00F62F1C">
        <w:t>219.</w:t>
      </w:r>
      <w:r w:rsidRPr="00F62F1C">
        <w:tab/>
        <w:t>The following figures provide statistical information on National Certificate of Educational Achievement (NCEA) Level 1, 2 and 3 for children from disadvantaged and marginalised households, disaggregated by gender and ethnicity. Information is also provided about support and funding measures to promote equal access to education and services</w:t>
      </w:r>
    </w:p>
    <w:p w:rsidR="00825AE0" w:rsidRDefault="00C9789E" w:rsidP="00825AE0">
      <w:pPr>
        <w:pStyle w:val="Heading1"/>
      </w:pPr>
      <w:bookmarkStart w:id="75" w:name="_Toc494359796"/>
      <w:r w:rsidRPr="00F62F1C">
        <w:t>Figure 30</w:t>
      </w:r>
      <w:bookmarkEnd w:id="75"/>
    </w:p>
    <w:p w:rsidR="00C9789E" w:rsidRPr="00825AE0" w:rsidRDefault="00C9789E" w:rsidP="00706221">
      <w:pPr>
        <w:pStyle w:val="SingleTxtG"/>
        <w:rPr>
          <w:b/>
        </w:rPr>
      </w:pPr>
      <w:r w:rsidRPr="00825AE0">
        <w:rPr>
          <w:b/>
        </w:rPr>
        <w:t>Educational outcomes for children from disadvantaged and marginalized households disaggregated by gender (2015):</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06"/>
        <w:gridCol w:w="1577"/>
        <w:gridCol w:w="1578"/>
        <w:gridCol w:w="1578"/>
        <w:gridCol w:w="1431"/>
      </w:tblGrid>
      <w:tr w:rsidR="00FE6284" w:rsidRPr="00825AE0" w:rsidTr="00B77308">
        <w:trPr>
          <w:cantSplit/>
          <w:tblHeader/>
        </w:trPr>
        <w:tc>
          <w:tcPr>
            <w:tcW w:w="1206" w:type="dxa"/>
            <w:vMerge w:val="restart"/>
            <w:tcBorders>
              <w:top w:val="single" w:sz="4" w:space="0" w:color="auto"/>
              <w:bottom w:val="single" w:sz="4" w:space="0" w:color="auto"/>
            </w:tcBorders>
            <w:shd w:val="clear" w:color="auto" w:fill="auto"/>
            <w:vAlign w:val="bottom"/>
          </w:tcPr>
          <w:p w:rsidR="00FE6284" w:rsidRPr="00825AE0" w:rsidRDefault="00FE6284" w:rsidP="00FE6284">
            <w:pPr>
              <w:pStyle w:val="SingleTxtG"/>
              <w:spacing w:before="80" w:after="80" w:line="200" w:lineRule="exact"/>
              <w:ind w:left="0" w:right="113"/>
              <w:jc w:val="left"/>
              <w:rPr>
                <w:i/>
                <w:sz w:val="16"/>
              </w:rPr>
            </w:pPr>
            <w:r w:rsidRPr="00FE6284">
              <w:rPr>
                <w:i/>
                <w:sz w:val="16"/>
              </w:rPr>
              <w:t>Gender</w:t>
            </w:r>
          </w:p>
        </w:tc>
        <w:tc>
          <w:tcPr>
            <w:tcW w:w="6164" w:type="dxa"/>
            <w:gridSpan w:val="4"/>
            <w:tcBorders>
              <w:top w:val="single" w:sz="4" w:space="0" w:color="auto"/>
              <w:bottom w:val="single" w:sz="4" w:space="0" w:color="auto"/>
            </w:tcBorders>
            <w:shd w:val="clear" w:color="auto" w:fill="auto"/>
            <w:vAlign w:val="bottom"/>
          </w:tcPr>
          <w:p w:rsidR="00FE6284" w:rsidRPr="00825AE0" w:rsidRDefault="00FE6284" w:rsidP="00FE6284">
            <w:pPr>
              <w:pStyle w:val="SingleTxtG"/>
              <w:spacing w:before="80" w:after="80" w:line="200" w:lineRule="exact"/>
              <w:ind w:left="0" w:right="113"/>
              <w:jc w:val="center"/>
              <w:rPr>
                <w:i/>
                <w:sz w:val="16"/>
              </w:rPr>
            </w:pPr>
            <w:r w:rsidRPr="00825AE0">
              <w:rPr>
                <w:i/>
                <w:sz w:val="16"/>
              </w:rPr>
              <w:t>Educational outcome</w:t>
            </w:r>
          </w:p>
        </w:tc>
      </w:tr>
      <w:tr w:rsidR="00FE6284" w:rsidRPr="00825AE0" w:rsidTr="00B77308">
        <w:trPr>
          <w:cantSplit/>
        </w:trPr>
        <w:tc>
          <w:tcPr>
            <w:tcW w:w="1206" w:type="dxa"/>
            <w:vMerge/>
            <w:tcBorders>
              <w:top w:val="single" w:sz="4" w:space="0" w:color="auto"/>
              <w:bottom w:val="single" w:sz="12" w:space="0" w:color="auto"/>
            </w:tcBorders>
            <w:shd w:val="clear" w:color="auto" w:fill="auto"/>
          </w:tcPr>
          <w:p w:rsidR="00FE6284" w:rsidRPr="00FE6284" w:rsidRDefault="00FE6284" w:rsidP="00FE6284">
            <w:pPr>
              <w:pStyle w:val="SingleTxtG"/>
              <w:spacing w:before="80" w:after="80" w:line="200" w:lineRule="exact"/>
              <w:ind w:left="0" w:right="113"/>
              <w:jc w:val="left"/>
              <w:rPr>
                <w:i/>
                <w:sz w:val="16"/>
              </w:rPr>
            </w:pPr>
          </w:p>
        </w:tc>
        <w:tc>
          <w:tcPr>
            <w:tcW w:w="1577" w:type="dxa"/>
            <w:tcBorders>
              <w:top w:val="single" w:sz="4" w:space="0" w:color="auto"/>
              <w:bottom w:val="single" w:sz="12" w:space="0" w:color="auto"/>
            </w:tcBorders>
            <w:shd w:val="clear" w:color="auto" w:fill="auto"/>
            <w:vAlign w:val="bottom"/>
          </w:tcPr>
          <w:p w:rsidR="00FE6284" w:rsidRPr="00FE6284" w:rsidRDefault="00FE6284" w:rsidP="00FE6284">
            <w:pPr>
              <w:pStyle w:val="SingleTxtG"/>
              <w:spacing w:before="80" w:after="80" w:line="200" w:lineRule="exact"/>
              <w:ind w:left="0" w:right="113"/>
              <w:jc w:val="right"/>
              <w:rPr>
                <w:i/>
                <w:sz w:val="16"/>
              </w:rPr>
            </w:pPr>
            <w:r w:rsidRPr="00FE6284">
              <w:rPr>
                <w:i/>
                <w:sz w:val="16"/>
              </w:rPr>
              <w:t>NCEA L1</w:t>
            </w:r>
          </w:p>
        </w:tc>
        <w:tc>
          <w:tcPr>
            <w:tcW w:w="1578" w:type="dxa"/>
            <w:tcBorders>
              <w:top w:val="single" w:sz="4" w:space="0" w:color="auto"/>
              <w:bottom w:val="single" w:sz="12" w:space="0" w:color="auto"/>
            </w:tcBorders>
            <w:shd w:val="clear" w:color="auto" w:fill="auto"/>
            <w:vAlign w:val="bottom"/>
          </w:tcPr>
          <w:p w:rsidR="00FE6284" w:rsidRPr="00FE6284" w:rsidRDefault="00FE6284" w:rsidP="00FE6284">
            <w:pPr>
              <w:pStyle w:val="SingleTxtG"/>
              <w:spacing w:before="80" w:after="80" w:line="200" w:lineRule="exact"/>
              <w:ind w:left="0" w:right="113"/>
              <w:jc w:val="right"/>
              <w:rPr>
                <w:i/>
                <w:sz w:val="16"/>
              </w:rPr>
            </w:pPr>
            <w:r w:rsidRPr="00FE6284">
              <w:rPr>
                <w:i/>
                <w:sz w:val="16"/>
              </w:rPr>
              <w:t>NCEA L2</w:t>
            </w:r>
          </w:p>
        </w:tc>
        <w:tc>
          <w:tcPr>
            <w:tcW w:w="1578" w:type="dxa"/>
            <w:tcBorders>
              <w:top w:val="single" w:sz="4" w:space="0" w:color="auto"/>
              <w:bottom w:val="single" w:sz="12" w:space="0" w:color="auto"/>
            </w:tcBorders>
            <w:shd w:val="clear" w:color="auto" w:fill="auto"/>
            <w:vAlign w:val="bottom"/>
          </w:tcPr>
          <w:p w:rsidR="00FE6284" w:rsidRPr="00FE6284" w:rsidRDefault="00FE6284" w:rsidP="00FE6284">
            <w:pPr>
              <w:pStyle w:val="SingleTxtG"/>
              <w:spacing w:before="80" w:after="80" w:line="200" w:lineRule="exact"/>
              <w:ind w:left="0" w:right="113"/>
              <w:jc w:val="right"/>
              <w:rPr>
                <w:i/>
                <w:sz w:val="16"/>
              </w:rPr>
            </w:pPr>
            <w:r w:rsidRPr="00FE6284">
              <w:rPr>
                <w:i/>
                <w:sz w:val="16"/>
              </w:rPr>
              <w:t>NCEA L3</w:t>
            </w:r>
          </w:p>
        </w:tc>
        <w:tc>
          <w:tcPr>
            <w:tcW w:w="1431" w:type="dxa"/>
            <w:tcBorders>
              <w:top w:val="single" w:sz="4" w:space="0" w:color="auto"/>
              <w:bottom w:val="single" w:sz="12" w:space="0" w:color="auto"/>
            </w:tcBorders>
            <w:shd w:val="clear" w:color="auto" w:fill="auto"/>
            <w:vAlign w:val="bottom"/>
          </w:tcPr>
          <w:p w:rsidR="00FE6284" w:rsidRPr="00FE6284" w:rsidRDefault="00FE6284" w:rsidP="00FE6284">
            <w:pPr>
              <w:pStyle w:val="SingleTxtG"/>
              <w:spacing w:before="80" w:after="80" w:line="200" w:lineRule="exact"/>
              <w:ind w:left="0" w:right="113"/>
              <w:jc w:val="right"/>
              <w:rPr>
                <w:i/>
                <w:sz w:val="16"/>
              </w:rPr>
            </w:pPr>
            <w:r w:rsidRPr="00FE6284">
              <w:rPr>
                <w:i/>
                <w:sz w:val="16"/>
              </w:rPr>
              <w:t>Total</w:t>
            </w:r>
          </w:p>
        </w:tc>
      </w:tr>
      <w:tr w:rsidR="00C9789E" w:rsidRPr="00825AE0" w:rsidTr="00B77308">
        <w:trPr>
          <w:cantSplit/>
        </w:trPr>
        <w:tc>
          <w:tcPr>
            <w:tcW w:w="1206" w:type="dxa"/>
            <w:tcBorders>
              <w:top w:val="single" w:sz="12" w:space="0" w:color="auto"/>
            </w:tcBorders>
            <w:shd w:val="clear" w:color="auto" w:fill="auto"/>
          </w:tcPr>
          <w:p w:rsidR="00C9789E" w:rsidRPr="00825AE0" w:rsidRDefault="00C9789E" w:rsidP="00825AE0">
            <w:pPr>
              <w:pStyle w:val="SingleTxtG"/>
              <w:spacing w:before="40" w:after="40" w:line="220" w:lineRule="exact"/>
              <w:ind w:left="0" w:right="113"/>
              <w:jc w:val="left"/>
              <w:rPr>
                <w:sz w:val="18"/>
              </w:rPr>
            </w:pPr>
            <w:r w:rsidRPr="00825AE0">
              <w:rPr>
                <w:sz w:val="18"/>
              </w:rPr>
              <w:t>Male</w:t>
            </w:r>
          </w:p>
        </w:tc>
        <w:tc>
          <w:tcPr>
            <w:tcW w:w="1577" w:type="dxa"/>
            <w:tcBorders>
              <w:top w:val="single" w:sz="12" w:space="0" w:color="auto"/>
            </w:tcBorders>
            <w:shd w:val="clear" w:color="auto" w:fill="auto"/>
            <w:vAlign w:val="bottom"/>
          </w:tcPr>
          <w:p w:rsidR="00C9789E" w:rsidRPr="00825AE0" w:rsidRDefault="00C9789E" w:rsidP="00825AE0">
            <w:pPr>
              <w:pStyle w:val="SingleTxtG"/>
              <w:spacing w:before="40" w:after="40" w:line="220" w:lineRule="exact"/>
              <w:ind w:left="0" w:right="113"/>
              <w:jc w:val="right"/>
              <w:rPr>
                <w:sz w:val="18"/>
              </w:rPr>
            </w:pPr>
            <w:r w:rsidRPr="00825AE0">
              <w:rPr>
                <w:sz w:val="18"/>
              </w:rPr>
              <w:t>6</w:t>
            </w:r>
            <w:r w:rsidR="00FE6284">
              <w:rPr>
                <w:sz w:val="18"/>
              </w:rPr>
              <w:t xml:space="preserve"> </w:t>
            </w:r>
            <w:r w:rsidRPr="00825AE0">
              <w:rPr>
                <w:sz w:val="18"/>
              </w:rPr>
              <w:t>048</w:t>
            </w:r>
          </w:p>
        </w:tc>
        <w:tc>
          <w:tcPr>
            <w:tcW w:w="1578" w:type="dxa"/>
            <w:tcBorders>
              <w:top w:val="single" w:sz="12" w:space="0" w:color="auto"/>
            </w:tcBorders>
            <w:shd w:val="clear" w:color="auto" w:fill="auto"/>
            <w:vAlign w:val="bottom"/>
          </w:tcPr>
          <w:p w:rsidR="00C9789E" w:rsidRPr="00825AE0" w:rsidRDefault="00C9789E" w:rsidP="00825AE0">
            <w:pPr>
              <w:pStyle w:val="SingleTxtG"/>
              <w:spacing w:before="40" w:after="40" w:line="220" w:lineRule="exact"/>
              <w:ind w:left="0" w:right="113"/>
              <w:jc w:val="right"/>
              <w:rPr>
                <w:sz w:val="18"/>
              </w:rPr>
            </w:pPr>
            <w:r w:rsidRPr="00825AE0">
              <w:rPr>
                <w:sz w:val="18"/>
              </w:rPr>
              <w:t>4</w:t>
            </w:r>
            <w:r w:rsidR="00FE6284">
              <w:rPr>
                <w:sz w:val="18"/>
              </w:rPr>
              <w:t xml:space="preserve"> </w:t>
            </w:r>
            <w:r w:rsidRPr="00825AE0">
              <w:rPr>
                <w:sz w:val="18"/>
              </w:rPr>
              <w:t>867</w:t>
            </w:r>
          </w:p>
        </w:tc>
        <w:tc>
          <w:tcPr>
            <w:tcW w:w="1578" w:type="dxa"/>
            <w:tcBorders>
              <w:top w:val="single" w:sz="12" w:space="0" w:color="auto"/>
            </w:tcBorders>
            <w:shd w:val="clear" w:color="auto" w:fill="auto"/>
            <w:vAlign w:val="bottom"/>
          </w:tcPr>
          <w:p w:rsidR="00C9789E" w:rsidRPr="00825AE0" w:rsidRDefault="00C9789E" w:rsidP="00825AE0">
            <w:pPr>
              <w:pStyle w:val="SingleTxtG"/>
              <w:spacing w:before="40" w:after="40" w:line="220" w:lineRule="exact"/>
              <w:ind w:left="0" w:right="113"/>
              <w:jc w:val="right"/>
              <w:rPr>
                <w:sz w:val="18"/>
              </w:rPr>
            </w:pPr>
            <w:r w:rsidRPr="00825AE0">
              <w:rPr>
                <w:sz w:val="18"/>
              </w:rPr>
              <w:t>2</w:t>
            </w:r>
            <w:r w:rsidR="00FE6284">
              <w:rPr>
                <w:sz w:val="18"/>
              </w:rPr>
              <w:t xml:space="preserve"> </w:t>
            </w:r>
            <w:r w:rsidRPr="00825AE0">
              <w:rPr>
                <w:sz w:val="18"/>
              </w:rPr>
              <w:t>211</w:t>
            </w:r>
          </w:p>
        </w:tc>
        <w:tc>
          <w:tcPr>
            <w:tcW w:w="1431" w:type="dxa"/>
            <w:tcBorders>
              <w:top w:val="single" w:sz="12" w:space="0" w:color="auto"/>
            </w:tcBorders>
            <w:shd w:val="clear" w:color="auto" w:fill="auto"/>
            <w:vAlign w:val="bottom"/>
          </w:tcPr>
          <w:p w:rsidR="00C9789E" w:rsidRPr="00825AE0" w:rsidRDefault="00C9789E" w:rsidP="00FE6284">
            <w:pPr>
              <w:pStyle w:val="SingleTxtG"/>
              <w:spacing w:before="40" w:after="40" w:line="220" w:lineRule="exact"/>
              <w:ind w:left="0" w:right="113"/>
              <w:jc w:val="right"/>
              <w:rPr>
                <w:sz w:val="18"/>
              </w:rPr>
            </w:pPr>
            <w:r w:rsidRPr="00825AE0">
              <w:rPr>
                <w:sz w:val="18"/>
              </w:rPr>
              <w:t>13</w:t>
            </w:r>
            <w:r w:rsidR="00FE6284">
              <w:rPr>
                <w:sz w:val="18"/>
              </w:rPr>
              <w:t xml:space="preserve"> </w:t>
            </w:r>
            <w:r w:rsidRPr="00825AE0">
              <w:rPr>
                <w:sz w:val="18"/>
              </w:rPr>
              <w:t>126</w:t>
            </w:r>
          </w:p>
        </w:tc>
      </w:tr>
      <w:tr w:rsidR="00C9789E" w:rsidRPr="00825AE0" w:rsidTr="00B77308">
        <w:trPr>
          <w:cantSplit/>
        </w:trPr>
        <w:tc>
          <w:tcPr>
            <w:tcW w:w="1206" w:type="dxa"/>
            <w:shd w:val="clear" w:color="auto" w:fill="auto"/>
          </w:tcPr>
          <w:p w:rsidR="00C9789E" w:rsidRPr="00825AE0" w:rsidRDefault="00C9789E" w:rsidP="00825AE0">
            <w:pPr>
              <w:pStyle w:val="SingleTxtG"/>
              <w:spacing w:before="40" w:after="40" w:line="220" w:lineRule="exact"/>
              <w:ind w:left="0" w:right="113"/>
              <w:jc w:val="left"/>
              <w:rPr>
                <w:sz w:val="18"/>
              </w:rPr>
            </w:pPr>
            <w:r w:rsidRPr="00825AE0">
              <w:rPr>
                <w:sz w:val="18"/>
              </w:rPr>
              <w:t>Female</w:t>
            </w:r>
          </w:p>
        </w:tc>
        <w:tc>
          <w:tcPr>
            <w:tcW w:w="1577" w:type="dxa"/>
            <w:shd w:val="clear" w:color="auto" w:fill="auto"/>
            <w:vAlign w:val="bottom"/>
          </w:tcPr>
          <w:p w:rsidR="00C9789E" w:rsidRPr="00825AE0" w:rsidRDefault="00C9789E" w:rsidP="00825AE0">
            <w:pPr>
              <w:pStyle w:val="SingleTxtG"/>
              <w:spacing w:before="40" w:after="40" w:line="220" w:lineRule="exact"/>
              <w:ind w:left="0" w:right="113"/>
              <w:jc w:val="right"/>
              <w:rPr>
                <w:sz w:val="18"/>
              </w:rPr>
            </w:pPr>
            <w:r w:rsidRPr="00825AE0">
              <w:rPr>
                <w:sz w:val="18"/>
              </w:rPr>
              <w:t>6</w:t>
            </w:r>
            <w:r w:rsidR="00FE6284">
              <w:rPr>
                <w:sz w:val="18"/>
              </w:rPr>
              <w:t xml:space="preserve"> </w:t>
            </w:r>
            <w:r w:rsidRPr="00825AE0">
              <w:rPr>
                <w:sz w:val="18"/>
              </w:rPr>
              <w:t>165</w:t>
            </w:r>
          </w:p>
        </w:tc>
        <w:tc>
          <w:tcPr>
            <w:tcW w:w="1578" w:type="dxa"/>
            <w:shd w:val="clear" w:color="auto" w:fill="auto"/>
            <w:vAlign w:val="bottom"/>
          </w:tcPr>
          <w:p w:rsidR="00C9789E" w:rsidRPr="00825AE0" w:rsidRDefault="00C9789E" w:rsidP="00825AE0">
            <w:pPr>
              <w:pStyle w:val="SingleTxtG"/>
              <w:spacing w:before="40" w:after="40" w:line="220" w:lineRule="exact"/>
              <w:ind w:left="0" w:right="113"/>
              <w:jc w:val="right"/>
              <w:rPr>
                <w:sz w:val="18"/>
              </w:rPr>
            </w:pPr>
            <w:r w:rsidRPr="00825AE0">
              <w:rPr>
                <w:sz w:val="18"/>
              </w:rPr>
              <w:t>5</w:t>
            </w:r>
            <w:r w:rsidR="00FE6284">
              <w:rPr>
                <w:sz w:val="18"/>
              </w:rPr>
              <w:t xml:space="preserve"> </w:t>
            </w:r>
            <w:r w:rsidRPr="00825AE0">
              <w:rPr>
                <w:sz w:val="18"/>
              </w:rPr>
              <w:t>196</w:t>
            </w:r>
          </w:p>
        </w:tc>
        <w:tc>
          <w:tcPr>
            <w:tcW w:w="1578" w:type="dxa"/>
            <w:shd w:val="clear" w:color="auto" w:fill="auto"/>
            <w:vAlign w:val="bottom"/>
          </w:tcPr>
          <w:p w:rsidR="00C9789E" w:rsidRPr="00825AE0" w:rsidRDefault="00C9789E" w:rsidP="00825AE0">
            <w:pPr>
              <w:pStyle w:val="SingleTxtG"/>
              <w:spacing w:before="40" w:after="40" w:line="220" w:lineRule="exact"/>
              <w:ind w:left="0" w:right="113"/>
              <w:jc w:val="right"/>
              <w:rPr>
                <w:sz w:val="18"/>
              </w:rPr>
            </w:pPr>
            <w:r w:rsidRPr="00825AE0">
              <w:rPr>
                <w:sz w:val="18"/>
              </w:rPr>
              <w:t>3</w:t>
            </w:r>
            <w:r w:rsidR="00FE6284">
              <w:rPr>
                <w:sz w:val="18"/>
              </w:rPr>
              <w:t xml:space="preserve"> </w:t>
            </w:r>
            <w:r w:rsidRPr="00825AE0">
              <w:rPr>
                <w:sz w:val="18"/>
              </w:rPr>
              <w:t>017</w:t>
            </w:r>
          </w:p>
        </w:tc>
        <w:tc>
          <w:tcPr>
            <w:tcW w:w="1431" w:type="dxa"/>
            <w:shd w:val="clear" w:color="auto" w:fill="auto"/>
            <w:vAlign w:val="bottom"/>
          </w:tcPr>
          <w:p w:rsidR="00C9789E" w:rsidRPr="00825AE0" w:rsidRDefault="00C9789E" w:rsidP="00FE6284">
            <w:pPr>
              <w:pStyle w:val="SingleTxtG"/>
              <w:spacing w:before="40" w:after="40" w:line="220" w:lineRule="exact"/>
              <w:ind w:left="0" w:right="113"/>
              <w:jc w:val="right"/>
              <w:rPr>
                <w:sz w:val="18"/>
              </w:rPr>
            </w:pPr>
            <w:r w:rsidRPr="00825AE0">
              <w:rPr>
                <w:sz w:val="18"/>
              </w:rPr>
              <w:t>14</w:t>
            </w:r>
            <w:r w:rsidR="00FE6284">
              <w:rPr>
                <w:sz w:val="18"/>
              </w:rPr>
              <w:t xml:space="preserve"> </w:t>
            </w:r>
            <w:r w:rsidRPr="00825AE0">
              <w:rPr>
                <w:sz w:val="18"/>
              </w:rPr>
              <w:t>378</w:t>
            </w:r>
          </w:p>
        </w:tc>
      </w:tr>
    </w:tbl>
    <w:p w:rsidR="00FE6284" w:rsidRDefault="00C9789E" w:rsidP="004217D4">
      <w:pPr>
        <w:pStyle w:val="Heading1"/>
        <w:spacing w:before="240"/>
      </w:pPr>
      <w:bookmarkStart w:id="76" w:name="_Toc494359797"/>
      <w:r w:rsidRPr="00F62F1C">
        <w:t>Figure 31</w:t>
      </w:r>
      <w:bookmarkEnd w:id="76"/>
    </w:p>
    <w:p w:rsidR="00C9789E" w:rsidRPr="004217D4" w:rsidRDefault="00C9789E" w:rsidP="00706221">
      <w:pPr>
        <w:pStyle w:val="SingleTxtG"/>
        <w:rPr>
          <w:b/>
        </w:rPr>
      </w:pPr>
      <w:r w:rsidRPr="004217D4">
        <w:rPr>
          <w:b/>
        </w:rPr>
        <w:t>Educational outcomes for children from disadvantaged and marginalized households disaggregated by ethnicity (2015):</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18"/>
        <w:gridCol w:w="1421"/>
        <w:gridCol w:w="1567"/>
        <w:gridCol w:w="1567"/>
        <w:gridCol w:w="1397"/>
      </w:tblGrid>
      <w:tr w:rsidR="00C76B98" w:rsidRPr="00B54042" w:rsidTr="00B77308">
        <w:trPr>
          <w:cantSplit/>
          <w:tblHeader/>
        </w:trPr>
        <w:tc>
          <w:tcPr>
            <w:tcW w:w="1418" w:type="dxa"/>
            <w:vMerge w:val="restart"/>
            <w:tcBorders>
              <w:top w:val="single" w:sz="4" w:space="0" w:color="auto"/>
            </w:tcBorders>
            <w:shd w:val="clear" w:color="auto" w:fill="auto"/>
            <w:vAlign w:val="bottom"/>
          </w:tcPr>
          <w:p w:rsidR="00C76B98" w:rsidRPr="00B54042" w:rsidRDefault="00C76B98" w:rsidP="00C76B98">
            <w:pPr>
              <w:pStyle w:val="SingleTxtG"/>
              <w:spacing w:before="80" w:after="80" w:line="200" w:lineRule="exact"/>
              <w:ind w:left="0" w:right="113"/>
              <w:jc w:val="left"/>
              <w:rPr>
                <w:i/>
                <w:sz w:val="16"/>
              </w:rPr>
            </w:pPr>
            <w:r w:rsidRPr="00C76B98">
              <w:rPr>
                <w:i/>
                <w:sz w:val="16"/>
              </w:rPr>
              <w:t>Ethnicity</w:t>
            </w:r>
          </w:p>
        </w:tc>
        <w:tc>
          <w:tcPr>
            <w:tcW w:w="5952" w:type="dxa"/>
            <w:gridSpan w:val="4"/>
            <w:tcBorders>
              <w:top w:val="single" w:sz="4" w:space="0" w:color="auto"/>
              <w:bottom w:val="single" w:sz="4" w:space="0" w:color="auto"/>
            </w:tcBorders>
            <w:shd w:val="clear" w:color="auto" w:fill="auto"/>
            <w:vAlign w:val="bottom"/>
          </w:tcPr>
          <w:p w:rsidR="00C76B98" w:rsidRPr="00B54042" w:rsidRDefault="00C76B98" w:rsidP="00C76B98">
            <w:pPr>
              <w:pStyle w:val="SingleTxtG"/>
              <w:spacing w:before="80" w:after="80" w:line="200" w:lineRule="exact"/>
              <w:ind w:left="0" w:right="113"/>
              <w:jc w:val="center"/>
              <w:rPr>
                <w:i/>
                <w:sz w:val="16"/>
              </w:rPr>
            </w:pPr>
            <w:r w:rsidRPr="00B54042">
              <w:rPr>
                <w:i/>
                <w:sz w:val="16"/>
              </w:rPr>
              <w:t>Educational outcome</w:t>
            </w:r>
          </w:p>
        </w:tc>
      </w:tr>
      <w:tr w:rsidR="00C76B98" w:rsidRPr="00B54042" w:rsidTr="00B77308">
        <w:trPr>
          <w:cantSplit/>
        </w:trPr>
        <w:tc>
          <w:tcPr>
            <w:tcW w:w="1418" w:type="dxa"/>
            <w:vMerge/>
            <w:tcBorders>
              <w:bottom w:val="single" w:sz="12" w:space="0" w:color="auto"/>
            </w:tcBorders>
            <w:shd w:val="clear" w:color="auto" w:fill="auto"/>
          </w:tcPr>
          <w:p w:rsidR="00C76B98" w:rsidRPr="00C76B98" w:rsidRDefault="00C76B98" w:rsidP="00C76B98">
            <w:pPr>
              <w:pStyle w:val="SingleTxtG"/>
              <w:spacing w:before="80" w:after="80" w:line="200" w:lineRule="exact"/>
              <w:ind w:left="0" w:right="113"/>
              <w:jc w:val="right"/>
              <w:rPr>
                <w:i/>
                <w:sz w:val="16"/>
              </w:rPr>
            </w:pPr>
          </w:p>
        </w:tc>
        <w:tc>
          <w:tcPr>
            <w:tcW w:w="1421" w:type="dxa"/>
            <w:tcBorders>
              <w:top w:val="single" w:sz="4" w:space="0" w:color="auto"/>
              <w:bottom w:val="single" w:sz="12" w:space="0" w:color="auto"/>
            </w:tcBorders>
            <w:shd w:val="clear" w:color="auto" w:fill="auto"/>
            <w:vAlign w:val="bottom"/>
          </w:tcPr>
          <w:p w:rsidR="00C76B98" w:rsidRPr="00C76B98" w:rsidRDefault="00C76B98" w:rsidP="00C76B98">
            <w:pPr>
              <w:pStyle w:val="SingleTxtG"/>
              <w:spacing w:before="80" w:after="80" w:line="200" w:lineRule="exact"/>
              <w:ind w:left="0" w:right="113"/>
              <w:jc w:val="right"/>
              <w:rPr>
                <w:i/>
                <w:sz w:val="16"/>
              </w:rPr>
            </w:pPr>
            <w:r w:rsidRPr="00C76B98">
              <w:rPr>
                <w:i/>
                <w:sz w:val="16"/>
              </w:rPr>
              <w:t>NCEA L1</w:t>
            </w:r>
          </w:p>
        </w:tc>
        <w:tc>
          <w:tcPr>
            <w:tcW w:w="1567" w:type="dxa"/>
            <w:tcBorders>
              <w:top w:val="single" w:sz="4" w:space="0" w:color="auto"/>
              <w:bottom w:val="single" w:sz="12" w:space="0" w:color="auto"/>
            </w:tcBorders>
            <w:shd w:val="clear" w:color="auto" w:fill="auto"/>
            <w:vAlign w:val="bottom"/>
          </w:tcPr>
          <w:p w:rsidR="00C76B98" w:rsidRPr="00C76B98" w:rsidRDefault="00C76B98" w:rsidP="00C76B98">
            <w:pPr>
              <w:pStyle w:val="SingleTxtG"/>
              <w:spacing w:before="80" w:after="80" w:line="200" w:lineRule="exact"/>
              <w:ind w:left="0" w:right="113"/>
              <w:jc w:val="right"/>
              <w:rPr>
                <w:i/>
                <w:sz w:val="16"/>
              </w:rPr>
            </w:pPr>
            <w:r w:rsidRPr="00C76B98">
              <w:rPr>
                <w:i/>
                <w:sz w:val="16"/>
              </w:rPr>
              <w:t>NCEA L2</w:t>
            </w:r>
          </w:p>
        </w:tc>
        <w:tc>
          <w:tcPr>
            <w:tcW w:w="1567" w:type="dxa"/>
            <w:tcBorders>
              <w:top w:val="single" w:sz="4" w:space="0" w:color="auto"/>
              <w:bottom w:val="single" w:sz="12" w:space="0" w:color="auto"/>
            </w:tcBorders>
            <w:shd w:val="clear" w:color="auto" w:fill="auto"/>
            <w:vAlign w:val="bottom"/>
          </w:tcPr>
          <w:p w:rsidR="00C76B98" w:rsidRPr="00C76B98" w:rsidRDefault="00C76B98" w:rsidP="00C76B98">
            <w:pPr>
              <w:pStyle w:val="SingleTxtG"/>
              <w:spacing w:before="80" w:after="80" w:line="200" w:lineRule="exact"/>
              <w:ind w:left="0" w:right="113"/>
              <w:jc w:val="right"/>
              <w:rPr>
                <w:i/>
                <w:sz w:val="16"/>
              </w:rPr>
            </w:pPr>
            <w:r w:rsidRPr="00C76B98">
              <w:rPr>
                <w:i/>
                <w:sz w:val="16"/>
              </w:rPr>
              <w:t>NCEA L3</w:t>
            </w:r>
          </w:p>
        </w:tc>
        <w:tc>
          <w:tcPr>
            <w:tcW w:w="1397" w:type="dxa"/>
            <w:tcBorders>
              <w:top w:val="single" w:sz="4" w:space="0" w:color="auto"/>
              <w:bottom w:val="single" w:sz="12" w:space="0" w:color="auto"/>
            </w:tcBorders>
            <w:shd w:val="clear" w:color="auto" w:fill="auto"/>
            <w:vAlign w:val="bottom"/>
          </w:tcPr>
          <w:p w:rsidR="00C76B98" w:rsidRPr="00C76B98" w:rsidRDefault="00C76B98" w:rsidP="00C76B98">
            <w:pPr>
              <w:pStyle w:val="SingleTxtG"/>
              <w:spacing w:before="80" w:after="80" w:line="200" w:lineRule="exact"/>
              <w:ind w:left="0" w:right="113"/>
              <w:jc w:val="right"/>
              <w:rPr>
                <w:i/>
                <w:sz w:val="16"/>
              </w:rPr>
            </w:pPr>
            <w:r w:rsidRPr="00C76B98">
              <w:rPr>
                <w:i/>
                <w:sz w:val="16"/>
              </w:rPr>
              <w:t>Total</w:t>
            </w:r>
          </w:p>
        </w:tc>
      </w:tr>
      <w:tr w:rsidR="00C9789E" w:rsidRPr="00B54042" w:rsidTr="00B77308">
        <w:trPr>
          <w:cantSplit/>
        </w:trPr>
        <w:tc>
          <w:tcPr>
            <w:tcW w:w="1418" w:type="dxa"/>
            <w:tcBorders>
              <w:top w:val="single" w:sz="12" w:space="0" w:color="auto"/>
            </w:tcBorders>
            <w:shd w:val="clear" w:color="auto" w:fill="auto"/>
          </w:tcPr>
          <w:p w:rsidR="00C9789E" w:rsidRPr="00B54042" w:rsidRDefault="00C9789E" w:rsidP="00B54042">
            <w:pPr>
              <w:pStyle w:val="SingleTxtG"/>
              <w:spacing w:before="40" w:after="40" w:line="220" w:lineRule="exact"/>
              <w:ind w:left="0" w:right="113"/>
              <w:jc w:val="left"/>
              <w:rPr>
                <w:sz w:val="18"/>
              </w:rPr>
            </w:pPr>
            <w:r w:rsidRPr="00B54042">
              <w:rPr>
                <w:sz w:val="18"/>
              </w:rPr>
              <w:t>Māori</w:t>
            </w:r>
          </w:p>
        </w:tc>
        <w:tc>
          <w:tcPr>
            <w:tcW w:w="1421" w:type="dxa"/>
            <w:tcBorders>
              <w:top w:val="single" w:sz="12" w:space="0" w:color="auto"/>
            </w:tcBorders>
            <w:shd w:val="clear" w:color="auto" w:fill="auto"/>
            <w:vAlign w:val="bottom"/>
          </w:tcPr>
          <w:p w:rsidR="00C9789E" w:rsidRPr="00B54042" w:rsidRDefault="00C9789E" w:rsidP="00DB5F9E">
            <w:pPr>
              <w:pStyle w:val="SingleTxtG"/>
              <w:spacing w:before="40" w:after="40" w:line="220" w:lineRule="exact"/>
              <w:ind w:left="0" w:right="113"/>
              <w:jc w:val="right"/>
              <w:rPr>
                <w:sz w:val="18"/>
              </w:rPr>
            </w:pPr>
            <w:r w:rsidRPr="00B54042">
              <w:rPr>
                <w:sz w:val="18"/>
              </w:rPr>
              <w:t>2</w:t>
            </w:r>
            <w:r w:rsidR="00DB5F9E">
              <w:rPr>
                <w:sz w:val="18"/>
              </w:rPr>
              <w:t xml:space="preserve"> </w:t>
            </w:r>
            <w:r w:rsidRPr="00B54042">
              <w:rPr>
                <w:sz w:val="18"/>
              </w:rPr>
              <w:t>330</w:t>
            </w:r>
          </w:p>
        </w:tc>
        <w:tc>
          <w:tcPr>
            <w:tcW w:w="1567" w:type="dxa"/>
            <w:tcBorders>
              <w:top w:val="single" w:sz="12" w:space="0" w:color="auto"/>
            </w:tcBorders>
            <w:shd w:val="clear" w:color="auto" w:fill="auto"/>
            <w:vAlign w:val="bottom"/>
          </w:tcPr>
          <w:p w:rsidR="00C9789E" w:rsidRPr="00B54042" w:rsidRDefault="00C9789E" w:rsidP="00DB5F9E">
            <w:pPr>
              <w:pStyle w:val="SingleTxtG"/>
              <w:spacing w:before="40" w:after="40" w:line="220" w:lineRule="exact"/>
              <w:ind w:left="0" w:right="113"/>
              <w:jc w:val="right"/>
              <w:rPr>
                <w:sz w:val="18"/>
              </w:rPr>
            </w:pPr>
            <w:r w:rsidRPr="00B54042">
              <w:rPr>
                <w:sz w:val="18"/>
              </w:rPr>
              <w:t>1</w:t>
            </w:r>
            <w:r w:rsidR="00DB5F9E">
              <w:rPr>
                <w:sz w:val="18"/>
              </w:rPr>
              <w:t xml:space="preserve"> </w:t>
            </w:r>
            <w:r w:rsidRPr="00B54042">
              <w:rPr>
                <w:sz w:val="18"/>
              </w:rPr>
              <w:t>798</w:t>
            </w:r>
          </w:p>
        </w:tc>
        <w:tc>
          <w:tcPr>
            <w:tcW w:w="1567" w:type="dxa"/>
            <w:tcBorders>
              <w:top w:val="single" w:sz="12" w:space="0" w:color="auto"/>
            </w:tcBorders>
            <w:shd w:val="clear" w:color="auto" w:fill="auto"/>
            <w:vAlign w:val="bottom"/>
          </w:tcPr>
          <w:p w:rsidR="00C9789E" w:rsidRPr="00B54042" w:rsidRDefault="00C9789E" w:rsidP="00B54042">
            <w:pPr>
              <w:pStyle w:val="SingleTxtG"/>
              <w:spacing w:before="40" w:after="40" w:line="220" w:lineRule="exact"/>
              <w:ind w:left="0" w:right="113"/>
              <w:jc w:val="right"/>
              <w:rPr>
                <w:sz w:val="18"/>
              </w:rPr>
            </w:pPr>
            <w:r w:rsidRPr="00B54042">
              <w:rPr>
                <w:sz w:val="18"/>
              </w:rPr>
              <w:t>802</w:t>
            </w:r>
          </w:p>
        </w:tc>
        <w:tc>
          <w:tcPr>
            <w:tcW w:w="1397" w:type="dxa"/>
            <w:tcBorders>
              <w:top w:val="single" w:sz="12" w:space="0" w:color="auto"/>
            </w:tcBorders>
            <w:shd w:val="clear" w:color="auto" w:fill="auto"/>
            <w:vAlign w:val="bottom"/>
          </w:tcPr>
          <w:p w:rsidR="00C9789E" w:rsidRPr="00B54042" w:rsidRDefault="00C9789E" w:rsidP="00DB5F9E">
            <w:pPr>
              <w:pStyle w:val="SingleTxtG"/>
              <w:spacing w:before="40" w:after="40" w:line="220" w:lineRule="exact"/>
              <w:ind w:left="0" w:right="113"/>
              <w:jc w:val="right"/>
              <w:rPr>
                <w:sz w:val="18"/>
              </w:rPr>
            </w:pPr>
            <w:r w:rsidRPr="00B54042">
              <w:rPr>
                <w:sz w:val="18"/>
              </w:rPr>
              <w:t>4</w:t>
            </w:r>
            <w:r w:rsidR="00DB5F9E">
              <w:rPr>
                <w:sz w:val="18"/>
              </w:rPr>
              <w:t xml:space="preserve"> </w:t>
            </w:r>
            <w:r w:rsidRPr="00B54042">
              <w:rPr>
                <w:sz w:val="18"/>
              </w:rPr>
              <w:t>930</w:t>
            </w:r>
          </w:p>
        </w:tc>
      </w:tr>
      <w:tr w:rsidR="00C9789E" w:rsidRPr="00B54042" w:rsidTr="00B77308">
        <w:trPr>
          <w:cantSplit/>
        </w:trPr>
        <w:tc>
          <w:tcPr>
            <w:tcW w:w="1418" w:type="dxa"/>
            <w:shd w:val="clear" w:color="auto" w:fill="auto"/>
          </w:tcPr>
          <w:p w:rsidR="00C9789E" w:rsidRPr="00B54042" w:rsidRDefault="00C9789E" w:rsidP="00B54042">
            <w:pPr>
              <w:pStyle w:val="SingleTxtG"/>
              <w:spacing w:before="40" w:after="40" w:line="220" w:lineRule="exact"/>
              <w:ind w:left="0" w:right="113"/>
              <w:jc w:val="left"/>
              <w:rPr>
                <w:sz w:val="18"/>
              </w:rPr>
            </w:pPr>
            <w:r w:rsidRPr="00B54042">
              <w:rPr>
                <w:sz w:val="18"/>
              </w:rPr>
              <w:t>Pasifika</w:t>
            </w:r>
          </w:p>
        </w:tc>
        <w:tc>
          <w:tcPr>
            <w:tcW w:w="1421" w:type="dxa"/>
            <w:shd w:val="clear" w:color="auto" w:fill="auto"/>
            <w:vAlign w:val="bottom"/>
          </w:tcPr>
          <w:p w:rsidR="00C9789E" w:rsidRPr="00B54042" w:rsidRDefault="00C9789E" w:rsidP="00DB5F9E">
            <w:pPr>
              <w:pStyle w:val="SingleTxtG"/>
              <w:spacing w:before="40" w:after="40" w:line="220" w:lineRule="exact"/>
              <w:ind w:left="0" w:right="113"/>
              <w:jc w:val="right"/>
              <w:rPr>
                <w:sz w:val="18"/>
              </w:rPr>
            </w:pPr>
            <w:r w:rsidRPr="00B54042">
              <w:rPr>
                <w:sz w:val="18"/>
              </w:rPr>
              <w:t>2</w:t>
            </w:r>
            <w:r w:rsidR="00DB5F9E">
              <w:rPr>
                <w:sz w:val="18"/>
              </w:rPr>
              <w:t xml:space="preserve"> </w:t>
            </w:r>
            <w:r w:rsidRPr="00B54042">
              <w:rPr>
                <w:sz w:val="18"/>
              </w:rPr>
              <w:t>342</w:t>
            </w:r>
          </w:p>
        </w:tc>
        <w:tc>
          <w:tcPr>
            <w:tcW w:w="1567" w:type="dxa"/>
            <w:shd w:val="clear" w:color="auto" w:fill="auto"/>
            <w:vAlign w:val="bottom"/>
          </w:tcPr>
          <w:p w:rsidR="00C9789E" w:rsidRPr="00B54042" w:rsidRDefault="00C9789E" w:rsidP="00DB5F9E">
            <w:pPr>
              <w:pStyle w:val="SingleTxtG"/>
              <w:spacing w:before="40" w:after="40" w:line="220" w:lineRule="exact"/>
              <w:ind w:left="0" w:right="113"/>
              <w:jc w:val="right"/>
              <w:rPr>
                <w:sz w:val="18"/>
              </w:rPr>
            </w:pPr>
            <w:r w:rsidRPr="00B54042">
              <w:rPr>
                <w:sz w:val="18"/>
              </w:rPr>
              <w:t>1</w:t>
            </w:r>
            <w:r w:rsidR="00DB5F9E">
              <w:rPr>
                <w:sz w:val="18"/>
              </w:rPr>
              <w:t xml:space="preserve"> </w:t>
            </w:r>
            <w:r w:rsidRPr="00B54042">
              <w:rPr>
                <w:sz w:val="18"/>
              </w:rPr>
              <w:t>990</w:t>
            </w:r>
          </w:p>
        </w:tc>
        <w:tc>
          <w:tcPr>
            <w:tcW w:w="1567" w:type="dxa"/>
            <w:shd w:val="clear" w:color="auto" w:fill="auto"/>
            <w:vAlign w:val="bottom"/>
          </w:tcPr>
          <w:p w:rsidR="00C9789E" w:rsidRPr="00B54042" w:rsidRDefault="00C9789E" w:rsidP="00DB5F9E">
            <w:pPr>
              <w:pStyle w:val="SingleTxtG"/>
              <w:spacing w:before="40" w:after="40" w:line="220" w:lineRule="exact"/>
              <w:ind w:left="0" w:right="113"/>
              <w:jc w:val="right"/>
              <w:rPr>
                <w:sz w:val="18"/>
              </w:rPr>
            </w:pPr>
            <w:r w:rsidRPr="00B54042">
              <w:rPr>
                <w:sz w:val="18"/>
              </w:rPr>
              <w:t>1</w:t>
            </w:r>
            <w:r w:rsidR="00DB5F9E">
              <w:rPr>
                <w:sz w:val="18"/>
              </w:rPr>
              <w:t xml:space="preserve"> </w:t>
            </w:r>
            <w:r w:rsidRPr="00B54042">
              <w:rPr>
                <w:sz w:val="18"/>
              </w:rPr>
              <w:t>088</w:t>
            </w:r>
          </w:p>
        </w:tc>
        <w:tc>
          <w:tcPr>
            <w:tcW w:w="1397" w:type="dxa"/>
            <w:shd w:val="clear" w:color="auto" w:fill="auto"/>
            <w:vAlign w:val="bottom"/>
          </w:tcPr>
          <w:p w:rsidR="00C9789E" w:rsidRPr="00B54042" w:rsidRDefault="00DB5F9E" w:rsidP="00B54042">
            <w:pPr>
              <w:pStyle w:val="SingleTxtG"/>
              <w:spacing w:before="40" w:after="40" w:line="220" w:lineRule="exact"/>
              <w:ind w:left="0" w:right="113"/>
              <w:jc w:val="right"/>
              <w:rPr>
                <w:sz w:val="18"/>
              </w:rPr>
            </w:pPr>
            <w:r>
              <w:rPr>
                <w:sz w:val="18"/>
              </w:rPr>
              <w:t xml:space="preserve">5 </w:t>
            </w:r>
            <w:r w:rsidR="00C9789E" w:rsidRPr="00B54042">
              <w:rPr>
                <w:sz w:val="18"/>
              </w:rPr>
              <w:t>420</w:t>
            </w:r>
          </w:p>
        </w:tc>
      </w:tr>
      <w:tr w:rsidR="00C9789E" w:rsidRPr="00B54042" w:rsidTr="00B77308">
        <w:trPr>
          <w:cantSplit/>
        </w:trPr>
        <w:tc>
          <w:tcPr>
            <w:tcW w:w="1418" w:type="dxa"/>
            <w:shd w:val="clear" w:color="auto" w:fill="auto"/>
          </w:tcPr>
          <w:p w:rsidR="00C9789E" w:rsidRPr="00B54042" w:rsidRDefault="00C9789E" w:rsidP="00B54042">
            <w:pPr>
              <w:pStyle w:val="SingleTxtG"/>
              <w:spacing w:before="40" w:after="40" w:line="220" w:lineRule="exact"/>
              <w:ind w:left="0" w:right="113"/>
              <w:jc w:val="left"/>
              <w:rPr>
                <w:sz w:val="18"/>
              </w:rPr>
            </w:pPr>
            <w:r w:rsidRPr="00B54042">
              <w:rPr>
                <w:sz w:val="18"/>
              </w:rPr>
              <w:t>Asian</w:t>
            </w:r>
          </w:p>
        </w:tc>
        <w:tc>
          <w:tcPr>
            <w:tcW w:w="1421" w:type="dxa"/>
            <w:shd w:val="clear" w:color="auto" w:fill="auto"/>
            <w:vAlign w:val="bottom"/>
          </w:tcPr>
          <w:p w:rsidR="00C9789E" w:rsidRPr="00B54042" w:rsidRDefault="00C9789E" w:rsidP="00B54042">
            <w:pPr>
              <w:pStyle w:val="SingleTxtG"/>
              <w:spacing w:before="40" w:after="40" w:line="220" w:lineRule="exact"/>
              <w:ind w:left="0" w:right="113"/>
              <w:jc w:val="right"/>
              <w:rPr>
                <w:sz w:val="18"/>
              </w:rPr>
            </w:pPr>
            <w:r w:rsidRPr="00B54042">
              <w:rPr>
                <w:sz w:val="18"/>
              </w:rPr>
              <w:t>451</w:t>
            </w:r>
          </w:p>
        </w:tc>
        <w:tc>
          <w:tcPr>
            <w:tcW w:w="1567" w:type="dxa"/>
            <w:shd w:val="clear" w:color="auto" w:fill="auto"/>
            <w:vAlign w:val="bottom"/>
          </w:tcPr>
          <w:p w:rsidR="00C9789E" w:rsidRPr="00B54042" w:rsidRDefault="00C9789E" w:rsidP="00B54042">
            <w:pPr>
              <w:pStyle w:val="SingleTxtG"/>
              <w:spacing w:before="40" w:after="40" w:line="220" w:lineRule="exact"/>
              <w:ind w:left="0" w:right="113"/>
              <w:jc w:val="right"/>
              <w:rPr>
                <w:sz w:val="18"/>
              </w:rPr>
            </w:pPr>
            <w:r w:rsidRPr="00B54042">
              <w:rPr>
                <w:sz w:val="18"/>
              </w:rPr>
              <w:t>418</w:t>
            </w:r>
          </w:p>
        </w:tc>
        <w:tc>
          <w:tcPr>
            <w:tcW w:w="1567" w:type="dxa"/>
            <w:shd w:val="clear" w:color="auto" w:fill="auto"/>
            <w:vAlign w:val="bottom"/>
          </w:tcPr>
          <w:p w:rsidR="00C9789E" w:rsidRPr="00B54042" w:rsidRDefault="00C9789E" w:rsidP="00B54042">
            <w:pPr>
              <w:pStyle w:val="SingleTxtG"/>
              <w:spacing w:before="40" w:after="40" w:line="220" w:lineRule="exact"/>
              <w:ind w:left="0" w:right="113"/>
              <w:jc w:val="right"/>
              <w:rPr>
                <w:sz w:val="18"/>
              </w:rPr>
            </w:pPr>
            <w:r w:rsidRPr="00B54042">
              <w:rPr>
                <w:sz w:val="18"/>
              </w:rPr>
              <w:t>287</w:t>
            </w:r>
          </w:p>
        </w:tc>
        <w:tc>
          <w:tcPr>
            <w:tcW w:w="1397" w:type="dxa"/>
            <w:shd w:val="clear" w:color="auto" w:fill="auto"/>
            <w:vAlign w:val="bottom"/>
          </w:tcPr>
          <w:p w:rsidR="00C9789E" w:rsidRPr="00B54042" w:rsidRDefault="00C9789E" w:rsidP="000B27FB">
            <w:pPr>
              <w:pStyle w:val="SingleTxtG"/>
              <w:spacing w:before="40" w:after="40" w:line="220" w:lineRule="exact"/>
              <w:ind w:left="0" w:right="113"/>
              <w:jc w:val="right"/>
              <w:rPr>
                <w:sz w:val="18"/>
              </w:rPr>
            </w:pPr>
            <w:r w:rsidRPr="00B54042">
              <w:rPr>
                <w:sz w:val="18"/>
              </w:rPr>
              <w:t>1</w:t>
            </w:r>
            <w:r w:rsidR="000B27FB">
              <w:rPr>
                <w:sz w:val="18"/>
              </w:rPr>
              <w:t xml:space="preserve"> </w:t>
            </w:r>
            <w:r w:rsidRPr="00B54042">
              <w:rPr>
                <w:sz w:val="18"/>
              </w:rPr>
              <w:t>156</w:t>
            </w:r>
          </w:p>
        </w:tc>
      </w:tr>
      <w:tr w:rsidR="00C9789E" w:rsidRPr="00B54042" w:rsidTr="00B77308">
        <w:trPr>
          <w:cantSplit/>
        </w:trPr>
        <w:tc>
          <w:tcPr>
            <w:tcW w:w="1418" w:type="dxa"/>
            <w:shd w:val="clear" w:color="auto" w:fill="auto"/>
          </w:tcPr>
          <w:p w:rsidR="00C9789E" w:rsidRPr="00B54042" w:rsidRDefault="00B54042" w:rsidP="00B54042">
            <w:pPr>
              <w:pStyle w:val="SingleTxtG"/>
              <w:spacing w:before="40" w:after="40" w:line="220" w:lineRule="exact"/>
              <w:ind w:left="0" w:right="113"/>
              <w:jc w:val="left"/>
              <w:rPr>
                <w:sz w:val="18"/>
              </w:rPr>
            </w:pPr>
            <w:proofErr w:type="spellStart"/>
            <w:r>
              <w:rPr>
                <w:sz w:val="18"/>
              </w:rPr>
              <w:t>Pakēhā</w:t>
            </w:r>
            <w:proofErr w:type="spellEnd"/>
            <w:r>
              <w:rPr>
                <w:sz w:val="18"/>
              </w:rPr>
              <w:t>/</w:t>
            </w:r>
            <w:r w:rsidR="00C9789E" w:rsidRPr="00B54042">
              <w:rPr>
                <w:sz w:val="18"/>
              </w:rPr>
              <w:t>European</w:t>
            </w:r>
          </w:p>
        </w:tc>
        <w:tc>
          <w:tcPr>
            <w:tcW w:w="1421" w:type="dxa"/>
            <w:shd w:val="clear" w:color="auto" w:fill="auto"/>
            <w:vAlign w:val="bottom"/>
          </w:tcPr>
          <w:p w:rsidR="00C9789E" w:rsidRPr="00B54042" w:rsidRDefault="00DB5F9E" w:rsidP="00B54042">
            <w:pPr>
              <w:pStyle w:val="SingleTxtG"/>
              <w:spacing w:before="40" w:after="40" w:line="220" w:lineRule="exact"/>
              <w:ind w:left="0" w:right="113"/>
              <w:jc w:val="right"/>
              <w:rPr>
                <w:sz w:val="18"/>
              </w:rPr>
            </w:pPr>
            <w:r>
              <w:rPr>
                <w:sz w:val="18"/>
              </w:rPr>
              <w:t xml:space="preserve">1 </w:t>
            </w:r>
            <w:r w:rsidR="00C9789E" w:rsidRPr="00B54042">
              <w:rPr>
                <w:sz w:val="18"/>
              </w:rPr>
              <w:t>196</w:t>
            </w:r>
          </w:p>
        </w:tc>
        <w:tc>
          <w:tcPr>
            <w:tcW w:w="1567" w:type="dxa"/>
            <w:shd w:val="clear" w:color="auto" w:fill="auto"/>
            <w:vAlign w:val="bottom"/>
          </w:tcPr>
          <w:p w:rsidR="00C9789E" w:rsidRPr="00B54042" w:rsidRDefault="00C9789E" w:rsidP="00B54042">
            <w:pPr>
              <w:pStyle w:val="SingleTxtG"/>
              <w:spacing w:before="40" w:after="40" w:line="220" w:lineRule="exact"/>
              <w:ind w:left="0" w:right="113"/>
              <w:jc w:val="right"/>
              <w:rPr>
                <w:sz w:val="18"/>
              </w:rPr>
            </w:pPr>
            <w:r w:rsidRPr="00B54042">
              <w:rPr>
                <w:sz w:val="18"/>
              </w:rPr>
              <w:t>982</w:t>
            </w:r>
          </w:p>
        </w:tc>
        <w:tc>
          <w:tcPr>
            <w:tcW w:w="1567" w:type="dxa"/>
            <w:shd w:val="clear" w:color="auto" w:fill="auto"/>
            <w:vAlign w:val="bottom"/>
          </w:tcPr>
          <w:p w:rsidR="00C9789E" w:rsidRPr="00B54042" w:rsidRDefault="00C9789E" w:rsidP="00B54042">
            <w:pPr>
              <w:pStyle w:val="SingleTxtG"/>
              <w:spacing w:before="40" w:after="40" w:line="220" w:lineRule="exact"/>
              <w:ind w:left="0" w:right="113"/>
              <w:jc w:val="right"/>
              <w:rPr>
                <w:sz w:val="18"/>
              </w:rPr>
            </w:pPr>
            <w:r w:rsidRPr="00B54042">
              <w:rPr>
                <w:sz w:val="18"/>
              </w:rPr>
              <w:t>502</w:t>
            </w:r>
          </w:p>
        </w:tc>
        <w:tc>
          <w:tcPr>
            <w:tcW w:w="1397" w:type="dxa"/>
            <w:shd w:val="clear" w:color="auto" w:fill="auto"/>
            <w:vAlign w:val="bottom"/>
          </w:tcPr>
          <w:p w:rsidR="00C9789E" w:rsidRPr="00B54042" w:rsidRDefault="00C9789E" w:rsidP="000B27FB">
            <w:pPr>
              <w:pStyle w:val="SingleTxtG"/>
              <w:spacing w:before="40" w:after="40" w:line="220" w:lineRule="exact"/>
              <w:ind w:left="0" w:right="113"/>
              <w:jc w:val="right"/>
              <w:rPr>
                <w:sz w:val="18"/>
              </w:rPr>
            </w:pPr>
            <w:r w:rsidRPr="00B54042">
              <w:rPr>
                <w:sz w:val="18"/>
              </w:rPr>
              <w:t>2</w:t>
            </w:r>
            <w:r w:rsidR="000B27FB">
              <w:rPr>
                <w:sz w:val="18"/>
              </w:rPr>
              <w:t xml:space="preserve"> </w:t>
            </w:r>
            <w:r w:rsidRPr="00B54042">
              <w:rPr>
                <w:sz w:val="18"/>
              </w:rPr>
              <w:t>680</w:t>
            </w:r>
          </w:p>
        </w:tc>
      </w:tr>
    </w:tbl>
    <w:p w:rsidR="00C9789E" w:rsidRPr="00F62F1C" w:rsidRDefault="00C9789E" w:rsidP="00706221">
      <w:pPr>
        <w:pStyle w:val="SingleTxtG"/>
      </w:pPr>
      <w:r w:rsidRPr="00F62F1C">
        <w:lastRenderedPageBreak/>
        <w:t>220.</w:t>
      </w:r>
      <w:r w:rsidRPr="00F62F1C">
        <w:tab/>
        <w:t xml:space="preserve">The Government does not hold data on educational outcomes for children from disadvantaged and marginalized households disaggregated by family status. </w:t>
      </w:r>
    </w:p>
    <w:p w:rsidR="00C9789E" w:rsidRPr="00F62F1C" w:rsidRDefault="00C9789E" w:rsidP="00DA3A45">
      <w:pPr>
        <w:pStyle w:val="H23G"/>
      </w:pPr>
      <w:r w:rsidRPr="00F62F1C">
        <w:tab/>
      </w:r>
      <w:r w:rsidRPr="00F62F1C">
        <w:tab/>
        <w:t>Support and funding</w:t>
      </w:r>
    </w:p>
    <w:p w:rsidR="00C9789E" w:rsidRPr="00F62F1C" w:rsidRDefault="00C9789E" w:rsidP="00706221">
      <w:pPr>
        <w:pStyle w:val="SingleTxtG"/>
      </w:pPr>
      <w:r w:rsidRPr="00F62F1C">
        <w:t>221.</w:t>
      </w:r>
      <w:r w:rsidRPr="00F62F1C">
        <w:tab/>
        <w:t xml:space="preserve">The Government provides subsidies for all children aged 0-5 to participate in early childhood education (ECE). Parents of 3, 4 and 5 year olds are not charged fees for up to 20 hours ECE per week. In addition, the Government provides assistance with ECE fees for low and middle-income parents through a childcare subsidy. </w:t>
      </w:r>
    </w:p>
    <w:p w:rsidR="00C9789E" w:rsidRPr="00F62F1C" w:rsidRDefault="00C9789E" w:rsidP="00706221">
      <w:pPr>
        <w:pStyle w:val="SingleTxtG"/>
      </w:pPr>
      <w:r w:rsidRPr="00F62F1C">
        <w:t>222.</w:t>
      </w:r>
      <w:r w:rsidRPr="00F62F1C">
        <w:tab/>
        <w:t>Every person who is not an international student is entitled to free enrolment and free education at any State school or partnership school/</w:t>
      </w:r>
      <w:proofErr w:type="spellStart"/>
      <w:r w:rsidRPr="00F62F1C">
        <w:t>kura</w:t>
      </w:r>
      <w:proofErr w:type="spellEnd"/>
      <w:r w:rsidRPr="00F62F1C">
        <w:t xml:space="preserve"> </w:t>
      </w:r>
      <w:proofErr w:type="spellStart"/>
      <w:r w:rsidRPr="00F62F1C">
        <w:t>hourua</w:t>
      </w:r>
      <w:proofErr w:type="spellEnd"/>
      <w:r w:rsidRPr="00F62F1C">
        <w:t xml:space="preserve"> during the period beginning on the person</w:t>
      </w:r>
      <w:r w:rsidR="00D34D95">
        <w:t>’</w:t>
      </w:r>
      <w:r w:rsidRPr="00F62F1C">
        <w:t>s fifth birthday and ending on 1 January after the person</w:t>
      </w:r>
      <w:r w:rsidR="00D34D95">
        <w:t>’</w:t>
      </w:r>
      <w:r w:rsidRPr="00F62F1C">
        <w:t xml:space="preserve">s 19th birthday. This access is enshrined in legislation. </w:t>
      </w:r>
    </w:p>
    <w:p w:rsidR="00C9789E" w:rsidRPr="00F62F1C" w:rsidRDefault="00C9789E" w:rsidP="00706221">
      <w:pPr>
        <w:pStyle w:val="SingleTxtG"/>
      </w:pPr>
      <w:r w:rsidRPr="00F62F1C">
        <w:t>223.</w:t>
      </w:r>
      <w:r w:rsidRPr="00F62F1C">
        <w:tab/>
        <w:t xml:space="preserve">The Government funds school transport, such as school buses, to help students access publicly funded education, and funds schools directly to provide support for the majority of children with special education needs. The Government also provides extra support, through funding, resources and expertise, to schools working with refugees and migrants, including English for Speakers of Other Languages support. </w:t>
      </w:r>
    </w:p>
    <w:p w:rsidR="00C9789E" w:rsidRPr="00F62F1C" w:rsidRDefault="00C9789E" w:rsidP="00706221">
      <w:pPr>
        <w:pStyle w:val="SingleTxtG"/>
      </w:pPr>
      <w:r w:rsidRPr="00F62F1C">
        <w:t>224.</w:t>
      </w:r>
      <w:r w:rsidRPr="00F62F1C">
        <w:tab/>
        <w:t>The schools</w:t>
      </w:r>
      <w:r w:rsidR="00D34D95">
        <w:t>’</w:t>
      </w:r>
      <w:r w:rsidRPr="00F62F1C">
        <w:t xml:space="preserve"> funding system is designed to promote equal access. A component of schools</w:t>
      </w:r>
      <w:r w:rsidR="00D34D95">
        <w:t>’</w:t>
      </w:r>
      <w:r w:rsidRPr="00F62F1C">
        <w:t xml:space="preserve"> operational funding is calculated on the basis of pupil numbers and a socio-economic decile rating for the school, which reflects the needs of the community from which its students are drawn. This helps Government deliver extra support to communities that face the greatest barriers to educational achievement. </w:t>
      </w:r>
    </w:p>
    <w:p w:rsidR="00C9789E" w:rsidRPr="00F62F1C" w:rsidRDefault="00C9789E" w:rsidP="00706221">
      <w:pPr>
        <w:pStyle w:val="SingleTxtG"/>
      </w:pPr>
      <w:r w:rsidRPr="00F62F1C">
        <w:t>225.</w:t>
      </w:r>
      <w:r w:rsidRPr="00F62F1C">
        <w:tab/>
        <w:t xml:space="preserve">A range of funding supports and mechanisms are in place to support secondary schools to offer a diverse mix of both general education and vocational education opportunities to students in their final years. For those for whom mainstream schooling is not an option or who are at risk of not succeeding in mainstream schooling, there are a range of alternative options including alternative education programmes for all 13-15 year olds; Partnership Schools/Kura Hourua, or Teen Parent units available to pregnant learners or young parents. </w:t>
      </w:r>
    </w:p>
    <w:p w:rsidR="00C9789E" w:rsidRPr="00F62F1C" w:rsidRDefault="00C9789E" w:rsidP="00706221">
      <w:pPr>
        <w:pStyle w:val="SingleTxtG"/>
      </w:pPr>
      <w:r w:rsidRPr="00F62F1C">
        <w:t>226.</w:t>
      </w:r>
      <w:r w:rsidRPr="00F62F1C">
        <w:tab/>
      </w:r>
      <w:proofErr w:type="spellStart"/>
      <w:r w:rsidRPr="00F62F1C">
        <w:t>Te</w:t>
      </w:r>
      <w:proofErr w:type="spellEnd"/>
      <w:r w:rsidRPr="00F62F1C">
        <w:t xml:space="preserve"> </w:t>
      </w:r>
      <w:proofErr w:type="spellStart"/>
      <w:r w:rsidRPr="00F62F1C">
        <w:t>Aho</w:t>
      </w:r>
      <w:proofErr w:type="spellEnd"/>
      <w:r w:rsidRPr="00F62F1C">
        <w:t xml:space="preserve"> o </w:t>
      </w:r>
      <w:proofErr w:type="spellStart"/>
      <w:r w:rsidRPr="00F62F1C">
        <w:t>Te</w:t>
      </w:r>
      <w:proofErr w:type="spellEnd"/>
      <w:r w:rsidRPr="00F62F1C">
        <w:t xml:space="preserve"> Kura Pounamu, the New Zealand Correspondence School, provides distance education for students from early childhood to secondary level who cannot attend a school to access face-to-face education because they live in remote or inaccessible areas, because they are overseas, because they are transient, or because of illness or other special reasons. </w:t>
      </w:r>
    </w:p>
    <w:p w:rsidR="00C9789E" w:rsidRPr="00F62F1C" w:rsidRDefault="00C9789E" w:rsidP="00706221">
      <w:pPr>
        <w:pStyle w:val="SingleTxtG"/>
      </w:pPr>
      <w:r w:rsidRPr="00F62F1C">
        <w:t>227.</w:t>
      </w:r>
      <w:r w:rsidRPr="00F62F1C">
        <w:tab/>
        <w:t>Although most students pay a fee to access tertiary education, the Government subsidises approximately 71 percent of the cost of tertiary education in order to ensure equitable access. Student support is provided to increase access to tertiary education through the New Zealand Student Loan Scheme and the New Zealand Student Allowance Scheme.</w:t>
      </w:r>
    </w:p>
    <w:p w:rsidR="00C9789E" w:rsidRPr="00F62F1C" w:rsidRDefault="00C9789E" w:rsidP="00973860">
      <w:pPr>
        <w:pStyle w:val="HChG"/>
      </w:pPr>
      <w:r w:rsidRPr="00F62F1C">
        <w:tab/>
      </w:r>
      <w:bookmarkStart w:id="77" w:name="_Toc494359798"/>
      <w:r w:rsidRPr="00F62F1C">
        <w:t>IV.</w:t>
      </w:r>
      <w:r w:rsidRPr="00F62F1C">
        <w:tab/>
        <w:t>Good practices</w:t>
      </w:r>
      <w:bookmarkEnd w:id="74"/>
      <w:bookmarkEnd w:id="77"/>
    </w:p>
    <w:p w:rsidR="00C9789E" w:rsidRPr="00F62F1C" w:rsidRDefault="00C9789E" w:rsidP="00706221">
      <w:pPr>
        <w:pStyle w:val="SingleTxtG"/>
      </w:pPr>
      <w:r w:rsidRPr="00F62F1C">
        <w:t>228.</w:t>
      </w:r>
      <w:r w:rsidRPr="00F62F1C">
        <w:tab/>
        <w:t>New Zealand engages in good faith with the recommendations of Treaty bodies and Government agencies work together to progress recommendations where appropriate. In many cases the recommendations align with Government objectives and priorities as demonstrated in the various examples throughout this report.</w:t>
      </w:r>
    </w:p>
    <w:p w:rsidR="00C9789E" w:rsidRPr="00F62F1C" w:rsidRDefault="00C9789E" w:rsidP="00611E6F">
      <w:pPr>
        <w:pStyle w:val="H23G"/>
      </w:pPr>
      <w:r w:rsidRPr="00F62F1C">
        <w:tab/>
      </w:r>
      <w:r w:rsidRPr="00F62F1C">
        <w:tab/>
        <w:t>Human Rights Commission</w:t>
      </w:r>
      <w:r w:rsidR="00D34D95">
        <w:t>’</w:t>
      </w:r>
      <w:r w:rsidRPr="00F62F1C">
        <w:t>s National Plan of Action for Human Rights</w:t>
      </w:r>
    </w:p>
    <w:p w:rsidR="00C9789E" w:rsidRPr="00F62F1C" w:rsidRDefault="00C9789E" w:rsidP="00706221">
      <w:pPr>
        <w:pStyle w:val="SingleTxtG"/>
      </w:pPr>
      <w:r w:rsidRPr="00F62F1C">
        <w:t>229.</w:t>
      </w:r>
      <w:r w:rsidRPr="00F62F1C">
        <w:tab/>
        <w:t>The previous concluding recommendations recommended New Zealand continues to work with the Human Rights Commission on the development and implementation of the Human Rights Commission</w:t>
      </w:r>
      <w:r w:rsidR="00D34D95">
        <w:t>’</w:t>
      </w:r>
      <w:r w:rsidRPr="00F62F1C">
        <w:t xml:space="preserve">s online National Plan of Action for Human Rights (http://npa.hrc.co.nz/#/). The current action plan sets out and tracks actions the Government is taking to protect and promote Human Rights as a result of the commitments it made through its second Universal Periodic Review before the United Nations Human Rights </w:t>
      </w:r>
      <w:r w:rsidRPr="00F62F1C">
        <w:lastRenderedPageBreak/>
        <w:t xml:space="preserve">Council in 2014. Seventy-eight recommendations made by the Human Rights Council relate to Covenant rights and 71 of those recommendations were accepted by the Government. </w:t>
      </w:r>
    </w:p>
    <w:p w:rsidR="00C9789E" w:rsidRPr="00F62F1C" w:rsidRDefault="00C9789E" w:rsidP="006C1351">
      <w:pPr>
        <w:pStyle w:val="H23G"/>
      </w:pPr>
      <w:r w:rsidRPr="00F62F1C">
        <w:tab/>
      </w:r>
      <w:r w:rsidRPr="00F62F1C">
        <w:tab/>
        <w:t xml:space="preserve">Human Rights Amendment Act 2016 </w:t>
      </w:r>
    </w:p>
    <w:p w:rsidR="00C9789E" w:rsidRPr="00F62F1C" w:rsidRDefault="00C9789E" w:rsidP="00706221">
      <w:pPr>
        <w:pStyle w:val="SingleTxtG"/>
      </w:pPr>
      <w:r w:rsidRPr="00F62F1C">
        <w:t>230.</w:t>
      </w:r>
      <w:r w:rsidRPr="00F62F1C">
        <w:tab/>
        <w:t>The previous concluding recommendations recommended New Zealand ensure the position of Disability Commissioner is established on a permanent basis. In 2016 Parliament amended the Human Rights Act 1993 to make changes to the structure and functions of the Human Rights Commission. The amendment established a Commissioner responsible for disability rights.</w:t>
      </w:r>
      <w:r w:rsidR="0023775B">
        <w:t xml:space="preserve"> </w:t>
      </w:r>
      <w:r w:rsidRPr="00F62F1C">
        <w:t>The amendment also gives the Commission greater flexibility to address emerging human rights issues by enabling the Chief Human Rights Commissioner to establish new portfolio responsibilities.</w:t>
      </w:r>
    </w:p>
    <w:p w:rsidR="00C9789E" w:rsidRPr="00F62F1C" w:rsidRDefault="00C9789E" w:rsidP="00DF1AE3">
      <w:pPr>
        <w:pStyle w:val="H23G"/>
      </w:pPr>
      <w:r w:rsidRPr="00F62F1C">
        <w:tab/>
      </w:r>
      <w:r w:rsidRPr="00F62F1C">
        <w:tab/>
        <w:t xml:space="preserve">Disability Data and Evidence Working Group </w:t>
      </w:r>
    </w:p>
    <w:p w:rsidR="00C9789E" w:rsidRPr="00F62F1C" w:rsidRDefault="00C9789E" w:rsidP="00706221">
      <w:pPr>
        <w:pStyle w:val="SingleTxtG"/>
      </w:pPr>
      <w:r w:rsidRPr="00F62F1C">
        <w:t>231.</w:t>
      </w:r>
      <w:r w:rsidRPr="00F62F1C">
        <w:tab/>
        <w:t xml:space="preserve">The Committee urged New Zealand to collect data to monitor the enjoyment of Covenant rights by persons with disabilities. In New Zealand there is no single policy or operational definition of </w:t>
      </w:r>
      <w:r w:rsidR="00DA3757">
        <w:t>“</w:t>
      </w:r>
      <w:r w:rsidRPr="00F62F1C">
        <w:t>disability</w:t>
      </w:r>
      <w:r w:rsidR="00DA3757">
        <w:t>”</w:t>
      </w:r>
      <w:r w:rsidRPr="00F62F1C">
        <w:t xml:space="preserve"> or what constitutes a disabled person. This lack of consistency has created a range of barriers to effectively measuring whether efforts to ensure their rights under the Covenant are effective. The Government has established a Disability Data and Evidence Working Group to improve data collection and information on disabled people in New Zealand.</w:t>
      </w:r>
    </w:p>
    <w:p w:rsidR="00C9789E" w:rsidRPr="00F62F1C" w:rsidRDefault="00C9789E" w:rsidP="00706221">
      <w:pPr>
        <w:pStyle w:val="SingleTxtG"/>
      </w:pPr>
      <w:r w:rsidRPr="00F62F1C">
        <w:t>232.</w:t>
      </w:r>
      <w:r w:rsidRPr="00F62F1C">
        <w:tab/>
        <w:t>The Disability Data and Evidence Working Group has been developing a Disability Data and Evidence Plan. It is now proposed that the development of the Outcomes Framework for the New Zealand Disability Strategy and the Disability Data and Evidence Plan be combined in a single programme of work to be completed by the end of 2017. This will allow New Zealand to assess the effectiveness of existing measures, and continue to make improvements to the mix of services that are available to disabled people.</w:t>
      </w:r>
    </w:p>
    <w:p w:rsidR="00C9789E" w:rsidRPr="00F62F1C" w:rsidRDefault="00C9789E" w:rsidP="00DC0C62">
      <w:pPr>
        <w:pStyle w:val="H23G"/>
      </w:pPr>
      <w:r w:rsidRPr="00F62F1C">
        <w:tab/>
      </w:r>
      <w:r w:rsidRPr="00F62F1C">
        <w:tab/>
        <w:t>Official Development Assistance</w:t>
      </w:r>
    </w:p>
    <w:p w:rsidR="00C9789E" w:rsidRPr="00F62F1C" w:rsidRDefault="00C9789E" w:rsidP="00706221">
      <w:pPr>
        <w:pStyle w:val="SingleTxtG"/>
      </w:pPr>
      <w:r w:rsidRPr="00F62F1C">
        <w:t>233.</w:t>
      </w:r>
      <w:r w:rsidRPr="00F62F1C">
        <w:tab/>
        <w:t>The Committee encouraged the Government to increase the level of its contribution of official development assistance (ODA) with a view to attaining the United Nations target of 0.7 percent of gross national income (GNI).</w:t>
      </w:r>
    </w:p>
    <w:p w:rsidR="00C9789E" w:rsidRPr="00F62F1C" w:rsidRDefault="00C9789E" w:rsidP="00706221">
      <w:pPr>
        <w:pStyle w:val="SingleTxtG"/>
      </w:pPr>
      <w:r w:rsidRPr="00F62F1C">
        <w:t>234.</w:t>
      </w:r>
      <w:r w:rsidRPr="00F62F1C">
        <w:tab/>
        <w:t xml:space="preserve">From 2002 to 2009, New Zealand increased Vote ODA progressively to achieve a higher level of </w:t>
      </w:r>
      <w:proofErr w:type="gramStart"/>
      <w:r w:rsidRPr="00F62F1C">
        <w:t>ODA:GNI</w:t>
      </w:r>
      <w:proofErr w:type="gramEnd"/>
      <w:r w:rsidRPr="00F62F1C">
        <w:t>. Due to significant fiscal pressures arising from the Christchurch earthquakes, further planned increases to a target of NZ$600 million were spread over a longer time period. Vote ODA is now set to rise to NZ$660 million in 2017/18. Since 2009/10, budget increases for Vote ODA have been based on performance and delivery of outcomes, rather than ODA: GNI targets.</w:t>
      </w:r>
    </w:p>
    <w:p w:rsidR="00C9789E" w:rsidRPr="00F62F1C" w:rsidRDefault="00C9789E" w:rsidP="00DC0C62">
      <w:pPr>
        <w:pStyle w:val="H23G"/>
      </w:pPr>
      <w:r w:rsidRPr="00F62F1C">
        <w:tab/>
      </w:r>
      <w:r w:rsidRPr="00F62F1C">
        <w:tab/>
        <w:t>International Human Rights Framework</w:t>
      </w:r>
    </w:p>
    <w:p w:rsidR="00C9789E" w:rsidRPr="00F62F1C" w:rsidRDefault="00C9789E" w:rsidP="00706221">
      <w:pPr>
        <w:pStyle w:val="SingleTxtG"/>
      </w:pPr>
      <w:r w:rsidRPr="00F62F1C">
        <w:t>235.</w:t>
      </w:r>
      <w:r w:rsidRPr="00F62F1C">
        <w:tab/>
        <w:t>The Committee recommended the State party adopt such measures to enable it to withdraw its reservation to article 8 of the Covenant. The position of New Zealand has not changed since the previous reporting period. Further information on New Zealand</w:t>
      </w:r>
      <w:r w:rsidR="00D34D95">
        <w:t>’</w:t>
      </w:r>
      <w:r w:rsidRPr="00F62F1C">
        <w:t>s reservation in relation to Article 8 can be found in paragraphs 183 and 184 of the second periodic report.</w:t>
      </w:r>
    </w:p>
    <w:p w:rsidR="00C9789E" w:rsidRPr="00F62F1C" w:rsidRDefault="00C9789E" w:rsidP="00706221">
      <w:pPr>
        <w:pStyle w:val="SingleTxtG"/>
      </w:pPr>
      <w:r w:rsidRPr="00F62F1C">
        <w:t>236.</w:t>
      </w:r>
      <w:r w:rsidRPr="00F62F1C">
        <w:tab/>
        <w:t xml:space="preserve">The Committee encouraged the State to ratify the Optional Protocol to the Covenant. While the Government is not considering ratification of the OP-ICESCR at this stage, this may be reviewed later. </w:t>
      </w:r>
    </w:p>
    <w:p w:rsidR="00C9789E" w:rsidRPr="00F62F1C" w:rsidRDefault="00C9789E" w:rsidP="00706221">
      <w:pPr>
        <w:pStyle w:val="SingleTxtG"/>
      </w:pPr>
      <w:r w:rsidRPr="00F62F1C">
        <w:t>237.</w:t>
      </w:r>
      <w:r w:rsidRPr="00F62F1C">
        <w:tab/>
        <w:t>The Committee also encouraged the State to consider signing and ratifying:</w:t>
      </w:r>
    </w:p>
    <w:p w:rsidR="00C9789E" w:rsidRPr="00F62F1C" w:rsidRDefault="00654D5A" w:rsidP="00654D5A">
      <w:pPr>
        <w:pStyle w:val="Bullet1G"/>
      </w:pPr>
      <w:r w:rsidRPr="00F62F1C">
        <w:t xml:space="preserve">The </w:t>
      </w:r>
      <w:r w:rsidR="00C9789E" w:rsidRPr="00F62F1C">
        <w:t>Convention for the Protection of the Rights of all Migrant Workers and Members of their Families (ICRMW). New Zealand is not considering ratifying the ICRMW at this stage;</w:t>
      </w:r>
    </w:p>
    <w:p w:rsidR="00C9789E" w:rsidRPr="00F62F1C" w:rsidRDefault="000A5A19" w:rsidP="000A5A19">
      <w:pPr>
        <w:pStyle w:val="Bullet1G"/>
      </w:pPr>
      <w:r w:rsidRPr="00F62F1C">
        <w:lastRenderedPageBreak/>
        <w:t xml:space="preserve">The </w:t>
      </w:r>
      <w:r w:rsidR="00C9789E" w:rsidRPr="00F62F1C">
        <w:t>International Convention for the Protection of all Persons from Enforced Disappearance (CPED). The Government will consider by the end of 2017 whether to ratify CPED subject to the established Parliamentary treaty examination process;</w:t>
      </w:r>
    </w:p>
    <w:p w:rsidR="00C9789E" w:rsidRPr="00F62F1C" w:rsidRDefault="000A5A19" w:rsidP="000A5A19">
      <w:pPr>
        <w:pStyle w:val="Bullet1G"/>
      </w:pPr>
      <w:r w:rsidRPr="00F62F1C">
        <w:t xml:space="preserve">The </w:t>
      </w:r>
      <w:r w:rsidR="00C9789E" w:rsidRPr="00F62F1C">
        <w:t>Optional Protocol to the Convention on the Rights of Persons with Disabilities (OP–CRPD). The Government has acceded to the OPCRPD therefore allowing external review of enjoyment and exercise of economic social and cultural rights;</w:t>
      </w:r>
    </w:p>
    <w:p w:rsidR="00C9789E" w:rsidRPr="00F62F1C" w:rsidRDefault="000A5A19" w:rsidP="000A5A19">
      <w:pPr>
        <w:pStyle w:val="Bullet1G"/>
      </w:pPr>
      <w:r w:rsidRPr="00F62F1C">
        <w:t xml:space="preserve">The </w:t>
      </w:r>
      <w:r w:rsidR="00C9789E" w:rsidRPr="00F62F1C">
        <w:t xml:space="preserve">Optional Protocol to the Convention on the Rights of the Child on a communications procedure. The Government began the process to establish a position on signing and ratifying the OP-CRC. </w:t>
      </w:r>
    </w:p>
    <w:p w:rsidR="00C9789E" w:rsidRPr="00F62F1C" w:rsidRDefault="00C9789E" w:rsidP="00032297">
      <w:pPr>
        <w:pStyle w:val="H23G"/>
      </w:pPr>
      <w:r w:rsidRPr="00F62F1C">
        <w:tab/>
      </w:r>
      <w:r w:rsidRPr="00F62F1C">
        <w:tab/>
        <w:t>Right to sanitation</w:t>
      </w:r>
    </w:p>
    <w:p w:rsidR="00C9789E" w:rsidRPr="00F62F1C" w:rsidRDefault="00C9789E" w:rsidP="00706221">
      <w:pPr>
        <w:pStyle w:val="SingleTxtG"/>
      </w:pPr>
      <w:r w:rsidRPr="00F62F1C">
        <w:t>238.</w:t>
      </w:r>
      <w:r w:rsidRPr="00F62F1C">
        <w:tab/>
        <w:t>The last concluding observations recommended this report provide information on the impact of measures taken to ensure access to full time health</w:t>
      </w:r>
      <w:r w:rsidR="00E9692A">
        <w:t>-</w:t>
      </w:r>
      <w:r w:rsidRPr="00F62F1C">
        <w:t>care services and improved sewerage systems among communities in rural and remote areas.</w:t>
      </w:r>
      <w:r w:rsidR="0023775B">
        <w:t xml:space="preserve"> </w:t>
      </w:r>
    </w:p>
    <w:p w:rsidR="00C9789E" w:rsidRPr="00F62F1C" w:rsidRDefault="00C9789E" w:rsidP="00706221">
      <w:pPr>
        <w:pStyle w:val="SingleTxtG"/>
      </w:pPr>
      <w:r w:rsidRPr="00F62F1C">
        <w:t>239.</w:t>
      </w:r>
      <w:r w:rsidRPr="00F62F1C">
        <w:tab/>
        <w:t xml:space="preserve">The New Zealand Government established a sewerage subsidy scheme in 2002 to assist small to medium </w:t>
      </w:r>
      <w:proofErr w:type="gramStart"/>
      <w:r w:rsidRPr="00F62F1C">
        <w:t>communities</w:t>
      </w:r>
      <w:proofErr w:type="gramEnd"/>
      <w:r w:rsidRPr="00F62F1C">
        <w:t xml:space="preserve"> upgrade or build sewage treatment and disposal systems, particularly in rural, disadvantaged areas.</w:t>
      </w:r>
      <w:r w:rsidR="0023775B">
        <w:t xml:space="preserve"> </w:t>
      </w:r>
      <w:r w:rsidRPr="00F62F1C">
        <w:t>The sewerage subsidy scheme ended on 30 June 2013. Sixty-seven projects were completed, with a total subsidy value of $135.1 million. A further three projects remain to be completed, as they have had consultation/planning difficulties and have not yet started construction.</w:t>
      </w:r>
      <w:r w:rsidR="0023775B">
        <w:t xml:space="preserve"> </w:t>
      </w:r>
      <w:r w:rsidRPr="00F62F1C">
        <w:t>In addition, a drinking-water subsidy scheme operated from 2005 to 2015.</w:t>
      </w:r>
      <w:r w:rsidR="0023775B">
        <w:t xml:space="preserve"> </w:t>
      </w:r>
      <w:r w:rsidRPr="00F62F1C">
        <w:t xml:space="preserve">If all projects approved or currently underway are successfully completed, the Government will have provided over $96.5 million (excluding GST) to help small disadvantaged communities improve their drinking-water. Over 130,000 people will receive safer and more secure water supplies. </w:t>
      </w:r>
    </w:p>
    <w:p w:rsidR="006E2BE2" w:rsidRDefault="00A50328">
      <w:pPr>
        <w:spacing w:before="240"/>
        <w:jc w:val="center"/>
        <w:rPr>
          <w:u w:val="single"/>
        </w:rPr>
      </w:pPr>
      <w:r>
        <w:rPr>
          <w:u w:val="single"/>
        </w:rPr>
        <w:tab/>
      </w:r>
      <w:r>
        <w:rPr>
          <w:u w:val="single"/>
        </w:rPr>
        <w:tab/>
      </w:r>
      <w:r>
        <w:rPr>
          <w:u w:val="single"/>
        </w:rPr>
        <w:tab/>
      </w:r>
    </w:p>
    <w:sectPr w:rsidR="006E2BE2" w:rsidSect="00C9789E">
      <w:headerReference w:type="even" r:id="rId12"/>
      <w:headerReference w:type="default" r:id="rId13"/>
      <w:footerReference w:type="even" r:id="rId14"/>
      <w:footerReference w:type="default" r:id="rId15"/>
      <w:footerReference w:type="first" r:id="rId16"/>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B2239" w:rsidRPr="00FB1744" w:rsidRDefault="00EB2239" w:rsidP="00FB1744">
      <w:pPr>
        <w:pStyle w:val="Footer"/>
      </w:pPr>
    </w:p>
  </w:endnote>
  <w:endnote w:type="continuationSeparator" w:id="0">
    <w:p w:rsidR="00EB2239" w:rsidRPr="00FB1744" w:rsidRDefault="00EB2239"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2239" w:rsidRPr="00C9789E" w:rsidRDefault="00EB2239" w:rsidP="00C9789E">
    <w:pPr>
      <w:pStyle w:val="Footer"/>
      <w:tabs>
        <w:tab w:val="right" w:pos="9598"/>
      </w:tabs>
    </w:pPr>
    <w:r w:rsidRPr="00C9789E">
      <w:rPr>
        <w:b/>
        <w:sz w:val="18"/>
      </w:rPr>
      <w:fldChar w:fldCharType="begin"/>
    </w:r>
    <w:r w:rsidRPr="00C9789E">
      <w:rPr>
        <w:b/>
        <w:sz w:val="18"/>
      </w:rPr>
      <w:instrText xml:space="preserve"> PAGE  \* MERGEFORMAT </w:instrText>
    </w:r>
    <w:r w:rsidRPr="00C9789E">
      <w:rPr>
        <w:b/>
        <w:sz w:val="18"/>
      </w:rPr>
      <w:fldChar w:fldCharType="separate"/>
    </w:r>
    <w:r w:rsidR="00232FB3">
      <w:rPr>
        <w:b/>
        <w:noProof/>
        <w:sz w:val="18"/>
      </w:rPr>
      <w:t>44</w:t>
    </w:r>
    <w:r w:rsidRPr="00C9789E">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2239" w:rsidRPr="00C9789E" w:rsidRDefault="00EB2239" w:rsidP="00C9789E">
    <w:pPr>
      <w:pStyle w:val="Footer"/>
      <w:tabs>
        <w:tab w:val="right" w:pos="9598"/>
      </w:tabs>
      <w:rPr>
        <w:b/>
        <w:sz w:val="18"/>
      </w:rPr>
    </w:pPr>
    <w:r>
      <w:tab/>
    </w:r>
    <w:r w:rsidRPr="00C9789E">
      <w:rPr>
        <w:b/>
        <w:sz w:val="18"/>
      </w:rPr>
      <w:fldChar w:fldCharType="begin"/>
    </w:r>
    <w:r w:rsidRPr="00C9789E">
      <w:rPr>
        <w:b/>
        <w:sz w:val="18"/>
      </w:rPr>
      <w:instrText xml:space="preserve"> PAGE  \* MERGEFORMAT </w:instrText>
    </w:r>
    <w:r w:rsidRPr="00C9789E">
      <w:rPr>
        <w:b/>
        <w:sz w:val="18"/>
      </w:rPr>
      <w:fldChar w:fldCharType="separate"/>
    </w:r>
    <w:r w:rsidR="00232FB3">
      <w:rPr>
        <w:b/>
        <w:noProof/>
        <w:sz w:val="18"/>
      </w:rPr>
      <w:t>43</w:t>
    </w:r>
    <w:r w:rsidRPr="00C9789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2239" w:rsidRDefault="00EB2239" w:rsidP="00EB2239">
    <w:pPr>
      <w:pStyle w:val="Footer"/>
    </w:pPr>
    <w:r>
      <w:rPr>
        <w:noProof/>
        <w:lang w:eastAsia="en-GB"/>
      </w:rPr>
      <w:drawing>
        <wp:anchor distT="0" distB="0" distL="114300" distR="114300" simplePos="0" relativeHeight="251659264" behindDoc="1" locked="1" layoutInCell="1" allowOverlap="1" wp14:anchorId="0AB8EDB2" wp14:editId="73837EC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EB2239" w:rsidRDefault="00EB2239" w:rsidP="00EB2239">
    <w:pPr>
      <w:pStyle w:val="Footer"/>
      <w:ind w:right="1134"/>
      <w:rPr>
        <w:sz w:val="20"/>
      </w:rPr>
    </w:pPr>
    <w:r>
      <w:rPr>
        <w:sz w:val="20"/>
      </w:rPr>
      <w:t>GE.17-17139(E)</w:t>
    </w:r>
  </w:p>
  <w:p w:rsidR="00EB2239" w:rsidRPr="00EB2239" w:rsidRDefault="00EB2239" w:rsidP="00EB2239">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E/C.12/NZL/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NZL/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B2239" w:rsidRPr="00FB1744" w:rsidRDefault="00EB2239" w:rsidP="00FB1744">
      <w:pPr>
        <w:tabs>
          <w:tab w:val="right" w:pos="2155"/>
        </w:tabs>
        <w:spacing w:after="80"/>
        <w:ind w:left="680"/>
      </w:pPr>
      <w:r>
        <w:rPr>
          <w:u w:val="single"/>
        </w:rPr>
        <w:tab/>
      </w:r>
    </w:p>
  </w:footnote>
  <w:footnote w:type="continuationSeparator" w:id="0">
    <w:p w:rsidR="00EB2239" w:rsidRPr="00FB1744" w:rsidRDefault="00EB2239" w:rsidP="00FB1744">
      <w:pPr>
        <w:tabs>
          <w:tab w:val="right" w:pos="2155"/>
        </w:tabs>
        <w:spacing w:after="80"/>
        <w:ind w:left="680"/>
      </w:pPr>
      <w:r>
        <w:rPr>
          <w:u w:val="single"/>
        </w:rPr>
        <w:tab/>
      </w:r>
    </w:p>
  </w:footnote>
  <w:footnote w:id="1">
    <w:p w:rsidR="00EB2239" w:rsidRPr="00600516" w:rsidRDefault="00EB2239" w:rsidP="00C9789E">
      <w:pPr>
        <w:pStyle w:val="FootnoteText"/>
      </w:pPr>
      <w:r>
        <w:tab/>
      </w:r>
      <w:r w:rsidRPr="00C9789E">
        <w:rPr>
          <w:rStyle w:val="FootnoteReference"/>
          <w:sz w:val="20"/>
          <w:vertAlign w:val="baseline"/>
        </w:rPr>
        <w:t>*</w:t>
      </w:r>
      <w:r>
        <w:rPr>
          <w:sz w:val="20"/>
        </w:rPr>
        <w:tab/>
      </w:r>
      <w:r>
        <w:t>The present document is being issued without formal editing.</w:t>
      </w:r>
    </w:p>
  </w:footnote>
  <w:footnote w:id="2">
    <w:p w:rsidR="00EB2239" w:rsidRPr="00F6415F" w:rsidRDefault="00EB2239" w:rsidP="00F6415F">
      <w:pPr>
        <w:pStyle w:val="FootnoteText"/>
      </w:pPr>
      <w:r>
        <w:tab/>
      </w:r>
      <w:r w:rsidRPr="0099212A">
        <w:rPr>
          <w:rStyle w:val="FootnoteReference"/>
          <w:vertAlign w:val="baseline"/>
        </w:rPr>
        <w:t>**</w:t>
      </w:r>
      <w:r w:rsidRPr="0099212A">
        <w:t xml:space="preserve"> </w:t>
      </w:r>
      <w:r>
        <w:tab/>
        <w:t>The annex to the present document is on file with the secretariat. It is also available on the Committee’s website.</w:t>
      </w:r>
    </w:p>
    <w:p w:rsidR="00EB2239" w:rsidRDefault="00EB2239">
      <w:pPr>
        <w:pStyle w:val="FootnoteText"/>
      </w:pPr>
    </w:p>
  </w:footnote>
  <w:footnote w:id="3">
    <w:p w:rsidR="00EB2239" w:rsidRPr="00DC61F1" w:rsidRDefault="00EB2239" w:rsidP="00C9789E">
      <w:pPr>
        <w:pStyle w:val="FootnoteText"/>
      </w:pPr>
      <w:r>
        <w:tab/>
      </w:r>
      <w:r w:rsidRPr="00706221">
        <w:rPr>
          <w:rStyle w:val="FootnoteReference"/>
        </w:rPr>
        <w:footnoteRef/>
      </w:r>
      <w:r w:rsidRPr="00DC61F1">
        <w:t xml:space="preserve"> </w:t>
      </w:r>
      <w:r>
        <w:tab/>
      </w:r>
      <w:r w:rsidRPr="00DC61F1">
        <w:t xml:space="preserve">The report is </w:t>
      </w:r>
      <w:r w:rsidRPr="00F738FC">
        <w:t>available</w:t>
      </w:r>
      <w:r w:rsidRPr="00DC61F1">
        <w:t xml:space="preserve"> at: http://www.ourconstitution.org.nz/The-Report.</w:t>
      </w:r>
      <w:r>
        <w:t xml:space="preserve"> </w:t>
      </w:r>
    </w:p>
  </w:footnote>
  <w:footnote w:id="4">
    <w:p w:rsidR="00EB2239" w:rsidRPr="00DC61F1" w:rsidRDefault="00EB2239" w:rsidP="00C9789E">
      <w:pPr>
        <w:pStyle w:val="FootnoteText"/>
        <w:rPr>
          <w:szCs w:val="18"/>
        </w:rPr>
      </w:pPr>
      <w:r>
        <w:rPr>
          <w:szCs w:val="18"/>
        </w:rPr>
        <w:tab/>
      </w:r>
      <w:r w:rsidRPr="00706221">
        <w:rPr>
          <w:rStyle w:val="FootnoteReference"/>
        </w:rPr>
        <w:footnoteRef/>
      </w:r>
      <w:r w:rsidRPr="00DC61F1">
        <w:rPr>
          <w:szCs w:val="18"/>
        </w:rPr>
        <w:t xml:space="preserve"> </w:t>
      </w:r>
      <w:r>
        <w:rPr>
          <w:szCs w:val="18"/>
        </w:rPr>
        <w:tab/>
      </w:r>
      <w:r w:rsidRPr="00DC61F1">
        <w:rPr>
          <w:szCs w:val="18"/>
        </w:rPr>
        <w:t xml:space="preserve">These guidelines represent </w:t>
      </w:r>
      <w:r>
        <w:rPr>
          <w:szCs w:val="18"/>
        </w:rPr>
        <w:t>“</w:t>
      </w:r>
      <w:r w:rsidRPr="00DC61F1">
        <w:rPr>
          <w:szCs w:val="18"/>
        </w:rPr>
        <w:t>best practice</w:t>
      </w:r>
      <w:r>
        <w:rPr>
          <w:szCs w:val="18"/>
        </w:rPr>
        <w:t>”</w:t>
      </w:r>
      <w:r w:rsidRPr="00DC61F1">
        <w:rPr>
          <w:szCs w:val="18"/>
        </w:rPr>
        <w:t xml:space="preserve"> and enable officials to identify and address issues in the development of legislation.</w:t>
      </w:r>
    </w:p>
  </w:footnote>
  <w:footnote w:id="5">
    <w:p w:rsidR="00EB2239" w:rsidRPr="00DC61F1" w:rsidRDefault="00EB2239" w:rsidP="00C9789E">
      <w:pPr>
        <w:pStyle w:val="FootnoteText"/>
      </w:pPr>
      <w:r>
        <w:tab/>
      </w:r>
      <w:r w:rsidRPr="00706221">
        <w:rPr>
          <w:rStyle w:val="FootnoteReference"/>
        </w:rPr>
        <w:footnoteRef/>
      </w:r>
      <w:r w:rsidRPr="00DC61F1">
        <w:t xml:space="preserve"> </w:t>
      </w:r>
      <w:r>
        <w:tab/>
      </w:r>
      <w:r w:rsidRPr="00DC61F1">
        <w:t xml:space="preserve">Re </w:t>
      </w:r>
      <w:proofErr w:type="spellStart"/>
      <w:r w:rsidRPr="00DC61F1">
        <w:t>Pierney</w:t>
      </w:r>
      <w:proofErr w:type="spellEnd"/>
      <w:r w:rsidRPr="00DC61F1">
        <w:t xml:space="preserve"> [2015] NZFC 9404, [2016] NZFLR 53.</w:t>
      </w:r>
    </w:p>
  </w:footnote>
  <w:footnote w:id="6">
    <w:p w:rsidR="00EB2239" w:rsidRPr="00DC61F1" w:rsidRDefault="00EB2239" w:rsidP="00C9789E">
      <w:pPr>
        <w:pStyle w:val="FootnoteText"/>
        <w:rPr>
          <w:szCs w:val="18"/>
        </w:rPr>
      </w:pPr>
      <w:r>
        <w:rPr>
          <w:szCs w:val="18"/>
        </w:rPr>
        <w:tab/>
      </w:r>
      <w:r w:rsidRPr="00706221">
        <w:rPr>
          <w:rStyle w:val="FootnoteReference"/>
        </w:rPr>
        <w:footnoteRef/>
      </w:r>
      <w:r w:rsidRPr="00DC61F1">
        <w:rPr>
          <w:szCs w:val="18"/>
        </w:rPr>
        <w:t xml:space="preserve"> </w:t>
      </w:r>
      <w:r>
        <w:rPr>
          <w:szCs w:val="18"/>
        </w:rPr>
        <w:tab/>
      </w:r>
      <w:r w:rsidRPr="00DC61F1">
        <w:rPr>
          <w:szCs w:val="18"/>
        </w:rPr>
        <w:t>Re Application by AMM and KJO to adopt a child [2010] NZFLR 629.</w:t>
      </w:r>
    </w:p>
  </w:footnote>
  <w:footnote w:id="7">
    <w:p w:rsidR="00EB2239" w:rsidRPr="00DC61F1" w:rsidRDefault="00EB2239" w:rsidP="00C9789E">
      <w:pPr>
        <w:pStyle w:val="FootnoteText"/>
        <w:rPr>
          <w:szCs w:val="18"/>
        </w:rPr>
      </w:pPr>
      <w:r>
        <w:rPr>
          <w:szCs w:val="18"/>
        </w:rPr>
        <w:tab/>
      </w:r>
      <w:r w:rsidRPr="00706221">
        <w:rPr>
          <w:rStyle w:val="FootnoteReference"/>
        </w:rPr>
        <w:footnoteRef/>
      </w:r>
      <w:r w:rsidRPr="00DC61F1">
        <w:rPr>
          <w:szCs w:val="18"/>
        </w:rPr>
        <w:t xml:space="preserve"> </w:t>
      </w:r>
      <w:r>
        <w:rPr>
          <w:szCs w:val="18"/>
        </w:rPr>
        <w:tab/>
      </w:r>
      <w:r w:rsidRPr="00DC61F1">
        <w:rPr>
          <w:szCs w:val="18"/>
        </w:rPr>
        <w:t>Re G [2015] NZFC 4441.</w:t>
      </w:r>
    </w:p>
  </w:footnote>
  <w:footnote w:id="8">
    <w:p w:rsidR="00EB2239" w:rsidRPr="00EE11B2" w:rsidRDefault="00EB2239" w:rsidP="00C9789E">
      <w:pPr>
        <w:pStyle w:val="FootnoteText"/>
      </w:pPr>
      <w:r>
        <w:rPr>
          <w:szCs w:val="18"/>
        </w:rPr>
        <w:tab/>
      </w:r>
      <w:r w:rsidRPr="00706221">
        <w:rPr>
          <w:rStyle w:val="FootnoteReference"/>
        </w:rPr>
        <w:footnoteRef/>
      </w:r>
      <w:r w:rsidRPr="00DC61F1">
        <w:rPr>
          <w:szCs w:val="18"/>
        </w:rPr>
        <w:t xml:space="preserve"> </w:t>
      </w:r>
      <w:r>
        <w:rPr>
          <w:szCs w:val="18"/>
        </w:rPr>
        <w:tab/>
      </w:r>
      <w:r w:rsidRPr="00DC61F1">
        <w:rPr>
          <w:szCs w:val="18"/>
        </w:rPr>
        <w:t>The declaration was issued in relation to s 80(1)(d) of the Electoral Act 1993 (as amended) because it disqualifies convicted prisoners who are in prison from registering as electors.</w:t>
      </w:r>
    </w:p>
  </w:footnote>
  <w:footnote w:id="9">
    <w:p w:rsidR="00EB2239" w:rsidRPr="00DC61F1" w:rsidRDefault="00EB2239" w:rsidP="00C9789E">
      <w:pPr>
        <w:pStyle w:val="FootnoteText"/>
        <w:rPr>
          <w:szCs w:val="18"/>
        </w:rPr>
      </w:pPr>
      <w:r>
        <w:rPr>
          <w:szCs w:val="18"/>
        </w:rPr>
        <w:tab/>
      </w:r>
      <w:r w:rsidRPr="00706221">
        <w:rPr>
          <w:rStyle w:val="FootnoteReference"/>
        </w:rPr>
        <w:footnoteRef/>
      </w:r>
      <w:r w:rsidRPr="00DC61F1">
        <w:rPr>
          <w:szCs w:val="18"/>
        </w:rPr>
        <w:t xml:space="preserve"> </w:t>
      </w:r>
      <w:r>
        <w:rPr>
          <w:szCs w:val="18"/>
        </w:rPr>
        <w:tab/>
      </w:r>
      <w:r w:rsidRPr="00DC61F1">
        <w:rPr>
          <w:i/>
          <w:szCs w:val="18"/>
        </w:rPr>
        <w:t>Ministry of Health v</w:t>
      </w:r>
      <w:r>
        <w:rPr>
          <w:i/>
          <w:szCs w:val="18"/>
        </w:rPr>
        <w:t>.</w:t>
      </w:r>
      <w:r w:rsidRPr="00DC61F1">
        <w:rPr>
          <w:i/>
          <w:szCs w:val="18"/>
        </w:rPr>
        <w:t xml:space="preserve"> Atkinson</w:t>
      </w:r>
      <w:r w:rsidRPr="00DC61F1">
        <w:rPr>
          <w:szCs w:val="18"/>
        </w:rPr>
        <w:t xml:space="preserve"> [2012] 3 NZLR 456 (CA).</w:t>
      </w:r>
    </w:p>
  </w:footnote>
  <w:footnote w:id="10">
    <w:p w:rsidR="00EB2239" w:rsidRPr="00DC61F1" w:rsidRDefault="00EB2239" w:rsidP="00C9789E">
      <w:pPr>
        <w:pStyle w:val="FootnoteText"/>
        <w:rPr>
          <w:i/>
          <w:szCs w:val="18"/>
        </w:rPr>
      </w:pPr>
      <w:r>
        <w:rPr>
          <w:szCs w:val="18"/>
        </w:rPr>
        <w:tab/>
      </w:r>
      <w:r w:rsidRPr="00706221">
        <w:rPr>
          <w:rStyle w:val="FootnoteReference"/>
        </w:rPr>
        <w:footnoteRef/>
      </w:r>
      <w:r w:rsidRPr="00DC61F1">
        <w:rPr>
          <w:szCs w:val="18"/>
        </w:rPr>
        <w:t xml:space="preserve"> </w:t>
      </w:r>
      <w:r>
        <w:rPr>
          <w:szCs w:val="18"/>
        </w:rPr>
        <w:tab/>
      </w:r>
      <w:r w:rsidRPr="00DC61F1">
        <w:rPr>
          <w:i/>
          <w:szCs w:val="18"/>
        </w:rPr>
        <w:t>Ministry of Health v</w:t>
      </w:r>
      <w:r>
        <w:rPr>
          <w:i/>
          <w:szCs w:val="18"/>
        </w:rPr>
        <w:t>.</w:t>
      </w:r>
      <w:r w:rsidRPr="00DC61F1">
        <w:rPr>
          <w:i/>
          <w:szCs w:val="18"/>
        </w:rPr>
        <w:t xml:space="preserve"> Spencer </w:t>
      </w:r>
      <w:r w:rsidRPr="00DC61F1">
        <w:rPr>
          <w:szCs w:val="18"/>
        </w:rPr>
        <w:t>CA736/2013 [2015] NZCA 143 [4 May 2015].</w:t>
      </w:r>
    </w:p>
  </w:footnote>
  <w:footnote w:id="11">
    <w:p w:rsidR="00EB2239" w:rsidRPr="00DC61F1" w:rsidRDefault="00EB2239" w:rsidP="00C9789E">
      <w:pPr>
        <w:pStyle w:val="FootnoteText"/>
        <w:rPr>
          <w:szCs w:val="18"/>
        </w:rPr>
      </w:pPr>
      <w:r>
        <w:rPr>
          <w:szCs w:val="18"/>
        </w:rPr>
        <w:tab/>
      </w:r>
      <w:r w:rsidRPr="00706221">
        <w:rPr>
          <w:rStyle w:val="FootnoteReference"/>
        </w:rPr>
        <w:footnoteRef/>
      </w:r>
      <w:r w:rsidRPr="00DC61F1">
        <w:rPr>
          <w:szCs w:val="18"/>
        </w:rPr>
        <w:t xml:space="preserve"> </w:t>
      </w:r>
      <w:r>
        <w:rPr>
          <w:szCs w:val="18"/>
        </w:rPr>
        <w:tab/>
      </w:r>
      <w:proofErr w:type="spellStart"/>
      <w:r w:rsidRPr="00DC61F1">
        <w:rPr>
          <w:i/>
          <w:szCs w:val="18"/>
        </w:rPr>
        <w:t>Teitiota</w:t>
      </w:r>
      <w:proofErr w:type="spellEnd"/>
      <w:r w:rsidRPr="00DC61F1">
        <w:rPr>
          <w:i/>
          <w:szCs w:val="18"/>
        </w:rPr>
        <w:t xml:space="preserve"> v</w:t>
      </w:r>
      <w:r>
        <w:rPr>
          <w:i/>
          <w:szCs w:val="18"/>
        </w:rPr>
        <w:t>.</w:t>
      </w:r>
      <w:r w:rsidRPr="00DC61F1">
        <w:rPr>
          <w:i/>
          <w:szCs w:val="18"/>
        </w:rPr>
        <w:t xml:space="preserve"> CE of MBIE</w:t>
      </w:r>
      <w:r w:rsidRPr="00DC61F1">
        <w:rPr>
          <w:szCs w:val="18"/>
        </w:rPr>
        <w:t xml:space="preserve"> [2015] NZSC 107; [2014] NZCA 173, [2014] NZAR 688; [2013] NZHC 3125, Priestly J.</w:t>
      </w:r>
    </w:p>
  </w:footnote>
  <w:footnote w:id="12">
    <w:p w:rsidR="00EB2239" w:rsidRPr="00DC61F1" w:rsidRDefault="00EB2239" w:rsidP="00C9789E">
      <w:pPr>
        <w:pStyle w:val="FootnoteText"/>
        <w:rPr>
          <w:szCs w:val="18"/>
        </w:rPr>
      </w:pPr>
      <w:r>
        <w:rPr>
          <w:szCs w:val="18"/>
        </w:rPr>
        <w:tab/>
      </w:r>
      <w:r w:rsidRPr="00706221">
        <w:rPr>
          <w:rStyle w:val="FootnoteReference"/>
        </w:rPr>
        <w:footnoteRef/>
      </w:r>
      <w:r w:rsidRPr="00DC61F1">
        <w:rPr>
          <w:szCs w:val="18"/>
        </w:rPr>
        <w:t xml:space="preserve"> </w:t>
      </w:r>
      <w:r>
        <w:rPr>
          <w:szCs w:val="18"/>
        </w:rPr>
        <w:tab/>
      </w:r>
      <w:proofErr w:type="spellStart"/>
      <w:r w:rsidRPr="00DC61F1">
        <w:rPr>
          <w:i/>
          <w:szCs w:val="18"/>
        </w:rPr>
        <w:t>Harlen</w:t>
      </w:r>
      <w:proofErr w:type="spellEnd"/>
      <w:r>
        <w:rPr>
          <w:i/>
          <w:szCs w:val="18"/>
        </w:rPr>
        <w:t xml:space="preserve"> v. </w:t>
      </w:r>
      <w:r w:rsidRPr="00DC61F1">
        <w:rPr>
          <w:i/>
          <w:szCs w:val="18"/>
        </w:rPr>
        <w:t xml:space="preserve">Chief Executive of Ministry of Social Development </w:t>
      </w:r>
      <w:r w:rsidRPr="00DC61F1">
        <w:rPr>
          <w:szCs w:val="18"/>
        </w:rPr>
        <w:t xml:space="preserve">[2015] NZHC 2663, </w:t>
      </w:r>
      <w:r w:rsidRPr="00895F78">
        <w:rPr>
          <w:i/>
          <w:szCs w:val="18"/>
        </w:rPr>
        <w:t xml:space="preserve">Faire J. </w:t>
      </w:r>
      <w:proofErr w:type="spellStart"/>
      <w:r w:rsidRPr="00895F78">
        <w:rPr>
          <w:i/>
          <w:szCs w:val="18"/>
        </w:rPr>
        <w:t>Harlen</w:t>
      </w:r>
      <w:proofErr w:type="spellEnd"/>
      <w:r w:rsidRPr="00895F78">
        <w:rPr>
          <w:i/>
          <w:szCs w:val="18"/>
        </w:rPr>
        <w:t xml:space="preserve"> v</w:t>
      </w:r>
      <w:r>
        <w:rPr>
          <w:i/>
          <w:szCs w:val="18"/>
        </w:rPr>
        <w:t>.</w:t>
      </w:r>
      <w:r w:rsidRPr="00895F78">
        <w:rPr>
          <w:i/>
          <w:szCs w:val="18"/>
        </w:rPr>
        <w:t xml:space="preserve"> MSD</w:t>
      </w:r>
      <w:r w:rsidRPr="00DC61F1">
        <w:rPr>
          <w:szCs w:val="18"/>
        </w:rPr>
        <w:t xml:space="preserve"> [2012] NZHC 669, Courtney J.</w:t>
      </w:r>
    </w:p>
  </w:footnote>
  <w:footnote w:id="13">
    <w:p w:rsidR="00EB2239" w:rsidRPr="00DC61F1" w:rsidRDefault="00EB2239" w:rsidP="00C9789E">
      <w:pPr>
        <w:pStyle w:val="FootnoteText"/>
        <w:rPr>
          <w:szCs w:val="18"/>
        </w:rPr>
      </w:pPr>
      <w:r>
        <w:rPr>
          <w:szCs w:val="18"/>
        </w:rPr>
        <w:tab/>
      </w:r>
      <w:r w:rsidRPr="00706221">
        <w:rPr>
          <w:rStyle w:val="FootnoteReference"/>
        </w:rPr>
        <w:footnoteRef/>
      </w:r>
      <w:r w:rsidRPr="00DC61F1">
        <w:rPr>
          <w:szCs w:val="18"/>
        </w:rPr>
        <w:t xml:space="preserve"> </w:t>
      </w:r>
      <w:r>
        <w:rPr>
          <w:szCs w:val="18"/>
        </w:rPr>
        <w:tab/>
      </w:r>
      <w:r w:rsidRPr="00DC61F1">
        <w:rPr>
          <w:i/>
          <w:szCs w:val="18"/>
        </w:rPr>
        <w:t xml:space="preserve">Child Poverty Action Group </w:t>
      </w:r>
      <w:proofErr w:type="spellStart"/>
      <w:r w:rsidRPr="00DC61F1">
        <w:rPr>
          <w:i/>
          <w:szCs w:val="18"/>
        </w:rPr>
        <w:t>Inc</w:t>
      </w:r>
      <w:proofErr w:type="spellEnd"/>
      <w:r w:rsidRPr="00DC61F1">
        <w:rPr>
          <w:i/>
          <w:szCs w:val="18"/>
        </w:rPr>
        <w:t xml:space="preserve"> (CPAG) v</w:t>
      </w:r>
      <w:r>
        <w:rPr>
          <w:i/>
          <w:szCs w:val="18"/>
        </w:rPr>
        <w:t>.</w:t>
      </w:r>
      <w:r w:rsidRPr="00DC61F1">
        <w:rPr>
          <w:i/>
          <w:szCs w:val="18"/>
        </w:rPr>
        <w:t xml:space="preserve"> the Attorney-General</w:t>
      </w:r>
      <w:r w:rsidRPr="00DC61F1">
        <w:rPr>
          <w:szCs w:val="18"/>
        </w:rPr>
        <w:t xml:space="preserve"> [2013] NZCA 402, [2013] 3 NZLR 729; [2013] 3 NZLR 729.</w:t>
      </w:r>
    </w:p>
  </w:footnote>
  <w:footnote w:id="14">
    <w:p w:rsidR="00EB2239" w:rsidRPr="00DC61F1" w:rsidRDefault="00EB2239" w:rsidP="00C9789E">
      <w:pPr>
        <w:pStyle w:val="FootnoteText"/>
        <w:rPr>
          <w:szCs w:val="18"/>
        </w:rPr>
      </w:pPr>
      <w:r>
        <w:rPr>
          <w:szCs w:val="18"/>
        </w:rPr>
        <w:tab/>
      </w:r>
      <w:r w:rsidRPr="00706221">
        <w:rPr>
          <w:rStyle w:val="FootnoteReference"/>
        </w:rPr>
        <w:footnoteRef/>
      </w:r>
      <w:r>
        <w:rPr>
          <w:szCs w:val="18"/>
        </w:rPr>
        <w:tab/>
      </w:r>
      <w:r w:rsidRPr="00DC61F1">
        <w:rPr>
          <w:i/>
          <w:szCs w:val="18"/>
        </w:rPr>
        <w:t>Chan v</w:t>
      </w:r>
      <w:r>
        <w:rPr>
          <w:i/>
          <w:szCs w:val="18"/>
        </w:rPr>
        <w:t>.</w:t>
      </w:r>
      <w:r w:rsidRPr="00DC61F1">
        <w:rPr>
          <w:i/>
          <w:szCs w:val="18"/>
        </w:rPr>
        <w:t xml:space="preserve"> Minister of Immigration</w:t>
      </w:r>
      <w:r w:rsidRPr="00DC61F1">
        <w:rPr>
          <w:szCs w:val="18"/>
        </w:rPr>
        <w:t xml:space="preserve"> [2015] NZHC 2036, Brewer J.</w:t>
      </w:r>
    </w:p>
  </w:footnote>
  <w:footnote w:id="15">
    <w:p w:rsidR="00EB2239" w:rsidRPr="00DC61F1" w:rsidRDefault="00EB2239" w:rsidP="00C9789E">
      <w:pPr>
        <w:pStyle w:val="FootnoteText"/>
        <w:rPr>
          <w:szCs w:val="18"/>
        </w:rPr>
      </w:pPr>
      <w:r>
        <w:rPr>
          <w:szCs w:val="18"/>
        </w:rPr>
        <w:tab/>
      </w:r>
      <w:r w:rsidRPr="00706221">
        <w:rPr>
          <w:rStyle w:val="FootnoteReference"/>
        </w:rPr>
        <w:footnoteRef/>
      </w:r>
      <w:r w:rsidRPr="00DC61F1">
        <w:rPr>
          <w:szCs w:val="18"/>
        </w:rPr>
        <w:t xml:space="preserve"> </w:t>
      </w:r>
      <w:r>
        <w:rPr>
          <w:szCs w:val="18"/>
        </w:rPr>
        <w:tab/>
      </w:r>
      <w:proofErr w:type="spellStart"/>
      <w:r w:rsidRPr="00DC61F1">
        <w:rPr>
          <w:i/>
          <w:szCs w:val="18"/>
        </w:rPr>
        <w:t>Entwistle</w:t>
      </w:r>
      <w:proofErr w:type="spellEnd"/>
      <w:r w:rsidRPr="00DC61F1">
        <w:rPr>
          <w:i/>
          <w:szCs w:val="18"/>
        </w:rPr>
        <w:t xml:space="preserve"> v</w:t>
      </w:r>
      <w:r>
        <w:rPr>
          <w:i/>
          <w:szCs w:val="18"/>
        </w:rPr>
        <w:t>.</w:t>
      </w:r>
      <w:r w:rsidRPr="00DC61F1">
        <w:rPr>
          <w:i/>
          <w:szCs w:val="18"/>
        </w:rPr>
        <w:t xml:space="preserve"> Wellington City Council</w:t>
      </w:r>
      <w:r w:rsidRPr="00DC61F1">
        <w:rPr>
          <w:szCs w:val="18"/>
        </w:rPr>
        <w:t xml:space="preserve"> [2014] NZHC 496 Mar 18, 2014, Collins J.</w:t>
      </w:r>
    </w:p>
  </w:footnote>
  <w:footnote w:id="16">
    <w:p w:rsidR="00EB2239" w:rsidRPr="00DC61F1" w:rsidRDefault="00EB2239" w:rsidP="00C9789E">
      <w:pPr>
        <w:pStyle w:val="FootnoteText"/>
        <w:rPr>
          <w:szCs w:val="18"/>
        </w:rPr>
      </w:pPr>
      <w:r>
        <w:rPr>
          <w:szCs w:val="18"/>
        </w:rPr>
        <w:tab/>
      </w:r>
      <w:r w:rsidRPr="00706221">
        <w:rPr>
          <w:rStyle w:val="FootnoteReference"/>
        </w:rPr>
        <w:footnoteRef/>
      </w:r>
      <w:r w:rsidRPr="00DC61F1">
        <w:rPr>
          <w:szCs w:val="18"/>
        </w:rPr>
        <w:t xml:space="preserve"> </w:t>
      </w:r>
      <w:r>
        <w:rPr>
          <w:szCs w:val="18"/>
        </w:rPr>
        <w:tab/>
      </w:r>
      <w:r w:rsidRPr="00DC61F1">
        <w:rPr>
          <w:i/>
          <w:szCs w:val="18"/>
        </w:rPr>
        <w:t xml:space="preserve">Health New Zealand </w:t>
      </w:r>
      <w:proofErr w:type="spellStart"/>
      <w:r w:rsidRPr="00DC61F1">
        <w:rPr>
          <w:i/>
          <w:szCs w:val="18"/>
        </w:rPr>
        <w:t>Inc</w:t>
      </w:r>
      <w:proofErr w:type="spellEnd"/>
      <w:r w:rsidRPr="00DC61F1">
        <w:rPr>
          <w:i/>
          <w:szCs w:val="18"/>
        </w:rPr>
        <w:t xml:space="preserve"> v</w:t>
      </w:r>
      <w:r>
        <w:rPr>
          <w:i/>
          <w:szCs w:val="18"/>
        </w:rPr>
        <w:t>.</w:t>
      </w:r>
      <w:r w:rsidRPr="00DC61F1">
        <w:rPr>
          <w:i/>
          <w:szCs w:val="18"/>
        </w:rPr>
        <w:t xml:space="preserve"> South Taranaki District Council</w:t>
      </w:r>
      <w:r w:rsidRPr="00DC61F1">
        <w:rPr>
          <w:szCs w:val="18"/>
        </w:rPr>
        <w:t xml:space="preserve"> [2014] 2 NZLR 834.</w:t>
      </w:r>
    </w:p>
  </w:footnote>
  <w:footnote w:id="17">
    <w:p w:rsidR="00EB2239" w:rsidRPr="003E1E6D" w:rsidRDefault="00EB2239" w:rsidP="00C9789E">
      <w:pPr>
        <w:pStyle w:val="FootnoteText"/>
      </w:pPr>
      <w:r>
        <w:rPr>
          <w:szCs w:val="18"/>
        </w:rPr>
        <w:tab/>
      </w:r>
      <w:r w:rsidRPr="00706221">
        <w:rPr>
          <w:rStyle w:val="FootnoteReference"/>
        </w:rPr>
        <w:footnoteRef/>
      </w:r>
      <w:r w:rsidRPr="00DC61F1">
        <w:rPr>
          <w:szCs w:val="18"/>
        </w:rPr>
        <w:t xml:space="preserve"> </w:t>
      </w:r>
      <w:r>
        <w:rPr>
          <w:szCs w:val="18"/>
        </w:rPr>
        <w:tab/>
      </w:r>
      <w:r w:rsidRPr="00DC61F1">
        <w:rPr>
          <w:i/>
          <w:szCs w:val="18"/>
        </w:rPr>
        <w:t>M v</w:t>
      </w:r>
      <w:r>
        <w:rPr>
          <w:i/>
          <w:szCs w:val="18"/>
        </w:rPr>
        <w:t>.</w:t>
      </w:r>
      <w:r w:rsidRPr="00DC61F1">
        <w:rPr>
          <w:i/>
          <w:szCs w:val="18"/>
        </w:rPr>
        <w:t xml:space="preserve"> Minister of Immigration</w:t>
      </w:r>
      <w:r>
        <w:rPr>
          <w:szCs w:val="18"/>
        </w:rPr>
        <w:t xml:space="preserve"> — </w:t>
      </w:r>
      <w:r w:rsidRPr="00DC61F1">
        <w:rPr>
          <w:szCs w:val="18"/>
        </w:rPr>
        <w:t>[2013] 2 NZLR 1 (SC).</w:t>
      </w:r>
    </w:p>
  </w:footnote>
  <w:footnote w:id="18">
    <w:p w:rsidR="00EB2239" w:rsidRPr="004C045A" w:rsidRDefault="00EB2239" w:rsidP="00C9789E">
      <w:pPr>
        <w:pStyle w:val="FootnoteText"/>
      </w:pPr>
      <w:r>
        <w:rPr>
          <w:szCs w:val="18"/>
        </w:rPr>
        <w:tab/>
      </w:r>
      <w:r w:rsidRPr="00706221">
        <w:rPr>
          <w:rStyle w:val="FootnoteReference"/>
        </w:rPr>
        <w:footnoteRef/>
      </w:r>
      <w:r w:rsidRPr="00DC61F1">
        <w:rPr>
          <w:szCs w:val="18"/>
        </w:rPr>
        <w:t xml:space="preserve"> </w:t>
      </w:r>
      <w:r>
        <w:rPr>
          <w:szCs w:val="18"/>
        </w:rPr>
        <w:tab/>
      </w:r>
      <w:r w:rsidRPr="00DC61F1">
        <w:rPr>
          <w:szCs w:val="18"/>
        </w:rPr>
        <w:t>Many people born in Tokelau (a New Zealand territory), Cook Islands, and Niue (both self-governing and in free association with New Zealand), are recognised as New Zealand citizens. New Zealand also has a special relationship with Samoa, confirmed through the Treaty of Friendship signed in 1962.</w:t>
      </w:r>
      <w:r>
        <w:t xml:space="preserve"> </w:t>
      </w:r>
    </w:p>
  </w:footnote>
  <w:footnote w:id="19">
    <w:p w:rsidR="00EB2239" w:rsidRPr="00DC61F1" w:rsidRDefault="00EB2239" w:rsidP="00C9789E">
      <w:pPr>
        <w:pStyle w:val="FootnoteText"/>
        <w:rPr>
          <w:szCs w:val="18"/>
        </w:rPr>
      </w:pPr>
      <w:r>
        <w:rPr>
          <w:szCs w:val="18"/>
        </w:rPr>
        <w:tab/>
      </w:r>
      <w:r w:rsidRPr="00706221">
        <w:rPr>
          <w:rStyle w:val="FootnoteReference"/>
        </w:rPr>
        <w:footnoteRef/>
      </w:r>
      <w:r w:rsidRPr="00DC61F1">
        <w:rPr>
          <w:szCs w:val="18"/>
        </w:rPr>
        <w:t xml:space="preserve"> </w:t>
      </w:r>
      <w:r>
        <w:rPr>
          <w:szCs w:val="18"/>
        </w:rPr>
        <w:tab/>
      </w:r>
      <w:r w:rsidRPr="00DC61F1">
        <w:rPr>
          <w:szCs w:val="18"/>
        </w:rPr>
        <w:t>http://www.educationcounts.govt.nz/statistics/pasifika-education/progress_against_pasifika_</w:t>
      </w:r>
      <w:r>
        <w:rPr>
          <w:szCs w:val="18"/>
        </w:rPr>
        <w:t xml:space="preserve"> </w:t>
      </w:r>
      <w:proofErr w:type="spellStart"/>
      <w:r w:rsidRPr="00DC61F1">
        <w:rPr>
          <w:szCs w:val="18"/>
        </w:rPr>
        <w:t>education_plan_targets</w:t>
      </w:r>
      <w:proofErr w:type="spellEnd"/>
      <w:r>
        <w:rPr>
          <w:szCs w:val="18"/>
        </w:rPr>
        <w:t>.</w:t>
      </w:r>
    </w:p>
  </w:footnote>
  <w:footnote w:id="20">
    <w:p w:rsidR="00EB2239" w:rsidRDefault="00EB2239" w:rsidP="00C9789E">
      <w:pPr>
        <w:pStyle w:val="FootnoteText"/>
      </w:pPr>
      <w:r>
        <w:rPr>
          <w:szCs w:val="18"/>
        </w:rPr>
        <w:tab/>
      </w:r>
      <w:r w:rsidRPr="00706221">
        <w:rPr>
          <w:rStyle w:val="FootnoteReference"/>
        </w:rPr>
        <w:footnoteRef/>
      </w:r>
      <w:r w:rsidRPr="00DC61F1">
        <w:rPr>
          <w:szCs w:val="18"/>
        </w:rPr>
        <w:t xml:space="preserve"> </w:t>
      </w:r>
      <w:r>
        <w:rPr>
          <w:szCs w:val="18"/>
        </w:rPr>
        <w:tab/>
      </w:r>
      <w:r w:rsidRPr="00DC61F1">
        <w:rPr>
          <w:szCs w:val="18"/>
        </w:rPr>
        <w:t>http://www.educationcounts.govt.nz/__data/assets/pdf_file/0009/174636/2015-Pasifika-School-Leavers.pdf</w:t>
      </w:r>
      <w:r>
        <w:rPr>
          <w:szCs w:val="18"/>
        </w:rPr>
        <w:t>.</w:t>
      </w:r>
    </w:p>
  </w:footnote>
  <w:footnote w:id="21">
    <w:p w:rsidR="00EB2239" w:rsidRPr="00DC61F1" w:rsidRDefault="00EB2239" w:rsidP="00C9789E">
      <w:pPr>
        <w:pStyle w:val="FootnoteText"/>
        <w:rPr>
          <w:szCs w:val="18"/>
        </w:rPr>
      </w:pPr>
      <w:r>
        <w:rPr>
          <w:szCs w:val="18"/>
        </w:rPr>
        <w:tab/>
      </w:r>
      <w:r w:rsidRPr="00706221">
        <w:rPr>
          <w:rStyle w:val="FootnoteReference"/>
        </w:rPr>
        <w:footnoteRef/>
      </w:r>
      <w:r w:rsidRPr="00DC61F1">
        <w:rPr>
          <w:szCs w:val="18"/>
        </w:rPr>
        <w:t xml:space="preserve"> </w:t>
      </w:r>
      <w:r>
        <w:rPr>
          <w:szCs w:val="18"/>
        </w:rPr>
        <w:tab/>
      </w:r>
      <w:r w:rsidRPr="00DC61F1">
        <w:rPr>
          <w:szCs w:val="18"/>
        </w:rPr>
        <w:t>New Zealand regularly monitors and publishes crime rate information and progress toward reducing crime. Such information can be found at http://www.ssc.govt.nz/bps-reducing-crime</w:t>
      </w:r>
      <w:r>
        <w:rPr>
          <w:szCs w:val="18"/>
        </w:rPr>
        <w:t>.</w:t>
      </w:r>
    </w:p>
  </w:footnote>
  <w:footnote w:id="22">
    <w:p w:rsidR="00EB2239" w:rsidRPr="009D0D33" w:rsidRDefault="00EB2239" w:rsidP="00C9789E">
      <w:pPr>
        <w:pStyle w:val="FootnoteText"/>
      </w:pPr>
      <w:r>
        <w:rPr>
          <w:szCs w:val="18"/>
        </w:rPr>
        <w:tab/>
      </w:r>
      <w:r w:rsidRPr="00706221">
        <w:rPr>
          <w:rStyle w:val="FootnoteReference"/>
        </w:rPr>
        <w:footnoteRef/>
      </w:r>
      <w:r w:rsidRPr="00DC61F1">
        <w:rPr>
          <w:szCs w:val="18"/>
        </w:rPr>
        <w:t xml:space="preserve"> </w:t>
      </w:r>
      <w:r>
        <w:rPr>
          <w:szCs w:val="18"/>
        </w:rPr>
        <w:tab/>
      </w:r>
      <w:r w:rsidRPr="00DC61F1">
        <w:rPr>
          <w:szCs w:val="18"/>
        </w:rPr>
        <w:t>http://www.msd.govt.nz/documents/about-msd-and-our-work/work-programmes/investing-in-children/investing-in-children-report.pdf</w:t>
      </w:r>
      <w:r>
        <w:rPr>
          <w:szCs w:val="18"/>
        </w:rPr>
        <w:t>.</w:t>
      </w:r>
    </w:p>
  </w:footnote>
  <w:footnote w:id="23">
    <w:p w:rsidR="00EB2239" w:rsidRPr="00DC61F1" w:rsidRDefault="00EB2239" w:rsidP="00C9789E">
      <w:pPr>
        <w:pStyle w:val="FootnoteText"/>
        <w:rPr>
          <w:szCs w:val="18"/>
        </w:rPr>
      </w:pPr>
      <w:r>
        <w:rPr>
          <w:szCs w:val="18"/>
        </w:rPr>
        <w:tab/>
      </w:r>
      <w:r w:rsidRPr="00706221">
        <w:rPr>
          <w:rStyle w:val="FootnoteReference"/>
        </w:rPr>
        <w:footnoteRef/>
      </w:r>
      <w:r w:rsidRPr="00DC61F1">
        <w:rPr>
          <w:szCs w:val="18"/>
        </w:rPr>
        <w:t xml:space="preserve"> </w:t>
      </w:r>
      <w:r>
        <w:rPr>
          <w:szCs w:val="18"/>
        </w:rPr>
        <w:tab/>
      </w:r>
      <w:r w:rsidRPr="00DC61F1">
        <w:rPr>
          <w:szCs w:val="18"/>
        </w:rPr>
        <w:t>http://www.ry.org.nz/</w:t>
      </w:r>
      <w:r>
        <w:rPr>
          <w:szCs w:val="18"/>
        </w:rPr>
        <w:t>.</w:t>
      </w:r>
    </w:p>
  </w:footnote>
  <w:footnote w:id="24">
    <w:p w:rsidR="00EB2239" w:rsidRPr="00DC61F1" w:rsidRDefault="00EB2239" w:rsidP="00C9789E">
      <w:pPr>
        <w:pStyle w:val="FootnoteText"/>
        <w:rPr>
          <w:szCs w:val="18"/>
        </w:rPr>
      </w:pPr>
      <w:r>
        <w:rPr>
          <w:szCs w:val="18"/>
        </w:rPr>
        <w:tab/>
      </w:r>
      <w:r w:rsidRPr="00706221">
        <w:rPr>
          <w:rStyle w:val="FootnoteReference"/>
        </w:rPr>
        <w:footnoteRef/>
      </w:r>
      <w:r w:rsidRPr="00DC61F1">
        <w:rPr>
          <w:szCs w:val="18"/>
        </w:rPr>
        <w:t xml:space="preserve"> </w:t>
      </w:r>
      <w:r>
        <w:rPr>
          <w:szCs w:val="18"/>
        </w:rPr>
        <w:tab/>
      </w:r>
      <w:r w:rsidRPr="00DC61F1">
        <w:rPr>
          <w:szCs w:val="18"/>
        </w:rPr>
        <w:t>Māori land legislation aims to ensure Māori land is retained in Māori ownership, while enabling land owners to use their land how they wish.</w:t>
      </w:r>
    </w:p>
  </w:footnote>
  <w:footnote w:id="25">
    <w:p w:rsidR="00EB2239" w:rsidRPr="00DC61F1" w:rsidRDefault="00EB2239" w:rsidP="00C9789E">
      <w:pPr>
        <w:pStyle w:val="FootnoteText"/>
        <w:rPr>
          <w:rFonts w:eastAsia="Calibri"/>
          <w:szCs w:val="18"/>
        </w:rPr>
      </w:pPr>
      <w:r>
        <w:rPr>
          <w:rFonts w:eastAsia="Calibri"/>
          <w:szCs w:val="18"/>
        </w:rPr>
        <w:tab/>
      </w:r>
      <w:r w:rsidRPr="00706221">
        <w:rPr>
          <w:rStyle w:val="FootnoteReference"/>
        </w:rPr>
        <w:footnoteRef/>
      </w:r>
      <w:r w:rsidRPr="00DC61F1">
        <w:rPr>
          <w:rFonts w:eastAsia="Calibri"/>
          <w:szCs w:val="18"/>
        </w:rPr>
        <w:t xml:space="preserve"> </w:t>
      </w:r>
      <w:r>
        <w:rPr>
          <w:rFonts w:eastAsia="Calibri"/>
          <w:szCs w:val="18"/>
        </w:rPr>
        <w:tab/>
      </w:r>
      <w:r w:rsidRPr="00DC61F1">
        <w:rPr>
          <w:rFonts w:eastAsia="Calibri"/>
          <w:szCs w:val="18"/>
        </w:rPr>
        <w:t xml:space="preserve">A </w:t>
      </w:r>
      <w:proofErr w:type="spellStart"/>
      <w:r w:rsidRPr="00DC61F1">
        <w:rPr>
          <w:rFonts w:eastAsia="Calibri"/>
          <w:szCs w:val="18"/>
        </w:rPr>
        <w:t>Taonga</w:t>
      </w:r>
      <w:proofErr w:type="spellEnd"/>
      <w:r w:rsidRPr="00DC61F1">
        <w:rPr>
          <w:rFonts w:eastAsia="Calibri"/>
          <w:szCs w:val="18"/>
        </w:rPr>
        <w:t xml:space="preserve"> </w:t>
      </w:r>
      <w:proofErr w:type="spellStart"/>
      <w:r w:rsidRPr="00DC61F1">
        <w:rPr>
          <w:rFonts w:eastAsia="Calibri"/>
          <w:szCs w:val="18"/>
        </w:rPr>
        <w:t>Tūturu</w:t>
      </w:r>
      <w:proofErr w:type="spellEnd"/>
      <w:r w:rsidRPr="00DC61F1">
        <w:rPr>
          <w:rFonts w:eastAsia="Calibri"/>
          <w:szCs w:val="18"/>
        </w:rPr>
        <w:t xml:space="preserve"> is an artefact that relates to Māori culture, history, or society; and is more than 50 years old.</w:t>
      </w:r>
    </w:p>
  </w:footnote>
  <w:footnote w:id="26">
    <w:p w:rsidR="00EB2239" w:rsidRPr="00DC61F1" w:rsidRDefault="00EB2239" w:rsidP="00C9789E">
      <w:pPr>
        <w:pStyle w:val="FootnoteText"/>
        <w:rPr>
          <w:szCs w:val="18"/>
        </w:rPr>
      </w:pPr>
      <w:r>
        <w:rPr>
          <w:szCs w:val="18"/>
        </w:rPr>
        <w:tab/>
      </w:r>
      <w:r w:rsidRPr="00706221">
        <w:rPr>
          <w:rStyle w:val="FootnoteReference"/>
        </w:rPr>
        <w:footnoteRef/>
      </w:r>
      <w:r>
        <w:rPr>
          <w:szCs w:val="18"/>
        </w:rPr>
        <w:tab/>
      </w:r>
      <w:r w:rsidRPr="00DC61F1">
        <w:rPr>
          <w:szCs w:val="18"/>
        </w:rPr>
        <w:t>Data supplied by New Zealand Treasury</w:t>
      </w:r>
      <w:r>
        <w:rPr>
          <w:szCs w:val="18"/>
        </w:rPr>
        <w:t>.</w:t>
      </w:r>
    </w:p>
  </w:footnote>
  <w:footnote w:id="27">
    <w:p w:rsidR="00EB2239" w:rsidRPr="00EB46CE" w:rsidRDefault="00EB2239" w:rsidP="00C9789E">
      <w:pPr>
        <w:pStyle w:val="FootnoteText"/>
      </w:pPr>
      <w:r>
        <w:rPr>
          <w:szCs w:val="18"/>
        </w:rPr>
        <w:tab/>
      </w:r>
      <w:r w:rsidRPr="00706221">
        <w:rPr>
          <w:rStyle w:val="FootnoteReference"/>
        </w:rPr>
        <w:footnoteRef/>
      </w:r>
      <w:r w:rsidRPr="00DC61F1">
        <w:rPr>
          <w:rStyle w:val="FootnoteReference"/>
          <w:szCs w:val="18"/>
        </w:rPr>
        <w:t xml:space="preserve"> </w:t>
      </w:r>
      <w:r>
        <w:rPr>
          <w:rStyle w:val="FootnoteReference"/>
          <w:szCs w:val="18"/>
        </w:rPr>
        <w:tab/>
      </w:r>
      <w:r w:rsidRPr="00DC61F1">
        <w:rPr>
          <w:szCs w:val="18"/>
        </w:rPr>
        <w:t>http://www.dpmc.govt.nz/cabinet/ministers/ministerial-list</w:t>
      </w:r>
      <w:r>
        <w:rPr>
          <w:szCs w:val="18"/>
        </w:rPr>
        <w:t>.</w:t>
      </w:r>
    </w:p>
  </w:footnote>
  <w:footnote w:id="28">
    <w:p w:rsidR="00EB2239" w:rsidRPr="00DC61F1" w:rsidRDefault="00EB2239" w:rsidP="00C9789E">
      <w:pPr>
        <w:pStyle w:val="FootnoteText"/>
        <w:rPr>
          <w:szCs w:val="18"/>
        </w:rPr>
      </w:pPr>
      <w:r>
        <w:rPr>
          <w:szCs w:val="18"/>
        </w:rPr>
        <w:tab/>
      </w:r>
      <w:r w:rsidRPr="00706221">
        <w:rPr>
          <w:rStyle w:val="FootnoteReference"/>
        </w:rPr>
        <w:footnoteRef/>
      </w:r>
      <w:r w:rsidRPr="00DC61F1">
        <w:rPr>
          <w:rStyle w:val="FootnoteReference"/>
          <w:szCs w:val="18"/>
        </w:rPr>
        <w:t xml:space="preserve"> </w:t>
      </w:r>
      <w:r>
        <w:rPr>
          <w:rStyle w:val="FootnoteReference"/>
          <w:szCs w:val="18"/>
        </w:rPr>
        <w:tab/>
      </w:r>
      <w:hyperlink r:id="rId1" w:anchor="two" w:history="1">
        <w:r w:rsidRPr="00DC61F1">
          <w:rPr>
            <w:szCs w:val="18"/>
          </w:rPr>
          <w:t>https://www.dia.govt.nz/diawebsite.nsf/wpg_URL/Services-Local-Elections-Local-Authority-Election-Statistics-2013?OpenDocument#two</w:t>
        </w:r>
      </w:hyperlink>
      <w:r>
        <w:rPr>
          <w:szCs w:val="18"/>
        </w:rPr>
        <w:t>.</w:t>
      </w:r>
    </w:p>
  </w:footnote>
  <w:footnote w:id="29">
    <w:p w:rsidR="00EB2239" w:rsidRPr="00EB46CE" w:rsidRDefault="00EB2239" w:rsidP="00C9789E">
      <w:pPr>
        <w:pStyle w:val="FootnoteText"/>
      </w:pPr>
      <w:r>
        <w:rPr>
          <w:szCs w:val="18"/>
        </w:rPr>
        <w:tab/>
      </w:r>
      <w:r w:rsidRPr="00706221">
        <w:rPr>
          <w:rStyle w:val="FootnoteReference"/>
        </w:rPr>
        <w:footnoteRef/>
      </w:r>
      <w:r w:rsidRPr="00DC61F1">
        <w:rPr>
          <w:rStyle w:val="FootnoteReference"/>
          <w:szCs w:val="18"/>
        </w:rPr>
        <w:t xml:space="preserve"> </w:t>
      </w:r>
      <w:r>
        <w:rPr>
          <w:szCs w:val="18"/>
        </w:rPr>
        <w:tab/>
      </w:r>
      <w:r w:rsidRPr="00DC61F1">
        <w:rPr>
          <w:szCs w:val="18"/>
        </w:rPr>
        <w:t>State Services Commission (October 2015). Human Resources Capability in the New Zealand State Services. Wellington.</w:t>
      </w:r>
    </w:p>
  </w:footnote>
  <w:footnote w:id="30">
    <w:p w:rsidR="00EB2239" w:rsidRPr="00DC61F1" w:rsidRDefault="00EB2239" w:rsidP="00C9789E">
      <w:pPr>
        <w:pStyle w:val="FootnoteText"/>
        <w:rPr>
          <w:szCs w:val="18"/>
          <w:lang w:val="en-US"/>
        </w:rPr>
      </w:pPr>
      <w:r>
        <w:rPr>
          <w:szCs w:val="18"/>
        </w:rPr>
        <w:tab/>
      </w:r>
      <w:r w:rsidRPr="00706221">
        <w:rPr>
          <w:rStyle w:val="FootnoteReference"/>
        </w:rPr>
        <w:footnoteRef/>
      </w:r>
      <w:r w:rsidRPr="00DC61F1">
        <w:rPr>
          <w:szCs w:val="18"/>
        </w:rPr>
        <w:t xml:space="preserve"> </w:t>
      </w:r>
      <w:r>
        <w:rPr>
          <w:szCs w:val="18"/>
        </w:rPr>
        <w:tab/>
      </w:r>
      <w:r w:rsidRPr="00DC61F1">
        <w:rPr>
          <w:szCs w:val="18"/>
        </w:rPr>
        <w:t>http://women.govt.nz/documents/2016-gender-stocktake-state-sector-boards-and-committees-2017</w:t>
      </w:r>
      <w:r>
        <w:rPr>
          <w:szCs w:val="18"/>
        </w:rPr>
        <w:t>.</w:t>
      </w:r>
    </w:p>
  </w:footnote>
  <w:footnote w:id="31">
    <w:p w:rsidR="00EB2239" w:rsidRPr="00DC61F1" w:rsidRDefault="00EB2239" w:rsidP="00DB0396">
      <w:pPr>
        <w:pStyle w:val="FootnoteText"/>
        <w:rPr>
          <w:szCs w:val="18"/>
        </w:rPr>
      </w:pPr>
      <w:r>
        <w:rPr>
          <w:szCs w:val="18"/>
        </w:rPr>
        <w:tab/>
      </w:r>
      <w:r w:rsidRPr="00706221">
        <w:rPr>
          <w:rStyle w:val="FootnoteReference"/>
        </w:rPr>
        <w:footnoteRef/>
      </w:r>
      <w:r w:rsidRPr="00DC61F1">
        <w:rPr>
          <w:szCs w:val="18"/>
        </w:rPr>
        <w:t xml:space="preserve"> </w:t>
      </w:r>
      <w:r>
        <w:rPr>
          <w:szCs w:val="18"/>
        </w:rPr>
        <w:tab/>
      </w:r>
      <w:r w:rsidRPr="00DC61F1">
        <w:rPr>
          <w:szCs w:val="18"/>
        </w:rPr>
        <w:t>Data provided by Statistics NZ</w:t>
      </w:r>
      <w:r>
        <w:rPr>
          <w:szCs w:val="18"/>
        </w:rPr>
        <w:t>.</w:t>
      </w:r>
    </w:p>
  </w:footnote>
  <w:footnote w:id="32">
    <w:p w:rsidR="00EB2239" w:rsidRPr="005551A8" w:rsidRDefault="00EB2239" w:rsidP="00032F41">
      <w:pPr>
        <w:pStyle w:val="FootnoteText"/>
        <w:tabs>
          <w:tab w:val="left" w:pos="1134"/>
          <w:tab w:val="left" w:pos="1701"/>
          <w:tab w:val="left" w:pos="2268"/>
          <w:tab w:val="left" w:pos="2835"/>
          <w:tab w:val="left" w:pos="3402"/>
          <w:tab w:val="center" w:pos="4252"/>
        </w:tabs>
      </w:pPr>
      <w:r>
        <w:rPr>
          <w:szCs w:val="18"/>
        </w:rPr>
        <w:tab/>
      </w:r>
      <w:r w:rsidRPr="00706221">
        <w:rPr>
          <w:rStyle w:val="FootnoteReference"/>
        </w:rPr>
        <w:footnoteRef/>
      </w:r>
      <w:r w:rsidRPr="00DC61F1">
        <w:rPr>
          <w:szCs w:val="18"/>
        </w:rPr>
        <w:t xml:space="preserve"> </w:t>
      </w:r>
      <w:r>
        <w:rPr>
          <w:szCs w:val="18"/>
        </w:rPr>
        <w:tab/>
      </w:r>
      <w:r w:rsidRPr="00DC61F1">
        <w:rPr>
          <w:szCs w:val="18"/>
        </w:rPr>
        <w:t>Data provided by Statistics NZ</w:t>
      </w:r>
      <w:r>
        <w:rPr>
          <w:szCs w:val="18"/>
        </w:rPr>
        <w:t>.</w:t>
      </w:r>
    </w:p>
  </w:footnote>
  <w:footnote w:id="33">
    <w:p w:rsidR="00EB2239" w:rsidRPr="00DC61F1" w:rsidRDefault="00EB2239" w:rsidP="00C9789E">
      <w:pPr>
        <w:pStyle w:val="FootnoteText"/>
        <w:rPr>
          <w:szCs w:val="18"/>
        </w:rPr>
      </w:pPr>
      <w:r>
        <w:rPr>
          <w:szCs w:val="18"/>
        </w:rPr>
        <w:tab/>
      </w:r>
      <w:r w:rsidRPr="00706221">
        <w:rPr>
          <w:rStyle w:val="FootnoteReference"/>
        </w:rPr>
        <w:footnoteRef/>
      </w:r>
      <w:r w:rsidRPr="00DC61F1">
        <w:rPr>
          <w:szCs w:val="18"/>
        </w:rPr>
        <w:t xml:space="preserve"> </w:t>
      </w:r>
      <w:r>
        <w:rPr>
          <w:szCs w:val="18"/>
        </w:rPr>
        <w:tab/>
      </w:r>
      <w:r w:rsidRPr="00DC61F1">
        <w:rPr>
          <w:szCs w:val="18"/>
        </w:rPr>
        <w:t>Data provided by Statistics NZ</w:t>
      </w:r>
      <w:r>
        <w:rPr>
          <w:szCs w:val="18"/>
        </w:rPr>
        <w:t>.</w:t>
      </w:r>
    </w:p>
  </w:footnote>
  <w:footnote w:id="34">
    <w:p w:rsidR="00EB2239" w:rsidRPr="00DC61F1" w:rsidRDefault="00EB2239" w:rsidP="00C9789E">
      <w:pPr>
        <w:pStyle w:val="FootnoteText"/>
        <w:rPr>
          <w:szCs w:val="18"/>
        </w:rPr>
      </w:pPr>
      <w:r>
        <w:rPr>
          <w:szCs w:val="18"/>
        </w:rPr>
        <w:tab/>
      </w:r>
      <w:r w:rsidRPr="00706221">
        <w:rPr>
          <w:rStyle w:val="FootnoteReference"/>
        </w:rPr>
        <w:footnoteRef/>
      </w:r>
      <w:r w:rsidRPr="00DC61F1">
        <w:rPr>
          <w:szCs w:val="18"/>
        </w:rPr>
        <w:t xml:space="preserve"> </w:t>
      </w:r>
      <w:r>
        <w:rPr>
          <w:szCs w:val="18"/>
        </w:rPr>
        <w:tab/>
      </w:r>
      <w:r w:rsidRPr="00DC61F1">
        <w:rPr>
          <w:szCs w:val="18"/>
        </w:rPr>
        <w:t>The prohibited grounds for discrimination are covered in detail in part two of the Human Rights Act 1993.</w:t>
      </w:r>
    </w:p>
  </w:footnote>
  <w:footnote w:id="35">
    <w:p w:rsidR="00EB2239" w:rsidRPr="00DC61F1" w:rsidRDefault="00EB2239" w:rsidP="00C9789E">
      <w:pPr>
        <w:pStyle w:val="FootnoteText"/>
        <w:rPr>
          <w:szCs w:val="18"/>
        </w:rPr>
      </w:pPr>
      <w:r>
        <w:rPr>
          <w:szCs w:val="18"/>
        </w:rPr>
        <w:tab/>
      </w:r>
      <w:r w:rsidRPr="00706221">
        <w:rPr>
          <w:rStyle w:val="FootnoteReference"/>
        </w:rPr>
        <w:footnoteRef/>
      </w:r>
      <w:r w:rsidRPr="00DC61F1">
        <w:rPr>
          <w:szCs w:val="18"/>
        </w:rPr>
        <w:t xml:space="preserve"> </w:t>
      </w:r>
      <w:r>
        <w:rPr>
          <w:szCs w:val="18"/>
        </w:rPr>
        <w:tab/>
      </w:r>
      <w:r w:rsidRPr="00DC61F1">
        <w:rPr>
          <w:szCs w:val="18"/>
        </w:rPr>
        <w:t>Human Rights Commission Annual Report 2015/2016</w:t>
      </w:r>
      <w:r>
        <w:rPr>
          <w:szCs w:val="18"/>
        </w:rPr>
        <w:t>.</w:t>
      </w:r>
    </w:p>
  </w:footnote>
  <w:footnote w:id="36">
    <w:p w:rsidR="00EB2239" w:rsidRPr="00DC61F1" w:rsidRDefault="00EB2239" w:rsidP="00C9789E">
      <w:pPr>
        <w:pStyle w:val="FootnoteText"/>
        <w:rPr>
          <w:szCs w:val="18"/>
        </w:rPr>
      </w:pPr>
      <w:r>
        <w:rPr>
          <w:szCs w:val="18"/>
        </w:rPr>
        <w:tab/>
      </w:r>
      <w:r w:rsidRPr="00706221">
        <w:rPr>
          <w:rStyle w:val="FootnoteReference"/>
        </w:rPr>
        <w:footnoteRef/>
      </w:r>
      <w:r>
        <w:rPr>
          <w:szCs w:val="18"/>
        </w:rPr>
        <w:tab/>
      </w:r>
      <w:r w:rsidRPr="00DC61F1">
        <w:rPr>
          <w:szCs w:val="18"/>
        </w:rPr>
        <w:t>Human Rights Act 1993 section 92I</w:t>
      </w:r>
      <w:r>
        <w:rPr>
          <w:szCs w:val="18"/>
        </w:rPr>
        <w:t>.</w:t>
      </w:r>
    </w:p>
  </w:footnote>
  <w:footnote w:id="37">
    <w:p w:rsidR="00EB2239" w:rsidRDefault="00EB2239" w:rsidP="00C9789E">
      <w:pPr>
        <w:pStyle w:val="FootnoteText"/>
      </w:pPr>
      <w:r>
        <w:rPr>
          <w:szCs w:val="18"/>
        </w:rPr>
        <w:tab/>
      </w:r>
      <w:r w:rsidRPr="00706221">
        <w:rPr>
          <w:rStyle w:val="FootnoteReference"/>
        </w:rPr>
        <w:footnoteRef/>
      </w:r>
      <w:r w:rsidRPr="00DC61F1">
        <w:rPr>
          <w:szCs w:val="18"/>
        </w:rPr>
        <w:t xml:space="preserve"> </w:t>
      </w:r>
      <w:r>
        <w:rPr>
          <w:szCs w:val="18"/>
        </w:rPr>
        <w:tab/>
      </w:r>
      <w:r w:rsidRPr="00DC61F1">
        <w:rPr>
          <w:szCs w:val="18"/>
        </w:rPr>
        <w:t>The prohibited grounds for discrimination are the same as those in the Human Rights Act 1993 and include sex, religious belief and ethnic or national origins, among others. Discrimination in this context includes refusing or omitting to offer or afford to that employee the same terms of employment, conditions of work, fringe benefits or opportunities for training, promotion,</w:t>
      </w:r>
      <w:r>
        <w:rPr>
          <w:szCs w:val="18"/>
        </w:rPr>
        <w:t xml:space="preserve"> </w:t>
      </w:r>
      <w:r w:rsidRPr="00DC61F1">
        <w:rPr>
          <w:szCs w:val="18"/>
        </w:rPr>
        <w:t>or transfer as are made available for other employees of the same or substantially similar qualifications, experience or skills employed in the same or substantially similar circumstances.</w:t>
      </w:r>
    </w:p>
  </w:footnote>
  <w:footnote w:id="38">
    <w:p w:rsidR="00EB2239" w:rsidRPr="00DC61F1" w:rsidRDefault="00EB2239" w:rsidP="00C9789E">
      <w:pPr>
        <w:pStyle w:val="FootnoteText"/>
        <w:rPr>
          <w:szCs w:val="18"/>
        </w:rPr>
      </w:pPr>
      <w:r>
        <w:rPr>
          <w:szCs w:val="18"/>
        </w:rPr>
        <w:tab/>
      </w:r>
      <w:r w:rsidRPr="00706221">
        <w:rPr>
          <w:rStyle w:val="FootnoteReference"/>
        </w:rPr>
        <w:footnoteRef/>
      </w:r>
      <w:r w:rsidRPr="00DC61F1">
        <w:rPr>
          <w:szCs w:val="18"/>
        </w:rPr>
        <w:t xml:space="preserve"> </w:t>
      </w:r>
      <w:r>
        <w:rPr>
          <w:szCs w:val="18"/>
        </w:rPr>
        <w:tab/>
      </w:r>
      <w:r w:rsidRPr="00DC61F1">
        <w:rPr>
          <w:szCs w:val="18"/>
        </w:rPr>
        <w:t>This may underestimate the number of discrimination cases as information is not systematically collected on the type of employment relationship problem.</w:t>
      </w:r>
    </w:p>
  </w:footnote>
  <w:footnote w:id="39">
    <w:p w:rsidR="00EB2239" w:rsidRDefault="00EB2239" w:rsidP="00C9789E">
      <w:pPr>
        <w:pStyle w:val="FootnoteText"/>
      </w:pPr>
      <w:r>
        <w:rPr>
          <w:szCs w:val="18"/>
        </w:rPr>
        <w:tab/>
      </w:r>
      <w:r w:rsidRPr="00706221">
        <w:rPr>
          <w:rStyle w:val="FootnoteReference"/>
        </w:rPr>
        <w:footnoteRef/>
      </w:r>
      <w:r w:rsidRPr="00DC61F1">
        <w:rPr>
          <w:szCs w:val="18"/>
        </w:rPr>
        <w:t xml:space="preserve"> </w:t>
      </w:r>
      <w:r>
        <w:rPr>
          <w:szCs w:val="18"/>
        </w:rPr>
        <w:tab/>
      </w:r>
      <w:r w:rsidRPr="00DC61F1">
        <w:rPr>
          <w:szCs w:val="18"/>
        </w:rPr>
        <w:t>Employment Relations Act 2000 section 123-128</w:t>
      </w:r>
      <w:r>
        <w:rPr>
          <w:szCs w:val="18"/>
        </w:rPr>
        <w:t>.</w:t>
      </w:r>
    </w:p>
  </w:footnote>
  <w:footnote w:id="40">
    <w:p w:rsidR="00EB2239" w:rsidRPr="00DC61F1" w:rsidRDefault="00EB2239" w:rsidP="00C9789E">
      <w:pPr>
        <w:pStyle w:val="FootnoteText"/>
        <w:rPr>
          <w:szCs w:val="18"/>
        </w:rPr>
      </w:pPr>
      <w:r>
        <w:rPr>
          <w:szCs w:val="18"/>
        </w:rPr>
        <w:tab/>
      </w:r>
      <w:r w:rsidRPr="00706221">
        <w:rPr>
          <w:rStyle w:val="FootnoteReference"/>
        </w:rPr>
        <w:footnoteRef/>
      </w:r>
      <w:r w:rsidRPr="00DC61F1">
        <w:rPr>
          <w:szCs w:val="18"/>
        </w:rPr>
        <w:t xml:space="preserve"> </w:t>
      </w:r>
      <w:r>
        <w:rPr>
          <w:szCs w:val="18"/>
        </w:rPr>
        <w:tab/>
      </w:r>
      <w:r w:rsidRPr="00DC61F1">
        <w:rPr>
          <w:szCs w:val="18"/>
        </w:rPr>
        <w:t>More information on eligibility criteria is available at www.workandincome.govt.nz</w:t>
      </w:r>
      <w:r>
        <w:rPr>
          <w:szCs w:val="18"/>
        </w:rPr>
        <w:t>.</w:t>
      </w:r>
    </w:p>
  </w:footnote>
  <w:footnote w:id="41">
    <w:p w:rsidR="00EB2239" w:rsidRPr="00DC61F1" w:rsidRDefault="00EB2239" w:rsidP="00C9789E">
      <w:pPr>
        <w:pStyle w:val="FootnoteText"/>
        <w:rPr>
          <w:szCs w:val="18"/>
        </w:rPr>
      </w:pPr>
      <w:r>
        <w:rPr>
          <w:szCs w:val="18"/>
        </w:rPr>
        <w:tab/>
      </w:r>
      <w:r w:rsidRPr="00706221">
        <w:rPr>
          <w:rStyle w:val="FootnoteReference"/>
        </w:rPr>
        <w:footnoteRef/>
      </w:r>
      <w:r w:rsidRPr="00DC61F1">
        <w:rPr>
          <w:szCs w:val="18"/>
        </w:rPr>
        <w:t xml:space="preserve"> </w:t>
      </w:r>
      <w:r>
        <w:rPr>
          <w:szCs w:val="18"/>
        </w:rPr>
        <w:tab/>
      </w:r>
      <w:r w:rsidRPr="00DC61F1">
        <w:rPr>
          <w:szCs w:val="18"/>
        </w:rPr>
        <w:t>Children</w:t>
      </w:r>
      <w:r>
        <w:rPr>
          <w:szCs w:val="18"/>
        </w:rPr>
        <w:t>’</w:t>
      </w:r>
      <w:r w:rsidRPr="00DC61F1">
        <w:rPr>
          <w:szCs w:val="18"/>
        </w:rPr>
        <w:t>s Commissioner</w:t>
      </w:r>
      <w:r>
        <w:rPr>
          <w:szCs w:val="18"/>
        </w:rPr>
        <w:t>’</w:t>
      </w:r>
      <w:r w:rsidRPr="00DC61F1">
        <w:rPr>
          <w:szCs w:val="18"/>
        </w:rPr>
        <w:t xml:space="preserve">s Expert Advisory Group </w:t>
      </w:r>
      <w:proofErr w:type="gramStart"/>
      <w:r w:rsidRPr="00DC61F1">
        <w:rPr>
          <w:szCs w:val="18"/>
        </w:rPr>
        <w:t>report</w:t>
      </w:r>
      <w:proofErr w:type="gramEnd"/>
      <w:r w:rsidRPr="00DC61F1">
        <w:rPr>
          <w:szCs w:val="18"/>
        </w:rPr>
        <w:t xml:space="preserve"> Solutions to Child Poverty in New Zealand: Evidence for Action (2012)</w:t>
      </w:r>
      <w:r>
        <w:rPr>
          <w:szCs w:val="18"/>
        </w:rPr>
        <w:t>.</w:t>
      </w:r>
    </w:p>
  </w:footnote>
  <w:footnote w:id="42">
    <w:p w:rsidR="00EB2239" w:rsidRPr="00DC61F1" w:rsidRDefault="00EB2239" w:rsidP="00C9789E">
      <w:pPr>
        <w:pStyle w:val="FootnoteText"/>
        <w:rPr>
          <w:szCs w:val="18"/>
        </w:rPr>
      </w:pPr>
      <w:r>
        <w:rPr>
          <w:szCs w:val="18"/>
        </w:rPr>
        <w:tab/>
      </w:r>
      <w:r w:rsidRPr="00706221">
        <w:rPr>
          <w:rStyle w:val="FootnoteReference"/>
        </w:rPr>
        <w:footnoteRef/>
      </w:r>
      <w:r w:rsidRPr="00DC61F1">
        <w:rPr>
          <w:szCs w:val="18"/>
        </w:rPr>
        <w:t xml:space="preserve"> </w:t>
      </w:r>
      <w:r>
        <w:rPr>
          <w:szCs w:val="18"/>
        </w:rPr>
        <w:tab/>
      </w:r>
      <w:r w:rsidRPr="00DC61F1">
        <w:rPr>
          <w:szCs w:val="18"/>
        </w:rPr>
        <w:t>http://www.health.govt.nz/about-ministry/what-we-do/strategic-direction/better-public-services/previous-bps-target-reduce-rheumatic-fever</w:t>
      </w:r>
      <w:r>
        <w:rPr>
          <w:szCs w:val="18"/>
        </w:rPr>
        <w:t>.</w:t>
      </w:r>
    </w:p>
  </w:footnote>
  <w:footnote w:id="43">
    <w:p w:rsidR="00EB2239" w:rsidRDefault="00EB2239" w:rsidP="00C9789E">
      <w:pPr>
        <w:pStyle w:val="FootnoteText"/>
      </w:pPr>
      <w:r>
        <w:rPr>
          <w:szCs w:val="18"/>
        </w:rPr>
        <w:tab/>
      </w:r>
      <w:r w:rsidRPr="00706221">
        <w:rPr>
          <w:rStyle w:val="FootnoteReference"/>
        </w:rPr>
        <w:footnoteRef/>
      </w:r>
      <w:r w:rsidRPr="00DC61F1">
        <w:rPr>
          <w:szCs w:val="18"/>
        </w:rPr>
        <w:t xml:space="preserve"> </w:t>
      </w:r>
      <w:r>
        <w:rPr>
          <w:szCs w:val="18"/>
        </w:rPr>
        <w:tab/>
      </w:r>
      <w:r w:rsidRPr="00DC61F1">
        <w:rPr>
          <w:szCs w:val="18"/>
        </w:rPr>
        <w:t xml:space="preserve">PRIMHD data, extracted on 10 June 2016. Manual data was obtained from Capital &amp; Coast, Hutt Valley and Lakes DHBs. PRIMHD (pronounced </w:t>
      </w:r>
      <w:r>
        <w:rPr>
          <w:szCs w:val="18"/>
        </w:rPr>
        <w:t>“</w:t>
      </w:r>
      <w:r w:rsidRPr="00DC61F1">
        <w:rPr>
          <w:szCs w:val="18"/>
        </w:rPr>
        <w:t>primed</w:t>
      </w:r>
      <w:r>
        <w:rPr>
          <w:szCs w:val="18"/>
        </w:rPr>
        <w:t>”</w:t>
      </w:r>
      <w:r w:rsidRPr="00DC61F1">
        <w:rPr>
          <w:szCs w:val="18"/>
        </w:rPr>
        <w:t>) is a Ministry of Health single national mental health and addiction information collection of service activity and outcomes data for health consumers.</w:t>
      </w:r>
    </w:p>
  </w:footnote>
  <w:footnote w:id="44">
    <w:p w:rsidR="00EB2239" w:rsidRPr="00DC61F1" w:rsidRDefault="00EB2239" w:rsidP="00C9789E">
      <w:pPr>
        <w:pStyle w:val="FootnoteText"/>
        <w:rPr>
          <w:szCs w:val="18"/>
        </w:rPr>
      </w:pPr>
      <w:r>
        <w:rPr>
          <w:szCs w:val="18"/>
        </w:rPr>
        <w:tab/>
      </w:r>
      <w:r w:rsidRPr="00706221">
        <w:rPr>
          <w:rStyle w:val="FootnoteReference"/>
        </w:rPr>
        <w:footnoteRef/>
      </w:r>
      <w:r w:rsidRPr="00DC61F1">
        <w:rPr>
          <w:szCs w:val="18"/>
        </w:rPr>
        <w:t xml:space="preserve"> </w:t>
      </w:r>
      <w:r>
        <w:rPr>
          <w:szCs w:val="18"/>
        </w:rPr>
        <w:tab/>
      </w:r>
      <w:r w:rsidRPr="00DC61F1">
        <w:rPr>
          <w:szCs w:val="18"/>
        </w:rPr>
        <w:t>Discharge of contaminants into a water body from a single fixed point, such as a pipe or drain (</w:t>
      </w:r>
      <w:proofErr w:type="spellStart"/>
      <w:r w:rsidRPr="00DC61F1">
        <w:rPr>
          <w:szCs w:val="18"/>
        </w:rPr>
        <w:t>eg</w:t>
      </w:r>
      <w:proofErr w:type="spellEnd"/>
      <w:r w:rsidRPr="00DC61F1">
        <w:rPr>
          <w:szCs w:val="18"/>
        </w:rPr>
        <w:t>, from the likes of sewerage, factory and dairy shed outfalls).</w:t>
      </w:r>
    </w:p>
  </w:footnote>
  <w:footnote w:id="45">
    <w:p w:rsidR="00EB2239" w:rsidRDefault="00EB2239" w:rsidP="00C9789E">
      <w:pPr>
        <w:pStyle w:val="FootnoteText"/>
      </w:pPr>
      <w:r>
        <w:rPr>
          <w:szCs w:val="18"/>
        </w:rPr>
        <w:tab/>
      </w:r>
      <w:r w:rsidRPr="00706221">
        <w:rPr>
          <w:rStyle w:val="FootnoteReference"/>
        </w:rPr>
        <w:footnoteRef/>
      </w:r>
      <w:r w:rsidRPr="00DC61F1">
        <w:rPr>
          <w:szCs w:val="18"/>
        </w:rPr>
        <w:t xml:space="preserve"> </w:t>
      </w:r>
      <w:r>
        <w:rPr>
          <w:szCs w:val="18"/>
        </w:rPr>
        <w:tab/>
      </w:r>
      <w:r w:rsidRPr="00DC61F1">
        <w:rPr>
          <w:szCs w:val="18"/>
        </w:rPr>
        <w:t>Pollutants sourced from widespread or dispersed sources (</w:t>
      </w:r>
      <w:proofErr w:type="spellStart"/>
      <w:r w:rsidRPr="00DC61F1">
        <w:rPr>
          <w:szCs w:val="18"/>
        </w:rPr>
        <w:t>eg</w:t>
      </w:r>
      <w:proofErr w:type="spellEnd"/>
      <w:r w:rsidRPr="00DC61F1">
        <w:rPr>
          <w:szCs w:val="18"/>
        </w:rPr>
        <w:t>, from pasture runoff of animal wastes, fertiliser and sediments, as well as runoff of pollutants from paved surfaces in urban areas).</w:t>
      </w:r>
      <w:r>
        <w:rPr>
          <w:szCs w:val="18"/>
        </w:rPr>
        <w:t xml:space="preserve"> </w:t>
      </w:r>
      <w:r w:rsidRPr="00DC61F1">
        <w:rPr>
          <w:szCs w:val="18"/>
        </w:rPr>
        <w:t>Also known as non-point source discharges.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2239" w:rsidRPr="00C9789E" w:rsidRDefault="00EB2239" w:rsidP="00C9789E">
    <w:pPr>
      <w:pStyle w:val="Header"/>
    </w:pPr>
    <w:r w:rsidRPr="00C9789E">
      <w:t>E/C.12/NZL/4</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2239" w:rsidRPr="00C9789E" w:rsidRDefault="00EB2239" w:rsidP="00C9789E">
    <w:pPr>
      <w:pStyle w:val="Header"/>
      <w:jc w:val="right"/>
    </w:pPr>
    <w:r w:rsidRPr="00C9789E">
      <w:t>E/C.12/NZL/4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0726A37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87A6111"/>
    <w:multiLevelType w:val="hybridMultilevel"/>
    <w:tmpl w:val="38A47A40"/>
    <w:lvl w:ilvl="0" w:tplc="A3D260E0">
      <w:start w:val="1"/>
      <w:numFmt w:val="bullet"/>
      <w:lvlText w:val=""/>
      <w:lvlJc w:val="left"/>
      <w:pPr>
        <w:ind w:left="360" w:hanging="360"/>
      </w:pPr>
      <w:rPr>
        <w:rFonts w:ascii="Symbol" w:hAnsi="Symbol" w:hint="default"/>
      </w:rPr>
    </w:lvl>
    <w:lvl w:ilvl="1" w:tplc="05EC9562">
      <w:start w:val="1"/>
      <w:numFmt w:val="bullet"/>
      <w:lvlText w:val="o"/>
      <w:lvlJc w:val="left"/>
      <w:pPr>
        <w:ind w:left="1512" w:hanging="288"/>
      </w:pPr>
      <w:rPr>
        <w:rFonts w:ascii="Courier New" w:hAnsi="Courier New" w:hint="default"/>
      </w:rPr>
    </w:lvl>
    <w:lvl w:ilvl="2" w:tplc="14090005">
      <w:start w:val="1"/>
      <w:numFmt w:val="bullet"/>
      <w:lvlText w:val=""/>
      <w:lvlJc w:val="left"/>
      <w:pPr>
        <w:ind w:left="1167" w:hanging="360"/>
      </w:pPr>
      <w:rPr>
        <w:rFonts w:ascii="Wingdings" w:hAnsi="Wingdings" w:hint="default"/>
      </w:rPr>
    </w:lvl>
    <w:lvl w:ilvl="3" w:tplc="14090001">
      <w:start w:val="1"/>
      <w:numFmt w:val="bullet"/>
      <w:lvlText w:val=""/>
      <w:lvlJc w:val="left"/>
      <w:pPr>
        <w:ind w:left="1887" w:hanging="360"/>
      </w:pPr>
      <w:rPr>
        <w:rFonts w:ascii="Symbol" w:hAnsi="Symbol" w:hint="default"/>
      </w:rPr>
    </w:lvl>
    <w:lvl w:ilvl="4" w:tplc="14090003" w:tentative="1">
      <w:start w:val="1"/>
      <w:numFmt w:val="bullet"/>
      <w:lvlText w:val="o"/>
      <w:lvlJc w:val="left"/>
      <w:pPr>
        <w:ind w:left="2607" w:hanging="360"/>
      </w:pPr>
      <w:rPr>
        <w:rFonts w:ascii="Courier New" w:hAnsi="Courier New" w:cs="Courier New" w:hint="default"/>
      </w:rPr>
    </w:lvl>
    <w:lvl w:ilvl="5" w:tplc="14090005" w:tentative="1">
      <w:start w:val="1"/>
      <w:numFmt w:val="bullet"/>
      <w:lvlText w:val=""/>
      <w:lvlJc w:val="left"/>
      <w:pPr>
        <w:ind w:left="3327" w:hanging="360"/>
      </w:pPr>
      <w:rPr>
        <w:rFonts w:ascii="Wingdings" w:hAnsi="Wingdings" w:hint="default"/>
      </w:rPr>
    </w:lvl>
    <w:lvl w:ilvl="6" w:tplc="14090001" w:tentative="1">
      <w:start w:val="1"/>
      <w:numFmt w:val="bullet"/>
      <w:lvlText w:val=""/>
      <w:lvlJc w:val="left"/>
      <w:pPr>
        <w:ind w:left="4047" w:hanging="360"/>
      </w:pPr>
      <w:rPr>
        <w:rFonts w:ascii="Symbol" w:hAnsi="Symbol" w:hint="default"/>
      </w:rPr>
    </w:lvl>
    <w:lvl w:ilvl="7" w:tplc="14090003" w:tentative="1">
      <w:start w:val="1"/>
      <w:numFmt w:val="bullet"/>
      <w:lvlText w:val="o"/>
      <w:lvlJc w:val="left"/>
      <w:pPr>
        <w:ind w:left="4767" w:hanging="360"/>
      </w:pPr>
      <w:rPr>
        <w:rFonts w:ascii="Courier New" w:hAnsi="Courier New" w:cs="Courier New" w:hint="default"/>
      </w:rPr>
    </w:lvl>
    <w:lvl w:ilvl="8" w:tplc="14090005" w:tentative="1">
      <w:start w:val="1"/>
      <w:numFmt w:val="bullet"/>
      <w:lvlText w:val=""/>
      <w:lvlJc w:val="left"/>
      <w:pPr>
        <w:ind w:left="5487" w:hanging="360"/>
      </w:pPr>
      <w:rPr>
        <w:rFonts w:ascii="Wingdings" w:hAnsi="Wingdings" w:hint="default"/>
      </w:r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18D00F0"/>
    <w:multiLevelType w:val="hybridMultilevel"/>
    <w:tmpl w:val="58B8E9AE"/>
    <w:lvl w:ilvl="0" w:tplc="14090003">
      <w:start w:val="1"/>
      <w:numFmt w:val="bullet"/>
      <w:lvlText w:val="o"/>
      <w:lvlJc w:val="left"/>
      <w:pPr>
        <w:tabs>
          <w:tab w:val="num" w:pos="797"/>
        </w:tabs>
        <w:ind w:left="797" w:hanging="360"/>
      </w:pPr>
      <w:rPr>
        <w:rFonts w:ascii="Courier New" w:hAnsi="Courier New" w:cs="Courier New" w:hint="default"/>
        <w:b w:val="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8387C95"/>
    <w:multiLevelType w:val="hybridMultilevel"/>
    <w:tmpl w:val="E8CC7F86"/>
    <w:lvl w:ilvl="0" w:tplc="B60A1754">
      <w:start w:val="1"/>
      <w:numFmt w:val="bullet"/>
      <w:lvlText w:val=""/>
      <w:lvlJc w:val="left"/>
      <w:pPr>
        <w:tabs>
          <w:tab w:val="num" w:pos="360"/>
        </w:tabs>
        <w:ind w:left="360" w:hanging="360"/>
      </w:pPr>
      <w:rPr>
        <w:rFonts w:ascii="Symbol" w:hAnsi="Symbol" w:hint="default"/>
        <w:color w:val="auto"/>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18" w15:restartNumberingAfterBreak="0">
    <w:nsid w:val="3D9D7402"/>
    <w:multiLevelType w:val="hybridMultilevel"/>
    <w:tmpl w:val="AF585E02"/>
    <w:lvl w:ilvl="0" w:tplc="903CCF3E">
      <w:start w:val="1"/>
      <w:numFmt w:val="bullet"/>
      <w:lvlText w:val="•"/>
      <w:lvlJc w:val="left"/>
      <w:pPr>
        <w:ind w:left="397" w:hanging="397"/>
      </w:pPr>
      <w:rPr>
        <w:rFonts w:asciiTheme="minorHAnsi" w:hAnsiTheme="minorHAnsi" w:hint="default"/>
      </w:rPr>
    </w:lvl>
    <w:lvl w:ilvl="1" w:tplc="07B06F72">
      <w:start w:val="1"/>
      <w:numFmt w:val="bullet"/>
      <w:lvlText w:val="–"/>
      <w:lvlJc w:val="left"/>
      <w:pPr>
        <w:ind w:left="1070" w:hanging="360"/>
      </w:pPr>
      <w:rPr>
        <w:rFonts w:ascii="Calibri" w:hAnsi="Calibr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43096CB2"/>
    <w:multiLevelType w:val="multilevel"/>
    <w:tmpl w:val="AC002224"/>
    <w:lvl w:ilvl="0">
      <w:start w:val="1"/>
      <w:numFmt w:val="decimal"/>
      <w:lvlText w:val="%1"/>
      <w:lvlJc w:val="left"/>
      <w:pPr>
        <w:tabs>
          <w:tab w:val="num" w:pos="567"/>
        </w:tabs>
        <w:ind w:left="567" w:hanging="567"/>
      </w:pPr>
      <w:rPr>
        <w:rFonts w:ascii="Arial" w:hAnsi="Arial" w:cs="Arial" w:hint="default"/>
        <w:b w:val="0"/>
        <w:color w:val="000000" w:themeColor="text1"/>
        <w:sz w:val="22"/>
        <w:szCs w:val="22"/>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Courier New" w:hAnsi="Courier New" w:hint="default"/>
      </w:rPr>
    </w:lvl>
    <w:lvl w:ilvl="3">
      <w:start w:val="1"/>
      <w:numFmt w:val="bullet"/>
      <w:lvlText w:val=""/>
      <w:lvlJc w:val="left"/>
      <w:pPr>
        <w:tabs>
          <w:tab w:val="num" w:pos="2268"/>
        </w:tabs>
        <w:ind w:left="2268" w:hanging="567"/>
      </w:pPr>
      <w:rPr>
        <w:rFonts w:ascii="Symbol" w:hAnsi="Symbol" w:hint="default"/>
        <w:color w:val="auto"/>
      </w:rPr>
    </w:lvl>
    <w:lvl w:ilvl="4">
      <w:start w:val="1"/>
      <w:numFmt w:val="lowerLetter"/>
      <w:lvlText w:val="(%5)"/>
      <w:lvlJc w:val="left"/>
      <w:pPr>
        <w:tabs>
          <w:tab w:val="num" w:pos="1797"/>
        </w:tabs>
        <w:ind w:left="1797" w:hanging="357"/>
      </w:pPr>
      <w:rPr>
        <w:rFonts w:hint="default"/>
      </w:rPr>
    </w:lvl>
    <w:lvl w:ilvl="5">
      <w:start w:val="1"/>
      <w:numFmt w:val="lowerRoman"/>
      <w:lvlText w:val="(%6)"/>
      <w:lvlJc w:val="left"/>
      <w:pPr>
        <w:tabs>
          <w:tab w:val="num" w:pos="2160"/>
        </w:tabs>
        <w:ind w:left="2160" w:hanging="363"/>
      </w:pPr>
      <w:rPr>
        <w:rFonts w:hint="default"/>
      </w:rPr>
    </w:lvl>
    <w:lvl w:ilvl="6">
      <w:start w:val="1"/>
      <w:numFmt w:val="decimal"/>
      <w:lvlText w:val="%7."/>
      <w:lvlJc w:val="left"/>
      <w:pPr>
        <w:tabs>
          <w:tab w:val="num" w:pos="2517"/>
        </w:tabs>
        <w:ind w:left="2517" w:hanging="357"/>
      </w:pPr>
      <w:rPr>
        <w:rFonts w:hint="default"/>
      </w:rPr>
    </w:lvl>
    <w:lvl w:ilvl="7">
      <w:start w:val="1"/>
      <w:numFmt w:val="lowerLetter"/>
      <w:lvlText w:val="%8."/>
      <w:lvlJc w:val="left"/>
      <w:pPr>
        <w:tabs>
          <w:tab w:val="num" w:pos="2880"/>
        </w:tabs>
        <w:ind w:left="2880" w:hanging="363"/>
      </w:pPr>
      <w:rPr>
        <w:rFonts w:hint="default"/>
      </w:rPr>
    </w:lvl>
    <w:lvl w:ilvl="8">
      <w:start w:val="1"/>
      <w:numFmt w:val="lowerRoman"/>
      <w:lvlText w:val="%9."/>
      <w:lvlJc w:val="left"/>
      <w:pPr>
        <w:tabs>
          <w:tab w:val="num" w:pos="3237"/>
        </w:tabs>
        <w:ind w:left="3237" w:hanging="357"/>
      </w:pPr>
      <w:rPr>
        <w:rFonts w:hint="default"/>
      </w:rPr>
    </w:lvl>
  </w:abstractNum>
  <w:abstractNum w:abstractNumId="20"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50650345"/>
    <w:multiLevelType w:val="hybridMultilevel"/>
    <w:tmpl w:val="73ECADD8"/>
    <w:lvl w:ilvl="0" w:tplc="C75A5DA0">
      <w:start w:val="1"/>
      <w:numFmt w:val="bullet"/>
      <w:lvlText w:val=""/>
      <w:lvlJc w:val="left"/>
      <w:pPr>
        <w:ind w:left="720" w:hanging="360"/>
      </w:pPr>
      <w:rPr>
        <w:rFonts w:ascii="Symbol" w:hAnsi="Symbol" w:hint="default"/>
      </w:rPr>
    </w:lvl>
    <w:lvl w:ilvl="1" w:tplc="14090001">
      <w:start w:val="1"/>
      <w:numFmt w:val="bullet"/>
      <w:lvlText w:val=""/>
      <w:lvlJc w:val="left"/>
      <w:pPr>
        <w:ind w:left="360" w:hanging="360"/>
      </w:pPr>
      <w:rPr>
        <w:rFonts w:ascii="Symbol" w:hAnsi="Symbol" w:hint="default"/>
      </w:rPr>
    </w:lvl>
    <w:lvl w:ilvl="2" w:tplc="14090005">
      <w:start w:val="1"/>
      <w:numFmt w:val="bullet"/>
      <w:lvlText w:val=""/>
      <w:lvlJc w:val="left"/>
      <w:pPr>
        <w:ind w:left="2160" w:hanging="360"/>
      </w:pPr>
      <w:rPr>
        <w:rFonts w:ascii="Wingdings" w:hAnsi="Wingdings" w:hint="default"/>
      </w:rPr>
    </w:lvl>
    <w:lvl w:ilvl="3" w:tplc="14090001">
      <w:start w:val="1"/>
      <w:numFmt w:val="bullet"/>
      <w:lvlText w:val=""/>
      <w:lvlJc w:val="left"/>
      <w:pPr>
        <w:ind w:left="2880" w:hanging="360"/>
      </w:pPr>
      <w:rPr>
        <w:rFonts w:ascii="Symbol" w:hAnsi="Symbol" w:hint="default"/>
      </w:rPr>
    </w:lvl>
    <w:lvl w:ilvl="4" w:tplc="14090003">
      <w:start w:val="1"/>
      <w:numFmt w:val="bullet"/>
      <w:lvlText w:val="o"/>
      <w:lvlJc w:val="left"/>
      <w:pPr>
        <w:ind w:left="3600" w:hanging="360"/>
      </w:pPr>
      <w:rPr>
        <w:rFonts w:ascii="Courier New" w:hAnsi="Courier New" w:cs="Courier New" w:hint="default"/>
      </w:rPr>
    </w:lvl>
    <w:lvl w:ilvl="5" w:tplc="14090005">
      <w:start w:val="1"/>
      <w:numFmt w:val="bullet"/>
      <w:lvlText w:val=""/>
      <w:lvlJc w:val="left"/>
      <w:pPr>
        <w:ind w:left="4320" w:hanging="360"/>
      </w:pPr>
      <w:rPr>
        <w:rFonts w:ascii="Wingdings" w:hAnsi="Wingdings" w:hint="default"/>
      </w:rPr>
    </w:lvl>
    <w:lvl w:ilvl="6" w:tplc="14090001">
      <w:start w:val="1"/>
      <w:numFmt w:val="bullet"/>
      <w:lvlText w:val=""/>
      <w:lvlJc w:val="left"/>
      <w:pPr>
        <w:ind w:left="5040" w:hanging="360"/>
      </w:pPr>
      <w:rPr>
        <w:rFonts w:ascii="Symbol" w:hAnsi="Symbol" w:hint="default"/>
      </w:rPr>
    </w:lvl>
    <w:lvl w:ilvl="7" w:tplc="14090003">
      <w:start w:val="1"/>
      <w:numFmt w:val="bullet"/>
      <w:lvlText w:val="o"/>
      <w:lvlJc w:val="left"/>
      <w:pPr>
        <w:ind w:left="5760" w:hanging="360"/>
      </w:pPr>
      <w:rPr>
        <w:rFonts w:ascii="Courier New" w:hAnsi="Courier New" w:cs="Courier New" w:hint="default"/>
      </w:rPr>
    </w:lvl>
    <w:lvl w:ilvl="8" w:tplc="14090005">
      <w:start w:val="1"/>
      <w:numFmt w:val="bullet"/>
      <w:lvlText w:val=""/>
      <w:lvlJc w:val="left"/>
      <w:pPr>
        <w:ind w:left="6480" w:hanging="360"/>
      </w:pPr>
      <w:rPr>
        <w:rFonts w:ascii="Wingdings" w:hAnsi="Wingdings" w:hint="default"/>
      </w:rPr>
    </w:lvl>
  </w:abstractNum>
  <w:abstractNum w:abstractNumId="22" w15:restartNumberingAfterBreak="0">
    <w:nsid w:val="548410C0"/>
    <w:multiLevelType w:val="multilevel"/>
    <w:tmpl w:val="056A175E"/>
    <w:lvl w:ilvl="0">
      <w:start w:val="1"/>
      <w:numFmt w:val="decimal"/>
      <w:lvlText w:val="%1."/>
      <w:lvlJc w:val="left"/>
      <w:pPr>
        <w:ind w:left="567" w:hanging="567"/>
      </w:pPr>
      <w:rPr>
        <w:b w:val="0"/>
        <w:sz w:val="22"/>
        <w:szCs w:val="22"/>
      </w:rPr>
    </w:lvl>
    <w:lvl w:ilvl="1">
      <w:start w:val="1"/>
      <w:numFmt w:val="lowerLetter"/>
      <w:lvlText w:val="%2."/>
      <w:lvlJc w:val="left"/>
      <w:pPr>
        <w:ind w:left="1134" w:hanging="567"/>
      </w:pPr>
    </w:lvl>
    <w:lvl w:ilvl="2">
      <w:start w:val="1"/>
      <w:numFmt w:val="lowerRoman"/>
      <w:lvlText w:val="%3."/>
      <w:lvlJc w:val="left"/>
      <w:pPr>
        <w:ind w:left="1701" w:hanging="567"/>
      </w:pPr>
    </w:lvl>
    <w:lvl w:ilvl="3">
      <w:start w:val="1"/>
      <w:numFmt w:val="decimal"/>
      <w:lvlText w:val="(%4)"/>
      <w:lvlJc w:val="left"/>
      <w:pPr>
        <w:ind w:left="2268" w:hanging="567"/>
      </w:pPr>
    </w:lvl>
    <w:lvl w:ilvl="4">
      <w:start w:val="1"/>
      <w:numFmt w:val="lowerLetter"/>
      <w:lvlText w:val="(%5)"/>
      <w:lvlJc w:val="left"/>
      <w:pPr>
        <w:ind w:left="2835" w:hanging="567"/>
      </w:pPr>
    </w:lvl>
    <w:lvl w:ilvl="5">
      <w:start w:val="1"/>
      <w:numFmt w:val="lowerRoman"/>
      <w:lvlText w:val="(%6)"/>
      <w:lvlJc w:val="left"/>
      <w:pPr>
        <w:ind w:left="3402" w:hanging="567"/>
      </w:pPr>
    </w:lvl>
    <w:lvl w:ilvl="6">
      <w:start w:val="1"/>
      <w:numFmt w:val="decimal"/>
      <w:lvlText w:val="%7."/>
      <w:lvlJc w:val="left"/>
      <w:pPr>
        <w:ind w:left="3969" w:hanging="567"/>
      </w:pPr>
    </w:lvl>
    <w:lvl w:ilvl="7">
      <w:start w:val="1"/>
      <w:numFmt w:val="lowerLetter"/>
      <w:lvlText w:val="%8."/>
      <w:lvlJc w:val="left"/>
      <w:pPr>
        <w:ind w:left="4536" w:hanging="567"/>
      </w:pPr>
    </w:lvl>
    <w:lvl w:ilvl="8">
      <w:start w:val="1"/>
      <w:numFmt w:val="lowerRoman"/>
      <w:lvlText w:val="%9."/>
      <w:lvlJc w:val="left"/>
      <w:pPr>
        <w:ind w:left="5103" w:hanging="567"/>
      </w:pPr>
    </w:lvl>
  </w:abstractNum>
  <w:abstractNum w:abstractNumId="2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5925DC1"/>
    <w:multiLevelType w:val="hybridMultilevel"/>
    <w:tmpl w:val="FAA66F24"/>
    <w:lvl w:ilvl="0" w:tplc="8C4849AC">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03146D8"/>
    <w:multiLevelType w:val="multilevel"/>
    <w:tmpl w:val="2DD46426"/>
    <w:lvl w:ilvl="0">
      <w:start w:val="1"/>
      <w:numFmt w:val="bullet"/>
      <w:lvlText w:val=""/>
      <w:lvlJc w:val="left"/>
      <w:pPr>
        <w:tabs>
          <w:tab w:val="num" w:pos="709"/>
        </w:tabs>
        <w:ind w:left="709" w:hanging="709"/>
      </w:pPr>
      <w:rPr>
        <w:rFonts w:ascii="Symbol" w:hAnsi="Symbol" w:hint="default"/>
      </w:rPr>
    </w:lvl>
    <w:lvl w:ilvl="1">
      <w:start w:val="1"/>
      <w:numFmt w:val="decimal"/>
      <w:isLgl/>
      <w:lvlText w:val="%1.%2."/>
      <w:lvlJc w:val="left"/>
      <w:pPr>
        <w:tabs>
          <w:tab w:val="num" w:pos="1418"/>
        </w:tabs>
        <w:ind w:left="1418" w:hanging="709"/>
      </w:pPr>
    </w:lvl>
    <w:lvl w:ilvl="2">
      <w:start w:val="1"/>
      <w:numFmt w:val="decimal"/>
      <w:isLgl/>
      <w:lvlText w:val="%1.%2.%3."/>
      <w:lvlJc w:val="left"/>
      <w:pPr>
        <w:tabs>
          <w:tab w:val="num" w:pos="2268"/>
        </w:tabs>
        <w:ind w:left="2268" w:hanging="850"/>
      </w:pPr>
    </w:lvl>
    <w:lvl w:ilvl="3">
      <w:start w:val="1"/>
      <w:numFmt w:val="decimal"/>
      <w:isLgl/>
      <w:lvlText w:val="%1.%2.%3.%4."/>
      <w:lvlJc w:val="left"/>
      <w:pPr>
        <w:tabs>
          <w:tab w:val="num" w:pos="3119"/>
        </w:tabs>
        <w:ind w:left="3119" w:hanging="851"/>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8" w15:restartNumberingAfterBreak="0">
    <w:nsid w:val="756E4190"/>
    <w:multiLevelType w:val="multilevel"/>
    <w:tmpl w:val="B43AB6BA"/>
    <w:lvl w:ilvl="0">
      <w:start w:val="1"/>
      <w:numFmt w:val="bullet"/>
      <w:lvlText w:val=""/>
      <w:lvlJc w:val="left"/>
      <w:pPr>
        <w:tabs>
          <w:tab w:val="num" w:pos="425"/>
        </w:tabs>
        <w:ind w:left="425" w:hanging="425"/>
      </w:pPr>
      <w:rPr>
        <w:rFonts w:ascii="Symbol" w:hAnsi="Symbol" w:hint="default"/>
        <w:color w:val="auto"/>
      </w:rPr>
    </w:lvl>
    <w:lvl w:ilvl="1">
      <w:start w:val="1"/>
      <w:numFmt w:val="bullet"/>
      <w:lvlText w:val=""/>
      <w:lvlJc w:val="left"/>
      <w:pPr>
        <w:tabs>
          <w:tab w:val="num" w:pos="785"/>
        </w:tabs>
        <w:ind w:left="709" w:hanging="284"/>
      </w:pPr>
      <w:rPr>
        <w:rFonts w:ascii="Symbol" w:hAnsi="Symbol"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9" w15:restartNumberingAfterBreak="0">
    <w:nsid w:val="75E223DA"/>
    <w:multiLevelType w:val="hybridMultilevel"/>
    <w:tmpl w:val="5B7ACB42"/>
    <w:lvl w:ilvl="0" w:tplc="3A60C988">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5"/>
  </w:num>
  <w:num w:numId="3">
    <w:abstractNumId w:val="10"/>
  </w:num>
  <w:num w:numId="4">
    <w:abstractNumId w:val="23"/>
  </w:num>
  <w:num w:numId="5">
    <w:abstractNumId w:val="24"/>
  </w:num>
  <w:num w:numId="6">
    <w:abstractNumId w:val="30"/>
  </w:num>
  <w:num w:numId="7">
    <w:abstractNumId w:val="14"/>
  </w:num>
  <w:num w:numId="8">
    <w:abstractNumId w:val="20"/>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26"/>
  </w:num>
  <w:num w:numId="20">
    <w:abstractNumId w:val="29"/>
  </w:num>
  <w:num w:numId="21">
    <w:abstractNumId w:val="12"/>
  </w:num>
  <w:num w:numId="22">
    <w:abstractNumId w:val="11"/>
  </w:num>
  <w:num w:numId="23">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8"/>
  </w:num>
  <w:num w:numId="25">
    <w:abstractNumId w:val="28"/>
  </w:num>
  <w:num w:numId="26">
    <w:abstractNumId w:val="21"/>
  </w:num>
  <w:num w:numId="27">
    <w:abstractNumId w:val="13"/>
  </w:num>
  <w:num w:numId="2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9"/>
  </w:num>
  <w:num w:numId="31">
    <w:abstractNumId w:val="16"/>
  </w:num>
  <w:num w:numId="32">
    <w:abstractNumId w:val="15"/>
  </w:num>
  <w:num w:numId="33">
    <w:abstractNumId w:val="10"/>
  </w:num>
  <w:num w:numId="34">
    <w:abstractNumId w:val="25"/>
  </w:num>
  <w:num w:numId="35">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9"/>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1158"/>
    <w:rsid w:val="000308B0"/>
    <w:rsid w:val="00030C69"/>
    <w:rsid w:val="00032292"/>
    <w:rsid w:val="00032297"/>
    <w:rsid w:val="00032F41"/>
    <w:rsid w:val="00041918"/>
    <w:rsid w:val="00046E92"/>
    <w:rsid w:val="00056AE3"/>
    <w:rsid w:val="0007643D"/>
    <w:rsid w:val="00080E32"/>
    <w:rsid w:val="000922A4"/>
    <w:rsid w:val="00093A98"/>
    <w:rsid w:val="000A5A19"/>
    <w:rsid w:val="000A5AD8"/>
    <w:rsid w:val="000B27FB"/>
    <w:rsid w:val="000B5663"/>
    <w:rsid w:val="000B7839"/>
    <w:rsid w:val="000C03A3"/>
    <w:rsid w:val="000C2505"/>
    <w:rsid w:val="000C539C"/>
    <w:rsid w:val="000D1B89"/>
    <w:rsid w:val="000D5A36"/>
    <w:rsid w:val="000E3FFB"/>
    <w:rsid w:val="00106D61"/>
    <w:rsid w:val="001075A6"/>
    <w:rsid w:val="00112E97"/>
    <w:rsid w:val="0011395F"/>
    <w:rsid w:val="001170DC"/>
    <w:rsid w:val="001253A2"/>
    <w:rsid w:val="001259EA"/>
    <w:rsid w:val="00133E57"/>
    <w:rsid w:val="00152C9E"/>
    <w:rsid w:val="00157CDB"/>
    <w:rsid w:val="00161B26"/>
    <w:rsid w:val="0016397E"/>
    <w:rsid w:val="001673E6"/>
    <w:rsid w:val="00173499"/>
    <w:rsid w:val="00177BCA"/>
    <w:rsid w:val="001848F0"/>
    <w:rsid w:val="00186902"/>
    <w:rsid w:val="001D75DE"/>
    <w:rsid w:val="001F3D40"/>
    <w:rsid w:val="001F5C90"/>
    <w:rsid w:val="00221F82"/>
    <w:rsid w:val="00226956"/>
    <w:rsid w:val="002328BC"/>
    <w:rsid w:val="00232FB3"/>
    <w:rsid w:val="0023775B"/>
    <w:rsid w:val="002416D4"/>
    <w:rsid w:val="00243386"/>
    <w:rsid w:val="00247E2C"/>
    <w:rsid w:val="00251668"/>
    <w:rsid w:val="00252C18"/>
    <w:rsid w:val="002761C3"/>
    <w:rsid w:val="002964A1"/>
    <w:rsid w:val="002A2B66"/>
    <w:rsid w:val="002B5919"/>
    <w:rsid w:val="002B77CD"/>
    <w:rsid w:val="002D6C53"/>
    <w:rsid w:val="002E395B"/>
    <w:rsid w:val="002F0099"/>
    <w:rsid w:val="002F5089"/>
    <w:rsid w:val="002F5595"/>
    <w:rsid w:val="002F6BA1"/>
    <w:rsid w:val="002F6DC4"/>
    <w:rsid w:val="003050D9"/>
    <w:rsid w:val="00314A1C"/>
    <w:rsid w:val="00334F6A"/>
    <w:rsid w:val="00342473"/>
    <w:rsid w:val="00342AC8"/>
    <w:rsid w:val="003533B9"/>
    <w:rsid w:val="003650C5"/>
    <w:rsid w:val="00366526"/>
    <w:rsid w:val="003803A8"/>
    <w:rsid w:val="00381F41"/>
    <w:rsid w:val="00384249"/>
    <w:rsid w:val="003844EE"/>
    <w:rsid w:val="00386871"/>
    <w:rsid w:val="003939B5"/>
    <w:rsid w:val="00394EE2"/>
    <w:rsid w:val="003A4BDC"/>
    <w:rsid w:val="003A514F"/>
    <w:rsid w:val="003A58C7"/>
    <w:rsid w:val="003B4550"/>
    <w:rsid w:val="003D1E50"/>
    <w:rsid w:val="003D3A6C"/>
    <w:rsid w:val="003E174E"/>
    <w:rsid w:val="003E2D0C"/>
    <w:rsid w:val="003E58BE"/>
    <w:rsid w:val="003F1DF3"/>
    <w:rsid w:val="00403293"/>
    <w:rsid w:val="004050FA"/>
    <w:rsid w:val="0040576E"/>
    <w:rsid w:val="004179CD"/>
    <w:rsid w:val="004217D4"/>
    <w:rsid w:val="00425FF4"/>
    <w:rsid w:val="00441316"/>
    <w:rsid w:val="00460C99"/>
    <w:rsid w:val="00461253"/>
    <w:rsid w:val="00485296"/>
    <w:rsid w:val="004A19BD"/>
    <w:rsid w:val="004A5421"/>
    <w:rsid w:val="004D1027"/>
    <w:rsid w:val="004E3A9B"/>
    <w:rsid w:val="004E7118"/>
    <w:rsid w:val="005042C2"/>
    <w:rsid w:val="00522497"/>
    <w:rsid w:val="00533732"/>
    <w:rsid w:val="00541D27"/>
    <w:rsid w:val="00553F98"/>
    <w:rsid w:val="005543F3"/>
    <w:rsid w:val="00554B19"/>
    <w:rsid w:val="00561388"/>
    <w:rsid w:val="005656E7"/>
    <w:rsid w:val="0056599A"/>
    <w:rsid w:val="005846DF"/>
    <w:rsid w:val="00587690"/>
    <w:rsid w:val="00593657"/>
    <w:rsid w:val="005C2379"/>
    <w:rsid w:val="005C416B"/>
    <w:rsid w:val="005D4BDD"/>
    <w:rsid w:val="005E1642"/>
    <w:rsid w:val="005E7BEE"/>
    <w:rsid w:val="005F2ABB"/>
    <w:rsid w:val="00611E6F"/>
    <w:rsid w:val="0063100F"/>
    <w:rsid w:val="006358A5"/>
    <w:rsid w:val="006505D6"/>
    <w:rsid w:val="00654D5A"/>
    <w:rsid w:val="00671529"/>
    <w:rsid w:val="00672438"/>
    <w:rsid w:val="006755F3"/>
    <w:rsid w:val="0067589C"/>
    <w:rsid w:val="00676B08"/>
    <w:rsid w:val="00686E62"/>
    <w:rsid w:val="006871B5"/>
    <w:rsid w:val="006A26F5"/>
    <w:rsid w:val="006B464F"/>
    <w:rsid w:val="006C1351"/>
    <w:rsid w:val="006C7198"/>
    <w:rsid w:val="006D26C6"/>
    <w:rsid w:val="006D3C64"/>
    <w:rsid w:val="006E2B65"/>
    <w:rsid w:val="006E2BE2"/>
    <w:rsid w:val="0070378C"/>
    <w:rsid w:val="00704EEF"/>
    <w:rsid w:val="00706221"/>
    <w:rsid w:val="00717266"/>
    <w:rsid w:val="007268F9"/>
    <w:rsid w:val="0073034B"/>
    <w:rsid w:val="00753FB2"/>
    <w:rsid w:val="00761D4A"/>
    <w:rsid w:val="00762827"/>
    <w:rsid w:val="00767FC8"/>
    <w:rsid w:val="0079446F"/>
    <w:rsid w:val="00796AEC"/>
    <w:rsid w:val="007A370E"/>
    <w:rsid w:val="007A7C8B"/>
    <w:rsid w:val="007B7E6B"/>
    <w:rsid w:val="007C52B0"/>
    <w:rsid w:val="007D7274"/>
    <w:rsid w:val="007E2A45"/>
    <w:rsid w:val="007E69BD"/>
    <w:rsid w:val="007F0EBF"/>
    <w:rsid w:val="00803785"/>
    <w:rsid w:val="00811207"/>
    <w:rsid w:val="00815DDC"/>
    <w:rsid w:val="008161F5"/>
    <w:rsid w:val="0081665A"/>
    <w:rsid w:val="00825AE0"/>
    <w:rsid w:val="00835B6C"/>
    <w:rsid w:val="00843470"/>
    <w:rsid w:val="0084360E"/>
    <w:rsid w:val="00857DAF"/>
    <w:rsid w:val="00870DB3"/>
    <w:rsid w:val="00884164"/>
    <w:rsid w:val="00890CFD"/>
    <w:rsid w:val="00894E15"/>
    <w:rsid w:val="00895F78"/>
    <w:rsid w:val="008B217E"/>
    <w:rsid w:val="008C09E5"/>
    <w:rsid w:val="008C7C2F"/>
    <w:rsid w:val="008F631C"/>
    <w:rsid w:val="00940C31"/>
    <w:rsid w:val="009411B4"/>
    <w:rsid w:val="00946157"/>
    <w:rsid w:val="009554F3"/>
    <w:rsid w:val="0096027A"/>
    <w:rsid w:val="00963B49"/>
    <w:rsid w:val="00973860"/>
    <w:rsid w:val="00975BD1"/>
    <w:rsid w:val="00984D33"/>
    <w:rsid w:val="0099212A"/>
    <w:rsid w:val="00997465"/>
    <w:rsid w:val="009A2BC1"/>
    <w:rsid w:val="009C64D2"/>
    <w:rsid w:val="009D0139"/>
    <w:rsid w:val="009F5CDC"/>
    <w:rsid w:val="00A02A2C"/>
    <w:rsid w:val="00A06805"/>
    <w:rsid w:val="00A105F6"/>
    <w:rsid w:val="00A139E6"/>
    <w:rsid w:val="00A44C61"/>
    <w:rsid w:val="00A50328"/>
    <w:rsid w:val="00A5492B"/>
    <w:rsid w:val="00A64C2F"/>
    <w:rsid w:val="00A73A2B"/>
    <w:rsid w:val="00A775CF"/>
    <w:rsid w:val="00A972C2"/>
    <w:rsid w:val="00AA1C98"/>
    <w:rsid w:val="00AB1657"/>
    <w:rsid w:val="00AB1E35"/>
    <w:rsid w:val="00AB3C7E"/>
    <w:rsid w:val="00AC1109"/>
    <w:rsid w:val="00AC118A"/>
    <w:rsid w:val="00AC14DB"/>
    <w:rsid w:val="00AE22B9"/>
    <w:rsid w:val="00AF740C"/>
    <w:rsid w:val="00B06045"/>
    <w:rsid w:val="00B06BE3"/>
    <w:rsid w:val="00B276A7"/>
    <w:rsid w:val="00B305F6"/>
    <w:rsid w:val="00B3366A"/>
    <w:rsid w:val="00B54042"/>
    <w:rsid w:val="00B73031"/>
    <w:rsid w:val="00B77308"/>
    <w:rsid w:val="00B84414"/>
    <w:rsid w:val="00B84BE9"/>
    <w:rsid w:val="00BA1B0A"/>
    <w:rsid w:val="00BB5784"/>
    <w:rsid w:val="00BB603A"/>
    <w:rsid w:val="00BD14E8"/>
    <w:rsid w:val="00BD656D"/>
    <w:rsid w:val="00BF648F"/>
    <w:rsid w:val="00C023EF"/>
    <w:rsid w:val="00C0624D"/>
    <w:rsid w:val="00C11BF4"/>
    <w:rsid w:val="00C14577"/>
    <w:rsid w:val="00C24354"/>
    <w:rsid w:val="00C35A27"/>
    <w:rsid w:val="00C36C04"/>
    <w:rsid w:val="00C37531"/>
    <w:rsid w:val="00C37DAD"/>
    <w:rsid w:val="00C5326C"/>
    <w:rsid w:val="00C56137"/>
    <w:rsid w:val="00C6111A"/>
    <w:rsid w:val="00C64D1F"/>
    <w:rsid w:val="00C76B98"/>
    <w:rsid w:val="00C8602C"/>
    <w:rsid w:val="00C860D2"/>
    <w:rsid w:val="00C9789E"/>
    <w:rsid w:val="00CB2556"/>
    <w:rsid w:val="00CC2E3D"/>
    <w:rsid w:val="00CC50BC"/>
    <w:rsid w:val="00CD481B"/>
    <w:rsid w:val="00CD7D1E"/>
    <w:rsid w:val="00CE7460"/>
    <w:rsid w:val="00CF4982"/>
    <w:rsid w:val="00D0425A"/>
    <w:rsid w:val="00D07B22"/>
    <w:rsid w:val="00D12A80"/>
    <w:rsid w:val="00D34D95"/>
    <w:rsid w:val="00D411E3"/>
    <w:rsid w:val="00D4628A"/>
    <w:rsid w:val="00D46976"/>
    <w:rsid w:val="00D615CC"/>
    <w:rsid w:val="00D659A8"/>
    <w:rsid w:val="00D713A6"/>
    <w:rsid w:val="00D8236C"/>
    <w:rsid w:val="00D87D9B"/>
    <w:rsid w:val="00D96C85"/>
    <w:rsid w:val="00DA32B5"/>
    <w:rsid w:val="00DA3757"/>
    <w:rsid w:val="00DA3A45"/>
    <w:rsid w:val="00DA587F"/>
    <w:rsid w:val="00DB0396"/>
    <w:rsid w:val="00DB5F9E"/>
    <w:rsid w:val="00DC0C62"/>
    <w:rsid w:val="00DC5E48"/>
    <w:rsid w:val="00DE0811"/>
    <w:rsid w:val="00DF1AE3"/>
    <w:rsid w:val="00DF20DF"/>
    <w:rsid w:val="00E01ACD"/>
    <w:rsid w:val="00E02C2B"/>
    <w:rsid w:val="00E1604B"/>
    <w:rsid w:val="00E16932"/>
    <w:rsid w:val="00E21CAA"/>
    <w:rsid w:val="00E23CE1"/>
    <w:rsid w:val="00E36599"/>
    <w:rsid w:val="00E40180"/>
    <w:rsid w:val="00E52A59"/>
    <w:rsid w:val="00E64028"/>
    <w:rsid w:val="00E66865"/>
    <w:rsid w:val="00E77847"/>
    <w:rsid w:val="00E87E9A"/>
    <w:rsid w:val="00E95B12"/>
    <w:rsid w:val="00E9692A"/>
    <w:rsid w:val="00EA3446"/>
    <w:rsid w:val="00EB2239"/>
    <w:rsid w:val="00EB46CE"/>
    <w:rsid w:val="00EC1409"/>
    <w:rsid w:val="00ED42D1"/>
    <w:rsid w:val="00ED5BD1"/>
    <w:rsid w:val="00ED6C48"/>
    <w:rsid w:val="00F02021"/>
    <w:rsid w:val="00F06A9D"/>
    <w:rsid w:val="00F06EC6"/>
    <w:rsid w:val="00F075D7"/>
    <w:rsid w:val="00F11158"/>
    <w:rsid w:val="00F21131"/>
    <w:rsid w:val="00F304B7"/>
    <w:rsid w:val="00F42B7C"/>
    <w:rsid w:val="00F42C86"/>
    <w:rsid w:val="00F56968"/>
    <w:rsid w:val="00F609E5"/>
    <w:rsid w:val="00F63F0B"/>
    <w:rsid w:val="00F6415F"/>
    <w:rsid w:val="00F65016"/>
    <w:rsid w:val="00F65E26"/>
    <w:rsid w:val="00F65F5D"/>
    <w:rsid w:val="00F86A3A"/>
    <w:rsid w:val="00F93FC1"/>
    <w:rsid w:val="00F94AAD"/>
    <w:rsid w:val="00FA0401"/>
    <w:rsid w:val="00FB0736"/>
    <w:rsid w:val="00FB1744"/>
    <w:rsid w:val="00FC000E"/>
    <w:rsid w:val="00FC04AB"/>
    <w:rsid w:val="00FC606F"/>
    <w:rsid w:val="00FD656A"/>
    <w:rsid w:val="00FE6284"/>
    <w:rsid w:val="00FE641E"/>
    <w:rsid w:val="00FF121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D2D86512-5E13-48B8-B1A0-C3BA38CDF2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000E"/>
    <w:pPr>
      <w:spacing w:after="0" w:line="240" w:lineRule="auto"/>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rsid w:val="00FC000E"/>
    <w:pPr>
      <w:spacing w:after="0"/>
      <w:ind w:right="0"/>
      <w:jc w:val="left"/>
      <w:outlineLvl w:val="0"/>
    </w:pPr>
  </w:style>
  <w:style w:type="paragraph" w:styleId="Heading2">
    <w:name w:val="heading 2"/>
    <w:basedOn w:val="Normal"/>
    <w:next w:val="Normal"/>
    <w:link w:val="Heading2Char"/>
    <w:rsid w:val="00FC000E"/>
    <w:pPr>
      <w:outlineLvl w:val="1"/>
    </w:pPr>
  </w:style>
  <w:style w:type="paragraph" w:styleId="Heading3">
    <w:name w:val="heading 3"/>
    <w:basedOn w:val="Normal"/>
    <w:next w:val="Normal"/>
    <w:link w:val="Heading3Char"/>
    <w:rsid w:val="00FC000E"/>
    <w:pPr>
      <w:outlineLvl w:val="2"/>
    </w:pPr>
  </w:style>
  <w:style w:type="paragraph" w:styleId="Heading4">
    <w:name w:val="heading 4"/>
    <w:basedOn w:val="Normal"/>
    <w:next w:val="Normal"/>
    <w:link w:val="Heading4Char"/>
    <w:semiHidden/>
    <w:rsid w:val="00FC000E"/>
    <w:pPr>
      <w:outlineLvl w:val="3"/>
    </w:pPr>
  </w:style>
  <w:style w:type="paragraph" w:styleId="Heading5">
    <w:name w:val="heading 5"/>
    <w:basedOn w:val="Normal"/>
    <w:next w:val="Normal"/>
    <w:link w:val="Heading5Char"/>
    <w:rsid w:val="00FC000E"/>
    <w:pPr>
      <w:outlineLvl w:val="4"/>
    </w:pPr>
  </w:style>
  <w:style w:type="paragraph" w:styleId="Heading6">
    <w:name w:val="heading 6"/>
    <w:basedOn w:val="Normal"/>
    <w:next w:val="Normal"/>
    <w:link w:val="Heading6Char"/>
    <w:semiHidden/>
    <w:rsid w:val="00FC000E"/>
    <w:pPr>
      <w:outlineLvl w:val="5"/>
    </w:pPr>
  </w:style>
  <w:style w:type="paragraph" w:styleId="Heading7">
    <w:name w:val="heading 7"/>
    <w:basedOn w:val="Normal"/>
    <w:next w:val="Normal"/>
    <w:link w:val="Heading7Char"/>
    <w:semiHidden/>
    <w:rsid w:val="00FC000E"/>
    <w:pPr>
      <w:outlineLvl w:val="6"/>
    </w:pPr>
  </w:style>
  <w:style w:type="paragraph" w:styleId="Heading8">
    <w:name w:val="heading 8"/>
    <w:basedOn w:val="Normal"/>
    <w:next w:val="Normal"/>
    <w:link w:val="Heading8Char"/>
    <w:semiHidden/>
    <w:rsid w:val="00FC000E"/>
    <w:pPr>
      <w:outlineLvl w:val="7"/>
    </w:pPr>
  </w:style>
  <w:style w:type="paragraph" w:styleId="Heading9">
    <w:name w:val="heading 9"/>
    <w:basedOn w:val="Normal"/>
    <w:next w:val="Normal"/>
    <w:link w:val="Heading9Char"/>
    <w:semiHidden/>
    <w:rsid w:val="00FC000E"/>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FC000E"/>
    <w:pPr>
      <w:pBdr>
        <w:bottom w:val="single" w:sz="4" w:space="4" w:color="auto"/>
      </w:pBdr>
    </w:pPr>
    <w:rPr>
      <w:b/>
      <w:sz w:val="18"/>
    </w:rPr>
  </w:style>
  <w:style w:type="character" w:customStyle="1" w:styleId="HeaderChar">
    <w:name w:val="Header Char"/>
    <w:aliases w:val="6_G Char"/>
    <w:basedOn w:val="DefaultParagraphFont"/>
    <w:link w:val="Header"/>
    <w:rsid w:val="00FC000E"/>
    <w:rPr>
      <w:rFonts w:ascii="Times New Roman" w:eastAsiaTheme="minorHAnsi" w:hAnsi="Times New Roman" w:cs="Times New Roman"/>
      <w:b/>
      <w:sz w:val="18"/>
      <w:szCs w:val="20"/>
      <w:lang w:eastAsia="en-US"/>
    </w:rPr>
  </w:style>
  <w:style w:type="paragraph" w:styleId="Footer">
    <w:name w:val="footer"/>
    <w:aliases w:val="3_G"/>
    <w:basedOn w:val="Normal"/>
    <w:link w:val="FooterChar"/>
    <w:rsid w:val="00FC000E"/>
    <w:rPr>
      <w:sz w:val="16"/>
    </w:rPr>
  </w:style>
  <w:style w:type="character" w:customStyle="1" w:styleId="FooterChar">
    <w:name w:val="Footer Char"/>
    <w:aliases w:val="3_G Char"/>
    <w:basedOn w:val="DefaultParagraphFont"/>
    <w:link w:val="Footer"/>
    <w:rsid w:val="00FC000E"/>
    <w:rPr>
      <w:rFonts w:ascii="Times New Roman" w:eastAsiaTheme="minorHAnsi" w:hAnsi="Times New Roman" w:cs="Times New Roman"/>
      <w:sz w:val="16"/>
      <w:szCs w:val="20"/>
      <w:lang w:eastAsia="en-US"/>
    </w:rPr>
  </w:style>
  <w:style w:type="paragraph" w:customStyle="1" w:styleId="HMG">
    <w:name w:val="_ H __M_G"/>
    <w:basedOn w:val="Normal"/>
    <w:next w:val="Normal"/>
    <w:rsid w:val="00FC000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FC000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FC000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FC000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FC000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FC000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FC000E"/>
    <w:pPr>
      <w:spacing w:after="120" w:line="240" w:lineRule="atLeast"/>
      <w:ind w:left="1134" w:right="1134"/>
      <w:jc w:val="both"/>
    </w:pPr>
  </w:style>
  <w:style w:type="paragraph" w:customStyle="1" w:styleId="SLG">
    <w:name w:val="__S_L_G"/>
    <w:basedOn w:val="Normal"/>
    <w:next w:val="Normal"/>
    <w:rsid w:val="00FC000E"/>
    <w:pPr>
      <w:keepNext/>
      <w:keepLines/>
      <w:spacing w:before="240" w:after="240" w:line="580" w:lineRule="exact"/>
      <w:ind w:left="1134" w:right="1134"/>
    </w:pPr>
    <w:rPr>
      <w:b/>
      <w:sz w:val="56"/>
    </w:rPr>
  </w:style>
  <w:style w:type="paragraph" w:customStyle="1" w:styleId="SMG">
    <w:name w:val="__S_M_G"/>
    <w:basedOn w:val="Normal"/>
    <w:next w:val="Normal"/>
    <w:rsid w:val="00FC000E"/>
    <w:pPr>
      <w:keepNext/>
      <w:keepLines/>
      <w:spacing w:before="240" w:after="240" w:line="420" w:lineRule="exact"/>
      <w:ind w:left="1134" w:right="1134"/>
    </w:pPr>
    <w:rPr>
      <w:b/>
      <w:sz w:val="40"/>
    </w:rPr>
  </w:style>
  <w:style w:type="paragraph" w:customStyle="1" w:styleId="SSG">
    <w:name w:val="__S_S_G"/>
    <w:basedOn w:val="Normal"/>
    <w:next w:val="Normal"/>
    <w:rsid w:val="00FC000E"/>
    <w:pPr>
      <w:keepNext/>
      <w:keepLines/>
      <w:spacing w:before="240" w:after="240" w:line="300" w:lineRule="exact"/>
      <w:ind w:left="1134" w:right="1134"/>
    </w:pPr>
    <w:rPr>
      <w:b/>
      <w:sz w:val="28"/>
    </w:rPr>
  </w:style>
  <w:style w:type="paragraph" w:customStyle="1" w:styleId="XLargeG">
    <w:name w:val="__XLarge_G"/>
    <w:basedOn w:val="Normal"/>
    <w:next w:val="Normal"/>
    <w:rsid w:val="00FC000E"/>
    <w:pPr>
      <w:keepNext/>
      <w:keepLines/>
      <w:spacing w:before="240" w:after="240" w:line="420" w:lineRule="exact"/>
      <w:ind w:left="1134" w:right="1134"/>
    </w:pPr>
    <w:rPr>
      <w:b/>
      <w:sz w:val="40"/>
    </w:rPr>
  </w:style>
  <w:style w:type="paragraph" w:customStyle="1" w:styleId="Bullet1G">
    <w:name w:val="_Bullet 1_G"/>
    <w:basedOn w:val="Normal"/>
    <w:qFormat/>
    <w:rsid w:val="00FC000E"/>
    <w:pPr>
      <w:numPr>
        <w:numId w:val="31"/>
      </w:numPr>
      <w:spacing w:after="120"/>
      <w:ind w:right="1134"/>
      <w:jc w:val="both"/>
    </w:pPr>
  </w:style>
  <w:style w:type="paragraph" w:customStyle="1" w:styleId="Bullet2G">
    <w:name w:val="_Bullet 2_G"/>
    <w:basedOn w:val="Normal"/>
    <w:qFormat/>
    <w:rsid w:val="00FC000E"/>
    <w:pPr>
      <w:numPr>
        <w:numId w:val="32"/>
      </w:numPr>
      <w:spacing w:after="120"/>
      <w:ind w:right="1134"/>
      <w:jc w:val="both"/>
    </w:pPr>
  </w:style>
  <w:style w:type="paragraph" w:customStyle="1" w:styleId="ParaNoG">
    <w:name w:val="_ParaNo._G"/>
    <w:basedOn w:val="SingleTxtG"/>
    <w:rsid w:val="00FC000E"/>
    <w:pPr>
      <w:numPr>
        <w:numId w:val="33"/>
      </w:numPr>
    </w:pPr>
  </w:style>
  <w:style w:type="numbering" w:styleId="111111">
    <w:name w:val="Outline List 2"/>
    <w:basedOn w:val="NoList"/>
    <w:semiHidden/>
    <w:rsid w:val="00FC000E"/>
    <w:pPr>
      <w:numPr>
        <w:numId w:val="34"/>
      </w:numPr>
    </w:pPr>
  </w:style>
  <w:style w:type="numbering" w:styleId="1ai">
    <w:name w:val="Outline List 1"/>
    <w:basedOn w:val="NoList"/>
    <w:semiHidden/>
    <w:rsid w:val="00FC000E"/>
    <w:pPr>
      <w:numPr>
        <w:numId w:val="6"/>
      </w:numPr>
    </w:pPr>
  </w:style>
  <w:style w:type="paragraph" w:styleId="FootnoteText">
    <w:name w:val="footnote text"/>
    <w:aliases w:val="5_G"/>
    <w:basedOn w:val="Normal"/>
    <w:link w:val="FootnoteTextChar"/>
    <w:rsid w:val="000D5A36"/>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0D5A36"/>
    <w:rPr>
      <w:rFonts w:ascii="Times New Roman" w:eastAsiaTheme="minorHAnsi" w:hAnsi="Times New Roman" w:cs="Times New Roman"/>
      <w:sz w:val="18"/>
      <w:szCs w:val="20"/>
      <w:lang w:eastAsia="en-US"/>
    </w:rPr>
  </w:style>
  <w:style w:type="character" w:styleId="FootnoteReference">
    <w:name w:val="footnote reference"/>
    <w:aliases w:val="4_G"/>
    <w:rsid w:val="000D5A36"/>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FC000E"/>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rsid w:val="00FC000E"/>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rsid w:val="00FC000E"/>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FC000E"/>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rsid w:val="00FC000E"/>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FC000E"/>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FC000E"/>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FC000E"/>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FC000E"/>
    <w:rPr>
      <w:rFonts w:ascii="Times New Roman" w:eastAsiaTheme="minorHAnsi" w:hAnsi="Times New Roman" w:cs="Times New Roman"/>
      <w:sz w:val="20"/>
      <w:szCs w:val="20"/>
      <w:lang w:eastAsia="en-US"/>
    </w:rPr>
  </w:style>
  <w:style w:type="character" w:customStyle="1" w:styleId="SingleTxtGChar">
    <w:name w:val="_ Single Txt_G Char"/>
    <w:basedOn w:val="DefaultParagraphFont"/>
    <w:link w:val="SingleTxtG"/>
    <w:rsid w:val="00FC04AB"/>
    <w:rPr>
      <w:rFonts w:ascii="Times New Roman" w:eastAsiaTheme="minorHAnsi" w:hAnsi="Times New Roman" w:cs="Times New Roman"/>
      <w:sz w:val="20"/>
      <w:szCs w:val="20"/>
      <w:lang w:eastAsia="en-US"/>
    </w:rPr>
  </w:style>
  <w:style w:type="paragraph" w:customStyle="1" w:styleId="ParNoG">
    <w:name w:val="_ParNo_G"/>
    <w:basedOn w:val="SingleTxtG"/>
    <w:qFormat/>
    <w:rsid w:val="00C9789E"/>
    <w:pPr>
      <w:numPr>
        <w:numId w:val="21"/>
      </w:numPr>
      <w:kinsoku w:val="0"/>
      <w:overflowPunct w:val="0"/>
      <w:autoSpaceDE w:val="0"/>
      <w:autoSpaceDN w:val="0"/>
      <w:adjustRightInd w:val="0"/>
      <w:snapToGrid w:val="0"/>
    </w:pPr>
    <w:rPr>
      <w:rFonts w:eastAsia="Times New Roman"/>
    </w:rPr>
  </w:style>
  <w:style w:type="character" w:customStyle="1" w:styleId="H23GChar">
    <w:name w:val="_ H_2/3_G Char"/>
    <w:basedOn w:val="DefaultParagraphFont"/>
    <w:link w:val="H23G"/>
    <w:locked/>
    <w:rsid w:val="00C9789E"/>
    <w:rPr>
      <w:rFonts w:ascii="Times New Roman" w:eastAsiaTheme="minorHAnsi" w:hAnsi="Times New Roman" w:cs="Times New Roman"/>
      <w:b/>
      <w:sz w:val="20"/>
      <w:szCs w:val="20"/>
      <w:lang w:eastAsia="en-US"/>
    </w:rPr>
  </w:style>
  <w:style w:type="paragraph" w:styleId="TOC1">
    <w:name w:val="toc 1"/>
    <w:basedOn w:val="Normal"/>
    <w:next w:val="Normal"/>
    <w:autoRedefine/>
    <w:uiPriority w:val="39"/>
    <w:unhideWhenUsed/>
    <w:rsid w:val="006E2BE2"/>
    <w:pPr>
      <w:spacing w:after="100"/>
    </w:pPr>
  </w:style>
  <w:style w:type="paragraph" w:styleId="TOC2">
    <w:name w:val="toc 2"/>
    <w:basedOn w:val="Normal"/>
    <w:next w:val="Normal"/>
    <w:autoRedefine/>
    <w:uiPriority w:val="39"/>
    <w:unhideWhenUsed/>
    <w:rsid w:val="006E2BE2"/>
    <w:pPr>
      <w:spacing w:after="100"/>
      <w:ind w:left="200"/>
    </w:pPr>
  </w:style>
  <w:style w:type="character" w:styleId="Hyperlink">
    <w:name w:val="Hyperlink"/>
    <w:basedOn w:val="DefaultParagraphFont"/>
    <w:uiPriority w:val="99"/>
    <w:unhideWhenUsed/>
    <w:rsid w:val="006E2BE2"/>
    <w:rPr>
      <w:color w:val="0000FF" w:themeColor="hyperlink"/>
      <w:u w:val="single"/>
    </w:rPr>
  </w:style>
  <w:style w:type="table" w:styleId="TableGrid">
    <w:name w:val="Table Grid"/>
    <w:basedOn w:val="TableNormal"/>
    <w:rsid w:val="00B773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A375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A3757"/>
    <w:rPr>
      <w:rFonts w:ascii="Segoe UI" w:eastAsiaTheme="minorHAns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housing.msd.govt.nz/images/information-for-housing-providers/register/social-housing-register-june-2016.jpg"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s://www.dia.govt.nz/diawebsite.nsf/wpg_URL/Services-Local-Elections-Local-Authority-Election-Statistics-2013?OpenDocumen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dotm" TargetMode="External"/></Relationships>
</file>

<file path=word/charts/_rels/chart1.xml.rels><?xml version="1.0" encoding="UTF-8" standalone="yes"?>
<Relationships xmlns="http://schemas.openxmlformats.org/package/2006/relationships"><Relationship Id="rId2" Type="http://schemas.openxmlformats.org/officeDocument/2006/relationships/oleObject" Target="file:///C:\Users\mcinlau\AppData\Local\Microsoft\Windows\Temporary%20Internet%20Files\Content.Outlook\WRCFZNL0\Number%20of%20M&#257;ori%20and%20non-M&#257;ori%20secluded%20in%20adult%20inpatient%20services%202007-2015.xlsx" TargetMode="External"/><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0002642526827142"/>
          <c:y val="0.18565981335666376"/>
          <c:w val="0.68212723409574083"/>
          <c:h val="0.59637720922278459"/>
        </c:manualLayout>
      </c:layout>
      <c:barChart>
        <c:barDir val="col"/>
        <c:grouping val="stacked"/>
        <c:varyColors val="0"/>
        <c:ser>
          <c:idx val="0"/>
          <c:order val="0"/>
          <c:tx>
            <c:strRef>
              <c:f>'G:\Mental Health Protection Team\Annual Reports\Annual Report 2015\[Annual Report Data 2015.xlsx]Seclusion'!$C$253</c:f>
              <c:strCache>
                <c:ptCount val="1"/>
                <c:pt idx="0">
                  <c:v>Māori</c:v>
                </c:pt>
              </c:strCache>
            </c:strRef>
          </c:tx>
          <c:invertIfNegative val="0"/>
          <c:cat>
            <c:numRef>
              <c:f>'G:\Mental Health Protection Team\Annual Reports\Annual Report 2015\[Annual Report Data 2015.xlsx]Seclusion'!$D$252:$L$252</c:f>
              <c:numCache>
                <c:formatCode>General</c:formatCode>
                <c:ptCount val="9"/>
                <c:pt idx="0">
                  <c:v>2007</c:v>
                </c:pt>
                <c:pt idx="1">
                  <c:v>2008</c:v>
                </c:pt>
                <c:pt idx="2">
                  <c:v>2009</c:v>
                </c:pt>
                <c:pt idx="3">
                  <c:v>2010</c:v>
                </c:pt>
                <c:pt idx="4">
                  <c:v>2011</c:v>
                </c:pt>
                <c:pt idx="5">
                  <c:v>2012</c:v>
                </c:pt>
                <c:pt idx="6">
                  <c:v>2013</c:v>
                </c:pt>
                <c:pt idx="7">
                  <c:v>2014</c:v>
                </c:pt>
                <c:pt idx="8">
                  <c:v>2015</c:v>
                </c:pt>
              </c:numCache>
            </c:numRef>
          </c:cat>
          <c:val>
            <c:numRef>
              <c:f>'G:\Mental Health Protection Team\Annual Reports\Annual Report 2015\[Annual Report Data 2015.xlsx]Seclusion'!$D$253:$L$253</c:f>
              <c:numCache>
                <c:formatCode>General</c:formatCode>
                <c:ptCount val="9"/>
                <c:pt idx="0">
                  <c:v>387</c:v>
                </c:pt>
                <c:pt idx="1">
                  <c:v>387</c:v>
                </c:pt>
                <c:pt idx="2">
                  <c:v>270</c:v>
                </c:pt>
                <c:pt idx="3">
                  <c:v>400</c:v>
                </c:pt>
                <c:pt idx="4">
                  <c:v>367.46</c:v>
                </c:pt>
                <c:pt idx="5">
                  <c:v>286</c:v>
                </c:pt>
                <c:pt idx="6">
                  <c:v>277</c:v>
                </c:pt>
                <c:pt idx="7">
                  <c:v>264</c:v>
                </c:pt>
                <c:pt idx="8">
                  <c:v>329</c:v>
                </c:pt>
              </c:numCache>
            </c:numRef>
          </c:val>
          <c:extLst>
            <c:ext xmlns:c16="http://schemas.microsoft.com/office/drawing/2014/chart" uri="{C3380CC4-5D6E-409C-BE32-E72D297353CC}">
              <c16:uniqueId val="{00000000-BE30-4687-AF4F-416670D05611}"/>
            </c:ext>
          </c:extLst>
        </c:ser>
        <c:ser>
          <c:idx val="1"/>
          <c:order val="1"/>
          <c:tx>
            <c:strRef>
              <c:f>'G:\Mental Health Protection Team\Annual Reports\Annual Report 2015\[Annual Report Data 2015.xlsx]Seclusion'!$C$254</c:f>
              <c:strCache>
                <c:ptCount val="1"/>
                <c:pt idx="0">
                  <c:v>Non-Māori</c:v>
                </c:pt>
              </c:strCache>
            </c:strRef>
          </c:tx>
          <c:invertIfNegative val="0"/>
          <c:cat>
            <c:numRef>
              <c:f>'G:\Mental Health Protection Team\Annual Reports\Annual Report 2015\[Annual Report Data 2015.xlsx]Seclusion'!$D$252:$L$252</c:f>
              <c:numCache>
                <c:formatCode>General</c:formatCode>
                <c:ptCount val="9"/>
                <c:pt idx="0">
                  <c:v>2007</c:v>
                </c:pt>
                <c:pt idx="1">
                  <c:v>2008</c:v>
                </c:pt>
                <c:pt idx="2">
                  <c:v>2009</c:v>
                </c:pt>
                <c:pt idx="3">
                  <c:v>2010</c:v>
                </c:pt>
                <c:pt idx="4">
                  <c:v>2011</c:v>
                </c:pt>
                <c:pt idx="5">
                  <c:v>2012</c:v>
                </c:pt>
                <c:pt idx="6">
                  <c:v>2013</c:v>
                </c:pt>
                <c:pt idx="7">
                  <c:v>2014</c:v>
                </c:pt>
                <c:pt idx="8">
                  <c:v>2015</c:v>
                </c:pt>
              </c:numCache>
            </c:numRef>
          </c:cat>
          <c:val>
            <c:numRef>
              <c:f>'G:\Mental Health Protection Team\Annual Reports\Annual Report 2015\[Annual Report Data 2015.xlsx]Seclusion'!$D$254:$L$254</c:f>
              <c:numCache>
                <c:formatCode>General</c:formatCode>
                <c:ptCount val="9"/>
                <c:pt idx="0">
                  <c:v>756</c:v>
                </c:pt>
                <c:pt idx="1">
                  <c:v>636</c:v>
                </c:pt>
                <c:pt idx="2">
                  <c:v>805</c:v>
                </c:pt>
                <c:pt idx="3">
                  <c:v>665</c:v>
                </c:pt>
                <c:pt idx="4">
                  <c:v>599.54</c:v>
                </c:pt>
                <c:pt idx="5">
                  <c:v>555</c:v>
                </c:pt>
                <c:pt idx="6">
                  <c:v>491</c:v>
                </c:pt>
                <c:pt idx="7">
                  <c:v>427</c:v>
                </c:pt>
                <c:pt idx="8">
                  <c:v>425</c:v>
                </c:pt>
              </c:numCache>
            </c:numRef>
          </c:val>
          <c:extLst>
            <c:ext xmlns:c16="http://schemas.microsoft.com/office/drawing/2014/chart" uri="{C3380CC4-5D6E-409C-BE32-E72D297353CC}">
              <c16:uniqueId val="{00000001-BE30-4687-AF4F-416670D05611}"/>
            </c:ext>
          </c:extLst>
        </c:ser>
        <c:dLbls>
          <c:showLegendKey val="0"/>
          <c:showVal val="0"/>
          <c:showCatName val="0"/>
          <c:showSerName val="0"/>
          <c:showPercent val="0"/>
          <c:showBubbleSize val="0"/>
        </c:dLbls>
        <c:gapWidth val="150"/>
        <c:overlap val="100"/>
        <c:axId val="171717760"/>
        <c:axId val="171719680"/>
      </c:barChart>
      <c:catAx>
        <c:axId val="171717760"/>
        <c:scaling>
          <c:orientation val="minMax"/>
        </c:scaling>
        <c:delete val="0"/>
        <c:axPos val="b"/>
        <c:title>
          <c:tx>
            <c:rich>
              <a:bodyPr/>
              <a:lstStyle/>
              <a:p>
                <a:pPr>
                  <a:defRPr/>
                </a:pPr>
                <a:r>
                  <a:rPr lang="en-NZ" b="0"/>
                  <a:t>Year</a:t>
                </a:r>
              </a:p>
            </c:rich>
          </c:tx>
          <c:layout>
            <c:manualLayout>
              <c:xMode val="edge"/>
              <c:yMode val="edge"/>
              <c:x val="0.44027371578552676"/>
              <c:y val="0.89176953447391583"/>
            </c:manualLayout>
          </c:layout>
          <c:overlay val="0"/>
        </c:title>
        <c:numFmt formatCode="General" sourceLinked="1"/>
        <c:majorTickMark val="out"/>
        <c:minorTickMark val="none"/>
        <c:tickLblPos val="nextTo"/>
        <c:crossAx val="171719680"/>
        <c:crosses val="autoZero"/>
        <c:auto val="1"/>
        <c:lblAlgn val="ctr"/>
        <c:lblOffset val="100"/>
        <c:noMultiLvlLbl val="0"/>
      </c:catAx>
      <c:valAx>
        <c:axId val="171719680"/>
        <c:scaling>
          <c:orientation val="minMax"/>
          <c:max val="1200"/>
        </c:scaling>
        <c:delete val="0"/>
        <c:axPos val="l"/>
        <c:title>
          <c:tx>
            <c:rich>
              <a:bodyPr rot="0" vert="horz"/>
              <a:lstStyle/>
              <a:p>
                <a:pPr>
                  <a:defRPr b="0"/>
                </a:pPr>
                <a:r>
                  <a:rPr lang="en-NZ" b="0"/>
                  <a:t>Number</a:t>
                </a:r>
              </a:p>
            </c:rich>
          </c:tx>
          <c:layout>
            <c:manualLayout>
              <c:xMode val="edge"/>
              <c:yMode val="edge"/>
              <c:x val="1.1621370284619818E-2"/>
              <c:y val="6.3107280784767711E-2"/>
            </c:manualLayout>
          </c:layout>
          <c:overlay val="0"/>
        </c:title>
        <c:numFmt formatCode="General" sourceLinked="1"/>
        <c:majorTickMark val="out"/>
        <c:minorTickMark val="none"/>
        <c:tickLblPos val="nextTo"/>
        <c:crossAx val="171717760"/>
        <c:crosses val="autoZero"/>
        <c:crossBetween val="between"/>
      </c:valAx>
    </c:plotArea>
    <c:legend>
      <c:legendPos val="r"/>
      <c:layout/>
      <c:overlay val="0"/>
    </c:legend>
    <c:plotVisOnly val="1"/>
    <c:dispBlanksAs val="gap"/>
    <c:showDLblsOverMax val="0"/>
  </c:chart>
  <c:spPr>
    <a:ln>
      <a:noFill/>
    </a:ln>
  </c:sp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34DA11-20D8-48C4-9F9B-7402B9D815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44</Pages>
  <Words>20296</Words>
  <Characters>109849</Characters>
  <Application>Microsoft Office Word</Application>
  <DocSecurity>0</DocSecurity>
  <Lines>3016</Lines>
  <Paragraphs>1734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1717139</vt:lpstr>
      <vt:lpstr>1716861</vt:lpstr>
    </vt:vector>
  </TitlesOfParts>
  <Company>DCM</Company>
  <LinksUpToDate>false</LinksUpToDate>
  <CharactersWithSpaces>128978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1717139</dc:title>
  <dc:subject>E/C.12/NZL/4</dc:subject>
  <dc:creator>ESCALANTE</dc:creator>
  <cp:keywords/>
  <dc:description>formatted text</dc:description>
  <cp:lastModifiedBy>Generic Desk Anglais</cp:lastModifiedBy>
  <cp:revision>2</cp:revision>
  <cp:lastPrinted>2017-10-05T13:15:00Z</cp:lastPrinted>
  <dcterms:created xsi:type="dcterms:W3CDTF">2017-10-06T09:38:00Z</dcterms:created>
  <dcterms:modified xsi:type="dcterms:W3CDTF">2017-10-06T09:38:00Z</dcterms:modified>
</cp:coreProperties>
</file>