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A3D59">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A3D59" w:rsidP="00CA3D59">
            <w:pPr>
              <w:spacing w:after="20"/>
              <w:jc w:val="right"/>
            </w:pPr>
            <w:r w:rsidRPr="00CA3D59">
              <w:rPr>
                <w:sz w:val="40"/>
              </w:rPr>
              <w:t>CCPR</w:t>
            </w:r>
            <w:r>
              <w:t>/C/100/1</w:t>
            </w:r>
          </w:p>
        </w:tc>
      </w:tr>
      <w:tr w:rsidR="002D5AAC" w:rsidTr="00CA3D59">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CA3D59" w:rsidRDefault="00CA3D59" w:rsidP="00CA3D59">
            <w:pPr>
              <w:spacing w:before="240"/>
            </w:pPr>
            <w:r>
              <w:t>Distr. general</w:t>
            </w:r>
          </w:p>
          <w:p w:rsidR="00CA3D59" w:rsidRDefault="00CA3D59" w:rsidP="00CA3D59">
            <w:r>
              <w:t>17 de septiembre de 2010</w:t>
            </w:r>
          </w:p>
          <w:p w:rsidR="00CA3D59" w:rsidRDefault="00CA3D59" w:rsidP="00CA3D59">
            <w:r>
              <w:t>Español</w:t>
            </w:r>
          </w:p>
          <w:p w:rsidR="002D5AAC" w:rsidRDefault="00CA3D59" w:rsidP="00CA3D59">
            <w:r>
              <w:t>Original: inglés</w:t>
            </w:r>
          </w:p>
        </w:tc>
      </w:tr>
    </w:tbl>
    <w:p w:rsidR="00CA3D59" w:rsidRDefault="00CA3D59" w:rsidP="00CA3D59">
      <w:pPr>
        <w:spacing w:before="120"/>
        <w:rPr>
          <w:sz w:val="24"/>
          <w:szCs w:val="24"/>
        </w:rPr>
      </w:pPr>
      <w:r>
        <w:rPr>
          <w:b/>
          <w:sz w:val="24"/>
          <w:szCs w:val="24"/>
          <w:lang w:val="es-ES_tradnl"/>
        </w:rPr>
        <w:t>Comité de Derechos Humanos</w:t>
      </w:r>
      <w:r>
        <w:rPr>
          <w:b/>
          <w:sz w:val="24"/>
          <w:szCs w:val="24"/>
          <w:lang w:val="es-ES_tradnl"/>
        </w:rPr>
        <w:br/>
      </w:r>
      <w:r>
        <w:rPr>
          <w:b/>
          <w:lang w:val="es-ES_tradnl"/>
        </w:rPr>
        <w:t>100º período de sesiones</w:t>
      </w:r>
      <w:r>
        <w:rPr>
          <w:b/>
          <w:lang w:val="es-ES_tradnl"/>
        </w:rPr>
        <w:br/>
      </w:r>
      <w:r>
        <w:rPr>
          <w:lang w:val="es-ES_tradnl"/>
        </w:rPr>
        <w:t>Ginebra, 11 a 29 de octubre de 2010</w:t>
      </w:r>
    </w:p>
    <w:p w:rsidR="00CA3D59" w:rsidRDefault="00CA3D59" w:rsidP="00CA3D59">
      <w:pPr>
        <w:pStyle w:val="HChG"/>
        <w:rPr>
          <w:lang w:val="es-ES_tradnl"/>
        </w:rPr>
      </w:pPr>
      <w:r>
        <w:rPr>
          <w:lang w:val="es-ES_tradnl"/>
        </w:rPr>
        <w:tab/>
      </w:r>
      <w:r>
        <w:rPr>
          <w:lang w:val="es-ES_tradnl"/>
        </w:rPr>
        <w:tab/>
        <w:t>Programa provisional y anotaciones</w:t>
      </w:r>
    </w:p>
    <w:p w:rsidR="00CA3D59" w:rsidRDefault="00CA3D59" w:rsidP="00CA3D59">
      <w:pPr>
        <w:pStyle w:val="H1G"/>
        <w:rPr>
          <w:lang w:val="es-ES_tradnl"/>
        </w:rPr>
      </w:pPr>
      <w:r>
        <w:rPr>
          <w:lang w:val="es-ES_tradnl"/>
        </w:rPr>
        <w:tab/>
      </w:r>
      <w:r>
        <w:rPr>
          <w:lang w:val="es-ES_tradnl"/>
        </w:rPr>
        <w:tab/>
        <w:t>Nota del Secretario General</w:t>
      </w:r>
    </w:p>
    <w:p w:rsidR="00CA3D59" w:rsidRDefault="00CA3D59" w:rsidP="00CA3D59">
      <w:pPr>
        <w:pStyle w:val="SingleTxtG"/>
        <w:rPr>
          <w:lang w:val="es-ES_tradnl"/>
        </w:rPr>
      </w:pPr>
      <w:r>
        <w:rPr>
          <w:lang w:val="es-ES_tradnl"/>
        </w:rPr>
        <w:t>1.</w:t>
      </w:r>
      <w:r>
        <w:rPr>
          <w:lang w:val="es-ES_tradnl"/>
        </w:rPr>
        <w:tab/>
        <w:t>El 100º período de sesiones del Comité de Derechos Humanos se celebrará en la Oficina de las Naciones Unidas en Ginebra del 11 a</w:t>
      </w:r>
      <w:r w:rsidR="00C55D25">
        <w:rPr>
          <w:lang w:val="es-ES_tradnl"/>
        </w:rPr>
        <w:t>l</w:t>
      </w:r>
      <w:r>
        <w:rPr>
          <w:lang w:val="es-ES_tradnl"/>
        </w:rPr>
        <w:t xml:space="preserve"> 29 de octubre de 2010. La primera sesión se celebrará en la sala de conferencias de la planta baja del Palais Wilson el lunes </w:t>
      </w:r>
      <w:r w:rsidR="006B3B1C">
        <w:rPr>
          <w:lang w:val="es-ES_tradnl"/>
        </w:rPr>
        <w:t xml:space="preserve">11 de octubre </w:t>
      </w:r>
      <w:r>
        <w:rPr>
          <w:lang w:val="es-ES_tradnl"/>
        </w:rPr>
        <w:t>a las 10.00 horas.</w:t>
      </w:r>
    </w:p>
    <w:p w:rsidR="00CA3D59" w:rsidRDefault="00CA3D59" w:rsidP="00CA3D59">
      <w:pPr>
        <w:pStyle w:val="SingleTxtG"/>
        <w:rPr>
          <w:lang w:val="es-ES_tradnl"/>
        </w:rPr>
      </w:pPr>
      <w:r>
        <w:rPr>
          <w:lang w:val="es-ES_tradnl"/>
        </w:rPr>
        <w:t>2.</w:t>
      </w:r>
      <w:r>
        <w:rPr>
          <w:lang w:val="es-ES_tradnl"/>
        </w:rPr>
        <w:tab/>
        <w:t>De conformidad con el artículo 6 del reglamento del Comité, el Secretario General ha preparado, en consulta con la Presidencia del Comité, el program</w:t>
      </w:r>
      <w:r w:rsidR="006B3B1C">
        <w:rPr>
          <w:lang w:val="es-ES_tradnl"/>
        </w:rPr>
        <w:t>a provisional adjunto para el 100</w:t>
      </w:r>
      <w:r>
        <w:rPr>
          <w:lang w:val="es-ES_tradnl"/>
        </w:rPr>
        <w:t>º período de sesiones. Se adjuntan también a la presente nota las anotaciones al programa provisional.</w:t>
      </w:r>
    </w:p>
    <w:p w:rsidR="00CA3D59" w:rsidRDefault="00CA3D59" w:rsidP="00CA3D59">
      <w:pPr>
        <w:pStyle w:val="SingleTxtG"/>
        <w:rPr>
          <w:lang w:val="es-ES_tradnl"/>
        </w:rPr>
      </w:pPr>
      <w:r>
        <w:rPr>
          <w:lang w:val="es-ES_tradnl"/>
        </w:rPr>
        <w:t>3.</w:t>
      </w:r>
      <w:r>
        <w:rPr>
          <w:lang w:val="es-ES_tradnl"/>
        </w:rPr>
        <w:tab/>
        <w:t>Con arreglo al artículo 33 del reglamento, las sesiones del Comité serán públicas, a menos que éste decida otra cosa o que de las disposiciones pertinentes del Pacto o del Protocolo Facultativo se desprenda que las sesiones deben ser privadas.</w:t>
      </w:r>
    </w:p>
    <w:p w:rsidR="00CA3D59" w:rsidRDefault="00CA3D59" w:rsidP="00CA3D59">
      <w:pPr>
        <w:pStyle w:val="SingleTxtG"/>
        <w:rPr>
          <w:lang w:val="es-ES_tradnl"/>
        </w:rPr>
      </w:pPr>
      <w:r>
        <w:rPr>
          <w:lang w:val="es-ES_tradnl"/>
        </w:rPr>
        <w:t>4.</w:t>
      </w:r>
      <w:r>
        <w:rPr>
          <w:lang w:val="es-ES_tradnl"/>
        </w:rPr>
        <w:tab/>
        <w:t>Se señalan en particular a la atención de los Estados partes las anotaciones al tema 7, en las que figura el calendario provisional para el examen de informes e</w:t>
      </w:r>
      <w:r w:rsidR="006B3B1C">
        <w:rPr>
          <w:lang w:val="es-ES_tradnl"/>
        </w:rPr>
        <w:t>n el 100</w:t>
      </w:r>
      <w:r>
        <w:rPr>
          <w:lang w:val="es-ES_tradnl"/>
        </w:rPr>
        <w:t>º período de sesiones. De conformidad con el artículo 68 del reglamento, los representantes de los Estados partes deberían asistir a las sesiones del Comité cuando se examinen sus informes.</w:t>
      </w:r>
    </w:p>
    <w:p w:rsidR="00CA3D59" w:rsidRDefault="00CA3D59" w:rsidP="00CA3D59">
      <w:pPr>
        <w:pStyle w:val="SingleTxtG"/>
        <w:rPr>
          <w:lang w:val="es-ES_tradnl"/>
        </w:rPr>
      </w:pPr>
      <w:r>
        <w:rPr>
          <w:lang w:val="es-ES_tradnl"/>
        </w:rPr>
        <w:t>5.</w:t>
      </w:r>
      <w:r>
        <w:rPr>
          <w:lang w:val="es-ES_tradnl"/>
        </w:rPr>
        <w:tab/>
        <w:t>Como se establece en el artículo 95 del reglamento, un grupo de trabajo deberá reunirse durante u</w:t>
      </w:r>
      <w:r w:rsidR="006B3B1C">
        <w:rPr>
          <w:lang w:val="es-ES_tradnl"/>
        </w:rPr>
        <w:t>na semana con anterioridad al 100</w:t>
      </w:r>
      <w:r>
        <w:rPr>
          <w:lang w:val="es-ES_tradnl"/>
        </w:rPr>
        <w:t xml:space="preserve">º período de sesiones. El Grupo de Trabajo anterior al período de sesiones se reunirá del </w:t>
      </w:r>
      <w:r w:rsidR="006B3B1C">
        <w:rPr>
          <w:lang w:val="es-ES_tradnl"/>
        </w:rPr>
        <w:t>4 al 8 de octubre</w:t>
      </w:r>
      <w:r>
        <w:rPr>
          <w:lang w:val="es-ES_tradnl"/>
        </w:rPr>
        <w:t xml:space="preserve"> de 2010.</w:t>
      </w:r>
    </w:p>
    <w:p w:rsidR="00CA3D59" w:rsidRDefault="00CA3D59" w:rsidP="00CA3D59">
      <w:pPr>
        <w:pStyle w:val="H1G"/>
      </w:pPr>
      <w:r>
        <w:br w:type="page"/>
      </w:r>
      <w:r>
        <w:tab/>
      </w:r>
      <w:r>
        <w:tab/>
        <w:t>Programa provisional</w:t>
      </w:r>
    </w:p>
    <w:p w:rsidR="00CA3D59" w:rsidRDefault="00CA3D59" w:rsidP="00C55D25">
      <w:pPr>
        <w:pStyle w:val="SingleTxtG"/>
        <w:ind w:left="1701" w:hanging="567"/>
        <w:jc w:val="left"/>
      </w:pPr>
      <w:r>
        <w:t>1.</w:t>
      </w:r>
      <w:r>
        <w:tab/>
        <w:t>Apertura del período de sesiones por la Alta Comisionada de las Naciones Unidas para los Derechos Humanos o su representante.</w:t>
      </w:r>
    </w:p>
    <w:p w:rsidR="00CA3D59" w:rsidRDefault="00CA3D59" w:rsidP="00C55D25">
      <w:pPr>
        <w:pStyle w:val="SingleTxtG"/>
        <w:ind w:left="1701" w:hanging="567"/>
        <w:jc w:val="left"/>
      </w:pPr>
      <w:r>
        <w:t>2.</w:t>
      </w:r>
      <w:r>
        <w:tab/>
        <w:t>Aprobación del programa.</w:t>
      </w:r>
    </w:p>
    <w:p w:rsidR="00CA3D59" w:rsidRDefault="00CA3D59" w:rsidP="00C55D25">
      <w:pPr>
        <w:pStyle w:val="SingleTxtG"/>
        <w:ind w:left="1701" w:hanging="567"/>
        <w:jc w:val="left"/>
      </w:pPr>
      <w:r>
        <w:t>3.</w:t>
      </w:r>
      <w:r>
        <w:tab/>
        <w:t>Cuestiones de organización y otros asuntos.</w:t>
      </w:r>
    </w:p>
    <w:p w:rsidR="00CA3D59" w:rsidRDefault="00CA3D59" w:rsidP="00C55D25">
      <w:pPr>
        <w:pStyle w:val="SingleTxtG"/>
        <w:ind w:left="1701" w:hanging="567"/>
        <w:jc w:val="left"/>
      </w:pPr>
      <w:r>
        <w:t>4.</w:t>
      </w:r>
      <w:r>
        <w:tab/>
        <w:t>Reunión con representantes de organizaciones no gubernamentales e intergubernamentales.</w:t>
      </w:r>
    </w:p>
    <w:p w:rsidR="00CA3D59" w:rsidRDefault="00CA3D59" w:rsidP="00C55D25">
      <w:pPr>
        <w:pStyle w:val="SingleTxtG"/>
        <w:ind w:left="1701" w:hanging="567"/>
        <w:jc w:val="left"/>
      </w:pPr>
      <w:r>
        <w:t>5.</w:t>
      </w:r>
      <w:r>
        <w:tab/>
        <w:t>Presentación de informes por los Estados partes en virtud del artículo 40 del Pacto.</w:t>
      </w:r>
    </w:p>
    <w:p w:rsidR="00CA3D59" w:rsidRDefault="00CA3D59" w:rsidP="00C55D25">
      <w:pPr>
        <w:pStyle w:val="SingleTxtG"/>
        <w:ind w:left="1701" w:hanging="567"/>
        <w:jc w:val="left"/>
      </w:pPr>
      <w:r>
        <w:t>6.</w:t>
      </w:r>
      <w:r>
        <w:tab/>
        <w:t>Examen de los informes presentados por los Estados partes en virtud del artículo 40 del Pacto.</w:t>
      </w:r>
    </w:p>
    <w:p w:rsidR="00CA3D59" w:rsidRDefault="00CA3D59" w:rsidP="00C55D25">
      <w:pPr>
        <w:pStyle w:val="SingleTxtG"/>
        <w:ind w:left="1701" w:hanging="567"/>
        <w:jc w:val="left"/>
      </w:pPr>
      <w:r>
        <w:t>7.</w:t>
      </w:r>
      <w:r>
        <w:tab/>
        <w:t>Seguimiento de las observaciones finales sobre los informes de los Estados y de los dictámenes formulados con arreglo al Protocolo Facultativo.</w:t>
      </w:r>
    </w:p>
    <w:p w:rsidR="00CA3D59" w:rsidRDefault="00CA3D59" w:rsidP="00C55D25">
      <w:pPr>
        <w:pStyle w:val="SingleTxtG"/>
        <w:ind w:left="1701" w:hanging="567"/>
        <w:jc w:val="left"/>
      </w:pPr>
      <w:r>
        <w:t>8.</w:t>
      </w:r>
      <w:r>
        <w:tab/>
        <w:t>Observaciones generales del Comité.</w:t>
      </w:r>
    </w:p>
    <w:p w:rsidR="00CA3D59" w:rsidRDefault="00CA3D59" w:rsidP="00C55D25">
      <w:pPr>
        <w:pStyle w:val="SingleTxtG"/>
        <w:ind w:left="1701" w:hanging="567"/>
        <w:jc w:val="left"/>
      </w:pPr>
      <w:r>
        <w:t>9.</w:t>
      </w:r>
      <w:r>
        <w:tab/>
        <w:t>Examen de las comunicaciones recibidas en virtu</w:t>
      </w:r>
      <w:r w:rsidR="00C55D25">
        <w:t>d del Protocolo Facultativo del </w:t>
      </w:r>
      <w:r>
        <w:t>Pacto.</w:t>
      </w:r>
    </w:p>
    <w:p w:rsidR="00CA3D59" w:rsidRDefault="00CA3D59" w:rsidP="00C55D25">
      <w:pPr>
        <w:pStyle w:val="SingleTxtG"/>
        <w:ind w:left="1701" w:hanging="567"/>
        <w:jc w:val="left"/>
      </w:pPr>
      <w:r>
        <w:t>10.</w:t>
      </w:r>
      <w:r>
        <w:tab/>
      </w:r>
      <w:r w:rsidR="006B3B1C">
        <w:t>Acto especial con motivo del 100º período de sesiones del Comité</w:t>
      </w:r>
      <w:r>
        <w:t>.</w:t>
      </w:r>
    </w:p>
    <w:p w:rsidR="00CA3D59" w:rsidRDefault="00CA3D59" w:rsidP="00CA3D59">
      <w:pPr>
        <w:pStyle w:val="H1G"/>
      </w:pPr>
      <w:r>
        <w:br w:type="page"/>
      </w:r>
      <w:r>
        <w:tab/>
      </w:r>
      <w:r>
        <w:tab/>
        <w:t>Anotaciones</w:t>
      </w:r>
    </w:p>
    <w:p w:rsidR="00CA3D59" w:rsidRPr="008074F2" w:rsidRDefault="00CA3D59" w:rsidP="00CA3D59">
      <w:pPr>
        <w:pStyle w:val="H23G"/>
      </w:pPr>
      <w:r>
        <w:tab/>
        <w:t>1.</w:t>
      </w:r>
      <w:r>
        <w:tab/>
      </w:r>
      <w:r w:rsidRPr="008074F2">
        <w:t>Apertura del período de sesiones por la Alta Comisionada de las Naciones Unidas para los Derechos Humanos o su representante</w:t>
      </w:r>
    </w:p>
    <w:p w:rsidR="00CA3D59" w:rsidRDefault="00CA3D59" w:rsidP="00CA3D59">
      <w:pPr>
        <w:pStyle w:val="SingleTxtG"/>
      </w:pPr>
      <w:r>
        <w:tab/>
        <w:t xml:space="preserve">La </w:t>
      </w:r>
      <w:r w:rsidRPr="008074F2">
        <w:t>Alta Comisionada de las Naciones Unidas para los Derechos Humanos o su representante</w:t>
      </w:r>
      <w:r w:rsidR="006B3B1C">
        <w:t xml:space="preserve"> declararán abierto el 100</w:t>
      </w:r>
      <w:r>
        <w:t>º período de sesiones del Comité.</w:t>
      </w:r>
    </w:p>
    <w:p w:rsidR="00CA3D59" w:rsidRDefault="00CA3D59" w:rsidP="00CA3D59">
      <w:pPr>
        <w:pStyle w:val="H23G"/>
      </w:pPr>
      <w:r>
        <w:tab/>
        <w:t>2.</w:t>
      </w:r>
      <w:r>
        <w:tab/>
        <w:t>Aprobación del programa</w:t>
      </w:r>
    </w:p>
    <w:p w:rsidR="00CA3D59" w:rsidRDefault="00CA3D59" w:rsidP="00CA3D59">
      <w:pPr>
        <w:pStyle w:val="SingleTxtG"/>
        <w:rPr>
          <w:bCs/>
        </w:rPr>
      </w:pPr>
      <w:r>
        <w:rPr>
          <w:bCs/>
        </w:rPr>
        <w:tab/>
        <w:t>En virtud de lo dispuesto en el artículo 8 del reglamento del Comité, el primer tema del programa de cada período de sesiones será la aprobación del programa. De conformidad con el artículo 9, el Comité podrá modificar el programa durante un período de sesiones y, según corresponda, aplazar o suprimir temas.</w:t>
      </w:r>
    </w:p>
    <w:p w:rsidR="00CA3D59" w:rsidRDefault="00CA3D59" w:rsidP="00CA3D59">
      <w:pPr>
        <w:pStyle w:val="H23G"/>
      </w:pPr>
      <w:r>
        <w:tab/>
        <w:t>3.</w:t>
      </w:r>
      <w:r>
        <w:tab/>
        <w:t>Cuestiones de organización y otros asuntos</w:t>
      </w:r>
    </w:p>
    <w:p w:rsidR="00CA3D59" w:rsidRDefault="00CA3D59" w:rsidP="00CA3D59">
      <w:pPr>
        <w:pStyle w:val="SingleTxtG"/>
      </w:pPr>
      <w:r>
        <w:tab/>
        <w:t>En relación con este tema, el Comité examinará diversos asuntos referentes a sus actividades.</w:t>
      </w:r>
    </w:p>
    <w:p w:rsidR="00CA3D59" w:rsidRDefault="00CA3D59" w:rsidP="00CA3D59">
      <w:pPr>
        <w:pStyle w:val="H23G"/>
      </w:pPr>
      <w:r>
        <w:tab/>
        <w:t>4.</w:t>
      </w:r>
      <w:r>
        <w:tab/>
        <w:t>Reunión con representantes de organizaciones no gubernamentales e intergubernamentales</w:t>
      </w:r>
    </w:p>
    <w:p w:rsidR="00CA3D59" w:rsidRDefault="00CA3D59" w:rsidP="00CA3D59">
      <w:pPr>
        <w:pStyle w:val="SingleTxtG"/>
      </w:pPr>
      <w:r>
        <w:tab/>
        <w:t xml:space="preserve">En cada período de sesiones, el Comité escucha a los representantes de las organizaciones no gubernamentales e intergubernamentales representadas ante la Oficina de las Naciones Unidas en Ginebra. En consecuencia, se ha programado una reunión para la sesión matutina del lunes </w:t>
      </w:r>
      <w:r w:rsidR="006B3B1C">
        <w:t>11 de octubre</w:t>
      </w:r>
      <w:r>
        <w:t xml:space="preserve"> de 2010, de 11.00 a 13.00 horas.</w:t>
      </w:r>
    </w:p>
    <w:p w:rsidR="00CA3D59" w:rsidRDefault="00CA3D59" w:rsidP="00CA3D59">
      <w:pPr>
        <w:pStyle w:val="H23G"/>
      </w:pPr>
      <w:r>
        <w:tab/>
        <w:t>5.</w:t>
      </w:r>
      <w:r>
        <w:tab/>
        <w:t>Presentación de informes por los Estados partes en virtud del</w:t>
      </w:r>
      <w:r>
        <w:br/>
        <w:t>artículo 40 del Pacto</w:t>
      </w:r>
    </w:p>
    <w:p w:rsidR="00CA3D59" w:rsidRDefault="00CA3D59" w:rsidP="00CA3D59">
      <w:pPr>
        <w:pStyle w:val="SingleTxtG"/>
        <w:rPr>
          <w:lang w:val="es-ES_tradnl"/>
        </w:rPr>
      </w:pPr>
      <w:r>
        <w:rPr>
          <w:lang w:val="es-ES_tradnl"/>
        </w:rPr>
        <w:tab/>
        <w:t>En el capítulo III y en los anexos III y IV del informe anual del Comité a la Asamble</w:t>
      </w:r>
      <w:r w:rsidR="006B3B1C">
        <w:rPr>
          <w:lang w:val="es-ES_tradnl"/>
        </w:rPr>
        <w:t>a General correspondiente a 2010 (véase A/65</w:t>
      </w:r>
      <w:r>
        <w:rPr>
          <w:lang w:val="es-ES_tradnl"/>
        </w:rPr>
        <w:t>/40, vol. I) figura la situación relativa a la presentación de informes por los Estados partes en virtud del artículo 40 del Pacto.</w:t>
      </w:r>
    </w:p>
    <w:p w:rsidR="00CA3D59" w:rsidRDefault="00CA3D59" w:rsidP="00CA3D59">
      <w:pPr>
        <w:pStyle w:val="H23G"/>
      </w:pPr>
      <w:r>
        <w:tab/>
        <w:t>6.</w:t>
      </w:r>
      <w:r>
        <w:tab/>
        <w:t>Examen de los informes presentados por los Estados partes en virtud</w:t>
      </w:r>
      <w:r>
        <w:br/>
        <w:t>del artículo 40 del Pacto</w:t>
      </w:r>
    </w:p>
    <w:p w:rsidR="00CA3D59" w:rsidRDefault="00CA3D59" w:rsidP="00CA3D59">
      <w:pPr>
        <w:pStyle w:val="SingleTxtG"/>
        <w:rPr>
          <w:bCs/>
        </w:rPr>
      </w:pPr>
      <w:r>
        <w:rPr>
          <w:bCs/>
        </w:rPr>
        <w:tab/>
        <w:t xml:space="preserve">Los informes que han de examinarse en el </w:t>
      </w:r>
      <w:r w:rsidR="006B3B1C">
        <w:rPr>
          <w:bCs/>
        </w:rPr>
        <w:t>100</w:t>
      </w:r>
      <w:r>
        <w:rPr>
          <w:bCs/>
        </w:rPr>
        <w:t xml:space="preserve">º período de sesiones son los de </w:t>
      </w:r>
      <w:r w:rsidR="006B3B1C">
        <w:rPr>
          <w:bCs/>
        </w:rPr>
        <w:t>El Salvador, Polonia, Jordania, Bélgica y Hungría</w:t>
      </w:r>
      <w:r>
        <w:rPr>
          <w:bCs/>
        </w:rPr>
        <w:t>.</w:t>
      </w:r>
    </w:p>
    <w:p w:rsidR="00CA3D59" w:rsidRDefault="00CA3D59" w:rsidP="00CA3D59">
      <w:pPr>
        <w:pStyle w:val="SingleTxtG"/>
      </w:pPr>
      <w:r>
        <w:tab/>
        <w:t>A continuación figura un calendario provisional para el</w:t>
      </w:r>
      <w:r w:rsidR="006B3B1C">
        <w:t xml:space="preserve"> examen de los informes en el 100</w:t>
      </w:r>
      <w:r>
        <w:t>º período de sesiones, preparado en consulta con el Comité.</w:t>
      </w:r>
    </w:p>
    <w:p w:rsidR="00CA3D59" w:rsidRDefault="00CA3D59" w:rsidP="00CA3D59">
      <w:pPr>
        <w:pStyle w:val="Heading1"/>
        <w:spacing w:after="120"/>
        <w:jc w:val="left"/>
        <w:rPr>
          <w:b/>
        </w:rPr>
      </w:pPr>
      <w:r>
        <w:rPr>
          <w:b/>
        </w:rPr>
        <w:t>Calendario para el examen de los informes presentados en virtud</w:t>
      </w:r>
      <w:r>
        <w:rPr>
          <w:b/>
        </w:rPr>
        <w:br/>
        <w:t>del artículo 40 del Pacto</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566"/>
        <w:gridCol w:w="2300"/>
        <w:gridCol w:w="3503"/>
      </w:tblGrid>
      <w:tr w:rsidR="00CA3D59" w:rsidTr="00AC58DE">
        <w:trPr>
          <w:cantSplit/>
        </w:trPr>
        <w:tc>
          <w:tcPr>
            <w:tcW w:w="1566" w:type="dxa"/>
            <w:shd w:val="clear" w:color="auto" w:fill="auto"/>
          </w:tcPr>
          <w:p w:rsidR="00CA3D59" w:rsidRDefault="006B3B1C" w:rsidP="00AC58DE">
            <w:pPr>
              <w:pStyle w:val="SingleTxtG"/>
              <w:spacing w:before="40"/>
              <w:ind w:left="0" w:right="113"/>
              <w:jc w:val="left"/>
            </w:pPr>
            <w:r>
              <w:rPr>
                <w:bCs/>
                <w:lang w:val="en-GB"/>
              </w:rPr>
              <w:t>El Salvador</w:t>
            </w:r>
          </w:p>
        </w:tc>
        <w:tc>
          <w:tcPr>
            <w:tcW w:w="2300" w:type="dxa"/>
          </w:tcPr>
          <w:p w:rsidR="00CA3D59" w:rsidRDefault="006B3B1C" w:rsidP="00AC58DE">
            <w:pPr>
              <w:pStyle w:val="SingleTxtG"/>
              <w:spacing w:before="40"/>
              <w:ind w:left="0" w:right="113"/>
              <w:jc w:val="left"/>
            </w:pPr>
            <w:r>
              <w:t>Sexto</w:t>
            </w:r>
            <w:r w:rsidR="00CA3D59">
              <w:t xml:space="preserve"> informe periódico (CCPR/C/</w:t>
            </w:r>
            <w:r>
              <w:t>SLV/6</w:t>
            </w:r>
            <w:r w:rsidR="00CA3D59">
              <w:t>)</w:t>
            </w:r>
          </w:p>
        </w:tc>
        <w:tc>
          <w:tcPr>
            <w:tcW w:w="3503" w:type="dxa"/>
          </w:tcPr>
          <w:p w:rsidR="00CA3D59" w:rsidRDefault="006B3B1C" w:rsidP="00AC58DE">
            <w:pPr>
              <w:pStyle w:val="SingleTxtG"/>
              <w:spacing w:before="40"/>
              <w:ind w:left="0" w:right="113"/>
              <w:jc w:val="left"/>
            </w:pPr>
            <w:r>
              <w:t>Lunes 11</w:t>
            </w:r>
            <w:r w:rsidR="00CA3D59">
              <w:t xml:space="preserve"> de </w:t>
            </w:r>
            <w:r>
              <w:t>octubre</w:t>
            </w:r>
            <w:r w:rsidR="00CA3D59">
              <w:t xml:space="preserve"> de 2010, tarde</w:t>
            </w:r>
            <w:r w:rsidR="00CA3D59">
              <w:br/>
              <w:t>Martes 1</w:t>
            </w:r>
            <w:r>
              <w:t>2</w:t>
            </w:r>
            <w:r w:rsidR="00CA3D59">
              <w:t xml:space="preserve"> de </w:t>
            </w:r>
            <w:r>
              <w:t>octubre</w:t>
            </w:r>
            <w:r w:rsidR="00CA3D59">
              <w:t>, mañana</w:t>
            </w:r>
          </w:p>
        </w:tc>
      </w:tr>
      <w:tr w:rsidR="00CA3D59" w:rsidTr="00AC58DE">
        <w:trPr>
          <w:cantSplit/>
        </w:trPr>
        <w:tc>
          <w:tcPr>
            <w:tcW w:w="1566" w:type="dxa"/>
            <w:shd w:val="clear" w:color="auto" w:fill="auto"/>
          </w:tcPr>
          <w:p w:rsidR="00CA3D59" w:rsidRDefault="006B3B1C" w:rsidP="00AC58DE">
            <w:pPr>
              <w:pStyle w:val="SingleTxtG"/>
              <w:spacing w:before="40"/>
              <w:ind w:left="0" w:right="113"/>
              <w:jc w:val="left"/>
            </w:pPr>
            <w:r>
              <w:rPr>
                <w:lang w:val="en-GB"/>
              </w:rPr>
              <w:t>Polonia</w:t>
            </w:r>
          </w:p>
        </w:tc>
        <w:tc>
          <w:tcPr>
            <w:tcW w:w="2300" w:type="dxa"/>
          </w:tcPr>
          <w:p w:rsidR="00CA3D59" w:rsidRDefault="006B3B1C" w:rsidP="00AC58DE">
            <w:pPr>
              <w:pStyle w:val="SingleTxtG"/>
              <w:spacing w:before="40"/>
              <w:ind w:left="0" w:right="113"/>
              <w:jc w:val="left"/>
            </w:pPr>
            <w:r>
              <w:t>Sexto</w:t>
            </w:r>
            <w:r w:rsidR="00CA3D59">
              <w:t xml:space="preserve"> informe periódico (CCPR/C/</w:t>
            </w:r>
            <w:r>
              <w:t>POL/6</w:t>
            </w:r>
            <w:r w:rsidR="00CA3D59">
              <w:t>)</w:t>
            </w:r>
          </w:p>
        </w:tc>
        <w:tc>
          <w:tcPr>
            <w:tcW w:w="3503" w:type="dxa"/>
          </w:tcPr>
          <w:p w:rsidR="00CA3D59" w:rsidRDefault="006B3B1C" w:rsidP="00AC58DE">
            <w:pPr>
              <w:pStyle w:val="SingleTxtG"/>
              <w:spacing w:before="40"/>
              <w:ind w:left="0" w:right="113"/>
              <w:jc w:val="left"/>
            </w:pPr>
            <w:r>
              <w:t>Martes 12</w:t>
            </w:r>
            <w:r w:rsidR="00CA3D59">
              <w:t xml:space="preserve"> de </w:t>
            </w:r>
            <w:r>
              <w:t>octubre, tarde</w:t>
            </w:r>
            <w:r>
              <w:br/>
              <w:t>Miércoles 13</w:t>
            </w:r>
            <w:r w:rsidR="00CA3D59">
              <w:t xml:space="preserve"> de </w:t>
            </w:r>
            <w:r w:rsidR="007121E0">
              <w:t>octubre</w:t>
            </w:r>
            <w:r w:rsidR="00CA3D59">
              <w:t>, mañana</w:t>
            </w:r>
          </w:p>
        </w:tc>
      </w:tr>
      <w:tr w:rsidR="007121E0" w:rsidTr="00AC58DE">
        <w:trPr>
          <w:cantSplit/>
        </w:trPr>
        <w:tc>
          <w:tcPr>
            <w:tcW w:w="1566" w:type="dxa"/>
            <w:shd w:val="clear" w:color="auto" w:fill="auto"/>
          </w:tcPr>
          <w:p w:rsidR="007121E0" w:rsidRDefault="007121E0" w:rsidP="00AC58DE">
            <w:pPr>
              <w:pStyle w:val="SingleTxtG"/>
              <w:keepNext/>
              <w:keepLines/>
              <w:spacing w:before="40"/>
              <w:ind w:left="0" w:right="113"/>
              <w:jc w:val="left"/>
              <w:rPr>
                <w:lang w:val="en-GB"/>
              </w:rPr>
            </w:pPr>
            <w:r>
              <w:rPr>
                <w:lang w:val="en-GB"/>
              </w:rPr>
              <w:t>Jordania</w:t>
            </w:r>
          </w:p>
        </w:tc>
        <w:tc>
          <w:tcPr>
            <w:tcW w:w="2300" w:type="dxa"/>
          </w:tcPr>
          <w:p w:rsidR="007121E0" w:rsidRDefault="007121E0" w:rsidP="00AC58DE">
            <w:pPr>
              <w:pStyle w:val="SingleTxtG"/>
              <w:keepNext/>
              <w:keepLines/>
              <w:spacing w:before="40"/>
              <w:ind w:left="0" w:right="113"/>
              <w:jc w:val="left"/>
            </w:pPr>
            <w:r>
              <w:t>Cuarto informe periódico (CCPR/C/JOR/4)</w:t>
            </w:r>
          </w:p>
        </w:tc>
        <w:tc>
          <w:tcPr>
            <w:tcW w:w="3503" w:type="dxa"/>
          </w:tcPr>
          <w:p w:rsidR="007121E0" w:rsidRDefault="007121E0" w:rsidP="00AC58DE">
            <w:pPr>
              <w:pStyle w:val="SingleTxtG"/>
              <w:keepNext/>
              <w:keepLines/>
              <w:spacing w:before="40"/>
              <w:ind w:left="0" w:right="113"/>
              <w:jc w:val="left"/>
            </w:pPr>
            <w:r>
              <w:t>Miércoles 13 de octubre, tarde</w:t>
            </w:r>
            <w:r>
              <w:br/>
              <w:t>Jueves 14 de octubre, mañana</w:t>
            </w:r>
          </w:p>
        </w:tc>
      </w:tr>
      <w:tr w:rsidR="00CA3D59" w:rsidTr="00AC58DE">
        <w:trPr>
          <w:cantSplit/>
        </w:trPr>
        <w:tc>
          <w:tcPr>
            <w:tcW w:w="1566" w:type="dxa"/>
            <w:shd w:val="clear" w:color="auto" w:fill="auto"/>
          </w:tcPr>
          <w:p w:rsidR="00CA3D59" w:rsidRDefault="007121E0" w:rsidP="00AC58DE">
            <w:pPr>
              <w:pStyle w:val="SingleTxtG"/>
              <w:keepNext/>
              <w:keepLines/>
              <w:spacing w:before="40"/>
              <w:ind w:left="0" w:right="113"/>
              <w:jc w:val="left"/>
            </w:pPr>
            <w:r>
              <w:t>Bélgica</w:t>
            </w:r>
          </w:p>
        </w:tc>
        <w:tc>
          <w:tcPr>
            <w:tcW w:w="2300" w:type="dxa"/>
          </w:tcPr>
          <w:p w:rsidR="00CA3D59" w:rsidRDefault="007121E0" w:rsidP="00AC58DE">
            <w:pPr>
              <w:pStyle w:val="SingleTxtG"/>
              <w:keepNext/>
              <w:keepLines/>
              <w:spacing w:before="40"/>
              <w:ind w:left="0" w:right="113"/>
              <w:jc w:val="left"/>
            </w:pPr>
            <w:r>
              <w:t>Quinto</w:t>
            </w:r>
            <w:r w:rsidR="00CA3D59">
              <w:t xml:space="preserve"> informe periódico (CCPR/C/</w:t>
            </w:r>
            <w:r>
              <w:t>BEL/5</w:t>
            </w:r>
            <w:r w:rsidR="00CA3D59">
              <w:t>)</w:t>
            </w:r>
          </w:p>
        </w:tc>
        <w:tc>
          <w:tcPr>
            <w:tcW w:w="3503" w:type="dxa"/>
          </w:tcPr>
          <w:p w:rsidR="00CA3D59" w:rsidRDefault="00CA3D59" w:rsidP="00AC58DE">
            <w:pPr>
              <w:pStyle w:val="SingleTxtG"/>
              <w:keepNext/>
              <w:keepLines/>
              <w:spacing w:before="40"/>
              <w:ind w:left="0" w:right="113"/>
              <w:jc w:val="left"/>
            </w:pPr>
            <w:r>
              <w:t>Jueves 1</w:t>
            </w:r>
            <w:r w:rsidR="007121E0">
              <w:t>4</w:t>
            </w:r>
            <w:r>
              <w:t xml:space="preserve"> de </w:t>
            </w:r>
            <w:r w:rsidR="007121E0">
              <w:t>octubre</w:t>
            </w:r>
            <w:r>
              <w:t>, tarde</w:t>
            </w:r>
            <w:r>
              <w:br/>
              <w:t>Viernes 1</w:t>
            </w:r>
            <w:r w:rsidR="007121E0">
              <w:t>5</w:t>
            </w:r>
            <w:r>
              <w:t xml:space="preserve"> de </w:t>
            </w:r>
            <w:r w:rsidR="007121E0">
              <w:t>octubre</w:t>
            </w:r>
            <w:r>
              <w:t>, mañana</w:t>
            </w:r>
          </w:p>
        </w:tc>
      </w:tr>
      <w:tr w:rsidR="00CA3D59" w:rsidTr="00AC58DE">
        <w:trPr>
          <w:cantSplit/>
        </w:trPr>
        <w:tc>
          <w:tcPr>
            <w:tcW w:w="1566" w:type="dxa"/>
            <w:shd w:val="clear" w:color="auto" w:fill="auto"/>
          </w:tcPr>
          <w:p w:rsidR="00CA3D59" w:rsidRDefault="007121E0" w:rsidP="00AC58DE">
            <w:pPr>
              <w:pStyle w:val="SingleTxtG"/>
              <w:keepNext/>
              <w:keepLines/>
              <w:spacing w:before="40"/>
              <w:ind w:left="0" w:right="113"/>
              <w:jc w:val="left"/>
            </w:pPr>
            <w:r>
              <w:t>Hungría</w:t>
            </w:r>
          </w:p>
        </w:tc>
        <w:tc>
          <w:tcPr>
            <w:tcW w:w="2300" w:type="dxa"/>
          </w:tcPr>
          <w:p w:rsidR="00CA3D59" w:rsidRDefault="007121E0" w:rsidP="00AC58DE">
            <w:pPr>
              <w:pStyle w:val="SingleTxtG"/>
              <w:keepNext/>
              <w:keepLines/>
              <w:spacing w:before="40"/>
              <w:ind w:left="0" w:right="113"/>
              <w:jc w:val="left"/>
            </w:pPr>
            <w:r>
              <w:t>Quinto</w:t>
            </w:r>
            <w:r w:rsidR="00CA3D59">
              <w:t xml:space="preserve"> informe periódico (CCPR/C/</w:t>
            </w:r>
            <w:r>
              <w:t>HUN/5</w:t>
            </w:r>
            <w:r w:rsidR="00CA3D59">
              <w:t>)</w:t>
            </w:r>
          </w:p>
        </w:tc>
        <w:tc>
          <w:tcPr>
            <w:tcW w:w="3503" w:type="dxa"/>
          </w:tcPr>
          <w:p w:rsidR="00CA3D59" w:rsidRDefault="00CA3D59" w:rsidP="00AC58DE">
            <w:pPr>
              <w:pStyle w:val="SingleTxtG"/>
              <w:keepNext/>
              <w:keepLines/>
              <w:spacing w:before="40"/>
              <w:ind w:left="0" w:right="113"/>
              <w:jc w:val="left"/>
            </w:pPr>
            <w:r>
              <w:t>Lunes 1</w:t>
            </w:r>
            <w:r w:rsidR="007121E0">
              <w:t>8</w:t>
            </w:r>
            <w:r>
              <w:t xml:space="preserve"> de </w:t>
            </w:r>
            <w:r w:rsidR="007121E0">
              <w:t>octubre</w:t>
            </w:r>
            <w:r>
              <w:t>, tarde</w:t>
            </w:r>
            <w:r>
              <w:br/>
              <w:t xml:space="preserve">Martes </w:t>
            </w:r>
            <w:r w:rsidR="007121E0">
              <w:t>19</w:t>
            </w:r>
            <w:r>
              <w:t xml:space="preserve"> de </w:t>
            </w:r>
            <w:r w:rsidR="007121E0">
              <w:t>octubre</w:t>
            </w:r>
            <w:r>
              <w:t xml:space="preserve">, mañana </w:t>
            </w:r>
          </w:p>
        </w:tc>
      </w:tr>
    </w:tbl>
    <w:p w:rsidR="00CA3D59" w:rsidRDefault="00CA3D59" w:rsidP="00CA3D59">
      <w:pPr>
        <w:pStyle w:val="SingleTxtG"/>
        <w:spacing w:before="120"/>
      </w:pPr>
      <w:r>
        <w:tab/>
        <w:t>De conformidad con el artículo 68 del reglamento del Comité, el Secretario General ha informado a los Estados partes interesados de las fechas previstas para el examen por el Comité de s</w:t>
      </w:r>
      <w:r w:rsidR="007121E0">
        <w:t>us respectivos informes en el 100</w:t>
      </w:r>
      <w:r>
        <w:t>º período de sesiones.</w:t>
      </w:r>
    </w:p>
    <w:p w:rsidR="00CA3D59" w:rsidRDefault="00CA3D59" w:rsidP="00CA3D59">
      <w:pPr>
        <w:pStyle w:val="SingleTxtG"/>
      </w:pPr>
      <w:r>
        <w:tab/>
        <w:t xml:space="preserve">Los informes de </w:t>
      </w:r>
      <w:r w:rsidR="00A27E25">
        <w:t>Bulgaria, Guatemala, Jamaica y Kuwait</w:t>
      </w:r>
      <w:r>
        <w:t xml:space="preserve">, así como el de la situación en </w:t>
      </w:r>
      <w:r w:rsidR="00A27E25">
        <w:t>Côte d'Ivoire</w:t>
      </w:r>
      <w:r>
        <w:t xml:space="preserve"> (a falta de informe), serán examinados por grupos de tareas sobre informes de países, que aprobarán listas de cuestiones al respecto.</w:t>
      </w:r>
    </w:p>
    <w:p w:rsidR="00CA3D59" w:rsidRDefault="00CA3D59" w:rsidP="00CA3D59">
      <w:pPr>
        <w:pStyle w:val="H23G"/>
      </w:pPr>
      <w:r>
        <w:tab/>
        <w:t>7.</w:t>
      </w:r>
      <w:r>
        <w:tab/>
        <w:t>Seguimiento de las observaciones finales sobre los informes de los Estados</w:t>
      </w:r>
      <w:r>
        <w:br/>
        <w:t>y de los dictámenes formulados con arreglo al Protocolo Facultativo</w:t>
      </w:r>
    </w:p>
    <w:p w:rsidR="00CA3D59" w:rsidRDefault="00CA3D59" w:rsidP="00CA3D59">
      <w:pPr>
        <w:pStyle w:val="SingleTxtG"/>
        <w:rPr>
          <w:lang w:val="es-ES_tradnl"/>
        </w:rPr>
      </w:pPr>
      <w:r>
        <w:rPr>
          <w:lang w:val="es-ES_tradnl"/>
        </w:rPr>
        <w:tab/>
        <w:t xml:space="preserve">En su 74º </w:t>
      </w:r>
      <w:r>
        <w:t>período</w:t>
      </w:r>
      <w:r>
        <w:rPr>
          <w:lang w:val="es-ES_tradnl"/>
        </w:rPr>
        <w:t xml:space="preserve"> de sesiones, el Comité adoptó decisiones sobre el procedimiento para efectuar el seguimiento de las observaciones finales. En el 75º período de sesiones se nombró a un Relator Especial para el seguimiento de las observaciones finales; é</w:t>
      </w:r>
      <w:r w:rsidR="00A27E25">
        <w:rPr>
          <w:lang w:val="es-ES_tradnl"/>
        </w:rPr>
        <w:t>ste presentará en el 100</w:t>
      </w:r>
      <w:r>
        <w:rPr>
          <w:lang w:val="es-ES_tradnl"/>
        </w:rPr>
        <w:t>º período de sesiones un informe sobre sus actividades. El Relator Especial para el seguimiento</w:t>
      </w:r>
      <w:r>
        <w:t xml:space="preserve"> de los dictámenes también</w:t>
      </w:r>
      <w:r>
        <w:rPr>
          <w:lang w:val="es-ES_tradnl"/>
        </w:rPr>
        <w:t xml:space="preserve"> presentará un informe sobre sus actividades.</w:t>
      </w:r>
    </w:p>
    <w:p w:rsidR="00CA3D59" w:rsidRDefault="00CA3D59" w:rsidP="00CA3D59">
      <w:pPr>
        <w:pStyle w:val="H23G"/>
      </w:pPr>
      <w:r>
        <w:tab/>
        <w:t>8.</w:t>
      </w:r>
      <w:r>
        <w:tab/>
        <w:t>Observaciones generales del Comité</w:t>
      </w:r>
    </w:p>
    <w:p w:rsidR="00CA3D59" w:rsidRDefault="00CA3D59" w:rsidP="00CA3D59">
      <w:pPr>
        <w:pStyle w:val="SingleTxtG"/>
        <w:rPr>
          <w:lang w:val="es-ES_tradnl"/>
        </w:rPr>
      </w:pPr>
      <w:r>
        <w:rPr>
          <w:lang w:val="es-ES_tradnl"/>
        </w:rPr>
        <w:tab/>
        <w:t>En relación con este tema, el Comité seguirá examinando un proyecto de observación general sobre el artículo 19 del Pacto.</w:t>
      </w:r>
    </w:p>
    <w:p w:rsidR="00CA3D59" w:rsidRDefault="00CA3D59" w:rsidP="00CA3D59">
      <w:pPr>
        <w:pStyle w:val="H23G"/>
      </w:pPr>
      <w:r>
        <w:tab/>
        <w:t>9.</w:t>
      </w:r>
      <w:r>
        <w:tab/>
        <w:t>Examen de las comunicaciones recibidas en virtud del</w:t>
      </w:r>
      <w:r>
        <w:br/>
        <w:t>Protocolo Facultativo del Pacto</w:t>
      </w:r>
    </w:p>
    <w:p w:rsidR="00CA3D59" w:rsidRDefault="00CA3D59" w:rsidP="00CA3D59">
      <w:pPr>
        <w:pStyle w:val="SingleTxtG"/>
        <w:rPr>
          <w:b/>
          <w:bCs/>
          <w:lang w:val="es-ES_tradnl"/>
        </w:rPr>
      </w:pPr>
      <w:r>
        <w:rPr>
          <w:lang w:val="es-ES_tradnl"/>
        </w:rPr>
        <w:tab/>
        <w:t xml:space="preserve">De conformidad con las disposiciones del capítulo XVII del reglamento, el Comité examinará, en relación con este tema, </w:t>
      </w:r>
      <w:r>
        <w:rPr>
          <w:bCs/>
        </w:rPr>
        <w:t>las comunicaciones presentadas, o que se consideren presentadas,</w:t>
      </w:r>
      <w:r>
        <w:rPr>
          <w:b/>
          <w:bCs/>
        </w:rPr>
        <w:t xml:space="preserve"> </w:t>
      </w:r>
      <w:r>
        <w:t>con arreglo al Protocolo Facultativo</w:t>
      </w:r>
      <w:r>
        <w:rPr>
          <w:lang w:val="es-ES_tradnl"/>
        </w:rPr>
        <w:t>.</w:t>
      </w:r>
    </w:p>
    <w:p w:rsidR="00CA3D59" w:rsidRDefault="00CA3D59" w:rsidP="00CA3D59">
      <w:pPr>
        <w:pStyle w:val="SingleTxtG"/>
      </w:pPr>
      <w:r>
        <w:rPr>
          <w:lang w:val="es-ES_tradnl"/>
        </w:rPr>
        <w:tab/>
        <w:t xml:space="preserve">El Comité tiene pendientes </w:t>
      </w:r>
      <w:r w:rsidR="00A27E25">
        <w:t>412</w:t>
      </w:r>
      <w:r>
        <w:t xml:space="preserve"> comunicaciones al </w:t>
      </w:r>
      <w:r w:rsidR="00A27E25">
        <w:t>14 de septiembre</w:t>
      </w:r>
      <w:r>
        <w:t xml:space="preserve"> de 2010. De acuerdo con el nuevo reglamento del Comité, que en la mayoría de los casos permite examinar conjuntamente la admisibilidad y el fondo, el examen de esas comunicaciones por el Comité puede llevar a la adopción de dictámenes o de decisiones que declaren admisibles o inadmisibles las comunicaciones.</w:t>
      </w:r>
    </w:p>
    <w:p w:rsidR="00CA3D59" w:rsidRDefault="00CA3D59" w:rsidP="00CA3D59">
      <w:pPr>
        <w:pStyle w:val="SingleTxtG"/>
      </w:pPr>
      <w:r>
        <w:tab/>
        <w:t>De conformidad con el párrafo 3 del artículo 5 del Protocolo Facultativo y con el artículo 88 del reglamento del Comité, este tema del programa se examinará en sesiones privadas.</w:t>
      </w:r>
    </w:p>
    <w:p w:rsidR="00CA3D59" w:rsidRDefault="00CA3D59" w:rsidP="00CA3D59">
      <w:pPr>
        <w:pStyle w:val="H23G"/>
      </w:pPr>
      <w:r>
        <w:tab/>
      </w:r>
      <w:r w:rsidRPr="00955EB9">
        <w:t>10.</w:t>
      </w:r>
      <w:r w:rsidRPr="00955EB9">
        <w:tab/>
      </w:r>
      <w:r w:rsidR="00A27E25">
        <w:t>Acto especial con motivo del 100º período de sesiones del Comité</w:t>
      </w:r>
    </w:p>
    <w:p w:rsidR="00A27E25" w:rsidRPr="00A27E25" w:rsidRDefault="00A27E25" w:rsidP="00A27E25">
      <w:pPr>
        <w:pStyle w:val="SingleTxtG"/>
      </w:pPr>
      <w:r>
        <w:tab/>
        <w:t xml:space="preserve">El 100º período de sesiones del Comité será objeto de una celebración especial el viernes 29 de octubre de 2010, de 10.00 a 13.00 y de 15.00 a 18.00 horas, en la </w:t>
      </w:r>
      <w:r w:rsidR="00C55D25">
        <w:t xml:space="preserve">Sala </w:t>
      </w:r>
      <w:r>
        <w:t xml:space="preserve">de </w:t>
      </w:r>
      <w:r w:rsidR="00C55D25">
        <w:t xml:space="preserve">Conferencias </w:t>
      </w:r>
      <w:r>
        <w:t>XIX del Palacio de las Naciones, oficina de las Naciones Unidas en Ginebra</w:t>
      </w:r>
    </w:p>
    <w:p w:rsidR="00CA3D59" w:rsidRPr="003961FD" w:rsidRDefault="00CA3D59" w:rsidP="00CA3D59">
      <w:pPr>
        <w:pStyle w:val="SingleTxtG"/>
        <w:spacing w:before="240"/>
        <w:jc w:val="center"/>
        <w:rPr>
          <w:u w:val="single"/>
        </w:rPr>
      </w:pPr>
      <w:r>
        <w:rPr>
          <w:u w:val="single"/>
        </w:rPr>
        <w:tab/>
      </w:r>
      <w:r>
        <w:rPr>
          <w:u w:val="single"/>
        </w:rPr>
        <w:tab/>
      </w:r>
      <w:r>
        <w:rPr>
          <w:u w:val="single"/>
        </w:rPr>
        <w:tab/>
      </w:r>
    </w:p>
    <w:p w:rsidR="00CA3D59" w:rsidRDefault="00CA3D59" w:rsidP="001075E9"/>
    <w:sectPr w:rsidR="00CA3D59" w:rsidSect="00CA3D59">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277" w:rsidRDefault="00651277">
      <w:r>
        <w:separator/>
      </w:r>
    </w:p>
  </w:endnote>
  <w:endnote w:type="continuationSeparator" w:id="0">
    <w:p w:rsidR="00651277" w:rsidRDefault="006512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D59" w:rsidRPr="00CA3D59" w:rsidRDefault="00CA3D59" w:rsidP="00CA3D59">
    <w:pPr>
      <w:pStyle w:val="Footer"/>
      <w:tabs>
        <w:tab w:val="right" w:pos="9598"/>
      </w:tabs>
    </w:pPr>
    <w:r w:rsidRPr="00CA3D59">
      <w:rPr>
        <w:b/>
        <w:sz w:val="18"/>
      </w:rPr>
      <w:fldChar w:fldCharType="begin"/>
    </w:r>
    <w:r w:rsidRPr="00CA3D59">
      <w:rPr>
        <w:b/>
        <w:sz w:val="18"/>
      </w:rPr>
      <w:instrText xml:space="preserve"> PAGE  \* MERGEFORMAT </w:instrText>
    </w:r>
    <w:r w:rsidRPr="00CA3D59">
      <w:rPr>
        <w:b/>
        <w:sz w:val="18"/>
      </w:rPr>
      <w:fldChar w:fldCharType="separate"/>
    </w:r>
    <w:r w:rsidR="00971AAF">
      <w:rPr>
        <w:b/>
        <w:noProof/>
        <w:sz w:val="18"/>
      </w:rPr>
      <w:t>4</w:t>
    </w:r>
    <w:r w:rsidRPr="00CA3D59">
      <w:rPr>
        <w:b/>
        <w:sz w:val="18"/>
      </w:rPr>
      <w:fldChar w:fldCharType="end"/>
    </w:r>
    <w:r>
      <w:rPr>
        <w:b/>
        <w:sz w:val="18"/>
      </w:rPr>
      <w:tab/>
    </w:r>
    <w:r>
      <w:t>GE.10-45101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D59" w:rsidRPr="00CA3D59" w:rsidRDefault="00CA3D59" w:rsidP="00CA3D59">
    <w:pPr>
      <w:pStyle w:val="Footer"/>
      <w:tabs>
        <w:tab w:val="right" w:pos="9598"/>
      </w:tabs>
      <w:rPr>
        <w:b/>
        <w:sz w:val="18"/>
      </w:rPr>
    </w:pPr>
    <w:r>
      <w:t>GE.10-45101</w:t>
    </w:r>
    <w:r>
      <w:tab/>
    </w:r>
    <w:r w:rsidRPr="00CA3D59">
      <w:rPr>
        <w:b/>
        <w:sz w:val="18"/>
      </w:rPr>
      <w:fldChar w:fldCharType="begin"/>
    </w:r>
    <w:r w:rsidRPr="00CA3D59">
      <w:rPr>
        <w:b/>
        <w:sz w:val="18"/>
      </w:rPr>
      <w:instrText xml:space="preserve"> PAGE  \* MERGEFORMAT </w:instrText>
    </w:r>
    <w:r w:rsidRPr="00CA3D59">
      <w:rPr>
        <w:b/>
        <w:sz w:val="18"/>
      </w:rPr>
      <w:fldChar w:fldCharType="separate"/>
    </w:r>
    <w:r w:rsidR="00971AAF">
      <w:rPr>
        <w:b/>
        <w:noProof/>
        <w:sz w:val="18"/>
      </w:rPr>
      <w:t>3</w:t>
    </w:r>
    <w:r w:rsidRPr="00CA3D5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3EF" w:rsidRDefault="00CA3D59">
    <w:pPr>
      <w:pStyle w:val="Footer"/>
    </w:pPr>
    <w:r>
      <w:rPr>
        <w:sz w:val="20"/>
      </w:rPr>
      <w:t>GE.10-45101</w:t>
    </w:r>
    <w:r w:rsidR="003613E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6B3B1C">
      <w:rPr>
        <w:sz w:val="20"/>
      </w:rPr>
      <w:t xml:space="preserve">    240910    240910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277" w:rsidRPr="001075E9" w:rsidRDefault="00651277" w:rsidP="001075E9">
      <w:pPr>
        <w:tabs>
          <w:tab w:val="right" w:pos="2155"/>
        </w:tabs>
        <w:spacing w:after="80" w:line="240" w:lineRule="auto"/>
        <w:ind w:left="680"/>
        <w:rPr>
          <w:u w:val="single"/>
        </w:rPr>
      </w:pPr>
      <w:r>
        <w:rPr>
          <w:u w:val="single"/>
        </w:rPr>
        <w:tab/>
      </w:r>
    </w:p>
  </w:footnote>
  <w:footnote w:type="continuationSeparator" w:id="0">
    <w:p w:rsidR="00651277" w:rsidRDefault="00651277"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D59" w:rsidRPr="00CA3D59" w:rsidRDefault="00CA3D59" w:rsidP="00CA3D59">
    <w:pPr>
      <w:pStyle w:val="Header"/>
    </w:pPr>
    <w:r w:rsidRPr="00CA3D59">
      <w:t>CCPR/C/100/1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3D59" w:rsidRPr="00CA3D59" w:rsidRDefault="00CA3D59" w:rsidP="00CA3D59">
    <w:pPr>
      <w:pStyle w:val="Header"/>
      <w:jc w:val="right"/>
    </w:pPr>
    <w:r w:rsidRPr="00CA3D59">
      <w:t>CCPR/C/100/1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13EF"/>
    <w:rsid w:val="00006BB9"/>
    <w:rsid w:val="0005274F"/>
    <w:rsid w:val="000A36A2"/>
    <w:rsid w:val="000B57E7"/>
    <w:rsid w:val="000F09DF"/>
    <w:rsid w:val="000F61B2"/>
    <w:rsid w:val="001075E9"/>
    <w:rsid w:val="001330F4"/>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613EF"/>
    <w:rsid w:val="00381C24"/>
    <w:rsid w:val="003958D0"/>
    <w:rsid w:val="003E1F6E"/>
    <w:rsid w:val="00440FBE"/>
    <w:rsid w:val="00454E07"/>
    <w:rsid w:val="004875CF"/>
    <w:rsid w:val="004E4B46"/>
    <w:rsid w:val="0050108D"/>
    <w:rsid w:val="00572E19"/>
    <w:rsid w:val="005F0B42"/>
    <w:rsid w:val="00614642"/>
    <w:rsid w:val="00651277"/>
    <w:rsid w:val="00655A21"/>
    <w:rsid w:val="006808A9"/>
    <w:rsid w:val="006B3B1C"/>
    <w:rsid w:val="006F35EE"/>
    <w:rsid w:val="007021FF"/>
    <w:rsid w:val="007076CB"/>
    <w:rsid w:val="007121E0"/>
    <w:rsid w:val="00721764"/>
    <w:rsid w:val="007967DF"/>
    <w:rsid w:val="00834B71"/>
    <w:rsid w:val="0086445C"/>
    <w:rsid w:val="008A08D7"/>
    <w:rsid w:val="008A13F9"/>
    <w:rsid w:val="008D5DB6"/>
    <w:rsid w:val="00906890"/>
    <w:rsid w:val="00916396"/>
    <w:rsid w:val="00951972"/>
    <w:rsid w:val="00963777"/>
    <w:rsid w:val="00971AAF"/>
    <w:rsid w:val="009B452A"/>
    <w:rsid w:val="009B4E5E"/>
    <w:rsid w:val="00A17DFD"/>
    <w:rsid w:val="00A27E25"/>
    <w:rsid w:val="00A917B3"/>
    <w:rsid w:val="00AB4B51"/>
    <w:rsid w:val="00AC58DE"/>
    <w:rsid w:val="00AE0E02"/>
    <w:rsid w:val="00AE4CC4"/>
    <w:rsid w:val="00B10CC7"/>
    <w:rsid w:val="00B62458"/>
    <w:rsid w:val="00BD33EE"/>
    <w:rsid w:val="00C33381"/>
    <w:rsid w:val="00C55D25"/>
    <w:rsid w:val="00C56FC7"/>
    <w:rsid w:val="00C60F0C"/>
    <w:rsid w:val="00C76505"/>
    <w:rsid w:val="00C805C9"/>
    <w:rsid w:val="00CA1679"/>
    <w:rsid w:val="00CA3D59"/>
    <w:rsid w:val="00D5042C"/>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1166</Words>
  <Characters>6417</Characters>
  <Application>Microsoft Office Word</Application>
  <DocSecurity>4</DocSecurity>
  <Lines>53</Lines>
  <Paragraphs>15</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7568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María de la Plaza</dc:creator>
  <cp:keywords/>
  <dc:description/>
  <cp:lastModifiedBy>María de la Plaza</cp:lastModifiedBy>
  <cp:revision>2</cp:revision>
  <cp:lastPrinted>2008-01-16T10:37:00Z</cp:lastPrinted>
  <dcterms:created xsi:type="dcterms:W3CDTF">2010-09-24T13:13:00Z</dcterms:created>
  <dcterms:modified xsi:type="dcterms:W3CDTF">2010-09-24T13:13:00Z</dcterms:modified>
</cp:coreProperties>
</file>