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25A80596" w14:textId="77777777" w:rsidTr="005B51C4">
        <w:trPr>
          <w:trHeight w:hRule="exact" w:val="851"/>
        </w:trPr>
        <w:tc>
          <w:tcPr>
            <w:tcW w:w="1274" w:type="dxa"/>
            <w:tcBorders>
              <w:bottom w:val="single" w:sz="4" w:space="0" w:color="auto"/>
            </w:tcBorders>
            <w:shd w:val="clear" w:color="auto" w:fill="auto"/>
          </w:tcPr>
          <w:p w14:paraId="15535CC9" w14:textId="77777777" w:rsidR="006B3E27" w:rsidRPr="00C175A6" w:rsidRDefault="006B3E27" w:rsidP="005D73AF">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3A1B55CC"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45B75797" w14:textId="77777777" w:rsidR="006B3E27" w:rsidRPr="00002F57" w:rsidRDefault="00002F57" w:rsidP="00002F57">
            <w:pPr>
              <w:bidi w:val="0"/>
              <w:rPr>
                <w:szCs w:val="20"/>
              </w:rPr>
            </w:pPr>
            <w:r w:rsidRPr="00002F57">
              <w:rPr>
                <w:sz w:val="40"/>
                <w:szCs w:val="20"/>
              </w:rPr>
              <w:t>CCPR</w:t>
            </w:r>
            <w:r>
              <w:rPr>
                <w:szCs w:val="20"/>
              </w:rPr>
              <w:t>/C/</w:t>
            </w:r>
            <w:r w:rsidRPr="00D44742">
              <w:rPr>
                <w:szCs w:val="20"/>
              </w:rPr>
              <w:t>130</w:t>
            </w:r>
            <w:r>
              <w:rPr>
                <w:szCs w:val="20"/>
              </w:rPr>
              <w:t>/</w:t>
            </w:r>
            <w:r w:rsidRPr="00D44742">
              <w:rPr>
                <w:szCs w:val="20"/>
              </w:rPr>
              <w:t>2</w:t>
            </w:r>
            <w:r>
              <w:rPr>
                <w:szCs w:val="20"/>
              </w:rPr>
              <w:t>/Add.</w:t>
            </w:r>
            <w:r w:rsidRPr="00D44742">
              <w:rPr>
                <w:szCs w:val="20"/>
              </w:rPr>
              <w:t>2</w:t>
            </w:r>
          </w:p>
        </w:tc>
      </w:tr>
      <w:tr w:rsidR="006B3E27" w:rsidRPr="00C175A6" w14:paraId="2041A88B" w14:textId="77777777" w:rsidTr="005B51C4">
        <w:trPr>
          <w:trHeight w:hRule="exact" w:val="2835"/>
        </w:trPr>
        <w:tc>
          <w:tcPr>
            <w:tcW w:w="1274" w:type="dxa"/>
            <w:tcBorders>
              <w:top w:val="single" w:sz="4" w:space="0" w:color="auto"/>
              <w:bottom w:val="single" w:sz="12" w:space="0" w:color="auto"/>
            </w:tcBorders>
            <w:shd w:val="clear" w:color="auto" w:fill="auto"/>
          </w:tcPr>
          <w:p w14:paraId="39EB1B24"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00B857ED" wp14:editId="3B11CF81">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0B7D1125" w14:textId="77777777" w:rsidR="006B3E27" w:rsidRPr="00C175A6" w:rsidRDefault="00ED7442" w:rsidP="00730446">
            <w:pPr>
              <w:spacing w:before="120" w:after="40" w:line="640" w:lineRule="exact"/>
              <w:ind w:left="57"/>
              <w:rPr>
                <w:b/>
                <w:bCs/>
                <w:sz w:val="46"/>
                <w:szCs w:val="46"/>
              </w:rPr>
            </w:pPr>
            <w:r w:rsidRPr="00C175A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2E9F6F08" w14:textId="77777777" w:rsidR="001F3595" w:rsidRPr="00352EEA" w:rsidRDefault="001F3595" w:rsidP="001F3595">
            <w:pPr>
              <w:bidi w:val="0"/>
              <w:spacing w:before="240"/>
              <w:jc w:val="both"/>
            </w:pPr>
            <w:r w:rsidRPr="00352EEA">
              <w:t xml:space="preserve">Distr.: </w:t>
            </w:r>
            <w:r>
              <w:t>General</w:t>
            </w:r>
          </w:p>
          <w:p w14:paraId="357344C6" w14:textId="77777777" w:rsidR="001F3595" w:rsidRPr="00352EEA" w:rsidRDefault="001F3595" w:rsidP="001F3595">
            <w:pPr>
              <w:bidi w:val="0"/>
              <w:jc w:val="both"/>
            </w:pPr>
            <w:r w:rsidRPr="00D44742">
              <w:t>22</w:t>
            </w:r>
            <w:r>
              <w:t xml:space="preserve"> February </w:t>
            </w:r>
            <w:r w:rsidRPr="00D44742">
              <w:t>2021</w:t>
            </w:r>
          </w:p>
          <w:p w14:paraId="2222229E" w14:textId="0F0AB2F8" w:rsidR="001F3595" w:rsidRPr="00352EEA" w:rsidRDefault="001F3595" w:rsidP="001F3595">
            <w:pPr>
              <w:bidi w:val="0"/>
              <w:jc w:val="both"/>
            </w:pPr>
            <w:r>
              <w:t>Arabic</w:t>
            </w:r>
          </w:p>
          <w:p w14:paraId="1296D434" w14:textId="77777777" w:rsidR="001F3595" w:rsidRPr="00352EEA" w:rsidRDefault="001F3595" w:rsidP="001F3595">
            <w:pPr>
              <w:bidi w:val="0"/>
              <w:jc w:val="both"/>
            </w:pPr>
            <w:r w:rsidRPr="00352EEA">
              <w:t>Original: English</w:t>
            </w:r>
          </w:p>
          <w:p w14:paraId="29EA656C" w14:textId="4F05DA95" w:rsidR="00002F57" w:rsidRPr="00002F57" w:rsidRDefault="00002F57" w:rsidP="00002F57">
            <w:pPr>
              <w:bidi w:val="0"/>
              <w:spacing w:line="240" w:lineRule="exact"/>
              <w:jc w:val="left"/>
              <w:rPr>
                <w:szCs w:val="20"/>
              </w:rPr>
            </w:pPr>
          </w:p>
        </w:tc>
      </w:tr>
    </w:tbl>
    <w:p w14:paraId="52037C9B" w14:textId="77777777" w:rsidR="001F3595" w:rsidRPr="00D44742" w:rsidRDefault="001F3595" w:rsidP="00D44742">
      <w:pPr>
        <w:spacing w:before="120" w:line="360" w:lineRule="exact"/>
        <w:jc w:val="both"/>
        <w:textDirection w:val="tbRlV"/>
        <w:rPr>
          <w:b/>
          <w:bCs/>
          <w:sz w:val="26"/>
          <w:szCs w:val="26"/>
          <w:lang w:val="ar-SA" w:eastAsia="zh-TW" w:bidi="en-GB"/>
        </w:rPr>
      </w:pPr>
      <w:r w:rsidRPr="00D44742">
        <w:rPr>
          <w:b/>
          <w:bCs/>
          <w:sz w:val="26"/>
          <w:szCs w:val="26"/>
          <w:rtl/>
        </w:rPr>
        <w:t>اللجنة المعنية بحقوق الإنسان</w:t>
      </w:r>
    </w:p>
    <w:p w14:paraId="169FE261" w14:textId="16B71AA5" w:rsidR="001F3595" w:rsidRPr="001F3595" w:rsidRDefault="001F3595" w:rsidP="001F3595">
      <w:pPr>
        <w:pStyle w:val="HChGA"/>
      </w:pPr>
      <w:r w:rsidRPr="001F3595">
        <w:rPr>
          <w:rtl/>
        </w:rPr>
        <w:tab/>
      </w:r>
      <w:r w:rsidRPr="001F3595">
        <w:rPr>
          <w:rtl/>
        </w:rPr>
        <w:tab/>
        <w:t>تقرير عن متابعة الملاحظات الختامية للجنة المعنية بحقوق الإنسان</w:t>
      </w:r>
      <w:r w:rsidRPr="001F3595">
        <w:rPr>
          <w:rStyle w:val="FootnoteReference"/>
          <w:sz w:val="22"/>
          <w:szCs w:val="22"/>
          <w:vertAlign w:val="baseline"/>
          <w:rtl/>
        </w:rPr>
        <w:footnoteReference w:customMarkFollows="1" w:id="1"/>
        <w:t>*</w:t>
      </w:r>
    </w:p>
    <w:p w14:paraId="0EBC6687" w14:textId="77777777" w:rsidR="001F3595" w:rsidRPr="00352EEA" w:rsidRDefault="001F3595" w:rsidP="001F3595">
      <w:pPr>
        <w:pStyle w:val="H23GA"/>
        <w:rPr>
          <w:szCs w:val="20"/>
          <w:lang w:val="ar-SA" w:eastAsia="zh-TW" w:bidi="en-GB"/>
        </w:rPr>
      </w:pPr>
      <w:r>
        <w:rPr>
          <w:rtl/>
        </w:rPr>
        <w:tab/>
      </w:r>
      <w:r>
        <w:rPr>
          <w:rtl/>
        </w:rPr>
        <w:tab/>
        <w:t>إضافة</w:t>
      </w:r>
    </w:p>
    <w:p w14:paraId="6CB600DD" w14:textId="77777777" w:rsidR="001F3595" w:rsidRPr="001F3595" w:rsidRDefault="001F3595" w:rsidP="001F3595">
      <w:pPr>
        <w:pStyle w:val="HChGA"/>
        <w:rPr>
          <w:lang w:val="en-US" w:eastAsia="zh-TW" w:bidi="en-GB"/>
        </w:rPr>
      </w:pPr>
      <w:r w:rsidRPr="002659F1">
        <w:rPr>
          <w:rtl/>
        </w:rPr>
        <w:tab/>
      </w:r>
      <w:r w:rsidRPr="002659F1">
        <w:rPr>
          <w:rtl/>
        </w:rPr>
        <w:tab/>
      </w:r>
      <w:r w:rsidRPr="000034FC">
        <w:rPr>
          <w:rtl/>
        </w:rPr>
        <w:t>تقييم المعلومات المتعلقة بمتابعة الملاحظات الختامية بشأن مدغشقر</w:t>
      </w:r>
    </w:p>
    <w:p w14:paraId="08EC5F5A" w14:textId="77777777" w:rsidR="001F3595" w:rsidRPr="001F3595" w:rsidRDefault="001F3595" w:rsidP="001F3595">
      <w:pPr>
        <w:pStyle w:val="SingleTxtGA"/>
        <w:ind w:left="1928"/>
        <w:rPr>
          <w:rFonts w:eastAsiaTheme="minorEastAsia"/>
        </w:rPr>
      </w:pPr>
      <w:r w:rsidRPr="001F3595">
        <w:rPr>
          <w:rFonts w:eastAsiaTheme="minorEastAsia"/>
          <w:i/>
          <w:iCs/>
          <w:rtl/>
        </w:rPr>
        <w:t xml:space="preserve">ملاحظات ختامية (الدورة </w:t>
      </w:r>
      <w:r w:rsidRPr="00D44742">
        <w:rPr>
          <w:rFonts w:eastAsiaTheme="minorEastAsia"/>
          <w:i/>
          <w:iCs/>
          <w:rtl/>
        </w:rPr>
        <w:t>120</w:t>
      </w:r>
      <w:r w:rsidRPr="001F3595">
        <w:rPr>
          <w:rFonts w:eastAsiaTheme="minorEastAsia"/>
          <w:i/>
          <w:iCs/>
          <w:rtl/>
          <w:lang w:bidi="ar-LB"/>
        </w:rPr>
        <w:t>):</w:t>
      </w:r>
      <w:r w:rsidRPr="001F3595">
        <w:rPr>
          <w:rFonts w:eastAsiaTheme="minorEastAsia"/>
          <w:i/>
          <w:rtl/>
          <w:lang w:val="ar-SA" w:eastAsia="zh-TW" w:bidi="ar-LB"/>
        </w:rPr>
        <w:tab/>
      </w:r>
      <w:hyperlink r:id="rId9" w:history="1">
        <w:r w:rsidRPr="001F3595">
          <w:rPr>
            <w:rStyle w:val="Hyperlink"/>
            <w:rFonts w:eastAsiaTheme="minorEastAsia"/>
            <w:bCs/>
          </w:rPr>
          <w:t>CCPR/C/MDG/CO/</w:t>
        </w:r>
        <w:r w:rsidRPr="00D44742">
          <w:rPr>
            <w:rStyle w:val="Hyperlink"/>
            <w:rFonts w:eastAsiaTheme="minorEastAsia"/>
            <w:bCs/>
          </w:rPr>
          <w:t>4</w:t>
        </w:r>
      </w:hyperlink>
      <w:r w:rsidRPr="001F3595">
        <w:rPr>
          <w:rFonts w:eastAsiaTheme="minorEastAsia"/>
          <w:rtl/>
        </w:rPr>
        <w:t xml:space="preserve">، </w:t>
      </w:r>
      <w:r w:rsidRPr="00D44742">
        <w:rPr>
          <w:rFonts w:eastAsiaTheme="minorEastAsia"/>
          <w:rtl/>
        </w:rPr>
        <w:t>25</w:t>
      </w:r>
      <w:r w:rsidRPr="001F3595">
        <w:rPr>
          <w:rFonts w:eastAsiaTheme="minorEastAsia"/>
          <w:rtl/>
        </w:rPr>
        <w:t xml:space="preserve"> تموز/يوليه </w:t>
      </w:r>
      <w:r w:rsidRPr="00D44742">
        <w:rPr>
          <w:rFonts w:eastAsiaTheme="minorEastAsia"/>
          <w:rtl/>
        </w:rPr>
        <w:t>2017</w:t>
      </w:r>
    </w:p>
    <w:p w14:paraId="6F12AAC7" w14:textId="1043E4FC" w:rsidR="001F3595" w:rsidRPr="000D31B3" w:rsidRDefault="001F3595" w:rsidP="001F3595">
      <w:pPr>
        <w:pStyle w:val="SingleTxtGA"/>
        <w:ind w:left="1928"/>
        <w:rPr>
          <w:rFonts w:eastAsiaTheme="minorEastAsia"/>
          <w:lang w:val="en-US" w:eastAsia="zh-TW" w:bidi="en-GB"/>
        </w:rPr>
      </w:pPr>
      <w:r w:rsidRPr="001F3595">
        <w:rPr>
          <w:rFonts w:eastAsiaTheme="minorEastAsia"/>
          <w:i/>
          <w:iCs/>
          <w:rtl/>
        </w:rPr>
        <w:t>الفقرات المشمولة بالمتابعة:</w:t>
      </w:r>
      <w:r w:rsidRPr="001F3595">
        <w:rPr>
          <w:rFonts w:eastAsiaTheme="minorEastAsia"/>
          <w:i/>
          <w:iCs/>
          <w:rtl/>
          <w:lang w:val="ar-SA" w:eastAsia="zh-TW" w:bidi="en-GB"/>
        </w:rPr>
        <w:tab/>
      </w:r>
      <w:r w:rsidRPr="001F3595">
        <w:rPr>
          <w:rFonts w:eastAsiaTheme="minorEastAsia"/>
          <w:i/>
          <w:iCs/>
          <w:rtl/>
          <w:lang w:val="ar-SA" w:eastAsia="zh-TW" w:bidi="en-GB"/>
        </w:rPr>
        <w:tab/>
      </w:r>
      <w:r w:rsidRPr="00D44742">
        <w:rPr>
          <w:rFonts w:eastAsiaTheme="minorEastAsia"/>
          <w:rtl/>
        </w:rPr>
        <w:t>8</w:t>
      </w:r>
      <w:r w:rsidRPr="001F3595">
        <w:rPr>
          <w:rFonts w:eastAsiaTheme="minorEastAsia"/>
          <w:rtl/>
        </w:rPr>
        <w:t xml:space="preserve"> و</w:t>
      </w:r>
      <w:r w:rsidRPr="00D44742">
        <w:rPr>
          <w:rFonts w:eastAsiaTheme="minorEastAsia"/>
          <w:rtl/>
        </w:rPr>
        <w:t>14</w:t>
      </w:r>
      <w:r w:rsidRPr="001F3595">
        <w:rPr>
          <w:rFonts w:eastAsiaTheme="minorEastAsia"/>
          <w:rtl/>
        </w:rPr>
        <w:t xml:space="preserve"> و</w:t>
      </w:r>
      <w:r w:rsidRPr="00D44742">
        <w:rPr>
          <w:rFonts w:eastAsiaTheme="minorEastAsia"/>
          <w:rtl/>
        </w:rPr>
        <w:t>30</w:t>
      </w:r>
    </w:p>
    <w:p w14:paraId="24D062D1" w14:textId="7AB4B7B6" w:rsidR="001F3595" w:rsidRPr="001F3595" w:rsidRDefault="001F3595" w:rsidP="001F3595">
      <w:pPr>
        <w:pStyle w:val="SingleTxtGA"/>
        <w:ind w:left="1928"/>
        <w:rPr>
          <w:rFonts w:eastAsiaTheme="minorEastAsia"/>
          <w:spacing w:val="-12"/>
          <w:lang w:val="ar-SA" w:eastAsia="zh-TW" w:bidi="en-GB"/>
        </w:rPr>
      </w:pPr>
      <w:r w:rsidRPr="001F3595">
        <w:rPr>
          <w:rFonts w:eastAsiaTheme="minorEastAsia"/>
          <w:i/>
          <w:iCs/>
          <w:spacing w:val="-12"/>
          <w:rtl/>
        </w:rPr>
        <w:t>الرد الوارد في إطار المتابعة:</w:t>
      </w:r>
      <w:r w:rsidRPr="001F3595">
        <w:rPr>
          <w:rFonts w:eastAsiaTheme="minorEastAsia"/>
          <w:i/>
          <w:iCs/>
          <w:spacing w:val="-12"/>
          <w:rtl/>
          <w:lang w:val="ar-SA" w:eastAsia="zh-TW" w:bidi="en-GB"/>
        </w:rPr>
        <w:tab/>
      </w:r>
      <w:r w:rsidRPr="001F3595">
        <w:rPr>
          <w:rFonts w:eastAsiaTheme="minorEastAsia"/>
          <w:i/>
          <w:iCs/>
          <w:spacing w:val="-12"/>
          <w:lang w:val="ar-SA" w:eastAsia="zh-TW" w:bidi="en-GB"/>
        </w:rPr>
        <w:tab/>
      </w:r>
      <w:hyperlink r:id="rId10" w:history="1">
        <w:r w:rsidRPr="001F3595">
          <w:rPr>
            <w:rFonts w:eastAsiaTheme="minorEastAsia"/>
            <w:spacing w:val="-12"/>
          </w:rPr>
          <w:t>CCPR/C/MDG/CO/</w:t>
        </w:r>
        <w:r w:rsidRPr="00D44742">
          <w:rPr>
            <w:rFonts w:eastAsiaTheme="minorEastAsia"/>
            <w:spacing w:val="-12"/>
          </w:rPr>
          <w:t>4</w:t>
        </w:r>
        <w:r w:rsidRPr="001F3595">
          <w:rPr>
            <w:rFonts w:eastAsiaTheme="minorEastAsia"/>
            <w:spacing w:val="-12"/>
          </w:rPr>
          <w:t>/Add.</w:t>
        </w:r>
        <w:r w:rsidRPr="00D44742">
          <w:rPr>
            <w:rFonts w:eastAsiaTheme="minorEastAsia"/>
            <w:spacing w:val="-12"/>
          </w:rPr>
          <w:t>1</w:t>
        </w:r>
      </w:hyperlink>
      <w:r w:rsidRPr="001F3595">
        <w:rPr>
          <w:rFonts w:eastAsiaTheme="minorEastAsia" w:hint="cs"/>
          <w:spacing w:val="-12"/>
          <w:rtl/>
        </w:rPr>
        <w:t>،</w:t>
      </w:r>
      <w:r w:rsidRPr="001F3595">
        <w:rPr>
          <w:rFonts w:eastAsiaTheme="minorEastAsia"/>
          <w:spacing w:val="-12"/>
          <w:rtl/>
        </w:rPr>
        <w:t xml:space="preserve"> </w:t>
      </w:r>
      <w:r w:rsidRPr="00D44742">
        <w:rPr>
          <w:rFonts w:eastAsiaTheme="minorEastAsia"/>
          <w:spacing w:val="-12"/>
          <w:rtl/>
        </w:rPr>
        <w:t>15</w:t>
      </w:r>
      <w:r w:rsidRPr="001F3595">
        <w:rPr>
          <w:rFonts w:eastAsiaTheme="minorEastAsia"/>
          <w:spacing w:val="-12"/>
          <w:rtl/>
        </w:rPr>
        <w:t xml:space="preserve"> آذار/مارس </w:t>
      </w:r>
      <w:r w:rsidRPr="00D44742">
        <w:rPr>
          <w:rFonts w:eastAsiaTheme="minorEastAsia"/>
          <w:spacing w:val="-12"/>
          <w:rtl/>
        </w:rPr>
        <w:t>2019</w:t>
      </w:r>
    </w:p>
    <w:p w14:paraId="696BC47D" w14:textId="0BC466CB" w:rsidR="001F3595" w:rsidRPr="001F3595" w:rsidRDefault="001F3595" w:rsidP="001F3595">
      <w:pPr>
        <w:pStyle w:val="SingleTxtGA"/>
        <w:ind w:left="4649" w:hanging="2721"/>
        <w:rPr>
          <w:rFonts w:eastAsiaTheme="minorEastAsia"/>
          <w:lang w:val="en-US" w:eastAsia="zh-TW" w:bidi="en-GB"/>
        </w:rPr>
      </w:pPr>
      <w:r w:rsidRPr="00533E45">
        <w:rPr>
          <w:rFonts w:ascii="Simplified Arabic" w:eastAsiaTheme="minorEastAsia" w:hAnsi="Simplified Arabic"/>
          <w:i/>
          <w:iCs/>
          <w:rtl/>
        </w:rPr>
        <w:t>تقييم اللجنة</w:t>
      </w:r>
      <w:r w:rsidRPr="00533E45">
        <w:rPr>
          <w:rFonts w:ascii="Simplified Arabic" w:eastAsiaTheme="minorEastAsia" w:hAnsi="Simplified Arabic"/>
          <w:i/>
          <w:iCs/>
        </w:rPr>
        <w:t>:</w:t>
      </w:r>
      <w:r w:rsidRPr="001F3595">
        <w:rPr>
          <w:rFonts w:eastAsiaTheme="minorEastAsia"/>
          <w:rtl/>
        </w:rPr>
        <w:t xml:space="preserve"> </w:t>
      </w:r>
      <w:r w:rsidRPr="001F3595">
        <w:rPr>
          <w:rFonts w:eastAsiaTheme="minorEastAsia"/>
          <w:i/>
          <w:iCs/>
          <w:rtl/>
          <w:lang w:val="ar-SA" w:eastAsia="zh-TW" w:bidi="en-GB"/>
        </w:rPr>
        <w:tab/>
      </w:r>
      <w:r w:rsidRPr="001F3595">
        <w:rPr>
          <w:rFonts w:eastAsiaTheme="minorEastAsia"/>
          <w:i/>
          <w:iCs/>
          <w:rtl/>
          <w:lang w:val="ar-SA" w:eastAsia="zh-TW" w:bidi="en-GB"/>
        </w:rPr>
        <w:tab/>
      </w:r>
      <w:r w:rsidRPr="001F3595">
        <w:rPr>
          <w:rFonts w:eastAsiaTheme="minorEastAsia"/>
          <w:i/>
          <w:iCs/>
          <w:lang w:val="ar-SA" w:eastAsia="zh-TW" w:bidi="en-GB"/>
        </w:rPr>
        <w:tab/>
      </w:r>
      <w:r w:rsidRPr="001F3595">
        <w:rPr>
          <w:rFonts w:eastAsiaTheme="minorEastAsia"/>
          <w:rtl/>
        </w:rPr>
        <w:t xml:space="preserve">يلزم تقديم معلومات إضافية بشأن الفقرات </w:t>
      </w:r>
      <w:r w:rsidRPr="00D44742">
        <w:rPr>
          <w:rFonts w:eastAsiaTheme="minorEastAsia"/>
          <w:rtl/>
        </w:rPr>
        <w:t>8</w:t>
      </w:r>
      <w:r w:rsidRPr="001F3595">
        <w:rPr>
          <w:rFonts w:eastAsiaTheme="minorEastAsia"/>
          <w:rtl/>
        </w:rPr>
        <w:t>[ألف]، و[</w:t>
      </w:r>
      <w:r w:rsidRPr="001F3595">
        <w:rPr>
          <w:rFonts w:eastAsiaTheme="minorEastAsia"/>
          <w:b/>
          <w:bCs/>
          <w:rtl/>
        </w:rPr>
        <w:t>باء</w:t>
      </w:r>
      <w:r w:rsidRPr="001F3595">
        <w:rPr>
          <w:rFonts w:eastAsiaTheme="minorEastAsia"/>
          <w:rtl/>
        </w:rPr>
        <w:t>]، و</w:t>
      </w:r>
      <w:r w:rsidRPr="00D44742">
        <w:rPr>
          <w:rFonts w:eastAsiaTheme="minorEastAsia"/>
          <w:rtl/>
        </w:rPr>
        <w:t>14</w:t>
      </w:r>
      <w:r w:rsidRPr="001F3595">
        <w:rPr>
          <w:rFonts w:eastAsiaTheme="minorEastAsia"/>
          <w:b/>
          <w:bCs/>
          <w:rtl/>
        </w:rPr>
        <w:t xml:space="preserve">[جيم][باء]، </w:t>
      </w:r>
      <w:r w:rsidRPr="001F3595">
        <w:rPr>
          <w:rFonts w:eastAsiaTheme="minorEastAsia"/>
          <w:rtl/>
        </w:rPr>
        <w:t>و</w:t>
      </w:r>
      <w:r w:rsidRPr="00D44742">
        <w:rPr>
          <w:rFonts w:eastAsiaTheme="minorEastAsia"/>
          <w:rtl/>
        </w:rPr>
        <w:t>30</w:t>
      </w:r>
      <w:r w:rsidRPr="001F3595">
        <w:rPr>
          <w:rFonts w:eastAsiaTheme="minorEastAsia"/>
          <w:b/>
          <w:bCs/>
          <w:rtl/>
        </w:rPr>
        <w:t>[باء][جيم]</w:t>
      </w:r>
    </w:p>
    <w:p w14:paraId="721DAE22" w14:textId="77777777" w:rsidR="001F3595" w:rsidRPr="001F3595" w:rsidRDefault="001F3595" w:rsidP="001F3595">
      <w:pPr>
        <w:pStyle w:val="H23GA"/>
        <w:rPr>
          <w:lang w:val="ar-SA" w:eastAsia="zh-TW" w:bidi="en-GB"/>
        </w:rPr>
      </w:pPr>
      <w:r w:rsidRPr="001F3595">
        <w:rPr>
          <w:rtl/>
        </w:rPr>
        <w:tab/>
      </w:r>
      <w:r w:rsidRPr="001F3595">
        <w:rPr>
          <w:rtl/>
        </w:rPr>
        <w:tab/>
        <w:t xml:space="preserve">الفقرة </w:t>
      </w:r>
      <w:r w:rsidRPr="00D44742">
        <w:rPr>
          <w:rtl/>
        </w:rPr>
        <w:t>8</w:t>
      </w:r>
      <w:r w:rsidRPr="001F3595">
        <w:t>:</w:t>
      </w:r>
      <w:r w:rsidRPr="001F3595">
        <w:rPr>
          <w:rtl/>
        </w:rPr>
        <w:t xml:space="preserve"> اللجنة الوطنية المستقلة المعنية بحقوق الإنسان والمجلس الأعلى للدفاع عن الديمقراطية وسيادة القانون</w:t>
      </w:r>
    </w:p>
    <w:p w14:paraId="77AE4DCD" w14:textId="42AFDFCF" w:rsidR="001F3595" w:rsidRPr="001F3595" w:rsidRDefault="001F3595" w:rsidP="001F3595">
      <w:pPr>
        <w:pStyle w:val="SingleTxtGA"/>
        <w:rPr>
          <w:b/>
          <w:bCs/>
          <w:lang w:val="ar-SA" w:eastAsia="zh-TW" w:bidi="en-GB"/>
        </w:rPr>
      </w:pPr>
      <w:r>
        <w:rPr>
          <w:b/>
          <w:bCs/>
          <w:rtl/>
        </w:rPr>
        <w:tab/>
      </w:r>
      <w:r w:rsidRPr="001F3595">
        <w:rPr>
          <w:b/>
          <w:bCs/>
          <w:rtl/>
        </w:rPr>
        <w:t>تشجع اللجنة الدولة الطرف على القيام بما ما يلي: (أ) تقديم ميزانية مستقلة وكافية، في أقرب وقت ممكن إلى اللجنة الوطنية المستقلة المعنية بحقوق الإنسان لتمكينها من تنفيذ ولايتها تنفيذاً كاملاً؛ و(ب) ضمان امتثالها للمبادئ المتعلقة بمركز المؤسسات الوطنية لتعزيز وحماية حقوق الإنسان (مبادئ باريس) من خلال البدء بإجراء الاعتماد في أقرب وقت ممكن؛ و(ج) تسريع عملية إنشاء مجلس أعلى للدفاع عن الديمقراطية وسيادة القانون وضمان استقلالية المؤسسة المذكورة بمنحها الاستقلال المالي والموارد الكافية لتمكينها من تنفيذ ولايتها تنفيذاً كاملاً.</w:t>
      </w:r>
    </w:p>
    <w:p w14:paraId="74EBB0A0" w14:textId="77777777" w:rsidR="001F3595" w:rsidRPr="001F3595" w:rsidRDefault="001F3595" w:rsidP="001F3595">
      <w:pPr>
        <w:pStyle w:val="H23GA"/>
        <w:rPr>
          <w:lang w:val="ar-SA" w:eastAsia="zh-TW" w:bidi="en-GB"/>
        </w:rPr>
      </w:pPr>
      <w:r w:rsidRPr="001F3595">
        <w:rPr>
          <w:rtl/>
        </w:rPr>
        <w:tab/>
      </w:r>
      <w:r w:rsidRPr="001F3595">
        <w:rPr>
          <w:rtl/>
        </w:rPr>
        <w:tab/>
        <w:t xml:space="preserve">ملخص ردّ الدولة الطرف </w:t>
      </w:r>
    </w:p>
    <w:p w14:paraId="10E3CD68" w14:textId="77777777" w:rsidR="001F3595" w:rsidRPr="00533E45" w:rsidRDefault="001F3595" w:rsidP="001F3595">
      <w:pPr>
        <w:pStyle w:val="SingleTxtG"/>
        <w:bidi/>
        <w:ind w:firstLine="567"/>
        <w:textDirection w:val="tbRlV"/>
        <w:rPr>
          <w:rFonts w:eastAsiaTheme="minorEastAsia"/>
          <w:sz w:val="22"/>
          <w:szCs w:val="22"/>
          <w:lang w:val="en-US" w:eastAsia="zh-TW" w:bidi="en-GB"/>
        </w:rPr>
      </w:pPr>
      <w:r w:rsidRPr="001F3595">
        <w:rPr>
          <w:rFonts w:eastAsiaTheme="minorEastAsia"/>
          <w:sz w:val="22"/>
          <w:szCs w:val="22"/>
          <w:rtl/>
        </w:rPr>
        <w:t>(أ)</w:t>
      </w:r>
      <w:r w:rsidRPr="001F3595">
        <w:rPr>
          <w:rFonts w:eastAsiaTheme="minorEastAsia"/>
          <w:sz w:val="22"/>
          <w:szCs w:val="22"/>
          <w:rtl/>
        </w:rPr>
        <w:tab/>
        <w:t xml:space="preserve">قُدمت إلى اللجنة الوطنية المستقلة المعنية بحقوق الإنسان الميزانية اللازمة في عام </w:t>
      </w:r>
      <w:r w:rsidRPr="00D44742">
        <w:rPr>
          <w:rFonts w:eastAsiaTheme="minorEastAsia"/>
          <w:sz w:val="22"/>
          <w:szCs w:val="22"/>
          <w:rtl/>
        </w:rPr>
        <w:t>2018</w:t>
      </w:r>
      <w:r w:rsidRPr="001F3595">
        <w:rPr>
          <w:rFonts w:eastAsiaTheme="minorEastAsia"/>
          <w:sz w:val="22"/>
          <w:szCs w:val="22"/>
          <w:rtl/>
        </w:rPr>
        <w:t xml:space="preserve"> مما مكّنها من العمل بكامل طاقاتها؛ </w:t>
      </w:r>
    </w:p>
    <w:p w14:paraId="0E4BDC2F" w14:textId="77777777" w:rsidR="001F3595" w:rsidRPr="001F3595" w:rsidRDefault="001F3595" w:rsidP="001F3595">
      <w:pPr>
        <w:pStyle w:val="SingleTxtG"/>
        <w:bidi/>
        <w:ind w:firstLine="567"/>
        <w:textDirection w:val="tbRlV"/>
        <w:rPr>
          <w:rFonts w:eastAsiaTheme="minorEastAsia"/>
          <w:sz w:val="22"/>
          <w:szCs w:val="22"/>
          <w:lang w:val="ar-SA" w:eastAsia="zh-TW" w:bidi="en-GB"/>
        </w:rPr>
      </w:pPr>
      <w:r w:rsidRPr="001F3595">
        <w:rPr>
          <w:rFonts w:eastAsiaTheme="minorEastAsia"/>
          <w:sz w:val="22"/>
          <w:szCs w:val="22"/>
          <w:rtl/>
        </w:rPr>
        <w:t>(ب)</w:t>
      </w:r>
      <w:r w:rsidRPr="001F3595">
        <w:rPr>
          <w:rFonts w:eastAsiaTheme="minorEastAsia"/>
          <w:sz w:val="22"/>
          <w:szCs w:val="22"/>
          <w:rtl/>
        </w:rPr>
        <w:tab/>
        <w:t xml:space="preserve">نصّ القانون رقم </w:t>
      </w:r>
      <w:r w:rsidRPr="00D44742">
        <w:rPr>
          <w:rFonts w:eastAsiaTheme="minorEastAsia"/>
          <w:sz w:val="22"/>
          <w:szCs w:val="22"/>
          <w:rtl/>
        </w:rPr>
        <w:t>2014</w:t>
      </w:r>
      <w:r w:rsidRPr="001F3595">
        <w:rPr>
          <w:rFonts w:eastAsiaTheme="minorEastAsia"/>
          <w:sz w:val="22"/>
          <w:szCs w:val="22"/>
          <w:rtl/>
        </w:rPr>
        <w:t>-</w:t>
      </w:r>
      <w:r w:rsidRPr="00D44742">
        <w:rPr>
          <w:rFonts w:eastAsiaTheme="minorEastAsia"/>
          <w:sz w:val="22"/>
          <w:szCs w:val="22"/>
          <w:rtl/>
        </w:rPr>
        <w:t>007</w:t>
      </w:r>
      <w:r w:rsidRPr="001F3595">
        <w:rPr>
          <w:rFonts w:eastAsiaTheme="minorEastAsia"/>
          <w:sz w:val="22"/>
          <w:szCs w:val="22"/>
          <w:rtl/>
        </w:rPr>
        <w:t xml:space="preserve"> (</w:t>
      </w:r>
      <w:r w:rsidRPr="00D44742">
        <w:rPr>
          <w:rFonts w:eastAsiaTheme="minorEastAsia"/>
          <w:sz w:val="22"/>
          <w:szCs w:val="22"/>
          <w:rtl/>
        </w:rPr>
        <w:t>2014</w:t>
      </w:r>
      <w:r w:rsidRPr="001F3595">
        <w:rPr>
          <w:rFonts w:eastAsiaTheme="minorEastAsia"/>
          <w:sz w:val="22"/>
          <w:szCs w:val="22"/>
          <w:rtl/>
        </w:rPr>
        <w:t xml:space="preserve">) على إنشاء اللجنة. وقُدم في شباط/فبراير </w:t>
      </w:r>
      <w:r w:rsidRPr="00D44742">
        <w:rPr>
          <w:rFonts w:eastAsiaTheme="minorEastAsia"/>
          <w:sz w:val="22"/>
          <w:szCs w:val="22"/>
          <w:rtl/>
        </w:rPr>
        <w:t>2018</w:t>
      </w:r>
      <w:r w:rsidRPr="001F3595">
        <w:rPr>
          <w:rFonts w:eastAsiaTheme="minorEastAsia"/>
          <w:sz w:val="22"/>
          <w:szCs w:val="22"/>
          <w:rtl/>
        </w:rPr>
        <w:t xml:space="preserve"> طلب اعتماد إلى التحالف العالمي للمؤسسات الوطنية لحقوق الإنسان؛</w:t>
      </w:r>
    </w:p>
    <w:p w14:paraId="0F4AC2E8" w14:textId="77777777" w:rsidR="001F3595" w:rsidRPr="00533E45" w:rsidRDefault="001F3595" w:rsidP="001F3595">
      <w:pPr>
        <w:pStyle w:val="SingleTxtG"/>
        <w:bidi/>
        <w:ind w:firstLine="567"/>
        <w:textDirection w:val="tbRlV"/>
        <w:rPr>
          <w:rFonts w:eastAsiaTheme="minorEastAsia"/>
          <w:b/>
          <w:sz w:val="22"/>
          <w:szCs w:val="22"/>
          <w:lang w:val="en-US" w:eastAsia="zh-TW" w:bidi="en-GB"/>
        </w:rPr>
      </w:pPr>
      <w:r w:rsidRPr="001F3595">
        <w:rPr>
          <w:rFonts w:eastAsiaTheme="minorEastAsia"/>
          <w:b/>
          <w:sz w:val="22"/>
          <w:szCs w:val="22"/>
          <w:rtl/>
        </w:rPr>
        <w:lastRenderedPageBreak/>
        <w:t>(ج)</w:t>
      </w:r>
      <w:r w:rsidRPr="001F3595">
        <w:rPr>
          <w:rFonts w:eastAsiaTheme="minorEastAsia"/>
          <w:b/>
          <w:sz w:val="22"/>
          <w:szCs w:val="22"/>
          <w:rtl/>
        </w:rPr>
        <w:tab/>
        <w:t xml:space="preserve">استهلّ المجلس الأعلى، الذي أنشئ بموجب القانون رقم </w:t>
      </w:r>
      <w:r w:rsidRPr="00D44742">
        <w:rPr>
          <w:rFonts w:eastAsiaTheme="minorEastAsia"/>
          <w:b/>
          <w:sz w:val="22"/>
          <w:szCs w:val="22"/>
          <w:rtl/>
        </w:rPr>
        <w:t>2015</w:t>
      </w:r>
      <w:r w:rsidRPr="001F3595">
        <w:rPr>
          <w:rFonts w:eastAsiaTheme="minorEastAsia"/>
          <w:b/>
          <w:sz w:val="22"/>
          <w:szCs w:val="22"/>
          <w:rtl/>
        </w:rPr>
        <w:t>-</w:t>
      </w:r>
      <w:r w:rsidRPr="00D44742">
        <w:rPr>
          <w:rFonts w:eastAsiaTheme="minorEastAsia"/>
          <w:b/>
          <w:sz w:val="22"/>
          <w:szCs w:val="22"/>
          <w:rtl/>
        </w:rPr>
        <w:t>001</w:t>
      </w:r>
      <w:r w:rsidRPr="001F3595">
        <w:rPr>
          <w:rFonts w:eastAsiaTheme="minorEastAsia"/>
          <w:b/>
          <w:sz w:val="22"/>
          <w:szCs w:val="22"/>
          <w:rtl/>
        </w:rPr>
        <w:t xml:space="preserve"> (</w:t>
      </w:r>
      <w:r w:rsidRPr="00D44742">
        <w:rPr>
          <w:rFonts w:eastAsiaTheme="minorEastAsia"/>
          <w:b/>
          <w:sz w:val="22"/>
          <w:szCs w:val="22"/>
          <w:rtl/>
        </w:rPr>
        <w:t>2015</w:t>
      </w:r>
      <w:r w:rsidRPr="001F3595">
        <w:rPr>
          <w:rFonts w:eastAsiaTheme="minorEastAsia"/>
          <w:b/>
          <w:sz w:val="22"/>
          <w:szCs w:val="22"/>
          <w:rtl/>
        </w:rPr>
        <w:t xml:space="preserve">)، عمله منذ نيسان/أبريل </w:t>
      </w:r>
      <w:r w:rsidRPr="00D44742">
        <w:rPr>
          <w:rFonts w:eastAsiaTheme="minorEastAsia"/>
          <w:b/>
          <w:sz w:val="22"/>
          <w:szCs w:val="22"/>
          <w:rtl/>
        </w:rPr>
        <w:t>2018</w:t>
      </w:r>
      <w:r w:rsidRPr="001F3595">
        <w:rPr>
          <w:rFonts w:eastAsiaTheme="minorEastAsia"/>
          <w:b/>
          <w:sz w:val="22"/>
          <w:szCs w:val="22"/>
          <w:rtl/>
        </w:rPr>
        <w:t xml:space="preserve">. والمجلس الأعلى هيئة دستورية مستقلة تتمتع بالاستقلال الإداري والمالي. وينص قانون المالية لعام </w:t>
      </w:r>
      <w:r w:rsidRPr="00D44742">
        <w:rPr>
          <w:rFonts w:eastAsiaTheme="minorEastAsia"/>
          <w:b/>
          <w:sz w:val="22"/>
          <w:szCs w:val="22"/>
          <w:rtl/>
        </w:rPr>
        <w:t>2019</w:t>
      </w:r>
      <w:r w:rsidRPr="001F3595">
        <w:rPr>
          <w:rFonts w:eastAsiaTheme="minorEastAsia"/>
          <w:b/>
          <w:sz w:val="22"/>
          <w:szCs w:val="22"/>
          <w:rtl/>
        </w:rPr>
        <w:t xml:space="preserve"> على مضاعفة الميزانية التي خُصصت له في عام </w:t>
      </w:r>
      <w:r w:rsidRPr="00D44742">
        <w:rPr>
          <w:rFonts w:eastAsiaTheme="minorEastAsia"/>
          <w:b/>
          <w:sz w:val="22"/>
          <w:szCs w:val="22"/>
          <w:rtl/>
        </w:rPr>
        <w:t>2018</w:t>
      </w:r>
      <w:r w:rsidRPr="001F3595">
        <w:rPr>
          <w:rFonts w:eastAsiaTheme="minorEastAsia"/>
          <w:b/>
          <w:sz w:val="22"/>
          <w:szCs w:val="22"/>
          <w:rtl/>
        </w:rPr>
        <w:t xml:space="preserve">. </w:t>
      </w:r>
    </w:p>
    <w:p w14:paraId="4223EADD" w14:textId="77777777" w:rsidR="001F3595" w:rsidRPr="001F3595" w:rsidRDefault="001F3595" w:rsidP="001F3595">
      <w:pPr>
        <w:pStyle w:val="H23GA"/>
        <w:rPr>
          <w:lang w:val="ar-SA" w:eastAsia="zh-TW" w:bidi="en-GB"/>
        </w:rPr>
      </w:pPr>
      <w:r w:rsidRPr="001F3595">
        <w:rPr>
          <w:rtl/>
        </w:rPr>
        <w:tab/>
      </w:r>
      <w:r w:rsidRPr="001F3595">
        <w:rPr>
          <w:rtl/>
        </w:rPr>
        <w:tab/>
        <w:t>معلومات واردة من منظمات غير حكومية</w:t>
      </w:r>
    </w:p>
    <w:p w14:paraId="76F5FD0B" w14:textId="1D9F6380" w:rsidR="001F3595" w:rsidRPr="000D31B3" w:rsidRDefault="001F3595" w:rsidP="001F3595">
      <w:pPr>
        <w:pStyle w:val="H4GA"/>
        <w:rPr>
          <w:rFonts w:hint="cs"/>
          <w:lang w:val="en-US" w:eastAsia="zh-TW" w:bidi="en-GB"/>
        </w:rPr>
      </w:pPr>
      <w:r>
        <w:rPr>
          <w:rtl/>
        </w:rPr>
        <w:tab/>
      </w:r>
      <w:r>
        <w:rPr>
          <w:rtl/>
        </w:rPr>
        <w:tab/>
      </w:r>
      <w:r w:rsidRPr="001F3595">
        <w:rPr>
          <w:rtl/>
        </w:rPr>
        <w:t>التحالف العالمي للمؤسسات الوطنية لحقوق الإنسان</w:t>
      </w:r>
    </w:p>
    <w:p w14:paraId="55F98A41" w14:textId="5D87ED85" w:rsidR="001F3595" w:rsidRPr="001F3595" w:rsidRDefault="001F3595" w:rsidP="001F3595">
      <w:pPr>
        <w:pStyle w:val="SingleTxtGA"/>
        <w:rPr>
          <w:lang w:val="ar-SA" w:eastAsia="zh-TW" w:bidi="en-GB"/>
        </w:rPr>
      </w:pPr>
      <w:r>
        <w:rPr>
          <w:rtl/>
        </w:rPr>
        <w:tab/>
      </w:r>
      <w:r w:rsidRPr="001F3595">
        <w:rPr>
          <w:rtl/>
        </w:rPr>
        <w:t xml:space="preserve">في </w:t>
      </w:r>
      <w:r w:rsidRPr="00D44742">
        <w:rPr>
          <w:rtl/>
        </w:rPr>
        <w:t>27</w:t>
      </w:r>
      <w:r w:rsidRPr="001F3595">
        <w:rPr>
          <w:rtl/>
        </w:rPr>
        <w:t xml:space="preserve"> تشرين الثاني/نوفمبر </w:t>
      </w:r>
      <w:r w:rsidRPr="00D44742">
        <w:rPr>
          <w:rtl/>
        </w:rPr>
        <w:t>2019</w:t>
      </w:r>
      <w:r w:rsidRPr="001F3595">
        <w:rPr>
          <w:rtl/>
        </w:rPr>
        <w:t xml:space="preserve">، مُنحت المؤسسة الوطنية لحقوق الإنسان (اللجنة الوطنية المستقلة المعنية بحقوق الإنسان) في الدولة الطرف مركز الاعتماد "ألف". </w:t>
      </w:r>
    </w:p>
    <w:p w14:paraId="6139B1CF" w14:textId="77777777" w:rsidR="001F3595" w:rsidRPr="001F3595" w:rsidRDefault="001F3595" w:rsidP="001F3595">
      <w:pPr>
        <w:pStyle w:val="H23GA"/>
        <w:rPr>
          <w:lang w:val="ar-SA" w:eastAsia="zh-TW" w:bidi="en-GB"/>
        </w:rPr>
      </w:pPr>
      <w:r w:rsidRPr="001F3595">
        <w:rPr>
          <w:rtl/>
        </w:rPr>
        <w:tab/>
      </w:r>
      <w:r w:rsidRPr="001F3595">
        <w:rPr>
          <w:rtl/>
        </w:rPr>
        <w:tab/>
        <w:t>تقييم اللجنة</w:t>
      </w:r>
    </w:p>
    <w:p w14:paraId="7D673600" w14:textId="77777777" w:rsidR="001F3595" w:rsidRPr="001F3595" w:rsidRDefault="001F3595" w:rsidP="001F3595">
      <w:pPr>
        <w:pStyle w:val="SingleTxtG"/>
        <w:bidi/>
        <w:textDirection w:val="tbRlV"/>
        <w:rPr>
          <w:rFonts w:eastAsiaTheme="minorEastAsia"/>
          <w:sz w:val="22"/>
          <w:szCs w:val="22"/>
          <w:lang w:val="ar-SA" w:eastAsia="zh-TW" w:bidi="en-GB"/>
        </w:rPr>
      </w:pPr>
      <w:r w:rsidRPr="001F3595">
        <w:rPr>
          <w:rFonts w:eastAsiaTheme="minorEastAsia"/>
          <w:b/>
          <w:bCs/>
          <w:sz w:val="22"/>
          <w:szCs w:val="22"/>
          <w:rtl/>
        </w:rPr>
        <w:t>[ألف]</w:t>
      </w:r>
      <w:r w:rsidRPr="001F3595">
        <w:rPr>
          <w:rFonts w:eastAsiaTheme="minorEastAsia"/>
          <w:sz w:val="22"/>
          <w:szCs w:val="22"/>
          <w:rtl/>
        </w:rPr>
        <w:t xml:space="preserve">: (ب) </w:t>
      </w:r>
    </w:p>
    <w:p w14:paraId="7B8F9C1A" w14:textId="00E68CC4" w:rsidR="001F3595" w:rsidRPr="001F3595" w:rsidRDefault="001F3595" w:rsidP="001F3595">
      <w:pPr>
        <w:pStyle w:val="SingleTxtGA"/>
        <w:rPr>
          <w:lang w:val="ar-SA" w:eastAsia="zh-TW" w:bidi="en-GB"/>
        </w:rPr>
      </w:pPr>
      <w:r>
        <w:rPr>
          <w:rtl/>
        </w:rPr>
        <w:tab/>
      </w:r>
      <w:r w:rsidRPr="001F3595">
        <w:rPr>
          <w:rtl/>
        </w:rPr>
        <w:t>ترحب اللجنة بنجاح الدولة الطرف في بدء إجراء الاعتماد المتعلق بمؤسستها الوطنية لحقوق الإنسان، وهي اللجنة الوطنية المستقلة المعنية بحقوق الإنسان، وبالمركز "ألف" الذي مُنح لها، مما يعكس امتثال المؤسسة للمبادئ المتعلقة بمركز المؤسسات الوطنية لتعزيز وحماية حقوق الإنسان (مبادئ</w:t>
      </w:r>
      <w:r w:rsidR="000D31B3">
        <w:rPr>
          <w:rFonts w:hint="cs"/>
          <w:rtl/>
        </w:rPr>
        <w:t> </w:t>
      </w:r>
      <w:r w:rsidRPr="001F3595">
        <w:rPr>
          <w:rtl/>
        </w:rPr>
        <w:t>باريس).</w:t>
      </w:r>
    </w:p>
    <w:p w14:paraId="4F648642" w14:textId="77777777" w:rsidR="001F3595" w:rsidRPr="001F3595" w:rsidRDefault="001F3595" w:rsidP="001F3595">
      <w:pPr>
        <w:pStyle w:val="SingleTxtGA"/>
        <w:rPr>
          <w:lang w:val="ar-SA" w:eastAsia="zh-TW" w:bidi="en-GB"/>
        </w:rPr>
      </w:pPr>
      <w:r w:rsidRPr="001F3595">
        <w:rPr>
          <w:b/>
          <w:bCs/>
          <w:rtl/>
        </w:rPr>
        <w:t>[باء]</w:t>
      </w:r>
      <w:r w:rsidRPr="001F3595">
        <w:rPr>
          <w:rtl/>
        </w:rPr>
        <w:t xml:space="preserve">: (أ)، و(ج) </w:t>
      </w:r>
    </w:p>
    <w:p w14:paraId="5E7F72B5" w14:textId="545FAC70" w:rsidR="001F3595" w:rsidRPr="001F3595" w:rsidRDefault="001F3595" w:rsidP="001F3595">
      <w:pPr>
        <w:pStyle w:val="SingleTxtGA"/>
        <w:rPr>
          <w:lang w:val="en-US" w:eastAsia="zh-TW" w:bidi="en-GB"/>
        </w:rPr>
      </w:pPr>
      <w:r>
        <w:rPr>
          <w:rtl/>
        </w:rPr>
        <w:tab/>
      </w:r>
      <w:r w:rsidRPr="001F3595">
        <w:rPr>
          <w:rtl/>
        </w:rPr>
        <w:t>ترحب اللجنة بالميزانية التي قُدمت إلى اللجنة الوطنية المستقلة المعنية بحقوق الإنسان في عام</w:t>
      </w:r>
      <w:r>
        <w:rPr>
          <w:rFonts w:hint="cs"/>
          <w:rtl/>
        </w:rPr>
        <w:t> </w:t>
      </w:r>
      <w:r w:rsidRPr="00D44742">
        <w:rPr>
          <w:rtl/>
        </w:rPr>
        <w:t>2018</w:t>
      </w:r>
      <w:r w:rsidRPr="001F3595">
        <w:rPr>
          <w:rtl/>
        </w:rPr>
        <w:t>. وتطلب معلومات عما إذا كانت الميزانية المشار إليها كافية لكي تنفذ اللجنة ولايتها بالكامل</w:t>
      </w:r>
      <w:r>
        <w:rPr>
          <w:rFonts w:hint="cs"/>
          <w:rtl/>
        </w:rPr>
        <w:t> </w:t>
      </w:r>
      <w:r w:rsidRPr="001F3595">
        <w:rPr>
          <w:rtl/>
        </w:rPr>
        <w:t xml:space="preserve">وبكفاءة. </w:t>
      </w:r>
    </w:p>
    <w:p w14:paraId="5A6076B3" w14:textId="441E3DCE" w:rsidR="001F3595" w:rsidRPr="001F3595" w:rsidRDefault="001F3595" w:rsidP="001F3595">
      <w:pPr>
        <w:pStyle w:val="SingleTxtGA"/>
        <w:rPr>
          <w:lang w:val="ar-SA" w:eastAsia="zh-TW" w:bidi="en-GB"/>
        </w:rPr>
      </w:pPr>
      <w:r>
        <w:rPr>
          <w:rtl/>
        </w:rPr>
        <w:tab/>
      </w:r>
      <w:r w:rsidRPr="001F3595">
        <w:rPr>
          <w:rtl/>
        </w:rPr>
        <w:t xml:space="preserve">وترحب اللجنة بالتدابير المتخذة لإنشاء المجلس الأعلى للدفاع عن الديمقراطية وسيادة القانون. وتطلب معلومات عما إذا كان المجلس يعمل بكامل طاقاته وعما إذا كانت الميزانية المخصصة له كافية لكي يؤدي مهامه. </w:t>
      </w:r>
    </w:p>
    <w:p w14:paraId="41B68EEA" w14:textId="5CF26165" w:rsidR="001F3595" w:rsidRPr="000D31B3" w:rsidRDefault="001F3595" w:rsidP="004C2EFA">
      <w:pPr>
        <w:pStyle w:val="H23GA"/>
        <w:rPr>
          <w:rFonts w:ascii="Times New Roman Bold" w:hAnsi="Times New Roman Bold"/>
          <w:spacing w:val="-6"/>
          <w:lang w:val="ar-SA" w:eastAsia="zh-TW" w:bidi="en-GB"/>
        </w:rPr>
      </w:pPr>
      <w:r w:rsidRPr="001F3595">
        <w:rPr>
          <w:rtl/>
        </w:rPr>
        <w:tab/>
      </w:r>
      <w:r w:rsidRPr="000D31B3">
        <w:rPr>
          <w:rFonts w:ascii="Times New Roman Bold" w:hAnsi="Times New Roman Bold"/>
          <w:spacing w:val="-6"/>
          <w:rtl/>
        </w:rPr>
        <w:tab/>
        <w:t xml:space="preserve">الفقرة </w:t>
      </w:r>
      <w:r w:rsidRPr="00D44742">
        <w:rPr>
          <w:rFonts w:ascii="Times New Roman Bold" w:hAnsi="Times New Roman Bold"/>
          <w:spacing w:val="-6"/>
          <w:rtl/>
        </w:rPr>
        <w:t>14</w:t>
      </w:r>
      <w:r w:rsidRPr="000D31B3">
        <w:rPr>
          <w:rFonts w:ascii="Times New Roman Bold" w:hAnsi="Times New Roman Bold"/>
          <w:spacing w:val="-6"/>
        </w:rPr>
        <w:t>:</w:t>
      </w:r>
      <w:r w:rsidRPr="000D31B3">
        <w:rPr>
          <w:rFonts w:ascii="Times New Roman Bold" w:hAnsi="Times New Roman Bold"/>
          <w:spacing w:val="-6"/>
          <w:rtl/>
        </w:rPr>
        <w:t xml:space="preserve"> التحقيق في انتهاكات حقوق الإنسان المرتكبة بين عامي </w:t>
      </w:r>
      <w:r w:rsidRPr="00D44742">
        <w:rPr>
          <w:rFonts w:ascii="Times New Roman Bold" w:hAnsi="Times New Roman Bold"/>
          <w:spacing w:val="-6"/>
          <w:rtl/>
        </w:rPr>
        <w:t>2009</w:t>
      </w:r>
      <w:r w:rsidRPr="000D31B3">
        <w:rPr>
          <w:rFonts w:ascii="Times New Roman Bold" w:hAnsi="Times New Roman Bold"/>
          <w:spacing w:val="-6"/>
          <w:rtl/>
        </w:rPr>
        <w:t xml:space="preserve"> و</w:t>
      </w:r>
      <w:r w:rsidRPr="00D44742">
        <w:rPr>
          <w:rFonts w:ascii="Times New Roman Bold" w:hAnsi="Times New Roman Bold"/>
          <w:spacing w:val="-6"/>
          <w:rtl/>
        </w:rPr>
        <w:t>2013</w:t>
      </w:r>
      <w:r w:rsidRPr="000D31B3">
        <w:rPr>
          <w:rFonts w:ascii="Times New Roman Bold" w:hAnsi="Times New Roman Bold"/>
          <w:spacing w:val="-6"/>
          <w:rtl/>
        </w:rPr>
        <w:t xml:space="preserve"> وعملية المصالحة الوطنية</w:t>
      </w:r>
    </w:p>
    <w:p w14:paraId="13957157" w14:textId="598F3628" w:rsidR="001F3595" w:rsidRPr="001F3595" w:rsidRDefault="004C2EFA" w:rsidP="001F3595">
      <w:pPr>
        <w:pStyle w:val="SingleTxtGA"/>
        <w:rPr>
          <w:b/>
          <w:lang w:val="ar-SA" w:eastAsia="zh-TW" w:bidi="en-GB"/>
        </w:rPr>
      </w:pPr>
      <w:r>
        <w:rPr>
          <w:b/>
          <w:bCs/>
          <w:rtl/>
        </w:rPr>
        <w:tab/>
      </w:r>
      <w:r w:rsidR="001F3595" w:rsidRPr="001F3595">
        <w:rPr>
          <w:b/>
          <w:bCs/>
          <w:rtl/>
        </w:rPr>
        <w:t>ينبغي للدولة الطرف تسريع عملية المصالحة الوطنية، بطرق، منها: (أ) التحقيق في جميع الادعاءات المتعلقة بأفعال التعذيب والاختفاء القسري والإعدام خارج نطاق القضاء وبإجراءات موجزة، وكفالة ألا يمر أي انتهاك خطير لحقوق الإنسان مرتكب في الماضي دون عقاب؛</w:t>
      </w:r>
      <w:r w:rsidR="001F3595" w:rsidRPr="001F3595">
        <w:rPr>
          <w:bCs/>
          <w:rtl/>
        </w:rPr>
        <w:t xml:space="preserve"> </w:t>
      </w:r>
      <w:r w:rsidR="001F3595" w:rsidRPr="001F3595">
        <w:rPr>
          <w:b/>
          <w:bCs/>
          <w:rtl/>
        </w:rPr>
        <w:t xml:space="preserve">و(ب) تفعيل مجلس المصالحة </w:t>
      </w:r>
      <w:proofErr w:type="spellStart"/>
      <w:r w:rsidR="001F3595" w:rsidRPr="001F3595">
        <w:rPr>
          <w:b/>
          <w:bCs/>
          <w:rtl/>
        </w:rPr>
        <w:t>الملغاشي</w:t>
      </w:r>
      <w:proofErr w:type="spellEnd"/>
      <w:r w:rsidR="001F3595" w:rsidRPr="001F3595">
        <w:rPr>
          <w:b/>
          <w:bCs/>
          <w:rtl/>
        </w:rPr>
        <w:t xml:space="preserve"> والصندوق الوطني للتعويض والجبر من خلال تزويدهما بالموارد الكافية.</w:t>
      </w:r>
    </w:p>
    <w:p w14:paraId="6729D146" w14:textId="77777777" w:rsidR="001F3595" w:rsidRPr="001F3595" w:rsidRDefault="001F3595" w:rsidP="004C2EFA">
      <w:pPr>
        <w:pStyle w:val="H23GA"/>
        <w:rPr>
          <w:lang w:val="ar-SA" w:eastAsia="zh-TW" w:bidi="en-GB"/>
        </w:rPr>
      </w:pPr>
      <w:r w:rsidRPr="001F3595">
        <w:rPr>
          <w:rtl/>
        </w:rPr>
        <w:tab/>
      </w:r>
      <w:r w:rsidRPr="001F3595">
        <w:rPr>
          <w:rtl/>
        </w:rPr>
        <w:tab/>
        <w:t>ملخص ردّ الدولة الطرف</w:t>
      </w:r>
    </w:p>
    <w:p w14:paraId="4A4E4CE3" w14:textId="661D8DE5" w:rsidR="001F3595" w:rsidRPr="001F3595" w:rsidRDefault="004C2EFA" w:rsidP="001F3595">
      <w:pPr>
        <w:pStyle w:val="SingleTxtGA"/>
        <w:rPr>
          <w:b/>
          <w:lang w:val="ar-SA" w:eastAsia="zh-TW" w:bidi="en-GB"/>
        </w:rPr>
      </w:pPr>
      <w:r>
        <w:rPr>
          <w:bCs/>
          <w:rtl/>
        </w:rPr>
        <w:tab/>
      </w:r>
      <w:r w:rsidR="001F3595" w:rsidRPr="000D31B3">
        <w:rPr>
          <w:b/>
          <w:rtl/>
        </w:rPr>
        <w:t>(أ)</w:t>
      </w:r>
      <w:r w:rsidR="001F3595" w:rsidRPr="000D31B3">
        <w:rPr>
          <w:b/>
          <w:rtl/>
        </w:rPr>
        <w:tab/>
      </w:r>
      <w:r w:rsidR="001F3595" w:rsidRPr="001F3595">
        <w:rPr>
          <w:b/>
          <w:rtl/>
        </w:rPr>
        <w:t>لا تتوافر بعد معلومات موثوقة عن التحقيقات المتعلقة بانتهاكات حقوق الإنسان؛</w:t>
      </w:r>
    </w:p>
    <w:p w14:paraId="38E86DDE" w14:textId="21BEAF47" w:rsidR="001F3595" w:rsidRPr="001F3595" w:rsidRDefault="004C2EFA" w:rsidP="00C72506">
      <w:pPr>
        <w:pStyle w:val="SingleTxtGA"/>
        <w:rPr>
          <w:lang w:val="ar-SA" w:eastAsia="zh-TW" w:bidi="en-GB"/>
        </w:rPr>
      </w:pPr>
      <w:r>
        <w:rPr>
          <w:rtl/>
        </w:rPr>
        <w:tab/>
      </w:r>
      <w:r w:rsidR="001F3595" w:rsidRPr="00C72506">
        <w:rPr>
          <w:spacing w:val="-4"/>
          <w:rtl/>
        </w:rPr>
        <w:t>(ب)</w:t>
      </w:r>
      <w:r w:rsidR="001F3595" w:rsidRPr="00C72506">
        <w:rPr>
          <w:spacing w:val="-4"/>
          <w:rtl/>
        </w:rPr>
        <w:tab/>
        <w:t xml:space="preserve">ورث مجلس المصالحة </w:t>
      </w:r>
      <w:proofErr w:type="spellStart"/>
      <w:r w:rsidR="001F3595" w:rsidRPr="00C72506">
        <w:rPr>
          <w:spacing w:val="-4"/>
          <w:rtl/>
        </w:rPr>
        <w:t>الملغاشي</w:t>
      </w:r>
      <w:proofErr w:type="spellEnd"/>
      <w:r w:rsidR="001F3595" w:rsidRPr="00C72506">
        <w:rPr>
          <w:spacing w:val="-4"/>
          <w:rtl/>
        </w:rPr>
        <w:t>، الذي استهلّ عمله منذ تشرين الأول/أكتوبر 2017،</w:t>
      </w:r>
      <w:r w:rsidR="001F3595" w:rsidRPr="001F3595">
        <w:rPr>
          <w:rtl/>
        </w:rPr>
        <w:t xml:space="preserve"> الميزانية التي كانت مخصصة لـلمجلس </w:t>
      </w:r>
      <w:proofErr w:type="spellStart"/>
      <w:r w:rsidR="001F3595" w:rsidRPr="000D31B3">
        <w:rPr>
          <w:i/>
          <w:iCs/>
        </w:rPr>
        <w:t>Filankevitry</w:t>
      </w:r>
      <w:proofErr w:type="spellEnd"/>
      <w:r w:rsidR="001F3595" w:rsidRPr="000D31B3">
        <w:rPr>
          <w:i/>
          <w:iCs/>
        </w:rPr>
        <w:t xml:space="preserve"> </w:t>
      </w:r>
      <w:proofErr w:type="spellStart"/>
      <w:r w:rsidR="001F3595" w:rsidRPr="000D31B3">
        <w:rPr>
          <w:i/>
          <w:iCs/>
        </w:rPr>
        <w:t>ny</w:t>
      </w:r>
      <w:proofErr w:type="spellEnd"/>
      <w:r w:rsidR="001F3595" w:rsidRPr="000D31B3">
        <w:rPr>
          <w:i/>
          <w:iCs/>
        </w:rPr>
        <w:t xml:space="preserve"> </w:t>
      </w:r>
      <w:proofErr w:type="spellStart"/>
      <w:r w:rsidR="001F3595" w:rsidRPr="000D31B3">
        <w:rPr>
          <w:i/>
          <w:iCs/>
        </w:rPr>
        <w:t>Fampihavanana</w:t>
      </w:r>
      <w:proofErr w:type="spellEnd"/>
      <w:r w:rsidR="001F3595" w:rsidRPr="000D31B3">
        <w:rPr>
          <w:i/>
          <w:iCs/>
        </w:rPr>
        <w:t xml:space="preserve"> </w:t>
      </w:r>
      <w:proofErr w:type="spellStart"/>
      <w:r w:rsidR="001F3595" w:rsidRPr="000D31B3">
        <w:rPr>
          <w:i/>
          <w:iCs/>
        </w:rPr>
        <w:t>Malagasy</w:t>
      </w:r>
      <w:proofErr w:type="spellEnd"/>
      <w:r w:rsidR="001F3595" w:rsidRPr="001F3595">
        <w:rPr>
          <w:rtl/>
        </w:rPr>
        <w:t xml:space="preserve"> بموجب قانون تعديل الميزانية لعام </w:t>
      </w:r>
      <w:r w:rsidR="001F3595" w:rsidRPr="00D44742">
        <w:rPr>
          <w:rtl/>
        </w:rPr>
        <w:t>2018</w:t>
      </w:r>
      <w:r w:rsidR="001F3595" w:rsidRPr="001F3595">
        <w:rPr>
          <w:rtl/>
        </w:rPr>
        <w:t xml:space="preserve">. وفي آب/أغسطس </w:t>
      </w:r>
      <w:r w:rsidR="001F3595" w:rsidRPr="00D44742">
        <w:rPr>
          <w:rtl/>
        </w:rPr>
        <w:t>2018</w:t>
      </w:r>
      <w:r w:rsidR="001F3595" w:rsidRPr="001F3595">
        <w:rPr>
          <w:rtl/>
        </w:rPr>
        <w:t xml:space="preserve">، بدأ المجلس عقد جلسات استماع تتعلق بالأحداث التي وقعت بين عام </w:t>
      </w:r>
      <w:r w:rsidR="001F3595" w:rsidRPr="00D44742">
        <w:rPr>
          <w:rtl/>
        </w:rPr>
        <w:t>2002</w:t>
      </w:r>
      <w:r w:rsidR="001F3595" w:rsidRPr="001F3595">
        <w:rPr>
          <w:rtl/>
        </w:rPr>
        <w:t xml:space="preserve"> ونهاية الفترة الانتقالية. وفيما يتعلق بجبر الأضرار الواقعة، يجري حالياً النظر في </w:t>
      </w:r>
      <w:r w:rsidR="001F3595" w:rsidRPr="00D44742">
        <w:rPr>
          <w:rtl/>
        </w:rPr>
        <w:t>233</w:t>
      </w:r>
      <w:r w:rsidR="001F3595" w:rsidRPr="001F3595">
        <w:rPr>
          <w:rtl/>
        </w:rPr>
        <w:t xml:space="preserve"> </w:t>
      </w:r>
      <w:r w:rsidR="001F3595" w:rsidRPr="00D44742">
        <w:rPr>
          <w:rtl/>
        </w:rPr>
        <w:t>1</w:t>
      </w:r>
      <w:r w:rsidR="001F3595" w:rsidRPr="001F3595">
        <w:rPr>
          <w:rtl/>
        </w:rPr>
        <w:t xml:space="preserve"> طلبا</w:t>
      </w:r>
      <w:r w:rsidR="000D31B3">
        <w:rPr>
          <w:rFonts w:hint="cs"/>
          <w:rtl/>
        </w:rPr>
        <w:t>ً</w:t>
      </w:r>
      <w:r w:rsidR="001F3595" w:rsidRPr="001F3595">
        <w:rPr>
          <w:rtl/>
        </w:rPr>
        <w:t xml:space="preserve"> للحصول على تعويضات. وأجرى المجلس عدد</w:t>
      </w:r>
      <w:r w:rsidR="00533E45">
        <w:rPr>
          <w:rtl/>
        </w:rPr>
        <w:t xml:space="preserve">اً </w:t>
      </w:r>
      <w:r w:rsidR="001F3595" w:rsidRPr="001F3595">
        <w:rPr>
          <w:rtl/>
        </w:rPr>
        <w:t xml:space="preserve">من التحقيقات بالشراكة مع </w:t>
      </w:r>
      <w:r w:rsidR="001F3595" w:rsidRPr="001F3595">
        <w:rPr>
          <w:rtl/>
        </w:rPr>
        <w:lastRenderedPageBreak/>
        <w:t>الموظفين المكلفين بإنفاذ القوانين. ولضمان فعالية عمل المجلس، يجري حالي</w:t>
      </w:r>
      <w:r w:rsidR="00533E45">
        <w:rPr>
          <w:rtl/>
        </w:rPr>
        <w:t xml:space="preserve">اً </w:t>
      </w:r>
      <w:r w:rsidR="001F3595" w:rsidRPr="001F3595">
        <w:rPr>
          <w:rtl/>
        </w:rPr>
        <w:t>إعداد مشروع مرسوم تنفيذي يتعلق بصندوق التضامن الوطني. ولم يُنشأ بعد صندوق وطني للتعويض والجبر.</w:t>
      </w:r>
    </w:p>
    <w:p w14:paraId="47CBA97A" w14:textId="31998222" w:rsidR="001F3595" w:rsidRPr="001F3595" w:rsidRDefault="001F3595" w:rsidP="004C2EFA">
      <w:pPr>
        <w:pStyle w:val="H23GA"/>
        <w:rPr>
          <w:lang w:val="ar-SA" w:eastAsia="zh-TW" w:bidi="en-GB"/>
        </w:rPr>
      </w:pPr>
      <w:r w:rsidRPr="001F3595">
        <w:rPr>
          <w:rtl/>
        </w:rPr>
        <w:tab/>
      </w:r>
      <w:r w:rsidRPr="001F3595">
        <w:rPr>
          <w:rtl/>
        </w:rPr>
        <w:tab/>
        <w:t>تقييم اللجنة</w:t>
      </w:r>
    </w:p>
    <w:p w14:paraId="6B318043" w14:textId="77777777" w:rsidR="001F3595" w:rsidRPr="001F3595" w:rsidRDefault="001F3595" w:rsidP="001F3595">
      <w:pPr>
        <w:pStyle w:val="SingleTxtGA"/>
        <w:rPr>
          <w:lang w:val="ar-SA" w:eastAsia="zh-TW" w:bidi="en-GB"/>
        </w:rPr>
      </w:pPr>
      <w:r w:rsidRPr="001F3595">
        <w:rPr>
          <w:b/>
          <w:bCs/>
          <w:rtl/>
        </w:rPr>
        <w:t>[جيم]</w:t>
      </w:r>
      <w:r w:rsidRPr="001F3595">
        <w:rPr>
          <w:rtl/>
        </w:rPr>
        <w:t xml:space="preserve">: (أ) </w:t>
      </w:r>
    </w:p>
    <w:p w14:paraId="65128D76" w14:textId="5DAA551F" w:rsidR="001F3595" w:rsidRPr="00533E45" w:rsidRDefault="004C2EFA" w:rsidP="001F3595">
      <w:pPr>
        <w:pStyle w:val="SingleTxtGA"/>
        <w:rPr>
          <w:lang w:val="en-US" w:eastAsia="zh-TW" w:bidi="en-GB"/>
        </w:rPr>
      </w:pPr>
      <w:r>
        <w:rPr>
          <w:rtl/>
        </w:rPr>
        <w:tab/>
      </w:r>
      <w:r w:rsidR="001F3595" w:rsidRPr="001F3595">
        <w:rPr>
          <w:rtl/>
        </w:rPr>
        <w:t>تأسف اللجنة لعدم وجود معلومات عن التحقيقات الواجب إجراؤها في الادعاءات المتعلقة بأفعال التعذيب والاختفاء القسري والإعدام بإجراءات موجزة والإعدام خارج نطاق القضاء، وتكرر توصيتها.</w:t>
      </w:r>
    </w:p>
    <w:p w14:paraId="13C9E347" w14:textId="77777777" w:rsidR="001F3595" w:rsidRPr="004C2EFA" w:rsidRDefault="001F3595" w:rsidP="001F3595">
      <w:pPr>
        <w:pStyle w:val="SingleTxtGA"/>
        <w:rPr>
          <w:lang w:val="en-US" w:eastAsia="zh-TW" w:bidi="en-GB"/>
        </w:rPr>
      </w:pPr>
      <w:r w:rsidRPr="001F3595">
        <w:rPr>
          <w:b/>
          <w:bCs/>
          <w:rtl/>
        </w:rPr>
        <w:t>[باء]</w:t>
      </w:r>
      <w:r w:rsidRPr="001F3595">
        <w:rPr>
          <w:rtl/>
        </w:rPr>
        <w:t>: (ب)</w:t>
      </w:r>
    </w:p>
    <w:p w14:paraId="4320D47D" w14:textId="6922231F" w:rsidR="001F3595" w:rsidRPr="001F3595" w:rsidRDefault="004C2EFA" w:rsidP="001F3595">
      <w:pPr>
        <w:pStyle w:val="SingleTxtGA"/>
        <w:rPr>
          <w:lang w:val="ar-SA" w:eastAsia="zh-TW" w:bidi="en-GB"/>
        </w:rPr>
      </w:pPr>
      <w:r>
        <w:rPr>
          <w:rtl/>
        </w:rPr>
        <w:tab/>
      </w:r>
      <w:r w:rsidR="001F3595" w:rsidRPr="001F3595">
        <w:rPr>
          <w:rtl/>
        </w:rPr>
        <w:t xml:space="preserve">ترحب اللجنة بالمعلومات المقدمة التي تفيد بأن مجلس المصالحة </w:t>
      </w:r>
      <w:proofErr w:type="spellStart"/>
      <w:r w:rsidR="001F3595" w:rsidRPr="001F3595">
        <w:rPr>
          <w:rtl/>
        </w:rPr>
        <w:t>الملغاشي</w:t>
      </w:r>
      <w:proofErr w:type="spellEnd"/>
      <w:r w:rsidR="001F3595" w:rsidRPr="001F3595">
        <w:rPr>
          <w:rtl/>
        </w:rPr>
        <w:t xml:space="preserve"> قد استهل عمله، لكنها تأسف لعدم إنشاء صندوق وطني للتعويض والجبر. وتطلب معلومات عن الميزانية المخصصة للمجلس وعما إذا كانت تكفي ليؤدي مهامه. وتكرر اللجنة توصيتها. </w:t>
      </w:r>
    </w:p>
    <w:p w14:paraId="5D849401" w14:textId="77777777" w:rsidR="001F3595" w:rsidRPr="001F3595" w:rsidRDefault="001F3595" w:rsidP="004C2EFA">
      <w:pPr>
        <w:pStyle w:val="H23GA"/>
        <w:rPr>
          <w:lang w:val="ar-SA" w:eastAsia="zh-TW" w:bidi="en-GB"/>
        </w:rPr>
      </w:pPr>
      <w:r w:rsidRPr="001F3595">
        <w:rPr>
          <w:rtl/>
        </w:rPr>
        <w:tab/>
      </w:r>
      <w:r w:rsidRPr="001F3595">
        <w:rPr>
          <w:rtl/>
        </w:rPr>
        <w:tab/>
        <w:t xml:space="preserve">الفقرة </w:t>
      </w:r>
      <w:r w:rsidRPr="00D44742">
        <w:rPr>
          <w:rtl/>
        </w:rPr>
        <w:t>30</w:t>
      </w:r>
      <w:r w:rsidRPr="001F3595">
        <w:t>:</w:t>
      </w:r>
      <w:r w:rsidRPr="001F3595">
        <w:rPr>
          <w:rtl/>
        </w:rPr>
        <w:t xml:space="preserve"> حظر التعذيب وسوء المعاملة</w:t>
      </w:r>
    </w:p>
    <w:p w14:paraId="422EC6FA" w14:textId="3FAF7806" w:rsidR="001F3595" w:rsidRPr="00533E45" w:rsidRDefault="004C2EFA" w:rsidP="001F3595">
      <w:pPr>
        <w:pStyle w:val="SingleTxtGA"/>
        <w:rPr>
          <w:b/>
          <w:lang w:val="en-US" w:eastAsia="zh-TW" w:bidi="en-GB"/>
        </w:rPr>
      </w:pPr>
      <w:r>
        <w:rPr>
          <w:b/>
          <w:bCs/>
          <w:rtl/>
        </w:rPr>
        <w:tab/>
      </w:r>
      <w:r w:rsidR="001F3595" w:rsidRPr="001F3595">
        <w:rPr>
          <w:b/>
          <w:bCs/>
          <w:rtl/>
        </w:rPr>
        <w:t xml:space="preserve">ينبغي للدولة الطرف القيام بما يلي: (أ) مراجعة القانون رقم </w:t>
      </w:r>
      <w:r w:rsidR="001F3595" w:rsidRPr="00D44742">
        <w:rPr>
          <w:b/>
          <w:bCs/>
          <w:rtl/>
        </w:rPr>
        <w:t>2008</w:t>
      </w:r>
      <w:r w:rsidR="001F3595" w:rsidRPr="001F3595">
        <w:rPr>
          <w:b/>
          <w:bCs/>
          <w:rtl/>
        </w:rPr>
        <w:t>-</w:t>
      </w:r>
      <w:r w:rsidR="001F3595" w:rsidRPr="00D44742">
        <w:rPr>
          <w:b/>
          <w:bCs/>
          <w:rtl/>
        </w:rPr>
        <w:t>008</w:t>
      </w:r>
      <w:r w:rsidR="001F3595" w:rsidRPr="001F3595">
        <w:rPr>
          <w:b/>
          <w:bCs/>
          <w:rtl/>
        </w:rPr>
        <w:t xml:space="preserve"> في أقرب وقت لضمان أن ينص على فرض عقوبات في حالات سوء المعاملة، وعلى مبدأ عدم سقوط أفعال التعذيب بالتقادم وعدم قبول الاعترافات المنتزعة تحت الإكراه أو التعذيب دليلاً أمام المحاكم؛</w:t>
      </w:r>
      <w:r w:rsidR="001F3595" w:rsidRPr="001F3595">
        <w:rPr>
          <w:bCs/>
          <w:rtl/>
        </w:rPr>
        <w:t xml:space="preserve"> </w:t>
      </w:r>
      <w:r w:rsidR="001F3595" w:rsidRPr="001F3595">
        <w:rPr>
          <w:b/>
          <w:bCs/>
          <w:rtl/>
        </w:rPr>
        <w:t xml:space="preserve">و(ب) إجراء التعديلات اللازمة بحيث تظهر أحكام القانون رقم </w:t>
      </w:r>
      <w:r w:rsidR="001F3595" w:rsidRPr="00D44742">
        <w:rPr>
          <w:b/>
          <w:bCs/>
          <w:rtl/>
        </w:rPr>
        <w:t>2008</w:t>
      </w:r>
      <w:r w:rsidR="001F3595" w:rsidRPr="001F3595">
        <w:rPr>
          <w:b/>
          <w:bCs/>
          <w:rtl/>
        </w:rPr>
        <w:t>-</w:t>
      </w:r>
      <w:r w:rsidR="001F3595" w:rsidRPr="00D44742">
        <w:rPr>
          <w:b/>
          <w:bCs/>
          <w:rtl/>
        </w:rPr>
        <w:t>008</w:t>
      </w:r>
      <w:r w:rsidR="001F3595" w:rsidRPr="001F3595">
        <w:rPr>
          <w:b/>
          <w:bCs/>
          <w:rtl/>
        </w:rPr>
        <w:t xml:space="preserve"> في القانون الجنائي وقانون الإجراءات الجنائية؛</w:t>
      </w:r>
      <w:r w:rsidR="001F3595" w:rsidRPr="001F3595">
        <w:rPr>
          <w:bCs/>
          <w:rtl/>
        </w:rPr>
        <w:t xml:space="preserve"> </w:t>
      </w:r>
      <w:r w:rsidR="001F3595" w:rsidRPr="001F3595">
        <w:rPr>
          <w:b/>
          <w:bCs/>
          <w:rtl/>
        </w:rPr>
        <w:t>و(ج) ضمان إجراء تحقيقات شاملة في ادعاءات حالات التعذيب وسوء المعاملة التي ارتكبتها قوات الشرطة والأمن والحرص على مقاضاة المسؤولين عن تلك الأفعال ومعاقبتهم بعقوبات تتناسب مع أفعالهم إذا ثبت أنهم مذنبون؛</w:t>
      </w:r>
      <w:r w:rsidR="001F3595" w:rsidRPr="001F3595">
        <w:rPr>
          <w:bCs/>
          <w:rtl/>
        </w:rPr>
        <w:t xml:space="preserve"> </w:t>
      </w:r>
      <w:r w:rsidR="001F3595" w:rsidRPr="001F3595">
        <w:rPr>
          <w:b/>
          <w:bCs/>
          <w:rtl/>
        </w:rPr>
        <w:t>و(د) ضمان حصول الضحايا على التعويض الملائم واقتراح تدابير لإعادة تأهيلهم؛</w:t>
      </w:r>
      <w:r w:rsidR="001F3595" w:rsidRPr="001F3595">
        <w:rPr>
          <w:bCs/>
          <w:rtl/>
        </w:rPr>
        <w:t xml:space="preserve"> </w:t>
      </w:r>
      <w:r w:rsidR="001F3595" w:rsidRPr="001F3595">
        <w:rPr>
          <w:b/>
          <w:bCs/>
          <w:rtl/>
        </w:rPr>
        <w:t>و(ه) إنشاء آلية مستقلة مكلفة بالتحقيق في الشكاوى المتعلقة بحالات التعذيب وسوء المعاملة التي يرتكبها أفراد قوات الشرطة والأمن.</w:t>
      </w:r>
    </w:p>
    <w:p w14:paraId="17942BC8" w14:textId="77777777" w:rsidR="001F3595" w:rsidRPr="001F3595" w:rsidRDefault="001F3595" w:rsidP="004C2EFA">
      <w:pPr>
        <w:pStyle w:val="H23GA"/>
        <w:rPr>
          <w:lang w:val="ar-SA" w:eastAsia="zh-TW" w:bidi="en-GB"/>
        </w:rPr>
      </w:pPr>
      <w:r w:rsidRPr="001F3595">
        <w:rPr>
          <w:rtl/>
        </w:rPr>
        <w:tab/>
      </w:r>
      <w:r w:rsidRPr="001F3595">
        <w:rPr>
          <w:rtl/>
        </w:rPr>
        <w:tab/>
        <w:t>ملخص ردّ الدولة الطرف</w:t>
      </w:r>
    </w:p>
    <w:p w14:paraId="2A604BA8" w14:textId="499C4E0E" w:rsidR="001F3595" w:rsidRPr="001F3595" w:rsidRDefault="004C2EFA" w:rsidP="001F3595">
      <w:pPr>
        <w:pStyle w:val="SingleTxtGA"/>
        <w:rPr>
          <w:b/>
          <w:lang w:val="ar-SA" w:eastAsia="zh-TW" w:bidi="en-GB"/>
        </w:rPr>
      </w:pPr>
      <w:r>
        <w:rPr>
          <w:b/>
          <w:rtl/>
        </w:rPr>
        <w:tab/>
      </w:r>
      <w:r w:rsidR="001F3595" w:rsidRPr="001F3595">
        <w:rPr>
          <w:b/>
          <w:rtl/>
        </w:rPr>
        <w:t>(أ)</w:t>
      </w:r>
      <w:r w:rsidR="001F3595" w:rsidRPr="001F3595">
        <w:rPr>
          <w:b/>
          <w:rtl/>
        </w:rPr>
        <w:tab/>
        <w:t xml:space="preserve">يجري حالياً الانتهاء من تعديل القانون رقم </w:t>
      </w:r>
      <w:r w:rsidR="001F3595" w:rsidRPr="00D44742">
        <w:rPr>
          <w:b/>
          <w:rtl/>
        </w:rPr>
        <w:t>2008</w:t>
      </w:r>
      <w:r w:rsidR="001F3595" w:rsidRPr="001F3595">
        <w:rPr>
          <w:b/>
          <w:rtl/>
        </w:rPr>
        <w:t>-</w:t>
      </w:r>
      <w:r w:rsidR="001F3595" w:rsidRPr="00D44742">
        <w:rPr>
          <w:b/>
          <w:rtl/>
        </w:rPr>
        <w:t>008</w:t>
      </w:r>
      <w:r w:rsidR="001F3595" w:rsidRPr="001F3595">
        <w:rPr>
          <w:b/>
          <w:rtl/>
        </w:rPr>
        <w:t xml:space="preserve"> الذي يحظر التعذيب وغيره من ضروب المعاملة أو العقوبة القاسية أو اللاإنسانية أو المهينة؛ </w:t>
      </w:r>
    </w:p>
    <w:p w14:paraId="4B43481E" w14:textId="0C6B3AB1" w:rsidR="001F3595" w:rsidRPr="0078681F" w:rsidRDefault="004C2EFA" w:rsidP="001F3595">
      <w:pPr>
        <w:pStyle w:val="SingleTxtGA"/>
        <w:rPr>
          <w:b/>
          <w:lang w:val="en-US" w:eastAsia="zh-TW" w:bidi="en-GB"/>
        </w:rPr>
      </w:pPr>
      <w:r>
        <w:rPr>
          <w:b/>
          <w:rtl/>
        </w:rPr>
        <w:tab/>
      </w:r>
      <w:r w:rsidR="001F3595" w:rsidRPr="001F3595">
        <w:rPr>
          <w:b/>
          <w:rtl/>
        </w:rPr>
        <w:t>(ب)</w:t>
      </w:r>
      <w:r w:rsidR="001F3595" w:rsidRPr="001F3595">
        <w:rPr>
          <w:b/>
          <w:rtl/>
        </w:rPr>
        <w:tab/>
        <w:t xml:space="preserve">لن تدرج أحكام هذا القانون في القانون الجنائي. ولكن جرى تعديل بعض أحكام قانون الإجراءات الجنائية واستكمالها بالقانون رقم </w:t>
      </w:r>
      <w:r w:rsidR="001F3595" w:rsidRPr="00D44742">
        <w:rPr>
          <w:b/>
          <w:rtl/>
        </w:rPr>
        <w:t>2016</w:t>
      </w:r>
      <w:r w:rsidR="001F3595" w:rsidRPr="001F3595">
        <w:rPr>
          <w:b/>
          <w:rtl/>
        </w:rPr>
        <w:t>-</w:t>
      </w:r>
      <w:r w:rsidR="001F3595" w:rsidRPr="00D44742">
        <w:rPr>
          <w:b/>
          <w:rtl/>
        </w:rPr>
        <w:t>017</w:t>
      </w:r>
      <w:r w:rsidR="001F3595" w:rsidRPr="001F3595">
        <w:rPr>
          <w:b/>
          <w:rtl/>
        </w:rPr>
        <w:t xml:space="preserve"> من أجل تيسير تنفيذ القانون الجنائي، بما في ذلك القوانين المناهضة للتعذيب؛</w:t>
      </w:r>
    </w:p>
    <w:p w14:paraId="6F3289CD" w14:textId="08B75658" w:rsidR="001F3595" w:rsidRPr="0078681F" w:rsidRDefault="004C2EFA" w:rsidP="001F3595">
      <w:pPr>
        <w:pStyle w:val="SingleTxtGA"/>
        <w:rPr>
          <w:lang w:val="en-US" w:eastAsia="zh-TW" w:bidi="en-GB"/>
        </w:rPr>
      </w:pPr>
      <w:r>
        <w:rPr>
          <w:rtl/>
        </w:rPr>
        <w:tab/>
      </w:r>
      <w:r w:rsidR="001F3595" w:rsidRPr="001F3595">
        <w:rPr>
          <w:rtl/>
        </w:rPr>
        <w:t>(ج)</w:t>
      </w:r>
      <w:r w:rsidR="001F3595" w:rsidRPr="001F3595">
        <w:rPr>
          <w:rtl/>
        </w:rPr>
        <w:tab/>
        <w:t xml:space="preserve">جرى في العاصمة، بالتعاون مع رابطة منع التعذيب التي تتخذ من جنيف مقراً لها، تنظيم أنشطة لتوعية القضاة وضباط الشرطة القضائية ترمي إلى تحسين تنفيذ الضمانات الإجرائية أثناء الاحتجاز لدى الشرطة. وفي عامي </w:t>
      </w:r>
      <w:r w:rsidR="001F3595" w:rsidRPr="00D44742">
        <w:rPr>
          <w:rtl/>
        </w:rPr>
        <w:t>2017</w:t>
      </w:r>
      <w:r w:rsidR="001F3595" w:rsidRPr="001F3595">
        <w:rPr>
          <w:rtl/>
        </w:rPr>
        <w:t xml:space="preserve"> و</w:t>
      </w:r>
      <w:r w:rsidR="001F3595" w:rsidRPr="00D44742">
        <w:rPr>
          <w:rtl/>
        </w:rPr>
        <w:t>2018</w:t>
      </w:r>
      <w:r w:rsidR="001F3595" w:rsidRPr="001F3595">
        <w:rPr>
          <w:rtl/>
        </w:rPr>
        <w:t>، تلقى أفراد من قوات الدفاع والأمن في المناطق الاثنتين والعشرين، بالشراكة مع برنامج الأمم المتحدة الإنمائي ومفوضية الأمم المتحدة السامية لحقوق الإنسان، تدريباً في مجال حقوق الإنسان يشمل حظر التعذيب وسوء المعاملة؛</w:t>
      </w:r>
    </w:p>
    <w:p w14:paraId="00DD74B0" w14:textId="7C7830BA" w:rsidR="001F3595" w:rsidRPr="001F3595" w:rsidRDefault="004C2EFA" w:rsidP="001F3595">
      <w:pPr>
        <w:pStyle w:val="SingleTxtGA"/>
        <w:rPr>
          <w:b/>
          <w:lang w:val="ar-SA" w:eastAsia="zh-TW" w:bidi="en-GB"/>
        </w:rPr>
      </w:pPr>
      <w:r>
        <w:rPr>
          <w:b/>
          <w:rtl/>
        </w:rPr>
        <w:tab/>
      </w:r>
      <w:r w:rsidR="001F3595" w:rsidRPr="001F3595">
        <w:rPr>
          <w:b/>
          <w:rtl/>
        </w:rPr>
        <w:t>(د)</w:t>
      </w:r>
      <w:r w:rsidR="001F3595" w:rsidRPr="001F3595">
        <w:rPr>
          <w:b/>
          <w:rtl/>
        </w:rPr>
        <w:tab/>
        <w:t>لا تتوافر بعد معلومات بشأن التعويضات الواجب منحها لضحايا التعذيب؛</w:t>
      </w:r>
    </w:p>
    <w:p w14:paraId="4AD2371D" w14:textId="45095554" w:rsidR="001F3595" w:rsidRPr="00533E45" w:rsidRDefault="004C2EFA" w:rsidP="001F3595">
      <w:pPr>
        <w:pStyle w:val="SingleTxtGA"/>
        <w:rPr>
          <w:color w:val="000000" w:themeColor="text1"/>
          <w:lang w:val="en-US" w:eastAsia="zh-TW" w:bidi="en-GB"/>
        </w:rPr>
      </w:pPr>
      <w:r>
        <w:rPr>
          <w:rtl/>
        </w:rPr>
        <w:tab/>
      </w:r>
      <w:r w:rsidR="001F3595" w:rsidRPr="001F3595">
        <w:rPr>
          <w:rtl/>
        </w:rPr>
        <w:t>(هـ)</w:t>
      </w:r>
      <w:r w:rsidR="001F3595" w:rsidRPr="001F3595">
        <w:rPr>
          <w:rtl/>
        </w:rPr>
        <w:tab/>
        <w:t xml:space="preserve">إن اللجنة الوطنية المستقلة المعنية بحقوق الإنسان آلية مستقلة مخولة بالتحقيق في ادعاءات التعذيب أو سوء المعاملة التي يرتكبها أفراد الشرطة أو قوات الأمن. ومن أجل تعزيز دور اللجنة </w:t>
      </w:r>
      <w:r w:rsidR="001F3595" w:rsidRPr="001F3595">
        <w:rPr>
          <w:rtl/>
        </w:rPr>
        <w:lastRenderedPageBreak/>
        <w:t xml:space="preserve">في هذا المجال، ينص القانون رقم </w:t>
      </w:r>
      <w:r w:rsidR="001F3595" w:rsidRPr="00D44742">
        <w:rPr>
          <w:rtl/>
        </w:rPr>
        <w:t>2018</w:t>
      </w:r>
      <w:r w:rsidR="001F3595" w:rsidRPr="001F3595">
        <w:rPr>
          <w:rtl/>
        </w:rPr>
        <w:t>-</w:t>
      </w:r>
      <w:r w:rsidR="001F3595" w:rsidRPr="00D44742">
        <w:rPr>
          <w:rtl/>
        </w:rPr>
        <w:t>028</w:t>
      </w:r>
      <w:r w:rsidR="001F3595" w:rsidRPr="001F3595">
        <w:rPr>
          <w:rtl/>
        </w:rPr>
        <w:t xml:space="preserve"> (</w:t>
      </w:r>
      <w:r w:rsidR="001F3595" w:rsidRPr="00D44742">
        <w:rPr>
          <w:rtl/>
        </w:rPr>
        <w:t>2019</w:t>
      </w:r>
      <w:r w:rsidR="001F3595" w:rsidRPr="001F3595">
        <w:rPr>
          <w:rtl/>
        </w:rPr>
        <w:t>) على تعيين اللجنة بوصفها الآلية الوقائية الوطنية المسؤولة عن القيام بزيارات غير معلنة إلى أماكن الاحتجاز، وفق</w:t>
      </w:r>
      <w:r w:rsidR="00533E45">
        <w:rPr>
          <w:rtl/>
        </w:rPr>
        <w:t xml:space="preserve">اً </w:t>
      </w:r>
      <w:r w:rsidR="001F3595" w:rsidRPr="001F3595">
        <w:rPr>
          <w:rtl/>
        </w:rPr>
        <w:t xml:space="preserve">للبروتوكول الاختياري لاتفاقية مناهضة التعذيب وغيره من ضروب المعاملة أو العقوبة القاسية أو اللاإنسانية أو المهينة، الذي جرى التصديق عليه في عام </w:t>
      </w:r>
      <w:r w:rsidR="001F3595" w:rsidRPr="00D44742">
        <w:rPr>
          <w:rtl/>
        </w:rPr>
        <w:t>2017</w:t>
      </w:r>
      <w:r w:rsidR="001F3595" w:rsidRPr="001F3595">
        <w:rPr>
          <w:rtl/>
        </w:rPr>
        <w:t>.</w:t>
      </w:r>
    </w:p>
    <w:p w14:paraId="7D992FB2" w14:textId="77777777" w:rsidR="001F3595" w:rsidRPr="001F3595" w:rsidRDefault="001F3595" w:rsidP="004C2EFA">
      <w:pPr>
        <w:pStyle w:val="H23GA"/>
        <w:rPr>
          <w:lang w:val="ar-SA" w:eastAsia="zh-TW" w:bidi="en-GB"/>
        </w:rPr>
      </w:pPr>
      <w:r w:rsidRPr="001F3595">
        <w:rPr>
          <w:rtl/>
        </w:rPr>
        <w:tab/>
      </w:r>
      <w:r w:rsidRPr="001F3595">
        <w:rPr>
          <w:rtl/>
        </w:rPr>
        <w:tab/>
        <w:t>تقييم اللجنة</w:t>
      </w:r>
    </w:p>
    <w:p w14:paraId="78C7B500" w14:textId="77777777" w:rsidR="001F3595" w:rsidRPr="001F3595" w:rsidRDefault="001F3595" w:rsidP="001F3595">
      <w:pPr>
        <w:pStyle w:val="SingleTxtGA"/>
        <w:rPr>
          <w:lang w:val="ar-SA" w:eastAsia="zh-TW" w:bidi="en-GB"/>
        </w:rPr>
      </w:pPr>
      <w:r w:rsidRPr="001F3595">
        <w:rPr>
          <w:b/>
          <w:bCs/>
          <w:rtl/>
        </w:rPr>
        <w:t>[باء]</w:t>
      </w:r>
      <w:r w:rsidRPr="001F3595">
        <w:rPr>
          <w:rtl/>
        </w:rPr>
        <w:t xml:space="preserve">: (أ)، و(ج)، (ه) </w:t>
      </w:r>
    </w:p>
    <w:p w14:paraId="2077AC3A" w14:textId="395C3DB0" w:rsidR="001F3595" w:rsidRPr="001F3595" w:rsidRDefault="000D31B3" w:rsidP="001F3595">
      <w:pPr>
        <w:pStyle w:val="SingleTxtGA"/>
        <w:rPr>
          <w:lang w:val="ar-SA" w:eastAsia="zh-TW" w:bidi="en-GB"/>
        </w:rPr>
      </w:pPr>
      <w:r>
        <w:rPr>
          <w:rtl/>
        </w:rPr>
        <w:tab/>
      </w:r>
      <w:r w:rsidR="001F3595" w:rsidRPr="001F3595">
        <w:rPr>
          <w:rtl/>
        </w:rPr>
        <w:t xml:space="preserve">ترحب اللجنة بالمعلومات المقدمة التي تفيد بإتمام تعديل القانون رقم </w:t>
      </w:r>
      <w:r w:rsidR="001F3595" w:rsidRPr="00D44742">
        <w:rPr>
          <w:rtl/>
        </w:rPr>
        <w:t>2008</w:t>
      </w:r>
      <w:r w:rsidR="001F3595" w:rsidRPr="001F3595">
        <w:rPr>
          <w:rtl/>
        </w:rPr>
        <w:t>-</w:t>
      </w:r>
      <w:r w:rsidR="001F3595" w:rsidRPr="00D44742">
        <w:rPr>
          <w:rtl/>
        </w:rPr>
        <w:t>008</w:t>
      </w:r>
      <w:r w:rsidR="001F3595" w:rsidRPr="001F3595">
        <w:rPr>
          <w:rtl/>
        </w:rPr>
        <w:t xml:space="preserve"> الصادر في</w:t>
      </w:r>
      <w:r>
        <w:rPr>
          <w:rFonts w:hint="cs"/>
          <w:rtl/>
        </w:rPr>
        <w:t> </w:t>
      </w:r>
      <w:r w:rsidR="001F3595" w:rsidRPr="00D44742">
        <w:rPr>
          <w:rtl/>
        </w:rPr>
        <w:t>25</w:t>
      </w:r>
      <w:r w:rsidR="001F3595" w:rsidRPr="001F3595">
        <w:rPr>
          <w:rtl/>
        </w:rPr>
        <w:t xml:space="preserve"> حزيران/</w:t>
      </w:r>
      <w:proofErr w:type="gramStart"/>
      <w:r w:rsidR="001F3595" w:rsidRPr="001F3595">
        <w:rPr>
          <w:rtl/>
        </w:rPr>
        <w:t>يونيه</w:t>
      </w:r>
      <w:proofErr w:type="gramEnd"/>
      <w:r w:rsidR="001F3595" w:rsidRPr="001F3595">
        <w:rPr>
          <w:rtl/>
        </w:rPr>
        <w:t xml:space="preserve"> </w:t>
      </w:r>
      <w:r w:rsidR="001F3595" w:rsidRPr="00D44742">
        <w:rPr>
          <w:rtl/>
        </w:rPr>
        <w:t>2008</w:t>
      </w:r>
      <w:r w:rsidR="001F3595" w:rsidRPr="001F3595">
        <w:rPr>
          <w:rtl/>
        </w:rPr>
        <w:t xml:space="preserve"> الذي يحظر التعذيب وغيره من ضروب المعاملة أو العقوبة القاسية أو</w:t>
      </w:r>
      <w:r w:rsidR="0078681F">
        <w:rPr>
          <w:rFonts w:hint="cs"/>
          <w:rtl/>
        </w:rPr>
        <w:t> </w:t>
      </w:r>
      <w:r w:rsidR="001F3595" w:rsidRPr="001F3595">
        <w:rPr>
          <w:rtl/>
        </w:rPr>
        <w:t xml:space="preserve">اللاإنسانية أو المهينة. وتطلب معلومات عن محتوى التعديل، بما في ذلك ما إذا كان يمتثل لتوصية اللجنة وما إذا كان قد اعتمد. </w:t>
      </w:r>
    </w:p>
    <w:p w14:paraId="2A16DDDA" w14:textId="4F025B3A" w:rsidR="001F3595" w:rsidRPr="001F3595" w:rsidRDefault="004C2EFA" w:rsidP="001F3595">
      <w:pPr>
        <w:pStyle w:val="SingleTxtGA"/>
        <w:rPr>
          <w:lang w:val="ar-SA" w:eastAsia="zh-TW" w:bidi="en-GB"/>
        </w:rPr>
      </w:pPr>
      <w:r>
        <w:rPr>
          <w:rtl/>
        </w:rPr>
        <w:tab/>
      </w:r>
      <w:r w:rsidR="001F3595" w:rsidRPr="001F3595">
        <w:rPr>
          <w:rtl/>
        </w:rPr>
        <w:t xml:space="preserve">وترحب اللجنة بالمعلومات المقدمة بشأن التدريب الذي أجري. وتطلب معلومات عما اتُّخذ، منذ اعتماد اللجنة ملاحظاتها الختامية، من تدابير تضمن إجراء تحقيقات شاملة في ادعاءات حالات التعذيب وسوء المعاملة التي ارتكبتها قوات الشرطة والأمن، ومقاضاة المسؤولين المزعومين عن تلك الأفعال ومعاقبتهم بعقوبات تتناسب مع أفعالهم إذا ثبت أنهم مذنبون. </w:t>
      </w:r>
    </w:p>
    <w:p w14:paraId="4A49B130" w14:textId="2AA52DDA" w:rsidR="001F3595" w:rsidRPr="00533E45" w:rsidRDefault="004C2EFA" w:rsidP="001F3595">
      <w:pPr>
        <w:pStyle w:val="SingleTxtGA"/>
        <w:rPr>
          <w:lang w:val="en-US" w:eastAsia="zh-TW" w:bidi="en-GB"/>
        </w:rPr>
      </w:pPr>
      <w:r>
        <w:rPr>
          <w:rtl/>
        </w:rPr>
        <w:tab/>
      </w:r>
      <w:r w:rsidR="001F3595" w:rsidRPr="001F3595">
        <w:rPr>
          <w:rtl/>
        </w:rPr>
        <w:t xml:space="preserve">وترحب اللجنة بالقانون رقم </w:t>
      </w:r>
      <w:r w:rsidR="001F3595" w:rsidRPr="00D44742">
        <w:rPr>
          <w:rtl/>
        </w:rPr>
        <w:t>2018</w:t>
      </w:r>
      <w:r w:rsidR="001F3595" w:rsidRPr="001F3595">
        <w:rPr>
          <w:rtl/>
        </w:rPr>
        <w:t>-</w:t>
      </w:r>
      <w:r w:rsidR="001F3595" w:rsidRPr="00D44742">
        <w:rPr>
          <w:rtl/>
        </w:rPr>
        <w:t>028</w:t>
      </w:r>
      <w:r w:rsidR="001F3595" w:rsidRPr="001F3595">
        <w:rPr>
          <w:rtl/>
        </w:rPr>
        <w:t xml:space="preserve"> لعام </w:t>
      </w:r>
      <w:r w:rsidR="001F3595" w:rsidRPr="00D44742">
        <w:rPr>
          <w:rtl/>
        </w:rPr>
        <w:t>2019</w:t>
      </w:r>
      <w:r w:rsidR="001F3595" w:rsidRPr="001F3595">
        <w:rPr>
          <w:rtl/>
        </w:rPr>
        <w:t>، الذي ينص على تعيين اللجنة الوطنية المستقلة المعنية بحقوق الإنسان بوصفها الآلية الوقائية الوطنية المسؤولة عن القيام بزيارات غير معلنة إلى أماكن الاحتجاز، وفقاً للبروتوكول الاختياري لاتفاقية مناهضة التعذيب وغيره من ضروب المعاملة أو</w:t>
      </w:r>
      <w:r w:rsidR="0078681F">
        <w:rPr>
          <w:rFonts w:hint="cs"/>
          <w:rtl/>
        </w:rPr>
        <w:t> </w:t>
      </w:r>
      <w:r w:rsidR="001F3595" w:rsidRPr="001F3595">
        <w:rPr>
          <w:rtl/>
        </w:rPr>
        <w:t>العقوبة القاسية أو اللاإنسانية أو المهينة. كما تحيط علماً بالمعلومات التي تفيد بأن اللجنة الوطنية المستقلة المعنية بحقوق الإنسان هي آلية مستقلة مخولة بالتحقيق في ادعاءات التعذيب أو سوء المعاملة التي يرتكبها أفراد الشرطة أو قوات الأمن. وتطلب اللجنة مزيد</w:t>
      </w:r>
      <w:r w:rsidR="00533E45">
        <w:rPr>
          <w:rtl/>
        </w:rPr>
        <w:t xml:space="preserve">اً </w:t>
      </w:r>
      <w:r w:rsidR="001F3595" w:rsidRPr="001F3595">
        <w:rPr>
          <w:rtl/>
        </w:rPr>
        <w:t xml:space="preserve">من المعلومات بشأن التحقيقات التي تجريها اللجنة الوطنية المستقلة المعنية بحقوق الإنسان. </w:t>
      </w:r>
    </w:p>
    <w:p w14:paraId="081F52BC" w14:textId="77777777" w:rsidR="001F3595" w:rsidRPr="001F3595" w:rsidRDefault="001F3595" w:rsidP="001F3595">
      <w:pPr>
        <w:pStyle w:val="SingleTxtGA"/>
        <w:rPr>
          <w:lang w:val="ar-SA" w:eastAsia="zh-TW" w:bidi="en-GB"/>
        </w:rPr>
      </w:pPr>
      <w:r w:rsidRPr="001F3595">
        <w:rPr>
          <w:b/>
          <w:bCs/>
          <w:rtl/>
        </w:rPr>
        <w:t>[جيم]</w:t>
      </w:r>
      <w:r w:rsidRPr="001F3595">
        <w:rPr>
          <w:rtl/>
        </w:rPr>
        <w:t xml:space="preserve">: (ب)، و(د) </w:t>
      </w:r>
    </w:p>
    <w:p w14:paraId="34B5B709" w14:textId="4FD4EDD3" w:rsidR="001F3595" w:rsidRPr="001F3595" w:rsidRDefault="004C2EFA" w:rsidP="001F3595">
      <w:pPr>
        <w:pStyle w:val="SingleTxtGA"/>
        <w:rPr>
          <w:lang w:val="ar-SA" w:eastAsia="zh-TW" w:bidi="en-GB"/>
        </w:rPr>
      </w:pPr>
      <w:r>
        <w:rPr>
          <w:rtl/>
        </w:rPr>
        <w:tab/>
      </w:r>
      <w:r w:rsidR="001F3595" w:rsidRPr="001F3595">
        <w:rPr>
          <w:rtl/>
        </w:rPr>
        <w:t xml:space="preserve">تحيط اللجنة علماً بالمعلومات التي قدمتها الدولة الطرف، ولكنها تطلب معلومات عمّا اتُّخذ منذ اعتماد اللجنة لملاحظاتها الختامية من تدابير تضمن تنفيذ الأحكام الجديدة للقانون رقم </w:t>
      </w:r>
      <w:r w:rsidR="001F3595" w:rsidRPr="00D44742">
        <w:rPr>
          <w:rtl/>
        </w:rPr>
        <w:t>2008</w:t>
      </w:r>
      <w:r w:rsidR="001F3595" w:rsidRPr="001F3595">
        <w:rPr>
          <w:rtl/>
        </w:rPr>
        <w:t>-</w:t>
      </w:r>
      <w:r w:rsidR="001F3595" w:rsidRPr="00D44742">
        <w:rPr>
          <w:rtl/>
        </w:rPr>
        <w:t>008</w:t>
      </w:r>
      <w:r w:rsidR="001F3595" w:rsidRPr="001F3595">
        <w:rPr>
          <w:rtl/>
        </w:rPr>
        <w:t xml:space="preserve"> وعدم تعارضها مع القانون الجنائي وقانون الإجراءات الجنائية. </w:t>
      </w:r>
    </w:p>
    <w:p w14:paraId="3A3BABB6" w14:textId="36B494DD" w:rsidR="001F3595" w:rsidRPr="001F3595" w:rsidRDefault="004C2EFA" w:rsidP="001F3595">
      <w:pPr>
        <w:pStyle w:val="SingleTxtGA"/>
        <w:rPr>
          <w:lang w:val="ar-SA" w:eastAsia="zh-TW" w:bidi="en-GB"/>
        </w:rPr>
      </w:pPr>
      <w:r>
        <w:rPr>
          <w:rtl/>
        </w:rPr>
        <w:tab/>
      </w:r>
      <w:r w:rsidR="001F3595" w:rsidRPr="001F3595">
        <w:rPr>
          <w:rtl/>
        </w:rPr>
        <w:t>وتأسف اللجنة لأن الدولة الطرف لم تقدم معلومات عن التدابير المتخذة لضمان حصول الضحايا على التعويض الملائم وتلقيهم خدمات إعادة التأهيل. وتكرر اللجنة توصياتها.</w:t>
      </w:r>
    </w:p>
    <w:p w14:paraId="1E373DFC" w14:textId="77777777" w:rsidR="001F3595" w:rsidRPr="00C27B19" w:rsidRDefault="001F3595" w:rsidP="001F3595">
      <w:pPr>
        <w:pStyle w:val="SingleTxtGA"/>
        <w:rPr>
          <w:lang w:val="en-US" w:eastAsia="zh-TW" w:bidi="en-GB"/>
        </w:rPr>
      </w:pPr>
      <w:r w:rsidRPr="001F3595">
        <w:rPr>
          <w:b/>
          <w:bCs/>
          <w:rtl/>
        </w:rPr>
        <w:t xml:space="preserve">الإجراء </w:t>
      </w:r>
      <w:proofErr w:type="spellStart"/>
      <w:r w:rsidRPr="001F3595">
        <w:rPr>
          <w:b/>
          <w:bCs/>
          <w:rtl/>
        </w:rPr>
        <w:t>الموصى</w:t>
      </w:r>
      <w:proofErr w:type="spellEnd"/>
      <w:r w:rsidRPr="001F3595">
        <w:rPr>
          <w:b/>
          <w:bCs/>
          <w:rtl/>
        </w:rPr>
        <w:t xml:space="preserve"> به</w:t>
      </w:r>
      <w:r w:rsidRPr="001F3595">
        <w:rPr>
          <w:rtl/>
        </w:rPr>
        <w:t>: ينبغي توجيه رسالة إلى الدولة الطرف لإبلاغها بوقف إجراء المتابعة. وينبغي إدراج المعلومات المطلوبة في التقرير الدوري المقبل للدولة الطرف.</w:t>
      </w:r>
      <w:bookmarkStart w:id="0" w:name="_Toc506807563"/>
    </w:p>
    <w:p w14:paraId="4851B05B" w14:textId="77777777" w:rsidR="001F3595" w:rsidRPr="001F3595" w:rsidRDefault="001F3595" w:rsidP="001F3595">
      <w:pPr>
        <w:pStyle w:val="SingleTxtGA"/>
        <w:rPr>
          <w:lang w:val="ar-SA" w:eastAsia="zh-TW" w:bidi="en-GB"/>
        </w:rPr>
      </w:pPr>
      <w:r w:rsidRPr="001F3595">
        <w:rPr>
          <w:b/>
          <w:bCs/>
          <w:rtl/>
        </w:rPr>
        <w:t>التاريخ المقرر للتقرير ال</w:t>
      </w:r>
      <w:bookmarkStart w:id="1" w:name="_GoBack"/>
      <w:bookmarkEnd w:id="1"/>
      <w:r w:rsidRPr="001F3595">
        <w:rPr>
          <w:b/>
          <w:bCs/>
          <w:rtl/>
        </w:rPr>
        <w:t>دوري المقبل</w:t>
      </w:r>
      <w:r w:rsidRPr="001F3595">
        <w:t>:</w:t>
      </w:r>
      <w:r w:rsidRPr="001F3595">
        <w:rPr>
          <w:rtl/>
        </w:rPr>
        <w:t xml:space="preserve"> </w:t>
      </w:r>
      <w:r w:rsidRPr="00D44742">
        <w:rPr>
          <w:rtl/>
        </w:rPr>
        <w:t>28</w:t>
      </w:r>
      <w:r w:rsidRPr="001F3595">
        <w:rPr>
          <w:rtl/>
        </w:rPr>
        <w:t xml:space="preserve"> تموز/يوليه </w:t>
      </w:r>
      <w:r w:rsidRPr="00D44742">
        <w:rPr>
          <w:rtl/>
        </w:rPr>
        <w:t>2021</w:t>
      </w:r>
      <w:r w:rsidRPr="001F3595">
        <w:rPr>
          <w:rtl/>
        </w:rPr>
        <w:t>.</w:t>
      </w:r>
      <w:bookmarkEnd w:id="0"/>
    </w:p>
    <w:p w14:paraId="7E676BE1" w14:textId="60A29C2F" w:rsidR="004C2EFA" w:rsidRPr="004C2EFA" w:rsidRDefault="004C2EFA" w:rsidP="004C2EFA">
      <w:pPr>
        <w:pStyle w:val="SingleTxtGA"/>
        <w:jc w:val="center"/>
        <w:rPr>
          <w:u w:val="single"/>
          <w:rtl/>
        </w:rPr>
      </w:pPr>
      <w:r>
        <w:rPr>
          <w:u w:val="single"/>
          <w:rtl/>
        </w:rPr>
        <w:tab/>
      </w:r>
      <w:r>
        <w:rPr>
          <w:u w:val="single"/>
          <w:rtl/>
        </w:rPr>
        <w:tab/>
      </w:r>
      <w:r>
        <w:rPr>
          <w:u w:val="single"/>
          <w:rtl/>
        </w:rPr>
        <w:tab/>
      </w:r>
    </w:p>
    <w:sectPr w:rsidR="004C2EFA" w:rsidRPr="004C2EFA" w:rsidSect="00002F57">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8F8B43" w14:textId="77777777" w:rsidR="005B07CB" w:rsidRPr="002901D9" w:rsidRDefault="005B07CB" w:rsidP="00DC4D4B">
      <w:pPr>
        <w:spacing w:after="60" w:line="240" w:lineRule="auto"/>
        <w:ind w:left="57"/>
        <w:rPr>
          <w:i/>
          <w:iCs/>
        </w:rPr>
      </w:pPr>
      <w:r>
        <w:rPr>
          <w:rFonts w:hint="cs"/>
          <w:i/>
          <w:iCs/>
          <w:rtl/>
        </w:rPr>
        <w:t>الحواشي</w:t>
      </w:r>
    </w:p>
  </w:endnote>
  <w:endnote w:type="continuationSeparator" w:id="0">
    <w:p w14:paraId="5A33DD08" w14:textId="77777777" w:rsidR="005B07CB" w:rsidRDefault="005B07C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60C67C" w14:textId="77777777" w:rsidR="005D73AF" w:rsidRPr="005D73AF" w:rsidRDefault="005D73AF" w:rsidP="005D73AF">
    <w:pPr>
      <w:pStyle w:val="Footer"/>
      <w:tabs>
        <w:tab w:val="right" w:pos="9638"/>
      </w:tabs>
      <w:rPr>
        <w:b/>
        <w:sz w:val="18"/>
        <w:lang w:val="en-US"/>
      </w:rPr>
    </w:pPr>
    <w:r>
      <w:rPr>
        <w:lang w:val="en-US"/>
      </w:rPr>
      <w:t>GE.</w:t>
    </w:r>
    <w:r w:rsidRPr="00D44742">
      <w:rPr>
        <w:lang w:val="en-US"/>
      </w:rPr>
      <w:t>21</w:t>
    </w:r>
    <w:r>
      <w:rPr>
        <w:lang w:val="en-US"/>
      </w:rPr>
      <w:t>-</w:t>
    </w:r>
    <w:r w:rsidRPr="00D44742">
      <w:rPr>
        <w:lang w:val="en-US"/>
      </w:rPr>
      <w:t>02127</w:t>
    </w:r>
    <w:r>
      <w:rPr>
        <w:lang w:val="en-US"/>
      </w:rPr>
      <w:tab/>
    </w:r>
    <w:r w:rsidRPr="005D73AF">
      <w:rPr>
        <w:b/>
        <w:sz w:val="18"/>
        <w:lang w:val="en-US"/>
      </w:rPr>
      <w:fldChar w:fldCharType="begin"/>
    </w:r>
    <w:r w:rsidRPr="005D73AF">
      <w:rPr>
        <w:b/>
        <w:sz w:val="18"/>
        <w:lang w:val="en-US"/>
      </w:rPr>
      <w:instrText xml:space="preserve"> PAGE  \* MERGEFORMAT </w:instrText>
    </w:r>
    <w:r w:rsidRPr="005D73AF">
      <w:rPr>
        <w:b/>
        <w:sz w:val="18"/>
        <w:lang w:val="en-US"/>
      </w:rPr>
      <w:fldChar w:fldCharType="separate"/>
    </w:r>
    <w:r w:rsidRPr="00D44742">
      <w:rPr>
        <w:b/>
        <w:noProof/>
        <w:sz w:val="18"/>
        <w:lang w:val="en-US"/>
      </w:rPr>
      <w:t>2</w:t>
    </w:r>
    <w:r w:rsidRPr="005D73A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2E6C9D" w14:textId="77777777" w:rsidR="006959B0" w:rsidRPr="005D73AF" w:rsidRDefault="005D73AF" w:rsidP="005D73A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sidRPr="00D44742">
      <w:rPr>
        <w:b/>
        <w:noProof/>
        <w:sz w:val="18"/>
        <w:lang w:val="en-US"/>
      </w:rPr>
      <w:t>3</w:t>
    </w:r>
    <w:r>
      <w:rPr>
        <w:b/>
        <w:sz w:val="18"/>
        <w:lang w:val="en-US"/>
      </w:rPr>
      <w:fldChar w:fldCharType="end"/>
    </w:r>
    <w:r>
      <w:rPr>
        <w:b/>
        <w:sz w:val="18"/>
        <w:lang w:val="en-US"/>
      </w:rPr>
      <w:tab/>
    </w:r>
    <w:r>
      <w:rPr>
        <w:lang w:val="en-US"/>
      </w:rPr>
      <w:t>GE.</w:t>
    </w:r>
    <w:r w:rsidRPr="00D44742">
      <w:rPr>
        <w:lang w:val="en-US"/>
      </w:rPr>
      <w:t>21</w:t>
    </w:r>
    <w:r>
      <w:rPr>
        <w:lang w:val="en-US"/>
      </w:rPr>
      <w:t>-</w:t>
    </w:r>
    <w:r w:rsidRPr="00D44742">
      <w:rPr>
        <w:lang w:val="en-US"/>
      </w:rPr>
      <w:t>02127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0B039C" w14:textId="77777777" w:rsidR="00DE50B1" w:rsidRPr="005D73AF" w:rsidRDefault="005D73AF" w:rsidP="005D73AF">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490A9DE0" wp14:editId="3757805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D44742">
      <w:rPr>
        <w:sz w:val="20"/>
        <w:lang w:val="en-US"/>
      </w:rPr>
      <w:t>21</w:t>
    </w:r>
    <w:r>
      <w:rPr>
        <w:sz w:val="20"/>
        <w:lang w:val="en-US"/>
      </w:rPr>
      <w:t>-</w:t>
    </w:r>
    <w:r w:rsidRPr="00D44742">
      <w:rPr>
        <w:sz w:val="20"/>
        <w:lang w:val="en-US"/>
      </w:rPr>
      <w:t>02127</w:t>
    </w:r>
    <w:r>
      <w:rPr>
        <w:sz w:val="20"/>
        <w:lang w:val="en-US"/>
      </w:rPr>
      <w:t xml:space="preserve"> (A)</w:t>
    </w:r>
    <w:r>
      <w:rPr>
        <w:noProof/>
        <w:sz w:val="20"/>
        <w:lang w:val="en-US"/>
      </w:rPr>
      <w:drawing>
        <wp:anchor distT="0" distB="0" distL="114300" distR="114300" simplePos="0" relativeHeight="251659264" behindDoc="0" locked="0" layoutInCell="1" allowOverlap="1" wp14:anchorId="32E3DEB4" wp14:editId="6AE36958">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26A0C6" w14:textId="77777777" w:rsidR="005B07CB" w:rsidRPr="000437B8" w:rsidRDefault="005B07CB" w:rsidP="00F10DAB">
      <w:pPr>
        <w:pStyle w:val="Footer"/>
        <w:bidi/>
        <w:spacing w:after="80" w:line="200" w:lineRule="exact"/>
        <w:ind w:left="680"/>
      </w:pPr>
      <w:r>
        <w:rPr>
          <w:rtl/>
        </w:rPr>
        <w:t>__________</w:t>
      </w:r>
    </w:p>
  </w:footnote>
  <w:footnote w:type="continuationSeparator" w:id="0">
    <w:p w14:paraId="412C4A7F" w14:textId="77777777" w:rsidR="005B07CB" w:rsidRDefault="005B07CB" w:rsidP="00656392">
      <w:pPr>
        <w:spacing w:line="240" w:lineRule="auto"/>
      </w:pPr>
      <w:r>
        <w:continuationSeparator/>
      </w:r>
    </w:p>
  </w:footnote>
  <w:footnote w:id="1">
    <w:p w14:paraId="719C91D8" w14:textId="13751590" w:rsidR="001F3595" w:rsidRPr="001F3595" w:rsidRDefault="001F3595" w:rsidP="001F3595">
      <w:pPr>
        <w:pStyle w:val="FootnoteText1"/>
        <w:rPr>
          <w:rFonts w:eastAsiaTheme="minorEastAsia" w:hint="cs"/>
          <w:rtl/>
        </w:rPr>
      </w:pPr>
      <w:r w:rsidRPr="000D31B3">
        <w:rPr>
          <w:rFonts w:eastAsiaTheme="minorEastAsia"/>
          <w:rtl/>
        </w:rPr>
        <w:t>*</w:t>
      </w:r>
      <w:r w:rsidRPr="001F3595">
        <w:rPr>
          <w:rFonts w:eastAsiaTheme="minorEastAsia"/>
          <w:rtl/>
        </w:rPr>
        <w:tab/>
      </w:r>
      <w:r w:rsidRPr="001F3595">
        <w:rPr>
          <w:rFonts w:eastAsiaTheme="minorEastAsia"/>
          <w:rtl/>
        </w:rPr>
        <w:t xml:space="preserve">اعتمدته اللجنة في دورتها </w:t>
      </w:r>
      <w:r w:rsidRPr="00D44742">
        <w:rPr>
          <w:rFonts w:eastAsiaTheme="minorEastAsia"/>
          <w:rtl/>
        </w:rPr>
        <w:t>130</w:t>
      </w:r>
      <w:r w:rsidRPr="001F3595">
        <w:rPr>
          <w:rFonts w:eastAsiaTheme="minorEastAsia"/>
          <w:rtl/>
        </w:rPr>
        <w:t xml:space="preserve"> (</w:t>
      </w:r>
      <w:r w:rsidRPr="00D44742">
        <w:rPr>
          <w:rFonts w:eastAsiaTheme="minorEastAsia"/>
          <w:rtl/>
        </w:rPr>
        <w:t>12</w:t>
      </w:r>
      <w:r w:rsidRPr="001F3595">
        <w:rPr>
          <w:rFonts w:eastAsiaTheme="minorEastAsia"/>
          <w:rtl/>
        </w:rPr>
        <w:t xml:space="preserve"> تشرين الأول/أكتوبر - </w:t>
      </w:r>
      <w:r w:rsidRPr="00D44742">
        <w:rPr>
          <w:rFonts w:eastAsiaTheme="minorEastAsia"/>
          <w:rtl/>
        </w:rPr>
        <w:t>6</w:t>
      </w:r>
      <w:r w:rsidRPr="001F3595">
        <w:rPr>
          <w:rFonts w:eastAsiaTheme="minorEastAsia"/>
          <w:rtl/>
        </w:rPr>
        <w:t xml:space="preserve"> تشرين الثاني/نوفمبر </w:t>
      </w:r>
      <w:r w:rsidRPr="00D44742">
        <w:rPr>
          <w:rFonts w:eastAsiaTheme="minorEastAsia"/>
          <w:rtl/>
        </w:rPr>
        <w:t>2020</w:t>
      </w:r>
      <w:r w:rsidRPr="001F3595">
        <w:rPr>
          <w:rFonts w:eastAsiaTheme="minorEastAsia"/>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D932F8" w14:textId="025A6332" w:rsidR="005D73AF" w:rsidRPr="005D73AF" w:rsidRDefault="005D73AF" w:rsidP="005D73A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00F00">
      <w:t>CCPR/C/130/2/Add.2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1EEE9" w14:textId="5F1E0C4A" w:rsidR="005D73AF" w:rsidRPr="005D73AF" w:rsidRDefault="005D73AF" w:rsidP="005D73A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00F00">
      <w:t>CCPR/C/130/2/Add.2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7CB"/>
    <w:rsid w:val="00002F57"/>
    <w:rsid w:val="000076D5"/>
    <w:rsid w:val="00043663"/>
    <w:rsid w:val="000437B8"/>
    <w:rsid w:val="000505CF"/>
    <w:rsid w:val="000D31B3"/>
    <w:rsid w:val="000D701C"/>
    <w:rsid w:val="000E2A71"/>
    <w:rsid w:val="00145577"/>
    <w:rsid w:val="00160263"/>
    <w:rsid w:val="00181F96"/>
    <w:rsid w:val="001872B1"/>
    <w:rsid w:val="001A1371"/>
    <w:rsid w:val="001B043F"/>
    <w:rsid w:val="001B346A"/>
    <w:rsid w:val="001E1CAD"/>
    <w:rsid w:val="001E290D"/>
    <w:rsid w:val="001F3595"/>
    <w:rsid w:val="002144FA"/>
    <w:rsid w:val="0023469A"/>
    <w:rsid w:val="00243C8A"/>
    <w:rsid w:val="00267A0E"/>
    <w:rsid w:val="002901D9"/>
    <w:rsid w:val="002976C2"/>
    <w:rsid w:val="003068BC"/>
    <w:rsid w:val="003260FF"/>
    <w:rsid w:val="00343D95"/>
    <w:rsid w:val="00363A18"/>
    <w:rsid w:val="00374341"/>
    <w:rsid w:val="00393EAB"/>
    <w:rsid w:val="003D1062"/>
    <w:rsid w:val="00402051"/>
    <w:rsid w:val="00420D7B"/>
    <w:rsid w:val="00450B21"/>
    <w:rsid w:val="00453B63"/>
    <w:rsid w:val="00455780"/>
    <w:rsid w:val="0047440A"/>
    <w:rsid w:val="004B0A1C"/>
    <w:rsid w:val="004B27E0"/>
    <w:rsid w:val="004C2EFA"/>
    <w:rsid w:val="004D298E"/>
    <w:rsid w:val="005044B3"/>
    <w:rsid w:val="00517BC9"/>
    <w:rsid w:val="00533E45"/>
    <w:rsid w:val="0054472E"/>
    <w:rsid w:val="005662A9"/>
    <w:rsid w:val="005827D4"/>
    <w:rsid w:val="0058508B"/>
    <w:rsid w:val="0059622A"/>
    <w:rsid w:val="005B07CB"/>
    <w:rsid w:val="005B51C4"/>
    <w:rsid w:val="005C0061"/>
    <w:rsid w:val="005C5878"/>
    <w:rsid w:val="005C7CEA"/>
    <w:rsid w:val="005D3C0B"/>
    <w:rsid w:val="005D73AF"/>
    <w:rsid w:val="005E5217"/>
    <w:rsid w:val="005F0FA4"/>
    <w:rsid w:val="005F30EE"/>
    <w:rsid w:val="005F5271"/>
    <w:rsid w:val="0060473A"/>
    <w:rsid w:val="00616D6F"/>
    <w:rsid w:val="00617024"/>
    <w:rsid w:val="00652221"/>
    <w:rsid w:val="00656392"/>
    <w:rsid w:val="006645EC"/>
    <w:rsid w:val="0068781D"/>
    <w:rsid w:val="006959B0"/>
    <w:rsid w:val="006B3E27"/>
    <w:rsid w:val="006B6507"/>
    <w:rsid w:val="006C104C"/>
    <w:rsid w:val="006C632E"/>
    <w:rsid w:val="00700F00"/>
    <w:rsid w:val="00717FB3"/>
    <w:rsid w:val="00730446"/>
    <w:rsid w:val="00733704"/>
    <w:rsid w:val="0078071A"/>
    <w:rsid w:val="0078681F"/>
    <w:rsid w:val="00787022"/>
    <w:rsid w:val="00787E1E"/>
    <w:rsid w:val="00852A9A"/>
    <w:rsid w:val="008F49E1"/>
    <w:rsid w:val="0090370F"/>
    <w:rsid w:val="009269D2"/>
    <w:rsid w:val="00942135"/>
    <w:rsid w:val="009521B0"/>
    <w:rsid w:val="00957437"/>
    <w:rsid w:val="00982139"/>
    <w:rsid w:val="009867A8"/>
    <w:rsid w:val="00991F44"/>
    <w:rsid w:val="009A0CFB"/>
    <w:rsid w:val="009A7E9F"/>
    <w:rsid w:val="009C17EC"/>
    <w:rsid w:val="009E5018"/>
    <w:rsid w:val="00A03700"/>
    <w:rsid w:val="00A053F2"/>
    <w:rsid w:val="00A12B37"/>
    <w:rsid w:val="00A54828"/>
    <w:rsid w:val="00A97E1F"/>
    <w:rsid w:val="00AB512E"/>
    <w:rsid w:val="00AB6758"/>
    <w:rsid w:val="00AB727F"/>
    <w:rsid w:val="00B13763"/>
    <w:rsid w:val="00B477A4"/>
    <w:rsid w:val="00B54045"/>
    <w:rsid w:val="00B63ADD"/>
    <w:rsid w:val="00BB09A0"/>
    <w:rsid w:val="00C175A6"/>
    <w:rsid w:val="00C27B19"/>
    <w:rsid w:val="00C41DCF"/>
    <w:rsid w:val="00C42AF7"/>
    <w:rsid w:val="00C438D7"/>
    <w:rsid w:val="00C62C20"/>
    <w:rsid w:val="00C72506"/>
    <w:rsid w:val="00C75EB4"/>
    <w:rsid w:val="00C81B50"/>
    <w:rsid w:val="00C902EF"/>
    <w:rsid w:val="00CB0011"/>
    <w:rsid w:val="00CB6622"/>
    <w:rsid w:val="00CD1801"/>
    <w:rsid w:val="00CF56F9"/>
    <w:rsid w:val="00CF65C6"/>
    <w:rsid w:val="00D00A89"/>
    <w:rsid w:val="00D10EF1"/>
    <w:rsid w:val="00D42810"/>
    <w:rsid w:val="00D44742"/>
    <w:rsid w:val="00D60DD5"/>
    <w:rsid w:val="00D914A7"/>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7C90683"/>
  <w15:docId w15:val="{58324967-529D-40D4-9780-EFC660729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EC"/>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C17EC"/>
    <w:pPr>
      <w:bidi w:val="0"/>
      <w:outlineLvl w:val="0"/>
    </w:pPr>
  </w:style>
  <w:style w:type="paragraph" w:styleId="Heading2">
    <w:name w:val="heading 2"/>
    <w:basedOn w:val="Normal"/>
    <w:next w:val="Normal"/>
    <w:link w:val="Heading2Char"/>
    <w:uiPriority w:val="9"/>
    <w:unhideWhenUsed/>
    <w:rsid w:val="009C17E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C17E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C17E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C17EC"/>
    <w:pPr>
      <w:keepNext/>
      <w:keepLines/>
      <w:spacing w:before="200"/>
      <w:outlineLvl w:val="4"/>
    </w:pPr>
    <w:rPr>
      <w:color w:val="243F60"/>
    </w:rPr>
  </w:style>
  <w:style w:type="paragraph" w:styleId="Heading6">
    <w:name w:val="heading 6"/>
    <w:basedOn w:val="Normal"/>
    <w:next w:val="Normal"/>
    <w:link w:val="Heading6Char"/>
    <w:uiPriority w:val="9"/>
    <w:unhideWhenUsed/>
    <w:rsid w:val="009C17E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C17E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C17E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C17E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N"/>
    <w:basedOn w:val="Normal"/>
    <w:link w:val="FootnoteTextChar"/>
    <w:unhideWhenUsed/>
    <w:qFormat/>
    <w:rsid w:val="009C17E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C17EC"/>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Footnote Reference Number,Footnote symbol,Rimando notaOreste,Rimando notaOreste1,stylish"/>
    <w:qFormat/>
    <w:rsid w:val="009C17EC"/>
    <w:rPr>
      <w:szCs w:val="18"/>
      <w:vertAlign w:val="superscript"/>
    </w:rPr>
  </w:style>
  <w:style w:type="paragraph" w:customStyle="1" w:styleId="HMGA">
    <w:name w:val="_ H __M_GA"/>
    <w:basedOn w:val="Normal"/>
    <w:next w:val="SingleTxtGA"/>
    <w:qFormat/>
    <w:rsid w:val="009C17E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C17E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C17E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C17E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C17E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C17E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C17E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C17E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C17E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C17E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C17E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C17E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C17E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C17EC"/>
    <w:pPr>
      <w:numPr>
        <w:numId w:val="5"/>
      </w:numPr>
      <w:bidi w:val="0"/>
    </w:pPr>
    <w:rPr>
      <w:lang w:val="en-US"/>
    </w:rPr>
  </w:style>
  <w:style w:type="paragraph" w:customStyle="1" w:styleId="Roman1GA">
    <w:name w:val="_Roman 1_GA"/>
    <w:basedOn w:val="Bullet1GA"/>
    <w:qFormat/>
    <w:rsid w:val="009C17EC"/>
    <w:pPr>
      <w:numPr>
        <w:numId w:val="6"/>
      </w:numPr>
      <w:tabs>
        <w:tab w:val="clear" w:pos="2310"/>
        <w:tab w:val="left" w:pos="2486"/>
      </w:tabs>
      <w:ind w:left="2486" w:hanging="378"/>
    </w:pPr>
  </w:style>
  <w:style w:type="paragraph" w:customStyle="1" w:styleId="Roman2GA">
    <w:name w:val="_Roman 2_GA"/>
    <w:basedOn w:val="Bullet2GA"/>
    <w:qFormat/>
    <w:rsid w:val="009C17E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C17E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C17EC"/>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C17E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C17EC"/>
    <w:pPr>
      <w:suppressAutoHyphens/>
      <w:bidi w:val="0"/>
      <w:spacing w:line="240" w:lineRule="auto"/>
    </w:pPr>
    <w:rPr>
      <w:sz w:val="16"/>
      <w:lang w:val="en-GB"/>
    </w:rPr>
  </w:style>
  <w:style w:type="character" w:customStyle="1" w:styleId="FooterChar">
    <w:name w:val="Footer Char"/>
    <w:aliases w:val="3_GA Char,3_G Char"/>
    <w:link w:val="Footer"/>
    <w:rsid w:val="009C17EC"/>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C17E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C17EC"/>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9C17EC"/>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C17EC"/>
    <w:rPr>
      <w:rFonts w:ascii="Times New Roman" w:eastAsia="PMingLiU" w:hAnsi="Times New Roman" w:cs="Simplified Arabic"/>
      <w:sz w:val="22"/>
      <w:szCs w:val="22"/>
      <w:lang w:val="en-GB" w:eastAsia="en-US"/>
    </w:rPr>
  </w:style>
  <w:style w:type="character" w:styleId="PageNumber">
    <w:name w:val="page number"/>
    <w:aliases w:val="7_GA,7_G"/>
    <w:qFormat/>
    <w:rsid w:val="009C17EC"/>
    <w:rPr>
      <w:rFonts w:ascii="Times New Roman Bold" w:hAnsi="Times New Roman Bold"/>
      <w:b/>
      <w:i w:val="0"/>
      <w:sz w:val="18"/>
      <w:szCs w:val="18"/>
    </w:rPr>
  </w:style>
  <w:style w:type="paragraph" w:customStyle="1" w:styleId="XXLargeGA">
    <w:name w:val="XXLarge_GA"/>
    <w:basedOn w:val="Normal"/>
    <w:next w:val="SingleTxtGA"/>
    <w:qFormat/>
    <w:rsid w:val="009C17EC"/>
    <w:pPr>
      <w:suppressAutoHyphens/>
      <w:spacing w:line="820" w:lineRule="exact"/>
    </w:pPr>
    <w:rPr>
      <w:spacing w:val="-8"/>
      <w:w w:val="96"/>
      <w:sz w:val="57"/>
      <w:szCs w:val="86"/>
      <w:lang w:val="en-GB"/>
    </w:rPr>
  </w:style>
  <w:style w:type="character" w:customStyle="1" w:styleId="Heading2Char">
    <w:name w:val="Heading 2 Char"/>
    <w:link w:val="Heading2"/>
    <w:uiPriority w:val="9"/>
    <w:rsid w:val="009C17EC"/>
    <w:rPr>
      <w:rFonts w:ascii="Times New Roman" w:eastAsia="PMingLiU" w:hAnsi="Times New Roman" w:cs="Simplified Arabic"/>
      <w:b/>
      <w:bCs/>
      <w:color w:val="4F81BD"/>
      <w:sz w:val="26"/>
      <w:szCs w:val="26"/>
      <w:lang w:eastAsia="en-US"/>
    </w:rPr>
  </w:style>
  <w:style w:type="character" w:styleId="BookTitle">
    <w:name w:val="Book Title"/>
    <w:uiPriority w:val="33"/>
    <w:rsid w:val="009C17EC"/>
    <w:rPr>
      <w:b/>
      <w:bCs/>
      <w:smallCaps/>
      <w:spacing w:val="5"/>
    </w:rPr>
  </w:style>
  <w:style w:type="character" w:customStyle="1" w:styleId="Heading3Char">
    <w:name w:val="Heading 3 Char"/>
    <w:link w:val="Heading3"/>
    <w:uiPriority w:val="9"/>
    <w:rsid w:val="009C17EC"/>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9C17EC"/>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9C17EC"/>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9C17EC"/>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9C17EC"/>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9C17EC"/>
    <w:rPr>
      <w:rFonts w:ascii="Times New Roman" w:eastAsia="PMingLiU" w:hAnsi="Times New Roman" w:cs="Simplified Arabic"/>
      <w:color w:val="404040"/>
      <w:lang w:eastAsia="en-US"/>
    </w:rPr>
  </w:style>
  <w:style w:type="character" w:customStyle="1" w:styleId="Heading9Char">
    <w:name w:val="Heading 9 Char"/>
    <w:link w:val="Heading9"/>
    <w:uiPriority w:val="9"/>
    <w:rsid w:val="009C17EC"/>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C17E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C17EC"/>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C17EC"/>
    <w:pPr>
      <w:numPr>
        <w:ilvl w:val="1"/>
      </w:numPr>
    </w:pPr>
    <w:rPr>
      <w:i/>
      <w:iCs/>
      <w:color w:val="4F81BD"/>
      <w:spacing w:val="15"/>
      <w:sz w:val="24"/>
      <w:szCs w:val="24"/>
    </w:rPr>
  </w:style>
  <w:style w:type="character" w:customStyle="1" w:styleId="SubtitleChar">
    <w:name w:val="Subtitle Char"/>
    <w:link w:val="Subtitle"/>
    <w:uiPriority w:val="11"/>
    <w:rsid w:val="009C17EC"/>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C17EC"/>
    <w:rPr>
      <w:i/>
      <w:iCs/>
      <w:color w:val="808080"/>
    </w:rPr>
  </w:style>
  <w:style w:type="table" w:styleId="ColorfulGrid-Accent6">
    <w:name w:val="Colorful Grid Accent 6"/>
    <w:basedOn w:val="TableNormal"/>
    <w:uiPriority w:val="73"/>
    <w:rsid w:val="009C17EC"/>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C17EC"/>
    <w:rPr>
      <w:i/>
      <w:iCs/>
    </w:rPr>
  </w:style>
  <w:style w:type="character" w:styleId="IntenseEmphasis">
    <w:name w:val="Intense Emphasis"/>
    <w:uiPriority w:val="21"/>
    <w:rsid w:val="009C17EC"/>
    <w:rPr>
      <w:b/>
      <w:bCs/>
      <w:i/>
      <w:iCs/>
      <w:color w:val="4F81BD"/>
    </w:rPr>
  </w:style>
  <w:style w:type="character" w:styleId="Strong">
    <w:name w:val="Strong"/>
    <w:uiPriority w:val="22"/>
    <w:rsid w:val="009C17EC"/>
    <w:rPr>
      <w:b/>
      <w:bCs/>
    </w:rPr>
  </w:style>
  <w:style w:type="paragraph" w:styleId="Quote">
    <w:name w:val="Quote"/>
    <w:basedOn w:val="Normal"/>
    <w:next w:val="Normal"/>
    <w:link w:val="QuoteChar"/>
    <w:uiPriority w:val="29"/>
    <w:rsid w:val="009C17EC"/>
    <w:rPr>
      <w:i/>
      <w:iCs/>
      <w:color w:val="000000"/>
    </w:rPr>
  </w:style>
  <w:style w:type="character" w:customStyle="1" w:styleId="QuoteChar">
    <w:name w:val="Quote Char"/>
    <w:link w:val="Quote"/>
    <w:uiPriority w:val="29"/>
    <w:rsid w:val="009C17EC"/>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C17E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C17EC"/>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C17EC"/>
    <w:rPr>
      <w:smallCaps/>
      <w:color w:val="C0504D"/>
      <w:u w:val="single"/>
    </w:rPr>
  </w:style>
  <w:style w:type="character" w:styleId="IntenseReference">
    <w:name w:val="Intense Reference"/>
    <w:uiPriority w:val="32"/>
    <w:rsid w:val="009C17EC"/>
    <w:rPr>
      <w:b/>
      <w:bCs/>
      <w:smallCaps/>
      <w:color w:val="C0504D"/>
      <w:spacing w:val="5"/>
      <w:u w:val="single"/>
    </w:rPr>
  </w:style>
  <w:style w:type="paragraph" w:styleId="ListParagraph">
    <w:name w:val="List Paragraph"/>
    <w:basedOn w:val="Normal"/>
    <w:uiPriority w:val="34"/>
    <w:rsid w:val="009C17EC"/>
    <w:pPr>
      <w:ind w:left="720"/>
      <w:contextualSpacing/>
    </w:pPr>
  </w:style>
  <w:style w:type="table" w:styleId="MediumShading1-Accent4">
    <w:name w:val="Medium Shading 1 Accent 4"/>
    <w:basedOn w:val="TableNormal"/>
    <w:uiPriority w:val="63"/>
    <w:rsid w:val="009C17EC"/>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C17EC"/>
    <w:rPr>
      <w:rFonts w:eastAsia="MS Mincho"/>
      <w:sz w:val="18"/>
      <w:vertAlign w:val="superscript"/>
    </w:rPr>
  </w:style>
  <w:style w:type="table" w:styleId="TableGrid">
    <w:name w:val="Table Grid"/>
    <w:basedOn w:val="TableNormal"/>
    <w:rsid w:val="009C17EC"/>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7EC"/>
    <w:pPr>
      <w:spacing w:line="240" w:lineRule="auto"/>
    </w:pPr>
    <w:rPr>
      <w:sz w:val="16"/>
      <w:szCs w:val="16"/>
    </w:rPr>
  </w:style>
  <w:style w:type="character" w:customStyle="1" w:styleId="BalloonTextChar">
    <w:name w:val="Balloon Text Char"/>
    <w:link w:val="BalloonText"/>
    <w:uiPriority w:val="99"/>
    <w:semiHidden/>
    <w:rsid w:val="009C17EC"/>
    <w:rPr>
      <w:rFonts w:ascii="Times New Roman" w:eastAsia="PMingLiU" w:hAnsi="Times New Roman" w:cs="Simplified Arabic"/>
      <w:sz w:val="16"/>
      <w:szCs w:val="16"/>
      <w:lang w:eastAsia="en-US"/>
    </w:rPr>
  </w:style>
  <w:style w:type="character" w:styleId="Hyperlink">
    <w:name w:val="Hyperlink"/>
    <w:uiPriority w:val="99"/>
    <w:unhideWhenUsed/>
    <w:rsid w:val="009C17EC"/>
    <w:rPr>
      <w:color w:val="0000FF"/>
      <w:u w:val="none"/>
    </w:rPr>
  </w:style>
  <w:style w:type="paragraph" w:styleId="TOC1">
    <w:name w:val="toc 1"/>
    <w:basedOn w:val="Normal"/>
    <w:link w:val="TOC1Char"/>
    <w:autoRedefine/>
    <w:uiPriority w:val="39"/>
    <w:unhideWhenUsed/>
    <w:rsid w:val="009C17E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C17E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C17E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C17EC"/>
    <w:rPr>
      <w:rFonts w:eastAsia="DengXian"/>
      <w:color w:val="auto"/>
      <w:sz w:val="20"/>
      <w:szCs w:val="20"/>
      <w:u w:val="none"/>
      <w:lang w:eastAsia="zh-CN" w:bidi="ar-EG"/>
    </w:rPr>
  </w:style>
  <w:style w:type="paragraph" w:styleId="TOC4">
    <w:name w:val="toc 4"/>
    <w:basedOn w:val="Normal"/>
    <w:link w:val="TOC4Char"/>
    <w:autoRedefine/>
    <w:uiPriority w:val="39"/>
    <w:unhideWhenUsed/>
    <w:rsid w:val="009C17E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C17E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C17E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C17E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C17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C17EC"/>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C17EC"/>
    <w:rPr>
      <w:color w:val="605E5C"/>
      <w:shd w:val="clear" w:color="auto" w:fill="E1DFDD"/>
    </w:rPr>
  </w:style>
  <w:style w:type="character" w:customStyle="1" w:styleId="TOC1Char">
    <w:name w:val="TOC 1 Char"/>
    <w:basedOn w:val="DefaultParagraphFont"/>
    <w:link w:val="TOC1"/>
    <w:uiPriority w:val="39"/>
    <w:rsid w:val="009C17EC"/>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C17EC"/>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C17EC"/>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C17EC"/>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C17EC"/>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C17EC"/>
    <w:rPr>
      <w:rFonts w:ascii="Times New Roman" w:eastAsia="PMingLiU" w:hAnsi="Times New Roman" w:cs="Simplified Arabic"/>
      <w:lang w:val="en-GB" w:eastAsia="en-US"/>
    </w:rPr>
  </w:style>
  <w:style w:type="paragraph" w:customStyle="1" w:styleId="SessionDate">
    <w:name w:val="Session_Date"/>
    <w:basedOn w:val="Normal"/>
    <w:qFormat/>
    <w:rsid w:val="009C17EC"/>
    <w:pPr>
      <w:spacing w:before="240" w:after="240" w:line="460" w:lineRule="exact"/>
      <w:ind w:left="1247"/>
    </w:pPr>
    <w:rPr>
      <w:b/>
      <w:bCs/>
      <w:sz w:val="32"/>
      <w:szCs w:val="44"/>
    </w:rPr>
  </w:style>
  <w:style w:type="paragraph" w:customStyle="1" w:styleId="SessionNumber">
    <w:name w:val="Session_Number"/>
    <w:basedOn w:val="Normal"/>
    <w:qFormat/>
    <w:rsid w:val="009C17EC"/>
    <w:pPr>
      <w:spacing w:line="480" w:lineRule="exact"/>
      <w:ind w:left="1247"/>
    </w:pPr>
    <w:rPr>
      <w:b/>
      <w:bCs/>
      <w:sz w:val="28"/>
      <w:szCs w:val="38"/>
    </w:rPr>
  </w:style>
  <w:style w:type="paragraph" w:customStyle="1" w:styleId="CityandYear">
    <w:name w:val="City and Year"/>
    <w:basedOn w:val="SingleTxtGA"/>
    <w:qFormat/>
    <w:rsid w:val="009C17EC"/>
    <w:pPr>
      <w:spacing w:line="480" w:lineRule="exact"/>
    </w:pPr>
    <w:rPr>
      <w:b/>
      <w:bCs/>
      <w:sz w:val="30"/>
      <w:szCs w:val="38"/>
      <w:lang w:eastAsia="ar-SA"/>
    </w:rPr>
  </w:style>
  <w:style w:type="paragraph" w:customStyle="1" w:styleId="NormalA">
    <w:name w:val="Normal_A"/>
    <w:basedOn w:val="Normal"/>
    <w:qFormat/>
    <w:rsid w:val="009C17EC"/>
  </w:style>
  <w:style w:type="paragraph" w:customStyle="1" w:styleId="H1G">
    <w:name w:val="_ H_1_G"/>
    <w:basedOn w:val="Normal"/>
    <w:next w:val="Normal"/>
    <w:qFormat/>
    <w:rsid w:val="009C17E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C17EC"/>
    <w:pPr>
      <w:suppressAutoHyphens/>
      <w:bidi w:val="0"/>
      <w:spacing w:after="120"/>
      <w:ind w:left="1134" w:right="1134"/>
      <w:jc w:val="both"/>
    </w:pPr>
    <w:rPr>
      <w:szCs w:val="20"/>
      <w:lang w:val="en-GB"/>
    </w:rPr>
  </w:style>
  <w:style w:type="paragraph" w:customStyle="1" w:styleId="HChG">
    <w:name w:val="_ H _Ch_G"/>
    <w:basedOn w:val="Normal"/>
    <w:next w:val="Normal"/>
    <w:qFormat/>
    <w:rsid w:val="009C17E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link w:val="H23GChar"/>
    <w:qFormat/>
    <w:rsid w:val="009C17E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C17E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C17E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C17EC"/>
    <w:rPr>
      <w:sz w:val="44"/>
      <w:szCs w:val="44"/>
      <w:lang w:val="en-US" w:bidi="ar-DZ"/>
    </w:rPr>
  </w:style>
  <w:style w:type="paragraph" w:customStyle="1" w:styleId="FootnoteGA0">
    <w:name w:val="Footnote_GA"/>
    <w:basedOn w:val="Normal"/>
    <w:qFormat/>
    <w:rsid w:val="009C17E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C17E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C17EC"/>
    <w:pPr>
      <w:spacing w:line="440" w:lineRule="exact"/>
    </w:pPr>
    <w:rPr>
      <w:spacing w:val="-2"/>
      <w:sz w:val="28"/>
      <w:szCs w:val="36"/>
    </w:rPr>
  </w:style>
  <w:style w:type="character" w:styleId="CommentReference">
    <w:name w:val="annotation reference"/>
    <w:uiPriority w:val="99"/>
    <w:semiHidden/>
    <w:rsid w:val="009C17EC"/>
    <w:rPr>
      <w:sz w:val="6"/>
      <w:szCs w:val="9"/>
    </w:rPr>
  </w:style>
  <w:style w:type="paragraph" w:customStyle="1" w:styleId="HM">
    <w:name w:val="_ H __M"/>
    <w:basedOn w:val="HCh"/>
    <w:next w:val="Normal"/>
    <w:qFormat/>
    <w:rsid w:val="009C17EC"/>
    <w:pPr>
      <w:suppressAutoHyphens/>
      <w:spacing w:line="520" w:lineRule="exact"/>
    </w:pPr>
    <w:rPr>
      <w:spacing w:val="-3"/>
      <w:sz w:val="34"/>
      <w:szCs w:val="48"/>
    </w:rPr>
  </w:style>
  <w:style w:type="paragraph" w:customStyle="1" w:styleId="SingleTxt">
    <w:name w:val="__Single Txt"/>
    <w:basedOn w:val="Normal"/>
    <w:qFormat/>
    <w:rsid w:val="009C17E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C17EC"/>
    <w:pPr>
      <w:suppressAutoHyphens/>
      <w:spacing w:line="360" w:lineRule="exact"/>
      <w:outlineLvl w:val="1"/>
    </w:pPr>
    <w:rPr>
      <w:spacing w:val="2"/>
      <w:sz w:val="20"/>
      <w:szCs w:val="28"/>
    </w:rPr>
  </w:style>
  <w:style w:type="paragraph" w:customStyle="1" w:styleId="H4">
    <w:name w:val="_ H_4"/>
    <w:basedOn w:val="Normal"/>
    <w:next w:val="Normal"/>
    <w:qFormat/>
    <w:rsid w:val="009C17EC"/>
    <w:pPr>
      <w:keepNext/>
      <w:keepLines/>
      <w:spacing w:after="120" w:line="360" w:lineRule="exact"/>
      <w:outlineLvl w:val="3"/>
    </w:pPr>
    <w:rPr>
      <w:i/>
      <w:iCs/>
      <w:kern w:val="14"/>
      <w:szCs w:val="28"/>
    </w:rPr>
  </w:style>
  <w:style w:type="paragraph" w:customStyle="1" w:styleId="H56">
    <w:name w:val="_ H_5/6"/>
    <w:basedOn w:val="Normal"/>
    <w:next w:val="Normal"/>
    <w:qFormat/>
    <w:rsid w:val="009C17EC"/>
    <w:pPr>
      <w:keepNext/>
      <w:keepLines/>
      <w:spacing w:after="120" w:line="360" w:lineRule="exact"/>
      <w:outlineLvl w:val="4"/>
    </w:pPr>
    <w:rPr>
      <w:kern w:val="14"/>
      <w:szCs w:val="28"/>
    </w:rPr>
  </w:style>
  <w:style w:type="paragraph" w:customStyle="1" w:styleId="DualTxt">
    <w:name w:val="__Dual Txt"/>
    <w:basedOn w:val="Normal"/>
    <w:qFormat/>
    <w:rsid w:val="009C17E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C17E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C17E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C17EC"/>
    <w:pPr>
      <w:spacing w:after="120" w:line="440" w:lineRule="exact"/>
      <w:jc w:val="center"/>
    </w:pPr>
    <w:rPr>
      <w:b/>
      <w:bCs/>
      <w:sz w:val="25"/>
      <w:szCs w:val="38"/>
    </w:rPr>
  </w:style>
  <w:style w:type="paragraph" w:customStyle="1" w:styleId="JH1">
    <w:name w:val="J_H_1"/>
    <w:basedOn w:val="JCH"/>
    <w:qFormat/>
    <w:rsid w:val="009C17EC"/>
    <w:pPr>
      <w:spacing w:line="420" w:lineRule="exact"/>
    </w:pPr>
    <w:rPr>
      <w:sz w:val="23"/>
      <w:szCs w:val="34"/>
    </w:rPr>
  </w:style>
  <w:style w:type="paragraph" w:customStyle="1" w:styleId="JH2">
    <w:name w:val="J_H_2"/>
    <w:basedOn w:val="JH1"/>
    <w:qFormat/>
    <w:rsid w:val="009C17EC"/>
    <w:pPr>
      <w:spacing w:line="400" w:lineRule="exact"/>
    </w:pPr>
    <w:rPr>
      <w:sz w:val="20"/>
      <w:szCs w:val="30"/>
    </w:rPr>
  </w:style>
  <w:style w:type="paragraph" w:customStyle="1" w:styleId="JSmall">
    <w:name w:val="J_Small"/>
    <w:basedOn w:val="JSingleTxt"/>
    <w:next w:val="JSingleTxt"/>
    <w:qFormat/>
    <w:rsid w:val="009C17E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C17EC"/>
    <w:pPr>
      <w:tabs>
        <w:tab w:val="right" w:leader="dot" w:pos="360"/>
      </w:tabs>
      <w:spacing w:line="310" w:lineRule="exact"/>
      <w:jc w:val="right"/>
    </w:pPr>
    <w:rPr>
      <w:spacing w:val="5"/>
      <w:w w:val="104"/>
      <w:kern w:val="14"/>
      <w:sz w:val="17"/>
      <w:szCs w:val="25"/>
    </w:rPr>
  </w:style>
  <w:style w:type="character" w:styleId="LineNumber">
    <w:name w:val="line number"/>
    <w:qFormat/>
    <w:rsid w:val="009C17EC"/>
    <w:rPr>
      <w:sz w:val="14"/>
      <w:szCs w:val="16"/>
    </w:rPr>
  </w:style>
  <w:style w:type="paragraph" w:customStyle="1" w:styleId="SmallX">
    <w:name w:val="SmallX"/>
    <w:basedOn w:val="Small"/>
    <w:next w:val="Normal"/>
    <w:qFormat/>
    <w:rsid w:val="009C17EC"/>
    <w:pPr>
      <w:spacing w:line="240" w:lineRule="exact"/>
    </w:pPr>
    <w:rPr>
      <w:spacing w:val="6"/>
      <w:w w:val="106"/>
      <w:sz w:val="14"/>
      <w:szCs w:val="21"/>
    </w:rPr>
  </w:style>
  <w:style w:type="paragraph" w:customStyle="1" w:styleId="XLarge">
    <w:name w:val="XLarge"/>
    <w:basedOn w:val="HM"/>
    <w:qFormat/>
    <w:rsid w:val="009C17E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C17EC"/>
    <w:pPr>
      <w:spacing w:line="820" w:lineRule="exact"/>
    </w:pPr>
    <w:rPr>
      <w:spacing w:val="-8"/>
      <w:w w:val="96"/>
      <w:sz w:val="57"/>
      <w:szCs w:val="86"/>
    </w:rPr>
  </w:style>
  <w:style w:type="paragraph" w:customStyle="1" w:styleId="Distribution">
    <w:name w:val="Distribu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C17EC"/>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C17EC"/>
    <w:pPr>
      <w:tabs>
        <w:tab w:val="left" w:pos="662"/>
        <w:tab w:val="left" w:pos="1267"/>
        <w:tab w:val="left" w:pos="1987"/>
        <w:tab w:val="left" w:pos="2650"/>
      </w:tabs>
      <w:spacing w:after="0"/>
      <w:ind w:left="662" w:hanging="662"/>
    </w:pPr>
  </w:style>
  <w:style w:type="paragraph" w:customStyle="1" w:styleId="Committee">
    <w:name w:val="Committee"/>
    <w:basedOn w:val="H1"/>
    <w:qFormat/>
    <w:rsid w:val="009C17EC"/>
    <w:pPr>
      <w:tabs>
        <w:tab w:val="left" w:pos="662"/>
        <w:tab w:val="left" w:pos="1267"/>
        <w:tab w:val="left" w:pos="1987"/>
        <w:tab w:val="left" w:pos="2650"/>
      </w:tabs>
      <w:ind w:right="1264"/>
    </w:pPr>
  </w:style>
  <w:style w:type="paragraph" w:customStyle="1" w:styleId="AgendaItemNormal">
    <w:name w:val="Agenda_Item_Normal"/>
    <w:next w:val="Normal"/>
    <w:qFormat/>
    <w:rsid w:val="009C17EC"/>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C17E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C17E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C17E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C17E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C17EC"/>
    <w:rPr>
      <w:i w:val="0"/>
      <w:color w:val="0000FF"/>
      <w:u w:val="none"/>
    </w:rPr>
  </w:style>
  <w:style w:type="paragraph" w:customStyle="1" w:styleId="Bullet1">
    <w:name w:val="Bullet 1"/>
    <w:basedOn w:val="Normal"/>
    <w:qFormat/>
    <w:rsid w:val="009C17EC"/>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C17EC"/>
    <w:pPr>
      <w:numPr>
        <w:numId w:val="19"/>
      </w:numPr>
      <w:spacing w:after="120" w:line="360" w:lineRule="exact"/>
      <w:ind w:right="1264"/>
    </w:pPr>
    <w:rPr>
      <w:kern w:val="14"/>
      <w:szCs w:val="28"/>
    </w:rPr>
  </w:style>
  <w:style w:type="paragraph" w:customStyle="1" w:styleId="Bullet3">
    <w:name w:val="Bullet 3"/>
    <w:basedOn w:val="SingleTxt"/>
    <w:qFormat/>
    <w:rsid w:val="009C17EC"/>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C17EC"/>
    <w:pPr>
      <w:ind w:right="5760"/>
      <w:outlineLvl w:val="1"/>
    </w:pPr>
    <w:rPr>
      <w:spacing w:val="2"/>
      <w:sz w:val="20"/>
      <w:szCs w:val="28"/>
    </w:rPr>
  </w:style>
  <w:style w:type="paragraph" w:customStyle="1" w:styleId="STitleM">
    <w:name w:val="S_Title_M"/>
    <w:basedOn w:val="Normal"/>
    <w:next w:val="Normal"/>
    <w:qFormat/>
    <w:rsid w:val="009C17E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C17EC"/>
    <w:pPr>
      <w:spacing w:line="600" w:lineRule="exact"/>
      <w:ind w:left="1267" w:right="1267"/>
    </w:pPr>
    <w:rPr>
      <w:w w:val="103"/>
      <w:sz w:val="60"/>
      <w:szCs w:val="60"/>
    </w:rPr>
  </w:style>
  <w:style w:type="paragraph" w:customStyle="1" w:styleId="STitleL">
    <w:name w:val="S_Title_L"/>
    <w:basedOn w:val="XLarge"/>
    <w:next w:val="Normal"/>
    <w:qFormat/>
    <w:rsid w:val="009C17EC"/>
    <w:rPr>
      <w:spacing w:val="-8"/>
      <w:w w:val="96"/>
      <w:sz w:val="57"/>
    </w:rPr>
  </w:style>
  <w:style w:type="paragraph" w:styleId="CommentText">
    <w:name w:val="annotation text"/>
    <w:basedOn w:val="Normal"/>
    <w:link w:val="CommentTextChar"/>
    <w:uiPriority w:val="99"/>
    <w:semiHidden/>
    <w:unhideWhenUsed/>
    <w:rsid w:val="009C17EC"/>
    <w:pPr>
      <w:spacing w:line="240" w:lineRule="auto"/>
    </w:pPr>
    <w:rPr>
      <w:kern w:val="14"/>
    </w:rPr>
  </w:style>
  <w:style w:type="character" w:customStyle="1" w:styleId="CommentTextChar">
    <w:name w:val="Comment Text Char"/>
    <w:basedOn w:val="DefaultParagraphFont"/>
    <w:link w:val="CommentText"/>
    <w:uiPriority w:val="99"/>
    <w:semiHidden/>
    <w:rsid w:val="009C17EC"/>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C17EC"/>
    <w:rPr>
      <w:b/>
      <w:bCs/>
    </w:rPr>
  </w:style>
  <w:style w:type="character" w:customStyle="1" w:styleId="CommentSubjectChar">
    <w:name w:val="Comment Subject Char"/>
    <w:basedOn w:val="CommentTextChar"/>
    <w:link w:val="CommentSubject"/>
    <w:uiPriority w:val="99"/>
    <w:semiHidden/>
    <w:rsid w:val="009C17EC"/>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C17EC"/>
    <w:pPr>
      <w:numPr>
        <w:numId w:val="21"/>
      </w:numPr>
      <w:bidi w:val="0"/>
      <w:spacing w:after="120"/>
      <w:ind w:right="1134"/>
      <w:jc w:val="both"/>
    </w:pPr>
    <w:rPr>
      <w:sz w:val="22"/>
    </w:rPr>
  </w:style>
  <w:style w:type="character" w:customStyle="1" w:styleId="SingleTxtGChar">
    <w:name w:val="_ Single Txt_G Char"/>
    <w:link w:val="SingleTxtG"/>
    <w:rsid w:val="009C17EC"/>
    <w:rPr>
      <w:rFonts w:ascii="Times New Roman" w:eastAsia="PMingLiU" w:hAnsi="Times New Roman" w:cs="Simplified Arabic"/>
      <w:lang w:val="en-GB" w:eastAsia="en-US"/>
    </w:rPr>
  </w:style>
  <w:style w:type="paragraph" w:customStyle="1" w:styleId="Preparedby">
    <w:name w:val="Prepared by:"/>
    <w:basedOn w:val="H23GA"/>
    <w:qFormat/>
    <w:rsid w:val="009C17EC"/>
    <w:rPr>
      <w:sz w:val="32"/>
      <w:szCs w:val="32"/>
    </w:rPr>
  </w:style>
  <w:style w:type="paragraph" w:customStyle="1" w:styleId="ParaNoG">
    <w:name w:val="_ParaNo._G"/>
    <w:basedOn w:val="SingleTxtG"/>
    <w:rsid w:val="009C17EC"/>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C17E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C17E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C17EC"/>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C17EC"/>
    <w:rPr>
      <w:rFonts w:asciiTheme="minorHAnsi" w:eastAsiaTheme="minorEastAsia" w:hAnsiTheme="minorHAnsi" w:cstheme="minorBidi"/>
      <w:sz w:val="24"/>
      <w:szCs w:val="24"/>
      <w:lang w:val="fr-FR" w:eastAsia="fr-FR"/>
    </w:rPr>
  </w:style>
  <w:style w:type="paragraph" w:customStyle="1" w:styleId="Default">
    <w:name w:val="Default"/>
    <w:semiHidden/>
    <w:rsid w:val="009C17EC"/>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C17EC"/>
  </w:style>
  <w:style w:type="character" w:customStyle="1" w:styleId="preferred">
    <w:name w:val="preferred"/>
    <w:basedOn w:val="DefaultParagraphFont"/>
    <w:rsid w:val="009C17EC"/>
  </w:style>
  <w:style w:type="character" w:customStyle="1" w:styleId="admitted">
    <w:name w:val="admitted"/>
    <w:basedOn w:val="DefaultParagraphFont"/>
    <w:rsid w:val="009C17EC"/>
  </w:style>
  <w:style w:type="character" w:customStyle="1" w:styleId="H23GChar">
    <w:name w:val="_ H_2/3_G Char"/>
    <w:link w:val="H23G"/>
    <w:locked/>
    <w:rsid w:val="001F3595"/>
    <w:rPr>
      <w:rFonts w:ascii="Times New Roman" w:eastAsia="PMingLiU" w:hAnsi="Times New Roman" w:cs="Simplified Arabic"/>
      <w:b/>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tbinternet.ohchr.org/_layouts/15/treatybodyexternal/Download.aspx?symbolno=CCPR%2fC%2fMDG%2fCO%2f4%2fAdd.1&amp;Lang=en" TargetMode="Externa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CPR%2fC%2fMDG%2fCO%2f4&amp;Lang=en"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4B3AB1-5830-4FA3-B904-4D2650603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3</TotalTime>
  <Pages>4</Pages>
  <Words>1325</Words>
  <Characters>7347</Characters>
  <Application>Microsoft Office Word</Application>
  <DocSecurity>0</DocSecurity>
  <Lines>138</Lines>
  <Paragraphs>71</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CCPR/C/130/2/Add.2</vt:lpstr>
      <vt:lpstr>    تقرير عن متابعة الملاحظات الختامية للجنة المعنية بحقوق الإنسان*</vt:lpstr>
      <vt:lpstr>    تقييم المعلومات المتعلقة بمتابعة الملاحظات الختامية بشأن مدغشقر</vt:lpstr>
    </vt:vector>
  </TitlesOfParts>
  <Company>DCM</Company>
  <LinksUpToDate>false</LinksUpToDate>
  <CharactersWithSpaces>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CCPR/C/130/2/Add.2</dc:title>
  <dc:subject>GE.2102127(A)</dc:subject>
  <dc:creator>Muntaha BUHNAM - MKA</dc:creator>
  <cp:keywords>GE.2104534(A)</cp:keywords>
  <dc:description>General_x000d_
2021_x000d_
Arabic_x000d_
English</dc:description>
  <cp:lastModifiedBy>Muntaha BUHNAM</cp:lastModifiedBy>
  <cp:revision>3</cp:revision>
  <cp:lastPrinted>2021-03-09T15:08:00Z</cp:lastPrinted>
  <dcterms:created xsi:type="dcterms:W3CDTF">2021-03-09T15:08:00Z</dcterms:created>
  <dcterms:modified xsi:type="dcterms:W3CDTF">2021-03-09T15:11:00Z</dcterms:modified>
  <cp:category>Finale</cp:category>
</cp:coreProperties>
</file>