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3254DFB6" w14:textId="77777777" w:rsidTr="0008244E">
        <w:trPr>
          <w:trHeight w:hRule="exact" w:val="851"/>
        </w:trPr>
        <w:tc>
          <w:tcPr>
            <w:tcW w:w="1276" w:type="dxa"/>
            <w:tcBorders>
              <w:bottom w:val="single" w:sz="4" w:space="0" w:color="auto"/>
            </w:tcBorders>
          </w:tcPr>
          <w:p w14:paraId="129A7679" w14:textId="77777777" w:rsidR="002D5AAC" w:rsidRPr="001359DC" w:rsidRDefault="002D5AAC" w:rsidP="008B61D6">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4ABFAF89"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36BE01B9" w14:textId="1CEE88A0" w:rsidR="002D5AAC" w:rsidRPr="001359DC" w:rsidRDefault="008B61D6" w:rsidP="008B61D6">
            <w:pPr>
              <w:jc w:val="right"/>
              <w:rPr>
                <w:lang w:val="es-ES"/>
              </w:rPr>
            </w:pPr>
            <w:r w:rsidRPr="008B61D6">
              <w:rPr>
                <w:sz w:val="40"/>
                <w:lang w:val="es-ES"/>
              </w:rPr>
              <w:t>A</w:t>
            </w:r>
            <w:r>
              <w:rPr>
                <w:lang w:val="es-ES"/>
              </w:rPr>
              <w:t>/HRC/RES/52/5</w:t>
            </w:r>
          </w:p>
        </w:tc>
      </w:tr>
      <w:tr w:rsidR="002D5AAC" w:rsidRPr="001359DC" w14:paraId="66CC95FF" w14:textId="77777777" w:rsidTr="0008244E">
        <w:trPr>
          <w:trHeight w:hRule="exact" w:val="2835"/>
        </w:trPr>
        <w:tc>
          <w:tcPr>
            <w:tcW w:w="1276" w:type="dxa"/>
            <w:tcBorders>
              <w:top w:val="single" w:sz="4" w:space="0" w:color="auto"/>
              <w:bottom w:val="single" w:sz="12" w:space="0" w:color="auto"/>
            </w:tcBorders>
          </w:tcPr>
          <w:p w14:paraId="7D172A39" w14:textId="77777777" w:rsidR="002D5AAC" w:rsidRPr="001359DC" w:rsidRDefault="002E5067" w:rsidP="0008244E">
            <w:pPr>
              <w:spacing w:before="120"/>
              <w:jc w:val="center"/>
              <w:rPr>
                <w:lang w:val="es-ES"/>
              </w:rPr>
            </w:pPr>
            <w:r w:rsidRPr="001359DC">
              <w:rPr>
                <w:noProof/>
              </w:rPr>
              <w:drawing>
                <wp:inline distT="0" distB="0" distL="0" distR="0" wp14:anchorId="014B51D8" wp14:editId="418F78BA">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BBB621"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0A777129" w14:textId="77777777" w:rsidR="002D5AAC" w:rsidRDefault="008B61D6" w:rsidP="0008244E">
            <w:pPr>
              <w:spacing w:before="240"/>
              <w:rPr>
                <w:lang w:val="es-ES"/>
              </w:rPr>
            </w:pPr>
            <w:r>
              <w:rPr>
                <w:lang w:val="es-ES"/>
              </w:rPr>
              <w:t>Distr. general</w:t>
            </w:r>
          </w:p>
          <w:p w14:paraId="1836D7C0" w14:textId="77777777" w:rsidR="008B61D6" w:rsidRDefault="008B61D6" w:rsidP="008B61D6">
            <w:pPr>
              <w:spacing w:line="240" w:lineRule="exact"/>
              <w:rPr>
                <w:lang w:val="es-ES"/>
              </w:rPr>
            </w:pPr>
            <w:r>
              <w:rPr>
                <w:lang w:val="es-ES"/>
              </w:rPr>
              <w:t>5 de abril de 2023</w:t>
            </w:r>
          </w:p>
          <w:p w14:paraId="469B5EAA" w14:textId="77777777" w:rsidR="008B61D6" w:rsidRDefault="008B61D6" w:rsidP="008B61D6">
            <w:pPr>
              <w:spacing w:line="240" w:lineRule="exact"/>
              <w:rPr>
                <w:lang w:val="es-ES"/>
              </w:rPr>
            </w:pPr>
            <w:r>
              <w:rPr>
                <w:lang w:val="es-ES"/>
              </w:rPr>
              <w:t>Español</w:t>
            </w:r>
          </w:p>
          <w:p w14:paraId="4846FFB5" w14:textId="6DED1DF3" w:rsidR="008B61D6" w:rsidRPr="001359DC" w:rsidRDefault="008B61D6" w:rsidP="008B61D6">
            <w:pPr>
              <w:spacing w:line="240" w:lineRule="exact"/>
              <w:rPr>
                <w:lang w:val="es-ES"/>
              </w:rPr>
            </w:pPr>
            <w:r>
              <w:rPr>
                <w:lang w:val="es-ES"/>
              </w:rPr>
              <w:t>Original: inglés</w:t>
            </w:r>
          </w:p>
        </w:tc>
      </w:tr>
    </w:tbl>
    <w:p w14:paraId="7625BE2E" w14:textId="77777777" w:rsidR="005D7ED7" w:rsidRPr="005D7ED7" w:rsidRDefault="005D7ED7" w:rsidP="005D7ED7">
      <w:pPr>
        <w:spacing w:before="120" w:line="240" w:lineRule="auto"/>
        <w:rPr>
          <w:b/>
          <w:bCs/>
          <w:sz w:val="24"/>
          <w:szCs w:val="24"/>
        </w:rPr>
      </w:pPr>
      <w:r w:rsidRPr="005D7ED7">
        <w:rPr>
          <w:b/>
          <w:bCs/>
          <w:sz w:val="24"/>
          <w:szCs w:val="24"/>
        </w:rPr>
        <w:t>Consejo de Derechos Humanos</w:t>
      </w:r>
    </w:p>
    <w:p w14:paraId="20FDEF7C" w14:textId="77777777" w:rsidR="005D7ED7" w:rsidRPr="005D7ED7" w:rsidRDefault="005D7ED7" w:rsidP="005D7ED7">
      <w:pPr>
        <w:spacing w:line="240" w:lineRule="auto"/>
        <w:rPr>
          <w:b/>
          <w:bCs/>
        </w:rPr>
      </w:pPr>
      <w:r w:rsidRPr="005D7ED7">
        <w:rPr>
          <w:b/>
          <w:bCs/>
        </w:rPr>
        <w:t>52º período de sesiones</w:t>
      </w:r>
    </w:p>
    <w:p w14:paraId="48D93CCA" w14:textId="77777777" w:rsidR="005D7ED7" w:rsidRPr="001F44D6" w:rsidRDefault="005D7ED7" w:rsidP="005D7ED7">
      <w:pPr>
        <w:spacing w:line="240" w:lineRule="auto"/>
      </w:pPr>
      <w:r w:rsidRPr="001F44D6">
        <w:t>27 de febrero a 4 de abril de 2023</w:t>
      </w:r>
    </w:p>
    <w:p w14:paraId="50FDFBEE" w14:textId="77777777" w:rsidR="005D7ED7" w:rsidRPr="005D7ED7" w:rsidRDefault="005D7ED7" w:rsidP="005D7ED7">
      <w:pPr>
        <w:spacing w:line="240" w:lineRule="auto"/>
      </w:pPr>
      <w:r w:rsidRPr="001F44D6">
        <w:t>Tema 3 de la agenda</w:t>
      </w:r>
    </w:p>
    <w:p w14:paraId="3AB6BE8A" w14:textId="77777777" w:rsidR="005D7ED7" w:rsidRPr="005D7ED7" w:rsidRDefault="005D7ED7" w:rsidP="005D7ED7">
      <w:pPr>
        <w:spacing w:line="240" w:lineRule="auto"/>
        <w:rPr>
          <w:b/>
          <w:bCs/>
        </w:rPr>
      </w:pPr>
      <w:r w:rsidRPr="005D7ED7">
        <w:rPr>
          <w:b/>
          <w:bCs/>
        </w:rPr>
        <w:t xml:space="preserve">Promoción y protección de todos los derechos humanos, </w:t>
      </w:r>
      <w:r w:rsidRPr="005D7ED7">
        <w:rPr>
          <w:b/>
          <w:bCs/>
        </w:rPr>
        <w:br/>
        <w:t xml:space="preserve">civiles, políticos, económicos, sociales y culturales, </w:t>
      </w:r>
      <w:r w:rsidRPr="005D7ED7">
        <w:rPr>
          <w:b/>
          <w:bCs/>
        </w:rPr>
        <w:br/>
        <w:t>incluido el derecho al desarrollo</w:t>
      </w:r>
    </w:p>
    <w:p w14:paraId="0FB88F40" w14:textId="2060E1CA" w:rsidR="005D7ED7" w:rsidRPr="001F44D6" w:rsidRDefault="005D7ED7" w:rsidP="005D7ED7">
      <w:pPr>
        <w:pStyle w:val="HChG"/>
      </w:pPr>
      <w:r w:rsidRPr="001F44D6">
        <w:tab/>
      </w:r>
      <w:r w:rsidRPr="001F44D6">
        <w:tab/>
        <w:t>Resolución aprobada por el Consejo de Derechos Humanos el</w:t>
      </w:r>
      <w:r>
        <w:t> </w:t>
      </w:r>
      <w:r w:rsidRPr="001F44D6">
        <w:t>3 de abril de 2023</w:t>
      </w:r>
    </w:p>
    <w:p w14:paraId="365C38EE" w14:textId="73C87922" w:rsidR="005D7ED7" w:rsidRPr="001F44D6" w:rsidRDefault="005D7ED7" w:rsidP="005D7ED7">
      <w:pPr>
        <w:pStyle w:val="H1G"/>
      </w:pPr>
      <w:r>
        <w:rPr>
          <w:lang w:val="en-GB"/>
        </w:rPr>
        <w:tab/>
      </w:r>
      <w:r w:rsidRPr="001F44D6">
        <w:rPr>
          <w:lang w:val="en-GB"/>
        </w:rPr>
        <w:t>52/</w:t>
      </w:r>
      <w:r>
        <w:rPr>
          <w:lang w:val="en-GB"/>
        </w:rPr>
        <w:t>5.</w:t>
      </w:r>
      <w:r w:rsidRPr="001F44D6">
        <w:rPr>
          <w:lang w:val="en-GB"/>
        </w:rPr>
        <w:tab/>
      </w:r>
      <w:r w:rsidRPr="001F44D6">
        <w:t xml:space="preserve">Mandato de la Relatoría Especial sobre cuestiones </w:t>
      </w:r>
      <w:r w:rsidRPr="001F44D6">
        <w:br/>
        <w:t>de las minorías</w:t>
      </w:r>
    </w:p>
    <w:p w14:paraId="0B00E286" w14:textId="77777777" w:rsidR="005D7ED7" w:rsidRPr="001F44D6" w:rsidRDefault="005D7ED7" w:rsidP="005D7ED7">
      <w:pPr>
        <w:pStyle w:val="SingleTxtG"/>
      </w:pPr>
      <w:r w:rsidRPr="001F44D6">
        <w:tab/>
      </w:r>
      <w:r w:rsidRPr="001F44D6">
        <w:rPr>
          <w:i/>
          <w:iCs/>
        </w:rPr>
        <w:t>El Consejo de Derechos Humanos</w:t>
      </w:r>
      <w:r w:rsidRPr="001F44D6">
        <w:t>,</w:t>
      </w:r>
    </w:p>
    <w:p w14:paraId="3BFEDCE9" w14:textId="77777777" w:rsidR="005D7ED7" w:rsidRPr="001F44D6" w:rsidRDefault="005D7ED7" w:rsidP="005D7ED7">
      <w:pPr>
        <w:pStyle w:val="SingleTxtG"/>
      </w:pPr>
      <w:r w:rsidRPr="001F44D6">
        <w:tab/>
      </w:r>
      <w:r w:rsidRPr="001F44D6">
        <w:rPr>
          <w:i/>
          <w:iCs/>
        </w:rPr>
        <w:t>Recordando</w:t>
      </w:r>
      <w:r w:rsidRPr="001F44D6">
        <w:t xml:space="preserve"> la Declaración Universal de Derechos Humanos, el Pacto Internacional de Derechos Civiles y Políticos, el Pacto Internacional de Derechos Económicos, Sociales y Culturales, la Convención sobre los Derechos del Niño, la Convención sobre la Eliminación de Todas las Formas de Discriminación contra la Mujer, la Convención Internacional sobre la Eliminación de Todas las Formas de Discriminación Racial, la Convención sobre los Derechos de las Personas con Discapacidad y la Declaración sobre los Derechos de las Personas Pertenecientes a Minorías Nacionales o Étnicas, Religiosas y Lingüísticas, aprobada por consenso por la Asamblea General mediante su resolución 47/135, de 18 de diciembre de 1992,</w:t>
      </w:r>
    </w:p>
    <w:p w14:paraId="3B6DB342" w14:textId="77777777" w:rsidR="005D7ED7" w:rsidRPr="001F44D6" w:rsidRDefault="005D7ED7" w:rsidP="005D7ED7">
      <w:pPr>
        <w:pStyle w:val="SingleTxtG"/>
        <w:rPr>
          <w:i/>
        </w:rPr>
      </w:pPr>
      <w:r w:rsidRPr="001F44D6">
        <w:tab/>
      </w:r>
      <w:r w:rsidRPr="001F44D6">
        <w:rPr>
          <w:i/>
          <w:iCs/>
        </w:rPr>
        <w:t>Tomando en consideración</w:t>
      </w:r>
      <w:r w:rsidRPr="001F44D6">
        <w:t xml:space="preserve"> el artículo 27 del Pacto Internacional de Derechos Civiles y Políticos y el artículo 30 de la Convención sobre los Derechos del Niño,</w:t>
      </w:r>
    </w:p>
    <w:p w14:paraId="7A82B1EE" w14:textId="77777777" w:rsidR="005D7ED7" w:rsidRPr="001F44D6" w:rsidRDefault="005D7ED7" w:rsidP="005D7ED7">
      <w:pPr>
        <w:pStyle w:val="SingleTxtG"/>
        <w:rPr>
          <w:i/>
        </w:rPr>
      </w:pPr>
      <w:r w:rsidRPr="001F44D6">
        <w:tab/>
      </w:r>
      <w:r w:rsidRPr="001F44D6">
        <w:rPr>
          <w:i/>
          <w:iCs/>
        </w:rPr>
        <w:t>Recordando</w:t>
      </w:r>
      <w:r w:rsidRPr="001F44D6">
        <w:t xml:space="preserve"> todas las resoluciones anteriores aprobadas por la Asamblea General, la Comisión de Derechos Humanos y el Consejo de Derechos Humanos sobre los derechos de las personas pertenecientes a minorías nacionales o étnicas, religiosas y lingüísticas,</w:t>
      </w:r>
    </w:p>
    <w:p w14:paraId="02F0F831" w14:textId="77777777" w:rsidR="005D7ED7" w:rsidRPr="001F44D6" w:rsidRDefault="005D7ED7" w:rsidP="005D7ED7">
      <w:pPr>
        <w:pStyle w:val="SingleTxtG"/>
        <w:rPr>
          <w:i/>
        </w:rPr>
      </w:pPr>
      <w:r w:rsidRPr="001F44D6">
        <w:tab/>
      </w:r>
      <w:r w:rsidRPr="001F44D6">
        <w:rPr>
          <w:i/>
          <w:iCs/>
        </w:rPr>
        <w:t>Recordando también</w:t>
      </w:r>
      <w:r w:rsidRPr="001F44D6">
        <w:t xml:space="preserve"> sus resoluciones 5/1, relativa a la construcción institucional del Consejo de Derechos Humanos, y 5/2, relativa al Código de Conducta para los Titulares de Mandatos de los Procedimientos Especiales del Consejo, ambas de 18 de junio de 2007, y destacando que los titulares de mandatos han de desempeñar sus funciones de conformidad con esas resoluciones y sus anexos,</w:t>
      </w:r>
    </w:p>
    <w:p w14:paraId="716E25AC" w14:textId="77777777" w:rsidR="005D7ED7" w:rsidRPr="001F44D6" w:rsidRDefault="005D7ED7" w:rsidP="005D7ED7">
      <w:pPr>
        <w:pStyle w:val="SingleTxtG"/>
      </w:pPr>
      <w:r w:rsidRPr="001F44D6">
        <w:tab/>
      </w:r>
      <w:r w:rsidRPr="001F44D6">
        <w:rPr>
          <w:i/>
          <w:iCs/>
        </w:rPr>
        <w:t>Recordando además</w:t>
      </w:r>
      <w:r w:rsidRPr="001F44D6">
        <w:t xml:space="preserve"> los párrafos de la Declaración y el Programa de Acción de Viena y la Declaración y el Programa de Acción de Durban relativos a los derechos de las personas pertenecientes a minorías nacionales o étnicas, religiosas y lingüísticas, así como las normas internacionales pertinentes,</w:t>
      </w:r>
    </w:p>
    <w:p w14:paraId="29A82855" w14:textId="77777777" w:rsidR="005D7ED7" w:rsidRPr="001F44D6" w:rsidRDefault="005D7ED7" w:rsidP="005D7ED7">
      <w:pPr>
        <w:pStyle w:val="SingleTxtG"/>
        <w:rPr>
          <w:i/>
        </w:rPr>
      </w:pPr>
      <w:r w:rsidRPr="001F44D6">
        <w:tab/>
      </w:r>
      <w:r w:rsidRPr="001F44D6">
        <w:rPr>
          <w:i/>
          <w:iCs/>
        </w:rPr>
        <w:t>Reafirmando</w:t>
      </w:r>
      <w:r w:rsidRPr="001F44D6">
        <w:t xml:space="preserve"> la Agenda 2030 para el Desarrollo Sostenible, de la que la Agenda de Acción de Addis Abeba de la Tercera Conferencia Internacional sobre la Financiación para el Desarrollo es parte integrante, recordando que los Objetivos de Desarrollo Sostenible y sus metas tratan de hacer realidad los derechos humanos de todas las personas, y destacando la necesidad de que los Estados Miembros integren la Agenda 2030 en sus políticas y marcos </w:t>
      </w:r>
      <w:r w:rsidRPr="001F44D6">
        <w:lastRenderedPageBreak/>
        <w:t>de desarrollo nacionales respectivos, según proceda, para promover la aplicación efectiva, el seguimiento y el examen de la Agenda 2030, a fin de asegurar que nadie se quede atrás,</w:t>
      </w:r>
    </w:p>
    <w:p w14:paraId="331FFE33" w14:textId="77777777" w:rsidR="005D7ED7" w:rsidRPr="001F44D6" w:rsidRDefault="005D7ED7" w:rsidP="005D7ED7">
      <w:pPr>
        <w:pStyle w:val="SingleTxtG"/>
      </w:pPr>
      <w:r w:rsidRPr="001F44D6">
        <w:tab/>
      </w:r>
      <w:r w:rsidRPr="001F44D6">
        <w:rPr>
          <w:i/>
          <w:iCs/>
        </w:rPr>
        <w:t>Poniendo de relieve</w:t>
      </w:r>
      <w:r w:rsidRPr="001F44D6">
        <w:t xml:space="preserve"> la necesidad de redoblar los esfuerzos para alcanzar el objetivo de hacer plenamente efectivos los derechos de las personas pertenecientes a minorías nacionales o étnicas, religiosas y lingüísticas, en particular abordando sus condiciones económicas y sociales y la marginación de que son objeto, y para acabar con todo tipo de discriminación contra esas personas,</w:t>
      </w:r>
    </w:p>
    <w:p w14:paraId="6D67C2A4" w14:textId="77777777" w:rsidR="005D7ED7" w:rsidRPr="001F44D6" w:rsidRDefault="005D7ED7" w:rsidP="005D7ED7">
      <w:pPr>
        <w:pStyle w:val="SingleTxtG"/>
      </w:pPr>
      <w:r w:rsidRPr="001F44D6">
        <w:tab/>
        <w:t>1.</w:t>
      </w:r>
      <w:r w:rsidRPr="001F44D6">
        <w:tab/>
      </w:r>
      <w:r w:rsidRPr="001F44D6">
        <w:rPr>
          <w:i/>
          <w:iCs/>
        </w:rPr>
        <w:t>Decide</w:t>
      </w:r>
      <w:r w:rsidRPr="001F44D6">
        <w:t xml:space="preserve"> prorrogar el mandato de la Relatoría Especial sobre cuestiones de las minorías por un período de tres años, en los mismos términos que los previstos por el Consejo de Derechos Humanos en su resolución 25/5, de 27 de marzo de 2014;</w:t>
      </w:r>
    </w:p>
    <w:p w14:paraId="40A2FECC" w14:textId="77777777" w:rsidR="005D7ED7" w:rsidRPr="001F44D6" w:rsidRDefault="005D7ED7" w:rsidP="005D7ED7">
      <w:pPr>
        <w:pStyle w:val="SingleTxtG"/>
      </w:pPr>
      <w:r w:rsidRPr="001F44D6">
        <w:tab/>
        <w:t>2.</w:t>
      </w:r>
      <w:r w:rsidRPr="001F44D6">
        <w:tab/>
      </w:r>
      <w:r w:rsidRPr="001F44D6">
        <w:rPr>
          <w:i/>
          <w:iCs/>
        </w:rPr>
        <w:t>Exhorta</w:t>
      </w:r>
      <w:r w:rsidRPr="001F44D6">
        <w:t xml:space="preserve"> a todos los Estados a que cooperen con la Relatoría Especial y le presten asistencia en el desempeño de las tareas y funciones incluidas en su mandato, le proporcionen toda la información necesaria que solicite y consideren seriamente la posibilidad de responder rápida y favorablemente a toda solicitud que formule para visitar sus países, a fin de que pueda llevar a cabo su labor eficazmente;</w:t>
      </w:r>
    </w:p>
    <w:p w14:paraId="48159D45" w14:textId="77777777" w:rsidR="005D7ED7" w:rsidRPr="001F44D6" w:rsidRDefault="005D7ED7" w:rsidP="005D7ED7">
      <w:pPr>
        <w:pStyle w:val="SingleTxtG"/>
      </w:pPr>
      <w:r w:rsidRPr="001F44D6">
        <w:tab/>
        <w:t>3.</w:t>
      </w:r>
      <w:r w:rsidRPr="001F44D6">
        <w:tab/>
      </w:r>
      <w:r w:rsidRPr="001F44D6">
        <w:rPr>
          <w:i/>
          <w:iCs/>
        </w:rPr>
        <w:t>Alienta</w:t>
      </w:r>
      <w:r w:rsidRPr="001F44D6">
        <w:t xml:space="preserve"> a los organismos especializados, las organizaciones regionales, las instituciones nacionales de derechos humanos y las organizaciones no gubernamentales a que entablen y mantengan un diálogo y una cooperación permanentes con la persona titular del mandato y continúen contribuyendo a la promoción y protección de los derechos de las personas pertenecientes a minorías nacionales o étnicas, religiosas y lingüísticas;</w:t>
      </w:r>
    </w:p>
    <w:p w14:paraId="003F2CA6" w14:textId="77777777" w:rsidR="005D7ED7" w:rsidRPr="001F44D6" w:rsidRDefault="005D7ED7" w:rsidP="005D7ED7">
      <w:pPr>
        <w:pStyle w:val="SingleTxtG"/>
      </w:pPr>
      <w:r w:rsidRPr="001F44D6">
        <w:tab/>
        <w:t>4.</w:t>
      </w:r>
      <w:r w:rsidRPr="001F44D6">
        <w:tab/>
      </w:r>
      <w:r w:rsidRPr="001F44D6">
        <w:rPr>
          <w:i/>
          <w:iCs/>
        </w:rPr>
        <w:t>Solicita</w:t>
      </w:r>
      <w:r w:rsidRPr="001F44D6">
        <w:t xml:space="preserve"> al Secretario General y al Alto Comisionado de las Naciones Unidas para los Derechos Humanos que proporcionen a la Relatoría Especial todos los medios de asistencia humanos, técnicos y financieros que sean necesarios para el desempeño efectivo de su mandato;</w:t>
      </w:r>
    </w:p>
    <w:p w14:paraId="12A081D9" w14:textId="4CE5F13D" w:rsidR="005D7ED7" w:rsidRPr="001F44D6" w:rsidRDefault="005D7ED7" w:rsidP="005D7ED7">
      <w:pPr>
        <w:pStyle w:val="SingleTxtG"/>
      </w:pPr>
      <w:r w:rsidRPr="001F44D6">
        <w:tab/>
        <w:t>5.</w:t>
      </w:r>
      <w:r w:rsidRPr="001F44D6">
        <w:tab/>
      </w:r>
      <w:r w:rsidRPr="001F44D6">
        <w:rPr>
          <w:i/>
          <w:iCs/>
        </w:rPr>
        <w:t>Decide</w:t>
      </w:r>
      <w:r w:rsidRPr="001F44D6">
        <w:t xml:space="preserve"> seguir examinando esta cuestión de conformidad con su programa de</w:t>
      </w:r>
      <w:r w:rsidR="009C3A84">
        <w:t> </w:t>
      </w:r>
      <w:r w:rsidRPr="001F44D6">
        <w:t>trabajo.</w:t>
      </w:r>
    </w:p>
    <w:p w14:paraId="32A21563" w14:textId="77777777" w:rsidR="005D7ED7" w:rsidRPr="001F44D6" w:rsidRDefault="005D7ED7" w:rsidP="005D7ED7">
      <w:pPr>
        <w:pStyle w:val="SingleTxtG"/>
        <w:jc w:val="right"/>
        <w:rPr>
          <w:i/>
          <w:iCs/>
        </w:rPr>
      </w:pPr>
      <w:r w:rsidRPr="001F44D6">
        <w:rPr>
          <w:i/>
          <w:iCs/>
        </w:rPr>
        <w:t>55ª sesión</w:t>
      </w:r>
      <w:r w:rsidRPr="001F44D6">
        <w:rPr>
          <w:i/>
          <w:iCs/>
        </w:rPr>
        <w:br/>
        <w:t xml:space="preserve">3 de abril de </w:t>
      </w:r>
      <w:r w:rsidRPr="005D7ED7">
        <w:rPr>
          <w:i/>
          <w:iCs/>
        </w:rPr>
        <w:t>2023</w:t>
      </w:r>
    </w:p>
    <w:p w14:paraId="0F1B379D" w14:textId="77777777" w:rsidR="005D7ED7" w:rsidRPr="001F44D6" w:rsidRDefault="005D7ED7" w:rsidP="005D7ED7">
      <w:pPr>
        <w:pStyle w:val="SingleTxtG"/>
        <w:rPr>
          <w:iCs/>
        </w:rPr>
      </w:pPr>
      <w:r w:rsidRPr="001F44D6">
        <w:t>[Aprobada sin votación.]</w:t>
      </w:r>
    </w:p>
    <w:p w14:paraId="19C6745C" w14:textId="248B451E" w:rsidR="00381C24" w:rsidRPr="005D7ED7" w:rsidRDefault="005D7ED7" w:rsidP="005D7ED7">
      <w:pPr>
        <w:pStyle w:val="SingleTxtG"/>
        <w:suppressAutoHyphens/>
        <w:spacing w:before="240" w:after="0"/>
        <w:jc w:val="center"/>
        <w:rPr>
          <w:u w:val="single"/>
        </w:rPr>
      </w:pPr>
      <w:r>
        <w:rPr>
          <w:u w:val="single"/>
        </w:rPr>
        <w:tab/>
      </w:r>
      <w:r>
        <w:rPr>
          <w:u w:val="single"/>
        </w:rPr>
        <w:tab/>
      </w:r>
      <w:r>
        <w:rPr>
          <w:u w:val="single"/>
        </w:rPr>
        <w:tab/>
      </w:r>
    </w:p>
    <w:sectPr w:rsidR="00381C24" w:rsidRPr="005D7ED7" w:rsidSect="008B61D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43093" w14:textId="77777777" w:rsidR="0061539D" w:rsidRPr="00A312BC" w:rsidRDefault="0061539D" w:rsidP="00A312BC">
      <w:pPr>
        <w:pStyle w:val="Piedepgina"/>
      </w:pPr>
    </w:p>
  </w:endnote>
  <w:endnote w:type="continuationSeparator" w:id="0">
    <w:p w14:paraId="3383D1BB" w14:textId="77777777" w:rsidR="0061539D" w:rsidRPr="00A312BC" w:rsidRDefault="0061539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697F9" w14:textId="2D8E875B" w:rsidR="008B61D6" w:rsidRPr="008B61D6" w:rsidRDefault="008B61D6" w:rsidP="008B61D6">
    <w:pPr>
      <w:pStyle w:val="Piedepgina"/>
      <w:tabs>
        <w:tab w:val="right" w:pos="9638"/>
      </w:tabs>
    </w:pPr>
    <w:r w:rsidRPr="008B61D6">
      <w:rPr>
        <w:b/>
        <w:sz w:val="18"/>
      </w:rPr>
      <w:fldChar w:fldCharType="begin"/>
    </w:r>
    <w:r w:rsidRPr="008B61D6">
      <w:rPr>
        <w:b/>
        <w:sz w:val="18"/>
      </w:rPr>
      <w:instrText xml:space="preserve"> PAGE  \* MERGEFORMAT </w:instrText>
    </w:r>
    <w:r w:rsidRPr="008B61D6">
      <w:rPr>
        <w:b/>
        <w:sz w:val="18"/>
      </w:rPr>
      <w:fldChar w:fldCharType="separate"/>
    </w:r>
    <w:r w:rsidRPr="008B61D6">
      <w:rPr>
        <w:b/>
        <w:noProof/>
        <w:sz w:val="18"/>
      </w:rPr>
      <w:t>2</w:t>
    </w:r>
    <w:r w:rsidRPr="008B61D6">
      <w:rPr>
        <w:b/>
        <w:sz w:val="18"/>
      </w:rPr>
      <w:fldChar w:fldCharType="end"/>
    </w:r>
    <w:r>
      <w:rPr>
        <w:b/>
        <w:sz w:val="18"/>
      </w:rPr>
      <w:tab/>
    </w:r>
    <w:r>
      <w:t>GE.23-06379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277A9" w14:textId="4F87C1EC" w:rsidR="008B61D6" w:rsidRPr="008B61D6" w:rsidRDefault="008B61D6" w:rsidP="008B61D6">
    <w:pPr>
      <w:pStyle w:val="Piedepgina"/>
      <w:tabs>
        <w:tab w:val="right" w:pos="9638"/>
      </w:tabs>
      <w:rPr>
        <w:b/>
        <w:sz w:val="18"/>
      </w:rPr>
    </w:pPr>
    <w:r>
      <w:t>GE.23-06379</w:t>
    </w:r>
    <w:r>
      <w:tab/>
    </w:r>
    <w:r w:rsidRPr="008B61D6">
      <w:rPr>
        <w:b/>
        <w:sz w:val="18"/>
      </w:rPr>
      <w:fldChar w:fldCharType="begin"/>
    </w:r>
    <w:r w:rsidRPr="008B61D6">
      <w:rPr>
        <w:b/>
        <w:sz w:val="18"/>
      </w:rPr>
      <w:instrText xml:space="preserve"> PAGE  \* MERGEFORMAT </w:instrText>
    </w:r>
    <w:r w:rsidRPr="008B61D6">
      <w:rPr>
        <w:b/>
        <w:sz w:val="18"/>
      </w:rPr>
      <w:fldChar w:fldCharType="separate"/>
    </w:r>
    <w:r w:rsidRPr="008B61D6">
      <w:rPr>
        <w:b/>
        <w:noProof/>
        <w:sz w:val="18"/>
      </w:rPr>
      <w:t>3</w:t>
    </w:r>
    <w:r w:rsidRPr="008B61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F4A07" w14:textId="02E1BCBD" w:rsidR="00042B72" w:rsidRPr="008B61D6" w:rsidRDefault="008B61D6" w:rsidP="008B61D6">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75B2E235" wp14:editId="34AD941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23-06379  (S)</w:t>
    </w:r>
    <w:r>
      <w:rPr>
        <w:noProof/>
        <w:sz w:val="20"/>
      </w:rPr>
      <w:drawing>
        <wp:anchor distT="0" distB="0" distL="114300" distR="114300" simplePos="0" relativeHeight="251658752" behindDoc="0" locked="0" layoutInCell="1" allowOverlap="1" wp14:anchorId="2FBA003A" wp14:editId="3F49BDF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030523    030523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74652" w14:textId="77777777" w:rsidR="0061539D" w:rsidRPr="001075E9" w:rsidRDefault="0061539D" w:rsidP="001075E9">
      <w:pPr>
        <w:tabs>
          <w:tab w:val="right" w:pos="2155"/>
        </w:tabs>
        <w:spacing w:after="80" w:line="240" w:lineRule="auto"/>
        <w:ind w:left="680"/>
        <w:rPr>
          <w:u w:val="single"/>
        </w:rPr>
      </w:pPr>
      <w:r>
        <w:rPr>
          <w:u w:val="single"/>
        </w:rPr>
        <w:tab/>
      </w:r>
    </w:p>
  </w:footnote>
  <w:footnote w:type="continuationSeparator" w:id="0">
    <w:p w14:paraId="229791B6" w14:textId="77777777" w:rsidR="0061539D" w:rsidRDefault="0061539D"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302CB" w14:textId="7FC56413" w:rsidR="008B61D6" w:rsidRPr="008B61D6" w:rsidRDefault="008B61D6">
    <w:pPr>
      <w:pStyle w:val="Encabezado"/>
    </w:pPr>
    <w:fldSimple w:instr=" TITLE  \* MERGEFORMAT ">
      <w:r w:rsidR="003553C7">
        <w:t>A/HRC/RES/52/5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842E4" w14:textId="74A9E19A" w:rsidR="008B61D6" w:rsidRPr="008B61D6" w:rsidRDefault="008B61D6" w:rsidP="008B61D6">
    <w:pPr>
      <w:pStyle w:val="Encabezado"/>
      <w:jc w:val="right"/>
    </w:pPr>
    <w:fldSimple w:instr=" TITLE  \* MERGEFORMAT ">
      <w:r w:rsidR="003553C7">
        <w:t>A/HRC/RES/52/5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53564997">
    <w:abstractNumId w:val="14"/>
  </w:num>
  <w:num w:numId="2" w16cid:durableId="1574002188">
    <w:abstractNumId w:val="11"/>
  </w:num>
  <w:num w:numId="3" w16cid:durableId="522474552">
    <w:abstractNumId w:val="16"/>
  </w:num>
  <w:num w:numId="4" w16cid:durableId="528839481">
    <w:abstractNumId w:val="15"/>
  </w:num>
  <w:num w:numId="5" w16cid:durableId="415513527">
    <w:abstractNumId w:val="13"/>
  </w:num>
  <w:num w:numId="6" w16cid:durableId="250357001">
    <w:abstractNumId w:val="8"/>
  </w:num>
  <w:num w:numId="7" w16cid:durableId="1838382732">
    <w:abstractNumId w:val="3"/>
  </w:num>
  <w:num w:numId="8" w16cid:durableId="585069459">
    <w:abstractNumId w:val="2"/>
  </w:num>
  <w:num w:numId="9" w16cid:durableId="378014698">
    <w:abstractNumId w:val="1"/>
  </w:num>
  <w:num w:numId="10" w16cid:durableId="299771010">
    <w:abstractNumId w:val="0"/>
  </w:num>
  <w:num w:numId="11" w16cid:durableId="189806630">
    <w:abstractNumId w:val="9"/>
  </w:num>
  <w:num w:numId="12" w16cid:durableId="529802234">
    <w:abstractNumId w:val="7"/>
  </w:num>
  <w:num w:numId="13" w16cid:durableId="1301308364">
    <w:abstractNumId w:val="6"/>
  </w:num>
  <w:num w:numId="14" w16cid:durableId="727413027">
    <w:abstractNumId w:val="5"/>
  </w:num>
  <w:num w:numId="15" w16cid:durableId="1292442289">
    <w:abstractNumId w:val="4"/>
  </w:num>
  <w:num w:numId="16" w16cid:durableId="197747154">
    <w:abstractNumId w:val="10"/>
  </w:num>
  <w:num w:numId="17" w16cid:durableId="336856192">
    <w:abstractNumId w:val="14"/>
  </w:num>
  <w:num w:numId="18" w16cid:durableId="2138838226">
    <w:abstractNumId w:val="11"/>
  </w:num>
  <w:num w:numId="19" w16cid:durableId="1405293945">
    <w:abstractNumId w:val="10"/>
  </w:num>
  <w:num w:numId="20" w16cid:durableId="1317148234">
    <w:abstractNumId w:val="16"/>
  </w:num>
  <w:num w:numId="21" w16cid:durableId="27802496">
    <w:abstractNumId w:val="15"/>
  </w:num>
  <w:num w:numId="22" w16cid:durableId="1755977450">
    <w:abstractNumId w:val="12"/>
  </w:num>
  <w:num w:numId="23" w16cid:durableId="704908028">
    <w:abstractNumId w:val="12"/>
  </w:num>
  <w:num w:numId="24" w16cid:durableId="17969874">
    <w:abstractNumId w:val="13"/>
  </w:num>
  <w:num w:numId="25" w16cid:durableId="293485324">
    <w:abstractNumId w:val="9"/>
  </w:num>
  <w:num w:numId="26" w16cid:durableId="455369324">
    <w:abstractNumId w:val="7"/>
  </w:num>
  <w:num w:numId="27" w16cid:durableId="392855153">
    <w:abstractNumId w:val="6"/>
  </w:num>
  <w:num w:numId="28" w16cid:durableId="269357895">
    <w:abstractNumId w:val="5"/>
  </w:num>
  <w:num w:numId="29" w16cid:durableId="432089925">
    <w:abstractNumId w:val="4"/>
  </w:num>
  <w:num w:numId="30" w16cid:durableId="1135639244">
    <w:abstractNumId w:val="8"/>
  </w:num>
  <w:num w:numId="31" w16cid:durableId="531068461">
    <w:abstractNumId w:val="3"/>
  </w:num>
  <w:num w:numId="32" w16cid:durableId="1118110809">
    <w:abstractNumId w:val="2"/>
  </w:num>
  <w:num w:numId="33" w16cid:durableId="1294798410">
    <w:abstractNumId w:val="1"/>
  </w:num>
  <w:num w:numId="34" w16cid:durableId="26627397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39D"/>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553C7"/>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D7ED7"/>
    <w:rsid w:val="005E2B41"/>
    <w:rsid w:val="005F0B42"/>
    <w:rsid w:val="0061539D"/>
    <w:rsid w:val="00681A10"/>
    <w:rsid w:val="006A1ED8"/>
    <w:rsid w:val="006C2031"/>
    <w:rsid w:val="006D461A"/>
    <w:rsid w:val="006F35EE"/>
    <w:rsid w:val="007021FF"/>
    <w:rsid w:val="00712895"/>
    <w:rsid w:val="00757357"/>
    <w:rsid w:val="00825F8D"/>
    <w:rsid w:val="00834B71"/>
    <w:rsid w:val="0086445C"/>
    <w:rsid w:val="00894693"/>
    <w:rsid w:val="008A08D7"/>
    <w:rsid w:val="008B61D6"/>
    <w:rsid w:val="008B6909"/>
    <w:rsid w:val="00906890"/>
    <w:rsid w:val="00911BE4"/>
    <w:rsid w:val="00951972"/>
    <w:rsid w:val="009608F3"/>
    <w:rsid w:val="00982D57"/>
    <w:rsid w:val="009A24AC"/>
    <w:rsid w:val="009C3A84"/>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5EF84"/>
  <w15:docId w15:val="{98B8D02B-B6C7-43F3-8015-272534F06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6</TotalTime>
  <Pages>2</Pages>
  <Words>749</Words>
  <Characters>4093</Characters>
  <Application>Microsoft Office Word</Application>
  <DocSecurity>0</DocSecurity>
  <Lines>79</Lines>
  <Paragraphs>29</Paragraphs>
  <ScaleCrop>false</ScaleCrop>
  <HeadingPairs>
    <vt:vector size="2" baseType="variant">
      <vt:variant>
        <vt:lpstr>Título</vt:lpstr>
      </vt:variant>
      <vt:variant>
        <vt:i4>1</vt:i4>
      </vt:variant>
    </vt:vector>
  </HeadingPairs>
  <TitlesOfParts>
    <vt:vector size="1" baseType="lpstr">
      <vt:lpstr>A/HRC/RES/52/5</vt:lpstr>
    </vt:vector>
  </TitlesOfParts>
  <Company>DCM</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A/HRC/RES/52/5</dc:title>
  <dc:subject/>
  <dc:creator>Juan-Carlos KOROL</dc:creator>
  <cp:keywords/>
  <cp:lastModifiedBy>Juan Korol</cp:lastModifiedBy>
  <cp:revision>3</cp:revision>
  <cp:lastPrinted>2023-05-03T11:46:00Z</cp:lastPrinted>
  <dcterms:created xsi:type="dcterms:W3CDTF">2023-05-03T11:46:00Z</dcterms:created>
  <dcterms:modified xsi:type="dcterms:W3CDTF">2023-05-03T11:47:00Z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