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0820" w:rsidRDefault="00E40820" w:rsidP="00E40820">
      <w:pPr>
        <w:spacing w:line="60" w:lineRule="exact"/>
        <w:rPr>
          <w:sz w:val="6"/>
        </w:rPr>
        <w:sectPr w:rsidR="00E40820" w:rsidSect="00E4082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E40820" w:rsidRDefault="00E40820" w:rsidP="00E40820">
      <w:pPr>
        <w:spacing w:line="60" w:lineRule="exact"/>
        <w:rPr>
          <w:rFonts w:hint="eastAsia"/>
          <w:sz w:val="6"/>
        </w:rPr>
      </w:pPr>
    </w:p>
    <w:p w:rsidR="00B478F7" w:rsidRDefault="00B478F7" w:rsidP="00B478F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B478F7" w:rsidRPr="00B478F7" w:rsidRDefault="00B478F7" w:rsidP="00B478F7">
      <w:pPr>
        <w:pStyle w:val="SingleTxt"/>
        <w:spacing w:after="60"/>
        <w:ind w:left="0"/>
        <w:rPr>
          <w:rFonts w:ascii="SimHei" w:eastAsia="SimHei" w:hint="eastAsia"/>
        </w:rPr>
      </w:pPr>
      <w:r w:rsidRPr="00B478F7">
        <w:rPr>
          <w:rFonts w:ascii="SimHei" w:eastAsia="SimHei" w:hint="eastAsia"/>
        </w:rPr>
        <w:t>第四十六届会议</w:t>
      </w:r>
    </w:p>
    <w:p w:rsidR="00B478F7" w:rsidRDefault="00B478F7" w:rsidP="00B478F7">
      <w:pPr>
        <w:pStyle w:val="SingleTxt"/>
        <w:ind w:left="0"/>
        <w:rPr>
          <w:rFonts w:hint="eastAsia"/>
        </w:rPr>
      </w:pPr>
      <w:r>
        <w:rPr>
          <w:rFonts w:hint="eastAsia"/>
        </w:rPr>
        <w:t>2010年7月12日至30日</w:t>
      </w:r>
    </w:p>
    <w:p w:rsidR="00B478F7" w:rsidRPr="00B478F7" w:rsidRDefault="00B478F7" w:rsidP="00B478F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478F7" w:rsidRPr="00B478F7" w:rsidRDefault="00B478F7" w:rsidP="00B478F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478F7" w:rsidRPr="00B478F7" w:rsidRDefault="00B478F7" w:rsidP="00B478F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478F7" w:rsidRDefault="00B478F7" w:rsidP="00B478F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B478F7" w:rsidRPr="00B478F7" w:rsidRDefault="00B478F7" w:rsidP="00B478F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478F7" w:rsidRPr="00B478F7" w:rsidRDefault="00B478F7" w:rsidP="00B478F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478F7" w:rsidRDefault="00B478F7" w:rsidP="00B478F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阿根廷</w:t>
      </w:r>
    </w:p>
    <w:p w:rsidR="00B478F7" w:rsidRPr="00B478F7" w:rsidRDefault="00B478F7" w:rsidP="00B478F7">
      <w:pPr>
        <w:pStyle w:val="SingleTxt"/>
        <w:spacing w:after="0" w:line="120" w:lineRule="exact"/>
        <w:rPr>
          <w:rFonts w:hint="eastAsia"/>
          <w:sz w:val="10"/>
        </w:rPr>
      </w:pPr>
    </w:p>
    <w:p w:rsidR="00B478F7" w:rsidRDefault="00B478F7" w:rsidP="00713674">
      <w:pPr>
        <w:pStyle w:val="SingleTxt"/>
        <w:spacing w:line="326" w:lineRule="exact"/>
        <w:rPr>
          <w:rFonts w:hint="eastAsia"/>
        </w:rPr>
      </w:pPr>
      <w:r>
        <w:rPr>
          <w:rFonts w:hint="eastAsia"/>
        </w:rPr>
        <w:t>1.</w:t>
      </w:r>
      <w:r>
        <w:rPr>
          <w:rFonts w:hint="eastAsia"/>
        </w:rPr>
        <w:tab/>
      </w:r>
      <w:r w:rsidRPr="00383F4C">
        <w:rPr>
          <w:rFonts w:hint="eastAsia"/>
          <w:spacing w:val="-4"/>
        </w:rPr>
        <w:t>委员会在2010年7月13日第926次和第927次会议上，审议了阿根廷的第六次定期报告(CEDAW/C/ARG/6)。委员会的议题和问题清单载于CEDAW/C/ARG/Q/6，阿根廷的答复载于CEDAW/C/ARG/Q/6/Add.1。</w:t>
      </w:r>
    </w:p>
    <w:p w:rsidR="00B478F7" w:rsidRPr="00B478F7" w:rsidRDefault="00B478F7" w:rsidP="00713674">
      <w:pPr>
        <w:pStyle w:val="SingleTxt"/>
        <w:spacing w:line="326" w:lineRule="exact"/>
        <w:rPr>
          <w:rFonts w:ascii="SimHei" w:eastAsia="SimHei" w:hint="eastAsia"/>
        </w:rPr>
      </w:pPr>
      <w:r w:rsidRPr="00B478F7">
        <w:rPr>
          <w:rFonts w:ascii="SimHei" w:eastAsia="SimHei" w:hint="eastAsia"/>
        </w:rPr>
        <w:t>导言</w:t>
      </w:r>
    </w:p>
    <w:p w:rsidR="00B478F7" w:rsidRDefault="00B478F7" w:rsidP="00713674">
      <w:pPr>
        <w:pStyle w:val="SingleTxt"/>
        <w:spacing w:line="326" w:lineRule="exact"/>
        <w:rPr>
          <w:rFonts w:hint="eastAsia"/>
        </w:rPr>
      </w:pPr>
      <w:r>
        <w:rPr>
          <w:rFonts w:hint="eastAsia"/>
        </w:rPr>
        <w:t>2.</w:t>
      </w:r>
      <w:r>
        <w:rPr>
          <w:rFonts w:hint="eastAsia"/>
        </w:rPr>
        <w:tab/>
        <w:t>委员会对缔约国及时提交其第六次定期报告表示赞赏，并赞扬其为改善阿根廷妇女地位所表现的政治意愿和作出的努力。</w:t>
      </w:r>
    </w:p>
    <w:p w:rsidR="00B478F7" w:rsidRDefault="00B478F7" w:rsidP="00713674">
      <w:pPr>
        <w:pStyle w:val="SingleTxt"/>
        <w:spacing w:line="326" w:lineRule="exact"/>
        <w:rPr>
          <w:rFonts w:hint="eastAsia"/>
        </w:rPr>
      </w:pPr>
      <w:r>
        <w:rPr>
          <w:rFonts w:hint="eastAsia"/>
        </w:rPr>
        <w:t>3.</w:t>
      </w:r>
      <w:r>
        <w:rPr>
          <w:rFonts w:hint="eastAsia"/>
        </w:rPr>
        <w:tab/>
        <w:t>委员会还赞扬由阿根廷常驻联合国代表率领、全国妇女委员会主席陪同的缔约国代表团与委员会进行建设性的对话并努力答复委员会提出的问题。但委员会注意到，代表团没有简洁、明确和直接回答所讨论的某些问题，未能回答委员会在对话过程中提出的一些问题，特别是有关《公约》第一部分的问题。</w:t>
      </w:r>
    </w:p>
    <w:p w:rsidR="00B478F7" w:rsidRPr="00B478F7" w:rsidRDefault="00B478F7" w:rsidP="00713674">
      <w:pPr>
        <w:pStyle w:val="SingleTxt"/>
        <w:spacing w:line="326" w:lineRule="exact"/>
        <w:rPr>
          <w:rFonts w:ascii="SimHei" w:eastAsia="SimHei" w:hint="eastAsia"/>
        </w:rPr>
      </w:pPr>
      <w:r w:rsidRPr="00B478F7">
        <w:rPr>
          <w:rFonts w:ascii="SimHei" w:eastAsia="SimHei" w:hint="eastAsia"/>
        </w:rPr>
        <w:t>积极方面</w:t>
      </w:r>
    </w:p>
    <w:p w:rsidR="00B478F7" w:rsidRDefault="00B478F7" w:rsidP="00713674">
      <w:pPr>
        <w:pStyle w:val="SingleTxt"/>
        <w:spacing w:line="326" w:lineRule="exact"/>
        <w:rPr>
          <w:rFonts w:hint="eastAsia"/>
        </w:rPr>
      </w:pPr>
      <w:r>
        <w:rPr>
          <w:rFonts w:hint="eastAsia"/>
        </w:rPr>
        <w:t>4.</w:t>
      </w:r>
      <w:r>
        <w:rPr>
          <w:rFonts w:hint="eastAsia"/>
        </w:rPr>
        <w:tab/>
        <w:t>委员会赞扬缔约国批准《公约任择议定书》，采取具体的立法措施并自2004年以来建立社会政策和方案，特别是在减少贫穷、授予养恤金领取权以及改善妇女地位及其受教育机会的其它社会保障措施等方面，以求克服2001年该国经受的全球经济危机的影响。委员会还欢迎为克服2008-2009年经济和金融危机影响作出的努力，特别是遵照《公约》规定进一步纳入性别观点的步骤。委员会注意到，有关妇女和女孩的投资增加了176%，她们的贫穷率下降，社会保障政策对妇女和女孩给予优先关注。</w:t>
      </w:r>
    </w:p>
    <w:p w:rsidR="00B478F7" w:rsidRDefault="00B478F7" w:rsidP="00B478F7">
      <w:pPr>
        <w:pStyle w:val="SingleTxt"/>
        <w:rPr>
          <w:rFonts w:hint="eastAsia"/>
        </w:rPr>
      </w:pPr>
      <w:r>
        <w:rPr>
          <w:rFonts w:hint="eastAsia"/>
        </w:rPr>
        <w:t>5.</w:t>
      </w:r>
      <w:r>
        <w:rPr>
          <w:rFonts w:hint="eastAsia"/>
        </w:rPr>
        <w:tab/>
        <w:t>委员会赞扬缔约国采取措施，促使妇女进一步参与公共生活，并积极采取行动，确保她们的机会和待遇平等。委员会尤其欣见妇女首次当选为总统；两名女法官被指派到联邦最高法院任职；而且截至2007年12月，国家政府中有38.5%的行政职位由妇女担任。</w:t>
      </w:r>
    </w:p>
    <w:p w:rsidR="00B478F7" w:rsidRDefault="00B478F7" w:rsidP="00B478F7">
      <w:pPr>
        <w:pStyle w:val="SingleTxt"/>
        <w:rPr>
          <w:rFonts w:hint="eastAsia"/>
        </w:rPr>
      </w:pPr>
      <w:r>
        <w:rPr>
          <w:rFonts w:hint="eastAsia"/>
        </w:rPr>
        <w:t>6.</w:t>
      </w:r>
      <w:r>
        <w:rPr>
          <w:rFonts w:hint="eastAsia"/>
        </w:rPr>
        <w:tab/>
        <w:t>委员会还欣见阿根廷通过《在人际交往中防止、惩罚和根除对妇女暴力行为的综合保护法》(第26485</w:t>
      </w:r>
      <w:r w:rsidR="00383F4C">
        <w:rPr>
          <w:rFonts w:hint="eastAsia"/>
        </w:rPr>
        <w:t>(</w:t>
      </w:r>
      <w:r>
        <w:rPr>
          <w:rFonts w:hint="eastAsia"/>
        </w:rPr>
        <w:t>2009</w:t>
      </w:r>
      <w:r w:rsidR="00383F4C">
        <w:rPr>
          <w:rFonts w:hint="eastAsia"/>
        </w:rPr>
        <w:t>)</w:t>
      </w:r>
      <w:r>
        <w:rPr>
          <w:rFonts w:hint="eastAsia"/>
        </w:rPr>
        <w:t>号法律)。该法律涉及各种形式的性别暴力，包括生理、心理、性、经济和继承的暴力；规定了制定预防措施，协助受害妇女的义务；创建了暴力监察处。它还对联邦最高法院设立家庭暴力案件办公室表示欢迎。</w:t>
      </w:r>
    </w:p>
    <w:p w:rsidR="00B478F7" w:rsidRDefault="00B478F7" w:rsidP="00B478F7">
      <w:pPr>
        <w:pStyle w:val="SingleTxt"/>
        <w:rPr>
          <w:rFonts w:hint="eastAsia"/>
        </w:rPr>
      </w:pPr>
      <w:r>
        <w:rPr>
          <w:rFonts w:hint="eastAsia"/>
        </w:rPr>
        <w:t>7.</w:t>
      </w:r>
      <w:r>
        <w:rPr>
          <w:rFonts w:hint="eastAsia"/>
        </w:rPr>
        <w:tab/>
        <w:t>委员会欣见政府为打击贩运人口和避免受害者再次受害而作出的努力，特别是于2002年11月发布第25632号法律，批准《联合国打击跨国有组织犯罪公约》及其两个巴勒莫议定书，并于2008年4月通过了《防止和惩处贩运人口的法律》</w:t>
      </w:r>
      <w:r w:rsidR="00383F4C">
        <w:rPr>
          <w:rFonts w:hint="eastAsia"/>
        </w:rPr>
        <w:t>(</w:t>
      </w:r>
      <w:r>
        <w:rPr>
          <w:rFonts w:hint="eastAsia"/>
        </w:rPr>
        <w:t>第26364</w:t>
      </w:r>
      <w:r w:rsidR="00383F4C">
        <w:rPr>
          <w:rFonts w:hint="eastAsia"/>
        </w:rPr>
        <w:t>(</w:t>
      </w:r>
      <w:r>
        <w:rPr>
          <w:rFonts w:hint="eastAsia"/>
        </w:rPr>
        <w:t>2008</w:t>
      </w:r>
      <w:r w:rsidR="00383F4C">
        <w:rPr>
          <w:rFonts w:hint="eastAsia"/>
        </w:rPr>
        <w:t>)</w:t>
      </w:r>
      <w:r>
        <w:rPr>
          <w:rFonts w:hint="eastAsia"/>
        </w:rPr>
        <w:t>号法律</w:t>
      </w:r>
      <w:r w:rsidR="00383F4C">
        <w:rPr>
          <w:rFonts w:hint="eastAsia"/>
        </w:rPr>
        <w:t>)</w:t>
      </w:r>
      <w:r>
        <w:rPr>
          <w:rFonts w:hint="eastAsia"/>
        </w:rPr>
        <w:t>。该法律对《刑法》和《刑事诉讼法》作了修正，禁止并惩处以各种形式贩运人口的行为。委员会注意到，该法律将在《防止和惩处贩运人口和支助受害者国家方案》框架内实施。</w:t>
      </w:r>
    </w:p>
    <w:p w:rsidR="00B478F7" w:rsidRDefault="00B478F7" w:rsidP="00B478F7">
      <w:pPr>
        <w:pStyle w:val="SingleTxt"/>
        <w:rPr>
          <w:rFonts w:hint="eastAsia"/>
        </w:rPr>
      </w:pPr>
      <w:r>
        <w:rPr>
          <w:rFonts w:hint="eastAsia"/>
        </w:rPr>
        <w:t>8.</w:t>
      </w:r>
      <w:r>
        <w:rPr>
          <w:rFonts w:hint="eastAsia"/>
        </w:rPr>
        <w:tab/>
        <w:t>委员会还欣见缔约国在编写第六次定期报告过程中，采取了包容各方和参与式的做法，并注意到全国妇女委员会收到了政府各机构和机关提供的材料。由各省代表组成在国家机器中促进提高妇女地位的联邦妇女委员会也提供了材料。此外还收到立法和司法部门提供的材料。</w:t>
      </w:r>
    </w:p>
    <w:p w:rsidR="00B478F7" w:rsidRPr="00B478F7" w:rsidRDefault="00B478F7" w:rsidP="00B478F7">
      <w:pPr>
        <w:pStyle w:val="SingleTxt"/>
        <w:rPr>
          <w:rFonts w:ascii="SimHei" w:eastAsia="SimHei" w:hint="eastAsia"/>
        </w:rPr>
      </w:pPr>
      <w:r w:rsidRPr="00B478F7">
        <w:rPr>
          <w:rFonts w:ascii="SimHei" w:eastAsia="SimHei" w:hint="eastAsia"/>
        </w:rPr>
        <w:t>主要关切领域和建议</w:t>
      </w:r>
    </w:p>
    <w:p w:rsidR="00B478F7" w:rsidRDefault="00B478F7" w:rsidP="00B478F7">
      <w:pPr>
        <w:pStyle w:val="SingleTxt"/>
        <w:rPr>
          <w:rFonts w:hint="eastAsia"/>
        </w:rPr>
      </w:pPr>
      <w:r>
        <w:rPr>
          <w:rFonts w:hint="eastAsia"/>
        </w:rPr>
        <w:t>9.</w:t>
      </w:r>
      <w:r>
        <w:rPr>
          <w:rFonts w:hint="eastAsia"/>
        </w:rPr>
        <w:tab/>
      </w:r>
      <w:r w:rsidRPr="00B478F7">
        <w:rPr>
          <w:rFonts w:ascii="SimHei" w:eastAsia="SimHei" w:hint="eastAsia"/>
        </w:rPr>
        <w:t>委员会提请注意，缔约国有义务系统地、持续地执行《消除对妇女一切形式歧视公约》各项规定，同时认为，从现在到提交下一次定期报告期间，缔约国必须优先注意本结论意见提出的各项关切和建议。因此，委员会敦促缔约国将执行活动的重点放在这些领域上，并在下一次定期报告中汇报所采取的行动和取得的成果。委员会吁请缔约国将本结论意见发交各相关部委、议会和司法机构，以确保其得到充分执行。</w:t>
      </w:r>
    </w:p>
    <w:p w:rsidR="00B478F7" w:rsidRPr="00B478F7" w:rsidRDefault="00B478F7" w:rsidP="00B478F7">
      <w:pPr>
        <w:pStyle w:val="SingleTxt"/>
        <w:rPr>
          <w:rFonts w:ascii="SimHei" w:eastAsia="SimHei" w:hint="eastAsia"/>
        </w:rPr>
      </w:pPr>
      <w:r w:rsidRPr="00B478F7">
        <w:rPr>
          <w:rFonts w:ascii="SimHei" w:eastAsia="SimHei" w:hint="eastAsia"/>
        </w:rPr>
        <w:t>议会</w:t>
      </w:r>
    </w:p>
    <w:p w:rsidR="00B478F7" w:rsidRDefault="00B478F7" w:rsidP="00B478F7">
      <w:pPr>
        <w:pStyle w:val="SingleTxt"/>
        <w:rPr>
          <w:rFonts w:hint="eastAsia"/>
        </w:rPr>
      </w:pPr>
      <w:r>
        <w:rPr>
          <w:rFonts w:hint="eastAsia"/>
        </w:rPr>
        <w:t>10.</w:t>
      </w:r>
      <w:r>
        <w:rPr>
          <w:rFonts w:hint="eastAsia"/>
        </w:rPr>
        <w:tab/>
      </w:r>
      <w:r w:rsidRPr="00B478F7">
        <w:rPr>
          <w:rFonts w:ascii="SimHei" w:eastAsia="SimHei" w:hint="eastAsia"/>
        </w:rPr>
        <w:t>委员会重申，政府对全面执行《公约》规定的缔约国义务负有首要责任，尤其要为此承担问责责任。委员会强调《公约》对政府各部门都具有约束力，并邀请缔约国鼓励其国家议会酌情根据其程序，就执行本结论意见和《公约》规定的政府下一个报告过程采取必要措施。</w:t>
      </w:r>
    </w:p>
    <w:p w:rsidR="00B478F7" w:rsidRPr="00B478F7" w:rsidRDefault="00B478F7" w:rsidP="00B478F7">
      <w:pPr>
        <w:pStyle w:val="SingleTxt"/>
        <w:rPr>
          <w:rFonts w:ascii="SimHei" w:eastAsia="SimHei" w:hint="eastAsia"/>
        </w:rPr>
      </w:pPr>
      <w:r w:rsidRPr="00B478F7">
        <w:rPr>
          <w:rFonts w:ascii="SimHei" w:eastAsia="SimHei" w:hint="eastAsia"/>
        </w:rPr>
        <w:t>联邦政府的问责责任</w:t>
      </w:r>
    </w:p>
    <w:p w:rsidR="00B478F7" w:rsidRDefault="00B478F7" w:rsidP="00B478F7">
      <w:pPr>
        <w:pStyle w:val="SingleTxt"/>
        <w:rPr>
          <w:rFonts w:hint="eastAsia"/>
        </w:rPr>
      </w:pPr>
      <w:r>
        <w:rPr>
          <w:rFonts w:hint="eastAsia"/>
        </w:rPr>
        <w:t>11.</w:t>
      </w:r>
      <w:r>
        <w:rPr>
          <w:rFonts w:hint="eastAsia"/>
        </w:rPr>
        <w:tab/>
        <w:t>委员会知道缔约国的联邦宪法体系很复杂，但强调联邦政府有责任确保执行《公约》，并领导省级政府和领土政府做好这项工作。委员会关切地注意到，联邦政府缺乏一个确保省级政府制定立法和其他措施以始终一贯地全面执行《公约》的有效机制。</w:t>
      </w:r>
    </w:p>
    <w:p w:rsidR="00B478F7" w:rsidRDefault="00B478F7" w:rsidP="00D3440A">
      <w:pPr>
        <w:pStyle w:val="SingleTxt"/>
        <w:spacing w:line="326" w:lineRule="exact"/>
        <w:rPr>
          <w:rFonts w:hint="eastAsia"/>
        </w:rPr>
      </w:pPr>
      <w:r>
        <w:rPr>
          <w:rFonts w:hint="eastAsia"/>
        </w:rPr>
        <w:t>12.</w:t>
      </w:r>
      <w:r>
        <w:rPr>
          <w:rFonts w:hint="eastAsia"/>
        </w:rPr>
        <w:tab/>
      </w:r>
      <w:r w:rsidRPr="00B478F7">
        <w:rPr>
          <w:rFonts w:ascii="SimHei" w:eastAsia="SimHei" w:hint="eastAsia"/>
        </w:rPr>
        <w:t>考虑到联邦政府在执行《公约》方面的责任，委员会敦促缔约国建立有效机制，以确保责任分明，并在国家和省市各级政府的参与下，在全国各地透明和始终一贯地执行《公约》。</w:t>
      </w:r>
    </w:p>
    <w:p w:rsidR="00B478F7" w:rsidRPr="00B478F7" w:rsidRDefault="00B478F7" w:rsidP="00D3440A">
      <w:pPr>
        <w:pStyle w:val="SingleTxt"/>
        <w:spacing w:line="326" w:lineRule="exact"/>
        <w:rPr>
          <w:rFonts w:ascii="SimHei" w:eastAsia="SimHei" w:hint="eastAsia"/>
        </w:rPr>
      </w:pPr>
      <w:r w:rsidRPr="00B478F7">
        <w:rPr>
          <w:rFonts w:ascii="SimHei" w:eastAsia="SimHei" w:hint="eastAsia"/>
        </w:rPr>
        <w:t>公约在国内法律体系中的地位及其知名度</w:t>
      </w:r>
    </w:p>
    <w:p w:rsidR="00B478F7" w:rsidRDefault="00B478F7" w:rsidP="00D3440A">
      <w:pPr>
        <w:pStyle w:val="SingleTxt"/>
        <w:spacing w:line="326" w:lineRule="exact"/>
        <w:rPr>
          <w:rFonts w:hint="eastAsia"/>
        </w:rPr>
      </w:pPr>
      <w:r>
        <w:rPr>
          <w:rFonts w:hint="eastAsia"/>
        </w:rPr>
        <w:t>13.</w:t>
      </w:r>
      <w:r>
        <w:rPr>
          <w:rFonts w:hint="eastAsia"/>
        </w:rPr>
        <w:tab/>
        <w:t>委员会赞扬缔约国在国内法律体系中赋予《消除对妇女一切形式歧视公约》和其他国际人权文书以宪法地位，但委员会注意到其有效实施，以及提高公众对公约规定的认识、通过立法和其他措施禁止对妇女的各种歧视等方面依然有限。委员会感到关切的是，在阿根廷，尤其是在司法部门和其他执法人员中，人们对《公约》及其《任择议定书》普遍缺乏了解。委员会特别关切的是，妇女本身并不了解《公约》赋予她们的权利，不了解《任择议定书》规定的投诉程序，因而缺乏要求全面促进、保护和实现其与男子平等的权利的能力。</w:t>
      </w:r>
    </w:p>
    <w:p w:rsidR="00B478F7" w:rsidRDefault="00B478F7" w:rsidP="00D3440A">
      <w:pPr>
        <w:pStyle w:val="SingleTxt"/>
        <w:spacing w:line="326" w:lineRule="exact"/>
        <w:rPr>
          <w:rFonts w:hint="eastAsia"/>
        </w:rPr>
      </w:pPr>
      <w:r>
        <w:rPr>
          <w:rFonts w:hint="eastAsia"/>
        </w:rPr>
        <w:t>14.</w:t>
      </w:r>
      <w:r>
        <w:rPr>
          <w:rFonts w:hint="eastAsia"/>
        </w:rPr>
        <w:tab/>
      </w:r>
      <w:r w:rsidRPr="00B478F7">
        <w:rPr>
          <w:rFonts w:ascii="SimHei" w:eastAsia="SimHei" w:hint="eastAsia"/>
        </w:rPr>
        <w:t>委员会敦促缔约国采取立法和其他措施，包括酌情进行制裁，禁止对妇女的一切形式的歧视并促进两性平等，采取措施，提高所有利益攸关者，包括政府各部委、议员、司法和执法人员对《公约》及其《任择议定书》以及委员会一般建议的认识，以便使人们了解妇女的权利。委员会还敦促缔约国对妇女开展宣传运动，提高妇女对其人权的认识，确保妇女能够在《公约》规定的权利受到侵犯时利用程序和补救措施。</w:t>
      </w:r>
    </w:p>
    <w:p w:rsidR="00B478F7" w:rsidRPr="00B478F7" w:rsidRDefault="00B478F7" w:rsidP="00D3440A">
      <w:pPr>
        <w:pStyle w:val="SingleTxt"/>
        <w:spacing w:line="326" w:lineRule="exact"/>
        <w:rPr>
          <w:rFonts w:ascii="SimHei" w:eastAsia="SimHei" w:hint="eastAsia"/>
        </w:rPr>
      </w:pPr>
      <w:r w:rsidRPr="00B478F7">
        <w:rPr>
          <w:rFonts w:ascii="SimHei" w:eastAsia="SimHei" w:hint="eastAsia"/>
        </w:rPr>
        <w:t>司法救助和法律投诉机制</w:t>
      </w:r>
    </w:p>
    <w:p w:rsidR="00B478F7" w:rsidRDefault="00B478F7" w:rsidP="00D3440A">
      <w:pPr>
        <w:pStyle w:val="SingleTxt"/>
        <w:spacing w:line="326" w:lineRule="exact"/>
        <w:rPr>
          <w:rFonts w:hint="eastAsia"/>
        </w:rPr>
      </w:pPr>
      <w:r>
        <w:rPr>
          <w:rFonts w:hint="eastAsia"/>
        </w:rPr>
        <w:t>15.</w:t>
      </w:r>
      <w:r>
        <w:rPr>
          <w:rFonts w:hint="eastAsia"/>
        </w:rPr>
        <w:tab/>
        <w:t>委员会感到关切的是，尽管立法规定向妇女提供司法救助，但在实践中，她们行使这一权利和就歧视案件向法庭提出起诉的能力因以下因素而受到限制：缺乏有关自己权利的信息，语言上的障碍，尤其是对土著妇女而言，以及求助于法院方面的其他结构性困难。委员会还关切司法系统在性别上的陈规定型观念、缺少对基于性和性别的歧视以及侵害妇女的暴力行为的了解。</w:t>
      </w:r>
    </w:p>
    <w:p w:rsidR="00B478F7" w:rsidRDefault="00B478F7" w:rsidP="00D3440A">
      <w:pPr>
        <w:pStyle w:val="SingleTxt"/>
        <w:spacing w:line="326" w:lineRule="exact"/>
        <w:rPr>
          <w:rFonts w:hint="eastAsia"/>
        </w:rPr>
      </w:pPr>
      <w:r>
        <w:rPr>
          <w:rFonts w:hint="eastAsia"/>
        </w:rPr>
        <w:t>16.</w:t>
      </w:r>
      <w:r>
        <w:rPr>
          <w:rFonts w:hint="eastAsia"/>
        </w:rPr>
        <w:tab/>
      </w:r>
      <w:r w:rsidRPr="00B478F7">
        <w:rPr>
          <w:rFonts w:ascii="SimHei" w:eastAsia="SimHei" w:hint="eastAsia"/>
        </w:rPr>
        <w:t>委员会请缔约国采取一切适当措施，消除妇女在求助司法方面可能面对的障碍，制订措施，确保妇女能够求助于司法。委员会具体建议缔约国通过扫除法盲方案和法律援助，加强妇女对自身权利的了解，除农场地区的妇女和属于最弱势群体的妇女外，还包括土著社区的妇女对其自身权利的了解，以便她们了解对歧视和虐待的现有法律补救措施，根据《公约》要求拥有她们所有的权利。委员会还敦促缔约国确保包括法官、律师、检察官和公设辩护人在内地司法界熟悉《公约》规定的妇女权利和缔约国的各项义务。委员会还鼓励缔约国向包括执法机构在内的司法系统所有成员提供关于提高两性平等认识的培训，并监测这种努力的结果。</w:t>
      </w:r>
    </w:p>
    <w:p w:rsidR="00B478F7" w:rsidRPr="00B478F7" w:rsidRDefault="00B478F7" w:rsidP="00B478F7">
      <w:pPr>
        <w:pStyle w:val="SingleTxt"/>
        <w:rPr>
          <w:rFonts w:ascii="SimHei" w:eastAsia="SimHei" w:hint="eastAsia"/>
        </w:rPr>
      </w:pPr>
      <w:r w:rsidRPr="00B478F7">
        <w:rPr>
          <w:rFonts w:ascii="SimHei" w:eastAsia="SimHei" w:hint="eastAsia"/>
        </w:rPr>
        <w:t>国家机构以及将性别观点纳入国家政策和方案</w:t>
      </w:r>
    </w:p>
    <w:p w:rsidR="00B478F7" w:rsidRDefault="00B478F7" w:rsidP="00B478F7">
      <w:pPr>
        <w:pStyle w:val="SingleTxt"/>
        <w:rPr>
          <w:rFonts w:hint="eastAsia"/>
        </w:rPr>
      </w:pPr>
      <w:r>
        <w:rPr>
          <w:rFonts w:hint="eastAsia"/>
        </w:rPr>
        <w:t>17.</w:t>
      </w:r>
      <w:r>
        <w:rPr>
          <w:rFonts w:hint="eastAsia"/>
        </w:rPr>
        <w:tab/>
        <w:t>委员会欢迎缔约国做出的努力，但感到关切的是，尽管最近向妇女全国委员会提供更多的财政和人力资源，但后者尚未完全克服自1992年成立以来面对的结构性挑战。因此，该国家机构似乎没有充分的能力在全国有效促进妇女地位的提高和两性平等，也不能制订和执行公共政策。各省市在执行《公约》方面差距巨大，社会障碍仍待解决。</w:t>
      </w:r>
    </w:p>
    <w:p w:rsidR="00B478F7" w:rsidRDefault="00B478F7" w:rsidP="00B478F7">
      <w:pPr>
        <w:pStyle w:val="SingleTxt"/>
        <w:rPr>
          <w:rFonts w:hint="eastAsia"/>
        </w:rPr>
      </w:pPr>
      <w:r>
        <w:rPr>
          <w:rFonts w:hint="eastAsia"/>
        </w:rPr>
        <w:t>18.</w:t>
      </w:r>
      <w:r>
        <w:rPr>
          <w:rFonts w:hint="eastAsia"/>
        </w:rPr>
        <w:tab/>
      </w:r>
      <w:r w:rsidRPr="00B478F7">
        <w:rPr>
          <w:rFonts w:ascii="SimHei" w:eastAsia="SimHei" w:hint="eastAsia"/>
        </w:rPr>
        <w:t>委员会建议缔约国继续加强现有的国家机构，途径是解决妨碍其有效运作的结构性弱点，并为其提供充足的财政和人力资源，以期增强其效力、知名度和影响公共政策制订、设计和执行的能力，并加强其在国家和省市各级的协调作用。委员会还呼吁缔约国进一步投资制订综合性别指标制度，以期改进分类数据的收集，将其作为评估旨在将两性平等纳入主流并加强妇女享有其人权的政策和方案的影响和效力的手段。委员会还强调必须制订综合行动规划，以消除社会障碍和陈规陋习，从而改变态度，并有效执行法律。</w:t>
      </w:r>
    </w:p>
    <w:p w:rsidR="00B478F7" w:rsidRDefault="00B478F7" w:rsidP="00B478F7">
      <w:pPr>
        <w:pStyle w:val="SingleTxt"/>
        <w:rPr>
          <w:rFonts w:hint="eastAsia"/>
        </w:rPr>
      </w:pPr>
      <w:r>
        <w:rPr>
          <w:rFonts w:hint="eastAsia"/>
        </w:rPr>
        <w:t>19.</w:t>
      </w:r>
      <w:r w:rsidR="00D3440A">
        <w:rPr>
          <w:rFonts w:hint="eastAsia"/>
        </w:rPr>
        <w:tab/>
      </w:r>
      <w:r>
        <w:rPr>
          <w:rFonts w:hint="eastAsia"/>
        </w:rPr>
        <w:t>委员会欣见实施旨在减少贫穷和解决缺乏住房问题的收入转让方案，包括通过儿童普惠津贴促进社会保护的举措，扩大家庭津贴的实施范围，但委员会指出，在设计和实施这些政策时，没有充分纳入两性平等的观点。</w:t>
      </w:r>
    </w:p>
    <w:p w:rsidR="00B478F7" w:rsidRDefault="00B478F7" w:rsidP="00B478F7">
      <w:pPr>
        <w:pStyle w:val="SingleTxt"/>
        <w:rPr>
          <w:rFonts w:hint="eastAsia"/>
        </w:rPr>
      </w:pPr>
      <w:r>
        <w:rPr>
          <w:rFonts w:hint="eastAsia"/>
        </w:rPr>
        <w:t>20.</w:t>
      </w:r>
      <w:r w:rsidR="00D3440A">
        <w:rPr>
          <w:rFonts w:hint="eastAsia"/>
        </w:rPr>
        <w:tab/>
      </w:r>
      <w:r>
        <w:rPr>
          <w:rFonts w:hint="eastAsia"/>
        </w:rPr>
        <w:t>委员会建议缔约国确保在所有的政策和方案中纳入两性平等的观点。</w:t>
      </w:r>
    </w:p>
    <w:p w:rsidR="00B478F7" w:rsidRPr="00B478F7" w:rsidRDefault="00B478F7" w:rsidP="00B478F7">
      <w:pPr>
        <w:pStyle w:val="SingleTxt"/>
        <w:rPr>
          <w:rFonts w:ascii="SimHei" w:eastAsia="SimHei" w:hint="eastAsia"/>
        </w:rPr>
      </w:pPr>
      <w:r w:rsidRPr="00B478F7">
        <w:rPr>
          <w:rFonts w:ascii="SimHei" w:eastAsia="SimHei" w:hint="eastAsia"/>
        </w:rPr>
        <w:t>暂行特别措施</w:t>
      </w:r>
    </w:p>
    <w:p w:rsidR="00B478F7" w:rsidRDefault="00B478F7" w:rsidP="00B478F7">
      <w:pPr>
        <w:pStyle w:val="SingleTxt"/>
        <w:rPr>
          <w:rFonts w:hint="eastAsia"/>
        </w:rPr>
      </w:pPr>
      <w:r>
        <w:rPr>
          <w:rFonts w:hint="eastAsia"/>
        </w:rPr>
        <w:t>21.</w:t>
      </w:r>
      <w:r>
        <w:rPr>
          <w:rFonts w:hint="eastAsia"/>
        </w:rPr>
        <w:tab/>
        <w:t>委员会注意到，缔约国的国内立法中，尤其是与政治和工会有关的部门中，还有暂行特别措施。但委员会注意到，无论从构思还是从实施角度来看，这些措施在其他方面的应用有限。</w:t>
      </w:r>
    </w:p>
    <w:p w:rsidR="00B478F7" w:rsidRDefault="00B478F7" w:rsidP="00B478F7">
      <w:pPr>
        <w:pStyle w:val="SingleTxt"/>
        <w:rPr>
          <w:rFonts w:hint="eastAsia"/>
        </w:rPr>
      </w:pPr>
      <w:r>
        <w:rPr>
          <w:rFonts w:hint="eastAsia"/>
        </w:rPr>
        <w:t>22.</w:t>
      </w:r>
      <w:r>
        <w:rPr>
          <w:rFonts w:hint="eastAsia"/>
        </w:rPr>
        <w:tab/>
      </w:r>
      <w:r w:rsidRPr="00B478F7">
        <w:rPr>
          <w:rFonts w:ascii="SimHei" w:eastAsia="SimHei" w:hint="eastAsia"/>
        </w:rPr>
        <w:t>委员会敦促缔约国促进关于《公约》第4条第1款以及委员会第25条一般性建议的充分讨论，并在包括民事、政治、经济、社会和文化在内的各个领域制定暂行特别措施，以便实现有效两性平等，尤其是对遭受多种形式歧视的妇女而言。</w:t>
      </w:r>
    </w:p>
    <w:p w:rsidR="00B478F7" w:rsidRPr="00B478F7" w:rsidRDefault="00B478F7" w:rsidP="00B478F7">
      <w:pPr>
        <w:pStyle w:val="SingleTxt"/>
        <w:rPr>
          <w:rFonts w:ascii="SimHei" w:eastAsia="SimHei" w:hint="eastAsia"/>
        </w:rPr>
      </w:pPr>
      <w:r w:rsidRPr="00B478F7">
        <w:rPr>
          <w:rFonts w:ascii="SimHei" w:eastAsia="SimHei" w:hint="eastAsia"/>
        </w:rPr>
        <w:t>暴力侵害妇女行为</w:t>
      </w:r>
    </w:p>
    <w:p w:rsidR="00B478F7" w:rsidRDefault="00B478F7" w:rsidP="00B478F7">
      <w:pPr>
        <w:pStyle w:val="SingleTxt"/>
        <w:rPr>
          <w:rFonts w:hint="eastAsia"/>
        </w:rPr>
      </w:pPr>
      <w:r>
        <w:rPr>
          <w:rFonts w:hint="eastAsia"/>
        </w:rPr>
        <w:t>23.</w:t>
      </w:r>
      <w:r>
        <w:rPr>
          <w:rFonts w:hint="eastAsia"/>
        </w:rPr>
        <w:tab/>
        <w:t>委员会欢迎《在人际交往中防止、惩罚和根除对妇女暴力行为的综合保护法》(第26485</w:t>
      </w:r>
      <w:r w:rsidR="00383F4C">
        <w:rPr>
          <w:rFonts w:hint="eastAsia"/>
        </w:rPr>
        <w:t>(</w:t>
      </w:r>
      <w:r>
        <w:rPr>
          <w:rFonts w:hint="eastAsia"/>
        </w:rPr>
        <w:t>2009</w:t>
      </w:r>
      <w:r w:rsidR="00383F4C">
        <w:rPr>
          <w:rFonts w:hint="eastAsia"/>
        </w:rPr>
        <w:t>)</w:t>
      </w:r>
      <w:r>
        <w:rPr>
          <w:rFonts w:hint="eastAsia"/>
        </w:rPr>
        <w:t>号法律)，但感到关切的是，在这一所谓的法律通过一年后，仍然没有为执行该法律立法和分配足够的财政资源。</w:t>
      </w:r>
    </w:p>
    <w:p w:rsidR="00B478F7" w:rsidRDefault="00B478F7" w:rsidP="00B478F7">
      <w:pPr>
        <w:pStyle w:val="SingleTxt"/>
        <w:rPr>
          <w:rFonts w:hint="eastAsia"/>
        </w:rPr>
      </w:pPr>
      <w:r>
        <w:rPr>
          <w:rFonts w:hint="eastAsia"/>
        </w:rPr>
        <w:t>24.</w:t>
      </w:r>
      <w:r>
        <w:rPr>
          <w:rFonts w:hint="eastAsia"/>
        </w:rPr>
        <w:tab/>
      </w:r>
      <w:r w:rsidRPr="00B478F7">
        <w:rPr>
          <w:rFonts w:ascii="SimHei" w:eastAsia="SimHei" w:hint="eastAsia"/>
        </w:rPr>
        <w:t>委员会敦促缔约国以一致的方式，并在所有省份加速通过和执行法律并提供财政资源，以便使《在人际交往中防止、惩罚和根除对妇女暴力行为的综合保护法》全面生效。这必须包括在国家和省市一级有效执行现有法律，打击一切形式暴力侵害妇女行为。委员会鼓励缔约国加强它的数据收集系统在一切形式暴力侵害妇女行为方面的工作，并将这种信息列入本结论意见第51段提及的委员会后续程序中。关于婚内强奸这一具体问题，委员会敦促缔约国建立鼓励妇女举报的制度，并制订一组指标，评价举报这一罪行和这一罪行发生率方面的趋势。</w:t>
      </w:r>
    </w:p>
    <w:p w:rsidR="00B478F7" w:rsidRDefault="00B478F7" w:rsidP="00D3440A">
      <w:pPr>
        <w:pStyle w:val="SingleTxt"/>
        <w:spacing w:line="310" w:lineRule="exact"/>
        <w:rPr>
          <w:rFonts w:hint="eastAsia"/>
        </w:rPr>
      </w:pPr>
      <w:r>
        <w:rPr>
          <w:rFonts w:hint="eastAsia"/>
        </w:rPr>
        <w:t>25.</w:t>
      </w:r>
      <w:r>
        <w:rPr>
          <w:rFonts w:hint="eastAsia"/>
        </w:rPr>
        <w:tab/>
        <w:t>委员会赞扬缔约国努力将上一个独裁者统治期间实施危害人类罪的犯罪人绳之以法。但令委员会感到遗憾的是，上一个独裁者统治期间在秘密拘留中心对妇女犯下的性暴力行为并没有受到惩罚。</w:t>
      </w:r>
    </w:p>
    <w:p w:rsidR="00B478F7" w:rsidRDefault="00B478F7" w:rsidP="00D3440A">
      <w:pPr>
        <w:pStyle w:val="SingleTxt"/>
        <w:spacing w:line="310" w:lineRule="exact"/>
        <w:rPr>
          <w:rFonts w:hint="eastAsia"/>
        </w:rPr>
      </w:pPr>
      <w:r>
        <w:rPr>
          <w:rFonts w:hint="eastAsia"/>
        </w:rPr>
        <w:t>26.</w:t>
      </w:r>
      <w:r>
        <w:rPr>
          <w:rFonts w:hint="eastAsia"/>
        </w:rPr>
        <w:tab/>
      </w:r>
      <w:r w:rsidRPr="00B478F7">
        <w:rPr>
          <w:rFonts w:ascii="SimHei" w:eastAsia="SimHei" w:hint="eastAsia"/>
        </w:rPr>
        <w:t>委员会建议采取积极措施，确保依照安全理事会第1820(2008)号决议，在审判危害人类罪的范围内，宣传、起诉和惩罚在上一个独裁者统治期间犯下的性暴力行为，并向受害者提供赔偿。</w:t>
      </w:r>
    </w:p>
    <w:p w:rsidR="00B478F7" w:rsidRPr="00161CCD" w:rsidRDefault="00B478F7" w:rsidP="00D3440A">
      <w:pPr>
        <w:pStyle w:val="SingleTxt"/>
        <w:spacing w:line="310" w:lineRule="exact"/>
        <w:rPr>
          <w:rFonts w:ascii="SimHei" w:eastAsia="SimHei" w:hint="eastAsia"/>
        </w:rPr>
      </w:pPr>
      <w:r w:rsidRPr="00161CCD">
        <w:rPr>
          <w:rFonts w:ascii="SimHei" w:eastAsia="SimHei" w:hint="eastAsia"/>
        </w:rPr>
        <w:t>被拘留妇女</w:t>
      </w:r>
    </w:p>
    <w:p w:rsidR="00B478F7" w:rsidRDefault="00B478F7" w:rsidP="00D3440A">
      <w:pPr>
        <w:pStyle w:val="SingleTxt"/>
        <w:spacing w:line="310" w:lineRule="exact"/>
        <w:rPr>
          <w:rFonts w:hint="eastAsia"/>
        </w:rPr>
      </w:pPr>
      <w:r>
        <w:rPr>
          <w:rFonts w:hint="eastAsia"/>
        </w:rPr>
        <w:t>27.</w:t>
      </w:r>
      <w:r>
        <w:rPr>
          <w:rFonts w:hint="eastAsia"/>
        </w:rPr>
        <w:tab/>
        <w:t>委员会收到的信息表明，关押在监狱中的妇女人数很多，持续存在暴力侵害被拘留妇女的行为，一再发生搜查阴道和检查阴道的情况，以及发生妇女在拘留所被打死的情况，以及总体拘留条件恶劣。委员会对此表示关切。委员会还注意到，防止再次出现这类行为和加强保护被拘留妇女以及起诉在监狱中对妇女实施性暴力行为的犯罪人的措施依然有限。</w:t>
      </w:r>
    </w:p>
    <w:p w:rsidR="00B478F7" w:rsidRDefault="00B478F7" w:rsidP="00D3440A">
      <w:pPr>
        <w:pStyle w:val="SingleTxt"/>
        <w:spacing w:line="310" w:lineRule="exact"/>
        <w:rPr>
          <w:rFonts w:hint="eastAsia"/>
        </w:rPr>
      </w:pPr>
      <w:r>
        <w:rPr>
          <w:rFonts w:hint="eastAsia"/>
        </w:rPr>
        <w:t>28.</w:t>
      </w:r>
      <w:r>
        <w:rPr>
          <w:rFonts w:hint="eastAsia"/>
        </w:rPr>
        <w:tab/>
      </w:r>
      <w:r w:rsidRPr="00B478F7">
        <w:rPr>
          <w:rFonts w:ascii="SimHei" w:eastAsia="SimHei" w:hint="eastAsia"/>
        </w:rPr>
        <w:t>委员会建议制订对性别问题有敏感认识的综合政策、战略和方案，从而改善被关押妇女的状况。委员会尤其敦促缔约国确保由对性别问题有敏感认识的监狱人员管理被拘留的妇女，不雇用男警卫作为女牢的一线工作人员。委员会还敦促缔约国采取适当措施，确保在搜身期间充分尊重所有人的尊严和人权，全面遵守国际标准，并为女犯设立一个独立、综合和可获取的外部补救和监督机制。</w:t>
      </w:r>
    </w:p>
    <w:p w:rsidR="00B478F7" w:rsidRPr="00B478F7" w:rsidRDefault="00B478F7" w:rsidP="00D3440A">
      <w:pPr>
        <w:pStyle w:val="SingleTxt"/>
        <w:spacing w:line="310" w:lineRule="exact"/>
        <w:rPr>
          <w:rFonts w:ascii="SimHei" w:eastAsia="SimHei" w:hint="eastAsia"/>
        </w:rPr>
      </w:pPr>
      <w:r w:rsidRPr="00B478F7">
        <w:rPr>
          <w:rFonts w:ascii="SimHei" w:eastAsia="SimHei" w:hint="eastAsia"/>
        </w:rPr>
        <w:t>贩运和利用妇女卖淫营利</w:t>
      </w:r>
    </w:p>
    <w:p w:rsidR="00B478F7" w:rsidRDefault="00B478F7" w:rsidP="00D3440A">
      <w:pPr>
        <w:pStyle w:val="SingleTxt"/>
        <w:spacing w:line="310" w:lineRule="exact"/>
        <w:rPr>
          <w:rFonts w:hint="eastAsia"/>
        </w:rPr>
      </w:pPr>
      <w:r>
        <w:rPr>
          <w:rFonts w:hint="eastAsia"/>
        </w:rPr>
        <w:t>29.</w:t>
      </w:r>
      <w:r>
        <w:rPr>
          <w:rFonts w:hint="eastAsia"/>
        </w:rPr>
        <w:tab/>
        <w:t>委员会赞扬缔约国已开始将贩运人口问题列为国家议程优先事项，但对贩运和利用妇女卖淫营利这一罪行的跨国性质感到关切，例如参与贩运的招聘者跨界网络，以及受害者重新融入原居住国的问题。此外，委员会注意到需要与省市一级的相关机构合作，尤其是在更多群体遇到危险的阿根廷北部和东北部地区。</w:t>
      </w:r>
    </w:p>
    <w:p w:rsidR="00B478F7" w:rsidRPr="00B478F7" w:rsidRDefault="00B478F7" w:rsidP="00D3440A">
      <w:pPr>
        <w:pStyle w:val="SingleTxt"/>
        <w:spacing w:line="310" w:lineRule="exact"/>
        <w:rPr>
          <w:rFonts w:ascii="SimHei" w:eastAsia="SimHei" w:hint="eastAsia"/>
        </w:rPr>
      </w:pPr>
      <w:r>
        <w:rPr>
          <w:rFonts w:hint="eastAsia"/>
        </w:rPr>
        <w:t>30.</w:t>
      </w:r>
      <w:r>
        <w:rPr>
          <w:rFonts w:hint="eastAsia"/>
        </w:rPr>
        <w:tab/>
      </w:r>
      <w:r w:rsidRPr="00B478F7">
        <w:rPr>
          <w:rFonts w:ascii="SimHei" w:eastAsia="SimHei" w:hint="eastAsia"/>
        </w:rPr>
        <w:t>委员会敦促缔约国进一步加强在打击贩运人口方面的工作，以期全面和综合地处理这一具有国际性质的犯罪的复杂性。该委员会还敦促缔约国对2008年4月通过的第26364号法律加以补充，确保按照国际法充分保护所有妇女，无论其年龄大小，并充分保护那些遭贩卖并担心回到原籍国后会受迫害的人。</w:t>
      </w:r>
    </w:p>
    <w:p w:rsidR="00B478F7" w:rsidRDefault="00B478F7" w:rsidP="00D3440A">
      <w:pPr>
        <w:pStyle w:val="SingleTxt"/>
        <w:spacing w:line="310" w:lineRule="exact"/>
        <w:rPr>
          <w:rFonts w:hint="eastAsia"/>
        </w:rPr>
      </w:pPr>
      <w:r w:rsidRPr="00B478F7">
        <w:rPr>
          <w:rFonts w:ascii="SimHei" w:eastAsia="SimHei" w:hint="eastAsia"/>
        </w:rPr>
        <w:t>政治参与和参与公共生活</w:t>
      </w:r>
    </w:p>
    <w:p w:rsidR="00B478F7" w:rsidRDefault="00B478F7" w:rsidP="00D3440A">
      <w:pPr>
        <w:pStyle w:val="SingleTxt"/>
        <w:spacing w:line="310" w:lineRule="exact"/>
        <w:rPr>
          <w:rFonts w:hint="eastAsia"/>
        </w:rPr>
      </w:pPr>
      <w:r>
        <w:rPr>
          <w:rFonts w:hint="eastAsia"/>
        </w:rPr>
        <w:t>31.</w:t>
      </w:r>
      <w:r>
        <w:rPr>
          <w:rFonts w:hint="eastAsia"/>
        </w:rPr>
        <w:tab/>
        <w:t>委员会欢迎参与政治的妇女人数大幅增加；妇女第一次当选为总统，而且女总统候选人加起来的得票总数超过总投票数的78%；四分之一的部委由妇女领导；迄今为止，国务秘书一级22%的任命和副国务秘书一级23%的任命均为妇女。委员会还注意到，在其他机构和机关、国家政府内和省政府一级、国家立法部门和某些省立法机构、司法机构内，以及某种程度上在私营部门，妇女担任了大量的高级职务和(或)行政领导职务。但委员会也注意到，各省之间有明显的差距。</w:t>
      </w:r>
    </w:p>
    <w:p w:rsidR="00B478F7" w:rsidRPr="00B478F7" w:rsidRDefault="00B478F7" w:rsidP="00D3440A">
      <w:pPr>
        <w:pStyle w:val="SingleTxt"/>
        <w:spacing w:line="310" w:lineRule="exact"/>
        <w:rPr>
          <w:rFonts w:ascii="SimHei" w:eastAsia="SimHei" w:hint="eastAsia"/>
        </w:rPr>
      </w:pPr>
      <w:r>
        <w:rPr>
          <w:rFonts w:hint="eastAsia"/>
        </w:rPr>
        <w:t>32.</w:t>
      </w:r>
      <w:r>
        <w:rPr>
          <w:rFonts w:hint="eastAsia"/>
        </w:rPr>
        <w:tab/>
      </w:r>
      <w:r w:rsidRPr="00B478F7">
        <w:rPr>
          <w:rFonts w:ascii="SimHei" w:eastAsia="SimHei" w:hint="eastAsia"/>
        </w:rPr>
        <w:t>委员会敦促缔约国解决各省之间在妇女参与政治和妇女的代表性方面的巨大差异，途径包括投资于教育和提高认识运动，旨在消除某些区域仍在盛行的社会障碍并破除性别歧视态度和陈规定型观念。</w:t>
      </w:r>
    </w:p>
    <w:p w:rsidR="00B478F7" w:rsidRDefault="00B478F7" w:rsidP="00D3440A">
      <w:pPr>
        <w:pStyle w:val="SingleTxt"/>
        <w:spacing w:line="310" w:lineRule="exact"/>
        <w:rPr>
          <w:rFonts w:hint="eastAsia"/>
        </w:rPr>
      </w:pPr>
      <w:r w:rsidRPr="00B478F7">
        <w:rPr>
          <w:rFonts w:ascii="SimHei" w:eastAsia="SimHei" w:hint="eastAsia"/>
        </w:rPr>
        <w:t>教育</w:t>
      </w:r>
    </w:p>
    <w:p w:rsidR="00B478F7" w:rsidRDefault="00B478F7" w:rsidP="00D3440A">
      <w:pPr>
        <w:pStyle w:val="SingleTxt"/>
        <w:spacing w:line="310" w:lineRule="exact"/>
        <w:rPr>
          <w:rFonts w:hint="eastAsia"/>
        </w:rPr>
      </w:pPr>
      <w:r>
        <w:rPr>
          <w:rFonts w:hint="eastAsia"/>
        </w:rPr>
        <w:t>33.</w:t>
      </w:r>
      <w:r>
        <w:rPr>
          <w:rFonts w:hint="eastAsia"/>
        </w:rPr>
        <w:tab/>
        <w:t>委员会欢迎提供信息，说明在教育领域取得的进展，包括实现千年发展目标2和制订及执行教育方面的立法，包括关于技术和职业教育的第26058(2005)号国家法律；产生了《国家全面性教育计划》的第26150(2006)号国家法律，该法律将在从5岁开始的全国各级教育中强制推行；以及第26206号国家法律明确规定教育中列入性别观点。委员会赞赏地注意到，政府已经把教师培训和审查教科书作为优先事项，但对以下事实感到关切，即性别陈规定型观念和媒体可能对妇女选择传统社会职业产生影响，而且尽管妇女受教育的时间超过男子并获得更高的学历，她们在劳动力市场上的相对优势很有限。</w:t>
      </w:r>
    </w:p>
    <w:p w:rsidR="00B478F7" w:rsidRPr="00B478F7" w:rsidRDefault="00B478F7" w:rsidP="00D3440A">
      <w:pPr>
        <w:pStyle w:val="SingleTxt"/>
        <w:spacing w:line="310" w:lineRule="exact"/>
        <w:rPr>
          <w:rFonts w:ascii="SimHei" w:eastAsia="SimHei" w:hint="eastAsia"/>
        </w:rPr>
      </w:pPr>
      <w:r>
        <w:rPr>
          <w:rFonts w:hint="eastAsia"/>
        </w:rPr>
        <w:t>34.</w:t>
      </w:r>
      <w:r>
        <w:rPr>
          <w:rFonts w:hint="eastAsia"/>
        </w:rPr>
        <w:tab/>
      </w:r>
      <w:r w:rsidRPr="00B478F7">
        <w:rPr>
          <w:rFonts w:ascii="SimHei" w:eastAsia="SimHei" w:hint="eastAsia"/>
        </w:rPr>
        <w:t>委员会敦促缔约国确保广泛传播与妇女受教育机会有关的信息，包括职业教育方面的信息，以期进一步扩大妇女的专业选择，包括从事收入更高的工作。委员会进一步建议，在全国各省市教育系统对各级教师进行强制性两性平等培训，以期从正式和非正式的课程中消除性别陈规定型观念。应制订具体战略打击流行的家长制文化。</w:t>
      </w:r>
    </w:p>
    <w:p w:rsidR="00B478F7" w:rsidRDefault="00B478F7" w:rsidP="00D3440A">
      <w:pPr>
        <w:pStyle w:val="SingleTxt"/>
        <w:spacing w:line="310" w:lineRule="exact"/>
        <w:rPr>
          <w:rFonts w:hint="eastAsia"/>
        </w:rPr>
      </w:pPr>
      <w:r w:rsidRPr="00B478F7">
        <w:rPr>
          <w:rFonts w:ascii="SimHei" w:eastAsia="SimHei" w:hint="eastAsia"/>
        </w:rPr>
        <w:t>就业</w:t>
      </w:r>
    </w:p>
    <w:p w:rsidR="00B478F7" w:rsidRDefault="00B478F7" w:rsidP="00D3440A">
      <w:pPr>
        <w:pStyle w:val="SingleTxt"/>
        <w:spacing w:line="310" w:lineRule="exact"/>
        <w:rPr>
          <w:rFonts w:hint="eastAsia"/>
        </w:rPr>
      </w:pPr>
      <w:r>
        <w:rPr>
          <w:rFonts w:hint="eastAsia"/>
        </w:rPr>
        <w:t>35.</w:t>
      </w:r>
      <w:r>
        <w:rPr>
          <w:rFonts w:hint="eastAsia"/>
        </w:rPr>
        <w:tab/>
        <w:t>委员会欢迎为降低妇女失业率而采取的措施，以及工作场所平等待遇和平等机会问题三方委员会的作用。委员会表示关切的是，无论是在正规还是非正规经济部门，妇女的工作条件不平等，持续存在职业隔离和妇女集中于低收入工作的现象，公共和私营部门男女工资差异巨大，缺少托儿服务，以及没有处理工作场所性骚扰问题的立法。尽管为保护家庭雇工采取了一些措施，但委员会对她们的持续危险处境表示关切。</w:t>
      </w:r>
    </w:p>
    <w:p w:rsidR="00B478F7" w:rsidRPr="00B478F7" w:rsidRDefault="00B478F7" w:rsidP="00D3440A">
      <w:pPr>
        <w:pStyle w:val="SingleTxt"/>
        <w:spacing w:line="310" w:lineRule="exact"/>
        <w:rPr>
          <w:rFonts w:ascii="SimHei" w:eastAsia="SimHei" w:hint="eastAsia"/>
        </w:rPr>
      </w:pPr>
      <w:r>
        <w:rPr>
          <w:rFonts w:hint="eastAsia"/>
        </w:rPr>
        <w:t>36.</w:t>
      </w:r>
      <w:r>
        <w:rPr>
          <w:rFonts w:hint="eastAsia"/>
        </w:rPr>
        <w:tab/>
      </w:r>
      <w:r w:rsidRPr="00713674">
        <w:rPr>
          <w:rFonts w:ascii="SimHei" w:eastAsia="SimHei" w:hint="eastAsia"/>
          <w:spacing w:val="2"/>
        </w:rPr>
        <w:t>委员会敦促缔约国采取一切必要措施，确保更好地执行其劳工立法，解决薪资悬殊问题，鼓励妇女在非传统领域就业，制订关于公共和私人工作场所性骚扰，包括有效制裁问题的立法，为家庭雇工提供全面保护。委员会还鼓励缔约国采取措施，提供负担得起和可获得的托儿服务，以便妇女能够兼顾其工作与家庭责任。</w:t>
      </w:r>
    </w:p>
    <w:p w:rsidR="00B478F7" w:rsidRDefault="00B478F7" w:rsidP="00D3440A">
      <w:pPr>
        <w:pStyle w:val="SingleTxt"/>
        <w:spacing w:line="310" w:lineRule="exact"/>
        <w:rPr>
          <w:rFonts w:hint="eastAsia"/>
        </w:rPr>
      </w:pPr>
      <w:r w:rsidRPr="00B478F7">
        <w:rPr>
          <w:rFonts w:ascii="SimHei" w:eastAsia="SimHei" w:hint="eastAsia"/>
        </w:rPr>
        <w:t>卫生</w:t>
      </w:r>
    </w:p>
    <w:p w:rsidR="00B478F7" w:rsidRDefault="00B478F7" w:rsidP="00D3440A">
      <w:pPr>
        <w:pStyle w:val="SingleTxt"/>
        <w:spacing w:line="310" w:lineRule="exact"/>
        <w:rPr>
          <w:rFonts w:hint="eastAsia"/>
        </w:rPr>
      </w:pPr>
      <w:r>
        <w:rPr>
          <w:rFonts w:hint="eastAsia"/>
        </w:rPr>
        <w:t>37.</w:t>
      </w:r>
      <w:r>
        <w:rPr>
          <w:rFonts w:hint="eastAsia"/>
        </w:rPr>
        <w:tab/>
        <w:t>委员会虽然赞赏缔约国建立了《性健康和计划生育国家方案》并在该框架内颁布了《合法人流综合关注技术指南》，以使《刑法》第86条的有关内容更加明确，但委员会注意到，阿根廷妇女在获得性和生殖健康卫生服务方面仍然存在严重问题；委员会还表示关注青少年女性的高怀孕率以及高分娩死亡率，其中三分之一是非法人工流产造成的。</w:t>
      </w:r>
    </w:p>
    <w:p w:rsidR="00B478F7" w:rsidRDefault="00B478F7" w:rsidP="00D3440A">
      <w:pPr>
        <w:pStyle w:val="SingleTxt"/>
        <w:rPr>
          <w:rFonts w:hint="eastAsia"/>
        </w:rPr>
      </w:pPr>
      <w:r>
        <w:rPr>
          <w:rFonts w:hint="eastAsia"/>
        </w:rPr>
        <w:t>38.</w:t>
      </w:r>
      <w:r>
        <w:rPr>
          <w:rFonts w:hint="eastAsia"/>
        </w:rPr>
        <w:tab/>
      </w:r>
      <w:r w:rsidRPr="00B478F7">
        <w:rPr>
          <w:rFonts w:ascii="SimHei" w:eastAsia="SimHei" w:hint="eastAsia"/>
        </w:rPr>
        <w:t>委员会敦促缔约国确保妇女和少女获得保健服务，包括性和生殖健康服务，保证各级的所有学校均开展性和生殖健康教育。委员会又敦促缔约国采取一切必要措施，以进一步降低居高不下的高产妇死亡率。委员会还敦促缔约国审查把对妇女健康和生命造成严重后果的堕胎确定为犯罪行为的现行立法。缔约国应确保，应在全国以统一的方式适用《合法人流综合关注技术指南》，以使妇女平等、有效地获得医疗服务来中断怀孕。</w:t>
      </w:r>
    </w:p>
    <w:p w:rsidR="00B478F7" w:rsidRDefault="00B478F7" w:rsidP="00D3440A">
      <w:pPr>
        <w:pStyle w:val="SingleTxt"/>
        <w:rPr>
          <w:rFonts w:hint="eastAsia"/>
        </w:rPr>
      </w:pPr>
      <w:r>
        <w:rPr>
          <w:rFonts w:hint="eastAsia"/>
        </w:rPr>
        <w:t>39.</w:t>
      </w:r>
      <w:r>
        <w:rPr>
          <w:rFonts w:hint="eastAsia"/>
        </w:rPr>
        <w:tab/>
        <w:t>委员会对阿根廷妇女广泛吸烟以及烟草对其健康的严重影响表示关切。委员会特别关切的是，妇女常常成为与烟草有关的广告活动的目标，使得妇女吸烟增多，导致与烟草有关的疾病和死亡。</w:t>
      </w:r>
    </w:p>
    <w:p w:rsidR="00B478F7" w:rsidRPr="00B478F7" w:rsidRDefault="00B478F7" w:rsidP="00D3440A">
      <w:pPr>
        <w:pStyle w:val="SingleTxt"/>
        <w:rPr>
          <w:rFonts w:ascii="SimHei" w:eastAsia="SimHei" w:hint="eastAsia"/>
        </w:rPr>
      </w:pPr>
      <w:r>
        <w:rPr>
          <w:rFonts w:hint="eastAsia"/>
        </w:rPr>
        <w:t>40.</w:t>
      </w:r>
      <w:r>
        <w:rPr>
          <w:rFonts w:hint="eastAsia"/>
        </w:rPr>
        <w:tab/>
      </w:r>
      <w:r w:rsidRPr="00B478F7">
        <w:rPr>
          <w:rFonts w:ascii="SimHei" w:eastAsia="SimHei" w:hint="eastAsia"/>
        </w:rPr>
        <w:t>委员会敦促缔约国批准和执行世界卫生组织《烟草管制框架公约》，并制定旨在禁止在公共场所吸烟和限制烟草广告的法律。</w:t>
      </w:r>
    </w:p>
    <w:p w:rsidR="00B478F7" w:rsidRDefault="00B478F7" w:rsidP="00D3440A">
      <w:pPr>
        <w:pStyle w:val="SingleTxt"/>
        <w:rPr>
          <w:rFonts w:hint="eastAsia"/>
        </w:rPr>
      </w:pPr>
      <w:r w:rsidRPr="00B478F7">
        <w:rPr>
          <w:rFonts w:ascii="SimHei" w:eastAsia="SimHei" w:hint="eastAsia"/>
        </w:rPr>
        <w:t>农村妇女</w:t>
      </w:r>
    </w:p>
    <w:p w:rsidR="00B478F7" w:rsidRDefault="00B478F7" w:rsidP="00D3440A">
      <w:pPr>
        <w:pStyle w:val="SingleTxt"/>
        <w:rPr>
          <w:rFonts w:hint="eastAsia"/>
        </w:rPr>
      </w:pPr>
      <w:r>
        <w:rPr>
          <w:rFonts w:hint="eastAsia"/>
        </w:rPr>
        <w:t>41.</w:t>
      </w:r>
      <w:r>
        <w:rPr>
          <w:rFonts w:hint="eastAsia"/>
        </w:rPr>
        <w:tab/>
        <w:t>尽管承认缔约国在下放和提供，包括向农村家庭下放和提供培训机会、相对广泛的卫生保健以及大量信用贷款方面进行的努力，但是，委员会仍对农村妇女，特别是老年妇女和土著妇女的情况，即极端贫穷、被边缘化且经常无法获得医疗保健、教育、信贷和社区服务。</w:t>
      </w:r>
    </w:p>
    <w:p w:rsidR="00B478F7" w:rsidRPr="00B478F7" w:rsidRDefault="00B478F7" w:rsidP="00D3440A">
      <w:pPr>
        <w:pStyle w:val="SingleTxt"/>
        <w:rPr>
          <w:rFonts w:ascii="SimHei" w:eastAsia="SimHei" w:hint="eastAsia"/>
        </w:rPr>
      </w:pPr>
      <w:r>
        <w:rPr>
          <w:rFonts w:hint="eastAsia"/>
        </w:rPr>
        <w:t>42.</w:t>
      </w:r>
      <w:r>
        <w:rPr>
          <w:rFonts w:hint="eastAsia"/>
        </w:rPr>
        <w:tab/>
      </w:r>
      <w:r w:rsidRPr="00B478F7">
        <w:rPr>
          <w:rFonts w:ascii="SimHei" w:eastAsia="SimHei" w:hint="eastAsia"/>
        </w:rPr>
        <w:t>委员会敦促缔约国特别关注农村妇女，包括老年妇女和土著妇女的需求，以确保她们参与决策过程，充分享受教育、保健服务和信贷便利。</w:t>
      </w:r>
    </w:p>
    <w:p w:rsidR="00B478F7" w:rsidRPr="00B478F7" w:rsidRDefault="00B478F7" w:rsidP="00D3440A">
      <w:pPr>
        <w:pStyle w:val="SingleTxt"/>
        <w:rPr>
          <w:rFonts w:ascii="SimHei" w:eastAsia="SimHei" w:hint="eastAsia"/>
        </w:rPr>
      </w:pPr>
      <w:r w:rsidRPr="00B478F7">
        <w:rPr>
          <w:rFonts w:ascii="SimHei" w:eastAsia="SimHei" w:hint="eastAsia"/>
        </w:rPr>
        <w:t>弱势妇女群体</w:t>
      </w:r>
    </w:p>
    <w:p w:rsidR="00B478F7" w:rsidRDefault="00B478F7" w:rsidP="00D3440A">
      <w:pPr>
        <w:pStyle w:val="SingleTxt"/>
        <w:rPr>
          <w:rFonts w:hint="eastAsia"/>
        </w:rPr>
      </w:pPr>
      <w:r>
        <w:rPr>
          <w:rFonts w:hint="eastAsia"/>
        </w:rPr>
        <w:t>43.</w:t>
      </w:r>
      <w:r>
        <w:rPr>
          <w:rFonts w:hint="eastAsia"/>
        </w:rPr>
        <w:tab/>
        <w:t>缔约国承认，老年妇女、移民妇女和残疾妇女的权利没有得到充分尊重，对她们的歧视常常发生。此外，缔约国认识到，女同性恋者、双性恋和变性妇女的权利没有得到充分尊重，她们有时会成为歧视和暴力的目标。</w:t>
      </w:r>
    </w:p>
    <w:p w:rsidR="00B478F7" w:rsidRPr="00B478F7" w:rsidRDefault="00B478F7" w:rsidP="00D3440A">
      <w:pPr>
        <w:pStyle w:val="SingleTxt"/>
        <w:rPr>
          <w:rFonts w:ascii="SimHei" w:eastAsia="SimHei" w:hint="eastAsia"/>
        </w:rPr>
      </w:pPr>
      <w:r>
        <w:rPr>
          <w:rFonts w:hint="eastAsia"/>
        </w:rPr>
        <w:t>44.</w:t>
      </w:r>
      <w:r>
        <w:rPr>
          <w:rFonts w:hint="eastAsia"/>
        </w:rPr>
        <w:tab/>
      </w:r>
      <w:r w:rsidRPr="00B478F7">
        <w:rPr>
          <w:rFonts w:ascii="SimHei" w:eastAsia="SimHei" w:hint="eastAsia"/>
        </w:rPr>
        <w:t>委员会敦促缔约国确保老年妇女、移民妇女和残疾妇女以及女同性恋者、女双性恋和变性妇女的权利得到充分保护。上述所有妇女均在生活中应能免于任何歧视和暴力，并享有一切权利，包括公民、文化、经济、政治和社会权利以及性和生殖权利。</w:t>
      </w:r>
    </w:p>
    <w:p w:rsidR="00B478F7" w:rsidRPr="00B478F7" w:rsidRDefault="00B478F7" w:rsidP="00D3440A">
      <w:pPr>
        <w:pStyle w:val="SingleTxt"/>
        <w:rPr>
          <w:rFonts w:ascii="SimHei" w:eastAsia="SimHei" w:hint="eastAsia"/>
        </w:rPr>
      </w:pPr>
      <w:r w:rsidRPr="00B478F7">
        <w:rPr>
          <w:rFonts w:ascii="SimHei" w:eastAsia="SimHei" w:hint="eastAsia"/>
        </w:rPr>
        <w:t>难民和寻求庇护者中的妇女</w:t>
      </w:r>
    </w:p>
    <w:p w:rsidR="00B478F7" w:rsidRDefault="00B478F7" w:rsidP="00D3440A">
      <w:pPr>
        <w:pStyle w:val="SingleTxt"/>
        <w:rPr>
          <w:rFonts w:hint="eastAsia"/>
        </w:rPr>
      </w:pPr>
      <w:r>
        <w:rPr>
          <w:rFonts w:hint="eastAsia"/>
        </w:rPr>
        <w:t>45.</w:t>
      </w:r>
      <w:r>
        <w:rPr>
          <w:rFonts w:hint="eastAsia"/>
        </w:rPr>
        <w:tab/>
      </w:r>
      <w:r w:rsidRPr="00D3440A">
        <w:rPr>
          <w:rFonts w:hint="eastAsia"/>
          <w:spacing w:val="-2"/>
        </w:rPr>
        <w:t>委员会关切的是，尽管已颁布了难民立法(第26165号法律)、建立了全国难民委员会并参与了联合国难民事务高级专员的区域方</w:t>
      </w:r>
      <w:r w:rsidR="00161CCD">
        <w:rPr>
          <w:rFonts w:hint="eastAsia"/>
          <w:spacing w:val="-2"/>
        </w:rPr>
        <w:t>案，但缔约国尚未通过一切必要的内部规定，以促进该法律的有效实施</w:t>
      </w:r>
      <w:r w:rsidRPr="00D3440A">
        <w:rPr>
          <w:rFonts w:hint="eastAsia"/>
          <w:spacing w:val="-2"/>
        </w:rPr>
        <w:t>，并填补在保护方面的一些空白，特别是那些涉及脆弱处境中寻求庇护的人，包括妇女、女童和孤身儿童保护的空白。</w:t>
      </w:r>
    </w:p>
    <w:p w:rsidR="00B478F7" w:rsidRPr="00B478F7" w:rsidRDefault="00B478F7" w:rsidP="00B478F7">
      <w:pPr>
        <w:pStyle w:val="SingleTxt"/>
        <w:rPr>
          <w:rFonts w:ascii="SimHei" w:eastAsia="SimHei" w:hint="eastAsia"/>
        </w:rPr>
      </w:pPr>
      <w:r>
        <w:rPr>
          <w:rFonts w:hint="eastAsia"/>
        </w:rPr>
        <w:t>46.</w:t>
      </w:r>
      <w:r>
        <w:rPr>
          <w:rFonts w:hint="eastAsia"/>
        </w:rPr>
        <w:tab/>
      </w:r>
      <w:r w:rsidRPr="00B478F7">
        <w:rPr>
          <w:rFonts w:ascii="SimHei" w:eastAsia="SimHei" w:hint="eastAsia"/>
        </w:rPr>
        <w:t>委员会敦促缔约国通过作出所有必要的内部法规，推动充分和有效执行《难民法》(第26165号法律)，特别是涉及对女寻求庇护者和女难民，以及孤身儿童保护的内容。委员会还鼓励缔约国继续向边境移民和庇护事务官员提供训练，以确保他们采取对性别问题有敏感认识的办法、有效实施适当的鉴别系统，并在难民身份确定程序中，包括处理基于性别暴力的避难申请中采取对性别问题有敏感认识的措施。该委员会还敦促缔约国对2008年4月通过的第26364号法律加以补充，确保按照国际法充分保护所有妇女，无论其年龄大小，并充分保护那些遭贩卖并担心回到原籍国后会受迫害的人。此外，应采取措施，确保难民及寻求庇护者中的妇女和女童免遭人口贩运或人口走私，建立一种机制，用来及时发现人口贩卖受害者并确保将需要得到保护者转给庇护程序。</w:t>
      </w:r>
    </w:p>
    <w:p w:rsidR="00B478F7" w:rsidRDefault="00B478F7" w:rsidP="00B478F7">
      <w:pPr>
        <w:pStyle w:val="SingleTxt"/>
        <w:rPr>
          <w:rFonts w:hint="eastAsia"/>
        </w:rPr>
      </w:pPr>
      <w:r w:rsidRPr="00B478F7">
        <w:rPr>
          <w:rFonts w:ascii="SimHei" w:eastAsia="SimHei" w:hint="eastAsia"/>
        </w:rPr>
        <w:t>《北京宣言》和《行动纲要》</w:t>
      </w:r>
    </w:p>
    <w:p w:rsidR="00B478F7" w:rsidRPr="00B478F7" w:rsidRDefault="00B478F7" w:rsidP="00B478F7">
      <w:pPr>
        <w:pStyle w:val="SingleTxt"/>
        <w:rPr>
          <w:rFonts w:ascii="SimHei" w:eastAsia="SimHei" w:hint="eastAsia"/>
        </w:rPr>
      </w:pPr>
      <w:r>
        <w:rPr>
          <w:rFonts w:hint="eastAsia"/>
        </w:rPr>
        <w:t>47.</w:t>
      </w:r>
      <w:r w:rsidR="00D3440A">
        <w:rPr>
          <w:rFonts w:hint="eastAsia"/>
        </w:rPr>
        <w:tab/>
      </w:r>
      <w:r w:rsidRPr="00B478F7">
        <w:rPr>
          <w:rFonts w:ascii="SimHei" w:eastAsia="SimHei" w:hint="eastAsia"/>
        </w:rPr>
        <w:t>委员会促请缔约国在履行其《公约》义务时继续应用加强了《公约》各项规定的《北京宣言》和《行动纲要》，并请缔约国在其下一次定期报告中列入有关资料。</w:t>
      </w:r>
    </w:p>
    <w:p w:rsidR="00B478F7" w:rsidRDefault="00B478F7" w:rsidP="00B478F7">
      <w:pPr>
        <w:pStyle w:val="SingleTxt"/>
        <w:rPr>
          <w:rFonts w:hint="eastAsia"/>
        </w:rPr>
      </w:pPr>
      <w:r w:rsidRPr="00B478F7">
        <w:rPr>
          <w:rFonts w:ascii="SimHei" w:eastAsia="SimHei" w:hint="eastAsia"/>
        </w:rPr>
        <w:t>千年发展目</w:t>
      </w:r>
      <w:r>
        <w:rPr>
          <w:rFonts w:hint="eastAsia"/>
        </w:rPr>
        <w:t>标</w:t>
      </w:r>
    </w:p>
    <w:p w:rsidR="00B478F7" w:rsidRPr="00B478F7" w:rsidRDefault="00B478F7" w:rsidP="00B478F7">
      <w:pPr>
        <w:pStyle w:val="SingleTxt"/>
        <w:rPr>
          <w:rFonts w:ascii="SimHei" w:eastAsia="SimHei" w:hint="eastAsia"/>
        </w:rPr>
      </w:pPr>
      <w:r>
        <w:rPr>
          <w:rFonts w:hint="eastAsia"/>
        </w:rPr>
        <w:t>48.</w:t>
      </w:r>
      <w:r>
        <w:rPr>
          <w:rFonts w:hint="eastAsia"/>
        </w:rPr>
        <w:tab/>
      </w:r>
      <w:r w:rsidRPr="00B478F7">
        <w:rPr>
          <w:rFonts w:ascii="SimHei" w:eastAsia="SimHei" w:hint="eastAsia"/>
        </w:rPr>
        <w:t>委员会强调，要实现千年发展目标就必须全面有效地执行《公约》。委员会呼吁，要在为实现千年目标所作的所有努力中融入社会性别观点及明确反映《公约》的各项规定，并请缔约国在其下一次定期报告中列入有关资料。</w:t>
      </w:r>
    </w:p>
    <w:p w:rsidR="00B478F7" w:rsidRPr="00B478F7" w:rsidRDefault="00B478F7" w:rsidP="00B478F7">
      <w:pPr>
        <w:pStyle w:val="SingleTxt"/>
        <w:rPr>
          <w:rFonts w:ascii="SimHei" w:eastAsia="SimHei" w:hint="eastAsia"/>
        </w:rPr>
      </w:pPr>
      <w:r w:rsidRPr="00B478F7">
        <w:rPr>
          <w:rFonts w:ascii="SimHei" w:eastAsia="SimHei" w:hint="eastAsia"/>
        </w:rPr>
        <w:t>传播结论意见</w:t>
      </w:r>
    </w:p>
    <w:p w:rsidR="00B478F7" w:rsidRPr="00B478F7" w:rsidRDefault="00B478F7" w:rsidP="00B478F7">
      <w:pPr>
        <w:pStyle w:val="SingleTxt"/>
        <w:rPr>
          <w:rFonts w:ascii="SimHei" w:eastAsia="SimHei" w:hint="eastAsia"/>
        </w:rPr>
      </w:pPr>
      <w:r>
        <w:rPr>
          <w:rFonts w:hint="eastAsia"/>
        </w:rPr>
        <w:t>49.</w:t>
      </w:r>
      <w:r>
        <w:rPr>
          <w:rFonts w:hint="eastAsia"/>
        </w:rPr>
        <w:tab/>
      </w:r>
      <w:r w:rsidRPr="00D3440A">
        <w:rPr>
          <w:rFonts w:ascii="SimHei" w:eastAsia="SimHei" w:hint="eastAsia"/>
        </w:rPr>
        <w:t>委员会要求在阿根廷境内广为传播本结论意见，使人民，包括政府官员、政界人士、议员以及妇女组织和人权组织，了解为确保妇女在法律上和事实上的平等而采取的步骤以及在这方面应进一步采取的步骤。委员会建议传播工作应覆盖当地社区一级。委员会鼓励缔约国举办了一系列会议，讨论在执行这些意见方面取得的进展。委员会请缔约国继续广泛宣传委员会各项一般性建议、《北京宣言和行动纲要》以及题为“2000年妇女：二十一世纪两性平等、发展与和平”的大会第二十三届特别会议成果，特别是向妇女组织和人权组织开展宣传。</w:t>
      </w:r>
    </w:p>
    <w:p w:rsidR="00B478F7" w:rsidRPr="00B478F7" w:rsidRDefault="00B478F7" w:rsidP="00B478F7">
      <w:pPr>
        <w:pStyle w:val="SingleTxt"/>
        <w:rPr>
          <w:rFonts w:ascii="SimHei" w:eastAsia="SimHei" w:hint="eastAsia"/>
        </w:rPr>
      </w:pPr>
      <w:r w:rsidRPr="00B478F7">
        <w:rPr>
          <w:rFonts w:ascii="SimHei" w:eastAsia="SimHei" w:hint="eastAsia"/>
        </w:rPr>
        <w:t>其他条约的批准</w:t>
      </w:r>
    </w:p>
    <w:p w:rsidR="00B478F7" w:rsidRPr="00B478F7" w:rsidRDefault="00B478F7" w:rsidP="00B478F7">
      <w:pPr>
        <w:pStyle w:val="SingleTxt"/>
        <w:rPr>
          <w:rFonts w:ascii="SimHei" w:eastAsia="SimHei" w:hint="eastAsia"/>
        </w:rPr>
      </w:pPr>
      <w:r>
        <w:rPr>
          <w:rFonts w:hint="eastAsia"/>
        </w:rPr>
        <w:t>50.</w:t>
      </w:r>
      <w:r>
        <w:rPr>
          <w:rFonts w:hint="eastAsia"/>
        </w:rPr>
        <w:tab/>
      </w:r>
      <w:r w:rsidRPr="00B478F7">
        <w:rPr>
          <w:rFonts w:ascii="SimHei" w:eastAsia="SimHei" w:hint="eastAsia"/>
        </w:rPr>
        <w:t>委员会指出，各国参加九项主要国际人权文书，</w:t>
      </w:r>
      <w:r w:rsidR="00D3440A">
        <w:rPr>
          <w:rStyle w:val="FootnoteReference"/>
          <w:rFonts w:ascii="SimHei" w:eastAsia="SimHei"/>
        </w:rPr>
        <w:footnoteReference w:id="1"/>
      </w:r>
      <w:r w:rsidRPr="00B478F7">
        <w:rPr>
          <w:rFonts w:ascii="SimHei" w:eastAsia="SimHei" w:hint="eastAsia"/>
        </w:rPr>
        <w:t xml:space="preserve"> 有助于促进妇女在生活的各个方面享受人权和基本自由。委员会欢迎缔约国批准《保护所有移徙工人及其家庭成员权利国际公约》。</w:t>
      </w:r>
    </w:p>
    <w:p w:rsidR="00B478F7" w:rsidRPr="00B478F7" w:rsidRDefault="00B478F7" w:rsidP="00B478F7">
      <w:pPr>
        <w:pStyle w:val="SingleTxt"/>
        <w:rPr>
          <w:rFonts w:ascii="SimHei" w:eastAsia="SimHei" w:hint="eastAsia"/>
        </w:rPr>
      </w:pPr>
      <w:r w:rsidRPr="00B478F7">
        <w:rPr>
          <w:rFonts w:ascii="SimHei" w:eastAsia="SimHei" w:hint="eastAsia"/>
        </w:rPr>
        <w:t>对结论意见的后续行动</w:t>
      </w:r>
    </w:p>
    <w:p w:rsidR="00B478F7" w:rsidRPr="00B478F7" w:rsidRDefault="00B478F7" w:rsidP="00B478F7">
      <w:pPr>
        <w:pStyle w:val="SingleTxt"/>
        <w:rPr>
          <w:rFonts w:ascii="SimHei" w:eastAsia="SimHei" w:hint="eastAsia"/>
        </w:rPr>
      </w:pPr>
      <w:r>
        <w:rPr>
          <w:rFonts w:hint="eastAsia"/>
        </w:rPr>
        <w:t>51.</w:t>
      </w:r>
      <w:r>
        <w:rPr>
          <w:rFonts w:hint="eastAsia"/>
        </w:rPr>
        <w:tab/>
      </w:r>
      <w:r w:rsidRPr="00B478F7">
        <w:rPr>
          <w:rFonts w:ascii="SimHei" w:eastAsia="SimHei" w:hint="eastAsia"/>
        </w:rPr>
        <w:t>委员会请缔约国在两年内就实施上文第24段和第38段所载的各项建议所采取的步骤提供书面资料。</w:t>
      </w:r>
    </w:p>
    <w:p w:rsidR="00B478F7" w:rsidRPr="00B478F7" w:rsidRDefault="00B478F7" w:rsidP="00B478F7">
      <w:pPr>
        <w:pStyle w:val="SingleTxt"/>
        <w:rPr>
          <w:rFonts w:ascii="SimHei" w:eastAsia="SimHei" w:hint="eastAsia"/>
        </w:rPr>
      </w:pPr>
      <w:r w:rsidRPr="00B478F7">
        <w:rPr>
          <w:rFonts w:ascii="SimHei" w:eastAsia="SimHei" w:hint="eastAsia"/>
        </w:rPr>
        <w:t>编写下一次报告</w:t>
      </w:r>
    </w:p>
    <w:p w:rsidR="00B478F7" w:rsidRDefault="00B478F7" w:rsidP="00B478F7">
      <w:pPr>
        <w:pStyle w:val="SingleTxt"/>
        <w:rPr>
          <w:rFonts w:hint="eastAsia"/>
        </w:rPr>
      </w:pPr>
      <w:r>
        <w:rPr>
          <w:rFonts w:hint="eastAsia"/>
        </w:rPr>
        <w:t>52.</w:t>
      </w:r>
      <w:r>
        <w:rPr>
          <w:rFonts w:hint="eastAsia"/>
        </w:rPr>
        <w:tab/>
      </w:r>
      <w:r w:rsidRPr="00B478F7">
        <w:rPr>
          <w:rFonts w:ascii="SimHei" w:eastAsia="SimHei" w:hint="eastAsia"/>
        </w:rPr>
        <w:t>委员会请缔约国确保政府所有部门以及公共机构广泛参与编写下次报告，并且在编写阶段征求各种妇女和人权组织的意见。</w:t>
      </w:r>
    </w:p>
    <w:p w:rsidR="00B478F7" w:rsidRDefault="00B478F7" w:rsidP="00B478F7">
      <w:pPr>
        <w:pStyle w:val="SingleTxt"/>
        <w:rPr>
          <w:rFonts w:hint="eastAsia"/>
        </w:rPr>
      </w:pPr>
      <w:r>
        <w:rPr>
          <w:rFonts w:hint="eastAsia"/>
        </w:rPr>
        <w:t>53.</w:t>
      </w:r>
      <w:r>
        <w:rPr>
          <w:rFonts w:hint="eastAsia"/>
        </w:rPr>
        <w:tab/>
      </w:r>
      <w:r w:rsidRPr="00B478F7">
        <w:rPr>
          <w:rFonts w:ascii="SimHei" w:eastAsia="SimHei" w:hint="eastAsia"/>
        </w:rPr>
        <w:t>委员会请缔约国在应于2014年7月根据《公约》第18条提交的下一次定期报告中答复本结论意见所提出的各项关切。</w:t>
      </w:r>
    </w:p>
    <w:p w:rsidR="00EA31C3" w:rsidRDefault="00B478F7" w:rsidP="00B478F7">
      <w:pPr>
        <w:pStyle w:val="SingleTxt"/>
        <w:rPr>
          <w:rFonts w:hint="eastAsia"/>
        </w:rPr>
      </w:pPr>
      <w:r>
        <w:rPr>
          <w:rFonts w:hint="eastAsia"/>
        </w:rPr>
        <w:t>54.</w:t>
      </w:r>
      <w:r>
        <w:rPr>
          <w:rFonts w:hint="eastAsia"/>
        </w:rPr>
        <w:tab/>
      </w:r>
      <w:r w:rsidRPr="00B478F7">
        <w:rPr>
          <w:rFonts w:ascii="SimHei" w:eastAsia="SimHei" w:hint="eastAsia"/>
        </w:rPr>
        <w:t>委员会请缔约国遵守人权条约机构第五次委员会间会议于2006年6月批准的“根据国际人权条约提交报告的协调准则，包括编写核心文件、提交具体条约报告的准则”(见HRI/MC/2006/3和Corr.1)。委员会在2008年1月第四十届会议上通过的与具体条约有关的报告准则必须与共同核心文件的协调报告准则一起应用。这两份准则共同构成根据《消除对妇女一切形式歧视公约》提交报告的协调准则。具体条约文件的页数应限制在40页</w:t>
      </w:r>
      <w:r w:rsidR="00383F4C">
        <w:rPr>
          <w:rFonts w:ascii="SimHei" w:eastAsia="SimHei" w:hint="eastAsia"/>
        </w:rPr>
        <w:t>，</w:t>
      </w:r>
      <w:r w:rsidRPr="00B478F7">
        <w:rPr>
          <w:rFonts w:ascii="SimHei" w:eastAsia="SimHei" w:hint="eastAsia"/>
        </w:rPr>
        <w:t>订正共同核心文件不应超过80页。</w:t>
      </w:r>
    </w:p>
    <w:p w:rsidR="00B478F7" w:rsidRPr="00B478F7" w:rsidRDefault="00B478F7" w:rsidP="00B478F7">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B478F7" w:rsidRPr="00B478F7" w:rsidSect="00E40820">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5T14:37:00Z" w:initials="Start">
    <w:p w:rsidR="001E0E28" w:rsidRDefault="001E0E2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250948">
        <w:fldChar w:fldCharType="separate"/>
      </w:r>
      <w:r w:rsidR="00250948">
        <w:rPr>
          <w:rFonts w:hint="eastAsia"/>
          <w:noProof/>
        </w:rPr>
        <w:t xml:space="preserve">页: </w:t>
      </w:r>
      <w:r w:rsidR="00250948">
        <w:rPr>
          <w:noProof/>
        </w:rPr>
        <w:t>1</w:t>
      </w:r>
      <w:r w:rsidR="00250948">
        <w:rPr>
          <w:rFonts w:hint="eastAsia"/>
          <w:noProof/>
        </w:rPr>
        <w:br/>
      </w:r>
      <w:r>
        <w:fldChar w:fldCharType="end"/>
      </w:r>
      <w:r>
        <w:rPr>
          <w:rStyle w:val="CommentReference"/>
        </w:rPr>
        <w:annotationRef/>
      </w:r>
      <w:r>
        <w:t>&lt;&lt;ODS JOB NO&gt;&gt;N1048532C&lt;&lt;ODS JOB NO&gt;&gt;</w:t>
      </w:r>
    </w:p>
    <w:p w:rsidR="001E0E28" w:rsidRDefault="001E0E28">
      <w:pPr>
        <w:pStyle w:val="CommentText"/>
      </w:pPr>
      <w:r>
        <w:t>&lt;&lt;ODS DOC SYMBOL1&gt;&gt;CEDAW/C/ARG/CO/6&lt;&lt;ODS DOC SYMBOL1&gt;&gt;</w:t>
      </w:r>
    </w:p>
    <w:p w:rsidR="001E0E28" w:rsidRDefault="001E0E2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9E7" w:rsidRDefault="006409E7">
      <w:r>
        <w:separator/>
      </w:r>
    </w:p>
  </w:endnote>
  <w:endnote w:type="continuationSeparator" w:id="0">
    <w:p w:rsidR="006409E7" w:rsidRDefault="00640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0E28" w:rsidTr="00E40820">
      <w:tblPrEx>
        <w:tblCellMar>
          <w:top w:w="0" w:type="dxa"/>
          <w:bottom w:w="0" w:type="dxa"/>
        </w:tblCellMar>
      </w:tblPrEx>
      <w:tc>
        <w:tcPr>
          <w:tcW w:w="5033" w:type="dxa"/>
          <w:shd w:val="clear" w:color="auto" w:fill="auto"/>
        </w:tcPr>
        <w:p w:rsidR="001E0E28" w:rsidRPr="00E40820" w:rsidRDefault="001E0E28" w:rsidP="00E4082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0948">
            <w:rPr>
              <w:b w:val="0"/>
              <w:w w:val="103"/>
              <w:sz w:val="14"/>
            </w:rPr>
            <w:t>10-48532 (C)</w:t>
          </w:r>
          <w:r>
            <w:rPr>
              <w:b w:val="0"/>
              <w:w w:val="103"/>
              <w:sz w:val="14"/>
            </w:rPr>
            <w:fldChar w:fldCharType="end"/>
          </w:r>
        </w:p>
      </w:tc>
      <w:tc>
        <w:tcPr>
          <w:tcW w:w="5033" w:type="dxa"/>
          <w:shd w:val="clear" w:color="auto" w:fill="auto"/>
        </w:tcPr>
        <w:p w:rsidR="001E0E28" w:rsidRPr="00E40820" w:rsidRDefault="001E0E28" w:rsidP="00E40820">
          <w:pPr>
            <w:pStyle w:val="Footer"/>
            <w:jc w:val="left"/>
            <w:rPr>
              <w:w w:val="103"/>
            </w:rPr>
          </w:pPr>
          <w:r>
            <w:rPr>
              <w:w w:val="103"/>
            </w:rPr>
            <w:fldChar w:fldCharType="begin"/>
          </w:r>
          <w:r>
            <w:rPr>
              <w:w w:val="103"/>
            </w:rPr>
            <w:instrText xml:space="preserve"> PAGE  \* MERGEFORMAT </w:instrText>
          </w:r>
          <w:r>
            <w:rPr>
              <w:w w:val="103"/>
            </w:rPr>
            <w:fldChar w:fldCharType="separate"/>
          </w:r>
          <w:r w:rsidR="00250948">
            <w:rPr>
              <w:w w:val="103"/>
            </w:rPr>
            <w:t>1</w:t>
          </w:r>
          <w:r>
            <w:rPr>
              <w:w w:val="103"/>
            </w:rPr>
            <w:fldChar w:fldCharType="end"/>
          </w:r>
        </w:p>
      </w:tc>
    </w:tr>
  </w:tbl>
  <w:p w:rsidR="001E0E28" w:rsidRPr="00E40820" w:rsidRDefault="001E0E28" w:rsidP="00E408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0E28" w:rsidTr="00E40820">
      <w:tblPrEx>
        <w:tblCellMar>
          <w:top w:w="0" w:type="dxa"/>
          <w:bottom w:w="0" w:type="dxa"/>
        </w:tblCellMar>
      </w:tblPrEx>
      <w:tc>
        <w:tcPr>
          <w:tcW w:w="5033" w:type="dxa"/>
          <w:shd w:val="clear" w:color="auto" w:fill="auto"/>
        </w:tcPr>
        <w:p w:rsidR="001E0E28" w:rsidRPr="00E40820" w:rsidRDefault="001E0E28" w:rsidP="00E40820">
          <w:pPr>
            <w:pStyle w:val="Footer"/>
            <w:jc w:val="right"/>
          </w:pPr>
          <w:r>
            <w:fldChar w:fldCharType="begin"/>
          </w:r>
          <w:r>
            <w:instrText xml:space="preserve"> PAGE  \* MERGEFORMAT </w:instrText>
          </w:r>
          <w:r>
            <w:fldChar w:fldCharType="separate"/>
          </w:r>
          <w:r w:rsidR="00250948">
            <w:t>1</w:t>
          </w:r>
          <w:r>
            <w:fldChar w:fldCharType="end"/>
          </w:r>
        </w:p>
      </w:tc>
      <w:tc>
        <w:tcPr>
          <w:tcW w:w="5033" w:type="dxa"/>
          <w:shd w:val="clear" w:color="auto" w:fill="auto"/>
        </w:tcPr>
        <w:p w:rsidR="001E0E28" w:rsidRPr="00E40820" w:rsidRDefault="001E0E28" w:rsidP="00E40820">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0948">
            <w:rPr>
              <w:b w:val="0"/>
              <w:w w:val="103"/>
              <w:sz w:val="14"/>
            </w:rPr>
            <w:t>10-48532 (C)</w:t>
          </w:r>
          <w:r>
            <w:rPr>
              <w:b w:val="0"/>
              <w:w w:val="103"/>
              <w:sz w:val="14"/>
            </w:rPr>
            <w:fldChar w:fldCharType="end"/>
          </w:r>
        </w:p>
      </w:tc>
    </w:tr>
  </w:tbl>
  <w:p w:rsidR="001E0E28" w:rsidRPr="00E40820" w:rsidRDefault="001E0E28" w:rsidP="00E408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E0E28">
      <w:tblPrEx>
        <w:tblCellMar>
          <w:top w:w="0" w:type="dxa"/>
          <w:bottom w:w="0" w:type="dxa"/>
        </w:tblCellMar>
      </w:tblPrEx>
      <w:tc>
        <w:tcPr>
          <w:tcW w:w="5033" w:type="dxa"/>
        </w:tcPr>
        <w:p w:rsidR="001E0E28" w:rsidRDefault="001E0E28" w:rsidP="00E4082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250948">
            <w:rPr>
              <w:b w:val="0"/>
              <w:sz w:val="21"/>
            </w:rPr>
            <w:t>10-48532 (C)</w:t>
          </w:r>
          <w:r>
            <w:rPr>
              <w:b w:val="0"/>
              <w:sz w:val="21"/>
            </w:rPr>
            <w:fldChar w:fldCharType="end"/>
          </w:r>
          <w:r>
            <w:rPr>
              <w:b w:val="0"/>
              <w:sz w:val="21"/>
            </w:rPr>
            <w:t xml:space="preserve">    </w:t>
          </w:r>
          <w:r>
            <w:rPr>
              <w:rFonts w:hint="eastAsia"/>
              <w:b w:val="0"/>
              <w:sz w:val="21"/>
            </w:rPr>
            <w:t>29</w:t>
          </w:r>
          <w:r>
            <w:rPr>
              <w:b w:val="0"/>
              <w:sz w:val="21"/>
            </w:rPr>
            <w:t>0</w:t>
          </w:r>
          <w:r>
            <w:rPr>
              <w:rFonts w:hint="eastAsia"/>
              <w:b w:val="0"/>
              <w:sz w:val="21"/>
            </w:rPr>
            <w:t>9</w:t>
          </w:r>
          <w:r>
            <w:rPr>
              <w:b w:val="0"/>
              <w:sz w:val="21"/>
            </w:rPr>
            <w:t>10    151010</w:t>
          </w:r>
        </w:p>
        <w:p w:rsidR="001E0E28" w:rsidRPr="00E40820" w:rsidRDefault="001E0E28" w:rsidP="00E40820">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50948">
            <w:rPr>
              <w:rFonts w:ascii="Barcode 3 of 9 by request" w:hAnsi="Barcode 3 of 9 by request"/>
              <w:sz w:val="24"/>
            </w:rPr>
            <w:t>*1048532*</w:t>
          </w:r>
          <w:r>
            <w:rPr>
              <w:rFonts w:ascii="Barcode 3 of 9 by request" w:hAnsi="Barcode 3 of 9 by request"/>
              <w:sz w:val="24"/>
            </w:rPr>
            <w:fldChar w:fldCharType="end"/>
          </w:r>
        </w:p>
      </w:tc>
      <w:tc>
        <w:tcPr>
          <w:tcW w:w="5033" w:type="dxa"/>
        </w:tcPr>
        <w:p w:rsidR="001E0E28" w:rsidRDefault="001E0E28" w:rsidP="00E40820">
          <w:pPr>
            <w:pStyle w:val="Footer"/>
            <w:jc w:val="right"/>
            <w:rPr>
              <w:b w:val="0"/>
              <w:sz w:val="21"/>
            </w:rPr>
          </w:pPr>
          <w:r w:rsidRPr="00E40820">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1E0E28" w:rsidRPr="00E40820" w:rsidRDefault="001E0E28" w:rsidP="00E40820">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9E7" w:rsidRPr="00D3440A" w:rsidRDefault="006409E7" w:rsidP="00D3440A">
      <w:pPr>
        <w:pStyle w:val="Footer"/>
        <w:spacing w:after="80"/>
        <w:ind w:left="792"/>
        <w:rPr>
          <w:sz w:val="16"/>
        </w:rPr>
      </w:pPr>
      <w:r w:rsidRPr="00D3440A">
        <w:rPr>
          <w:sz w:val="16"/>
        </w:rPr>
        <w:t>__________________</w:t>
      </w:r>
    </w:p>
  </w:footnote>
  <w:footnote w:type="continuationSeparator" w:id="0">
    <w:p w:rsidR="006409E7" w:rsidRPr="00D3440A" w:rsidRDefault="006409E7" w:rsidP="00D3440A">
      <w:pPr>
        <w:pStyle w:val="Footer"/>
        <w:spacing w:after="80"/>
        <w:ind w:left="792"/>
        <w:rPr>
          <w:sz w:val="16"/>
        </w:rPr>
      </w:pPr>
      <w:r w:rsidRPr="00D3440A">
        <w:rPr>
          <w:sz w:val="16"/>
        </w:rPr>
        <w:t>__________________</w:t>
      </w:r>
    </w:p>
  </w:footnote>
  <w:footnote w:id="1">
    <w:p w:rsidR="001E0E28" w:rsidRPr="00D3440A" w:rsidRDefault="001E0E28" w:rsidP="00D3440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3440A">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0E28" w:rsidTr="00E40820">
      <w:tblPrEx>
        <w:tblCellMar>
          <w:top w:w="0" w:type="dxa"/>
          <w:bottom w:w="0" w:type="dxa"/>
        </w:tblCellMar>
      </w:tblPrEx>
      <w:trPr>
        <w:trHeight w:hRule="exact" w:val="864"/>
      </w:trPr>
      <w:tc>
        <w:tcPr>
          <w:tcW w:w="4838" w:type="dxa"/>
          <w:shd w:val="clear" w:color="auto" w:fill="auto"/>
          <w:vAlign w:val="bottom"/>
        </w:tcPr>
        <w:p w:rsidR="001E0E28" w:rsidRPr="00E40820" w:rsidRDefault="001E0E28" w:rsidP="00E4082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50948">
            <w:rPr>
              <w:b/>
              <w:sz w:val="17"/>
            </w:rPr>
            <w:t>CEDAW/C/ARG/CO/6</w:t>
          </w:r>
          <w:r>
            <w:rPr>
              <w:b/>
              <w:sz w:val="17"/>
            </w:rPr>
            <w:fldChar w:fldCharType="end"/>
          </w:r>
        </w:p>
      </w:tc>
      <w:tc>
        <w:tcPr>
          <w:tcW w:w="5033" w:type="dxa"/>
          <w:shd w:val="clear" w:color="auto" w:fill="auto"/>
          <w:vAlign w:val="bottom"/>
        </w:tcPr>
        <w:p w:rsidR="001E0E28" w:rsidRDefault="001E0E28" w:rsidP="00E40820">
          <w:pPr>
            <w:pStyle w:val="Header"/>
          </w:pPr>
        </w:p>
      </w:tc>
    </w:tr>
  </w:tbl>
  <w:p w:rsidR="001E0E28" w:rsidRPr="00E40820" w:rsidRDefault="001E0E28" w:rsidP="00E408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0E28" w:rsidTr="00E40820">
      <w:tblPrEx>
        <w:tblCellMar>
          <w:top w:w="0" w:type="dxa"/>
          <w:bottom w:w="0" w:type="dxa"/>
        </w:tblCellMar>
      </w:tblPrEx>
      <w:trPr>
        <w:trHeight w:hRule="exact" w:val="864"/>
      </w:trPr>
      <w:tc>
        <w:tcPr>
          <w:tcW w:w="4838" w:type="dxa"/>
          <w:shd w:val="clear" w:color="auto" w:fill="auto"/>
          <w:vAlign w:val="bottom"/>
        </w:tcPr>
        <w:p w:rsidR="001E0E28" w:rsidRDefault="001E0E28" w:rsidP="00E40820">
          <w:pPr>
            <w:pStyle w:val="Header"/>
          </w:pPr>
        </w:p>
      </w:tc>
      <w:tc>
        <w:tcPr>
          <w:tcW w:w="5033" w:type="dxa"/>
          <w:shd w:val="clear" w:color="auto" w:fill="auto"/>
          <w:vAlign w:val="bottom"/>
        </w:tcPr>
        <w:p w:rsidR="001E0E28" w:rsidRPr="00E40820" w:rsidRDefault="001E0E28" w:rsidP="00E4082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50948">
            <w:rPr>
              <w:b/>
              <w:sz w:val="17"/>
            </w:rPr>
            <w:t>CEDAW/C/ARG/CO/6</w:t>
          </w:r>
          <w:r>
            <w:rPr>
              <w:b/>
              <w:sz w:val="17"/>
            </w:rPr>
            <w:fldChar w:fldCharType="end"/>
          </w:r>
        </w:p>
      </w:tc>
    </w:tr>
  </w:tbl>
  <w:p w:rsidR="001E0E28" w:rsidRPr="00E40820" w:rsidRDefault="001E0E28" w:rsidP="00E408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E0E28" w:rsidTr="00E4082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E0E28" w:rsidRDefault="001E0E28" w:rsidP="00E40820">
          <w:pPr>
            <w:pStyle w:val="Header"/>
            <w:spacing w:after="120"/>
          </w:pPr>
        </w:p>
      </w:tc>
      <w:tc>
        <w:tcPr>
          <w:tcW w:w="1872" w:type="dxa"/>
          <w:tcBorders>
            <w:bottom w:val="single" w:sz="4" w:space="0" w:color="auto"/>
          </w:tcBorders>
          <w:shd w:val="clear" w:color="auto" w:fill="auto"/>
          <w:vAlign w:val="bottom"/>
        </w:tcPr>
        <w:p w:rsidR="001E0E28" w:rsidRPr="00E40820" w:rsidRDefault="001E0E28" w:rsidP="00E4082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E0E28" w:rsidRDefault="001E0E28" w:rsidP="00E40820">
          <w:pPr>
            <w:pStyle w:val="Header"/>
            <w:spacing w:after="120"/>
          </w:pPr>
        </w:p>
      </w:tc>
      <w:tc>
        <w:tcPr>
          <w:tcW w:w="6523" w:type="dxa"/>
          <w:gridSpan w:val="3"/>
          <w:tcBorders>
            <w:bottom w:val="single" w:sz="4" w:space="0" w:color="auto"/>
          </w:tcBorders>
          <w:shd w:val="clear" w:color="auto" w:fill="auto"/>
          <w:vAlign w:val="bottom"/>
        </w:tcPr>
        <w:p w:rsidR="001E0E28" w:rsidRPr="00E40820" w:rsidRDefault="001E0E28" w:rsidP="00E40820">
          <w:pPr>
            <w:spacing w:after="80" w:line="240" w:lineRule="auto"/>
            <w:jc w:val="right"/>
            <w:rPr>
              <w:rFonts w:ascii="Times New Roman"/>
              <w:position w:val="-4"/>
            </w:rPr>
          </w:pPr>
          <w:r>
            <w:rPr>
              <w:rFonts w:ascii="Times New Roman"/>
              <w:position w:val="-4"/>
              <w:sz w:val="40"/>
            </w:rPr>
            <w:t>CEDAW</w:t>
          </w:r>
          <w:r>
            <w:rPr>
              <w:rFonts w:ascii="Times New Roman"/>
              <w:position w:val="-4"/>
            </w:rPr>
            <w:t>/C/ARG/CO/6</w:t>
          </w:r>
        </w:p>
      </w:tc>
    </w:tr>
    <w:tr w:rsidR="001E0E28" w:rsidRPr="00E40820" w:rsidTr="00E4082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E0E28" w:rsidRDefault="001E0E28" w:rsidP="00E4082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E0E28" w:rsidRPr="00E40820" w:rsidRDefault="001E0E28" w:rsidP="00E40820">
          <w:pPr>
            <w:pStyle w:val="Header"/>
            <w:spacing w:before="109"/>
            <w:ind w:left="-72"/>
          </w:pPr>
        </w:p>
      </w:tc>
      <w:tc>
        <w:tcPr>
          <w:tcW w:w="5227" w:type="dxa"/>
          <w:gridSpan w:val="3"/>
          <w:tcBorders>
            <w:top w:val="single" w:sz="4" w:space="0" w:color="auto"/>
            <w:bottom w:val="single" w:sz="12" w:space="0" w:color="auto"/>
          </w:tcBorders>
          <w:shd w:val="clear" w:color="auto" w:fill="auto"/>
        </w:tcPr>
        <w:p w:rsidR="001E0E28" w:rsidRPr="00E40820" w:rsidRDefault="001E0E28" w:rsidP="00E4082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E0E28" w:rsidRPr="00E40820" w:rsidRDefault="001E0E28" w:rsidP="00E40820">
          <w:pPr>
            <w:pStyle w:val="Header"/>
            <w:spacing w:before="109"/>
          </w:pPr>
        </w:p>
      </w:tc>
      <w:tc>
        <w:tcPr>
          <w:tcW w:w="3180" w:type="dxa"/>
          <w:gridSpan w:val="2"/>
          <w:tcBorders>
            <w:top w:val="single" w:sz="4" w:space="0" w:color="auto"/>
            <w:bottom w:val="single" w:sz="12" w:space="0" w:color="auto"/>
          </w:tcBorders>
          <w:shd w:val="clear" w:color="auto" w:fill="auto"/>
        </w:tcPr>
        <w:p w:rsidR="001E0E28" w:rsidRDefault="001E0E28" w:rsidP="00E40820">
          <w:pPr>
            <w:spacing w:before="240" w:line="240" w:lineRule="exact"/>
            <w:rPr>
              <w:rFonts w:ascii="Times New Roman"/>
            </w:rPr>
          </w:pPr>
          <w:r>
            <w:rPr>
              <w:rFonts w:ascii="Times New Roman"/>
            </w:rPr>
            <w:t>Distr.: General</w:t>
          </w:r>
        </w:p>
        <w:p w:rsidR="001E0E28" w:rsidRDefault="001E0E28" w:rsidP="00E40820">
          <w:pPr>
            <w:spacing w:line="240" w:lineRule="exact"/>
            <w:rPr>
              <w:rFonts w:ascii="Times New Roman"/>
            </w:rPr>
          </w:pPr>
          <w:r>
            <w:rPr>
              <w:rFonts w:ascii="Times New Roman"/>
            </w:rPr>
            <w:t>16 August 2010</w:t>
          </w:r>
        </w:p>
        <w:p w:rsidR="001E0E28" w:rsidRDefault="001E0E28" w:rsidP="00E40820">
          <w:pPr>
            <w:spacing w:line="240" w:lineRule="exact"/>
            <w:rPr>
              <w:rFonts w:ascii="Times New Roman"/>
            </w:rPr>
          </w:pPr>
          <w:r>
            <w:rPr>
              <w:rFonts w:ascii="Times New Roman"/>
            </w:rPr>
            <w:t>Chinese</w:t>
          </w:r>
        </w:p>
        <w:p w:rsidR="001E0E28" w:rsidRPr="00E40820" w:rsidRDefault="001E0E28" w:rsidP="00E40820">
          <w:pPr>
            <w:spacing w:line="240" w:lineRule="exact"/>
            <w:rPr>
              <w:rFonts w:ascii="Times New Roman"/>
            </w:rPr>
          </w:pPr>
          <w:r>
            <w:rPr>
              <w:rFonts w:ascii="Times New Roman"/>
            </w:rPr>
            <w:t>Original: English</w:t>
          </w:r>
        </w:p>
      </w:tc>
    </w:tr>
  </w:tbl>
  <w:p w:rsidR="001E0E28" w:rsidRPr="00E40820" w:rsidRDefault="001E0E28" w:rsidP="00E4082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32*"/>
    <w:docVar w:name="CreationDt" w:val="15/10/2010 10:48:03"/>
    <w:docVar w:name="DocCategory" w:val="Doc"/>
    <w:docVar w:name="DocType" w:val="Final"/>
    <w:docVar w:name="FooterJN" w:val="10-48532 (C)"/>
    <w:docVar w:name="jobn" w:val="10-48532 (C)"/>
    <w:docVar w:name="jobnDT" w:val="10-48532 (C)   151010"/>
    <w:docVar w:name="jobnDTDT" w:val="10-48532 (C)   151010   151010"/>
    <w:docVar w:name="JobNo" w:val="1048532C"/>
    <w:docVar w:name="OandT" w:val="duan"/>
    <w:docVar w:name="sss1" w:val="CEDAW/C/ARG/CO/6"/>
    <w:docVar w:name="sss2" w:val="-"/>
    <w:docVar w:name="Symbol1" w:val="CEDAW/C/ARG/CO/6"/>
    <w:docVar w:name="Symbol2" w:val="-"/>
  </w:docVars>
  <w:rsids>
    <w:rsidRoot w:val="003D6A8F"/>
    <w:rsid w:val="0000347C"/>
    <w:rsid w:val="000125BC"/>
    <w:rsid w:val="00021A2B"/>
    <w:rsid w:val="00037B39"/>
    <w:rsid w:val="00044CA4"/>
    <w:rsid w:val="00045EFE"/>
    <w:rsid w:val="0007337D"/>
    <w:rsid w:val="000758DF"/>
    <w:rsid w:val="00076EB8"/>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CCD"/>
    <w:rsid w:val="00161E69"/>
    <w:rsid w:val="00161F54"/>
    <w:rsid w:val="00170FBE"/>
    <w:rsid w:val="0017506F"/>
    <w:rsid w:val="001B2814"/>
    <w:rsid w:val="001B4F95"/>
    <w:rsid w:val="001C3F7F"/>
    <w:rsid w:val="001C5166"/>
    <w:rsid w:val="001D0354"/>
    <w:rsid w:val="001E0E28"/>
    <w:rsid w:val="001E20EC"/>
    <w:rsid w:val="001E4442"/>
    <w:rsid w:val="001E5A51"/>
    <w:rsid w:val="001F03A7"/>
    <w:rsid w:val="00207135"/>
    <w:rsid w:val="00231575"/>
    <w:rsid w:val="00247382"/>
    <w:rsid w:val="00250948"/>
    <w:rsid w:val="00252E35"/>
    <w:rsid w:val="00254858"/>
    <w:rsid w:val="00257053"/>
    <w:rsid w:val="00266257"/>
    <w:rsid w:val="00266BD2"/>
    <w:rsid w:val="00271BE6"/>
    <w:rsid w:val="0027454D"/>
    <w:rsid w:val="00277868"/>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5940"/>
    <w:rsid w:val="003274A9"/>
    <w:rsid w:val="00331221"/>
    <w:rsid w:val="003649EE"/>
    <w:rsid w:val="00371BC6"/>
    <w:rsid w:val="00373A15"/>
    <w:rsid w:val="00383ACA"/>
    <w:rsid w:val="00383F4C"/>
    <w:rsid w:val="00394A02"/>
    <w:rsid w:val="003C7B20"/>
    <w:rsid w:val="003D075F"/>
    <w:rsid w:val="003D6A8F"/>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0CC"/>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7450D"/>
    <w:rsid w:val="0058302A"/>
    <w:rsid w:val="005B7338"/>
    <w:rsid w:val="005C02AB"/>
    <w:rsid w:val="005C5FC3"/>
    <w:rsid w:val="005D0F04"/>
    <w:rsid w:val="005F12F0"/>
    <w:rsid w:val="005F3273"/>
    <w:rsid w:val="005F34A3"/>
    <w:rsid w:val="00610CF2"/>
    <w:rsid w:val="006328DE"/>
    <w:rsid w:val="006353DE"/>
    <w:rsid w:val="006409E7"/>
    <w:rsid w:val="006479F1"/>
    <w:rsid w:val="00650BEE"/>
    <w:rsid w:val="006520FA"/>
    <w:rsid w:val="0065377D"/>
    <w:rsid w:val="00666F57"/>
    <w:rsid w:val="006740A7"/>
    <w:rsid w:val="006767D5"/>
    <w:rsid w:val="00691524"/>
    <w:rsid w:val="006A654B"/>
    <w:rsid w:val="006E2924"/>
    <w:rsid w:val="006E7A26"/>
    <w:rsid w:val="006F2B3D"/>
    <w:rsid w:val="007052CC"/>
    <w:rsid w:val="00713674"/>
    <w:rsid w:val="007319E0"/>
    <w:rsid w:val="007345AA"/>
    <w:rsid w:val="00737B00"/>
    <w:rsid w:val="0075155C"/>
    <w:rsid w:val="00753A05"/>
    <w:rsid w:val="00757193"/>
    <w:rsid w:val="00761190"/>
    <w:rsid w:val="00776537"/>
    <w:rsid w:val="00783A25"/>
    <w:rsid w:val="007877F4"/>
    <w:rsid w:val="007E1B5E"/>
    <w:rsid w:val="007E6253"/>
    <w:rsid w:val="007F2278"/>
    <w:rsid w:val="00803014"/>
    <w:rsid w:val="00805783"/>
    <w:rsid w:val="00806715"/>
    <w:rsid w:val="00806F57"/>
    <w:rsid w:val="00806F90"/>
    <w:rsid w:val="008246FC"/>
    <w:rsid w:val="00824C19"/>
    <w:rsid w:val="00826250"/>
    <w:rsid w:val="008378D1"/>
    <w:rsid w:val="00846462"/>
    <w:rsid w:val="0086691F"/>
    <w:rsid w:val="00883DB0"/>
    <w:rsid w:val="00884C8F"/>
    <w:rsid w:val="00896D38"/>
    <w:rsid w:val="008B31AB"/>
    <w:rsid w:val="008C3296"/>
    <w:rsid w:val="008D3FBF"/>
    <w:rsid w:val="008E2D03"/>
    <w:rsid w:val="008F2BB5"/>
    <w:rsid w:val="008F425D"/>
    <w:rsid w:val="008F5472"/>
    <w:rsid w:val="008F5D0F"/>
    <w:rsid w:val="009122E0"/>
    <w:rsid w:val="00913351"/>
    <w:rsid w:val="00913C5C"/>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E092F"/>
    <w:rsid w:val="00AF2A33"/>
    <w:rsid w:val="00B309DD"/>
    <w:rsid w:val="00B36621"/>
    <w:rsid w:val="00B36D64"/>
    <w:rsid w:val="00B41B48"/>
    <w:rsid w:val="00B478F7"/>
    <w:rsid w:val="00B56194"/>
    <w:rsid w:val="00B60F41"/>
    <w:rsid w:val="00B61A34"/>
    <w:rsid w:val="00B64E8E"/>
    <w:rsid w:val="00B65E8B"/>
    <w:rsid w:val="00B8025A"/>
    <w:rsid w:val="00B827B1"/>
    <w:rsid w:val="00BA3CBD"/>
    <w:rsid w:val="00BB23A4"/>
    <w:rsid w:val="00BC2276"/>
    <w:rsid w:val="00BD2150"/>
    <w:rsid w:val="00BE1CC3"/>
    <w:rsid w:val="00BE365A"/>
    <w:rsid w:val="00BE47C4"/>
    <w:rsid w:val="00BF16C9"/>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64AC"/>
    <w:rsid w:val="00CF7718"/>
    <w:rsid w:val="00D177F1"/>
    <w:rsid w:val="00D323B5"/>
    <w:rsid w:val="00D3440A"/>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40820"/>
    <w:rsid w:val="00E710FB"/>
    <w:rsid w:val="00E806D9"/>
    <w:rsid w:val="00E82CA2"/>
    <w:rsid w:val="00E94E5A"/>
    <w:rsid w:val="00E95594"/>
    <w:rsid w:val="00EA31C3"/>
    <w:rsid w:val="00EB33AC"/>
    <w:rsid w:val="00EC6F21"/>
    <w:rsid w:val="00EE0913"/>
    <w:rsid w:val="00F01440"/>
    <w:rsid w:val="00F13305"/>
    <w:rsid w:val="00F24902"/>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Pages>
  <Words>4000</Words>
  <Characters>4081</Characters>
  <Application>Microsoft Office Word</Application>
  <DocSecurity>4</DocSecurity>
  <Lines>140</Lines>
  <Paragraphs>79</Paragraphs>
  <ScaleCrop>false</ScaleCrop>
  <Company>United Nations</Company>
  <LinksUpToDate>false</LinksUpToDate>
  <CharactersWithSpaces>8002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19</cp:revision>
  <cp:lastPrinted>2010-10-15T13:37:00Z</cp:lastPrinted>
  <dcterms:created xsi:type="dcterms:W3CDTF">2010-10-15T09:46:00Z</dcterms:created>
  <dcterms:modified xsi:type="dcterms:W3CDTF">2010-10-15T13:39:00Z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1048532</vt:lpwstr>
  </property>
  <property fmtid="{D5CDD505-2E9C-101B-9397-08002B2CF9AE}" pid="3" name="Symbol1">
    <vt:lpwstr>CEDAW/C/ARG/CO/6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duan</vt:lpwstr>
  </property>
</Properties>
</file>