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3979" w:rsidRDefault="00E63979">
      <w:pPr>
        <w:spacing w:line="240" w:lineRule="auto"/>
        <w:rPr>
          <w:sz w:val="2"/>
        </w:rPr>
        <w:sectPr w:rsidR="00E6397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docGrid w:linePitch="280"/>
        </w:sectPr>
      </w:pPr>
      <w:r>
        <w:rPr>
          <w:rStyle w:val="CommentReference"/>
          <w:vanish/>
          <w:sz w:val="2"/>
        </w:rPr>
        <w:commentReference w:id="0"/>
      </w:r>
    </w:p>
    <w:p w:rsidR="00E63979" w:rsidRDefault="00E63979" w:rsidP="003E169F">
      <w:pPr>
        <w:pStyle w:val="H1"/>
      </w:pPr>
      <w:r>
        <w:t>Comité para la Eliminación de la Discriminación</w:t>
      </w:r>
      <w:r>
        <w:br/>
        <w:t>contra la Mujer</w:t>
      </w:r>
    </w:p>
    <w:p w:rsidR="00E63979" w:rsidRDefault="00E63979">
      <w:pPr>
        <w:pStyle w:val="H23"/>
      </w:pPr>
      <w:r>
        <w:t>34º período de sesiones</w:t>
      </w:r>
    </w:p>
    <w:p w:rsidR="00E63979" w:rsidRDefault="00E63979">
      <w:pPr>
        <w:spacing w:line="240" w:lineRule="auto"/>
        <w:rPr>
          <w:sz w:val="12"/>
        </w:rPr>
      </w:pPr>
    </w:p>
    <w:p w:rsidR="00E63979" w:rsidRDefault="00E63979">
      <w:pPr>
        <w:pStyle w:val="H23"/>
      </w:pPr>
      <w:r>
        <w:t>Acta resumida de la 708ª sesión</w:t>
      </w:r>
    </w:p>
    <w:p w:rsidR="00E63979" w:rsidRDefault="00E63979">
      <w:r>
        <w:t>Celebrada en la Sede, Nueva York, el viernes 20 de enero de 2006, a las 15.00 horas</w:t>
      </w:r>
    </w:p>
    <w:p w:rsidR="00E63979" w:rsidRDefault="00E63979">
      <w:pPr>
        <w:spacing w:line="120" w:lineRule="exact"/>
        <w:rPr>
          <w:sz w:val="10"/>
        </w:rPr>
      </w:pPr>
    </w:p>
    <w:p w:rsidR="00E63979" w:rsidRDefault="00E63979">
      <w:pPr>
        <w:tabs>
          <w:tab w:val="right" w:pos="950"/>
          <w:tab w:val="left" w:pos="1267"/>
          <w:tab w:val="right" w:leader="dot" w:pos="8568"/>
        </w:tabs>
        <w:ind w:right="1267"/>
      </w:pPr>
      <w:r>
        <w:rPr>
          <w:i/>
        </w:rPr>
        <w:t>Presidenta:</w:t>
      </w:r>
      <w:r>
        <w:tab/>
        <w:t>Sra. Manalo</w:t>
      </w:r>
    </w:p>
    <w:p w:rsidR="00E63979" w:rsidRDefault="00E63979">
      <w:pPr>
        <w:tabs>
          <w:tab w:val="right" w:pos="950"/>
          <w:tab w:val="left" w:pos="1267"/>
          <w:tab w:val="right" w:leader="dot" w:pos="8568"/>
        </w:tabs>
        <w:spacing w:line="120" w:lineRule="exact"/>
        <w:ind w:right="1267"/>
        <w:rPr>
          <w:sz w:val="10"/>
        </w:rPr>
      </w:pPr>
    </w:p>
    <w:p w:rsidR="00E63979" w:rsidRDefault="00E63979">
      <w:pPr>
        <w:tabs>
          <w:tab w:val="right" w:pos="950"/>
          <w:tab w:val="left" w:pos="1267"/>
          <w:tab w:val="right" w:leader="dot" w:pos="8568"/>
        </w:tabs>
        <w:spacing w:line="120" w:lineRule="exact"/>
        <w:ind w:right="1267"/>
        <w:rPr>
          <w:sz w:val="10"/>
        </w:rPr>
      </w:pPr>
    </w:p>
    <w:p w:rsidR="00E63979" w:rsidRDefault="00E63979">
      <w:pPr>
        <w:tabs>
          <w:tab w:val="right" w:pos="950"/>
          <w:tab w:val="left" w:pos="1267"/>
          <w:tab w:val="right" w:leader="dot" w:pos="8568"/>
        </w:tabs>
        <w:spacing w:line="120" w:lineRule="exact"/>
        <w:ind w:right="1267"/>
        <w:rPr>
          <w:sz w:val="10"/>
        </w:rPr>
      </w:pPr>
    </w:p>
    <w:p w:rsidR="00E63979" w:rsidRDefault="00E63979">
      <w:pPr>
        <w:pStyle w:val="HCh"/>
        <w:rPr>
          <w:b w:val="0"/>
        </w:rPr>
      </w:pPr>
      <w:r>
        <w:rPr>
          <w:b w:val="0"/>
        </w:rPr>
        <w:t>Sumario</w:t>
      </w:r>
    </w:p>
    <w:p w:rsidR="00E63979" w:rsidRDefault="00E63979">
      <w:pPr>
        <w:pStyle w:val="HCh"/>
        <w:spacing w:line="240" w:lineRule="auto"/>
        <w:rPr>
          <w:b w:val="0"/>
          <w:sz w:val="12"/>
        </w:rPr>
      </w:pPr>
    </w:p>
    <w:p w:rsidR="00E63979" w:rsidRDefault="00E63979">
      <w:pPr>
        <w:pStyle w:val="SingleTxt"/>
        <w:suppressAutoHyphens/>
        <w:jc w:val="left"/>
      </w:pPr>
      <w:r>
        <w:t>Examen de los informes presentados por los Estados partes en virtud del artículo 18 de la Convención (</w:t>
      </w:r>
      <w:r>
        <w:rPr>
          <w:i/>
          <w:iCs/>
        </w:rPr>
        <w:t>continuación</w:t>
      </w:r>
      <w:r>
        <w:t>)</w:t>
      </w:r>
    </w:p>
    <w:p w:rsidR="00E63979" w:rsidRDefault="00E63979">
      <w:pPr>
        <w:pStyle w:val="SingleTxt"/>
        <w:suppressAutoHyphens/>
        <w:jc w:val="left"/>
      </w:pPr>
      <w:r>
        <w:tab/>
      </w:r>
      <w:r>
        <w:rPr>
          <w:i/>
          <w:iCs/>
        </w:rPr>
        <w:t>Informes periódicos cuarto y quinto combinados de Tailandia</w:t>
      </w:r>
      <w:r>
        <w:t xml:space="preserve"> (</w:t>
      </w:r>
      <w:r>
        <w:rPr>
          <w:i/>
          <w:iCs/>
        </w:rPr>
        <w:t>co</w:t>
      </w:r>
      <w:r>
        <w:rPr>
          <w:i/>
          <w:iCs/>
        </w:rPr>
        <w:t>n</w:t>
      </w:r>
      <w:r>
        <w:rPr>
          <w:i/>
          <w:iCs/>
        </w:rPr>
        <w:t>tinuación</w:t>
      </w:r>
      <w:r>
        <w:t>)</w:t>
      </w:r>
    </w:p>
    <w:p w:rsidR="00E63979" w:rsidRDefault="00E63979">
      <w:pPr>
        <w:pStyle w:val="SingleTxt"/>
        <w:spacing w:after="0" w:line="240" w:lineRule="auto"/>
        <w:rPr>
          <w:sz w:val="2"/>
        </w:rPr>
        <w:sectPr w:rsidR="00E63979">
          <w:endnotePr>
            <w:numFmt w:val="decimal"/>
          </w:endnotePr>
          <w:type w:val="continuous"/>
          <w:pgSz w:w="12240" w:h="15840" w:code="1"/>
          <w:pgMar w:top="1742" w:right="1195" w:bottom="1898" w:left="1195" w:header="576" w:footer="1030" w:gutter="0"/>
          <w:cols w:space="720"/>
          <w:noEndnote/>
          <w:docGrid w:linePitch="280"/>
        </w:sectPr>
      </w:pPr>
      <w:r>
        <w:br w:type="page"/>
      </w:r>
    </w:p>
    <w:p w:rsidR="00E63979" w:rsidRDefault="00E63979">
      <w:pPr>
        <w:pStyle w:val="H4"/>
        <w:tabs>
          <w:tab w:val="right" w:pos="360"/>
          <w:tab w:val="left" w:pos="475"/>
          <w:tab w:val="left" w:pos="965"/>
          <w:tab w:val="left" w:pos="1440"/>
          <w:tab w:val="left" w:pos="1915"/>
          <w:tab w:val="left" w:pos="2405"/>
          <w:tab w:val="left" w:pos="2880"/>
          <w:tab w:val="left" w:pos="3355"/>
        </w:tabs>
        <w:ind w:left="475" w:hanging="475"/>
      </w:pPr>
      <w:r>
        <w:t>Se declara abierta la s</w:t>
      </w:r>
      <w:r>
        <w:t>e</w:t>
      </w:r>
      <w:r>
        <w:t>sión a las 15.03 horas.</w:t>
      </w:r>
    </w:p>
    <w:p w:rsidR="00E63979" w:rsidRDefault="00E63979">
      <w:pPr>
        <w:pStyle w:val="DualTxt"/>
        <w:spacing w:after="0" w:line="120" w:lineRule="exact"/>
        <w:rPr>
          <w:sz w:val="10"/>
        </w:rPr>
      </w:pPr>
    </w:p>
    <w:p w:rsidR="00E63979" w:rsidRDefault="00E63979">
      <w:pPr>
        <w:pStyle w:val="DualTxt"/>
        <w:spacing w:after="0" w:line="120" w:lineRule="exact"/>
        <w:rPr>
          <w:sz w:val="10"/>
        </w:rPr>
      </w:pPr>
    </w:p>
    <w:p w:rsidR="00E63979" w:rsidRDefault="00E63979">
      <w:pPr>
        <w:pStyle w:val="H23"/>
        <w:tabs>
          <w:tab w:val="right" w:pos="360"/>
          <w:tab w:val="left" w:pos="475"/>
          <w:tab w:val="left" w:pos="965"/>
          <w:tab w:val="left" w:pos="1440"/>
          <w:tab w:val="left" w:pos="1915"/>
          <w:tab w:val="left" w:pos="2405"/>
          <w:tab w:val="left" w:pos="2880"/>
          <w:tab w:val="left" w:pos="3355"/>
        </w:tabs>
      </w:pPr>
      <w:r>
        <w:t>Examen de los informes presentados por los Est</w:t>
      </w:r>
      <w:r>
        <w:t>a</w:t>
      </w:r>
      <w:r>
        <w:t xml:space="preserve">dos partes en virtud del artículo 18 de la Convención </w:t>
      </w:r>
      <w:r>
        <w:rPr>
          <w:b w:val="0"/>
          <w:bCs/>
        </w:rPr>
        <w:t>(</w:t>
      </w:r>
      <w:r>
        <w:rPr>
          <w:b w:val="0"/>
          <w:bCs/>
          <w:i/>
          <w:iCs/>
        </w:rPr>
        <w:t>continuación</w:t>
      </w:r>
      <w:r>
        <w:rPr>
          <w:b w:val="0"/>
          <w:bCs/>
        </w:rPr>
        <w:t>)</w:t>
      </w:r>
    </w:p>
    <w:p w:rsidR="00E63979" w:rsidRDefault="00E63979">
      <w:pPr>
        <w:pStyle w:val="DualTxt"/>
        <w:spacing w:after="0" w:line="120" w:lineRule="exact"/>
        <w:rPr>
          <w:sz w:val="10"/>
        </w:rPr>
      </w:pPr>
    </w:p>
    <w:p w:rsidR="00E63979" w:rsidRDefault="00E63979">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Informes periódicos cuarto y quinto combinados de Tailandia </w:t>
      </w:r>
      <w:r>
        <w:rPr>
          <w:i w:val="0"/>
          <w:iCs/>
        </w:rPr>
        <w:t>(</w:t>
      </w:r>
      <w:r>
        <w:t>cont</w:t>
      </w:r>
      <w:r>
        <w:t>i</w:t>
      </w:r>
      <w:r>
        <w:t>nuación</w:t>
      </w:r>
      <w:r>
        <w:rPr>
          <w:i w:val="0"/>
          <w:iCs/>
        </w:rPr>
        <w:t>) (CEDAW/C/THA/4-5, CEDAW/C/THA/Q/4-5 y CEDAW/C/THA/Q/4-5/Add. 1)</w:t>
      </w:r>
    </w:p>
    <w:p w:rsidR="00E63979" w:rsidRDefault="00E63979">
      <w:pPr>
        <w:pStyle w:val="DualTxt"/>
        <w:spacing w:after="0" w:line="120" w:lineRule="exact"/>
        <w:rPr>
          <w:sz w:val="10"/>
        </w:rPr>
      </w:pPr>
    </w:p>
    <w:p w:rsidR="00E63979" w:rsidRDefault="00E63979">
      <w:pPr>
        <w:pStyle w:val="DualTxt"/>
      </w:pPr>
      <w:r>
        <w:t>1.</w:t>
      </w:r>
      <w:r>
        <w:tab/>
        <w:t>Por invitación de la Presidenta, los miembros de la delegación de Tailandia toman asiento a la m</w:t>
      </w:r>
      <w:r>
        <w:t>e</w:t>
      </w:r>
      <w:r>
        <w:t>sa del Comité.</w:t>
      </w:r>
    </w:p>
    <w:p w:rsidR="00E63979" w:rsidRDefault="00E63979">
      <w:pPr>
        <w:pStyle w:val="DualTxt"/>
        <w:spacing w:after="0" w:line="120" w:lineRule="exact"/>
        <w:rPr>
          <w:sz w:val="10"/>
        </w:rPr>
      </w:pPr>
    </w:p>
    <w:p w:rsidR="00E63979" w:rsidRDefault="00E63979">
      <w:pPr>
        <w:pStyle w:val="H23"/>
        <w:tabs>
          <w:tab w:val="right" w:pos="360"/>
          <w:tab w:val="left" w:pos="475"/>
          <w:tab w:val="left" w:pos="965"/>
          <w:tab w:val="left" w:pos="1440"/>
          <w:tab w:val="left" w:pos="1915"/>
          <w:tab w:val="left" w:pos="2405"/>
          <w:tab w:val="left" w:pos="2880"/>
          <w:tab w:val="left" w:pos="3355"/>
        </w:tabs>
        <w:ind w:left="475" w:hanging="475"/>
      </w:pPr>
      <w:r>
        <w:t xml:space="preserve">Artículos 10 a 14 </w:t>
      </w:r>
      <w:r>
        <w:rPr>
          <w:b w:val="0"/>
          <w:bCs/>
        </w:rPr>
        <w:t>(</w:t>
      </w:r>
      <w:r>
        <w:rPr>
          <w:b w:val="0"/>
          <w:bCs/>
          <w:i/>
          <w:iCs/>
        </w:rPr>
        <w:t>cont</w:t>
      </w:r>
      <w:r>
        <w:rPr>
          <w:b w:val="0"/>
          <w:bCs/>
          <w:i/>
          <w:iCs/>
        </w:rPr>
        <w:t>i</w:t>
      </w:r>
      <w:r>
        <w:rPr>
          <w:b w:val="0"/>
          <w:bCs/>
          <w:i/>
          <w:iCs/>
        </w:rPr>
        <w:t>nuación</w:t>
      </w:r>
      <w:r>
        <w:rPr>
          <w:b w:val="0"/>
          <w:bCs/>
        </w:rPr>
        <w:t>)</w:t>
      </w:r>
    </w:p>
    <w:p w:rsidR="00E63979" w:rsidRDefault="00E63979">
      <w:pPr>
        <w:pStyle w:val="DualTxt"/>
        <w:spacing w:after="0" w:line="120" w:lineRule="exact"/>
        <w:rPr>
          <w:sz w:val="10"/>
        </w:rPr>
      </w:pPr>
    </w:p>
    <w:p w:rsidR="00E63979" w:rsidRDefault="00E63979">
      <w:pPr>
        <w:pStyle w:val="DualTxt"/>
      </w:pPr>
      <w:r>
        <w:t>2.</w:t>
      </w:r>
      <w:r>
        <w:tab/>
      </w:r>
      <w:r>
        <w:rPr>
          <w:b/>
          <w:bCs/>
        </w:rPr>
        <w:t>La Sra. Khan</w:t>
      </w:r>
      <w:r>
        <w:t xml:space="preserve"> observa que muchas mujeres m</w:t>
      </w:r>
      <w:r>
        <w:t>u</w:t>
      </w:r>
      <w:r>
        <w:t>sulmanas han perdido a sus padres y maridos como cons</w:t>
      </w:r>
      <w:r>
        <w:t>e</w:t>
      </w:r>
      <w:r>
        <w:t>cuencia de la violencia política que ha afectado la región meridional de Tailandia desde 2004. Desea s</w:t>
      </w:r>
      <w:r>
        <w:t>a</w:t>
      </w:r>
      <w:r>
        <w:t>ber si la Comisión de Reconciliación Nacional ha fo</w:t>
      </w:r>
      <w:r>
        <w:t>r</w:t>
      </w:r>
      <w:r>
        <w:t>mulado medidas para asegurar que las mujeres musu</w:t>
      </w:r>
      <w:r>
        <w:t>l</w:t>
      </w:r>
      <w:r>
        <w:t>manas que han quedado viudas y ahora enc</w:t>
      </w:r>
      <w:r>
        <w:t>a</w:t>
      </w:r>
      <w:r>
        <w:t>bezan sus hogares reciban asistencia económica, en particular p</w:t>
      </w:r>
      <w:r>
        <w:t>a</w:t>
      </w:r>
      <w:r>
        <w:t>ra que sus niños puedan seguir en la escuela. Además, pregunta de qué mec</w:t>
      </w:r>
      <w:r>
        <w:t>a</w:t>
      </w:r>
      <w:r>
        <w:t>nismos se dispone para asegurar que las mujeres cuyos familiares han participado en la insurgencia o han muerto en ella no sean ahora objeto de discriminación por motivos sociales o políticos. In</w:t>
      </w:r>
      <w:r>
        <w:t>s</w:t>
      </w:r>
      <w:r>
        <w:t>ta al Gobierno de Tailandia a garantizar el acceso de las mujeres y niñas musulmanas de la región meridi</w:t>
      </w:r>
      <w:r>
        <w:t>o</w:t>
      </w:r>
      <w:r>
        <w:t>nal, en especial las muchachas adolescentes, a la ens</w:t>
      </w:r>
      <w:r>
        <w:t>e</w:t>
      </w:r>
      <w:r>
        <w:t>ñanza académica y no académica, a los programas de seguridad social, a la atención de la salud, a las opo</w:t>
      </w:r>
      <w:r>
        <w:t>r</w:t>
      </w:r>
      <w:r>
        <w:t>tunidades económicas y a la participación en t</w:t>
      </w:r>
      <w:r>
        <w:t>o</w:t>
      </w:r>
      <w:r>
        <w:t>das las actividades de la comunidad, como se prevé en el artículo 14 de la Convención.</w:t>
      </w:r>
    </w:p>
    <w:p w:rsidR="00E63979" w:rsidRDefault="00E63979">
      <w:pPr>
        <w:pStyle w:val="DualTxt"/>
      </w:pPr>
      <w:r>
        <w:t>3.</w:t>
      </w:r>
      <w:r>
        <w:tab/>
      </w:r>
      <w:r>
        <w:rPr>
          <w:b/>
          <w:bCs/>
        </w:rPr>
        <w:t>La Sra. Pimentel</w:t>
      </w:r>
      <w:r>
        <w:t xml:space="preserve"> felicita al Estado parte por el aumento en el índice de utilización de métodos ant</w:t>
      </w:r>
      <w:r>
        <w:t>i</w:t>
      </w:r>
      <w:r>
        <w:t>conceptivos que se ha registrado desde 1996. No ob</w:t>
      </w:r>
      <w:r>
        <w:t>s</w:t>
      </w:r>
      <w:r>
        <w:t>tante, en el informe de Tailandia se indica que la ant</w:t>
      </w:r>
      <w:r>
        <w:t>i</w:t>
      </w:r>
      <w:r>
        <w:t>concepción sigue siendo principalmente responsabil</w:t>
      </w:r>
      <w:r>
        <w:t>i</w:t>
      </w:r>
      <w:r>
        <w:t>dad de la mujer. Agradecería que se proporcionase más información sobre las medidas que está adoptando el Gobierno para atender a esta situación, especialmente con respecto a los gastos mayores en que deben inc</w:t>
      </w:r>
      <w:r>
        <w:t>u</w:t>
      </w:r>
      <w:r>
        <w:t>rrir las mujeres para adquirir anticonce</w:t>
      </w:r>
      <w:r>
        <w:t>p</w:t>
      </w:r>
      <w:r>
        <w:t>tivos y los riesgos para su salud a causa de los efectos secund</w:t>
      </w:r>
      <w:r>
        <w:t>a</w:t>
      </w:r>
      <w:r>
        <w:t>rios. También desea saber si el Gobierno ha adoptado políticas y medidas para crear conciencia de que los hombres y las mujeres co</w:t>
      </w:r>
      <w:r>
        <w:t>m</w:t>
      </w:r>
      <w:r>
        <w:t>parten la responsabilidad en lo que se refiere a la salud reproductiva y, de haberlo hecho, si esas iniciativas se han inspirado en los pri</w:t>
      </w:r>
      <w:r>
        <w:t>n</w:t>
      </w:r>
      <w:r>
        <w:t>cipios enunciados en la Conferencia Internacional s</w:t>
      </w:r>
      <w:r>
        <w:t>o</w:t>
      </w:r>
      <w:r>
        <w:t>bre Población y Desarrollo y la Cuarta Conferencia Mundial sobre la Mujer.</w:t>
      </w:r>
    </w:p>
    <w:p w:rsidR="00E63979" w:rsidRDefault="00E63979">
      <w:pPr>
        <w:pStyle w:val="DualTxt"/>
      </w:pPr>
      <w:r>
        <w:t>4.</w:t>
      </w:r>
      <w:r>
        <w:tab/>
        <w:t>En el informe se reconoce que los abortos ileg</w:t>
      </w:r>
      <w:r>
        <w:t>a</w:t>
      </w:r>
      <w:r>
        <w:t>les suelen ser el resultado de embarazos no program</w:t>
      </w:r>
      <w:r>
        <w:t>a</w:t>
      </w:r>
      <w:r>
        <w:t>dos y que pueden tener consecuencias graves para la salud, incluida la mortalidad. Pregunta si el Gobierno está examinando la legislación vigente, o consid</w:t>
      </w:r>
      <w:r>
        <w:t>e</w:t>
      </w:r>
      <w:r>
        <w:t>rando la posibilidad de establecer un proced</w:t>
      </w:r>
      <w:r>
        <w:t>i</w:t>
      </w:r>
      <w:r>
        <w:t>miento para examinarla, con miras a proteger los derechos de pr</w:t>
      </w:r>
      <w:r>
        <w:t>o</w:t>
      </w:r>
      <w:r>
        <w:t>creación de las mujeres y, particularmente, a evitar las consecuencias perjudiciales que tienen los abortos sin asistencia m</w:t>
      </w:r>
      <w:r>
        <w:t>é</w:t>
      </w:r>
      <w:r>
        <w:t>dica para la salud de las mujeres.</w:t>
      </w:r>
    </w:p>
    <w:p w:rsidR="00E63979" w:rsidRDefault="00E63979">
      <w:pPr>
        <w:pStyle w:val="DualTxt"/>
      </w:pPr>
      <w:r>
        <w:t>5.</w:t>
      </w:r>
      <w:r>
        <w:tab/>
      </w:r>
      <w:r>
        <w:rPr>
          <w:b/>
          <w:bCs/>
        </w:rPr>
        <w:t>La Sra. Saiga</w:t>
      </w:r>
      <w:r>
        <w:t xml:space="preserve"> observa que en el informe se me</w:t>
      </w:r>
      <w:r>
        <w:t>n</w:t>
      </w:r>
      <w:r>
        <w:t>cionan dos programas comunitarios de crédito: el Fo</w:t>
      </w:r>
      <w:r>
        <w:t>n</w:t>
      </w:r>
      <w:r>
        <w:t>do para Aldeas y Comun</w:t>
      </w:r>
      <w:r>
        <w:t>i</w:t>
      </w:r>
      <w:r>
        <w:t>dades Urbanas y el Banco del Pueblo. La delegación ya ha sumini</w:t>
      </w:r>
      <w:r>
        <w:t>s</w:t>
      </w:r>
      <w:r>
        <w:t>trado información sobre el Fondo para Aldeas y Comunidades Urbanas, que a juicio del Gobierno ha tenido una buena m</w:t>
      </w:r>
      <w:r>
        <w:t>e</w:t>
      </w:r>
      <w:r>
        <w:t>dida de éxito. La oradora desea saber si se dispone de i</w:t>
      </w:r>
      <w:r>
        <w:t>n</w:t>
      </w:r>
      <w:r>
        <w:t>formación equivalente acerca del Banco del Pueblo. Concretamente, querría saber cuántos hombres y cuá</w:t>
      </w:r>
      <w:r>
        <w:t>n</w:t>
      </w:r>
      <w:r>
        <w:t>tas mujeres se han beneficiado del programa y cómo evalúa el Gobierno sus result</w:t>
      </w:r>
      <w:r>
        <w:t>a</w:t>
      </w:r>
      <w:r>
        <w:t>dos hasta la fecha.</w:t>
      </w:r>
    </w:p>
    <w:p w:rsidR="00E63979" w:rsidRDefault="00E63979">
      <w:pPr>
        <w:pStyle w:val="DualTxt"/>
      </w:pPr>
      <w:r>
        <w:t>6.</w:t>
      </w:r>
      <w:r>
        <w:tab/>
        <w:t>Celebra los esfuerzos de la Comisión Nacional para los Asuntos de la Mujer al efecto de m</w:t>
      </w:r>
      <w:r>
        <w:t>o</w:t>
      </w:r>
      <w:r>
        <w:t>dificar la Ley del nombre, en consonancia tanto con la decisión del Tribunal Constitucional como con la recomend</w:t>
      </w:r>
      <w:r>
        <w:t>a</w:t>
      </w:r>
      <w:r>
        <w:t>ción formulada por el Comité en 1999, part</w:t>
      </w:r>
      <w:r>
        <w:t>i</w:t>
      </w:r>
      <w:r>
        <w:t>cularmente porque, al parecer, el acceso de la mujer casada al cr</w:t>
      </w:r>
      <w:r>
        <w:t>é</w:t>
      </w:r>
      <w:r>
        <w:t>dito sigue viéndose limitado por el requisito de que d</w:t>
      </w:r>
      <w:r>
        <w:t>e</w:t>
      </w:r>
      <w:r>
        <w:t>be usar el apellido del marido y la designación “Señ</w:t>
      </w:r>
      <w:r>
        <w:t>o</w:t>
      </w:r>
      <w:r>
        <w:t>ra” para indicar su estado civil. Una mujer casada n</w:t>
      </w:r>
      <w:r>
        <w:t>e</w:t>
      </w:r>
      <w:r>
        <w:t>cesita el consentimiento escrito del marido para obt</w:t>
      </w:r>
      <w:r>
        <w:t>e</w:t>
      </w:r>
      <w:r>
        <w:t>ner un crédito. Pregunta si a este respecto se tr</w:t>
      </w:r>
      <w:r>
        <w:t>a</w:t>
      </w:r>
      <w:r>
        <w:t>ta de la misma manera a los maridos y las esposas. En otras p</w:t>
      </w:r>
      <w:r>
        <w:t>a</w:t>
      </w:r>
      <w:r>
        <w:t>labras, ¿necesita un hombre el consentimiento de su esposa? Si no es así, ¿cómo se propone el Gobierno c</w:t>
      </w:r>
      <w:r>
        <w:t>o</w:t>
      </w:r>
      <w:r>
        <w:t>rregir esa desigualdad?</w:t>
      </w:r>
    </w:p>
    <w:p w:rsidR="00E63979" w:rsidRDefault="00E63979">
      <w:pPr>
        <w:pStyle w:val="DualTxt"/>
      </w:pPr>
      <w:r>
        <w:t>7.</w:t>
      </w:r>
      <w:r>
        <w:tab/>
        <w:t>La oradora también pide que se aclare la inform</w:t>
      </w:r>
      <w:r>
        <w:t>a</w:t>
      </w:r>
      <w:r>
        <w:t>ción que se ha presentado con respecto a las monjas budistas y las mujeres que son monjes budistas. En particular, desea saber si la única mujer que es monje budista en Tailandia disfruta de los mismos derechos, prerrogativas y beneficios que tienen sus homólogos masculinos. Asimismo, solicita información adicional sobre el contenido y el propósito del proyecto de ley sobre monjas.</w:t>
      </w:r>
    </w:p>
    <w:p w:rsidR="00E63979" w:rsidRDefault="00E63979">
      <w:pPr>
        <w:pStyle w:val="DualTxt"/>
      </w:pPr>
      <w:r>
        <w:t>8.</w:t>
      </w:r>
      <w:r>
        <w:tab/>
      </w:r>
      <w:r>
        <w:rPr>
          <w:b/>
          <w:bCs/>
        </w:rPr>
        <w:t>La Sra. Zou</w:t>
      </w:r>
      <w:r>
        <w:t xml:space="preserve"> dice que es lamentable que en el i</w:t>
      </w:r>
      <w:r>
        <w:t>n</w:t>
      </w:r>
      <w:r>
        <w:t>forme no se propo</w:t>
      </w:r>
      <w:r>
        <w:t>r</w:t>
      </w:r>
      <w:r>
        <w:t>cione más información detallada acerca de la situación de las mujeres rurales en lo que se refiere a la educación, la atención de la salud y el abastecimiento de agua potable, lo que dificulta la ev</w:t>
      </w:r>
      <w:r>
        <w:t>a</w:t>
      </w:r>
      <w:r>
        <w:t>luación de la medida en que el Gobierno ha aplicado el artículo 14 de la Co</w:t>
      </w:r>
      <w:r>
        <w:t>n</w:t>
      </w:r>
      <w:r>
        <w:t>vención. Desea que en el próximo informe de Tailandia se presenten datos más claros y estadísticas desglosadas por género a este respecto.</w:t>
      </w:r>
    </w:p>
    <w:p w:rsidR="00E63979" w:rsidRDefault="00E63979">
      <w:pPr>
        <w:pStyle w:val="DualTxt"/>
      </w:pPr>
      <w:r>
        <w:t>9.</w:t>
      </w:r>
      <w:r>
        <w:tab/>
        <w:t>En cuanto a la información que contiene el i</w:t>
      </w:r>
      <w:r>
        <w:t>n</w:t>
      </w:r>
      <w:r>
        <w:t>forme en relación con las mujeres rurales, desea hacer varias preguntas. Primero, agradecería di</w:t>
      </w:r>
      <w:r>
        <w:t>s</w:t>
      </w:r>
      <w:r>
        <w:t>poner de más detalles respecto de las medidas que está adopta</w:t>
      </w:r>
      <w:r>
        <w:t>n</w:t>
      </w:r>
      <w:r>
        <w:t>do el Gobierno para abordar el problema de la trata y la e</w:t>
      </w:r>
      <w:r>
        <w:t>x</w:t>
      </w:r>
      <w:r>
        <w:t>plotación de mujeres y niñas rurales, especia</w:t>
      </w:r>
      <w:r>
        <w:t>l</w:t>
      </w:r>
      <w:r>
        <w:t>mente las de las tribus de las colinas y los grupos étnicos minor</w:t>
      </w:r>
      <w:r>
        <w:t>i</w:t>
      </w:r>
      <w:r>
        <w:t>tarios, que a menudo se sienten obligadas por la pobr</w:t>
      </w:r>
      <w:r>
        <w:t>e</w:t>
      </w:r>
      <w:r>
        <w:t>za a emigrar al extranjero o a zonas urbanas en busca de trabajo. Muchas de ellas luego se ven forz</w:t>
      </w:r>
      <w:r>
        <w:t>a</w:t>
      </w:r>
      <w:r>
        <w:t>das a trabajar en la industria del sexo o son víct</w:t>
      </w:r>
      <w:r>
        <w:t>i</w:t>
      </w:r>
      <w:r>
        <w:t>mas de la trata de seres humanos.</w:t>
      </w:r>
    </w:p>
    <w:p w:rsidR="00E63979" w:rsidRDefault="00E63979">
      <w:pPr>
        <w:pStyle w:val="DualTxt"/>
      </w:pPr>
      <w:r>
        <w:t>10.</w:t>
      </w:r>
      <w:r>
        <w:tab/>
        <w:t>En segundo lugar, pregunta cómo se están apl</w:t>
      </w:r>
      <w:r>
        <w:t>i</w:t>
      </w:r>
      <w:r>
        <w:t>cando en las zonas rurales y montañosas el programa universal de atención médica “de los 30 baht” del G</w:t>
      </w:r>
      <w:r>
        <w:t>o</w:t>
      </w:r>
      <w:r>
        <w:t>bierno y su política de educación obligatoria gratuita durante 12 años. En particular, ¿a cuántas mujeres rur</w:t>
      </w:r>
      <w:r>
        <w:t>a</w:t>
      </w:r>
      <w:r>
        <w:t>les alcanzan esos programas y qué estrategias se e</w:t>
      </w:r>
      <w:r>
        <w:t>m</w:t>
      </w:r>
      <w:r>
        <w:t>plean para asegurar que las mujeres de los medios rur</w:t>
      </w:r>
      <w:r>
        <w:t>a</w:t>
      </w:r>
      <w:r>
        <w:t>les se beneficien de ellos? En tercer término, observa que los grupos étnicos minoritarios de Tailandia, que en su mayor parte viven en las zonas montañosas, p</w:t>
      </w:r>
      <w:r>
        <w:t>a</w:t>
      </w:r>
      <w:r>
        <w:t>recen haber recibido del Gobierno un volumen de asi</w:t>
      </w:r>
      <w:r>
        <w:t>s</w:t>
      </w:r>
      <w:r>
        <w:t>tencia relativamente menor. Desea saber qué política ha adoptado el Gobierno en relación con los grupos min</w:t>
      </w:r>
      <w:r>
        <w:t>o</w:t>
      </w:r>
      <w:r>
        <w:t>ritarios, especialmente las mujeres de esos grupos, y qué se está haciendo para pre</w:t>
      </w:r>
      <w:r>
        <w:t>s</w:t>
      </w:r>
      <w:r>
        <w:t>tarles asistencia.</w:t>
      </w:r>
    </w:p>
    <w:p w:rsidR="00E63979" w:rsidRDefault="00E63979">
      <w:pPr>
        <w:pStyle w:val="DualTxt"/>
      </w:pPr>
      <w:r>
        <w:t>11.</w:t>
      </w:r>
      <w:r>
        <w:tab/>
        <w:t>En cuarto lugar, dice que las cifras relativas a la participación en órganos locales de gobierno que fig</w:t>
      </w:r>
      <w:r>
        <w:t>u</w:t>
      </w:r>
      <w:r>
        <w:t>ran en el informe indican que las mujeres de los m</w:t>
      </w:r>
      <w:r>
        <w:t>e</w:t>
      </w:r>
      <w:r>
        <w:t>dios rurales no intervienen sino en escasa medida en la adopción de decisiones. Pregunta qué se está haciendo para remediar esta situación. Por ejemplo, ¿se han re</w:t>
      </w:r>
      <w:r>
        <w:t>a</w:t>
      </w:r>
      <w:r>
        <w:t>lizado actividades de d</w:t>
      </w:r>
      <w:r>
        <w:t>e</w:t>
      </w:r>
      <w:r>
        <w:t>sarrollo de la capacidad entre mujeres de las zonas rurales? Por último, desea saber qué porcentaje de las mujeres rurales son propietarias de tierras y cómo se compara ese porcentaje con el número de hombres que son propi</w:t>
      </w:r>
      <w:r>
        <w:t>e</w:t>
      </w:r>
      <w:r>
        <w:t>tarios de tierras.</w:t>
      </w:r>
    </w:p>
    <w:p w:rsidR="00E63979" w:rsidRDefault="00E63979">
      <w:pPr>
        <w:pStyle w:val="DualTxt"/>
      </w:pPr>
      <w:r>
        <w:t>12.</w:t>
      </w:r>
      <w:r>
        <w:tab/>
      </w:r>
      <w:r>
        <w:rPr>
          <w:b/>
          <w:bCs/>
        </w:rPr>
        <w:t>El Sr. Charupa</w:t>
      </w:r>
      <w:r>
        <w:t xml:space="preserve"> (Ta</w:t>
      </w:r>
      <w:r>
        <w:t>i</w:t>
      </w:r>
      <w:r>
        <w:t>landia), dando respuesta a las preguntas relativas a la salud y seguridad de las trab</w:t>
      </w:r>
      <w:r>
        <w:t>a</w:t>
      </w:r>
      <w:r>
        <w:t>jadoras, dice que en el derecho laboral tailandés se di</w:t>
      </w:r>
      <w:r>
        <w:t>s</w:t>
      </w:r>
      <w:r>
        <w:t>pone igual protección para los ho</w:t>
      </w:r>
      <w:r>
        <w:t>m</w:t>
      </w:r>
      <w:r>
        <w:t>bres y las mujeres. La legislación contiene cláusulas especiales sobre la protección y seguridad de las trabajadoras, en las que se estipula que no se puede exigir que las mujeres de</w:t>
      </w:r>
      <w:r>
        <w:t>s</w:t>
      </w:r>
      <w:r>
        <w:t>empeñen determinados tipos de trabajo, entre ellos l</w:t>
      </w:r>
      <w:r>
        <w:t>a</w:t>
      </w:r>
      <w:r>
        <w:t>bores de m</w:t>
      </w:r>
      <w:r>
        <w:t>i</w:t>
      </w:r>
      <w:r>
        <w:t>nería y construcción. También se disponen medidas especiales de protección para las mujeres e</w:t>
      </w:r>
      <w:r>
        <w:t>m</w:t>
      </w:r>
      <w:r>
        <w:t>barazadas, incluyendo restricciones en cuanto a los t</w:t>
      </w:r>
      <w:r>
        <w:t>i</w:t>
      </w:r>
      <w:r>
        <w:t>pos de trabajo que pueden desempeñar y una garantía de 90 días de licencia de maternidad por cada embar</w:t>
      </w:r>
      <w:r>
        <w:t>a</w:t>
      </w:r>
      <w:r>
        <w:t>zo. Un e</w:t>
      </w:r>
      <w:r>
        <w:t>m</w:t>
      </w:r>
      <w:r>
        <w:t>pleador no puede despedir a una trabajadora en r</w:t>
      </w:r>
      <w:r>
        <w:t>a</w:t>
      </w:r>
      <w:r>
        <w:t>zón de su embarazo.</w:t>
      </w:r>
    </w:p>
    <w:p w:rsidR="00E63979" w:rsidRDefault="00E63979">
      <w:pPr>
        <w:pStyle w:val="DualTxt"/>
      </w:pPr>
      <w:r>
        <w:t>13.</w:t>
      </w:r>
      <w:r>
        <w:tab/>
        <w:t>Con respecto a las personas que trabajan en sus casas, las disposiciones legislativas pertinentes están en conformidad con las normas de la Organización I</w:t>
      </w:r>
      <w:r>
        <w:t>n</w:t>
      </w:r>
      <w:r>
        <w:t>ternacional del Trabajo. La mayoría de esas personas no trab</w:t>
      </w:r>
      <w:r>
        <w:t>a</w:t>
      </w:r>
      <w:r>
        <w:t>jan a horario completo, y el pago es a destajo, de manera que no hay salario mínimo para el trabajo a domicilio. No obstante, gozan de cierta medida de pr</w:t>
      </w:r>
      <w:r>
        <w:t>o</w:t>
      </w:r>
      <w:r>
        <w:t>tección laboral, ya que el Gobierno tiene el deber de asegurar que reciban el pago convenido en el co</w:t>
      </w:r>
      <w:r>
        <w:t>n</w:t>
      </w:r>
      <w:r>
        <w:t>trato. Además, no se puede obligar a las personas que trab</w:t>
      </w:r>
      <w:r>
        <w:t>a</w:t>
      </w:r>
      <w:r>
        <w:t>jan en sus casas a desempeñar tareas que sean perjud</w:t>
      </w:r>
      <w:r>
        <w:t>i</w:t>
      </w:r>
      <w:r>
        <w:t>ciales p</w:t>
      </w:r>
      <w:r>
        <w:t>a</w:t>
      </w:r>
      <w:r>
        <w:t>ra su salud.</w:t>
      </w:r>
    </w:p>
    <w:p w:rsidR="00E63979" w:rsidRDefault="00E63979">
      <w:pPr>
        <w:pStyle w:val="DualTxt"/>
      </w:pPr>
      <w:r>
        <w:t>14.</w:t>
      </w:r>
      <w:r>
        <w:tab/>
      </w:r>
      <w:r>
        <w:rPr>
          <w:b/>
          <w:bCs/>
        </w:rPr>
        <w:t>La Sra. Iamsudha</w:t>
      </w:r>
      <w:r>
        <w:t xml:space="preserve"> (Tailandia), refiriéndose a la cuestión de la trata y explotación de mujeres tailand</w:t>
      </w:r>
      <w:r>
        <w:t>e</w:t>
      </w:r>
      <w:r>
        <w:t>sas, dice que el Gobierno de Tailandia atribuye gran importancia a la protección de los ciudadanos tailand</w:t>
      </w:r>
      <w:r>
        <w:t>e</w:t>
      </w:r>
      <w:r>
        <w:t>ses que buscan oportunidades de trabajo en el exterior. El Gobierno reconoce que las trabajadoras son más vulnerables que los trabajadores y ha adoptado med</w:t>
      </w:r>
      <w:r>
        <w:t>i</w:t>
      </w:r>
      <w:r>
        <w:t>das especiales para dotarlas de las aptitudes lingüíst</w:t>
      </w:r>
      <w:r>
        <w:t>i</w:t>
      </w:r>
      <w:r>
        <w:t>cas y ocupacionales necesarias, y en especial de info</w:t>
      </w:r>
      <w:r>
        <w:t>r</w:t>
      </w:r>
      <w:r>
        <w:t>mación sobre los países de destino y el riesgo de caer en las trampas de la trata. Además, el Gobierno proc</w:t>
      </w:r>
      <w:r>
        <w:t>u</w:t>
      </w:r>
      <w:r>
        <w:t>ra proteger los derechos y los intereses de todos los trab</w:t>
      </w:r>
      <w:r>
        <w:t>a</w:t>
      </w:r>
      <w:r>
        <w:t>jadores tailandeses en el exterior de conformidad con la legislación laboral y los contratos de empleo del l</w:t>
      </w:r>
      <w:r>
        <w:t>u</w:t>
      </w:r>
      <w:r>
        <w:t>gar, y presta asistencia a trabajadores que han sido e</w:t>
      </w:r>
      <w:r>
        <w:t>n</w:t>
      </w:r>
      <w:r>
        <w:t>gañados por agencias de empleo ilegales y han qued</w:t>
      </w:r>
      <w:r>
        <w:t>a</w:t>
      </w:r>
      <w:r>
        <w:t>do desamparados en el extranjero, asegurando que r</w:t>
      </w:r>
      <w:r>
        <w:t>e</w:t>
      </w:r>
      <w:r>
        <w:t>gresen sanos y salvos a su país.</w:t>
      </w:r>
    </w:p>
    <w:p w:rsidR="00E63979" w:rsidRDefault="00E63979">
      <w:pPr>
        <w:pStyle w:val="DualTxt"/>
      </w:pPr>
      <w:r>
        <w:t>15.</w:t>
      </w:r>
      <w:r>
        <w:tab/>
        <w:t>En lo que se refiere concretamente a las trabaj</w:t>
      </w:r>
      <w:r>
        <w:t>a</w:t>
      </w:r>
      <w:r>
        <w:t>doras tailandesas que son víctimas de la trata de seres humanos, con arreglo a la política del Gobierno las embajadas y los consulados tailandeses prestan asi</w:t>
      </w:r>
      <w:r>
        <w:t>s</w:t>
      </w:r>
      <w:r>
        <w:t>tencia a esas mujeres, independient</w:t>
      </w:r>
      <w:r>
        <w:t>e</w:t>
      </w:r>
      <w:r>
        <w:t>mente de que hayan o no consentido en trabajar como prostitutas, coordinando su acción con instituciones del país de destino para ayudar a aquellas que han sido inducidas con engaños a dedicarse a la prostitución u otras act</w:t>
      </w:r>
      <w:r>
        <w:t>i</w:t>
      </w:r>
      <w:r>
        <w:t>vidades ilícitas y asegurar que se las trate como víct</w:t>
      </w:r>
      <w:r>
        <w:t>i</w:t>
      </w:r>
      <w:r>
        <w:t>mas y no como delincuentes, y que regresen rápid</w:t>
      </w:r>
      <w:r>
        <w:t>a</w:t>
      </w:r>
      <w:r>
        <w:t>mente a Tailandia. El Gobierno también coordina con autoridades locales de represión del delito la acción p</w:t>
      </w:r>
      <w:r>
        <w:t>a</w:t>
      </w:r>
      <w:r>
        <w:t>ra r</w:t>
      </w:r>
      <w:r>
        <w:t>e</w:t>
      </w:r>
      <w:r>
        <w:t>primir la trata y enjuiciar a quienes la perpetran.</w:t>
      </w:r>
    </w:p>
    <w:p w:rsidR="00E63979" w:rsidRDefault="00E63979">
      <w:pPr>
        <w:pStyle w:val="DualTxt"/>
      </w:pPr>
      <w:r>
        <w:t>16.</w:t>
      </w:r>
      <w:r>
        <w:tab/>
        <w:t>Asimismo, Tailandia asigna gran importancia a la prevención de la trata y la explotación de mujeres. El Gobierno lleva a efecto campañas educacionales, tanto en el terreno como a través de los medios de dif</w:t>
      </w:r>
      <w:r>
        <w:t>u</w:t>
      </w:r>
      <w:r>
        <w:t>sión, dirigidas a determinados grupos vulnerables, i</w:t>
      </w:r>
      <w:r>
        <w:t>n</w:t>
      </w:r>
      <w:r>
        <w:t>cluidas las muj</w:t>
      </w:r>
      <w:r>
        <w:t>e</w:t>
      </w:r>
      <w:r>
        <w:t>res de las zonas rurales, para informar acerca de los peligros de la trata de seres humanos. Además, se ofrecen servicios de formación profesional a las mujeres de las zonas rurales que no han podido asistir a inst</w:t>
      </w:r>
      <w:r>
        <w:t>i</w:t>
      </w:r>
      <w:r>
        <w:t>tuciones de enseñanza superior.</w:t>
      </w:r>
    </w:p>
    <w:p w:rsidR="00E63979" w:rsidRDefault="00E63979">
      <w:pPr>
        <w:pStyle w:val="DualTxt"/>
      </w:pPr>
      <w:r>
        <w:t>17.</w:t>
      </w:r>
      <w:r>
        <w:tab/>
      </w:r>
      <w:r>
        <w:rPr>
          <w:b/>
          <w:bCs/>
        </w:rPr>
        <w:t>La Sra. Poolsuppasit</w:t>
      </w:r>
      <w:r>
        <w:t xml:space="preserve"> (Tailandia), respondiendo a las preguntas sobre la salud, dice que el programa de atención médica “de los 30 baht” ha reducido consid</w:t>
      </w:r>
      <w:r>
        <w:t>e</w:t>
      </w:r>
      <w:r>
        <w:t>rablemente los gastos de los hogares por concepto de atención médica, especialmente entre los pobres, y ha ampliado la accesibilidad de la atención de la salud, de manera que tienen acceso a ella muchas personas p</w:t>
      </w:r>
      <w:r>
        <w:t>o</w:t>
      </w:r>
      <w:r>
        <w:t>bres que no lo tenían antes. Con todo, todavía hay pe</w:t>
      </w:r>
      <w:r>
        <w:t>r</w:t>
      </w:r>
      <w:r>
        <w:t>sonas a quienes no alcanza el programa de atención de la salud, pa</w:t>
      </w:r>
      <w:r>
        <w:t>r</w:t>
      </w:r>
      <w:r>
        <w:t>ticularmente habitantes de zonas alejadas y miembros de tribus de las colinas y grupos minorit</w:t>
      </w:r>
      <w:r>
        <w:t>a</w:t>
      </w:r>
      <w:r>
        <w:t>rios. Para atender a esos grupos de población, el G</w:t>
      </w:r>
      <w:r>
        <w:t>o</w:t>
      </w:r>
      <w:r>
        <w:t>bierno ha est</w:t>
      </w:r>
      <w:r>
        <w:t>a</w:t>
      </w:r>
      <w:r>
        <w:t>blecido 8.000 centros de atención médica en todo el país. También se dispone de unidades móv</w:t>
      </w:r>
      <w:r>
        <w:t>i</w:t>
      </w:r>
      <w:r>
        <w:t>les de salud que ofrecen servicios básicos de salud en zonas alejadas, incluyendo atención maternoinfantil, supervisión nutricional, atención dental e inmunizaci</w:t>
      </w:r>
      <w:r>
        <w:t>o</w:t>
      </w:r>
      <w:r>
        <w:t xml:space="preserve">nes. Los servicios son gratuitos o se ofrecen a muy </w:t>
      </w:r>
      <w:r>
        <w:br/>
        <w:t>b</w:t>
      </w:r>
      <w:r>
        <w:t>a</w:t>
      </w:r>
      <w:r>
        <w:t>jo costo.</w:t>
      </w:r>
    </w:p>
    <w:p w:rsidR="00E63979" w:rsidRDefault="00E63979">
      <w:pPr>
        <w:pStyle w:val="DualTxt"/>
        <w:rPr>
          <w:spacing w:val="2"/>
        </w:rPr>
      </w:pPr>
      <w:r>
        <w:rPr>
          <w:spacing w:val="2"/>
        </w:rPr>
        <w:t>18.</w:t>
      </w:r>
      <w:r>
        <w:rPr>
          <w:spacing w:val="2"/>
        </w:rPr>
        <w:tab/>
        <w:t>Con respecto a la mortalidad materna e i</w:t>
      </w:r>
      <w:r>
        <w:rPr>
          <w:spacing w:val="2"/>
        </w:rPr>
        <w:t>n</w:t>
      </w:r>
      <w:r>
        <w:rPr>
          <w:spacing w:val="2"/>
        </w:rPr>
        <w:t>fantil, si bien las tasas del país en su totalidad son relativame</w:t>
      </w:r>
      <w:r>
        <w:rPr>
          <w:spacing w:val="2"/>
        </w:rPr>
        <w:t>n</w:t>
      </w:r>
      <w:r>
        <w:rPr>
          <w:spacing w:val="2"/>
        </w:rPr>
        <w:t>te bajas, las de las zonas montañosas y las provincias m</w:t>
      </w:r>
      <w:r>
        <w:rPr>
          <w:spacing w:val="2"/>
        </w:rPr>
        <w:t>e</w:t>
      </w:r>
      <w:r>
        <w:rPr>
          <w:spacing w:val="2"/>
        </w:rPr>
        <w:t>ridionales siguen siendo elevadas. Se ha asignado pri</w:t>
      </w:r>
      <w:r>
        <w:rPr>
          <w:spacing w:val="2"/>
        </w:rPr>
        <w:t>o</w:t>
      </w:r>
      <w:r>
        <w:rPr>
          <w:spacing w:val="2"/>
        </w:rPr>
        <w:t>ridad a esas regiones con el objetivo de reducir las t</w:t>
      </w:r>
      <w:r>
        <w:rPr>
          <w:spacing w:val="2"/>
        </w:rPr>
        <w:t>a</w:t>
      </w:r>
      <w:r>
        <w:rPr>
          <w:spacing w:val="2"/>
        </w:rPr>
        <w:t>sas de mortalidad materna e infantil en un 50% p</w:t>
      </w:r>
      <w:r>
        <w:rPr>
          <w:spacing w:val="2"/>
        </w:rPr>
        <w:t>a</w:t>
      </w:r>
      <w:r>
        <w:rPr>
          <w:spacing w:val="2"/>
        </w:rPr>
        <w:t>ra 2010.</w:t>
      </w:r>
    </w:p>
    <w:p w:rsidR="00E63979" w:rsidRDefault="00E63979">
      <w:pPr>
        <w:pStyle w:val="DualTxt"/>
      </w:pPr>
      <w:r>
        <w:t>19.</w:t>
      </w:r>
      <w:r>
        <w:tab/>
        <w:t>En cuanto a los servicios de salud reprodu</w:t>
      </w:r>
      <w:r>
        <w:t>c</w:t>
      </w:r>
      <w:r>
        <w:t>tiva y prevención del embarazo y el VIH/SIDA entre las m</w:t>
      </w:r>
      <w:r>
        <w:t>u</w:t>
      </w:r>
      <w:r>
        <w:t>jeres jóvenes, el Gobierno aplica un enf</w:t>
      </w:r>
      <w:r>
        <w:t>o</w:t>
      </w:r>
      <w:r>
        <w:t>que integral y multisectorial con el que se procura asegurar que los jóvenes tengan acceso a información sobre la salud r</w:t>
      </w:r>
      <w:r>
        <w:t>e</w:t>
      </w:r>
      <w:r>
        <w:t>productiva, la planificación de la familia y los mét</w:t>
      </w:r>
      <w:r>
        <w:t>o</w:t>
      </w:r>
      <w:r>
        <w:t>dos anticonceptivos. En todos los hospitales y centros de salud públicos se suministran información y servicios en materia de salud reproductiva. Además, se llevan a cabo programas relativos al uso de preservativos, la planificación de la familia y la salud reproductiva a n</w:t>
      </w:r>
      <w:r>
        <w:t>i</w:t>
      </w:r>
      <w:r>
        <w:t>vel de la comunidad y en lugares de trabajo. Es pos</w:t>
      </w:r>
      <w:r>
        <w:t>i</w:t>
      </w:r>
      <w:r>
        <w:t>ble obtener fácilmente preservativos de buena calidad sin costo, o comprarlos a muy bajo precio en máquinas e</w:t>
      </w:r>
      <w:r>
        <w:t>x</w:t>
      </w:r>
      <w:r>
        <w:t>pendedoras, y en cualquier farmacia se pueden a</w:t>
      </w:r>
      <w:r>
        <w:t>d</w:t>
      </w:r>
      <w:r>
        <w:t>quirir píldoras a</w:t>
      </w:r>
      <w:r>
        <w:t>n</w:t>
      </w:r>
      <w:r>
        <w:t>ticonceptivas con toda facilidad y sin receta médica.</w:t>
      </w:r>
    </w:p>
    <w:p w:rsidR="00E63979" w:rsidRDefault="00E63979">
      <w:pPr>
        <w:pStyle w:val="DualTxt"/>
      </w:pPr>
      <w:r>
        <w:t>20.</w:t>
      </w:r>
      <w:r>
        <w:tab/>
        <w:t>Por lo que se refiere a la prevención de los abo</w:t>
      </w:r>
      <w:r>
        <w:t>r</w:t>
      </w:r>
      <w:r>
        <w:t>tos ilegales y practicados en condiciones de riesgo, d</w:t>
      </w:r>
      <w:r>
        <w:t>i</w:t>
      </w:r>
      <w:r>
        <w:t>ce que se ha modificado la ley sobre el aborto; se pe</w:t>
      </w:r>
      <w:r>
        <w:t>r</w:t>
      </w:r>
      <w:r>
        <w:t>mite ahora a los médicos poner fin a un embarazo si é</w:t>
      </w:r>
      <w:r>
        <w:t>s</w:t>
      </w:r>
      <w:r>
        <w:t>te supone un riesgo para la salud física o mental de la m</w:t>
      </w:r>
      <w:r>
        <w:t>a</w:t>
      </w:r>
      <w:r>
        <w:t>dre o si se determina que el feto sufre de problemas de salud graves. En un proyecto de ley sobre salud r</w:t>
      </w:r>
      <w:r>
        <w:t>e</w:t>
      </w:r>
      <w:r>
        <w:t>productiva que se ha presentado al Gabinete para su aprobación se disponen resguardos adicionales contra los abortos il</w:t>
      </w:r>
      <w:r>
        <w:t>e</w:t>
      </w:r>
      <w:r>
        <w:t>gales y practicados en condiciones de riesgo.</w:t>
      </w:r>
    </w:p>
    <w:p w:rsidR="00E63979" w:rsidRDefault="00E63979">
      <w:pPr>
        <w:pStyle w:val="DualTxt"/>
      </w:pPr>
      <w:r>
        <w:t>21.</w:t>
      </w:r>
      <w:r>
        <w:tab/>
        <w:t>Es efectivo que la responsabilidad principal por la planificación de la familia sigue recayendo en las mujeres. El Gobierno ha procurado fomentar la partic</w:t>
      </w:r>
      <w:r>
        <w:t>i</w:t>
      </w:r>
      <w:r>
        <w:t>pación de los hombres ofreciendo vasectomías sin c</w:t>
      </w:r>
      <w:r>
        <w:t>o</w:t>
      </w:r>
      <w:r>
        <w:t>sto e incentivos para persuadirlos a que se sometan a esta intervención quirúrgica, pero hasta el momento e</w:t>
      </w:r>
      <w:r>
        <w:t>s</w:t>
      </w:r>
      <w:r>
        <w:t>ta estrategia no ha ten</w:t>
      </w:r>
      <w:r>
        <w:t>i</w:t>
      </w:r>
      <w:r>
        <w:t>do gran éxito.</w:t>
      </w:r>
    </w:p>
    <w:p w:rsidR="00E63979" w:rsidRDefault="00E63979">
      <w:pPr>
        <w:pStyle w:val="DualTxt"/>
      </w:pPr>
      <w:r>
        <w:t>22.</w:t>
      </w:r>
      <w:r>
        <w:tab/>
      </w:r>
      <w:r>
        <w:rPr>
          <w:b/>
          <w:bCs/>
        </w:rPr>
        <w:t>La Sra. Vichit-vadakan</w:t>
      </w:r>
      <w:r>
        <w:t xml:space="preserve"> (Tailandia), dando re</w:t>
      </w:r>
      <w:r>
        <w:t>s</w:t>
      </w:r>
      <w:r>
        <w:t>puesta a las preguntas referentes a la educación, dice que no tiene a mano las cifras de las tasas de aband</w:t>
      </w:r>
      <w:r>
        <w:t>o</w:t>
      </w:r>
      <w:r>
        <w:t>no escolar de 2002, que el Comité ha pedido, pero sí dispone de datos correspondientes a 2003 y 2004. En 2003, al nivel primario, abandonaron la escuela 13.313 varones y 9.970 niñas. Al nivel de la enseña</w:t>
      </w:r>
      <w:r>
        <w:t>n</w:t>
      </w:r>
      <w:r>
        <w:t>za secu</w:t>
      </w:r>
      <w:r>
        <w:t>n</w:t>
      </w:r>
      <w:r>
        <w:t>daria, las cifras son 8.347 para los varones y 5.480 para las niñas. La misma tendencia se mant</w:t>
      </w:r>
      <w:r>
        <w:t>u</w:t>
      </w:r>
      <w:r>
        <w:t>vo en 2004: desertaron de la escuela más varones que niñas.</w:t>
      </w:r>
    </w:p>
    <w:p w:rsidR="00E63979" w:rsidRDefault="00E63979">
      <w:pPr>
        <w:pStyle w:val="DualTxt"/>
      </w:pPr>
      <w:r>
        <w:t>23.</w:t>
      </w:r>
      <w:r>
        <w:tab/>
        <w:t>En cuanto a los índices de escolarización, la te</w:t>
      </w:r>
      <w:r>
        <w:t>n</w:t>
      </w:r>
      <w:r>
        <w:t>dencia ha sido igualmente alentadora. En t</w:t>
      </w:r>
      <w:r>
        <w:t>o</w:t>
      </w:r>
      <w:r>
        <w:t>dos los años de 1998 a 2005, sólo en el nivel primario se han matriculado más varones que niñas. De la enseñanza secundaria en adelante ha habido paridad entre v</w:t>
      </w:r>
      <w:r>
        <w:t>a</w:t>
      </w:r>
      <w:r>
        <w:t>rones y niñas, y aun más, la matrícula de niñas ha tendido a superar la de varones, particularmente en el nivel te</w:t>
      </w:r>
      <w:r>
        <w:t>r</w:t>
      </w:r>
      <w:r>
        <w:t>ciario. En 2005, por ejemplo, 1.279.000 mujeres se m</w:t>
      </w:r>
      <w:r>
        <w:t>a</w:t>
      </w:r>
      <w:r>
        <w:t>tricularon en instituciones de enseñanza superior, en tanto que s</w:t>
      </w:r>
      <w:r>
        <w:t>ó</w:t>
      </w:r>
      <w:r>
        <w:t>lo 827.000 hombres hicieron otro tanto. Lo mismo vale para la educación no ac</w:t>
      </w:r>
      <w:r>
        <w:t>a</w:t>
      </w:r>
      <w:r>
        <w:t>démica y las becas de estudio. Cuando se ofrecen oportunidades de in</w:t>
      </w:r>
      <w:r>
        <w:t>s</w:t>
      </w:r>
      <w:r>
        <w:t>trucción no académica, especialmente en las zonas al</w:t>
      </w:r>
      <w:r>
        <w:t>e</w:t>
      </w:r>
      <w:r>
        <w:t>jadas donde la población no tiene acceso fácil al sist</w:t>
      </w:r>
      <w:r>
        <w:t>e</w:t>
      </w:r>
      <w:r>
        <w:t>ma escolar, sistemáticamente se matriculan más muj</w:t>
      </w:r>
      <w:r>
        <w:t>e</w:t>
      </w:r>
      <w:r>
        <w:t>res que hombres. De igual modo, las niñas y mujeres jóvenes han tenido más éxito que los hombres en los concursos para obtener becas. En 2005, el 63% de t</w:t>
      </w:r>
      <w:r>
        <w:t>o</w:t>
      </w:r>
      <w:r>
        <w:t>das las becas competitivas se adjudicaron a m</w:t>
      </w:r>
      <w:r>
        <w:t>u</w:t>
      </w:r>
      <w:r>
        <w:t>jeres, en tanto que los hombres sólo obtuvieron el 37%. En co</w:t>
      </w:r>
      <w:r>
        <w:t>n</w:t>
      </w:r>
      <w:r>
        <w:t>secuencia, aunque las cifras de la escolaridad a nivel primario podrían reflejar una leve discriminación c</w:t>
      </w:r>
      <w:r>
        <w:t>o</w:t>
      </w:r>
      <w:r>
        <w:t>ntra las niñas, en la totalidad del sistema de enseña</w:t>
      </w:r>
      <w:r>
        <w:t>n</w:t>
      </w:r>
      <w:r>
        <w:t>za las mujeres parecen estar desempeñándose mejor que los hombres.</w:t>
      </w:r>
    </w:p>
    <w:p w:rsidR="00E63979" w:rsidRDefault="00E63979">
      <w:pPr>
        <w:pStyle w:val="DualTxt"/>
      </w:pPr>
      <w:r>
        <w:t>24.</w:t>
      </w:r>
      <w:r>
        <w:tab/>
      </w:r>
      <w:r>
        <w:rPr>
          <w:b/>
          <w:bCs/>
        </w:rPr>
        <w:t>La Sra. Laohaphan</w:t>
      </w:r>
      <w:r>
        <w:t xml:space="preserve"> (Tailandia) explica que la intranquilidad que afecta actualmente la región mer</w:t>
      </w:r>
      <w:r>
        <w:t>i</w:t>
      </w:r>
      <w:r>
        <w:t>dional de Tailandia es instigada por extremistas que han recurrido al terror y la violencia dirigidos contra civiles inocentes, tanto musulmanes como budistas. El Gobierno ta</w:t>
      </w:r>
      <w:r>
        <w:t>i</w:t>
      </w:r>
      <w:r>
        <w:t>landés está firmemente decidido a lograr la paz, la reconciliación y la ju</w:t>
      </w:r>
      <w:r>
        <w:t>s</w:t>
      </w:r>
      <w:r>
        <w:t>ticia para la población de la región, por medios pacíficos. Para ello se r</w:t>
      </w:r>
      <w:r>
        <w:t>e</w:t>
      </w:r>
      <w:r>
        <w:t>querirán una voluntad unificada y esfuerzos aunados en todas las regi</w:t>
      </w:r>
      <w:r>
        <w:t>o</w:t>
      </w:r>
      <w:r>
        <w:t>nes del país, así como también comprensión y apoyo en el plano inte</w:t>
      </w:r>
      <w:r>
        <w:t>r</w:t>
      </w:r>
      <w:r>
        <w:t>nacional. Por mandato de la ley, todos los casos de muerte que no sea por causas natur</w:t>
      </w:r>
      <w:r>
        <w:t>a</w:t>
      </w:r>
      <w:r>
        <w:t>les se investigan. Se han hecho pagos de indemniz</w:t>
      </w:r>
      <w:r>
        <w:t>a</w:t>
      </w:r>
      <w:r>
        <w:t>ción a las personas afectadas, independientemente de su condición, con el fin de reestablecer un clima de r</w:t>
      </w:r>
      <w:r>
        <w:t>e</w:t>
      </w:r>
      <w:r>
        <w:t>conciliación. La Comisión Correctiva que se ha ocup</w:t>
      </w:r>
      <w:r>
        <w:t>a</w:t>
      </w:r>
      <w:r>
        <w:t>do del incidente de Tak Bai ha presentado al Gobierno un informe en que se reseña la asistencia suministrada, incluido el total de las indemnizaciones pagadas a las familias de los fallecidos y los lesionados ha</w:t>
      </w:r>
      <w:r>
        <w:t>s</w:t>
      </w:r>
      <w:r>
        <w:t>ta octubre de 2005, que alcanza a 25.500.000 baht y 2.120.000 baht, respectivamente. El Gobierno se ha compromet</w:t>
      </w:r>
      <w:r>
        <w:t>i</w:t>
      </w:r>
      <w:r>
        <w:t>do a ayudar a todos los afectados, incluidas las muj</w:t>
      </w:r>
      <w:r>
        <w:t>e</w:t>
      </w:r>
      <w:r>
        <w:t>res, los niños y los lesionados, sean cuales fueren su raza, rel</w:t>
      </w:r>
      <w:r>
        <w:t>i</w:t>
      </w:r>
      <w:r>
        <w:t>gión o sexo.</w:t>
      </w:r>
    </w:p>
    <w:p w:rsidR="00E63979" w:rsidRDefault="00E63979">
      <w:pPr>
        <w:pStyle w:val="DualTxt"/>
        <w:keepNext/>
        <w:keepLines/>
      </w:pPr>
      <w:r>
        <w:t>25.</w:t>
      </w:r>
      <w:r>
        <w:tab/>
        <w:t>Con respecto al tsunami, dice que inmediatame</w:t>
      </w:r>
      <w:r>
        <w:t>n</w:t>
      </w:r>
      <w:r>
        <w:t>te después de ocurrir el desastre el Gobie</w:t>
      </w:r>
      <w:r>
        <w:t>r</w:t>
      </w:r>
      <w:r>
        <w:t>no actuó con prontitud para suministrar el máximo posible de asi</w:t>
      </w:r>
      <w:r>
        <w:t>s</w:t>
      </w:r>
      <w:r>
        <w:t>tencia a todos los afectados, independientemente de su nacionalidad o condición jurídica. El humanit</w:t>
      </w:r>
      <w:r>
        <w:t>a</w:t>
      </w:r>
      <w:r>
        <w:t>rismo y la no discriminación han sido los principios rectores de la política del Gobierno desde el primer momento, y el propio Primer Ministro ha aseverado que el Gobierno tailandés se ha compromet</w:t>
      </w:r>
      <w:r>
        <w:t>i</w:t>
      </w:r>
      <w:r>
        <w:t>do a prestar asistencia de manera justa y sin discriminación. Si s</w:t>
      </w:r>
      <w:r>
        <w:t>u</w:t>
      </w:r>
      <w:r>
        <w:t>cede que los estudios de micronivel o de base local i</w:t>
      </w:r>
      <w:r>
        <w:t>n</w:t>
      </w:r>
      <w:r>
        <w:t>dican que no se ha atendido adecuadamente a algunas mujeres, será preciso examinar esos casos determin</w:t>
      </w:r>
      <w:r>
        <w:t>a</w:t>
      </w:r>
      <w:r>
        <w:t>dos uno por uno y elaborar un plan a largo plazo para ayudar en particular a las mujeres afe</w:t>
      </w:r>
      <w:r>
        <w:t>c</w:t>
      </w:r>
      <w:r>
        <w:t>tadas. En un plano más general, sin embargo, la oradora desea su</w:t>
      </w:r>
      <w:r>
        <w:t>b</w:t>
      </w:r>
      <w:r>
        <w:t>rayar que el Gobierno tailandés está decidido a ayudar a todos sin discrimin</w:t>
      </w:r>
      <w:r>
        <w:t>a</w:t>
      </w:r>
      <w:r>
        <w:t>ción.</w:t>
      </w:r>
    </w:p>
    <w:p w:rsidR="00E63979" w:rsidRDefault="00E63979">
      <w:pPr>
        <w:pStyle w:val="DualTxt"/>
      </w:pPr>
      <w:r>
        <w:t>26.</w:t>
      </w:r>
      <w:r>
        <w:tab/>
      </w:r>
      <w:r>
        <w:rPr>
          <w:b/>
          <w:bCs/>
        </w:rPr>
        <w:t>El Sr. Pukditanakul</w:t>
      </w:r>
      <w:r>
        <w:t xml:space="preserve"> (Tailandia), respondiendo a la pregunta de la Sra. Saiga, dice que es preciso disti</w:t>
      </w:r>
      <w:r>
        <w:t>n</w:t>
      </w:r>
      <w:r>
        <w:t>guir entre tres conceptos diferentes: una monja cristi</w:t>
      </w:r>
      <w:r>
        <w:t>a</w:t>
      </w:r>
      <w:r>
        <w:t>na, una monja budista, y una mujer que es monje b</w:t>
      </w:r>
      <w:r>
        <w:t>u</w:t>
      </w:r>
      <w:r>
        <w:t>dista. La monja en el budismo no se asemeja a la monja cristiana. Puede tratarse de cualquier mujer que ha d</w:t>
      </w:r>
      <w:r>
        <w:t>e</w:t>
      </w:r>
      <w:r>
        <w:t>clarado su intención de practicar los diez preceptos de las enseñanzas de Buda. No se requiere una orden</w:t>
      </w:r>
      <w:r>
        <w:t>a</w:t>
      </w:r>
      <w:r>
        <w:t>ción, ni el uso de determinadas vestimentas, aunque muchas de esas mujeres prefieren vestirse de blanco. En ca</w:t>
      </w:r>
      <w:r>
        <w:t>m</w:t>
      </w:r>
      <w:r>
        <w:t>bio, una mujer que es monje tiene una categoría particular dentro de la enseñanza budista. La orden</w:t>
      </w:r>
      <w:r>
        <w:t>a</w:t>
      </w:r>
      <w:r>
        <w:t>ción de mujeres se ha permitido desde la era budista. Las mujeres que desean ser monjes deben ser orden</w:t>
      </w:r>
      <w:r>
        <w:t>a</w:t>
      </w:r>
      <w:r>
        <w:t>das primero por una mujer monje y más tarde por la comunidad masculina de monjes. Sin embargo, en la secta Theravada ya no quedan mujeres monjes, y en consecuencia no es posible ordenar a otras mujeres como monjes. Por otra pa</w:t>
      </w:r>
      <w:r>
        <w:t>r</w:t>
      </w:r>
      <w:r>
        <w:t>te, en la secta Mahayana aún hay mujeres monjes, lo que supone que es posible o</w:t>
      </w:r>
      <w:r>
        <w:t>r</w:t>
      </w:r>
      <w:r>
        <w:t>denar a nuevas mujeres monjes de co</w:t>
      </w:r>
      <w:r>
        <w:t>n</w:t>
      </w:r>
      <w:r>
        <w:t>formidad con las normas de la secta. Un grupo de monjas ha organizado el In</w:t>
      </w:r>
      <w:r>
        <w:t>s</w:t>
      </w:r>
      <w:r>
        <w:t>tituto Nacional de Monjas Tailandesas, pero éste no tiene capacidad jurídica. Se halla en estudio un pr</w:t>
      </w:r>
      <w:r>
        <w:t>o</w:t>
      </w:r>
      <w:r>
        <w:t>yecto de ley sobre su condición jurídica, pero no se ha avanz</w:t>
      </w:r>
      <w:r>
        <w:t>a</w:t>
      </w:r>
      <w:r>
        <w:t>do hacia su aprobación.</w:t>
      </w:r>
    </w:p>
    <w:p w:rsidR="00E63979" w:rsidRDefault="00E63979">
      <w:pPr>
        <w:pStyle w:val="DualTxt"/>
      </w:pPr>
      <w:r>
        <w:t>27.</w:t>
      </w:r>
      <w:r>
        <w:tab/>
      </w:r>
      <w:r>
        <w:rPr>
          <w:b/>
          <w:bCs/>
        </w:rPr>
        <w:t>La Sra. Laohaphan</w:t>
      </w:r>
      <w:r>
        <w:t xml:space="preserve"> (Tailandia) presenta info</w:t>
      </w:r>
      <w:r>
        <w:t>r</w:t>
      </w:r>
      <w:r>
        <w:t>mación adicional sobre la labor de la Comisión Corre</w:t>
      </w:r>
      <w:r>
        <w:t>c</w:t>
      </w:r>
      <w:r>
        <w:t>tiva que se está ocupando de los problemas de la región meridional. La Comisión ha tropezado con graves dif</w:t>
      </w:r>
      <w:r>
        <w:t>i</w:t>
      </w:r>
      <w:r>
        <w:t>cultades en el desempeño de sus tareas, en parte d</w:t>
      </w:r>
      <w:r>
        <w:t>e</w:t>
      </w:r>
      <w:r>
        <w:t>bido a la falta de seguridad en algunas zonas. También han surgido problemas en la base de datos y en las comun</w:t>
      </w:r>
      <w:r>
        <w:t>i</w:t>
      </w:r>
      <w:r>
        <w:t>caciones, y los extremistas han intentado mediante amenazas impedir que las familias de los fallecidos y los lesion</w:t>
      </w:r>
      <w:r>
        <w:t>a</w:t>
      </w:r>
      <w:r>
        <w:t>dos acepten el pago de indemnizaciones por parte del Gobierno. Además de la compensación mon</w:t>
      </w:r>
      <w:r>
        <w:t>e</w:t>
      </w:r>
      <w:r>
        <w:t>taria, la Com</w:t>
      </w:r>
      <w:r>
        <w:t>i</w:t>
      </w:r>
      <w:r>
        <w:t>sión ha recomendado que el Gobierno se haga cargo de la educación completa de los niños que han quedado huérfanos como consecuencia de los di</w:t>
      </w:r>
      <w:r>
        <w:t>s</w:t>
      </w:r>
      <w:r>
        <w:t>turbios; que cuide de las viudas que perdieron a sus maridos en el incide</w:t>
      </w:r>
      <w:r>
        <w:t>n</w:t>
      </w:r>
      <w:r>
        <w:t>te de Tak Bai y se asegure de que tengan empleos que les permitan ganarse el sustento; y que preste asistencia a quienes han quedado discapac</w:t>
      </w:r>
      <w:r>
        <w:t>i</w:t>
      </w:r>
      <w:r>
        <w:t>tados o necesitan tratamiento continuo, dándoles apoyo financiero si no están en condiciones de ganarse el su</w:t>
      </w:r>
      <w:r>
        <w:t>s</w:t>
      </w:r>
      <w:r>
        <w:t>tento. Por último, la Comisión ha recomend</w:t>
      </w:r>
      <w:r>
        <w:t>a</w:t>
      </w:r>
      <w:r>
        <w:t>do que el Gobierno co</w:t>
      </w:r>
      <w:r>
        <w:t>n</w:t>
      </w:r>
      <w:r>
        <w:t>sidere la posibilidad de disponer una compensación especial para los soldados y agentes de policía que sufrieron heridas cuando cumplían su deber en el incidente de Tak Bai, y suministre fondos adici</w:t>
      </w:r>
      <w:r>
        <w:t>o</w:t>
      </w:r>
      <w:r>
        <w:t>nales para aliviar la situación de los hospitales públicos en que se ha atendido a los manifesta</w:t>
      </w:r>
      <w:r>
        <w:t>n</w:t>
      </w:r>
      <w:r>
        <w:t>tes lesionados.</w:t>
      </w:r>
    </w:p>
    <w:p w:rsidR="00E63979" w:rsidRDefault="00E63979">
      <w:pPr>
        <w:pStyle w:val="DualTxt"/>
        <w:spacing w:after="0" w:line="120" w:lineRule="exact"/>
        <w:rPr>
          <w:sz w:val="10"/>
        </w:rPr>
      </w:pPr>
    </w:p>
    <w:p w:rsidR="00E63979" w:rsidRDefault="00E63979">
      <w:pPr>
        <w:pStyle w:val="H23"/>
        <w:tabs>
          <w:tab w:val="right" w:pos="360"/>
          <w:tab w:val="left" w:pos="475"/>
          <w:tab w:val="left" w:pos="965"/>
          <w:tab w:val="left" w:pos="1440"/>
          <w:tab w:val="left" w:pos="1915"/>
          <w:tab w:val="left" w:pos="2405"/>
          <w:tab w:val="left" w:pos="2880"/>
          <w:tab w:val="left" w:pos="3355"/>
        </w:tabs>
        <w:ind w:left="475" w:hanging="475"/>
      </w:pPr>
      <w:r>
        <w:t>Artículos 10 a 14: pregu</w:t>
      </w:r>
      <w:r>
        <w:t>n</w:t>
      </w:r>
      <w:r>
        <w:t>tas complementarias</w:t>
      </w:r>
    </w:p>
    <w:p w:rsidR="00E63979" w:rsidRDefault="00E63979">
      <w:pPr>
        <w:pStyle w:val="DualTxt"/>
        <w:spacing w:after="0" w:line="120" w:lineRule="exact"/>
        <w:rPr>
          <w:sz w:val="10"/>
        </w:rPr>
      </w:pPr>
    </w:p>
    <w:p w:rsidR="00E63979" w:rsidRDefault="00E63979">
      <w:pPr>
        <w:pStyle w:val="DualTxt"/>
      </w:pPr>
      <w:r>
        <w:t>28.</w:t>
      </w:r>
      <w:r>
        <w:tab/>
      </w:r>
      <w:r>
        <w:rPr>
          <w:b/>
          <w:bCs/>
        </w:rPr>
        <w:t>La Sra. Tan</w:t>
      </w:r>
      <w:r>
        <w:t xml:space="preserve"> observa que en la página 26 de las respuestas de la delegación tailandesa a la lista de cuestiones y preguntas se suministra información ace</w:t>
      </w:r>
      <w:r>
        <w:t>r</w:t>
      </w:r>
      <w:r>
        <w:t>ca del proyecto de reglamento sobre la prueba de la f</w:t>
      </w:r>
      <w:r>
        <w:t>e</w:t>
      </w:r>
      <w:r>
        <w:t>cha de nacimiento para matricular a alumnos en las in</w:t>
      </w:r>
      <w:r>
        <w:t>s</w:t>
      </w:r>
      <w:r>
        <w:t>tituciones ed</w:t>
      </w:r>
      <w:r>
        <w:t>u</w:t>
      </w:r>
      <w:r>
        <w:t>cacionales, y pregunta de qué manera ayudará dicho reglamento a los niños que no son de nacionalidad tailandesa a recibir enseñanza en las e</w:t>
      </w:r>
      <w:r>
        <w:t>s</w:t>
      </w:r>
      <w:r>
        <w:t>cuelas. Al mismo tiempo, desea saber cómo benefici</w:t>
      </w:r>
      <w:r>
        <w:t>a</w:t>
      </w:r>
      <w:r>
        <w:t>rá ese reglamento a los niños de la población rural, que suelen no tener documentación escrita de ningún tipo, en particular los de las tribus de las c</w:t>
      </w:r>
      <w:r>
        <w:t>o</w:t>
      </w:r>
      <w:r>
        <w:t>linas, en que la mayoría es analfabeta.</w:t>
      </w:r>
    </w:p>
    <w:p w:rsidR="00E63979" w:rsidRDefault="00E63979">
      <w:pPr>
        <w:pStyle w:val="DualTxt"/>
      </w:pPr>
      <w:r>
        <w:t>29.</w:t>
      </w:r>
      <w:r>
        <w:tab/>
        <w:t>También en la página 26 del mismo doc</w:t>
      </w:r>
      <w:r>
        <w:t>u</w:t>
      </w:r>
      <w:r>
        <w:t>mento se indica que las víctimas no tailandesas de la trata de s</w:t>
      </w:r>
      <w:r>
        <w:t>e</w:t>
      </w:r>
      <w:r>
        <w:t>res humanos deben acreditar por escr</w:t>
      </w:r>
      <w:r>
        <w:t>i</w:t>
      </w:r>
      <w:r>
        <w:t>to haber residido anteriormente en Tailandia para que se les preste asi</w:t>
      </w:r>
      <w:r>
        <w:t>s</w:t>
      </w:r>
      <w:r>
        <w:t>tencia, por ejemplo, para la r</w:t>
      </w:r>
      <w:r>
        <w:t>e</w:t>
      </w:r>
      <w:r>
        <w:t>patriación. Se sugiere en esa respuesta que la asistencia del Gobierno tiene por objeto remediar el problema de los niños de las minor</w:t>
      </w:r>
      <w:r>
        <w:t>í</w:t>
      </w:r>
      <w:r>
        <w:t>as étnicas, especialmente las niñas. Empero, las com</w:t>
      </w:r>
      <w:r>
        <w:t>u</w:t>
      </w:r>
      <w:r>
        <w:t>nidades étnicas y las tribus de las colinas son en su mayor parte analf</w:t>
      </w:r>
      <w:r>
        <w:t>a</w:t>
      </w:r>
      <w:r>
        <w:t>betas, y en su estilo de vida no hay preocupación por la documentación. Por lo tanto, ¿cómo podrá ser útil o eficaz esa asistencia para las víctimas no taila</w:t>
      </w:r>
      <w:r>
        <w:t>n</w:t>
      </w:r>
      <w:r>
        <w:t>desas de la trata de seres humanos?</w:t>
      </w:r>
    </w:p>
    <w:p w:rsidR="00E63979" w:rsidRDefault="00E63979">
      <w:pPr>
        <w:pStyle w:val="DualTxt"/>
      </w:pPr>
      <w:r>
        <w:t>30.</w:t>
      </w:r>
      <w:r>
        <w:tab/>
      </w:r>
      <w:r>
        <w:rPr>
          <w:b/>
          <w:bCs/>
        </w:rPr>
        <w:t>La Sra. Morvai</w:t>
      </w:r>
      <w:r>
        <w:t xml:space="preserve"> dice que se le ha informado que existe un problema importante derivado del hecho de que las mujeres rurales y también las que viven en condiciones de pobreza en barrios de tugurios con fr</w:t>
      </w:r>
      <w:r>
        <w:t>e</w:t>
      </w:r>
      <w:r>
        <w:t>cuencia no solicitan certificados de n</w:t>
      </w:r>
      <w:r>
        <w:t>a</w:t>
      </w:r>
      <w:r>
        <w:t>cimiento para sus hijos, ya que para obtenerlos deben pagar las cuentas del hospital por el alu</w:t>
      </w:r>
      <w:r>
        <w:t>m</w:t>
      </w:r>
      <w:r>
        <w:t>bramiento. Si no pueden pagar, sencillamente abandonan el hospital. Como resultado, los niños no tienen certificados de nacimiento y pasan a ser personas casi inexistentes, sin acceso a la ate</w:t>
      </w:r>
      <w:r>
        <w:t>n</w:t>
      </w:r>
      <w:r>
        <w:t>ción médica o la educación. Pregunta si el G</w:t>
      </w:r>
      <w:r>
        <w:t>o</w:t>
      </w:r>
      <w:r>
        <w:t>bierno tiene conciencia del problema, y si es posible hacer a</w:t>
      </w:r>
      <w:r>
        <w:t>l</w:t>
      </w:r>
      <w:r>
        <w:t>go por mejorar la situación, tal vez disponiendo que todos los niños tienen derecho a que se les expida un certificado de nacimiento.</w:t>
      </w:r>
    </w:p>
    <w:p w:rsidR="00E63979" w:rsidRDefault="00E63979">
      <w:pPr>
        <w:pStyle w:val="DualTxt"/>
      </w:pPr>
      <w:r>
        <w:t>31.</w:t>
      </w:r>
      <w:r>
        <w:tab/>
        <w:t>En segundo lugar, desea saber si el Gobierno ha realizado alguna investigación sobre la tasa de aband</w:t>
      </w:r>
      <w:r>
        <w:t>o</w:t>
      </w:r>
      <w:r>
        <w:t>no escolar de las niñas debido al embarazo precoz. Aunque ya se ha hecho referencia a varias cuestiones en relación con el acceso al aborto, estima que las n</w:t>
      </w:r>
      <w:r>
        <w:t>i</w:t>
      </w:r>
      <w:r>
        <w:t>ñas deben tener la posibilidad de d</w:t>
      </w:r>
      <w:r>
        <w:t>e</w:t>
      </w:r>
      <w:r>
        <w:t>jar que el embarazo siga su curso si así lo desean. Pregunta si en estos c</w:t>
      </w:r>
      <w:r>
        <w:t>a</w:t>
      </w:r>
      <w:r>
        <w:t>sos las niñas pueden proseguir sus estudios, y si rec</w:t>
      </w:r>
      <w:r>
        <w:t>i</w:t>
      </w:r>
      <w:r>
        <w:t>ben apoyo del Gobierno para no tener que optar entre la maternidad y la educación. Asimismo, desea saber si en la educación sexual se tratan exclusivamente los a</w:t>
      </w:r>
      <w:r>
        <w:t>s</w:t>
      </w:r>
      <w:r>
        <w:t>pectos técnicos de la sexual</w:t>
      </w:r>
      <w:r>
        <w:t>i</w:t>
      </w:r>
      <w:r>
        <w:t>dad y la anticoncepción, o si también se estudian las relaciones responsables, la dignidad de la mujer y la vida responsable en uniones monógamas de larga duración.</w:t>
      </w:r>
    </w:p>
    <w:p w:rsidR="00E63979" w:rsidRDefault="00E63979">
      <w:pPr>
        <w:pStyle w:val="DualTxt"/>
      </w:pPr>
      <w:r>
        <w:t>32.</w:t>
      </w:r>
      <w:r>
        <w:tab/>
      </w:r>
      <w:r>
        <w:rPr>
          <w:b/>
          <w:bCs/>
        </w:rPr>
        <w:t>La Sra. Schöpp-Schilling</w:t>
      </w:r>
      <w:r>
        <w:t xml:space="preserve"> dice que todavía no está clara la situación en lo que se refiere a las pers</w:t>
      </w:r>
      <w:r>
        <w:t>o</w:t>
      </w:r>
      <w:r>
        <w:t>nas que trabajan en sus casas. En el informe se indica que casi el 20% de las personas que trabajan en sus c</w:t>
      </w:r>
      <w:r>
        <w:t>a</w:t>
      </w:r>
      <w:r>
        <w:t>sas son familiares no remun</w:t>
      </w:r>
      <w:r>
        <w:t>e</w:t>
      </w:r>
      <w:r>
        <w:t>rados que ayudan a los trabajadores por contrata. Al parecer, los trabajadores por contrata quedarán amparados en un nuevo sistema de seguridad social ampliado que entrará en vigor en 2006, pero, ¿que les ocurrirá a los asistentes familiares no rem</w:t>
      </w:r>
      <w:r>
        <w:t>u</w:t>
      </w:r>
      <w:r>
        <w:t>nerados?</w:t>
      </w:r>
      <w:r>
        <w:cr/>
        <w:t>33.</w:t>
      </w:r>
      <w:r>
        <w:tab/>
        <w:t>Su segunda pregunta se refiere a otra categoría de las personas que trabajan en sus casas, los llamados subcontratistas. Representan el 0,5% de los trabajad</w:t>
      </w:r>
      <w:r>
        <w:t>o</w:t>
      </w:r>
      <w:r>
        <w:t>res a domicilio, pero, según se indica en la página 67 del informe, perciben ingresos equiv</w:t>
      </w:r>
      <w:r>
        <w:t>a</w:t>
      </w:r>
      <w:r>
        <w:t>lentes al doble de los de los trabajadores por contrata. Pregunta si se han efectuado investigaciones sobre esta situación. ¿Qui</w:t>
      </w:r>
      <w:r>
        <w:t>é</w:t>
      </w:r>
      <w:r>
        <w:t>nes son esos subcontratistas? ¿Son hombres o mujeres? Al parecer, si estos grupos pequeños de subcontr</w:t>
      </w:r>
      <w:r>
        <w:t>a</w:t>
      </w:r>
      <w:r>
        <w:t>tistas ganan el doble de lo que se paga a las mujeres que re</w:t>
      </w:r>
      <w:r>
        <w:t>a</w:t>
      </w:r>
      <w:r>
        <w:t>lizan el trabajo contrat</w:t>
      </w:r>
      <w:r>
        <w:t>a</w:t>
      </w:r>
      <w:r>
        <w:t>do, ha de haber en este arreglo algún tipo de explotación.</w:t>
      </w:r>
    </w:p>
    <w:p w:rsidR="00E63979" w:rsidRDefault="00E63979">
      <w:pPr>
        <w:pStyle w:val="DualTxt"/>
      </w:pPr>
      <w:r>
        <w:t>34.</w:t>
      </w:r>
      <w:r>
        <w:tab/>
      </w:r>
      <w:r>
        <w:rPr>
          <w:b/>
          <w:bCs/>
        </w:rPr>
        <w:t>La Sra. Vichit-vadakan</w:t>
      </w:r>
      <w:r>
        <w:t xml:space="preserve"> (Tailandia) dice que una indicación de la medida en que ha aume</w:t>
      </w:r>
      <w:r>
        <w:t>n</w:t>
      </w:r>
      <w:r>
        <w:t>tado el acceso de las m</w:t>
      </w:r>
      <w:r>
        <w:t>u</w:t>
      </w:r>
      <w:r>
        <w:t>jeres al crédito es el hecho de que en 2004 las mujeres constituyeron aproximadamente el 88% de quienes recibieron préstamos concedidos en el proye</w:t>
      </w:r>
      <w:r>
        <w:t>c</w:t>
      </w:r>
      <w:r>
        <w:t>to del Banco del Pueblo. Otros datos estadísticos rev</w:t>
      </w:r>
      <w:r>
        <w:t>e</w:t>
      </w:r>
      <w:r>
        <w:t>lan que las mujeres están participando mucho más en actividades que generan ingresos. Además, se está alentando a las mujeres a desempeñar más tareas e</w:t>
      </w:r>
      <w:r>
        <w:t>m</w:t>
      </w:r>
      <w:r>
        <w:t>presariales; diversos departamentos del Gobierno, así como universidades, organizaciones no gubernament</w:t>
      </w:r>
      <w:r>
        <w:t>a</w:t>
      </w:r>
      <w:r>
        <w:t>les privadas y agrupaciones profesionales femeninas, ofrecen capac</w:t>
      </w:r>
      <w:r>
        <w:t>i</w:t>
      </w:r>
      <w:r>
        <w:t>tación a este respecto. Se ha nombrado a mujeres para cargos de responsabilidad en el Comité Nacional que supervisa el Fondo para Aldeas, lo que les permite participar en la adopción de decisiones y hacerse más autónomas. Las mujeres también intervi</w:t>
      </w:r>
      <w:r>
        <w:t>e</w:t>
      </w:r>
      <w:r>
        <w:t>nen muy activamente en el Proyecto “Un tumbon (su</w:t>
      </w:r>
      <w:r>
        <w:t>b</w:t>
      </w:r>
      <w:r>
        <w:t>distrito), un producto”, iniciado r</w:t>
      </w:r>
      <w:r>
        <w:t>e</w:t>
      </w:r>
      <w:r>
        <w:t>cientemente y al que se hace referencia en las respuestas, por el que se alie</w:t>
      </w:r>
      <w:r>
        <w:t>n</w:t>
      </w:r>
      <w:r>
        <w:t>ta a las mujeres a vincularse con fuentes y mercados fuera de sus propias a</w:t>
      </w:r>
      <w:r>
        <w:t>l</w:t>
      </w:r>
      <w:r>
        <w:t>deas. No se dispone de datos desglosados por género re</w:t>
      </w:r>
      <w:r>
        <w:t>s</w:t>
      </w:r>
      <w:r>
        <w:t>pecto de la tenencia de la tierra, pero los representantes de Tailandia que asisti</w:t>
      </w:r>
      <w:r>
        <w:t>e</w:t>
      </w:r>
      <w:r>
        <w:t>ron a la Cuarta Conferencia Mundial s</w:t>
      </w:r>
      <w:r>
        <w:t>o</w:t>
      </w:r>
      <w:r>
        <w:t>bre la Mujer en 1995 o que han participado en diversos períodos de sesiones de la Comisión de la Condición Jurídica y S</w:t>
      </w:r>
      <w:r>
        <w:t>o</w:t>
      </w:r>
      <w:r>
        <w:t>cial de la Mujer han propugnado la elaboración de d</w:t>
      </w:r>
      <w:r>
        <w:t>i</w:t>
      </w:r>
      <w:r>
        <w:t>chos indicad</w:t>
      </w:r>
      <w:r>
        <w:t>o</w:t>
      </w:r>
      <w:r>
        <w:t>res para este sector y otros.</w:t>
      </w:r>
      <w:r>
        <w:cr/>
        <w:t>35.</w:t>
      </w:r>
      <w:r>
        <w:tab/>
        <w:t>Se intensificarán los esfuerzos por aumentar el número de jefas de aldea. Tradicionalmente, las muj</w:t>
      </w:r>
      <w:r>
        <w:t>e</w:t>
      </w:r>
      <w:r>
        <w:t>res desempeñan una función activa en la adopción de decisiones, pero, por lo general, sólo lo hacen en el ámbito priv</w:t>
      </w:r>
      <w:r>
        <w:t>a</w:t>
      </w:r>
      <w:r>
        <w:t>do. En el futuro se les alentará a entrar a la arena pública, incluso presentándose como candid</w:t>
      </w:r>
      <w:r>
        <w:t>a</w:t>
      </w:r>
      <w:r>
        <w:t>tas para cargos públicos. La falta de educación ya no es una barrera insuperable para las mujeres rurales, que pueden hacer con éxito la transición al mercado de e</w:t>
      </w:r>
      <w:r>
        <w:t>m</w:t>
      </w:r>
      <w:r>
        <w:t>pleo. También se hallan en efecto programas para ay</w:t>
      </w:r>
      <w:r>
        <w:t>u</w:t>
      </w:r>
      <w:r>
        <w:t>dar a las mujeres de los medios rurales que están en p</w:t>
      </w:r>
      <w:r>
        <w:t>e</w:t>
      </w:r>
      <w:r>
        <w:t>ligro de que se las induzca a dedicarse a la prostit</w:t>
      </w:r>
      <w:r>
        <w:t>u</w:t>
      </w:r>
      <w:r>
        <w:t>ción. Diversas iniciativas del Gobierno y de entidades privadas tienen por objeto alentar a esas m</w:t>
      </w:r>
      <w:r>
        <w:t>u</w:t>
      </w:r>
      <w:r>
        <w:t>jeres a que asistan a la escuela durante p</w:t>
      </w:r>
      <w:r>
        <w:t>e</w:t>
      </w:r>
      <w:r>
        <w:t>ríodos más prolongados.</w:t>
      </w:r>
    </w:p>
    <w:p w:rsidR="00E63979" w:rsidRDefault="00E63979">
      <w:pPr>
        <w:pStyle w:val="DualTxt"/>
      </w:pPr>
      <w:r>
        <w:t>36.</w:t>
      </w:r>
      <w:r>
        <w:tab/>
      </w:r>
      <w:r>
        <w:rPr>
          <w:b/>
          <w:bCs/>
        </w:rPr>
        <w:t>La</w:t>
      </w:r>
      <w:r>
        <w:t xml:space="preserve"> </w:t>
      </w:r>
      <w:r>
        <w:rPr>
          <w:b/>
          <w:bCs/>
        </w:rPr>
        <w:t>Sra. Sirorat</w:t>
      </w:r>
      <w:r>
        <w:t xml:space="preserve"> (Tailandia) dice que la cuestión de las mujeres no tailandesas que han residido en Ta</w:t>
      </w:r>
      <w:r>
        <w:t>i</w:t>
      </w:r>
      <w:r>
        <w:t>landia y que luego son víctimas de la trata en otros pa</w:t>
      </w:r>
      <w:r>
        <w:t>í</w:t>
      </w:r>
      <w:r>
        <w:t>ses es muy delicada. En junio de 2005 el Gabinete ta</w:t>
      </w:r>
      <w:r>
        <w:t>i</w:t>
      </w:r>
      <w:r>
        <w:t>landés aprobó la prestación de asistencia a esas muj</w:t>
      </w:r>
      <w:r>
        <w:t>e</w:t>
      </w:r>
      <w:r>
        <w:t>res a condición de que presentasen pruebas escritas v</w:t>
      </w:r>
      <w:r>
        <w:t>á</w:t>
      </w:r>
      <w:r>
        <w:t>lidas de su previa residencia en Tailandia. Las autor</w:t>
      </w:r>
      <w:r>
        <w:t>i</w:t>
      </w:r>
      <w:r>
        <w:t>dades estudiarán cada caso por separado, a la luz de consideraciones de seguridad nacional y preocupaci</w:t>
      </w:r>
      <w:r>
        <w:t>o</w:t>
      </w:r>
      <w:r>
        <w:t>nes humanitarias.</w:t>
      </w:r>
    </w:p>
    <w:p w:rsidR="00E63979" w:rsidRDefault="00E63979">
      <w:pPr>
        <w:pStyle w:val="DualTxt"/>
      </w:pPr>
      <w:r>
        <w:t>37.</w:t>
      </w:r>
      <w:r>
        <w:tab/>
      </w:r>
      <w:r>
        <w:rPr>
          <w:b/>
          <w:bCs/>
        </w:rPr>
        <w:t>La Sra. Poolsuppasit</w:t>
      </w:r>
      <w:r>
        <w:t xml:space="preserve"> (Tailandia), respondiendo a la pregunta del Comité relativa a los abortos, dice que los médicos pueden poner término a un embarazo si e</w:t>
      </w:r>
      <w:r>
        <w:t>s</w:t>
      </w:r>
      <w:r>
        <w:t>timan que está en peligro la salud física o mental de la madre. El Gobierno y las organizaciones no gubern</w:t>
      </w:r>
      <w:r>
        <w:t>a</w:t>
      </w:r>
      <w:r>
        <w:t>mentales han incrementado la disponibilidad de albe</w:t>
      </w:r>
      <w:r>
        <w:t>r</w:t>
      </w:r>
      <w:r>
        <w:t>gues para muchachas con embarazos no program</w:t>
      </w:r>
      <w:r>
        <w:t>a</w:t>
      </w:r>
      <w:r>
        <w:t>dos, donde se les brindan servicios de enfermería y capac</w:t>
      </w:r>
      <w:r>
        <w:t>i</w:t>
      </w:r>
      <w:r>
        <w:t>tación hasta que dan a luz. Tailandia seguirá amplia</w:t>
      </w:r>
      <w:r>
        <w:t>n</w:t>
      </w:r>
      <w:r>
        <w:t>do la pre</w:t>
      </w:r>
      <w:r>
        <w:t>s</w:t>
      </w:r>
      <w:r>
        <w:t>tación de esos servicios en el futuro.</w:t>
      </w:r>
    </w:p>
    <w:p w:rsidR="00E63979" w:rsidRDefault="00E63979">
      <w:pPr>
        <w:pStyle w:val="DualTxt"/>
      </w:pPr>
      <w:r>
        <w:rPr>
          <w:spacing w:val="2"/>
        </w:rPr>
        <w:t>38.</w:t>
      </w:r>
      <w:r>
        <w:rPr>
          <w:spacing w:val="2"/>
        </w:rPr>
        <w:tab/>
      </w:r>
      <w:r>
        <w:rPr>
          <w:b/>
          <w:bCs/>
          <w:spacing w:val="2"/>
        </w:rPr>
        <w:t>El Sr. Charupa</w:t>
      </w:r>
      <w:r>
        <w:rPr>
          <w:spacing w:val="2"/>
        </w:rPr>
        <w:t xml:space="preserve"> (Tailandia), refiriéndose al sist</w:t>
      </w:r>
      <w:r>
        <w:rPr>
          <w:spacing w:val="2"/>
        </w:rPr>
        <w:t>e</w:t>
      </w:r>
      <w:r>
        <w:rPr>
          <w:spacing w:val="2"/>
        </w:rPr>
        <w:t>ma de subcontratación de Ta</w:t>
      </w:r>
      <w:r>
        <w:rPr>
          <w:spacing w:val="2"/>
        </w:rPr>
        <w:t>i</w:t>
      </w:r>
      <w:r>
        <w:rPr>
          <w:spacing w:val="2"/>
        </w:rPr>
        <w:t>landia, señala que si bien la mayoría de las personas que trabajan en sus c</w:t>
      </w:r>
      <w:r>
        <w:rPr>
          <w:spacing w:val="2"/>
        </w:rPr>
        <w:t>a</w:t>
      </w:r>
      <w:r>
        <w:rPr>
          <w:spacing w:val="2"/>
        </w:rPr>
        <w:t>sas viven en zonas rurales, en su mayor parte los empleadores e</w:t>
      </w:r>
      <w:r>
        <w:rPr>
          <w:spacing w:val="2"/>
        </w:rPr>
        <w:t>s</w:t>
      </w:r>
      <w:r>
        <w:rPr>
          <w:spacing w:val="2"/>
        </w:rPr>
        <w:t>tán situados en la capital, Bangkok, y sus alrededores. Los inspectores laborales del país se as</w:t>
      </w:r>
      <w:r>
        <w:rPr>
          <w:spacing w:val="2"/>
        </w:rPr>
        <w:t>e</w:t>
      </w:r>
      <w:r>
        <w:rPr>
          <w:spacing w:val="2"/>
        </w:rPr>
        <w:t>guran de que las personas que trabajan en sus casas reciban los jornales impagos y los ayudan a hacer valer sus derechos labor</w:t>
      </w:r>
      <w:r>
        <w:rPr>
          <w:spacing w:val="2"/>
        </w:rPr>
        <w:t>a</w:t>
      </w:r>
      <w:r>
        <w:rPr>
          <w:spacing w:val="2"/>
        </w:rPr>
        <w:t>les a través de los tribunales labor</w:t>
      </w:r>
      <w:r>
        <w:rPr>
          <w:spacing w:val="2"/>
        </w:rPr>
        <w:t>a</w:t>
      </w:r>
      <w:r>
        <w:rPr>
          <w:spacing w:val="2"/>
        </w:rPr>
        <w:t>les. Las personas que trabajan en sus casas sin remun</w:t>
      </w:r>
      <w:r>
        <w:rPr>
          <w:spacing w:val="2"/>
        </w:rPr>
        <w:t>e</w:t>
      </w:r>
      <w:r>
        <w:rPr>
          <w:spacing w:val="2"/>
        </w:rPr>
        <w:t>ración, que representan el 20% de quienes tr</w:t>
      </w:r>
      <w:r>
        <w:rPr>
          <w:spacing w:val="2"/>
        </w:rPr>
        <w:t>a</w:t>
      </w:r>
      <w:r>
        <w:rPr>
          <w:spacing w:val="2"/>
        </w:rPr>
        <w:t>bajan a domicilio, tienen derecho a prestaciones del fondo de seguridad social, aun cuando no perciban remuner</w:t>
      </w:r>
      <w:r>
        <w:rPr>
          <w:spacing w:val="2"/>
        </w:rPr>
        <w:t>a</w:t>
      </w:r>
      <w:r>
        <w:rPr>
          <w:spacing w:val="2"/>
        </w:rPr>
        <w:t>ción</w:t>
      </w:r>
      <w:r>
        <w:t>.</w:t>
      </w:r>
    </w:p>
    <w:p w:rsidR="00E63979" w:rsidRDefault="00E63979">
      <w:pPr>
        <w:pStyle w:val="DualTxt"/>
        <w:spacing w:after="0" w:line="120" w:lineRule="exact"/>
        <w:rPr>
          <w:sz w:val="10"/>
        </w:rPr>
      </w:pPr>
    </w:p>
    <w:p w:rsidR="00E63979" w:rsidRDefault="00E63979">
      <w:pPr>
        <w:pStyle w:val="H23"/>
        <w:tabs>
          <w:tab w:val="right" w:pos="360"/>
          <w:tab w:val="left" w:pos="475"/>
          <w:tab w:val="left" w:pos="965"/>
          <w:tab w:val="left" w:pos="1440"/>
          <w:tab w:val="left" w:pos="1915"/>
          <w:tab w:val="left" w:pos="2405"/>
          <w:tab w:val="left" w:pos="2880"/>
          <w:tab w:val="left" w:pos="3355"/>
        </w:tabs>
        <w:ind w:left="475" w:hanging="475"/>
      </w:pPr>
      <w:r>
        <w:t>Artículos 15 y 16</w:t>
      </w:r>
    </w:p>
    <w:p w:rsidR="00E63979" w:rsidRDefault="00E63979">
      <w:pPr>
        <w:pStyle w:val="DualTxt"/>
        <w:spacing w:after="0" w:line="120" w:lineRule="exact"/>
        <w:rPr>
          <w:sz w:val="10"/>
        </w:rPr>
      </w:pPr>
    </w:p>
    <w:p w:rsidR="00E63979" w:rsidRDefault="00E63979">
      <w:pPr>
        <w:pStyle w:val="DualTxt"/>
      </w:pPr>
      <w:r>
        <w:t>39.</w:t>
      </w:r>
      <w:r>
        <w:tab/>
      </w:r>
      <w:r>
        <w:rPr>
          <w:b/>
          <w:bCs/>
        </w:rPr>
        <w:t>La Sra. Shin</w:t>
      </w:r>
      <w:r>
        <w:t xml:space="preserve"> se manifiesta impresionada por la forma sincera y bien organizada en que el E</w:t>
      </w:r>
      <w:r>
        <w:t>s</w:t>
      </w:r>
      <w:r>
        <w:t>tado parte ha respondido a las preguntas del Comité. Le compl</w:t>
      </w:r>
      <w:r>
        <w:t>a</w:t>
      </w:r>
      <w:r>
        <w:t>ce también el hecho de que Tailandia haya retirado su r</w:t>
      </w:r>
      <w:r>
        <w:t>e</w:t>
      </w:r>
      <w:r>
        <w:t>serva al apartado g) del artíc</w:t>
      </w:r>
      <w:r>
        <w:t>u</w:t>
      </w:r>
      <w:r>
        <w:t>lo 16 de la Convención y que haya entrado en vigor la versión enmendada de la Ley del nombre, que reconoce a las mujeres el derecho a escoger su apellido. Con todo, el Estado parte ma</w:t>
      </w:r>
      <w:r>
        <w:t>n</w:t>
      </w:r>
      <w:r>
        <w:t>tiene siete reservas a las disposiciones de la Conve</w:t>
      </w:r>
      <w:r>
        <w:t>n</w:t>
      </w:r>
      <w:r>
        <w:t>ción, lo que entrabará seriamente la promoción de la igualdad entre los géneros. Desea saber si Tailandia ha adoptado ya medidas para asegurar que las mujeres di</w:t>
      </w:r>
      <w:r>
        <w:t>s</w:t>
      </w:r>
      <w:r>
        <w:t>fruten de los mismos derechos que los hombres en lo que se refiere a los esponsales y el divorcio.</w:t>
      </w:r>
    </w:p>
    <w:p w:rsidR="00E63979" w:rsidRDefault="00E63979">
      <w:pPr>
        <w:pStyle w:val="DualTxt"/>
      </w:pPr>
      <w:r>
        <w:t>40.</w:t>
      </w:r>
      <w:r>
        <w:tab/>
        <w:t>Según se indica en el informe del Estado parte (pág. 83), si un hombre tiene relaciones sexuales por error con una niña mayor de 13 pero menor de 15 años, con el consentimiento de la niña o de sus padres, el d</w:t>
      </w:r>
      <w:r>
        <w:t>e</w:t>
      </w:r>
      <w:r>
        <w:t>recho penal permite que el tr</w:t>
      </w:r>
      <w:r>
        <w:t>i</w:t>
      </w:r>
      <w:r>
        <w:t>bunal otorgue a la pareja autorización para casarse sin que el hombre sea enju</w:t>
      </w:r>
      <w:r>
        <w:t>i</w:t>
      </w:r>
      <w:r>
        <w:t>ciado. Empero, si una niña de esa edad contrae matr</w:t>
      </w:r>
      <w:r>
        <w:t>i</w:t>
      </w:r>
      <w:r>
        <w:t>monio, esto tiene consecuencias para su educación y perjudica su porvenir. Es incomprensible que no se e</w:t>
      </w:r>
      <w:r>
        <w:t>n</w:t>
      </w:r>
      <w:r>
        <w:t>juicie a un hombre que ha tenido relaciones sexuales con una menor, y la ley pertinente debe enmendarse. Además, la edad mínima legal para contraer matrim</w:t>
      </w:r>
      <w:r>
        <w:t>o</w:t>
      </w:r>
      <w:r>
        <w:t>nio en Tailandia debe aumentarse por lo m</w:t>
      </w:r>
      <w:r>
        <w:t>e</w:t>
      </w:r>
      <w:r>
        <w:t>nos a 18 años, en consonancia con la Convención sobre los Derechos del Niño. También debe abolirse el período de espera de 310 días a</w:t>
      </w:r>
      <w:r>
        <w:t>n</w:t>
      </w:r>
      <w:r>
        <w:t>tes de que una mujer pueda volver a contraer matrimonio.</w:t>
      </w:r>
    </w:p>
    <w:p w:rsidR="00E63979" w:rsidRDefault="00E63979">
      <w:pPr>
        <w:pStyle w:val="DualTxt"/>
      </w:pPr>
      <w:r>
        <w:t>41.</w:t>
      </w:r>
      <w:r>
        <w:tab/>
        <w:t>En el párrafo 282 del informe se indica que la e</w:t>
      </w:r>
      <w:r>
        <w:t>s</w:t>
      </w:r>
      <w:r>
        <w:t>posa debe obtener el consentimiento por escr</w:t>
      </w:r>
      <w:r>
        <w:t>i</w:t>
      </w:r>
      <w:r>
        <w:t>to de su marido para someterse a la esteriliz</w:t>
      </w:r>
      <w:r>
        <w:t>a</w:t>
      </w:r>
      <w:r>
        <w:t>ción, y la oradora pregunta si el marido debe obtener un consentimiento similar de su esposa para someterse a una vasect</w:t>
      </w:r>
      <w:r>
        <w:t>o</w:t>
      </w:r>
      <w:r>
        <w:t>mía. Hay numerosas prácticas discriminatorias en el matr</w:t>
      </w:r>
      <w:r>
        <w:t>i</w:t>
      </w:r>
      <w:r>
        <w:t>monio y la vida familiar en Tailandia. El Gobierno d</w:t>
      </w:r>
      <w:r>
        <w:t>e</w:t>
      </w:r>
      <w:r>
        <w:t>be señalar claramente a la sociedad que no se tolerará la violencia en el hogar. Los hombres no maltratan a las mujeres porque son anormales o están enfermos, s</w:t>
      </w:r>
      <w:r>
        <w:t>i</w:t>
      </w:r>
      <w:r>
        <w:t>no porque la s</w:t>
      </w:r>
      <w:r>
        <w:t>o</w:t>
      </w:r>
      <w:r>
        <w:t>ciedad lo permite.</w:t>
      </w:r>
    </w:p>
    <w:p w:rsidR="00E63979" w:rsidRDefault="00E63979">
      <w:pPr>
        <w:pStyle w:val="DualTxt"/>
      </w:pPr>
      <w:r>
        <w:t>42.</w:t>
      </w:r>
      <w:r>
        <w:tab/>
        <w:t>Según se ha dicho en las respuestas del Estado parte a las preguntas del Comité, el hecho de que la Comisión Nacional de Derechos Humanos deba estar integrada por un número igual de hombres y de muj</w:t>
      </w:r>
      <w:r>
        <w:t>e</w:t>
      </w:r>
      <w:r>
        <w:t>res es un buen ejemplo de una medida especial de c</w:t>
      </w:r>
      <w:r>
        <w:t>a</w:t>
      </w:r>
      <w:r>
        <w:t>racter temporal. No obstante, dada la grave discrimin</w:t>
      </w:r>
      <w:r>
        <w:t>a</w:t>
      </w:r>
      <w:r>
        <w:t>ción que existe en la familia y el matrimonio, cabe pr</w:t>
      </w:r>
      <w:r>
        <w:t>e</w:t>
      </w:r>
      <w:r>
        <w:t>guntarse si la Comisión está desarr</w:t>
      </w:r>
      <w:r>
        <w:t>o</w:t>
      </w:r>
      <w:r>
        <w:t>llando una labor eficaz. A juzgar por las respuestas que se han sumini</w:t>
      </w:r>
      <w:r>
        <w:t>s</w:t>
      </w:r>
      <w:r>
        <w:t>trado con respecto al artículo 16 de la Convención, está claro que a Tailandia le queda mucho por hacer en lo que se refiere a la promoción de la igualdad entre los géneros, y su des</w:t>
      </w:r>
      <w:r>
        <w:t>a</w:t>
      </w:r>
      <w:r>
        <w:t>rrollo no tendrá éxito en el futuro a menos que introduzca modificaciones de importancia en su l</w:t>
      </w:r>
      <w:r>
        <w:t>e</w:t>
      </w:r>
      <w:r>
        <w:t>gislación.</w:t>
      </w:r>
    </w:p>
    <w:p w:rsidR="00E63979" w:rsidRDefault="00E63979">
      <w:pPr>
        <w:pStyle w:val="DualTxt"/>
        <w:keepNext/>
        <w:keepLines/>
      </w:pPr>
      <w:r>
        <w:t>43.</w:t>
      </w:r>
      <w:r>
        <w:tab/>
      </w:r>
      <w:r>
        <w:rPr>
          <w:b/>
          <w:bCs/>
        </w:rPr>
        <w:t>El Sr. Pukditanakul</w:t>
      </w:r>
      <w:r>
        <w:t xml:space="preserve"> (Tailandia) dice que Taila</w:t>
      </w:r>
      <w:r>
        <w:t>n</w:t>
      </w:r>
      <w:r>
        <w:t>dia está en condiciones de retirar todas las reservas re</w:t>
      </w:r>
      <w:r>
        <w:t>s</w:t>
      </w:r>
      <w:r>
        <w:t>tantes a la Co</w:t>
      </w:r>
      <w:r>
        <w:t>n</w:t>
      </w:r>
      <w:r>
        <w:t>vención, salvo su reserva al apartado c) del párrafo 1 del artículo 16, que dispone que los ho</w:t>
      </w:r>
      <w:r>
        <w:t>m</w:t>
      </w:r>
      <w:r>
        <w:t>bres y las mujeres tendrán los mismos derechos y re</w:t>
      </w:r>
      <w:r>
        <w:t>s</w:t>
      </w:r>
      <w:r>
        <w:t>pons</w:t>
      </w:r>
      <w:r>
        <w:t>a</w:t>
      </w:r>
      <w:r>
        <w:t>bilidades durante el matrimonio y con ocasión de su disolución. Los órganos que se ocupan de la reforma legislativa tienden a considerar que el derecho de la familia es sagrado, puesto que la familia es el fund</w:t>
      </w:r>
      <w:r>
        <w:t>a</w:t>
      </w:r>
      <w:r>
        <w:t>mento de la sociedad tailandesa. No obstante, se hallan en curso negociaciones sobre la materia, y si éstas ti</w:t>
      </w:r>
      <w:r>
        <w:t>e</w:t>
      </w:r>
      <w:r>
        <w:t>nen éxito podría retirarse la reserva restante.</w:t>
      </w:r>
    </w:p>
    <w:p w:rsidR="00E63979" w:rsidRDefault="00E63979">
      <w:pPr>
        <w:pStyle w:val="DualTxt"/>
      </w:pPr>
      <w:r>
        <w:t>44.</w:t>
      </w:r>
      <w:r>
        <w:tab/>
        <w:t>Con respecto a la cuestión de que no se e</w:t>
      </w:r>
      <w:r>
        <w:t>n</w:t>
      </w:r>
      <w:r>
        <w:t>juicia a hombres que han tenido por error relaciones sexuales con menores, explica que la ley está estructurada en esa forma porque en algunas regiones del país el der</w:t>
      </w:r>
      <w:r>
        <w:t>e</w:t>
      </w:r>
      <w:r>
        <w:t>cho islámico permite que las niñas contraigan matr</w:t>
      </w:r>
      <w:r>
        <w:t>i</w:t>
      </w:r>
      <w:r>
        <w:t>monio tan pronto alcanzan la pubertad. Por lo general, las dos fam</w:t>
      </w:r>
      <w:r>
        <w:t>i</w:t>
      </w:r>
      <w:r>
        <w:t>lias interesadas hacen los arreglos para el matrimonio. Aunque la edad m</w:t>
      </w:r>
      <w:r>
        <w:t>í</w:t>
      </w:r>
      <w:r>
        <w:t>nima de matrimonio es 17 años, los tribunales de la familia pueden dar a</w:t>
      </w:r>
      <w:r>
        <w:t>u</w:t>
      </w:r>
      <w:r>
        <w:t>torización para que niñas menores contraigan matrim</w:t>
      </w:r>
      <w:r>
        <w:t>o</w:t>
      </w:r>
      <w:r>
        <w:t>nio en casos excepcionales, como el de embarazo de la n</w:t>
      </w:r>
      <w:r>
        <w:t>i</w:t>
      </w:r>
      <w:r>
        <w:t>ña.</w:t>
      </w:r>
    </w:p>
    <w:p w:rsidR="00E63979" w:rsidRDefault="00E63979">
      <w:pPr>
        <w:pStyle w:val="DualTxt"/>
      </w:pPr>
      <w:r>
        <w:t>45.</w:t>
      </w:r>
      <w:r>
        <w:tab/>
        <w:t>El período de espera de 310 días antes de un nu</w:t>
      </w:r>
      <w:r>
        <w:t>e</w:t>
      </w:r>
      <w:r>
        <w:t>vo matrimonio se in</w:t>
      </w:r>
      <w:r>
        <w:t>s</w:t>
      </w:r>
      <w:r>
        <w:t>tituyó hace unos 60 o 70 años, con el fin de que pudiese determinarse la paternidad de un posible hijo de la mujer afectada. El propósito de la ley es proteger al niño. Por último, señala que muchos de los hombres que son culpables de violencia en el hogar sufren de algún tipo de perturbación me</w:t>
      </w:r>
      <w:r>
        <w:t>n</w:t>
      </w:r>
      <w:r>
        <w:t>tal, y por ello el Gobierno tailandés prefiere ofrecerles una oportun</w:t>
      </w:r>
      <w:r>
        <w:t>i</w:t>
      </w:r>
      <w:r>
        <w:t>dad para rehabilitarse en lugar de recluirlos en la cá</w:t>
      </w:r>
      <w:r>
        <w:t>r</w:t>
      </w:r>
      <w:r>
        <w:t>cel. Por cierto, su país tendrá en cuenta las diversas r</w:t>
      </w:r>
      <w:r>
        <w:t>e</w:t>
      </w:r>
      <w:r>
        <w:t>comendaciones del Comité en relación con r</w:t>
      </w:r>
      <w:r>
        <w:t>e</w:t>
      </w:r>
      <w:r>
        <w:t>formas en el curso de las negociaciones sobre el proyecto de ley sobre la pr</w:t>
      </w:r>
      <w:r>
        <w:t>e</w:t>
      </w:r>
      <w:r>
        <w:t>vención de la violencia en el hogar y su eliminación.</w:t>
      </w:r>
    </w:p>
    <w:p w:rsidR="00E63979" w:rsidRDefault="00E63979">
      <w:pPr>
        <w:pStyle w:val="DualTxt"/>
      </w:pPr>
      <w:r>
        <w:t>46</w:t>
      </w:r>
      <w:r>
        <w:tab/>
      </w:r>
      <w:r>
        <w:rPr>
          <w:b/>
          <w:bCs/>
        </w:rPr>
        <w:t>La Sra. Vichit-vadakan</w:t>
      </w:r>
      <w:r>
        <w:t xml:space="preserve"> (Tailandia) dice que si bien a veces se necesitan las leyes y los precedentes j</w:t>
      </w:r>
      <w:r>
        <w:t>u</w:t>
      </w:r>
      <w:r>
        <w:t>rídicos para promover cambios positivos en una soci</w:t>
      </w:r>
      <w:r>
        <w:t>e</w:t>
      </w:r>
      <w:r>
        <w:t>dad, también es posible que una sociedad sea más avanzada en sus actitudes y sus práct</w:t>
      </w:r>
      <w:r>
        <w:t>i</w:t>
      </w:r>
      <w:r>
        <w:t>cas que lo que exige estrictamente el derecho. Por consiguiente, el Comité no debe juzgar la situación en Tailandia excl</w:t>
      </w:r>
      <w:r>
        <w:t>u</w:t>
      </w:r>
      <w:r>
        <w:t>sivamente sobre la base de su legislación. Aunque cie</w:t>
      </w:r>
      <w:r>
        <w:t>r</w:t>
      </w:r>
      <w:r>
        <w:t>tamente hay problemas, las mujeres tailandesas dese</w:t>
      </w:r>
      <w:r>
        <w:t>m</w:t>
      </w:r>
      <w:r>
        <w:t>peñan una fu</w:t>
      </w:r>
      <w:r>
        <w:t>n</w:t>
      </w:r>
      <w:r>
        <w:t>ción importante en la sociedad, disponen de múltiples oportunidades profesionales, disfrutan de un acceso adecuado a las oportunidades educacion</w:t>
      </w:r>
      <w:r>
        <w:t>a</w:t>
      </w:r>
      <w:r>
        <w:t>les y, aunque no suelen tener figuración pública, eje</w:t>
      </w:r>
      <w:r>
        <w:t>r</w:t>
      </w:r>
      <w:r>
        <w:t>cen una influencia real en los procesos de adopción de d</w:t>
      </w:r>
      <w:r>
        <w:t>e</w:t>
      </w:r>
      <w:r>
        <w:t>cisiones.</w:t>
      </w:r>
    </w:p>
    <w:p w:rsidR="00E63979" w:rsidRDefault="00E63979">
      <w:pPr>
        <w:pStyle w:val="DualTxt"/>
      </w:pPr>
      <w:r>
        <w:t>47.</w:t>
      </w:r>
      <w:r>
        <w:tab/>
        <w:t>Su delegación considera que el proceso de pr</w:t>
      </w:r>
      <w:r>
        <w:t>e</w:t>
      </w:r>
      <w:r>
        <w:t>sentación de informes al Comité brinda una oportun</w:t>
      </w:r>
      <w:r>
        <w:t>i</w:t>
      </w:r>
      <w:r>
        <w:t>dad para cooperar con agrupaciones femeninas y org</w:t>
      </w:r>
      <w:r>
        <w:t>a</w:t>
      </w:r>
      <w:r>
        <w:t>nizaciones no gubernamentales y entablar un diálogo con el Comité en relación con medidas para seguir m</w:t>
      </w:r>
      <w:r>
        <w:t>e</w:t>
      </w:r>
      <w:r>
        <w:t>jorando la situación de la mujer, no sólo en el plano de las reformas legislativas sino también en lo que se r</w:t>
      </w:r>
      <w:r>
        <w:t>e</w:t>
      </w:r>
      <w:r>
        <w:t>fiere a la modif</w:t>
      </w:r>
      <w:r>
        <w:t>i</w:t>
      </w:r>
      <w:r>
        <w:t>cación de las actitudes sociales que afectan la plena igualdad de la mujer. En efecto, la estrategia más segura para alcanzar la meta a largo plazo de la plena igualdad entre los géneros es la de concentrar los esfuerzos en la transformación de las mental</w:t>
      </w:r>
      <w:r>
        <w:t>i</w:t>
      </w:r>
      <w:r>
        <w:t>dades.</w:t>
      </w:r>
    </w:p>
    <w:p w:rsidR="00E63979" w:rsidRDefault="00E63979">
      <w:pPr>
        <w:pStyle w:val="DualTxt"/>
      </w:pPr>
      <w:r>
        <w:t>48.</w:t>
      </w:r>
      <w:r>
        <w:tab/>
      </w:r>
      <w:r>
        <w:rPr>
          <w:b/>
          <w:bCs/>
        </w:rPr>
        <w:t>La Sra. Simms</w:t>
      </w:r>
      <w:r>
        <w:t xml:space="preserve"> dice que la necesidad de tran</w:t>
      </w:r>
      <w:r>
        <w:t>s</w:t>
      </w:r>
      <w:r>
        <w:t>formar la mentalidad tanto como la legislación vale p</w:t>
      </w:r>
      <w:r>
        <w:t>a</w:t>
      </w:r>
      <w:r>
        <w:t>ra todo el mundo, y subraya que la igualdad no debe limitarse a la clase media sino que debe respetarse en todo los sectores, sin distinciones de condición social ni de raza, color, género u orientación sexual, y en las zonas rurales al igual que en las urbanas. Pregunta si, en el contexto de las medidas para contener el crec</w:t>
      </w:r>
      <w:r>
        <w:t>i</w:t>
      </w:r>
      <w:r>
        <w:t>miento demográfico, se ha intentado educar a los ho</w:t>
      </w:r>
      <w:r>
        <w:t>m</w:t>
      </w:r>
      <w:r>
        <w:t>bres respecto de la eficacia de la vasectomía y superar la oposición típica de los hombres a esta intervención, poniendo de relieve, por ejemplo, que no pone fin a la sexualidad.</w:t>
      </w:r>
    </w:p>
    <w:p w:rsidR="00E63979" w:rsidRDefault="00E63979">
      <w:pPr>
        <w:pStyle w:val="DualTxt"/>
      </w:pPr>
      <w:r>
        <w:t>49.</w:t>
      </w:r>
      <w:r>
        <w:tab/>
      </w:r>
      <w:r>
        <w:rPr>
          <w:b/>
          <w:bCs/>
        </w:rPr>
        <w:t>La Sra. Šimonović</w:t>
      </w:r>
      <w:r>
        <w:t xml:space="preserve"> (Relatora) señala, con respe</w:t>
      </w:r>
      <w:r>
        <w:t>c</w:t>
      </w:r>
      <w:r>
        <w:t>to a las reservas de Tailandia a la Convención, que t</w:t>
      </w:r>
      <w:r>
        <w:t>o</w:t>
      </w:r>
      <w:r>
        <w:t>dos los Estados partes tienen la obligación de asegurar que las disposiciones de la Convención sean direct</w:t>
      </w:r>
      <w:r>
        <w:t>a</w:t>
      </w:r>
      <w:r>
        <w:t>mente aplicables en sus territorios, y de aprobar no</w:t>
      </w:r>
      <w:r>
        <w:t>r</w:t>
      </w:r>
      <w:r>
        <w:t>mas legi</w:t>
      </w:r>
      <w:r>
        <w:t>s</w:t>
      </w:r>
      <w:r>
        <w:t>lativas internas que tengan el efecto de aplicar las di</w:t>
      </w:r>
      <w:r>
        <w:t>s</w:t>
      </w:r>
      <w:r>
        <w:t>posiciones de la Convención. Si bien acoge complac</w:t>
      </w:r>
      <w:r>
        <w:t>i</w:t>
      </w:r>
      <w:r>
        <w:t>da la indicación dada por la delegación en sus respue</w:t>
      </w:r>
      <w:r>
        <w:t>s</w:t>
      </w:r>
      <w:r>
        <w:t>tas orales en el sentido de que se ha de retirar la may</w:t>
      </w:r>
      <w:r>
        <w:t>o</w:t>
      </w:r>
      <w:r>
        <w:t>ría de las reservas, alienta al Estado parte a retirar la totalidad de las reservas. En este contexto, hace ref</w:t>
      </w:r>
      <w:r>
        <w:t>e</w:t>
      </w:r>
      <w:r>
        <w:t>rencia al párrafo 2 del artículo 28 de la Convención, sobre la inadmisibilidad de reservas incompatibles con el objeto y propósito de la Convención, y señala que, de hecho, una reserva general al artículo 16 es inadm</w:t>
      </w:r>
      <w:r>
        <w:t>i</w:t>
      </w:r>
      <w:r>
        <w:t>sible. La delegación podría utilizar ese razonamiento para pe</w:t>
      </w:r>
      <w:r>
        <w:t>r</w:t>
      </w:r>
      <w:r>
        <w:t>suadir a su Gobierno a retirar la reserva.</w:t>
      </w:r>
    </w:p>
    <w:p w:rsidR="00E63979" w:rsidRDefault="00E63979">
      <w:pPr>
        <w:pStyle w:val="DualTxt"/>
      </w:pPr>
      <w:r>
        <w:t>50.</w:t>
      </w:r>
      <w:r>
        <w:tab/>
      </w:r>
      <w:r>
        <w:rPr>
          <w:b/>
          <w:bCs/>
        </w:rPr>
        <w:t>La Sra. Tan</w:t>
      </w:r>
      <w:r>
        <w:t xml:space="preserve"> manifiesta su preocupación por la declaración que contiene el p</w:t>
      </w:r>
      <w:r>
        <w:t>á</w:t>
      </w:r>
      <w:r>
        <w:t>rrafo 282 del informe en el sentido de que rara vez se hacen cumplir los acue</w:t>
      </w:r>
      <w:r>
        <w:t>r</w:t>
      </w:r>
      <w:r>
        <w:t>dos de divorcio en que se ordena al hombre que pague una pensión de alimentos. Pregunta qué se está hacie</w:t>
      </w:r>
      <w:r>
        <w:t>n</w:t>
      </w:r>
      <w:r>
        <w:t>do para remediar esa situación y qué efecto tiene para la familia el hecho de que no se reciban esos pagos.</w:t>
      </w:r>
    </w:p>
    <w:p w:rsidR="00E63979" w:rsidRDefault="00E63979">
      <w:pPr>
        <w:pStyle w:val="DualTxt"/>
      </w:pPr>
      <w:r>
        <w:t>51.</w:t>
      </w:r>
      <w:r>
        <w:tab/>
      </w:r>
      <w:r>
        <w:rPr>
          <w:b/>
          <w:bCs/>
        </w:rPr>
        <w:t>La Sra. Belmihoub-Zerdani</w:t>
      </w:r>
      <w:r>
        <w:t>, refiriéndose a las reservas del Estado parte al artículo 16 de la Conve</w:t>
      </w:r>
      <w:r>
        <w:t>n</w:t>
      </w:r>
      <w:r>
        <w:t>ción, observa que en materias relacionadas con el m</w:t>
      </w:r>
      <w:r>
        <w:t>a</w:t>
      </w:r>
      <w:r>
        <w:t>trimonio el derecho trata en forma diferente a las muj</w:t>
      </w:r>
      <w:r>
        <w:t>e</w:t>
      </w:r>
      <w:r>
        <w:t>res islámicas. Pregunta qué proporción de la pobl</w:t>
      </w:r>
      <w:r>
        <w:t>a</w:t>
      </w:r>
      <w:r>
        <w:t>ción es islámica, cómo se justifica ese trato diferente, y si el derecho también trata de manera especial a otros grupos, como los pueblos indígenas. La existencia de leyes d</w:t>
      </w:r>
      <w:r>
        <w:t>i</w:t>
      </w:r>
      <w:r>
        <w:t>ferentes para distintos grupos de mujeres es en el hecho una forma de discriminación entre las muj</w:t>
      </w:r>
      <w:r>
        <w:t>e</w:t>
      </w:r>
      <w:r>
        <w:t>res, y en otros países se han encontrado diversas sol</w:t>
      </w:r>
      <w:r>
        <w:t>u</w:t>
      </w:r>
      <w:r>
        <w:t>ciones para situaciones similares, como la de exigir que se celebre un matrimonio civil oficial, compleme</w:t>
      </w:r>
      <w:r>
        <w:t>n</w:t>
      </w:r>
      <w:r>
        <w:t>tado por un matrimonio religioso si así lo desean los contraye</w:t>
      </w:r>
      <w:r>
        <w:t>n</w:t>
      </w:r>
      <w:r>
        <w:t>tes.</w:t>
      </w:r>
    </w:p>
    <w:p w:rsidR="00E63979" w:rsidRDefault="00E63979">
      <w:pPr>
        <w:pStyle w:val="DualTxt"/>
      </w:pPr>
      <w:r>
        <w:t>52.</w:t>
      </w:r>
      <w:r>
        <w:tab/>
      </w:r>
      <w:r>
        <w:rPr>
          <w:b/>
          <w:bCs/>
        </w:rPr>
        <w:t>La Sra. Schöpp-Schilling</w:t>
      </w:r>
      <w:r>
        <w:t xml:space="preserve"> reitera la pregunta que formuló en la sesión matinal respecto del uso de med</w:t>
      </w:r>
      <w:r>
        <w:t>i</w:t>
      </w:r>
      <w:r>
        <w:t>das especiales de carácter temporal para promover la igualdad entre los géneros, de conformidad con el p</w:t>
      </w:r>
      <w:r>
        <w:t>á</w:t>
      </w:r>
      <w:r>
        <w:t>rrafo 1 del artículo 4 de la Convención, y observa que el artículo 30 de la Constitución tailandesa da margen para m</w:t>
      </w:r>
      <w:r>
        <w:t>e</w:t>
      </w:r>
      <w:r>
        <w:t>didas tendientes a promover los derechos y las libertades de personas determinadas. En la recomend</w:t>
      </w:r>
      <w:r>
        <w:t>a</w:t>
      </w:r>
      <w:r>
        <w:t>ción general Nº 25 del Comité, sobre medidas especi</w:t>
      </w:r>
      <w:r>
        <w:t>a</w:t>
      </w:r>
      <w:r>
        <w:t>les de carácter temporal, se explica que dichas m</w:t>
      </w:r>
      <w:r>
        <w:t>e</w:t>
      </w:r>
      <w:r>
        <w:t>didas constituyen el medio más adecuado para acelerar la consecución de la igualdad de hecho para las muj</w:t>
      </w:r>
      <w:r>
        <w:t>e</w:t>
      </w:r>
      <w:r>
        <w:t>res. Desgraciadamente, las medidas especiales de carácter temporal que se han adoptado en el Estado parte no p</w:t>
      </w:r>
      <w:r>
        <w:t>a</w:t>
      </w:r>
      <w:r>
        <w:t>recen ser jurídicamente vinculantes para el Gobierno. Por lo tanto, el proyecto de ley sobre igualdad entre los géneros debe modificarse de manera que suponga una obligación de parte del Gobierno en el sentido de ado</w:t>
      </w:r>
      <w:r>
        <w:t>p</w:t>
      </w:r>
      <w:r>
        <w:t>tar medidas especiales de carácter temporal con el fin de lograr la igualdad de hecho entre los géneros. D</w:t>
      </w:r>
      <w:r>
        <w:t>i</w:t>
      </w:r>
      <w:r>
        <w:t>chas medidas luego podrían aplicarse en forma inte</w:t>
      </w:r>
      <w:r>
        <w:t>r</w:t>
      </w:r>
      <w:r>
        <w:t>sectorial, y no a título especial.</w:t>
      </w:r>
    </w:p>
    <w:p w:rsidR="00E63979" w:rsidRDefault="00E63979">
      <w:pPr>
        <w:pStyle w:val="DualTxt"/>
      </w:pPr>
      <w:r>
        <w:t>53.</w:t>
      </w:r>
      <w:r>
        <w:tab/>
      </w:r>
      <w:r>
        <w:rPr>
          <w:b/>
          <w:bCs/>
        </w:rPr>
        <w:t>El Sr. Pukditanakul</w:t>
      </w:r>
      <w:r>
        <w:t xml:space="preserve"> (Tailandia) se refiere a las medidas especiales de carácter temporal y dice que si bien el artículo 30 de la Constitución permite explíc</w:t>
      </w:r>
      <w:r>
        <w:t>i</w:t>
      </w:r>
      <w:r>
        <w:t>tamente la adopción de dichas medidas, se han pla</w:t>
      </w:r>
      <w:r>
        <w:t>n</w:t>
      </w:r>
      <w:r>
        <w:t>teado dudas respecto de la mejor manera de aplicarlas en el derecho interno. A la luz de lo sugerido en la i</w:t>
      </w:r>
      <w:r>
        <w:t>n</w:t>
      </w:r>
      <w:r>
        <w:t>tervención de la Sra. Schöpp-Schilling, el método más sencillo podría consistir en enmendar el artículo 30 de la Constitución de manera que no se refiera al derecho del Gobierno, sino a su obligación, de aprobar la legi</w:t>
      </w:r>
      <w:r>
        <w:t>s</w:t>
      </w:r>
      <w:r>
        <w:t>lación necesaria para la ejecución. De hecho, se han adoptado medidas especiales de carácter temporal que han rendido resultados muy beneficiosos; por ejemplo, gracias a las becas de estudio para niñas de entre 12 y 18 años se han rebajado las tasas de abandono escolar de las niñas y se han incrementado sus índices de esc</w:t>
      </w:r>
      <w:r>
        <w:t>o</w:t>
      </w:r>
      <w:r>
        <w:t>larización. En cuanto a la aplicación de la Convención, el orador conviene en que ese instrumento es vincula</w:t>
      </w:r>
      <w:r>
        <w:t>n</w:t>
      </w:r>
      <w:r>
        <w:t>te para Tailandia en su calidad de Estado parte. Sin embargo, el Gobierno debe aprobar leyes internas de ejecución para hacer que las disposiciones de la Convención sean vinculantes para los ciudadanos de Tailandia.</w:t>
      </w:r>
    </w:p>
    <w:p w:rsidR="00E63979" w:rsidRDefault="00E63979">
      <w:pPr>
        <w:pStyle w:val="DualTxt"/>
      </w:pPr>
      <w:r>
        <w:t>54.</w:t>
      </w:r>
      <w:r>
        <w:tab/>
        <w:t>La cuestión del derecho islámico es un asunto d</w:t>
      </w:r>
      <w:r>
        <w:t>e</w:t>
      </w:r>
      <w:r>
        <w:t>licado; aunque los musulm</w:t>
      </w:r>
      <w:r>
        <w:t>a</w:t>
      </w:r>
      <w:r>
        <w:t>nes no representan más que un 5% a 6% de la población total del país, con</w:t>
      </w:r>
      <w:r>
        <w:t>s</w:t>
      </w:r>
      <w:r>
        <w:t>tituyen hasta el 80% de la población en cuatro provincias m</w:t>
      </w:r>
      <w:r>
        <w:t>e</w:t>
      </w:r>
      <w:r>
        <w:t>ridionales. La situación reviste un carácter e</w:t>
      </w:r>
      <w:r>
        <w:t>x</w:t>
      </w:r>
      <w:r>
        <w:t>cepcional porque se considera que el islam no es sólo una rel</w:t>
      </w:r>
      <w:r>
        <w:t>i</w:t>
      </w:r>
      <w:r>
        <w:t>gión sino también un modo de vida, y se estima que las leyes relativas al matrimonio son las l</w:t>
      </w:r>
      <w:r>
        <w:t>e</w:t>
      </w:r>
      <w:r>
        <w:t>yes de Dios, que no se pueden reemplazar con la leyes del hombre. En lo que atañe al incumplimiento de los acuerdos de d</w:t>
      </w:r>
      <w:r>
        <w:t>i</w:t>
      </w:r>
      <w:r>
        <w:t>vorcio, dice que la acción coercitiva en estos casos d</w:t>
      </w:r>
      <w:r>
        <w:t>e</w:t>
      </w:r>
      <w:r>
        <w:t>pende de un procedimiento civil y el ún</w:t>
      </w:r>
      <w:r>
        <w:t>i</w:t>
      </w:r>
      <w:r>
        <w:t>co recurso que tiene el tribunal es ordenar al empleador que embargue el salario con el fin de pagar la pensión de alimentos; si el empleador no lo hace, se le puede hacer respo</w:t>
      </w:r>
      <w:r>
        <w:t>n</w:t>
      </w:r>
      <w:r>
        <w:t>sable del pago. Aunque el sistema puede ser efectivo, en m</w:t>
      </w:r>
      <w:r>
        <w:t>u</w:t>
      </w:r>
      <w:r>
        <w:t>chos casos el marido sencillamente deja el empleo y queda cesante. Se está estudiando actualmente la pos</w:t>
      </w:r>
      <w:r>
        <w:t>i</w:t>
      </w:r>
      <w:r>
        <w:t>bilidad de tipificar como delito la fa</w:t>
      </w:r>
      <w:r>
        <w:t>l</w:t>
      </w:r>
      <w:r>
        <w:t>ta de pago en acuerdos de divorcio, lo que supondría la imposición de sanciones penales apropiadas; se trata también de una cuestión delicada que probablemente no se reso</w:t>
      </w:r>
      <w:r>
        <w:t>l</w:t>
      </w:r>
      <w:r>
        <w:t>verá a corto plazo.</w:t>
      </w:r>
    </w:p>
    <w:p w:rsidR="00E63979" w:rsidRDefault="00E63979">
      <w:pPr>
        <w:pStyle w:val="DualTxt"/>
      </w:pPr>
      <w:r>
        <w:t>55.</w:t>
      </w:r>
      <w:r>
        <w:tab/>
      </w:r>
      <w:r>
        <w:rPr>
          <w:b/>
          <w:bCs/>
        </w:rPr>
        <w:t>La Sra. Laohaphan</w:t>
      </w:r>
      <w:r>
        <w:t xml:space="preserve"> (Tailandia), refiriéndose al trato especial de los grupos indígenas, dice que su Gobierno no reconoce a ningún grupo indígena en el sentido que se ha dado internacionalmente a este té</w:t>
      </w:r>
      <w:r>
        <w:t>r</w:t>
      </w:r>
      <w:r>
        <w:t>mino. Aunque hay tribus y minorías reconocidas, no se co</w:t>
      </w:r>
      <w:r>
        <w:t>n</w:t>
      </w:r>
      <w:r>
        <w:t>sidera que ninguna de ellas haya estado presente en el territorio antes de que se asentase allí el pueblo ta</w:t>
      </w:r>
      <w:r>
        <w:t>i</w:t>
      </w:r>
      <w:r>
        <w:t>landés.</w:t>
      </w:r>
    </w:p>
    <w:p w:rsidR="00E63979" w:rsidRDefault="00E63979">
      <w:pPr>
        <w:pStyle w:val="DualTxt"/>
      </w:pPr>
      <w:r>
        <w:t>56.</w:t>
      </w:r>
      <w:r>
        <w:tab/>
      </w:r>
      <w:r>
        <w:rPr>
          <w:b/>
          <w:bCs/>
        </w:rPr>
        <w:t>La Presidenta</w:t>
      </w:r>
      <w:r>
        <w:t xml:space="preserve"> da las gracias a la delegación por un diálogo franco, informativo y constructivo. Si bien aprecia los esfuerzos genuinos que está desplegando el Est</w:t>
      </w:r>
      <w:r>
        <w:t>a</w:t>
      </w:r>
      <w:r>
        <w:t>do parte por resolver cuestiones como la violencia contra la mujer, la trata, la prostitución, la reforma l</w:t>
      </w:r>
      <w:r>
        <w:t>e</w:t>
      </w:r>
      <w:r>
        <w:t>gislativa y las actitudes sociales, dice que queda mucho por hacer. Las sugerencias del Comité, si se hacen efectivas, ayudarán a asegurar el adelanto continuo de la mujer y la promoción de sus derechos humanos. Las co</w:t>
      </w:r>
      <w:r>
        <w:t>n</w:t>
      </w:r>
      <w:r>
        <w:t>clusiones colectivas del Comité tras su examen del informe del Estado parte se reflejarán en sus observ</w:t>
      </w:r>
      <w:r>
        <w:t>a</w:t>
      </w:r>
      <w:r>
        <w:t>ciones finales, que se transmitirán a la delegación.</w:t>
      </w:r>
    </w:p>
    <w:p w:rsidR="00E63979" w:rsidRDefault="00E63979">
      <w:pPr>
        <w:pStyle w:val="DualTxt"/>
      </w:pPr>
      <w:r>
        <w:t>57.</w:t>
      </w:r>
      <w:r>
        <w:tab/>
      </w:r>
      <w:r>
        <w:rPr>
          <w:b/>
          <w:bCs/>
        </w:rPr>
        <w:t>El Sr. Muangsook</w:t>
      </w:r>
      <w:r>
        <w:t xml:space="preserve"> (Tailandia) agradece al Com</w:t>
      </w:r>
      <w:r>
        <w:t>i</w:t>
      </w:r>
      <w:r>
        <w:t>té su diálogo abierto y con</w:t>
      </w:r>
      <w:r>
        <w:t>s</w:t>
      </w:r>
      <w:r>
        <w:t>tructivo con la delegación. La Convención es una guía importante para el adelanto de la mujer en Tailandia. La preparación del informe de su delegación ha alentado el diálogo y ha ofrecido a los órganos gubernamentales y la sociedad civil una opo</w:t>
      </w:r>
      <w:r>
        <w:t>r</w:t>
      </w:r>
      <w:r>
        <w:t>tunidad para derivar lecciones del pasado y hacer ca</w:t>
      </w:r>
      <w:r>
        <w:t>m</w:t>
      </w:r>
      <w:r>
        <w:t>bios para el futuro. El examen de los informes periód</w:t>
      </w:r>
      <w:r>
        <w:t>i</w:t>
      </w:r>
      <w:r>
        <w:t>cos cuarto y quinto combinados de Tailandia por parte del Comité le ha brindado al orador su primera oport</w:t>
      </w:r>
      <w:r>
        <w:t>u</w:t>
      </w:r>
      <w:r>
        <w:t>nidad de asistir a una conf</w:t>
      </w:r>
      <w:r>
        <w:t>e</w:t>
      </w:r>
      <w:r>
        <w:t>rencia sobre temas sociales en su calidad de Ministro del Gobierno. Se manifiesta impresionado por dicha experiencia y por el proceso de presentación de informes, que representa una oportun</w:t>
      </w:r>
      <w:r>
        <w:t>i</w:t>
      </w:r>
      <w:r>
        <w:t>dad valiosa para introducir cambios positivos, eliminar disparidades entre los géneros y asegurar la utilización plena del capital humano de su país. Los aportes prá</w:t>
      </w:r>
      <w:r>
        <w:t>c</w:t>
      </w:r>
      <w:r>
        <w:t>ticos, francos y constructivos de las organizaciones no gubernamentales se tendrán en cuenta en la formul</w:t>
      </w:r>
      <w:r>
        <w:t>a</w:t>
      </w:r>
      <w:r>
        <w:t>ción de políticas y reglamentos nuevos.</w:t>
      </w:r>
    </w:p>
    <w:p w:rsidR="00E63979" w:rsidRDefault="00E63979">
      <w:pPr>
        <w:pStyle w:val="DualTxt"/>
      </w:pPr>
      <w:r>
        <w:t>58.</w:t>
      </w:r>
      <w:r>
        <w:tab/>
        <w:t>Da las gracias a los miembros del Comité por sus preguntas, que se tendrán en consideración para aseg</w:t>
      </w:r>
      <w:r>
        <w:t>u</w:t>
      </w:r>
      <w:r>
        <w:t>rar que se logren nuevos avances hacia la igualdad e</w:t>
      </w:r>
      <w:r>
        <w:t>n</w:t>
      </w:r>
      <w:r>
        <w:t>tre los géneros, y por su interés continuo en la situ</w:t>
      </w:r>
      <w:r>
        <w:t>a</w:t>
      </w:r>
      <w:r>
        <w:t>ción de la mujer en Tailandia. Su Gobierno ya ha ado</w:t>
      </w:r>
      <w:r>
        <w:t>p</w:t>
      </w:r>
      <w:r>
        <w:t>tado medidas para enmendar la legislación nacional a fin de armonizarla con las disposiciones de la Conve</w:t>
      </w:r>
      <w:r>
        <w:t>n</w:t>
      </w:r>
      <w:r>
        <w:t>ción, aun cuando esas iniciativas han sido controvert</w:t>
      </w:r>
      <w:r>
        <w:t>i</w:t>
      </w:r>
      <w:r>
        <w:t>das. El Gobierno sigue decidido a eliminar la discrim</w:t>
      </w:r>
      <w:r>
        <w:t>i</w:t>
      </w:r>
      <w:r>
        <w:t>nación por motivo de género y a proteger y promover los derechos humanos de la mujer en el pl</w:t>
      </w:r>
      <w:r>
        <w:t>a</w:t>
      </w:r>
      <w:r>
        <w:t>no nacional y en el internacional, y espera con interés las recome</w:t>
      </w:r>
      <w:r>
        <w:t>n</w:t>
      </w:r>
      <w:r>
        <w:t>daciones f</w:t>
      </w:r>
      <w:r>
        <w:t>i</w:t>
      </w:r>
      <w:r>
        <w:t>nales del Comité.</w:t>
      </w:r>
    </w:p>
    <w:p w:rsidR="00E63979" w:rsidRDefault="00E63979">
      <w:pPr>
        <w:pStyle w:val="DualTxt"/>
      </w:pPr>
      <w:r>
        <w:rPr>
          <w:i/>
          <w:iCs/>
        </w:rPr>
        <w:t>Se levanta la sesión a las 17.25 horas</w:t>
      </w:r>
      <w:r>
        <w:t>.</w:t>
      </w:r>
    </w:p>
    <w:sectPr w:rsidR="00E63979">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E169F" w:rsidRDefault="003E169F">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NO&gt;&gt;N0621522S&lt;&lt;ODS JOB NO&gt;&gt;</w:t>
      </w:r>
    </w:p>
    <w:p w:rsidR="003E169F" w:rsidRDefault="003E169F">
      <w:pPr>
        <w:pStyle w:val="CommentText"/>
        <w:rPr>
          <w:lang w:val="en-US"/>
        </w:rPr>
      </w:pPr>
      <w:r>
        <w:rPr>
          <w:lang w:val="en-US"/>
        </w:rPr>
        <w:t>&lt;&lt;ODS DOC SYMBOL1&gt;&gt;CEDAW/C/SR.708&lt;&lt;ODS DOC SYMBOL1&gt;&gt;</w:t>
      </w:r>
    </w:p>
    <w:p w:rsidR="003E169F" w:rsidRDefault="003E169F">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BF9" w:rsidRDefault="006C2BF9">
      <w:r>
        <w:separator/>
      </w:r>
    </w:p>
  </w:endnote>
  <w:endnote w:type="continuationSeparator" w:id="0">
    <w:p w:rsidR="006C2BF9" w:rsidRDefault="006C2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E169F">
      <w:tblPrEx>
        <w:tblCellMar>
          <w:top w:w="0" w:type="dxa"/>
          <w:bottom w:w="0" w:type="dxa"/>
        </w:tblCellMar>
      </w:tblPrEx>
      <w:tc>
        <w:tcPr>
          <w:tcW w:w="5033" w:type="dxa"/>
          <w:vAlign w:val="bottom"/>
        </w:tcPr>
        <w:p w:rsidR="003E169F" w:rsidRDefault="003E169F">
          <w:pPr>
            <w:pStyle w:val="Footer"/>
            <w:rPr>
              <w:b w:val="0"/>
              <w:bCs/>
            </w:rPr>
          </w:pPr>
          <w:r>
            <w:rPr>
              <w:rStyle w:val="PageNumber"/>
              <w:b w:val="0"/>
              <w:bCs/>
            </w:rPr>
            <w:fldChar w:fldCharType="begin"/>
          </w:r>
          <w:r>
            <w:rPr>
              <w:rStyle w:val="PageNumber"/>
              <w:b w:val="0"/>
              <w:bCs/>
            </w:rPr>
            <w:instrText xml:space="preserve"> PAGE </w:instrText>
          </w:r>
          <w:r>
            <w:rPr>
              <w:rStyle w:val="PageNumber"/>
              <w:b w:val="0"/>
              <w:bCs/>
            </w:rPr>
            <w:fldChar w:fldCharType="separate"/>
          </w:r>
          <w:r w:rsidR="001B0AEF">
            <w:rPr>
              <w:rStyle w:val="PageNumber"/>
              <w:b w:val="0"/>
              <w:bCs/>
            </w:rPr>
            <w:t>10</w:t>
          </w:r>
          <w:r>
            <w:rPr>
              <w:rStyle w:val="PageNumber"/>
              <w:b w:val="0"/>
              <w:bCs/>
            </w:rPr>
            <w:fldChar w:fldCharType="end"/>
          </w:r>
        </w:p>
      </w:tc>
      <w:tc>
        <w:tcPr>
          <w:tcW w:w="5033" w:type="dxa"/>
          <w:vAlign w:val="bottom"/>
        </w:tcPr>
        <w:p w:rsidR="003E169F" w:rsidRDefault="003E169F">
          <w:pPr>
            <w:pStyle w:val="Footer"/>
            <w:jc w:val="right"/>
            <w:rPr>
              <w:b w:val="0"/>
              <w:bCs/>
              <w:sz w:val="14"/>
            </w:rPr>
          </w:pPr>
          <w:r>
            <w:rPr>
              <w:b w:val="0"/>
              <w:bCs/>
              <w:sz w:val="14"/>
            </w:rPr>
            <w:t>0621522</w:t>
          </w:r>
        </w:p>
      </w:tc>
    </w:tr>
  </w:tbl>
  <w:p w:rsidR="003E169F" w:rsidRDefault="003E16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E169F">
      <w:tblPrEx>
        <w:tblCellMar>
          <w:top w:w="0" w:type="dxa"/>
          <w:bottom w:w="0" w:type="dxa"/>
        </w:tblCellMar>
      </w:tblPrEx>
      <w:tc>
        <w:tcPr>
          <w:tcW w:w="5033" w:type="dxa"/>
          <w:vAlign w:val="bottom"/>
        </w:tcPr>
        <w:p w:rsidR="003E169F" w:rsidRDefault="003E169F">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1B0AEF">
            <w:rPr>
              <w:b w:val="0"/>
              <w:sz w:val="14"/>
            </w:rPr>
            <w:t>0621522s.doc</w:t>
          </w:r>
          <w:r>
            <w:rPr>
              <w:b w:val="0"/>
              <w:sz w:val="14"/>
            </w:rPr>
            <w:fldChar w:fldCharType="end"/>
          </w:r>
        </w:p>
      </w:tc>
      <w:tc>
        <w:tcPr>
          <w:tcW w:w="5033" w:type="dxa"/>
          <w:vAlign w:val="bottom"/>
        </w:tcPr>
        <w:p w:rsidR="003E169F" w:rsidRDefault="003E169F">
          <w:pPr>
            <w:pStyle w:val="Footer"/>
            <w:jc w:val="right"/>
            <w:rPr>
              <w:b w:val="0"/>
              <w:bCs/>
              <w:sz w:val="14"/>
            </w:rPr>
          </w:pPr>
          <w:r>
            <w:rPr>
              <w:rStyle w:val="PageNumber"/>
              <w:b w:val="0"/>
              <w:bCs/>
            </w:rPr>
            <w:fldChar w:fldCharType="begin"/>
          </w:r>
          <w:r>
            <w:rPr>
              <w:rStyle w:val="PageNumber"/>
              <w:b w:val="0"/>
              <w:bCs/>
            </w:rPr>
            <w:instrText xml:space="preserve"> PAGE </w:instrText>
          </w:r>
          <w:r>
            <w:rPr>
              <w:rStyle w:val="PageNumber"/>
              <w:b w:val="0"/>
              <w:bCs/>
            </w:rPr>
            <w:fldChar w:fldCharType="separate"/>
          </w:r>
          <w:r>
            <w:rPr>
              <w:rStyle w:val="PageNumber"/>
              <w:b w:val="0"/>
              <w:bCs/>
            </w:rPr>
            <w:t>9</w:t>
          </w:r>
          <w:r>
            <w:rPr>
              <w:rStyle w:val="PageNumber"/>
              <w:b w:val="0"/>
              <w:bCs/>
            </w:rPr>
            <w:fldChar w:fldCharType="end"/>
          </w:r>
        </w:p>
      </w:tc>
    </w:tr>
  </w:tbl>
  <w:p w:rsidR="003E169F" w:rsidRDefault="003E169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69F" w:rsidRDefault="003E169F">
    <w:pPr>
      <w:pStyle w:val="Footer"/>
      <w:pBdr>
        <w:top w:val="single" w:sz="2" w:space="1" w:color="auto"/>
      </w:pBdr>
      <w:rPr>
        <w:sz w:val="2"/>
      </w:rPr>
    </w:pPr>
  </w:p>
  <w:p w:rsidR="003E169F" w:rsidRDefault="003E169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3E169F" w:rsidRDefault="003E169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3E169F" w:rsidRDefault="003E169F">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3E169F" w:rsidRDefault="003E169F">
    <w:pPr>
      <w:pStyle w:val="FootnoteText"/>
      <w:spacing w:line="120" w:lineRule="exact"/>
      <w:ind w:left="1267" w:right="1267" w:firstLine="0"/>
      <w:rPr>
        <w:sz w:val="10"/>
      </w:rPr>
    </w:pPr>
  </w:p>
  <w:p w:rsidR="003E169F" w:rsidRDefault="003E169F">
    <w:pPr>
      <w:pStyle w:val="Footer"/>
      <w:rPr>
        <w:b w:val="0"/>
        <w:sz w:val="20"/>
      </w:rPr>
    </w:pPr>
    <w:r>
      <w:rPr>
        <w:b w:val="0"/>
        <w:sz w:val="20"/>
      </w:rPr>
      <w:t>06-21522 (S)</w:t>
    </w:r>
  </w:p>
  <w:p w:rsidR="003E169F" w:rsidRPr="00E63979" w:rsidRDefault="003E169F" w:rsidP="00E63979">
    <w:pPr>
      <w:pStyle w:val="Footer"/>
      <w:spacing w:before="120" w:line="240" w:lineRule="exact"/>
      <w:rPr>
        <w:rFonts w:ascii="Barcode 3 of 9 by request" w:hAnsi="Barcode 3 of 9 by request"/>
        <w:b w:val="0"/>
        <w:sz w:val="24"/>
      </w:rPr>
    </w:pPr>
    <w:r w:rsidRPr="00E63979">
      <w:rPr>
        <w:rFonts w:ascii="Barcode 3 of 9 by request" w:hAnsi="Barcode 3 of 9 by request"/>
        <w:b w:val="0"/>
        <w:sz w:val="24"/>
      </w:rPr>
      <w:t>*0621522*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BF9" w:rsidRDefault="006C2BF9">
      <w:r>
        <w:separator/>
      </w:r>
    </w:p>
  </w:footnote>
  <w:footnote w:type="continuationSeparator" w:id="0">
    <w:p w:rsidR="006C2BF9" w:rsidRDefault="006C2B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69F" w:rsidRDefault="003E169F">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E169F">
                  <w:tblPrEx>
                    <w:tblCellMar>
                      <w:top w:w="0" w:type="dxa"/>
                      <w:bottom w:w="0" w:type="dxa"/>
                    </w:tblCellMar>
                  </w:tblPrEx>
                  <w:trPr>
                    <w:trHeight w:hRule="exact" w:val="864"/>
                  </w:trPr>
                  <w:tc>
                    <w:tcPr>
                      <w:tcW w:w="4838" w:type="dxa"/>
                      <w:vAlign w:val="bottom"/>
                    </w:tcPr>
                    <w:p w:rsidR="003E169F" w:rsidRDefault="003E169F">
                      <w:pPr>
                        <w:pStyle w:val="Header"/>
                        <w:spacing w:after="80"/>
                        <w:rPr>
                          <w:b/>
                        </w:rPr>
                      </w:pPr>
                      <w:r>
                        <w:rPr>
                          <w:b/>
                        </w:rPr>
                        <w:t>CEDAW/C/SR.708</w:t>
                      </w:r>
                    </w:p>
                  </w:tc>
                  <w:tc>
                    <w:tcPr>
                      <w:tcW w:w="5048" w:type="dxa"/>
                      <w:vAlign w:val="bottom"/>
                    </w:tcPr>
                    <w:p w:rsidR="003E169F" w:rsidRDefault="003E169F">
                      <w:pPr>
                        <w:pStyle w:val="Header"/>
                      </w:pPr>
                    </w:p>
                  </w:tc>
                </w:tr>
              </w:tbl>
              <w:p w:rsidR="003E169F" w:rsidRDefault="003E169F">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69F" w:rsidRDefault="003E169F">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E169F">
                  <w:tblPrEx>
                    <w:tblCellMar>
                      <w:top w:w="0" w:type="dxa"/>
                      <w:bottom w:w="0" w:type="dxa"/>
                    </w:tblCellMar>
                  </w:tblPrEx>
                  <w:trPr>
                    <w:trHeight w:hRule="exact" w:val="864"/>
                  </w:trPr>
                  <w:tc>
                    <w:tcPr>
                      <w:tcW w:w="4838" w:type="dxa"/>
                      <w:vAlign w:val="bottom"/>
                    </w:tcPr>
                    <w:p w:rsidR="003E169F" w:rsidRDefault="003E169F">
                      <w:pPr>
                        <w:pStyle w:val="Header"/>
                      </w:pPr>
                    </w:p>
                  </w:tc>
                  <w:tc>
                    <w:tcPr>
                      <w:tcW w:w="5048" w:type="dxa"/>
                      <w:vAlign w:val="bottom"/>
                    </w:tcPr>
                    <w:p w:rsidR="003E169F" w:rsidRDefault="003E169F">
                      <w:pPr>
                        <w:pStyle w:val="Header"/>
                        <w:spacing w:after="80"/>
                        <w:jc w:val="right"/>
                        <w:rPr>
                          <w:b/>
                        </w:rPr>
                      </w:pPr>
                      <w:r>
                        <w:rPr>
                          <w:b/>
                        </w:rPr>
                        <w:t>CEDAW/C/SR.708</w:t>
                      </w:r>
                    </w:p>
                  </w:tc>
                </w:tr>
              </w:tbl>
              <w:p w:rsidR="003E169F" w:rsidRDefault="003E169F">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E169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E169F" w:rsidRDefault="003E169F">
          <w:pPr>
            <w:pStyle w:val="Header"/>
            <w:spacing w:after="120"/>
          </w:pPr>
        </w:p>
      </w:tc>
      <w:tc>
        <w:tcPr>
          <w:tcW w:w="2059" w:type="dxa"/>
          <w:tcBorders>
            <w:top w:val="nil"/>
            <w:left w:val="nil"/>
            <w:bottom w:val="single" w:sz="4" w:space="0" w:color="auto"/>
            <w:right w:val="nil"/>
          </w:tcBorders>
          <w:vAlign w:val="bottom"/>
        </w:tcPr>
        <w:p w:rsidR="003E169F" w:rsidRDefault="003E169F">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3E169F" w:rsidRDefault="003E169F">
          <w:pPr>
            <w:pStyle w:val="Header"/>
            <w:spacing w:after="120"/>
          </w:pPr>
        </w:p>
      </w:tc>
      <w:tc>
        <w:tcPr>
          <w:tcW w:w="6523" w:type="dxa"/>
          <w:gridSpan w:val="3"/>
          <w:tcBorders>
            <w:top w:val="nil"/>
            <w:left w:val="nil"/>
            <w:bottom w:val="single" w:sz="4" w:space="0" w:color="auto"/>
            <w:right w:val="nil"/>
          </w:tcBorders>
          <w:vAlign w:val="bottom"/>
        </w:tcPr>
        <w:p w:rsidR="003E169F" w:rsidRDefault="003E169F">
          <w:pPr>
            <w:spacing w:after="80" w:line="240" w:lineRule="auto"/>
            <w:jc w:val="right"/>
            <w:rPr>
              <w:position w:val="-4"/>
            </w:rPr>
          </w:pPr>
          <w:r>
            <w:rPr>
              <w:position w:val="-4"/>
              <w:sz w:val="40"/>
            </w:rPr>
            <w:t>CEDAW</w:t>
          </w:r>
          <w:r>
            <w:rPr>
              <w:position w:val="-4"/>
            </w:rPr>
            <w:t>/C/SR.708</w:t>
          </w:r>
        </w:p>
      </w:tc>
    </w:tr>
    <w:tr w:rsidR="003E169F">
      <w:tblPrEx>
        <w:tblCellMar>
          <w:top w:w="0" w:type="dxa"/>
          <w:bottom w:w="0" w:type="dxa"/>
        </w:tblCellMar>
      </w:tblPrEx>
      <w:trPr>
        <w:trHeight w:hRule="exact" w:val="2880"/>
      </w:trPr>
      <w:tc>
        <w:tcPr>
          <w:tcW w:w="1267" w:type="dxa"/>
          <w:tcBorders>
            <w:left w:val="nil"/>
            <w:bottom w:val="single" w:sz="12" w:space="0" w:color="auto"/>
            <w:right w:val="nil"/>
          </w:tcBorders>
        </w:tcPr>
        <w:p w:rsidR="003E169F" w:rsidRDefault="003E169F">
          <w:pPr>
            <w:pStyle w:val="Header"/>
            <w:spacing w:before="109"/>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3E169F" w:rsidRDefault="003E169F">
          <w:pPr>
            <w:pStyle w:val="Header"/>
            <w:spacing w:before="109"/>
            <w:rPr>
              <w:lang w:val="es-ES"/>
            </w:rPr>
          </w:pPr>
        </w:p>
      </w:tc>
      <w:tc>
        <w:tcPr>
          <w:tcW w:w="5227" w:type="dxa"/>
          <w:gridSpan w:val="3"/>
          <w:tcBorders>
            <w:left w:val="nil"/>
            <w:bottom w:val="single" w:sz="12" w:space="0" w:color="auto"/>
            <w:right w:val="nil"/>
          </w:tcBorders>
        </w:tcPr>
        <w:p w:rsidR="003E169F" w:rsidRDefault="003E169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3E169F" w:rsidRDefault="003E169F">
          <w:pPr>
            <w:pStyle w:val="Header"/>
            <w:spacing w:before="109"/>
            <w:rPr>
              <w:lang w:val="es-ES"/>
            </w:rPr>
          </w:pPr>
        </w:p>
      </w:tc>
      <w:tc>
        <w:tcPr>
          <w:tcW w:w="3180" w:type="dxa"/>
          <w:gridSpan w:val="2"/>
          <w:tcBorders>
            <w:left w:val="nil"/>
            <w:bottom w:val="single" w:sz="12" w:space="0" w:color="auto"/>
            <w:right w:val="nil"/>
          </w:tcBorders>
        </w:tcPr>
        <w:p w:rsidR="003E169F" w:rsidRDefault="003E169F">
          <w:pPr>
            <w:spacing w:before="240"/>
          </w:pPr>
          <w:r>
            <w:t>Distr. general</w:t>
          </w:r>
        </w:p>
        <w:p w:rsidR="003E169F" w:rsidRDefault="003E169F">
          <w:r>
            <w:t>7 de abril de 2006</w:t>
          </w:r>
        </w:p>
        <w:p w:rsidR="003E169F" w:rsidRDefault="003E169F">
          <w:r>
            <w:t>Español</w:t>
          </w:r>
        </w:p>
        <w:p w:rsidR="003E169F" w:rsidRDefault="003E169F">
          <w:r>
            <w:t>Original: inglés</w:t>
          </w:r>
        </w:p>
      </w:tc>
    </w:tr>
  </w:tbl>
  <w:p w:rsidR="003E169F" w:rsidRDefault="003E169F">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3/2006 8:15::10"/>
    <w:docVar w:name="DocCategory" w:val="SROthers"/>
    <w:docVar w:name="DocType" w:val="Final"/>
    <w:docVar w:name="JobNo" w:val="0621522S"/>
    <w:docVar w:name="OandT" w:val=" "/>
    <w:docVar w:name="Symbol1" w:val="CEDAW/C/SR.708"/>
    <w:docVar w:name="Symbol2" w:val="-"/>
  </w:docVars>
  <w:rsids>
    <w:rsidRoot w:val="003865DB"/>
    <w:rsid w:val="001B0AEF"/>
    <w:rsid w:val="003865DB"/>
    <w:rsid w:val="003E169F"/>
    <w:rsid w:val="006C2BF9"/>
    <w:rsid w:val="00E639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3865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7334</Words>
  <Characters>37477</Characters>
  <Application>Microsoft Office Word</Application>
  <DocSecurity>4</DocSecurity>
  <Lines>892</Lines>
  <Paragraphs>84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Company>
  <LinksUpToDate>false</LinksUpToDate>
  <CharactersWithSpaces>44727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 Marina Cruz</dc:creator>
  <cp:keywords/>
  <dc:description/>
  <cp:lastModifiedBy>FALLA, Bertha</cp:lastModifiedBy>
  <cp:revision>6</cp:revision>
  <cp:lastPrinted>2006-04-07T07:26:00Z</cp:lastPrinted>
  <dcterms:created xsi:type="dcterms:W3CDTF">2006-04-07T07:25:00Z</dcterms:created>
  <dcterms:modified xsi:type="dcterms:W3CDTF">2006-04-07T07:29:00Z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0621522</vt:lpwstr>
  </property>
  <property fmtid="{D5CDD505-2E9C-101B-9397-08002B2CF9AE}" pid="3" name="Symbol1">
    <vt:lpwstr>CEDAW/C/SR.708</vt:lpwstr>
  </property>
  <property fmtid="{D5CDD505-2E9C-101B-9397-08002B2CF9AE}" pid="4" name="Symbol2">
    <vt:lpwstr/>
  </property>
  <property fmtid="{D5CDD505-2E9C-101B-9397-08002B2CF9AE}" pid="5" name="Translator">
    <vt:lpwstr/>
  </property>
  <property fmtid="{D5CDD505-2E9C-101B-9397-08002B2CF9AE}" pid="6" name="Comment">
    <vt:lpwstr>Archive</vt:lpwstr>
  </property>
  <property fmtid="{D5CDD505-2E9C-101B-9397-08002B2CF9AE}" pid="7" name="DraftPages">
    <vt:lpwstr> </vt:lpwstr>
  </property>
  <property fmtid="{D5CDD505-2E9C-101B-9397-08002B2CF9AE}" pid="8" name="Operator">
    <vt:lpwstr>bf</vt:lpwstr>
  </property>
</Properties>
</file>