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6046A" w14:textId="77777777" w:rsidR="002A0894" w:rsidRPr="00B608E0" w:rsidRDefault="002A0894" w:rsidP="002A0894">
      <w:pPr>
        <w:spacing w:line="240" w:lineRule="auto"/>
        <w:rPr>
          <w:sz w:val="2"/>
          <w:lang w:val="fr-FR"/>
        </w:rPr>
        <w:sectPr w:rsidR="002A0894" w:rsidRPr="00B608E0" w:rsidSect="00D758B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B608E0">
        <w:rPr>
          <w:rStyle w:val="CommentReference"/>
          <w:lang w:val="fr-FR"/>
        </w:rPr>
        <w:commentReference w:id="0"/>
      </w:r>
    </w:p>
    <w:p w14:paraId="19039F26" w14:textId="77777777" w:rsidR="00D758B6" w:rsidRPr="003977CF" w:rsidRDefault="00D758B6" w:rsidP="007E1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977CF">
        <w:rPr>
          <w:lang w:val="fr-FR"/>
        </w:rPr>
        <w:t xml:space="preserve">Comité pour l’élimination de la discrimination </w:t>
      </w:r>
      <w:r w:rsidRPr="003977CF">
        <w:rPr>
          <w:lang w:val="fr-FR"/>
        </w:rPr>
        <w:br/>
        <w:t>à l’égard des femmes</w:t>
      </w:r>
    </w:p>
    <w:p w14:paraId="64586553" w14:textId="7D9D9763" w:rsidR="000A1488" w:rsidRPr="003977CF" w:rsidRDefault="000A1488" w:rsidP="007E11C1">
      <w:pPr>
        <w:pStyle w:val="SingleTxt"/>
        <w:spacing w:after="0" w:line="120" w:lineRule="exact"/>
        <w:rPr>
          <w:sz w:val="10"/>
          <w:lang w:val="fr-FR"/>
        </w:rPr>
      </w:pPr>
    </w:p>
    <w:p w14:paraId="21C5B48B" w14:textId="104E6291" w:rsidR="007E11C1" w:rsidRPr="003977CF" w:rsidRDefault="007E11C1" w:rsidP="007E11C1">
      <w:pPr>
        <w:pStyle w:val="SingleTxt"/>
        <w:spacing w:after="0" w:line="120" w:lineRule="exact"/>
        <w:rPr>
          <w:sz w:val="10"/>
          <w:lang w:val="fr-FR"/>
        </w:rPr>
      </w:pPr>
    </w:p>
    <w:p w14:paraId="2A281B69" w14:textId="5FB0509A" w:rsidR="007E11C1" w:rsidRPr="003977CF" w:rsidRDefault="007E11C1" w:rsidP="007E11C1">
      <w:pPr>
        <w:pStyle w:val="SingleTxt"/>
        <w:spacing w:after="0" w:line="120" w:lineRule="exact"/>
        <w:rPr>
          <w:sz w:val="10"/>
          <w:lang w:val="fr-FR"/>
        </w:rPr>
      </w:pPr>
    </w:p>
    <w:p w14:paraId="3AFD2E33" w14:textId="4A240ECB" w:rsidR="00D758B6" w:rsidRPr="003977CF" w:rsidRDefault="00D758B6" w:rsidP="007E11C1">
      <w:pPr>
        <w:pStyle w:val="TitleHCH"/>
        <w:ind w:right="1260"/>
        <w:rPr>
          <w:lang w:val="fr-FR"/>
        </w:rPr>
      </w:pPr>
      <w:r w:rsidRPr="003977CF">
        <w:rPr>
          <w:lang w:val="fr-FR"/>
        </w:rPr>
        <w:tab/>
      </w:r>
      <w:r w:rsidRPr="003977CF">
        <w:rPr>
          <w:lang w:val="fr-FR"/>
        </w:rPr>
        <w:tab/>
        <w:t>Renseignements reçus du Zimbabwe au sujet de la suite donnée aux observations finales concernant son sixième rapport périodique</w:t>
      </w:r>
      <w:r w:rsidRPr="003977CF">
        <w:rPr>
          <w:b w:val="0"/>
          <w:sz w:val="20"/>
          <w:szCs w:val="20"/>
          <w:lang w:val="fr-FR"/>
        </w:rPr>
        <w:footnoteReference w:customMarkFollows="1" w:id="1"/>
        <w:t>*</w:t>
      </w:r>
    </w:p>
    <w:p w14:paraId="6779978D" w14:textId="6A935010" w:rsidR="001814F9" w:rsidRPr="003977CF" w:rsidRDefault="001814F9" w:rsidP="007E11C1">
      <w:pPr>
        <w:pStyle w:val="SingleTxt"/>
        <w:spacing w:after="0" w:line="120" w:lineRule="exact"/>
        <w:rPr>
          <w:sz w:val="10"/>
          <w:lang w:val="fr-FR"/>
        </w:rPr>
      </w:pPr>
    </w:p>
    <w:p w14:paraId="1DE2399D" w14:textId="37698E01" w:rsidR="00D758B6" w:rsidRPr="003977CF" w:rsidRDefault="00D758B6" w:rsidP="007E11C1">
      <w:pPr>
        <w:pStyle w:val="SingleTxt"/>
        <w:jc w:val="right"/>
        <w:rPr>
          <w:lang w:val="fr-FR"/>
        </w:rPr>
      </w:pPr>
      <w:r w:rsidRPr="003977CF">
        <w:rPr>
          <w:lang w:val="fr-FR"/>
        </w:rPr>
        <w:t>[Date de réception : 13 décembre 2022]</w:t>
      </w:r>
    </w:p>
    <w:p w14:paraId="2DEF51BC" w14:textId="6BE6EB9F" w:rsidR="001814F9" w:rsidRPr="003977CF" w:rsidRDefault="001814F9" w:rsidP="00EB24B2">
      <w:pPr>
        <w:pStyle w:val="SingleTxt"/>
        <w:rPr>
          <w:lang w:val="fr-FR"/>
        </w:rPr>
      </w:pPr>
    </w:p>
    <w:p w14:paraId="14EA354A" w14:textId="780B1B8A" w:rsidR="00EB24B2" w:rsidRPr="003977CF" w:rsidRDefault="00EB24B2">
      <w:pPr>
        <w:spacing w:after="160" w:line="259" w:lineRule="auto"/>
        <w:rPr>
          <w:lang w:val="fr-FR"/>
        </w:rPr>
      </w:pPr>
      <w:r w:rsidRPr="003977CF">
        <w:rPr>
          <w:lang w:val="fr-FR"/>
        </w:rPr>
        <w:br w:type="page"/>
      </w:r>
    </w:p>
    <w:p w14:paraId="0AC902C5" w14:textId="3EB7D83C" w:rsidR="00D758B6" w:rsidRPr="003977CF" w:rsidRDefault="00D758B6" w:rsidP="007E1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lastRenderedPageBreak/>
        <w:tab/>
        <w:t>I.</w:t>
      </w:r>
      <w:r w:rsidRPr="003977CF">
        <w:rPr>
          <w:lang w:val="fr-FR"/>
        </w:rPr>
        <w:tab/>
        <w:t>Introduction</w:t>
      </w:r>
    </w:p>
    <w:p w14:paraId="3DD5FFCB" w14:textId="6F708D44" w:rsidR="001814F9" w:rsidRPr="003977CF" w:rsidRDefault="001814F9" w:rsidP="007E11C1">
      <w:pPr>
        <w:pStyle w:val="SingleTxt"/>
        <w:spacing w:after="0" w:line="120" w:lineRule="exact"/>
        <w:rPr>
          <w:sz w:val="10"/>
          <w:lang w:val="fr-FR"/>
        </w:rPr>
      </w:pPr>
    </w:p>
    <w:p w14:paraId="4BE862A3" w14:textId="2D1CE7A6" w:rsidR="007E11C1" w:rsidRPr="003977CF" w:rsidRDefault="007E11C1" w:rsidP="007E11C1">
      <w:pPr>
        <w:pStyle w:val="SingleTxt"/>
        <w:spacing w:after="0" w:line="120" w:lineRule="exact"/>
        <w:rPr>
          <w:sz w:val="10"/>
          <w:lang w:val="fr-FR"/>
        </w:rPr>
      </w:pPr>
    </w:p>
    <w:p w14:paraId="5C7C0506" w14:textId="511F6E44" w:rsidR="00D758B6" w:rsidRPr="003977CF" w:rsidRDefault="00D758B6" w:rsidP="00EB24B2">
      <w:pPr>
        <w:pStyle w:val="SingleTxt"/>
        <w:numPr>
          <w:ilvl w:val="0"/>
          <w:numId w:val="27"/>
        </w:numPr>
        <w:tabs>
          <w:tab w:val="num" w:pos="2804"/>
        </w:tabs>
        <w:spacing w:line="240" w:lineRule="exact"/>
        <w:ind w:left="1267"/>
        <w:rPr>
          <w:lang w:val="fr-FR"/>
        </w:rPr>
      </w:pPr>
      <w:r w:rsidRPr="003977CF">
        <w:rPr>
          <w:lang w:val="fr-FR"/>
        </w:rPr>
        <w:t>Le Gouvernement du Zimbabwe demeure résolu à promouvoir l’égalité des genres et l’avancement des femmes et à agir pour l’élimination de la violence à l’égard des femmes et des filles. À cette fin, il continue de mettre en œuvre les dispositions des instruments régionaux et internationaux pertinents, notamment la Convention sur l’élimination de toutes les formes de discrimination à l’égard des femmes. Il a également inclus les dispositions de la Convention et d’autres instruments internationaux dans ses programmes, politiques et stratégies.</w:t>
      </w:r>
    </w:p>
    <w:p w14:paraId="1CD99FA2" w14:textId="77777777" w:rsidR="00D758B6" w:rsidRPr="003977CF" w:rsidRDefault="00D758B6" w:rsidP="00EB24B2">
      <w:pPr>
        <w:pStyle w:val="SingleTxt"/>
        <w:numPr>
          <w:ilvl w:val="0"/>
          <w:numId w:val="28"/>
        </w:numPr>
        <w:tabs>
          <w:tab w:val="num" w:pos="2804"/>
        </w:tabs>
        <w:spacing w:line="240" w:lineRule="exact"/>
        <w:ind w:left="1267"/>
        <w:rPr>
          <w:lang w:val="fr-FR"/>
        </w:rPr>
      </w:pPr>
      <w:r w:rsidRPr="003977CF">
        <w:rPr>
          <w:lang w:val="fr-FR"/>
        </w:rPr>
        <w:t>Il a présenté son sixième rapport périodique au Comité en février 2020. Celui-ci a formulé des recommandations à l’intention de l’État partie, que le Gouvernement s’emploie à mettre en œuvre. Il soumet le présent rapport de suivi en réponse à la demande formulée au paragraphe 57 de ses observations finales par le Comité, qui a prié le Zimbabwe de lui communiquer dans un délai de deux ans des informations sur les mesures qu’il aurait prises pour appliquer ses recommandations.</w:t>
      </w:r>
    </w:p>
    <w:p w14:paraId="3136761B" w14:textId="63127C44" w:rsidR="001814F9" w:rsidRPr="003977CF" w:rsidRDefault="001814F9" w:rsidP="007E11C1">
      <w:pPr>
        <w:pStyle w:val="SingleTxt"/>
        <w:spacing w:after="0" w:line="120" w:lineRule="exact"/>
        <w:rPr>
          <w:sz w:val="10"/>
          <w:lang w:val="fr-FR"/>
        </w:rPr>
      </w:pPr>
    </w:p>
    <w:p w14:paraId="57363809" w14:textId="56108A5C" w:rsidR="007E11C1" w:rsidRPr="003977CF" w:rsidRDefault="007E11C1" w:rsidP="007E11C1">
      <w:pPr>
        <w:pStyle w:val="SingleTxt"/>
        <w:spacing w:after="0" w:line="120" w:lineRule="exact"/>
        <w:rPr>
          <w:sz w:val="10"/>
          <w:lang w:val="fr-FR"/>
        </w:rPr>
      </w:pPr>
    </w:p>
    <w:p w14:paraId="63CDC545" w14:textId="55C2E776" w:rsidR="00D758B6" w:rsidRPr="003977CF" w:rsidRDefault="00D758B6" w:rsidP="007E1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tab/>
        <w:t>II.</w:t>
      </w:r>
      <w:r w:rsidRPr="003977CF">
        <w:rPr>
          <w:lang w:val="fr-FR"/>
        </w:rPr>
        <w:tab/>
        <w:t>Renseignements sur la suite donnée aux observations finales</w:t>
      </w:r>
    </w:p>
    <w:p w14:paraId="52DA437D" w14:textId="26A94EF4" w:rsidR="001814F9" w:rsidRPr="003977CF" w:rsidRDefault="001814F9" w:rsidP="007E11C1">
      <w:pPr>
        <w:pStyle w:val="SingleTxt"/>
        <w:spacing w:after="0" w:line="120" w:lineRule="exact"/>
        <w:rPr>
          <w:sz w:val="10"/>
          <w:lang w:val="fr-FR"/>
        </w:rPr>
      </w:pPr>
    </w:p>
    <w:p w14:paraId="4846B11F" w14:textId="5B05BADE" w:rsidR="007E11C1" w:rsidRPr="003977CF" w:rsidRDefault="007E11C1" w:rsidP="007E11C1">
      <w:pPr>
        <w:pStyle w:val="SingleTxt"/>
        <w:spacing w:after="0" w:line="120" w:lineRule="exact"/>
        <w:rPr>
          <w:sz w:val="10"/>
          <w:lang w:val="fr-FR"/>
        </w:rPr>
      </w:pPr>
    </w:p>
    <w:p w14:paraId="6815C37A" w14:textId="115DB44A" w:rsidR="00D758B6" w:rsidRPr="003977CF" w:rsidRDefault="00D758B6" w:rsidP="007E1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tab/>
      </w:r>
      <w:bookmarkStart w:id="1" w:name="_Hlk121843228"/>
      <w:r w:rsidRPr="003977CF">
        <w:rPr>
          <w:lang w:val="fr-FR"/>
        </w:rPr>
        <w:t>A.</w:t>
      </w:r>
      <w:r w:rsidRPr="003977CF">
        <w:rPr>
          <w:lang w:val="fr-FR"/>
        </w:rPr>
        <w:tab/>
        <w:t>Renseignements sur la suite donnée à la recommandation figurant à l’alinéa b) du paragraphe 18</w:t>
      </w:r>
      <w:bookmarkEnd w:id="1"/>
    </w:p>
    <w:p w14:paraId="53918446" w14:textId="50ECE70E" w:rsidR="001814F9" w:rsidRPr="003977CF" w:rsidRDefault="001814F9" w:rsidP="007E11C1">
      <w:pPr>
        <w:pStyle w:val="SingleTxt"/>
        <w:spacing w:after="0" w:line="120" w:lineRule="exact"/>
        <w:rPr>
          <w:sz w:val="10"/>
          <w:lang w:val="fr-FR"/>
        </w:rPr>
      </w:pPr>
    </w:p>
    <w:p w14:paraId="2B68E498" w14:textId="72167342" w:rsidR="007E11C1" w:rsidRPr="003977CF" w:rsidRDefault="007E11C1" w:rsidP="007E11C1">
      <w:pPr>
        <w:pStyle w:val="SingleTxt"/>
        <w:spacing w:after="0" w:line="120" w:lineRule="exact"/>
        <w:rPr>
          <w:sz w:val="10"/>
          <w:lang w:val="fr-FR"/>
        </w:rPr>
      </w:pPr>
    </w:p>
    <w:p w14:paraId="25F9103D" w14:textId="1A5BECA0" w:rsidR="00D758B6" w:rsidRPr="003977CF" w:rsidRDefault="00D758B6" w:rsidP="00EB24B2">
      <w:pPr>
        <w:pStyle w:val="SingleTxt"/>
        <w:numPr>
          <w:ilvl w:val="0"/>
          <w:numId w:val="28"/>
        </w:numPr>
        <w:spacing w:line="240" w:lineRule="exact"/>
        <w:ind w:left="1267"/>
        <w:rPr>
          <w:lang w:val="fr-FR"/>
        </w:rPr>
      </w:pPr>
      <w:r w:rsidRPr="003977CF">
        <w:rPr>
          <w:lang w:val="fr-FR"/>
        </w:rPr>
        <w:t>Le Gouvernement zimbabwéen a conscience de l’importance de la participation des femmes aux processus de paix, car elle garantit la viabilité des initiatives de règlement des conflits et de consolidation de la paix, sachant que chaque fois qu’un conflit survient, ses répercussions sur les hommes et les femmes sont différentes.</w:t>
      </w:r>
    </w:p>
    <w:p w14:paraId="5EF0C3BC" w14:textId="77777777" w:rsidR="00D758B6" w:rsidRPr="003977CF" w:rsidRDefault="00D758B6" w:rsidP="00EB24B2">
      <w:pPr>
        <w:pStyle w:val="SingleTxt"/>
        <w:numPr>
          <w:ilvl w:val="0"/>
          <w:numId w:val="28"/>
        </w:numPr>
        <w:spacing w:line="240" w:lineRule="exact"/>
        <w:ind w:left="1267"/>
        <w:rPr>
          <w:lang w:val="fr-FR"/>
        </w:rPr>
      </w:pPr>
      <w:r w:rsidRPr="003977CF">
        <w:rPr>
          <w:lang w:val="fr-FR"/>
        </w:rPr>
        <w:t>L’article 251 de la Constitution a porté création de la Commission nationale pour la paix et la réconciliation. Elle a pour mandat de gérer l’après-conflit, ainsi que de promouvoir la justice, l’apaisement et la réconciliation. Elle est composée de quatre femmes et de cinq hommes. Le pourcentage de représentation des femmes s’élève donc à 44,4 %, ce qui démontre la détermination du Gouvernement à faire participer les femmes au règlement des conflits. Son président est un homme et sa vice-présidente une femme, ce qui assure une représentation égale et équilibrée à l’échelon de la prise de décisions. Son organigramme comporte un Groupe des questions liées à l’appui aux victimes, à la problématique femmes-hommes et à la diversité. Cet axe thématique est l’assurance que les travaux de la Commission tiennent compte des questions de genre. La Commission a établi des comités pour la paix aux niveaux national, des provinces, des districts et des sous-districts (</w:t>
      </w:r>
      <w:r w:rsidRPr="003977CF">
        <w:rPr>
          <w:i/>
          <w:iCs/>
          <w:lang w:val="fr-FR"/>
        </w:rPr>
        <w:t>wards</w:t>
      </w:r>
      <w:r w:rsidRPr="003977CF">
        <w:rPr>
          <w:lang w:val="fr-FR"/>
        </w:rPr>
        <w:t>).</w:t>
      </w:r>
    </w:p>
    <w:p w14:paraId="5591D963" w14:textId="04133470" w:rsidR="00D758B6" w:rsidRPr="003977CF" w:rsidRDefault="00D758B6" w:rsidP="00EB24B2">
      <w:pPr>
        <w:pStyle w:val="SingleTxt"/>
        <w:numPr>
          <w:ilvl w:val="0"/>
          <w:numId w:val="28"/>
        </w:numPr>
        <w:spacing w:line="240" w:lineRule="exact"/>
        <w:ind w:left="1267"/>
        <w:rPr>
          <w:lang w:val="fr-FR"/>
        </w:rPr>
      </w:pPr>
      <w:r w:rsidRPr="003977CF">
        <w:rPr>
          <w:lang w:val="fr-FR"/>
        </w:rPr>
        <w:t>Des structures de consolidation de la paix ont été créées à l’échelon des provinces et à celui des districts : les comités de province et de district pour la paix. Ces comités s’articulent sur un dispositif qui permet l’inclusion et la participation réelle des femmes aux processus de consolidation de la paix. Les hommes et les femmes y sont représentés à parts égales à la présidence et à la vice-présidence et, globalement, ces comités comptent 171 femmes et 176</w:t>
      </w:r>
      <w:r w:rsidR="0096644B" w:rsidRPr="003977CF">
        <w:rPr>
          <w:lang w:val="fr-FR"/>
        </w:rPr>
        <w:t xml:space="preserve"> </w:t>
      </w:r>
      <w:r w:rsidRPr="003977CF">
        <w:rPr>
          <w:lang w:val="fr-FR"/>
        </w:rPr>
        <w:t>hommes (soit 49 % de femmes).</w:t>
      </w:r>
    </w:p>
    <w:p w14:paraId="574D9FDA" w14:textId="77777777" w:rsidR="00D758B6" w:rsidRPr="003977CF" w:rsidRDefault="00D758B6" w:rsidP="00EB24B2">
      <w:pPr>
        <w:pStyle w:val="SingleTxt"/>
        <w:numPr>
          <w:ilvl w:val="0"/>
          <w:numId w:val="28"/>
        </w:numPr>
        <w:spacing w:line="240" w:lineRule="exact"/>
        <w:ind w:left="1267"/>
        <w:rPr>
          <w:lang w:val="fr-FR"/>
        </w:rPr>
      </w:pPr>
      <w:r w:rsidRPr="003977CF">
        <w:rPr>
          <w:lang w:val="fr-FR"/>
        </w:rPr>
        <w:t>Les femmes qui prennent part aux activités de consolidation de la paix, notamment celles qui font partie des comités pour la paix, les médiatrices et les membres des réseaux de consolidatrices de la paix, continuent de se voir doter des moyens d’action voulus pour faire mieux entendre leur voix. Depuis 2020, des séries de formations ont été menées, qui ont porté sur la gestion des conflits soucieuse de la problématique femmes-hommes, la prévention, le règlement et la médiation, la problématique femmes-hommes et la paix positive, la problématique femmes-</w:t>
      </w:r>
      <w:r w:rsidRPr="003977CF">
        <w:rPr>
          <w:lang w:val="fr-FR"/>
        </w:rPr>
        <w:lastRenderedPageBreak/>
        <w:t>hommes et la justice transitionnelle. Ces formations ont été dispensées à 112 femmes, qui ont gagné en efficacité dans le cadre de leurs activités de promotion de la consolidation de la paix et de règlement des enjeux liés à la sécurité, mais aussi au stade de la prise de décisions relatives à la paix.</w:t>
      </w:r>
    </w:p>
    <w:p w14:paraId="57FA55D2" w14:textId="1C3EC70A" w:rsidR="00D758B6" w:rsidRPr="003977CF" w:rsidRDefault="00D758B6" w:rsidP="00EB24B2">
      <w:pPr>
        <w:pStyle w:val="SingleTxt"/>
        <w:numPr>
          <w:ilvl w:val="0"/>
          <w:numId w:val="28"/>
        </w:numPr>
        <w:spacing w:line="240" w:lineRule="exact"/>
        <w:ind w:left="1267"/>
        <w:rPr>
          <w:lang w:val="fr-FR"/>
        </w:rPr>
      </w:pPr>
      <w:r w:rsidRPr="003977CF">
        <w:rPr>
          <w:lang w:val="fr-FR"/>
        </w:rPr>
        <w:t>Par l’entremise de la Commission nationale pour la paix et la réconciliation, un système national d’alerte et d’intervention rapides en cas de conflit a été mis sur pied. Il s’agit d’un dispositif clé pour garantir la participation des femmes à la prévention des conflits. Les femmes et les organisations féminines contribuent au système en participant à des activités de suivi de la violence à l’égard des femmes pendant les conflits et en intervenant après coup</w:t>
      </w:r>
      <w:r w:rsidR="0096644B" w:rsidRPr="003977CF">
        <w:rPr>
          <w:lang w:val="fr-FR"/>
        </w:rPr>
        <w:t xml:space="preserve"> d</w:t>
      </w:r>
      <w:r w:rsidRPr="003977CF">
        <w:rPr>
          <w:lang w:val="fr-FR"/>
        </w:rPr>
        <w:t>’indicateurs clairs de la violence fondée sur le genre.</w:t>
      </w:r>
    </w:p>
    <w:p w14:paraId="39BB3B25" w14:textId="77777777" w:rsidR="00D758B6" w:rsidRPr="003977CF" w:rsidRDefault="00D758B6" w:rsidP="00EB24B2">
      <w:pPr>
        <w:pStyle w:val="SingleTxt"/>
        <w:numPr>
          <w:ilvl w:val="0"/>
          <w:numId w:val="28"/>
        </w:numPr>
        <w:spacing w:line="240" w:lineRule="exact"/>
        <w:ind w:left="1267"/>
        <w:rPr>
          <w:lang w:val="fr-FR"/>
        </w:rPr>
      </w:pPr>
      <w:r w:rsidRPr="003977CF">
        <w:rPr>
          <w:lang w:val="fr-FR"/>
        </w:rPr>
        <w:t>Avec l’appui des partenaires de développement, le Gouvernement a dispensé à des femmes des formations à la consolidation de la paix dans toutes les provinces. Ces formations étaient axées sur le renforcement des capacités des femmes de participer de manière effective aux processus de paix au niveau local. Il est prévu de développer encore ces formations pour en faire bénéficier davantage de femmes.</w:t>
      </w:r>
    </w:p>
    <w:p w14:paraId="5ED8DCD2" w14:textId="3312EEA9" w:rsidR="00D758B6" w:rsidRPr="003977CF" w:rsidRDefault="00D758B6" w:rsidP="00EB24B2">
      <w:pPr>
        <w:pStyle w:val="SingleTxt"/>
        <w:numPr>
          <w:ilvl w:val="0"/>
          <w:numId w:val="28"/>
        </w:numPr>
        <w:spacing w:line="240" w:lineRule="exact"/>
        <w:ind w:left="1267"/>
        <w:rPr>
          <w:lang w:val="fr-FR"/>
        </w:rPr>
      </w:pPr>
      <w:r w:rsidRPr="003977CF">
        <w:rPr>
          <w:lang w:val="fr-FR"/>
        </w:rPr>
        <w:t xml:space="preserve">Conscient de l’importance de la participation des femmes aux processus de paix, le Gouvernement travaille à l’établissement d’un plan d’action national pour la mise en œuvre de la résolution </w:t>
      </w:r>
      <w:hyperlink r:id="rId17" w:history="1">
        <w:r w:rsidRPr="003977CF">
          <w:rPr>
            <w:rStyle w:val="Hyperlink"/>
            <w:lang w:val="fr-FR"/>
          </w:rPr>
          <w:t>1325 (2000)</w:t>
        </w:r>
      </w:hyperlink>
      <w:r w:rsidRPr="003977CF">
        <w:rPr>
          <w:lang w:val="fr-FR"/>
        </w:rPr>
        <w:t xml:space="preserve"> du Conseil de sécurité. Ce plan d’action comprendra des directives pour l’exécution de programmes axés sur les secours et le relèvement, la protection et la prévention de la violence à l’égard des femmes et des filles, ainsi que pour l’amélioration, par l’État partie, de la participation des femmes aux processus de paix.</w:t>
      </w:r>
    </w:p>
    <w:p w14:paraId="409C5116" w14:textId="01D13B20" w:rsidR="00D758B6" w:rsidRPr="003977CF" w:rsidRDefault="00D758B6" w:rsidP="00EB24B2">
      <w:pPr>
        <w:pStyle w:val="SingleTxt"/>
        <w:numPr>
          <w:ilvl w:val="0"/>
          <w:numId w:val="28"/>
        </w:numPr>
        <w:spacing w:line="240" w:lineRule="exact"/>
        <w:ind w:left="1267"/>
        <w:rPr>
          <w:lang w:val="fr-FR"/>
        </w:rPr>
      </w:pPr>
      <w:r w:rsidRPr="003977CF">
        <w:rPr>
          <w:lang w:val="fr-FR"/>
        </w:rPr>
        <w:t>Depuis 2020, 77 officières ont été déployées dans diverses missions de maintien de la paix, qui constituent aujourd’hui 64 % de l’ensemble des officiers déployés dans ce contexte. Les forces de défense zimbabwéennes font en sorte que les femmes se voient accorder la priorité dans les missions de maintien de la paix, avec pour conséquence qu’elles sont désormais plus nombreuses à y exercer des fonctions, y</w:t>
      </w:r>
      <w:r w:rsidR="00B608E0">
        <w:rPr>
          <w:lang w:val="fr-FR"/>
        </w:rPr>
        <w:t> </w:t>
      </w:r>
      <w:r w:rsidRPr="003977CF">
        <w:rPr>
          <w:lang w:val="fr-FR"/>
        </w:rPr>
        <w:t>compris à des postes de responsable de la gestion du personnel militaire, de chef d’état-major de mission ou de spécialiste des questions de genre. Certaines de ces femmes excellent dans leurs fonctions, comme la commandante Winnet Zharare, qui s’est vu décerner, en 2021, le prix des Nations</w:t>
      </w:r>
      <w:r w:rsidR="00B608E0">
        <w:rPr>
          <w:lang w:val="fr-FR"/>
        </w:rPr>
        <w:t xml:space="preserve"> </w:t>
      </w:r>
      <w:r w:rsidRPr="003977CF">
        <w:rPr>
          <w:lang w:val="fr-FR"/>
        </w:rPr>
        <w:t>Unies récompensant le ou la militaire s’étant le mieux illustré(e) dans la défense de l’égalité des genres.</w:t>
      </w:r>
    </w:p>
    <w:p w14:paraId="0373FACA" w14:textId="5A19EE12" w:rsidR="001814F9" w:rsidRPr="003977CF" w:rsidRDefault="001814F9" w:rsidP="00EB24B2">
      <w:pPr>
        <w:pStyle w:val="SingleTxt"/>
        <w:spacing w:after="0" w:line="120" w:lineRule="exact"/>
        <w:rPr>
          <w:sz w:val="10"/>
          <w:lang w:val="fr-FR"/>
        </w:rPr>
      </w:pPr>
    </w:p>
    <w:p w14:paraId="2FCF20F3" w14:textId="382FE025" w:rsidR="00EB24B2" w:rsidRPr="003977CF" w:rsidRDefault="00EB24B2" w:rsidP="00EB24B2">
      <w:pPr>
        <w:pStyle w:val="SingleTxt"/>
        <w:spacing w:after="0" w:line="120" w:lineRule="exact"/>
        <w:rPr>
          <w:sz w:val="10"/>
          <w:lang w:val="fr-FR"/>
        </w:rPr>
      </w:pPr>
    </w:p>
    <w:p w14:paraId="47DF88F1" w14:textId="6A9223CA" w:rsidR="00D758B6" w:rsidRPr="003977CF" w:rsidRDefault="00D758B6" w:rsidP="00EB2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tab/>
        <w:t>B.</w:t>
      </w:r>
      <w:r w:rsidRPr="003977CF">
        <w:rPr>
          <w:lang w:val="fr-FR"/>
        </w:rPr>
        <w:tab/>
        <w:t>Renseignements sur la suite donnée à la recommandation figurant à l’alinéa b) du paragraphe 28</w:t>
      </w:r>
    </w:p>
    <w:p w14:paraId="38B0AF46" w14:textId="42A6E239" w:rsidR="001814F9" w:rsidRPr="003977CF" w:rsidRDefault="001814F9" w:rsidP="00EB24B2">
      <w:pPr>
        <w:pStyle w:val="SingleTxt"/>
        <w:spacing w:after="0" w:line="120" w:lineRule="exact"/>
        <w:rPr>
          <w:sz w:val="10"/>
          <w:lang w:val="fr-FR"/>
        </w:rPr>
      </w:pPr>
      <w:bookmarkStart w:id="2" w:name="_Hlk103541040"/>
    </w:p>
    <w:p w14:paraId="17418571" w14:textId="47A906A2" w:rsidR="00EB24B2" w:rsidRPr="003977CF" w:rsidRDefault="00EB24B2" w:rsidP="00EB24B2">
      <w:pPr>
        <w:pStyle w:val="SingleTxt"/>
        <w:spacing w:after="0" w:line="120" w:lineRule="exact"/>
        <w:rPr>
          <w:sz w:val="10"/>
          <w:lang w:val="fr-FR"/>
        </w:rPr>
      </w:pPr>
    </w:p>
    <w:p w14:paraId="6595581F" w14:textId="1368DB45" w:rsidR="00D758B6" w:rsidRPr="003977CF" w:rsidRDefault="00D758B6" w:rsidP="00EB24B2">
      <w:pPr>
        <w:pStyle w:val="SingleTxt"/>
        <w:numPr>
          <w:ilvl w:val="0"/>
          <w:numId w:val="28"/>
        </w:numPr>
        <w:tabs>
          <w:tab w:val="num" w:pos="2804"/>
        </w:tabs>
        <w:spacing w:line="240" w:lineRule="exact"/>
        <w:ind w:left="1267"/>
        <w:rPr>
          <w:lang w:val="fr-FR"/>
        </w:rPr>
      </w:pPr>
      <w:r w:rsidRPr="003977CF">
        <w:rPr>
          <w:lang w:val="fr-FR"/>
        </w:rPr>
        <w:t>Le Comité est informé que la violence fondée sur le genre reste l’un des principaux défis avec lesquels le Gouvernement zimbabwéen est aux prises. Les pratiques et croyances néfastes, dont les effets délétères sont exacerbés par les situations qui posent des problèmes sur le plan humanitaire, comme la pandémie de COVID-19, les cyclones et les sécheresses, sont les principales causes de ce type de violence. Le Gouvernement continue de mettre en place des dispositifs visant à encourager les femmes à signaler aux autorités les actes de violence fondée sur le genre sans craindre de conséquences négatives pour leur vie sociale.</w:t>
      </w:r>
    </w:p>
    <w:p w14:paraId="2D627D8C" w14:textId="77777777" w:rsidR="00D758B6" w:rsidRPr="003977CF" w:rsidRDefault="00D758B6" w:rsidP="00EB24B2">
      <w:pPr>
        <w:pStyle w:val="SingleTxt"/>
        <w:numPr>
          <w:ilvl w:val="0"/>
          <w:numId w:val="28"/>
        </w:numPr>
        <w:spacing w:line="240" w:lineRule="exact"/>
        <w:ind w:left="1267"/>
        <w:rPr>
          <w:lang w:val="fr-FR"/>
        </w:rPr>
      </w:pPr>
      <w:r w:rsidRPr="003977CF">
        <w:rPr>
          <w:lang w:val="fr-FR"/>
        </w:rPr>
        <w:t xml:space="preserve">L’État partie mène des campagnes de sensibilisation à tous les niveaux, en utilisant de multiples médias pour appeler l’attention des communautés, en particulier des femmes et des filles, sur la violence fondée sur le genre et sur la nécessité de signaler les actes qui en relèvent. Ces campagnes s’attachent aussi à montrer ce qu’est réellement la violence fondée sur le genre et à faire connaître le cadre juridique applicable à ce type d’infraction, ainsi que les services d’orientation mis à la </w:t>
      </w:r>
      <w:r w:rsidRPr="003977CF">
        <w:rPr>
          <w:lang w:val="fr-FR"/>
        </w:rPr>
        <w:lastRenderedPageBreak/>
        <w:t>disposition des victimes ; elles donnent aussi des indications quant à la disponibilité et à la nature des services de soins dont peuvent bénéficier les personnes ayant survécu à un acte de violence fondée sur le genre. Au cours de l’année 2021, 4 348 campagnes de sensibilisation de ce type ont été menées. En 2022, on en a dénombré 3 239.</w:t>
      </w:r>
    </w:p>
    <w:p w14:paraId="367726FF" w14:textId="71254F42" w:rsidR="00D758B6" w:rsidRPr="003977CF" w:rsidRDefault="00D758B6" w:rsidP="00EB24B2">
      <w:pPr>
        <w:pStyle w:val="SingleTxt"/>
        <w:numPr>
          <w:ilvl w:val="0"/>
          <w:numId w:val="28"/>
        </w:numPr>
        <w:spacing w:line="240" w:lineRule="exact"/>
        <w:ind w:left="1267"/>
        <w:rPr>
          <w:lang w:val="fr-FR"/>
        </w:rPr>
      </w:pPr>
      <w:r w:rsidRPr="003977CF">
        <w:rPr>
          <w:lang w:val="fr-FR"/>
        </w:rPr>
        <w:t>Dans les provinces, l’État partie a mis en place des centres polyvalents qui proposent des services aux personnes ayant survécu à des actes de violence. Ces centres, respectueux de la confidentialité et dans lesquels règne une atmosphère bienveillante, encouragent ces personnes à signaler les actes dont elles ont été victimes. Ils fournissent des services de santé, juridiques, de police et psychosociaux. À ce jour, sept centres de ce type ont été établis dans six provinces et, en 2021, ils ont proposé des services à 7</w:t>
      </w:r>
      <w:r w:rsidR="00B608E0">
        <w:rPr>
          <w:lang w:val="fr-FR"/>
        </w:rPr>
        <w:t> </w:t>
      </w:r>
      <w:r w:rsidRPr="003977CF">
        <w:rPr>
          <w:lang w:val="fr-FR"/>
        </w:rPr>
        <w:t>392</w:t>
      </w:r>
      <w:r w:rsidR="00B608E0">
        <w:rPr>
          <w:lang w:val="fr-FR"/>
        </w:rPr>
        <w:t xml:space="preserve"> </w:t>
      </w:r>
      <w:r w:rsidRPr="003977CF">
        <w:rPr>
          <w:lang w:val="fr-FR"/>
        </w:rPr>
        <w:t>femmes. Pour compléter les structures fixes, des centres itinérants ont été mis en place par le Gouvernement, avec l’assistance des partenaires de développement. Les centres polyvalents itinérants fournissent des services aux personnes ayant survécu à des actes de violence fondée sur le genre dans leur zone de résidence. Leur fonctionnement est assuré par diverses organisations de la société civile (OSC).</w:t>
      </w:r>
    </w:p>
    <w:p w14:paraId="141FD4E3" w14:textId="77777777" w:rsidR="00D758B6" w:rsidRPr="003977CF" w:rsidRDefault="00D758B6" w:rsidP="00EB24B2">
      <w:pPr>
        <w:pStyle w:val="SingleTxt"/>
        <w:numPr>
          <w:ilvl w:val="0"/>
          <w:numId w:val="28"/>
        </w:numPr>
        <w:spacing w:line="240" w:lineRule="exact"/>
        <w:ind w:left="1267"/>
        <w:rPr>
          <w:lang w:val="fr-FR"/>
        </w:rPr>
      </w:pPr>
      <w:r w:rsidRPr="003977CF">
        <w:rPr>
          <w:lang w:val="fr-FR"/>
        </w:rPr>
        <w:t>Avec les partenaires de développement, le Gouvernement a installé des refuges sécurisés qui peuvent accueillir temporairement des femmes ayant survécu à des actes de violence fondée sur le genre et leur prêter assistance pour déposer plainte et engager des poursuites ; elles bénéficient d’un suivi jusqu’à ce que leur dossier soit clos, et qu’elles puissent regagner leurs communautés respectives. Ces hébergements sont devenus pour les femmes des lieux sûrs où elles peuvent résider le temps que les poursuites judiciaires soient menées à bonne fin, et où elles peuvent aussi acquérir des compétences qui leur donnent les moyens de s’engager dans des activités génératrices de revenus lorsqu’elles se réinsèrent dans la société.</w:t>
      </w:r>
    </w:p>
    <w:p w14:paraId="2436D08C" w14:textId="77777777" w:rsidR="00D758B6" w:rsidRPr="003977CF" w:rsidRDefault="00D758B6" w:rsidP="00EB24B2">
      <w:pPr>
        <w:pStyle w:val="SingleTxt"/>
        <w:numPr>
          <w:ilvl w:val="0"/>
          <w:numId w:val="28"/>
        </w:numPr>
        <w:spacing w:line="240" w:lineRule="exact"/>
        <w:ind w:left="1267"/>
        <w:rPr>
          <w:lang w:val="fr-FR"/>
        </w:rPr>
      </w:pPr>
      <w:r w:rsidRPr="003977CF">
        <w:rPr>
          <w:lang w:val="fr-FR"/>
        </w:rPr>
        <w:t>Dans tous les postes de police, le Gouvernement a mis en place des unités qui sont à l’écoute des victimes, ce qui facilite le signalement des actes de violence fondée sur le genre, dans le respect de la confidentialité et dans des conditions adaptées. Ces unités sont animées par un personnel formé à la gestion des cas de violence fondée sur le genre et qui veille à ce que les survivantes ne soient pas soumises à d’autres formes de harcèlement.</w:t>
      </w:r>
    </w:p>
    <w:p w14:paraId="65EB5AA8" w14:textId="5DC76884" w:rsidR="00D758B6" w:rsidRPr="003977CF" w:rsidRDefault="00D758B6" w:rsidP="00EB24B2">
      <w:pPr>
        <w:pStyle w:val="SingleTxt"/>
        <w:numPr>
          <w:ilvl w:val="0"/>
          <w:numId w:val="28"/>
        </w:numPr>
        <w:spacing w:line="240" w:lineRule="exact"/>
        <w:ind w:left="1267"/>
        <w:rPr>
          <w:lang w:val="fr-FR"/>
        </w:rPr>
      </w:pPr>
      <w:r w:rsidRPr="003977CF">
        <w:rPr>
          <w:lang w:val="fr-FR"/>
        </w:rPr>
        <w:t>En partenariat avec les partenaires de développement et les organisations de la société civile, le Gouvernement a mis en place des numéros d’appel gratuit pour que les cas de violence fondée sur le genre puissent être signalés rapidement, en toute sûreté et de manière confidentielle. Entre janvier 2020 et juillet 2022, 104 004 affaires ont ainsi été signalées.</w:t>
      </w:r>
    </w:p>
    <w:p w14:paraId="7AB6BB1B" w14:textId="77777777" w:rsidR="00B54F53" w:rsidRPr="003977CF" w:rsidRDefault="00B54F53" w:rsidP="00B54F53">
      <w:pPr>
        <w:pStyle w:val="SingleTxt"/>
        <w:spacing w:after="0" w:line="120" w:lineRule="exact"/>
        <w:rPr>
          <w:bCs/>
          <w:i/>
          <w:sz w:val="10"/>
          <w:lang w:val="fr-FR"/>
        </w:rPr>
      </w:pPr>
    </w:p>
    <w:p w14:paraId="46017688" w14:textId="3F5E9528" w:rsidR="00B54F53" w:rsidRPr="003977CF" w:rsidRDefault="00B54F53" w:rsidP="00B54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tab/>
      </w:r>
      <w:r w:rsidRPr="003977CF">
        <w:rPr>
          <w:lang w:val="fr-FR"/>
        </w:rPr>
        <w:tab/>
      </w:r>
      <w:r w:rsidRPr="003977CF">
        <w:rPr>
          <w:lang w:val="fr-FR"/>
        </w:rPr>
        <w:t>Statistiques mensuelles indiquant le nombre de survivantes ayant utilisé les</w:t>
      </w:r>
      <w:r w:rsidRPr="003977CF">
        <w:rPr>
          <w:lang w:val="fr-FR"/>
        </w:rPr>
        <w:t> </w:t>
      </w:r>
      <w:r w:rsidRPr="003977CF">
        <w:rPr>
          <w:lang w:val="fr-FR"/>
        </w:rPr>
        <w:t>services fournis au moyen des permanences téléphoniques gratuites</w:t>
      </w:r>
    </w:p>
    <w:p w14:paraId="6B51AE4D" w14:textId="4CF2BA68" w:rsidR="001814F9" w:rsidRPr="003977CF" w:rsidRDefault="001814F9" w:rsidP="003977CF">
      <w:pPr>
        <w:pStyle w:val="SingleTxt"/>
        <w:spacing w:after="0" w:line="120" w:lineRule="exact"/>
        <w:rPr>
          <w:sz w:val="10"/>
          <w:lang w:val="fr-FR"/>
        </w:rPr>
      </w:pPr>
    </w:p>
    <w:p w14:paraId="16E60EE3" w14:textId="77777777" w:rsidR="00285F28" w:rsidRPr="003977CF" w:rsidRDefault="00285F28" w:rsidP="00EB24B2">
      <w:pPr>
        <w:pStyle w:val="SingleTxt"/>
        <w:spacing w:after="0" w:line="120" w:lineRule="exact"/>
        <w:rPr>
          <w:sz w:val="10"/>
          <w:lang w:val="fr-FR"/>
        </w:rPr>
      </w:pPr>
    </w:p>
    <w:tbl>
      <w:tblPr>
        <w:tblStyle w:val="TableGrid"/>
        <w:tblW w:w="728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0"/>
        <w:gridCol w:w="560"/>
        <w:gridCol w:w="560"/>
        <w:gridCol w:w="560"/>
        <w:gridCol w:w="561"/>
        <w:gridCol w:w="560"/>
        <w:gridCol w:w="560"/>
        <w:gridCol w:w="560"/>
        <w:gridCol w:w="561"/>
        <w:gridCol w:w="560"/>
        <w:gridCol w:w="560"/>
        <w:gridCol w:w="560"/>
        <w:gridCol w:w="561"/>
      </w:tblGrid>
      <w:tr w:rsidR="00B608E0" w:rsidRPr="003977CF" w14:paraId="0CCEFB12" w14:textId="77777777" w:rsidTr="003977CF">
        <w:trPr>
          <w:tblHeader/>
        </w:trPr>
        <w:tc>
          <w:tcPr>
            <w:tcW w:w="560" w:type="dxa"/>
            <w:tcBorders>
              <w:top w:val="single" w:sz="4" w:space="0" w:color="auto"/>
              <w:bottom w:val="single" w:sz="12" w:space="0" w:color="auto"/>
            </w:tcBorders>
            <w:shd w:val="clear" w:color="auto" w:fill="auto"/>
            <w:vAlign w:val="bottom"/>
          </w:tcPr>
          <w:p w14:paraId="1101CA08" w14:textId="77777777" w:rsidR="00D758B6" w:rsidRPr="003977CF" w:rsidRDefault="00D758B6" w:rsidP="00EB24B2">
            <w:pPr>
              <w:suppressAutoHyphens/>
              <w:spacing w:before="81" w:after="81" w:line="160" w:lineRule="exact"/>
              <w:ind w:right="40"/>
              <w:rPr>
                <w:i/>
                <w:sz w:val="14"/>
                <w:lang w:val="fr-FR"/>
              </w:rPr>
            </w:pPr>
            <w:r w:rsidRPr="003977CF">
              <w:rPr>
                <w:i/>
                <w:sz w:val="14"/>
                <w:lang w:val="fr-FR"/>
              </w:rPr>
              <w:t>Année</w:t>
            </w:r>
          </w:p>
        </w:tc>
        <w:tc>
          <w:tcPr>
            <w:tcW w:w="560" w:type="dxa"/>
            <w:tcBorders>
              <w:top w:val="single" w:sz="4" w:space="0" w:color="auto"/>
              <w:bottom w:val="single" w:sz="12" w:space="0" w:color="auto"/>
            </w:tcBorders>
            <w:shd w:val="clear" w:color="auto" w:fill="auto"/>
            <w:vAlign w:val="bottom"/>
          </w:tcPr>
          <w:p w14:paraId="0CB05712" w14:textId="2A8CF4E0"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Janv</w:t>
            </w:r>
            <w:r w:rsidR="00B608E0" w:rsidRPr="003977CF">
              <w:rPr>
                <w:i/>
                <w:sz w:val="14"/>
                <w:lang w:val="fr-FR"/>
              </w:rPr>
              <w:t>.</w:t>
            </w:r>
          </w:p>
        </w:tc>
        <w:tc>
          <w:tcPr>
            <w:tcW w:w="560" w:type="dxa"/>
            <w:tcBorders>
              <w:top w:val="single" w:sz="4" w:space="0" w:color="auto"/>
              <w:bottom w:val="single" w:sz="12" w:space="0" w:color="auto"/>
            </w:tcBorders>
            <w:shd w:val="clear" w:color="auto" w:fill="auto"/>
            <w:vAlign w:val="bottom"/>
          </w:tcPr>
          <w:p w14:paraId="64090FEC" w14:textId="7C9B0AF1"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Févr</w:t>
            </w:r>
            <w:r w:rsidR="00B608E0" w:rsidRPr="003977CF">
              <w:rPr>
                <w:i/>
                <w:sz w:val="14"/>
                <w:lang w:val="fr-FR"/>
              </w:rPr>
              <w:t>.</w:t>
            </w:r>
            <w:r w:rsidRPr="003977CF">
              <w:rPr>
                <w:i/>
                <w:sz w:val="14"/>
                <w:lang w:val="fr-FR"/>
              </w:rPr>
              <w:t xml:space="preserve"> </w:t>
            </w:r>
          </w:p>
        </w:tc>
        <w:tc>
          <w:tcPr>
            <w:tcW w:w="560" w:type="dxa"/>
            <w:tcBorders>
              <w:top w:val="single" w:sz="4" w:space="0" w:color="auto"/>
              <w:bottom w:val="single" w:sz="12" w:space="0" w:color="auto"/>
            </w:tcBorders>
            <w:shd w:val="clear" w:color="auto" w:fill="auto"/>
            <w:vAlign w:val="bottom"/>
          </w:tcPr>
          <w:p w14:paraId="4AB4CE64" w14:textId="77777777"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Mars</w:t>
            </w:r>
          </w:p>
        </w:tc>
        <w:tc>
          <w:tcPr>
            <w:tcW w:w="561" w:type="dxa"/>
            <w:tcBorders>
              <w:top w:val="single" w:sz="4" w:space="0" w:color="auto"/>
              <w:bottom w:val="single" w:sz="12" w:space="0" w:color="auto"/>
            </w:tcBorders>
            <w:shd w:val="clear" w:color="auto" w:fill="auto"/>
            <w:vAlign w:val="bottom"/>
          </w:tcPr>
          <w:p w14:paraId="155E9D42" w14:textId="77777777"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Avril</w:t>
            </w:r>
          </w:p>
        </w:tc>
        <w:tc>
          <w:tcPr>
            <w:tcW w:w="560" w:type="dxa"/>
            <w:tcBorders>
              <w:top w:val="single" w:sz="4" w:space="0" w:color="auto"/>
              <w:bottom w:val="single" w:sz="12" w:space="0" w:color="auto"/>
            </w:tcBorders>
            <w:shd w:val="clear" w:color="auto" w:fill="auto"/>
            <w:vAlign w:val="bottom"/>
          </w:tcPr>
          <w:p w14:paraId="69C3B907" w14:textId="77777777"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Mai</w:t>
            </w:r>
          </w:p>
        </w:tc>
        <w:tc>
          <w:tcPr>
            <w:tcW w:w="560" w:type="dxa"/>
            <w:tcBorders>
              <w:top w:val="single" w:sz="4" w:space="0" w:color="auto"/>
              <w:bottom w:val="single" w:sz="12" w:space="0" w:color="auto"/>
            </w:tcBorders>
            <w:shd w:val="clear" w:color="auto" w:fill="auto"/>
            <w:vAlign w:val="bottom"/>
          </w:tcPr>
          <w:p w14:paraId="149E2966" w14:textId="77777777"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Juin</w:t>
            </w:r>
          </w:p>
        </w:tc>
        <w:tc>
          <w:tcPr>
            <w:tcW w:w="560" w:type="dxa"/>
            <w:tcBorders>
              <w:top w:val="single" w:sz="4" w:space="0" w:color="auto"/>
              <w:bottom w:val="single" w:sz="12" w:space="0" w:color="auto"/>
            </w:tcBorders>
            <w:shd w:val="clear" w:color="auto" w:fill="auto"/>
            <w:vAlign w:val="bottom"/>
          </w:tcPr>
          <w:p w14:paraId="12A6D818" w14:textId="62FFAA06"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Juill</w:t>
            </w:r>
            <w:r w:rsidR="00B608E0" w:rsidRPr="003977CF">
              <w:rPr>
                <w:i/>
                <w:sz w:val="14"/>
                <w:lang w:val="fr-FR"/>
              </w:rPr>
              <w:t>.</w:t>
            </w:r>
          </w:p>
        </w:tc>
        <w:tc>
          <w:tcPr>
            <w:tcW w:w="561" w:type="dxa"/>
            <w:tcBorders>
              <w:top w:val="single" w:sz="4" w:space="0" w:color="auto"/>
              <w:bottom w:val="single" w:sz="12" w:space="0" w:color="auto"/>
            </w:tcBorders>
            <w:shd w:val="clear" w:color="auto" w:fill="auto"/>
            <w:vAlign w:val="bottom"/>
          </w:tcPr>
          <w:p w14:paraId="25BCC060" w14:textId="77777777"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Août</w:t>
            </w:r>
          </w:p>
        </w:tc>
        <w:tc>
          <w:tcPr>
            <w:tcW w:w="560" w:type="dxa"/>
            <w:tcBorders>
              <w:top w:val="single" w:sz="4" w:space="0" w:color="auto"/>
              <w:bottom w:val="single" w:sz="12" w:space="0" w:color="auto"/>
            </w:tcBorders>
            <w:shd w:val="clear" w:color="auto" w:fill="auto"/>
            <w:vAlign w:val="bottom"/>
          </w:tcPr>
          <w:p w14:paraId="552CEA6E" w14:textId="052A865E"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Sept</w:t>
            </w:r>
            <w:r w:rsidR="00B608E0" w:rsidRPr="003977CF">
              <w:rPr>
                <w:i/>
                <w:sz w:val="14"/>
                <w:lang w:val="fr-FR"/>
              </w:rPr>
              <w:t>.</w:t>
            </w:r>
          </w:p>
        </w:tc>
        <w:tc>
          <w:tcPr>
            <w:tcW w:w="560" w:type="dxa"/>
            <w:tcBorders>
              <w:top w:val="single" w:sz="4" w:space="0" w:color="auto"/>
              <w:bottom w:val="single" w:sz="12" w:space="0" w:color="auto"/>
            </w:tcBorders>
            <w:shd w:val="clear" w:color="auto" w:fill="auto"/>
            <w:vAlign w:val="bottom"/>
          </w:tcPr>
          <w:p w14:paraId="372A69B5" w14:textId="4B7183FD"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Oct</w:t>
            </w:r>
            <w:r w:rsidR="00B608E0" w:rsidRPr="003977CF">
              <w:rPr>
                <w:i/>
                <w:sz w:val="14"/>
                <w:lang w:val="fr-FR"/>
              </w:rPr>
              <w:t>.</w:t>
            </w:r>
          </w:p>
        </w:tc>
        <w:tc>
          <w:tcPr>
            <w:tcW w:w="560" w:type="dxa"/>
            <w:tcBorders>
              <w:top w:val="single" w:sz="4" w:space="0" w:color="auto"/>
              <w:bottom w:val="single" w:sz="12" w:space="0" w:color="auto"/>
            </w:tcBorders>
            <w:shd w:val="clear" w:color="auto" w:fill="auto"/>
            <w:vAlign w:val="bottom"/>
          </w:tcPr>
          <w:p w14:paraId="7126263C" w14:textId="5CE15175"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Nov</w:t>
            </w:r>
            <w:r w:rsidR="00B608E0" w:rsidRPr="003977CF">
              <w:rPr>
                <w:i/>
                <w:sz w:val="14"/>
                <w:lang w:val="fr-FR"/>
              </w:rPr>
              <w:t>.</w:t>
            </w:r>
            <w:r w:rsidRPr="003977CF">
              <w:rPr>
                <w:i/>
                <w:sz w:val="14"/>
                <w:lang w:val="fr-FR"/>
              </w:rPr>
              <w:t xml:space="preserve"> </w:t>
            </w:r>
          </w:p>
        </w:tc>
        <w:tc>
          <w:tcPr>
            <w:tcW w:w="561" w:type="dxa"/>
            <w:tcBorders>
              <w:top w:val="single" w:sz="4" w:space="0" w:color="auto"/>
              <w:bottom w:val="single" w:sz="12" w:space="0" w:color="auto"/>
            </w:tcBorders>
            <w:shd w:val="clear" w:color="auto" w:fill="auto"/>
            <w:vAlign w:val="bottom"/>
          </w:tcPr>
          <w:p w14:paraId="5F95B1B3" w14:textId="2DE9432F" w:rsidR="00D758B6" w:rsidRPr="003977CF" w:rsidRDefault="00D758B6" w:rsidP="00EB24B2">
            <w:pPr>
              <w:suppressAutoHyphens/>
              <w:spacing w:before="81" w:after="81" w:line="160" w:lineRule="exact"/>
              <w:ind w:right="43"/>
              <w:jc w:val="right"/>
              <w:rPr>
                <w:i/>
                <w:sz w:val="14"/>
                <w:lang w:val="fr-FR"/>
              </w:rPr>
            </w:pPr>
            <w:r w:rsidRPr="003977CF">
              <w:rPr>
                <w:i/>
                <w:sz w:val="14"/>
                <w:lang w:val="fr-FR"/>
              </w:rPr>
              <w:t>Déc</w:t>
            </w:r>
            <w:r w:rsidR="00B608E0" w:rsidRPr="003977CF">
              <w:rPr>
                <w:i/>
                <w:sz w:val="14"/>
                <w:lang w:val="fr-FR"/>
              </w:rPr>
              <w:t>.</w:t>
            </w:r>
          </w:p>
        </w:tc>
      </w:tr>
      <w:tr w:rsidR="00B608E0" w:rsidRPr="003977CF" w14:paraId="75ADB38C" w14:textId="77777777" w:rsidTr="003977CF">
        <w:trPr>
          <w:trHeight w:hRule="exact" w:val="115"/>
          <w:tblHeader/>
        </w:trPr>
        <w:tc>
          <w:tcPr>
            <w:tcW w:w="560" w:type="dxa"/>
            <w:tcBorders>
              <w:top w:val="single" w:sz="12" w:space="0" w:color="auto"/>
            </w:tcBorders>
            <w:shd w:val="clear" w:color="auto" w:fill="auto"/>
            <w:vAlign w:val="bottom"/>
          </w:tcPr>
          <w:p w14:paraId="64EAD2A6" w14:textId="77777777" w:rsidR="00EB24B2" w:rsidRPr="003977CF" w:rsidRDefault="00EB24B2" w:rsidP="00EB24B2">
            <w:pPr>
              <w:suppressAutoHyphens/>
              <w:spacing w:before="40" w:after="40" w:line="210" w:lineRule="exact"/>
              <w:ind w:right="40"/>
              <w:rPr>
                <w:sz w:val="17"/>
                <w:lang w:val="fr-FR"/>
              </w:rPr>
            </w:pPr>
          </w:p>
        </w:tc>
        <w:tc>
          <w:tcPr>
            <w:tcW w:w="560" w:type="dxa"/>
            <w:tcBorders>
              <w:top w:val="single" w:sz="12" w:space="0" w:color="auto"/>
            </w:tcBorders>
            <w:shd w:val="clear" w:color="auto" w:fill="auto"/>
            <w:vAlign w:val="bottom"/>
          </w:tcPr>
          <w:p w14:paraId="1FA00858"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596CC9DF"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3D8948CD" w14:textId="77777777" w:rsidR="00EB24B2" w:rsidRPr="003977CF" w:rsidRDefault="00EB24B2" w:rsidP="00EB24B2">
            <w:pPr>
              <w:suppressAutoHyphens/>
              <w:spacing w:before="40" w:after="40" w:line="210" w:lineRule="exact"/>
              <w:ind w:right="43"/>
              <w:jc w:val="right"/>
              <w:rPr>
                <w:sz w:val="17"/>
                <w:lang w:val="fr-FR"/>
              </w:rPr>
            </w:pPr>
          </w:p>
        </w:tc>
        <w:tc>
          <w:tcPr>
            <w:tcW w:w="561" w:type="dxa"/>
            <w:tcBorders>
              <w:top w:val="single" w:sz="12" w:space="0" w:color="auto"/>
            </w:tcBorders>
            <w:shd w:val="clear" w:color="auto" w:fill="auto"/>
            <w:vAlign w:val="bottom"/>
          </w:tcPr>
          <w:p w14:paraId="56BAC3AD"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55F1B091"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340F9A05"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55948882" w14:textId="77777777" w:rsidR="00EB24B2" w:rsidRPr="003977CF" w:rsidRDefault="00EB24B2" w:rsidP="00EB24B2">
            <w:pPr>
              <w:suppressAutoHyphens/>
              <w:spacing w:before="40" w:after="40" w:line="210" w:lineRule="exact"/>
              <w:ind w:right="43"/>
              <w:jc w:val="right"/>
              <w:rPr>
                <w:sz w:val="17"/>
                <w:lang w:val="fr-FR"/>
              </w:rPr>
            </w:pPr>
          </w:p>
        </w:tc>
        <w:tc>
          <w:tcPr>
            <w:tcW w:w="561" w:type="dxa"/>
            <w:tcBorders>
              <w:top w:val="single" w:sz="12" w:space="0" w:color="auto"/>
            </w:tcBorders>
            <w:shd w:val="clear" w:color="auto" w:fill="auto"/>
            <w:vAlign w:val="bottom"/>
          </w:tcPr>
          <w:p w14:paraId="3E45C323"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155BDC60"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00220D5F" w14:textId="77777777" w:rsidR="00EB24B2" w:rsidRPr="003977CF" w:rsidRDefault="00EB24B2" w:rsidP="00EB24B2">
            <w:pPr>
              <w:suppressAutoHyphens/>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3567955B" w14:textId="77777777" w:rsidR="00EB24B2" w:rsidRPr="003977CF" w:rsidRDefault="00EB24B2" w:rsidP="00EB24B2">
            <w:pPr>
              <w:suppressAutoHyphens/>
              <w:spacing w:before="40" w:after="40" w:line="210" w:lineRule="exact"/>
              <w:ind w:right="43"/>
              <w:jc w:val="right"/>
              <w:rPr>
                <w:sz w:val="17"/>
                <w:lang w:val="fr-FR"/>
              </w:rPr>
            </w:pPr>
          </w:p>
        </w:tc>
        <w:tc>
          <w:tcPr>
            <w:tcW w:w="561" w:type="dxa"/>
            <w:tcBorders>
              <w:top w:val="single" w:sz="12" w:space="0" w:color="auto"/>
            </w:tcBorders>
            <w:shd w:val="clear" w:color="auto" w:fill="auto"/>
            <w:vAlign w:val="bottom"/>
          </w:tcPr>
          <w:p w14:paraId="61D9A577" w14:textId="77777777" w:rsidR="00EB24B2" w:rsidRPr="003977CF" w:rsidRDefault="00EB24B2" w:rsidP="00EB24B2">
            <w:pPr>
              <w:suppressAutoHyphens/>
              <w:spacing w:before="40" w:after="40" w:line="210" w:lineRule="exact"/>
              <w:ind w:right="43"/>
              <w:jc w:val="right"/>
              <w:rPr>
                <w:sz w:val="17"/>
                <w:lang w:val="fr-FR"/>
              </w:rPr>
            </w:pPr>
          </w:p>
        </w:tc>
      </w:tr>
      <w:tr w:rsidR="00B608E0" w:rsidRPr="003977CF" w14:paraId="422BDF80" w14:textId="77777777" w:rsidTr="003977CF">
        <w:tc>
          <w:tcPr>
            <w:tcW w:w="560" w:type="dxa"/>
            <w:shd w:val="clear" w:color="auto" w:fill="auto"/>
            <w:vAlign w:val="bottom"/>
          </w:tcPr>
          <w:p w14:paraId="7B82893F" w14:textId="77777777" w:rsidR="00D758B6" w:rsidRPr="003977CF" w:rsidRDefault="00D758B6" w:rsidP="00EB24B2">
            <w:pPr>
              <w:tabs>
                <w:tab w:val="left" w:pos="288"/>
                <w:tab w:val="left" w:pos="576"/>
                <w:tab w:val="left" w:pos="864"/>
                <w:tab w:val="left" w:pos="1152"/>
              </w:tabs>
              <w:suppressAutoHyphens/>
              <w:spacing w:before="40" w:after="40" w:line="210" w:lineRule="exact"/>
              <w:ind w:right="40"/>
              <w:rPr>
                <w:b/>
                <w:bCs/>
                <w:sz w:val="17"/>
                <w:lang w:val="fr-FR"/>
              </w:rPr>
            </w:pPr>
            <w:r w:rsidRPr="003977CF">
              <w:rPr>
                <w:b/>
                <w:bCs/>
                <w:sz w:val="17"/>
                <w:lang w:val="fr-FR"/>
              </w:rPr>
              <w:t>2020</w:t>
            </w:r>
          </w:p>
        </w:tc>
        <w:tc>
          <w:tcPr>
            <w:tcW w:w="560" w:type="dxa"/>
            <w:shd w:val="clear" w:color="auto" w:fill="auto"/>
            <w:vAlign w:val="bottom"/>
          </w:tcPr>
          <w:p w14:paraId="59D8406E"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1 804</w:t>
            </w:r>
          </w:p>
        </w:tc>
        <w:tc>
          <w:tcPr>
            <w:tcW w:w="560" w:type="dxa"/>
            <w:shd w:val="clear" w:color="auto" w:fill="auto"/>
            <w:vAlign w:val="bottom"/>
          </w:tcPr>
          <w:p w14:paraId="582C9041"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1 785</w:t>
            </w:r>
          </w:p>
        </w:tc>
        <w:tc>
          <w:tcPr>
            <w:tcW w:w="560" w:type="dxa"/>
            <w:shd w:val="clear" w:color="auto" w:fill="auto"/>
            <w:vAlign w:val="bottom"/>
          </w:tcPr>
          <w:p w14:paraId="40A6F4B7"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1 992</w:t>
            </w:r>
          </w:p>
        </w:tc>
        <w:tc>
          <w:tcPr>
            <w:tcW w:w="561" w:type="dxa"/>
            <w:shd w:val="clear" w:color="auto" w:fill="auto"/>
            <w:vAlign w:val="bottom"/>
          </w:tcPr>
          <w:p w14:paraId="6006E7EC"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2 216</w:t>
            </w:r>
          </w:p>
        </w:tc>
        <w:tc>
          <w:tcPr>
            <w:tcW w:w="560" w:type="dxa"/>
            <w:shd w:val="clear" w:color="auto" w:fill="auto"/>
            <w:vAlign w:val="bottom"/>
          </w:tcPr>
          <w:p w14:paraId="03FC219A"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3 691</w:t>
            </w:r>
          </w:p>
        </w:tc>
        <w:tc>
          <w:tcPr>
            <w:tcW w:w="560" w:type="dxa"/>
            <w:shd w:val="clear" w:color="auto" w:fill="auto"/>
            <w:vAlign w:val="bottom"/>
          </w:tcPr>
          <w:p w14:paraId="7AA1D4C1"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4 985</w:t>
            </w:r>
          </w:p>
        </w:tc>
        <w:tc>
          <w:tcPr>
            <w:tcW w:w="560" w:type="dxa"/>
            <w:shd w:val="clear" w:color="auto" w:fill="auto"/>
            <w:vAlign w:val="bottom"/>
          </w:tcPr>
          <w:p w14:paraId="2D6BD8B7"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6 211</w:t>
            </w:r>
          </w:p>
        </w:tc>
        <w:tc>
          <w:tcPr>
            <w:tcW w:w="561" w:type="dxa"/>
            <w:shd w:val="clear" w:color="auto" w:fill="auto"/>
            <w:vAlign w:val="bottom"/>
          </w:tcPr>
          <w:p w14:paraId="1D65ADD6"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3 707</w:t>
            </w:r>
          </w:p>
        </w:tc>
        <w:tc>
          <w:tcPr>
            <w:tcW w:w="560" w:type="dxa"/>
            <w:shd w:val="clear" w:color="auto" w:fill="auto"/>
            <w:vAlign w:val="bottom"/>
          </w:tcPr>
          <w:p w14:paraId="60CABDE9"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3 149</w:t>
            </w:r>
          </w:p>
        </w:tc>
        <w:tc>
          <w:tcPr>
            <w:tcW w:w="560" w:type="dxa"/>
            <w:shd w:val="clear" w:color="auto" w:fill="auto"/>
            <w:vAlign w:val="bottom"/>
          </w:tcPr>
          <w:p w14:paraId="5CE4854F"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4 479</w:t>
            </w:r>
          </w:p>
        </w:tc>
        <w:tc>
          <w:tcPr>
            <w:tcW w:w="560" w:type="dxa"/>
            <w:shd w:val="clear" w:color="auto" w:fill="auto"/>
            <w:vAlign w:val="bottom"/>
          </w:tcPr>
          <w:p w14:paraId="45DB1698"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3 976</w:t>
            </w:r>
          </w:p>
        </w:tc>
        <w:tc>
          <w:tcPr>
            <w:tcW w:w="561" w:type="dxa"/>
            <w:shd w:val="clear" w:color="auto" w:fill="auto"/>
            <w:vAlign w:val="bottom"/>
          </w:tcPr>
          <w:p w14:paraId="00FE9878"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2 541</w:t>
            </w:r>
          </w:p>
        </w:tc>
      </w:tr>
      <w:tr w:rsidR="00B608E0" w:rsidRPr="003977CF" w14:paraId="3D0CAB43" w14:textId="77777777" w:rsidTr="003977CF">
        <w:tc>
          <w:tcPr>
            <w:tcW w:w="560" w:type="dxa"/>
            <w:shd w:val="clear" w:color="auto" w:fill="auto"/>
            <w:vAlign w:val="bottom"/>
          </w:tcPr>
          <w:p w14:paraId="282A1C47" w14:textId="77777777" w:rsidR="00D758B6" w:rsidRPr="003977CF" w:rsidRDefault="00D758B6" w:rsidP="00EB24B2">
            <w:pPr>
              <w:tabs>
                <w:tab w:val="left" w:pos="288"/>
                <w:tab w:val="left" w:pos="576"/>
                <w:tab w:val="left" w:pos="864"/>
                <w:tab w:val="left" w:pos="1152"/>
              </w:tabs>
              <w:suppressAutoHyphens/>
              <w:spacing w:before="40" w:after="40" w:line="210" w:lineRule="exact"/>
              <w:ind w:right="40"/>
              <w:rPr>
                <w:b/>
                <w:bCs/>
                <w:sz w:val="17"/>
                <w:lang w:val="fr-FR"/>
              </w:rPr>
            </w:pPr>
            <w:r w:rsidRPr="003977CF">
              <w:rPr>
                <w:b/>
                <w:bCs/>
                <w:sz w:val="17"/>
                <w:lang w:val="fr-FR"/>
              </w:rPr>
              <w:t>2021</w:t>
            </w:r>
          </w:p>
        </w:tc>
        <w:tc>
          <w:tcPr>
            <w:tcW w:w="560" w:type="dxa"/>
            <w:shd w:val="clear" w:color="auto" w:fill="auto"/>
            <w:vAlign w:val="bottom"/>
          </w:tcPr>
          <w:p w14:paraId="728B8883"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2 500</w:t>
            </w:r>
          </w:p>
        </w:tc>
        <w:tc>
          <w:tcPr>
            <w:tcW w:w="560" w:type="dxa"/>
            <w:shd w:val="clear" w:color="auto" w:fill="auto"/>
            <w:vAlign w:val="bottom"/>
          </w:tcPr>
          <w:p w14:paraId="6E00F6AF"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4 108</w:t>
            </w:r>
          </w:p>
        </w:tc>
        <w:tc>
          <w:tcPr>
            <w:tcW w:w="560" w:type="dxa"/>
            <w:shd w:val="clear" w:color="auto" w:fill="auto"/>
            <w:vAlign w:val="bottom"/>
          </w:tcPr>
          <w:p w14:paraId="36048366"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5 996</w:t>
            </w:r>
          </w:p>
        </w:tc>
        <w:tc>
          <w:tcPr>
            <w:tcW w:w="561" w:type="dxa"/>
            <w:shd w:val="clear" w:color="auto" w:fill="auto"/>
            <w:vAlign w:val="bottom"/>
          </w:tcPr>
          <w:p w14:paraId="6631A237"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3 902</w:t>
            </w:r>
          </w:p>
        </w:tc>
        <w:tc>
          <w:tcPr>
            <w:tcW w:w="560" w:type="dxa"/>
            <w:shd w:val="clear" w:color="auto" w:fill="auto"/>
            <w:vAlign w:val="bottom"/>
          </w:tcPr>
          <w:p w14:paraId="192900BC"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4 274</w:t>
            </w:r>
          </w:p>
        </w:tc>
        <w:tc>
          <w:tcPr>
            <w:tcW w:w="560" w:type="dxa"/>
            <w:shd w:val="clear" w:color="auto" w:fill="auto"/>
            <w:vAlign w:val="bottom"/>
          </w:tcPr>
          <w:p w14:paraId="550DDD39"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4 991</w:t>
            </w:r>
          </w:p>
        </w:tc>
        <w:tc>
          <w:tcPr>
            <w:tcW w:w="560" w:type="dxa"/>
            <w:shd w:val="clear" w:color="auto" w:fill="auto"/>
            <w:vAlign w:val="bottom"/>
          </w:tcPr>
          <w:p w14:paraId="0FECC500"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2 604</w:t>
            </w:r>
          </w:p>
        </w:tc>
        <w:tc>
          <w:tcPr>
            <w:tcW w:w="561" w:type="dxa"/>
            <w:shd w:val="clear" w:color="auto" w:fill="auto"/>
            <w:vAlign w:val="bottom"/>
          </w:tcPr>
          <w:p w14:paraId="094E5D0E"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3 480</w:t>
            </w:r>
          </w:p>
        </w:tc>
        <w:tc>
          <w:tcPr>
            <w:tcW w:w="560" w:type="dxa"/>
            <w:shd w:val="clear" w:color="auto" w:fill="auto"/>
            <w:vAlign w:val="bottom"/>
          </w:tcPr>
          <w:p w14:paraId="1E54A393"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3 846</w:t>
            </w:r>
          </w:p>
        </w:tc>
        <w:tc>
          <w:tcPr>
            <w:tcW w:w="560" w:type="dxa"/>
            <w:shd w:val="clear" w:color="auto" w:fill="auto"/>
            <w:vAlign w:val="bottom"/>
          </w:tcPr>
          <w:p w14:paraId="30140ECD"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2 679</w:t>
            </w:r>
          </w:p>
        </w:tc>
        <w:tc>
          <w:tcPr>
            <w:tcW w:w="560" w:type="dxa"/>
            <w:shd w:val="clear" w:color="auto" w:fill="auto"/>
            <w:vAlign w:val="bottom"/>
          </w:tcPr>
          <w:p w14:paraId="0C88A47E"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4 041</w:t>
            </w:r>
          </w:p>
        </w:tc>
        <w:tc>
          <w:tcPr>
            <w:tcW w:w="561" w:type="dxa"/>
            <w:shd w:val="clear" w:color="auto" w:fill="auto"/>
            <w:vAlign w:val="bottom"/>
          </w:tcPr>
          <w:p w14:paraId="711B3D54"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3 814</w:t>
            </w:r>
          </w:p>
        </w:tc>
      </w:tr>
      <w:tr w:rsidR="00B608E0" w:rsidRPr="003977CF" w14:paraId="45BBB85F" w14:textId="77777777" w:rsidTr="003977CF">
        <w:tc>
          <w:tcPr>
            <w:tcW w:w="560" w:type="dxa"/>
            <w:tcBorders>
              <w:bottom w:val="single" w:sz="12" w:space="0" w:color="auto"/>
            </w:tcBorders>
            <w:shd w:val="clear" w:color="auto" w:fill="auto"/>
            <w:vAlign w:val="bottom"/>
          </w:tcPr>
          <w:p w14:paraId="2A130AF9" w14:textId="77777777" w:rsidR="00D758B6" w:rsidRPr="003977CF" w:rsidRDefault="00D758B6" w:rsidP="00EB24B2">
            <w:pPr>
              <w:tabs>
                <w:tab w:val="left" w:pos="288"/>
                <w:tab w:val="left" w:pos="576"/>
                <w:tab w:val="left" w:pos="864"/>
                <w:tab w:val="left" w:pos="1152"/>
              </w:tabs>
              <w:suppressAutoHyphens/>
              <w:spacing w:before="40" w:after="40" w:line="210" w:lineRule="exact"/>
              <w:ind w:right="40"/>
              <w:rPr>
                <w:b/>
                <w:bCs/>
                <w:sz w:val="17"/>
                <w:lang w:val="fr-FR"/>
              </w:rPr>
            </w:pPr>
            <w:r w:rsidRPr="003977CF">
              <w:rPr>
                <w:b/>
                <w:bCs/>
                <w:sz w:val="17"/>
                <w:lang w:val="fr-FR"/>
              </w:rPr>
              <w:t>2022</w:t>
            </w:r>
          </w:p>
        </w:tc>
        <w:tc>
          <w:tcPr>
            <w:tcW w:w="560" w:type="dxa"/>
            <w:tcBorders>
              <w:bottom w:val="single" w:sz="12" w:space="0" w:color="auto"/>
            </w:tcBorders>
            <w:shd w:val="clear" w:color="auto" w:fill="auto"/>
            <w:vAlign w:val="bottom"/>
          </w:tcPr>
          <w:p w14:paraId="3798BFEF"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4 411</w:t>
            </w:r>
          </w:p>
        </w:tc>
        <w:tc>
          <w:tcPr>
            <w:tcW w:w="560" w:type="dxa"/>
            <w:tcBorders>
              <w:bottom w:val="single" w:sz="12" w:space="0" w:color="auto"/>
            </w:tcBorders>
            <w:shd w:val="clear" w:color="auto" w:fill="auto"/>
            <w:vAlign w:val="bottom"/>
          </w:tcPr>
          <w:p w14:paraId="7A08069E"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5 458</w:t>
            </w:r>
          </w:p>
        </w:tc>
        <w:tc>
          <w:tcPr>
            <w:tcW w:w="560" w:type="dxa"/>
            <w:tcBorders>
              <w:bottom w:val="single" w:sz="12" w:space="0" w:color="auto"/>
            </w:tcBorders>
            <w:shd w:val="clear" w:color="auto" w:fill="auto"/>
            <w:vAlign w:val="bottom"/>
          </w:tcPr>
          <w:p w14:paraId="20F2D097"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6 273</w:t>
            </w:r>
          </w:p>
        </w:tc>
        <w:tc>
          <w:tcPr>
            <w:tcW w:w="561" w:type="dxa"/>
            <w:tcBorders>
              <w:bottom w:val="single" w:sz="12" w:space="0" w:color="auto"/>
            </w:tcBorders>
            <w:shd w:val="clear" w:color="auto" w:fill="auto"/>
            <w:vAlign w:val="bottom"/>
          </w:tcPr>
          <w:p w14:paraId="1E38E7A1"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3 389</w:t>
            </w:r>
          </w:p>
        </w:tc>
        <w:tc>
          <w:tcPr>
            <w:tcW w:w="560" w:type="dxa"/>
            <w:tcBorders>
              <w:bottom w:val="single" w:sz="12" w:space="0" w:color="auto"/>
            </w:tcBorders>
            <w:shd w:val="clear" w:color="auto" w:fill="auto"/>
            <w:vAlign w:val="bottom"/>
          </w:tcPr>
          <w:p w14:paraId="081ADCDD"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3 827</w:t>
            </w:r>
          </w:p>
        </w:tc>
        <w:tc>
          <w:tcPr>
            <w:tcW w:w="560" w:type="dxa"/>
            <w:tcBorders>
              <w:bottom w:val="single" w:sz="12" w:space="0" w:color="auto"/>
            </w:tcBorders>
            <w:shd w:val="clear" w:color="auto" w:fill="auto"/>
            <w:vAlign w:val="bottom"/>
          </w:tcPr>
          <w:p w14:paraId="0997C7CE"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6 069</w:t>
            </w:r>
          </w:p>
        </w:tc>
        <w:tc>
          <w:tcPr>
            <w:tcW w:w="560" w:type="dxa"/>
            <w:tcBorders>
              <w:bottom w:val="single" w:sz="12" w:space="0" w:color="auto"/>
            </w:tcBorders>
            <w:shd w:val="clear" w:color="auto" w:fill="auto"/>
            <w:vAlign w:val="bottom"/>
          </w:tcPr>
          <w:p w14:paraId="1ED8E22F"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r w:rsidRPr="003977CF">
              <w:rPr>
                <w:sz w:val="17"/>
                <w:lang w:val="fr-FR"/>
              </w:rPr>
              <w:t>3 941</w:t>
            </w:r>
          </w:p>
        </w:tc>
        <w:tc>
          <w:tcPr>
            <w:tcW w:w="561" w:type="dxa"/>
            <w:tcBorders>
              <w:bottom w:val="single" w:sz="12" w:space="0" w:color="auto"/>
            </w:tcBorders>
            <w:shd w:val="clear" w:color="auto" w:fill="auto"/>
            <w:vAlign w:val="bottom"/>
          </w:tcPr>
          <w:p w14:paraId="0169EF55"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p>
        </w:tc>
        <w:tc>
          <w:tcPr>
            <w:tcW w:w="560" w:type="dxa"/>
            <w:tcBorders>
              <w:bottom w:val="single" w:sz="12" w:space="0" w:color="auto"/>
            </w:tcBorders>
            <w:shd w:val="clear" w:color="auto" w:fill="auto"/>
            <w:vAlign w:val="bottom"/>
          </w:tcPr>
          <w:p w14:paraId="580F4394"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p>
        </w:tc>
        <w:tc>
          <w:tcPr>
            <w:tcW w:w="560" w:type="dxa"/>
            <w:tcBorders>
              <w:bottom w:val="single" w:sz="12" w:space="0" w:color="auto"/>
            </w:tcBorders>
            <w:shd w:val="clear" w:color="auto" w:fill="auto"/>
            <w:vAlign w:val="bottom"/>
          </w:tcPr>
          <w:p w14:paraId="5CA06B58"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p>
        </w:tc>
        <w:tc>
          <w:tcPr>
            <w:tcW w:w="560" w:type="dxa"/>
            <w:tcBorders>
              <w:bottom w:val="single" w:sz="12" w:space="0" w:color="auto"/>
            </w:tcBorders>
            <w:shd w:val="clear" w:color="auto" w:fill="auto"/>
            <w:vAlign w:val="bottom"/>
          </w:tcPr>
          <w:p w14:paraId="1142E776"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p>
        </w:tc>
        <w:tc>
          <w:tcPr>
            <w:tcW w:w="561" w:type="dxa"/>
            <w:tcBorders>
              <w:bottom w:val="single" w:sz="12" w:space="0" w:color="auto"/>
            </w:tcBorders>
            <w:shd w:val="clear" w:color="auto" w:fill="auto"/>
            <w:vAlign w:val="bottom"/>
          </w:tcPr>
          <w:p w14:paraId="4EB66133" w14:textId="77777777" w:rsidR="00D758B6" w:rsidRPr="003977CF" w:rsidRDefault="00D758B6" w:rsidP="00EB24B2">
            <w:pPr>
              <w:tabs>
                <w:tab w:val="left" w:pos="288"/>
                <w:tab w:val="left" w:pos="576"/>
                <w:tab w:val="left" w:pos="864"/>
                <w:tab w:val="left" w:pos="1152"/>
              </w:tabs>
              <w:suppressAutoHyphens/>
              <w:spacing w:before="40" w:after="40" w:line="210" w:lineRule="exact"/>
              <w:ind w:right="43"/>
              <w:jc w:val="right"/>
              <w:rPr>
                <w:sz w:val="17"/>
                <w:lang w:val="fr-FR"/>
              </w:rPr>
            </w:pPr>
          </w:p>
        </w:tc>
      </w:tr>
    </w:tbl>
    <w:p w14:paraId="1A1E5DDC" w14:textId="1212C3E1" w:rsidR="001814F9" w:rsidRPr="003977CF" w:rsidRDefault="001814F9" w:rsidP="00B54F53">
      <w:pPr>
        <w:pStyle w:val="SingleTxt"/>
        <w:spacing w:after="0" w:line="120" w:lineRule="exact"/>
        <w:rPr>
          <w:bCs/>
          <w:i/>
          <w:sz w:val="10"/>
          <w:lang w:val="fr-FR"/>
        </w:rPr>
      </w:pPr>
    </w:p>
    <w:p w14:paraId="4D9CDBFE" w14:textId="31A7086C" w:rsidR="00D758B6" w:rsidRPr="003977CF" w:rsidRDefault="00D758B6" w:rsidP="00B54F53">
      <w:pPr>
        <w:pStyle w:val="SingleTxt"/>
        <w:spacing w:after="0" w:line="120" w:lineRule="exact"/>
        <w:rPr>
          <w:bCs/>
          <w:i/>
          <w:sz w:val="10"/>
          <w:lang w:val="fr-FR"/>
        </w:rPr>
      </w:pPr>
    </w:p>
    <w:p w14:paraId="15B0840E" w14:textId="1A0375D3" w:rsidR="00D758B6" w:rsidRPr="003977CF" w:rsidRDefault="00D758B6" w:rsidP="00B54F53">
      <w:pPr>
        <w:pStyle w:val="SingleTxt"/>
        <w:numPr>
          <w:ilvl w:val="0"/>
          <w:numId w:val="28"/>
        </w:numPr>
        <w:tabs>
          <w:tab w:val="num" w:pos="2804"/>
        </w:tabs>
        <w:spacing w:line="240" w:lineRule="exact"/>
        <w:ind w:left="1267"/>
        <w:rPr>
          <w:lang w:val="fr-FR"/>
        </w:rPr>
      </w:pPr>
      <w:r w:rsidRPr="003977CF">
        <w:rPr>
          <w:lang w:val="fr-FR"/>
        </w:rPr>
        <w:t>Ces mesures encouragent les femmes et les filles à rendre compte des actes de violence fondée sur le genre.</w:t>
      </w:r>
    </w:p>
    <w:bookmarkEnd w:id="2"/>
    <w:p w14:paraId="1339132B" w14:textId="1D1EA003" w:rsidR="001814F9" w:rsidRPr="003977CF" w:rsidRDefault="001814F9" w:rsidP="00B54F53">
      <w:pPr>
        <w:pStyle w:val="SingleTxt"/>
        <w:spacing w:after="0" w:line="120" w:lineRule="exact"/>
        <w:rPr>
          <w:b/>
          <w:sz w:val="10"/>
          <w:lang w:val="fr-FR"/>
        </w:rPr>
      </w:pPr>
    </w:p>
    <w:p w14:paraId="3AED63A3" w14:textId="511D731B" w:rsidR="00B54F53" w:rsidRPr="003977CF" w:rsidRDefault="00B54F53" w:rsidP="00B54F53">
      <w:pPr>
        <w:pStyle w:val="SingleTxt"/>
        <w:spacing w:after="0" w:line="120" w:lineRule="exact"/>
        <w:rPr>
          <w:b/>
          <w:sz w:val="10"/>
          <w:lang w:val="fr-FR"/>
        </w:rPr>
      </w:pPr>
    </w:p>
    <w:p w14:paraId="2FC6CC54" w14:textId="2BC0819C" w:rsidR="00D758B6" w:rsidRPr="003977CF" w:rsidRDefault="00D758B6" w:rsidP="00B54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lastRenderedPageBreak/>
        <w:tab/>
      </w:r>
      <w:bookmarkStart w:id="3" w:name="_Hlk121843393"/>
      <w:r w:rsidRPr="003977CF">
        <w:rPr>
          <w:lang w:val="fr-FR"/>
        </w:rPr>
        <w:t>C.</w:t>
      </w:r>
      <w:r w:rsidRPr="003977CF">
        <w:rPr>
          <w:lang w:val="fr-FR"/>
        </w:rPr>
        <w:tab/>
        <w:t>Renseignements sur la suite donnée à la recommandation figurant à l’alinéa d) du paragraphe 28</w:t>
      </w:r>
      <w:bookmarkEnd w:id="3"/>
    </w:p>
    <w:p w14:paraId="31CCBC12" w14:textId="2D642CF2" w:rsidR="001814F9" w:rsidRPr="003977CF" w:rsidRDefault="001814F9" w:rsidP="00B54F53">
      <w:pPr>
        <w:pStyle w:val="SingleTxt"/>
        <w:spacing w:after="0" w:line="120" w:lineRule="exact"/>
        <w:rPr>
          <w:sz w:val="10"/>
          <w:lang w:val="fr-FR"/>
        </w:rPr>
      </w:pPr>
    </w:p>
    <w:p w14:paraId="771CF87B" w14:textId="2D758C35" w:rsidR="00B54F53" w:rsidRPr="003977CF" w:rsidRDefault="00B54F53" w:rsidP="00B54F53">
      <w:pPr>
        <w:pStyle w:val="SingleTxt"/>
        <w:spacing w:after="0" w:line="120" w:lineRule="exact"/>
        <w:rPr>
          <w:sz w:val="10"/>
          <w:lang w:val="fr-FR"/>
        </w:rPr>
      </w:pPr>
    </w:p>
    <w:p w14:paraId="789971AD" w14:textId="0FA115C4" w:rsidR="00D758B6" w:rsidRPr="003977CF" w:rsidRDefault="00D758B6" w:rsidP="00B54F53">
      <w:pPr>
        <w:pStyle w:val="SingleTxt"/>
        <w:numPr>
          <w:ilvl w:val="0"/>
          <w:numId w:val="28"/>
        </w:numPr>
        <w:tabs>
          <w:tab w:val="num" w:pos="2804"/>
        </w:tabs>
        <w:spacing w:line="240" w:lineRule="exact"/>
        <w:ind w:left="1267"/>
        <w:rPr>
          <w:lang w:val="fr-FR"/>
        </w:rPr>
      </w:pPr>
      <w:r w:rsidRPr="003977CF">
        <w:rPr>
          <w:lang w:val="fr-FR"/>
        </w:rPr>
        <w:t xml:space="preserve">Par l’entremise des dispositifs de coordination existants, l’État partie recueille des données sur les actes de violence fondée sur le genre auprès d’entités publiques et privées compétentes. La police de la République du Zimbabwe, les centres de soins de santé, les tribunaux, les organisations de la société civile et les structures locales compétentes recueillent et transmettent ces données sur une base mensuelle. Elles sont ensuite ventilées par sexe et par type de violence. L’État partie reconnaît que le système actuel présente des déficiences. </w:t>
      </w:r>
    </w:p>
    <w:p w14:paraId="31AAFEC6" w14:textId="77777777" w:rsidR="00D758B6" w:rsidRPr="003977CF" w:rsidRDefault="00D758B6" w:rsidP="00B54F53">
      <w:pPr>
        <w:pStyle w:val="SingleTxt"/>
        <w:numPr>
          <w:ilvl w:val="0"/>
          <w:numId w:val="28"/>
        </w:numPr>
        <w:tabs>
          <w:tab w:val="num" w:pos="2804"/>
        </w:tabs>
        <w:spacing w:line="240" w:lineRule="exact"/>
        <w:ind w:left="1267"/>
        <w:rPr>
          <w:lang w:val="fr-FR"/>
        </w:rPr>
      </w:pPr>
      <w:r w:rsidRPr="003977CF">
        <w:rPr>
          <w:lang w:val="fr-FR"/>
        </w:rPr>
        <w:t>Le Gouvernement élabore actuellement un système de gestion de l’information relative à la violence fondée sur le genre, qui rendra possible la collecte de données en ligne et en temps réel et celle d’autres variables, selon les instructions qui seront fournies par le Comité. L’État partie a également mis au point un dispositif intégré de gestion des dossiers rigoureux, qui relie entre elles toutes les institutions constitutives du système judiciaire.</w:t>
      </w:r>
    </w:p>
    <w:p w14:paraId="43D56A3F" w14:textId="33A8DF16" w:rsidR="001814F9" w:rsidRPr="003977CF" w:rsidRDefault="001814F9" w:rsidP="00B54F53">
      <w:pPr>
        <w:pStyle w:val="SingleTxt"/>
        <w:spacing w:after="0" w:line="120" w:lineRule="exact"/>
        <w:rPr>
          <w:b/>
          <w:sz w:val="10"/>
          <w:lang w:val="fr-FR"/>
        </w:rPr>
      </w:pPr>
    </w:p>
    <w:p w14:paraId="70831114" w14:textId="6F330E0B" w:rsidR="00B54F53" w:rsidRPr="003977CF" w:rsidRDefault="00B54F53" w:rsidP="00B54F53">
      <w:pPr>
        <w:pStyle w:val="SingleTxt"/>
        <w:spacing w:after="0" w:line="120" w:lineRule="exact"/>
        <w:rPr>
          <w:b/>
          <w:sz w:val="10"/>
          <w:lang w:val="fr-FR"/>
        </w:rPr>
      </w:pPr>
    </w:p>
    <w:p w14:paraId="07FCAE67" w14:textId="1657DD67" w:rsidR="00D758B6" w:rsidRPr="003977CF" w:rsidRDefault="00D758B6" w:rsidP="00B54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77CF">
        <w:rPr>
          <w:lang w:val="fr-FR"/>
        </w:rPr>
        <w:tab/>
        <w:t>D.</w:t>
      </w:r>
      <w:r w:rsidRPr="003977CF">
        <w:rPr>
          <w:lang w:val="fr-FR"/>
        </w:rPr>
        <w:tab/>
        <w:t>Renseignements sur la suite donnée à la recommandation figurant à l’alinéa b) du paragraphe 30</w:t>
      </w:r>
    </w:p>
    <w:p w14:paraId="2C085484" w14:textId="797D0EF2" w:rsidR="00D758B6" w:rsidRPr="003977CF" w:rsidRDefault="00D758B6" w:rsidP="00B54F53">
      <w:pPr>
        <w:pStyle w:val="SingleTxt"/>
        <w:spacing w:after="0" w:line="120" w:lineRule="exact"/>
        <w:rPr>
          <w:sz w:val="10"/>
          <w:lang w:val="fr-FR"/>
        </w:rPr>
      </w:pPr>
    </w:p>
    <w:p w14:paraId="4DB34BBB" w14:textId="726D1B79" w:rsidR="00B54F53" w:rsidRPr="003977CF" w:rsidRDefault="00B54F53" w:rsidP="00B54F53">
      <w:pPr>
        <w:pStyle w:val="SingleTxt"/>
        <w:spacing w:after="0" w:line="120" w:lineRule="exact"/>
        <w:rPr>
          <w:sz w:val="10"/>
          <w:lang w:val="fr-FR"/>
        </w:rPr>
      </w:pPr>
    </w:p>
    <w:p w14:paraId="0669D5A8" w14:textId="5D79FDBE" w:rsidR="00D758B6" w:rsidRPr="003977CF" w:rsidRDefault="00D758B6" w:rsidP="00B54F53">
      <w:pPr>
        <w:pStyle w:val="SingleTxt"/>
        <w:numPr>
          <w:ilvl w:val="0"/>
          <w:numId w:val="28"/>
        </w:numPr>
        <w:tabs>
          <w:tab w:val="num" w:pos="2804"/>
        </w:tabs>
        <w:spacing w:line="240" w:lineRule="exact"/>
        <w:ind w:left="1267"/>
        <w:rPr>
          <w:lang w:val="fr-FR"/>
        </w:rPr>
      </w:pPr>
      <w:r w:rsidRPr="003977CF">
        <w:rPr>
          <w:lang w:val="fr-FR"/>
        </w:rPr>
        <w:t>Le Gouvernement a engagé les travaux de modification de la loi relative à la traite des personnes [</w:t>
      </w:r>
      <w:r w:rsidRPr="003977CF">
        <w:rPr>
          <w:i/>
          <w:iCs/>
          <w:lang w:val="fr-FR"/>
        </w:rPr>
        <w:t>section 9:25</w:t>
      </w:r>
      <w:r w:rsidRPr="003977CF">
        <w:rPr>
          <w:lang w:val="fr-FR"/>
        </w:rPr>
        <w:t xml:space="preserve">]. Les grands principes de cette modification ont été approuvés par le Cabinet en avril 2022, et l’Attorney General’s Office (bureau du procureur général) a entrepris la rédaction de la version initiale du projet de loi. Il est proposé d’inclure tous les éléments constitutifs de l’infraction, à savoir l’acte commis, les moyens employés et le but recherché. Le recrutement, le transport, le transfert, l’hébergement ou l’accueil de personnes seront considérés comme répréhensibles. La fraude, l’emploi de la force, la menace ou toute autre forme de coercition seront considérés comme </w:t>
      </w:r>
      <w:r w:rsidRPr="00357F71">
        <w:rPr>
          <w:lang w:val="fr-FR"/>
        </w:rPr>
        <w:t>les moyens.</w:t>
      </w:r>
      <w:r w:rsidRPr="003977CF">
        <w:rPr>
          <w:lang w:val="fr-FR"/>
        </w:rPr>
        <w:t xml:space="preserve"> La définition donnée du terme « exploitation » sera également modifiée pour inclure toutes les formes d’esclavage ou de pratiques similaires à l’esclavage, d’exploitation sexuelle, de prostitution, de pornographie mettant en scène des enfants et des adultes, de servitude pour dettes, de sujétion, de travail forcé, de mendicité et de mendicité forcée, de desseins criminels, de travail des enfants, de prélèvement illicite d’organes, de mariages forcés et de fécondation forcée aux fins de la vente d’enfants après la naissance. La définition donnée de l’infraction dans la loi relative à la traite des personnes sera donc en harmonie avec le Protocole de Palerme de 2000.</w:t>
      </w:r>
    </w:p>
    <w:p w14:paraId="5FF07051" w14:textId="36D70B4A" w:rsidR="00D758B6" w:rsidRPr="003977CF" w:rsidRDefault="00D758B6" w:rsidP="00D758B6">
      <w:pPr>
        <w:pStyle w:val="SingleTxt"/>
        <w:spacing w:after="0" w:line="240" w:lineRule="auto"/>
        <w:rPr>
          <w:lang w:val="fr-FR"/>
        </w:rPr>
      </w:pPr>
      <w:r w:rsidRPr="003977CF">
        <w:rPr>
          <w:noProof/>
          <w:w w:val="100"/>
          <w:lang w:val="fr-FR"/>
        </w:rPr>
        <mc:AlternateContent>
          <mc:Choice Requires="wps">
            <w:drawing>
              <wp:anchor distT="0" distB="0" distL="114300" distR="114300" simplePos="0" relativeHeight="251659264" behindDoc="0" locked="0" layoutInCell="1" allowOverlap="1" wp14:anchorId="72D8EFB8" wp14:editId="673AFFF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19B2C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758B6" w:rsidRPr="003977CF" w:rsidSect="00D758B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2-30T10:39:00Z" w:initials="Start">
    <w:p w14:paraId="12A8E2D0" w14:textId="77777777" w:rsidR="002A0894" w:rsidRDefault="002A0894">
      <w:pPr>
        <w:pStyle w:val="CommentText"/>
      </w:pPr>
      <w:r>
        <w:rPr>
          <w:rStyle w:val="CommentReference"/>
        </w:rPr>
        <w:annotationRef/>
      </w:r>
      <w:r>
        <w:t>&lt;&lt;ODS JOB NO&gt;&gt;N2275182F&lt;&lt;ODS JOB NO&gt;&gt;</w:t>
      </w:r>
    </w:p>
    <w:p w14:paraId="704C8926" w14:textId="77777777" w:rsidR="002A0894" w:rsidRDefault="002A0894">
      <w:pPr>
        <w:pStyle w:val="CommentText"/>
      </w:pPr>
      <w:r>
        <w:t>&lt;&lt;ODS DOC SYMBOL1&gt;&gt;CEDAW/C/ZWE/FCO/6&lt;&lt;ODS DOC SYMBOL1&gt;&gt;</w:t>
      </w:r>
    </w:p>
    <w:p w14:paraId="7D93EA60" w14:textId="43365E22" w:rsidR="002A0894" w:rsidRDefault="002A08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93EA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93E6D" w16cex:dateUtc="2022-12-30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93EA60" w16cid:durableId="27593E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F2637" w14:textId="77777777" w:rsidR="00FA106F" w:rsidRDefault="00FA106F" w:rsidP="00CE36B6">
      <w:pPr>
        <w:spacing w:line="240" w:lineRule="auto"/>
      </w:pPr>
      <w:r>
        <w:separator/>
      </w:r>
    </w:p>
  </w:endnote>
  <w:endnote w:type="continuationSeparator" w:id="0">
    <w:p w14:paraId="25C1C46B" w14:textId="77777777" w:rsidR="00FA106F" w:rsidRDefault="00FA106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0894" w14:paraId="17EF5CC3" w14:textId="77777777" w:rsidTr="002A0894">
      <w:tblPrEx>
        <w:tblCellMar>
          <w:top w:w="0" w:type="dxa"/>
          <w:bottom w:w="0" w:type="dxa"/>
        </w:tblCellMar>
      </w:tblPrEx>
      <w:tc>
        <w:tcPr>
          <w:tcW w:w="4920" w:type="dxa"/>
          <w:shd w:val="clear" w:color="auto" w:fill="auto"/>
        </w:tcPr>
        <w:p w14:paraId="07DFB633" w14:textId="05217D69" w:rsidR="002A0894" w:rsidRPr="002A0894" w:rsidRDefault="002A0894" w:rsidP="002A08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3084">
            <w:rPr>
              <w:b w:val="0"/>
              <w:w w:val="103"/>
              <w:sz w:val="14"/>
            </w:rPr>
            <w:t>22-28579</w:t>
          </w:r>
          <w:r>
            <w:rPr>
              <w:b w:val="0"/>
              <w:w w:val="103"/>
              <w:sz w:val="14"/>
            </w:rPr>
            <w:fldChar w:fldCharType="end"/>
          </w:r>
        </w:p>
      </w:tc>
      <w:tc>
        <w:tcPr>
          <w:tcW w:w="4920" w:type="dxa"/>
          <w:shd w:val="clear" w:color="auto" w:fill="auto"/>
        </w:tcPr>
        <w:p w14:paraId="2C5D721C" w14:textId="209465C8" w:rsidR="002A0894" w:rsidRPr="002A0894" w:rsidRDefault="002A0894" w:rsidP="002A089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5A827C6" w14:textId="77777777" w:rsidR="002A0894" w:rsidRPr="002A0894" w:rsidRDefault="002A0894" w:rsidP="002A08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0894" w14:paraId="1549D2D8" w14:textId="77777777" w:rsidTr="002A0894">
      <w:tblPrEx>
        <w:tblCellMar>
          <w:top w:w="0" w:type="dxa"/>
          <w:bottom w:w="0" w:type="dxa"/>
        </w:tblCellMar>
      </w:tblPrEx>
      <w:tc>
        <w:tcPr>
          <w:tcW w:w="4920" w:type="dxa"/>
          <w:shd w:val="clear" w:color="auto" w:fill="auto"/>
        </w:tcPr>
        <w:p w14:paraId="4649BA69" w14:textId="65211D96" w:rsidR="002A0894" w:rsidRPr="002A0894" w:rsidRDefault="002A0894" w:rsidP="002A089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5811D32" w14:textId="32C043D4" w:rsidR="002A0894" w:rsidRPr="002A0894" w:rsidRDefault="002A0894" w:rsidP="002A08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3084">
            <w:rPr>
              <w:b w:val="0"/>
              <w:w w:val="103"/>
              <w:sz w:val="14"/>
            </w:rPr>
            <w:t>22-28579</w:t>
          </w:r>
          <w:r>
            <w:rPr>
              <w:b w:val="0"/>
              <w:w w:val="103"/>
              <w:sz w:val="14"/>
            </w:rPr>
            <w:fldChar w:fldCharType="end"/>
          </w:r>
        </w:p>
      </w:tc>
    </w:tr>
  </w:tbl>
  <w:p w14:paraId="70018E2F" w14:textId="77777777" w:rsidR="002A0894" w:rsidRPr="002A0894" w:rsidRDefault="002A0894" w:rsidP="002A08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A2869" w14:textId="40B19C03" w:rsidR="002A0894" w:rsidRDefault="002A0894">
    <w:pPr>
      <w:pStyle w:val="Footer"/>
    </w:pPr>
    <w:r>
      <w:rPr>
        <w:noProof/>
      </w:rPr>
      <w:drawing>
        <wp:anchor distT="0" distB="0" distL="114300" distR="114300" simplePos="0" relativeHeight="251658240" behindDoc="0" locked="0" layoutInCell="1" allowOverlap="1" wp14:anchorId="1ADCBCCF" wp14:editId="20BF354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A0894" w14:paraId="074DA1E1" w14:textId="77777777" w:rsidTr="002A0894">
      <w:tblPrEx>
        <w:tblCellMar>
          <w:top w:w="0" w:type="dxa"/>
          <w:bottom w:w="0" w:type="dxa"/>
        </w:tblCellMar>
      </w:tblPrEx>
      <w:tc>
        <w:tcPr>
          <w:tcW w:w="3758" w:type="dxa"/>
        </w:tcPr>
        <w:p w14:paraId="6CC08DC1" w14:textId="5FA4B6DA" w:rsidR="002A0894" w:rsidRDefault="002A0894" w:rsidP="002A089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93084">
            <w:rPr>
              <w:b w:val="0"/>
              <w:sz w:val="20"/>
            </w:rPr>
            <w:t>22-28579 (F)</w:t>
          </w:r>
          <w:r>
            <w:rPr>
              <w:b w:val="0"/>
              <w:sz w:val="20"/>
            </w:rPr>
            <w:fldChar w:fldCharType="end"/>
          </w:r>
          <w:r>
            <w:rPr>
              <w:b w:val="0"/>
              <w:sz w:val="20"/>
            </w:rPr>
            <w:t xml:space="preserve">    </w:t>
          </w:r>
          <w:r w:rsidR="00D758B6">
            <w:rPr>
              <w:b w:val="0"/>
              <w:sz w:val="20"/>
            </w:rPr>
            <w:t>21</w:t>
          </w:r>
          <w:r>
            <w:rPr>
              <w:b w:val="0"/>
              <w:sz w:val="20"/>
            </w:rPr>
            <w:t xml:space="preserve">1222    </w:t>
          </w:r>
          <w:r w:rsidR="00D758B6">
            <w:rPr>
              <w:b w:val="0"/>
              <w:sz w:val="20"/>
            </w:rPr>
            <w:t>04</w:t>
          </w:r>
          <w:r>
            <w:rPr>
              <w:b w:val="0"/>
              <w:sz w:val="20"/>
            </w:rPr>
            <w:t>012</w:t>
          </w:r>
          <w:r w:rsidR="00D758B6">
            <w:rPr>
              <w:b w:val="0"/>
              <w:sz w:val="20"/>
            </w:rPr>
            <w:t>3</w:t>
          </w:r>
        </w:p>
        <w:p w14:paraId="61F9F198" w14:textId="3BA703AE" w:rsidR="002A0894" w:rsidRPr="002A0894" w:rsidRDefault="002A0894" w:rsidP="002A089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93084">
            <w:rPr>
              <w:rFonts w:ascii="Barcode 3 of 9 by request" w:hAnsi="Barcode 3 of 9 by request"/>
              <w:spacing w:val="0"/>
              <w:w w:val="100"/>
              <w:sz w:val="24"/>
            </w:rPr>
            <w:t>*2228579*</w:t>
          </w:r>
          <w:r>
            <w:rPr>
              <w:rFonts w:ascii="Barcode 3 of 9 by request" w:hAnsi="Barcode 3 of 9 by request"/>
              <w:spacing w:val="0"/>
              <w:w w:val="100"/>
              <w:sz w:val="24"/>
            </w:rPr>
            <w:fldChar w:fldCharType="end"/>
          </w:r>
        </w:p>
      </w:tc>
      <w:tc>
        <w:tcPr>
          <w:tcW w:w="4920" w:type="dxa"/>
        </w:tcPr>
        <w:p w14:paraId="4CB643A3" w14:textId="18A5110A" w:rsidR="002A0894" w:rsidRDefault="002A0894" w:rsidP="002A0894">
          <w:pPr>
            <w:pStyle w:val="Footer"/>
            <w:spacing w:line="240" w:lineRule="atLeast"/>
            <w:jc w:val="right"/>
            <w:rPr>
              <w:b w:val="0"/>
              <w:sz w:val="20"/>
            </w:rPr>
          </w:pPr>
          <w:r>
            <w:rPr>
              <w:b w:val="0"/>
              <w:noProof/>
              <w:sz w:val="20"/>
            </w:rPr>
            <w:drawing>
              <wp:inline distT="0" distB="0" distL="0" distR="0" wp14:anchorId="0F8B619C" wp14:editId="4E9BF4A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287595C" w14:textId="77777777" w:rsidR="002A0894" w:rsidRPr="002A0894" w:rsidRDefault="002A0894" w:rsidP="002A089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E0909" w14:textId="0E0D4AE6" w:rsidR="00FA106F" w:rsidRPr="007E11C1" w:rsidRDefault="007E11C1" w:rsidP="007E11C1">
      <w:pPr>
        <w:pStyle w:val="Footer"/>
        <w:spacing w:after="80"/>
        <w:ind w:left="792"/>
        <w:rPr>
          <w:sz w:val="16"/>
        </w:rPr>
      </w:pPr>
      <w:r w:rsidRPr="007E11C1">
        <w:rPr>
          <w:sz w:val="16"/>
        </w:rPr>
        <w:t>__________________</w:t>
      </w:r>
    </w:p>
  </w:footnote>
  <w:footnote w:type="continuationSeparator" w:id="0">
    <w:p w14:paraId="07397660" w14:textId="0BAEE60B" w:rsidR="00FA106F" w:rsidRPr="007E11C1" w:rsidRDefault="007E11C1" w:rsidP="007E11C1">
      <w:pPr>
        <w:pStyle w:val="Footer"/>
        <w:spacing w:after="80"/>
        <w:ind w:left="792"/>
        <w:rPr>
          <w:sz w:val="16"/>
        </w:rPr>
      </w:pPr>
      <w:r w:rsidRPr="007E11C1">
        <w:rPr>
          <w:sz w:val="16"/>
        </w:rPr>
        <w:t>__________________</w:t>
      </w:r>
    </w:p>
  </w:footnote>
  <w:footnote w:id="1">
    <w:p w14:paraId="42E9D669" w14:textId="77777777" w:rsidR="00D758B6" w:rsidRPr="007E11C1" w:rsidRDefault="00D758B6" w:rsidP="007E11C1">
      <w:pPr>
        <w:pStyle w:val="FootnoteText"/>
        <w:tabs>
          <w:tab w:val="right" w:pos="1195"/>
          <w:tab w:val="left" w:pos="1267"/>
          <w:tab w:val="left" w:pos="1742"/>
          <w:tab w:val="left" w:pos="2218"/>
          <w:tab w:val="left" w:pos="2693"/>
        </w:tabs>
        <w:ind w:left="1267" w:right="1260" w:hanging="576"/>
        <w:rPr>
          <w:lang w:val="fr-FR"/>
        </w:rPr>
      </w:pPr>
      <w:r>
        <w:tab/>
      </w:r>
      <w:r w:rsidRPr="007E11C1">
        <w:rPr>
          <w:rStyle w:val="FootnoteReference"/>
          <w:spacing w:val="4"/>
          <w:vertAlign w:val="baseline"/>
          <w:lang w:val="fr-FR"/>
        </w:rPr>
        <w:t>*</w:t>
      </w:r>
      <w:r w:rsidRPr="007E11C1">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A0894" w14:paraId="1D0A30A2" w14:textId="77777777" w:rsidTr="002A0894">
      <w:tblPrEx>
        <w:tblCellMar>
          <w:top w:w="0" w:type="dxa"/>
          <w:bottom w:w="0" w:type="dxa"/>
        </w:tblCellMar>
      </w:tblPrEx>
      <w:trPr>
        <w:trHeight w:hRule="exact" w:val="864"/>
      </w:trPr>
      <w:tc>
        <w:tcPr>
          <w:tcW w:w="4920" w:type="dxa"/>
          <w:shd w:val="clear" w:color="auto" w:fill="auto"/>
          <w:vAlign w:val="bottom"/>
        </w:tcPr>
        <w:p w14:paraId="01F8216D" w14:textId="1BA715F5" w:rsidR="002A0894" w:rsidRPr="002A0894" w:rsidRDefault="002A0894" w:rsidP="002A089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3084">
            <w:rPr>
              <w:b/>
              <w:color w:val="000000"/>
            </w:rPr>
            <w:t>CEDAW/C/ZWE/FCO/6</w:t>
          </w:r>
          <w:r>
            <w:rPr>
              <w:b/>
              <w:color w:val="000000"/>
            </w:rPr>
            <w:fldChar w:fldCharType="end"/>
          </w:r>
        </w:p>
      </w:tc>
      <w:tc>
        <w:tcPr>
          <w:tcW w:w="4920" w:type="dxa"/>
          <w:shd w:val="clear" w:color="auto" w:fill="auto"/>
          <w:vAlign w:val="bottom"/>
        </w:tcPr>
        <w:p w14:paraId="2726F823" w14:textId="77777777" w:rsidR="002A0894" w:rsidRDefault="002A0894" w:rsidP="002A0894">
          <w:pPr>
            <w:pStyle w:val="Header"/>
          </w:pPr>
        </w:p>
      </w:tc>
    </w:tr>
  </w:tbl>
  <w:p w14:paraId="3CF8EA10" w14:textId="77777777" w:rsidR="002A0894" w:rsidRPr="002A0894" w:rsidRDefault="002A0894" w:rsidP="002A089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A0894" w14:paraId="2794AC1E" w14:textId="77777777" w:rsidTr="002A0894">
      <w:tblPrEx>
        <w:tblCellMar>
          <w:top w:w="0" w:type="dxa"/>
          <w:bottom w:w="0" w:type="dxa"/>
        </w:tblCellMar>
      </w:tblPrEx>
      <w:trPr>
        <w:trHeight w:hRule="exact" w:val="864"/>
      </w:trPr>
      <w:tc>
        <w:tcPr>
          <w:tcW w:w="4920" w:type="dxa"/>
          <w:shd w:val="clear" w:color="auto" w:fill="auto"/>
          <w:vAlign w:val="bottom"/>
        </w:tcPr>
        <w:p w14:paraId="44125DF2" w14:textId="77777777" w:rsidR="002A0894" w:rsidRDefault="002A0894" w:rsidP="002A0894">
          <w:pPr>
            <w:pStyle w:val="Header"/>
          </w:pPr>
        </w:p>
      </w:tc>
      <w:tc>
        <w:tcPr>
          <w:tcW w:w="4920" w:type="dxa"/>
          <w:shd w:val="clear" w:color="auto" w:fill="auto"/>
          <w:vAlign w:val="bottom"/>
        </w:tcPr>
        <w:p w14:paraId="0FAAD406" w14:textId="10312052" w:rsidR="002A0894" w:rsidRPr="002A0894" w:rsidRDefault="002A0894" w:rsidP="002A089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3084">
            <w:rPr>
              <w:b/>
              <w:color w:val="000000"/>
            </w:rPr>
            <w:t>CEDAW/C/ZWE/FCO/6</w:t>
          </w:r>
          <w:r>
            <w:rPr>
              <w:b/>
              <w:color w:val="000000"/>
            </w:rPr>
            <w:fldChar w:fldCharType="end"/>
          </w:r>
        </w:p>
      </w:tc>
    </w:tr>
  </w:tbl>
  <w:p w14:paraId="3EB7ECAA" w14:textId="77777777" w:rsidR="002A0894" w:rsidRPr="002A0894" w:rsidRDefault="002A0894" w:rsidP="002A089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A0894" w14:paraId="37AD72F6" w14:textId="77777777" w:rsidTr="002A089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DDCEA45" w14:textId="77777777" w:rsidR="002A0894" w:rsidRDefault="002A0894" w:rsidP="002A0894">
          <w:pPr>
            <w:pStyle w:val="Header"/>
            <w:spacing w:after="120"/>
          </w:pPr>
        </w:p>
      </w:tc>
      <w:tc>
        <w:tcPr>
          <w:tcW w:w="2059" w:type="dxa"/>
          <w:tcBorders>
            <w:bottom w:val="single" w:sz="4" w:space="0" w:color="auto"/>
          </w:tcBorders>
          <w:shd w:val="clear" w:color="auto" w:fill="auto"/>
          <w:vAlign w:val="bottom"/>
        </w:tcPr>
        <w:p w14:paraId="1F1459A5" w14:textId="4A10ED35" w:rsidR="002A0894" w:rsidRPr="002A0894" w:rsidRDefault="002A0894" w:rsidP="002A089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ABFDD17" w14:textId="77777777" w:rsidR="002A0894" w:rsidRDefault="002A0894" w:rsidP="002A0894">
          <w:pPr>
            <w:pStyle w:val="Header"/>
            <w:spacing w:after="120"/>
          </w:pPr>
        </w:p>
      </w:tc>
      <w:tc>
        <w:tcPr>
          <w:tcW w:w="6466" w:type="dxa"/>
          <w:gridSpan w:val="3"/>
          <w:tcBorders>
            <w:bottom w:val="single" w:sz="4" w:space="0" w:color="auto"/>
          </w:tcBorders>
          <w:shd w:val="clear" w:color="auto" w:fill="auto"/>
          <w:vAlign w:val="bottom"/>
        </w:tcPr>
        <w:p w14:paraId="5D91A680" w14:textId="02DAC030" w:rsidR="002A0894" w:rsidRPr="002A0894" w:rsidRDefault="002A0894" w:rsidP="002A0894">
          <w:pPr>
            <w:spacing w:after="80" w:line="240" w:lineRule="auto"/>
            <w:jc w:val="right"/>
            <w:rPr>
              <w:position w:val="-4"/>
            </w:rPr>
          </w:pPr>
          <w:r>
            <w:rPr>
              <w:position w:val="-4"/>
              <w:sz w:val="40"/>
            </w:rPr>
            <w:t>CEDAW</w:t>
          </w:r>
          <w:r>
            <w:rPr>
              <w:position w:val="-4"/>
            </w:rPr>
            <w:t>/C/ZWE/FCO/6</w:t>
          </w:r>
        </w:p>
      </w:tc>
    </w:tr>
    <w:tr w:rsidR="002A0894" w:rsidRPr="002A0894" w14:paraId="02F69DD0" w14:textId="77777777" w:rsidTr="002A089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42027E1" w14:textId="4C205A75" w:rsidR="002A0894" w:rsidRPr="002A0894" w:rsidRDefault="002A0894" w:rsidP="002A0894">
          <w:pPr>
            <w:pStyle w:val="Header"/>
            <w:spacing w:before="120" w:line="240" w:lineRule="auto"/>
            <w:ind w:left="-72"/>
            <w:jc w:val="center"/>
          </w:pPr>
          <w:r>
            <w:t xml:space="preserve">  </w:t>
          </w:r>
          <w:r>
            <w:rPr>
              <w:noProof/>
            </w:rPr>
            <w:drawing>
              <wp:inline distT="0" distB="0" distL="0" distR="0" wp14:anchorId="103B20A2" wp14:editId="61A281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A6946B" w14:textId="32532FF0" w:rsidR="002A0894" w:rsidRPr="002A0894" w:rsidRDefault="002A0894" w:rsidP="002A089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19890C3" w14:textId="77777777" w:rsidR="002A0894" w:rsidRPr="002A0894" w:rsidRDefault="002A0894" w:rsidP="002A0894">
          <w:pPr>
            <w:pStyle w:val="Header"/>
            <w:spacing w:before="109"/>
          </w:pPr>
        </w:p>
      </w:tc>
      <w:tc>
        <w:tcPr>
          <w:tcW w:w="3110" w:type="dxa"/>
          <w:tcBorders>
            <w:top w:val="single" w:sz="4" w:space="0" w:color="auto"/>
            <w:bottom w:val="single" w:sz="12" w:space="0" w:color="auto"/>
          </w:tcBorders>
          <w:shd w:val="clear" w:color="auto" w:fill="auto"/>
        </w:tcPr>
        <w:p w14:paraId="0F5277F1" w14:textId="77777777" w:rsidR="002A0894" w:rsidRDefault="002A0894" w:rsidP="002A0894">
          <w:pPr>
            <w:pStyle w:val="Distribution"/>
            <w:rPr>
              <w:color w:val="000000"/>
            </w:rPr>
          </w:pPr>
          <w:r>
            <w:rPr>
              <w:color w:val="000000"/>
            </w:rPr>
            <w:t>Distr. générale</w:t>
          </w:r>
        </w:p>
        <w:p w14:paraId="5FBF26F9" w14:textId="77777777" w:rsidR="002A0894" w:rsidRDefault="002A0894" w:rsidP="002A0894">
          <w:pPr>
            <w:pStyle w:val="Publication"/>
            <w:rPr>
              <w:color w:val="000000"/>
            </w:rPr>
          </w:pPr>
          <w:r>
            <w:rPr>
              <w:color w:val="000000"/>
            </w:rPr>
            <w:t>14 décembre 2022</w:t>
          </w:r>
        </w:p>
        <w:p w14:paraId="1CE14D5E" w14:textId="77777777" w:rsidR="002A0894" w:rsidRDefault="002A0894" w:rsidP="002A0894">
          <w:pPr>
            <w:rPr>
              <w:lang w:val="en-US"/>
            </w:rPr>
          </w:pPr>
          <w:r>
            <w:rPr>
              <w:lang w:val="en-US"/>
            </w:rPr>
            <w:t>Français</w:t>
          </w:r>
        </w:p>
        <w:p w14:paraId="2F511FCF" w14:textId="77777777" w:rsidR="002A0894" w:rsidRDefault="002A0894" w:rsidP="002A0894">
          <w:pPr>
            <w:pStyle w:val="Original"/>
            <w:rPr>
              <w:color w:val="000000"/>
            </w:rPr>
          </w:pPr>
          <w:r>
            <w:rPr>
              <w:color w:val="000000"/>
            </w:rPr>
            <w:t>Original : anglais</w:t>
          </w:r>
        </w:p>
        <w:p w14:paraId="54F62BAE" w14:textId="563E14C6" w:rsidR="00D002A2" w:rsidRPr="00D002A2" w:rsidRDefault="00D002A2" w:rsidP="00D002A2">
          <w:pPr>
            <w:rPr>
              <w:lang w:val="en-US"/>
            </w:rPr>
          </w:pPr>
          <w:r w:rsidRPr="00D002A2">
            <w:rPr>
              <w:lang w:val="fr-FR"/>
            </w:rPr>
            <w:t>Anglais, espagnol et français seulement</w:t>
          </w:r>
        </w:p>
      </w:tc>
    </w:tr>
  </w:tbl>
  <w:p w14:paraId="51C65E21" w14:textId="77777777" w:rsidR="002A0894" w:rsidRPr="002A0894" w:rsidRDefault="002A0894" w:rsidP="002A0894">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4E1056"/>
    <w:multiLevelType w:val="singleLevel"/>
    <w:tmpl w:val="407AF4CE"/>
    <w:lvl w:ilvl="0">
      <w:start w:val="1"/>
      <w:numFmt w:val="decimal"/>
      <w:lvlRestart w:val="0"/>
      <w:lvlText w:val="%1."/>
      <w:lvlJc w:val="left"/>
      <w:pPr>
        <w:tabs>
          <w:tab w:val="num" w:pos="475"/>
        </w:tabs>
        <w:ind w:left="0" w:firstLine="0"/>
      </w:pPr>
      <w:rPr>
        <w:w w:val="100"/>
      </w:rPr>
    </w:lvl>
  </w:abstractNum>
  <w:abstractNum w:abstractNumId="4" w15:restartNumberingAfterBreak="0">
    <w:nsid w:val="3ACF4EB2"/>
    <w:multiLevelType w:val="hybridMultilevel"/>
    <w:tmpl w:val="CB6C816A"/>
    <w:lvl w:ilvl="0" w:tplc="DE18D532">
      <w:start w:val="1"/>
      <w:numFmt w:val="bullet"/>
      <w:pStyle w:val="Bullet2G"/>
      <w:lvlText w:val="•"/>
      <w:lvlJc w:val="left"/>
      <w:pPr>
        <w:tabs>
          <w:tab w:val="num" w:pos="2268"/>
        </w:tabs>
        <w:ind w:left="2268" w:hanging="170"/>
      </w:pPr>
      <w:rPr>
        <w:rFonts w:ascii="Times New Roman" w:hAnsi="Times New Roman" w:cs="Times New Roman" w:hint="default"/>
      </w:rPr>
    </w:lvl>
    <w:lvl w:ilvl="1" w:tplc="873435EC" w:tentative="1">
      <w:start w:val="1"/>
      <w:numFmt w:val="bullet"/>
      <w:lvlText w:val="o"/>
      <w:lvlJc w:val="left"/>
      <w:pPr>
        <w:tabs>
          <w:tab w:val="num" w:pos="3708"/>
        </w:tabs>
        <w:ind w:left="3708" w:hanging="360"/>
      </w:pPr>
      <w:rPr>
        <w:rFonts w:ascii="Courier New" w:hAnsi="Courier New" w:hint="default"/>
      </w:rPr>
    </w:lvl>
    <w:lvl w:ilvl="2" w:tplc="E84EBEE2" w:tentative="1">
      <w:start w:val="1"/>
      <w:numFmt w:val="bullet"/>
      <w:lvlText w:val=""/>
      <w:lvlJc w:val="left"/>
      <w:pPr>
        <w:tabs>
          <w:tab w:val="num" w:pos="4428"/>
        </w:tabs>
        <w:ind w:left="4428" w:hanging="360"/>
      </w:pPr>
      <w:rPr>
        <w:rFonts w:ascii="Wingdings" w:hAnsi="Wingdings" w:hint="default"/>
      </w:rPr>
    </w:lvl>
    <w:lvl w:ilvl="3" w:tplc="88245698" w:tentative="1">
      <w:start w:val="1"/>
      <w:numFmt w:val="bullet"/>
      <w:lvlText w:val=""/>
      <w:lvlJc w:val="left"/>
      <w:pPr>
        <w:tabs>
          <w:tab w:val="num" w:pos="5148"/>
        </w:tabs>
        <w:ind w:left="5148" w:hanging="360"/>
      </w:pPr>
      <w:rPr>
        <w:rFonts w:ascii="Symbol" w:hAnsi="Symbol" w:hint="default"/>
      </w:rPr>
    </w:lvl>
    <w:lvl w:ilvl="4" w:tplc="6400CCE4" w:tentative="1">
      <w:start w:val="1"/>
      <w:numFmt w:val="bullet"/>
      <w:lvlText w:val="o"/>
      <w:lvlJc w:val="left"/>
      <w:pPr>
        <w:tabs>
          <w:tab w:val="num" w:pos="5868"/>
        </w:tabs>
        <w:ind w:left="5868" w:hanging="360"/>
      </w:pPr>
      <w:rPr>
        <w:rFonts w:ascii="Courier New" w:hAnsi="Courier New" w:hint="default"/>
      </w:rPr>
    </w:lvl>
    <w:lvl w:ilvl="5" w:tplc="F7E003FC" w:tentative="1">
      <w:start w:val="1"/>
      <w:numFmt w:val="bullet"/>
      <w:lvlText w:val=""/>
      <w:lvlJc w:val="left"/>
      <w:pPr>
        <w:tabs>
          <w:tab w:val="num" w:pos="6588"/>
        </w:tabs>
        <w:ind w:left="6588" w:hanging="360"/>
      </w:pPr>
      <w:rPr>
        <w:rFonts w:ascii="Wingdings" w:hAnsi="Wingdings" w:hint="default"/>
      </w:rPr>
    </w:lvl>
    <w:lvl w:ilvl="6" w:tplc="20DAAB74" w:tentative="1">
      <w:start w:val="1"/>
      <w:numFmt w:val="bullet"/>
      <w:lvlText w:val=""/>
      <w:lvlJc w:val="left"/>
      <w:pPr>
        <w:tabs>
          <w:tab w:val="num" w:pos="7308"/>
        </w:tabs>
        <w:ind w:left="7308" w:hanging="360"/>
      </w:pPr>
      <w:rPr>
        <w:rFonts w:ascii="Symbol" w:hAnsi="Symbol" w:hint="default"/>
      </w:rPr>
    </w:lvl>
    <w:lvl w:ilvl="7" w:tplc="0024ABD4" w:tentative="1">
      <w:start w:val="1"/>
      <w:numFmt w:val="bullet"/>
      <w:lvlText w:val="o"/>
      <w:lvlJc w:val="left"/>
      <w:pPr>
        <w:tabs>
          <w:tab w:val="num" w:pos="8028"/>
        </w:tabs>
        <w:ind w:left="8028" w:hanging="360"/>
      </w:pPr>
      <w:rPr>
        <w:rFonts w:ascii="Courier New" w:hAnsi="Courier New" w:hint="default"/>
      </w:rPr>
    </w:lvl>
    <w:lvl w:ilvl="8" w:tplc="81C25A28"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2B54DE"/>
    <w:multiLevelType w:val="hybridMultilevel"/>
    <w:tmpl w:val="0FCED85A"/>
    <w:lvl w:ilvl="0" w:tplc="AEC09964">
      <w:start w:val="1"/>
      <w:numFmt w:val="decimal"/>
      <w:lvlText w:val="%1."/>
      <w:lvlJc w:val="left"/>
      <w:pPr>
        <w:ind w:left="6598" w:hanging="360"/>
      </w:pPr>
      <w:rPr>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5"/>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5"/>
  </w:num>
  <w:num w:numId="15">
    <w:abstractNumId w:val="0"/>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4"/>
  </w:num>
  <w:num w:numId="26">
    <w:abstractNumId w:val="6"/>
  </w:num>
  <w:num w:numId="27">
    <w:abstractNumId w:val="3"/>
  </w:num>
  <w:num w:numId="28">
    <w:abstractNumId w:val="3"/>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579*"/>
    <w:docVar w:name="CreationDt" w:val="30/12/2022 10:39 AM"/>
    <w:docVar w:name="DocCategory" w:val="Doc"/>
    <w:docVar w:name="DocType" w:val="Final"/>
    <w:docVar w:name="DutyStation" w:val="New York"/>
    <w:docVar w:name="FooterJN" w:val="22-28579"/>
    <w:docVar w:name="jobn" w:val="22-28579 (F)"/>
    <w:docVar w:name="jobnDT" w:val="22-28579 (F)   301222"/>
    <w:docVar w:name="jobnDTDT" w:val="22-28579 (F)   301222   301222"/>
    <w:docVar w:name="JobNo" w:val="2228579F"/>
    <w:docVar w:name="JobNo2" w:val="2275182F"/>
    <w:docVar w:name="LocalDrive" w:val="-1"/>
    <w:docVar w:name="OandT" w:val="CMA"/>
    <w:docVar w:name="sss1" w:val="CEDAW/C/ZWE/FCO/6"/>
    <w:docVar w:name="sss2" w:val="-"/>
    <w:docVar w:name="Symbol1" w:val="CEDAW/C/ZWE/FCO/6"/>
    <w:docVar w:name="Symbol2" w:val="-"/>
    <w:docVar w:name="Title1" w:val="_x0009__x0009_Renseignements reçus du Zimbabwe au sujet de la suite donnée aux observations finales concernant son sixième rapport périodique*_x000d_"/>
  </w:docVars>
  <w:rsids>
    <w:rsidRoot w:val="00FA106F"/>
    <w:rsid w:val="00022525"/>
    <w:rsid w:val="000301B9"/>
    <w:rsid w:val="00080D58"/>
    <w:rsid w:val="000A1488"/>
    <w:rsid w:val="00134F74"/>
    <w:rsid w:val="00152A9C"/>
    <w:rsid w:val="00162DD0"/>
    <w:rsid w:val="001814F9"/>
    <w:rsid w:val="001D20D9"/>
    <w:rsid w:val="00226A00"/>
    <w:rsid w:val="00246BA4"/>
    <w:rsid w:val="00282867"/>
    <w:rsid w:val="00285F28"/>
    <w:rsid w:val="002A0894"/>
    <w:rsid w:val="002C45AE"/>
    <w:rsid w:val="0034166A"/>
    <w:rsid w:val="00353061"/>
    <w:rsid w:val="00357F71"/>
    <w:rsid w:val="00380485"/>
    <w:rsid w:val="003831BF"/>
    <w:rsid w:val="003839BD"/>
    <w:rsid w:val="003962A2"/>
    <w:rsid w:val="003977CF"/>
    <w:rsid w:val="00412B93"/>
    <w:rsid w:val="00491CEE"/>
    <w:rsid w:val="004B71FC"/>
    <w:rsid w:val="004D2811"/>
    <w:rsid w:val="00513CC1"/>
    <w:rsid w:val="00586252"/>
    <w:rsid w:val="0059247D"/>
    <w:rsid w:val="00672375"/>
    <w:rsid w:val="00692281"/>
    <w:rsid w:val="006A2296"/>
    <w:rsid w:val="006B6424"/>
    <w:rsid w:val="006C73E8"/>
    <w:rsid w:val="006F661B"/>
    <w:rsid w:val="0074115B"/>
    <w:rsid w:val="007A7694"/>
    <w:rsid w:val="007B72DC"/>
    <w:rsid w:val="007E11C1"/>
    <w:rsid w:val="00864166"/>
    <w:rsid w:val="008731E8"/>
    <w:rsid w:val="00882E4F"/>
    <w:rsid w:val="008D6777"/>
    <w:rsid w:val="008F0FCB"/>
    <w:rsid w:val="008F78ED"/>
    <w:rsid w:val="0096644B"/>
    <w:rsid w:val="009979C4"/>
    <w:rsid w:val="009B4546"/>
    <w:rsid w:val="009B56D7"/>
    <w:rsid w:val="009E111B"/>
    <w:rsid w:val="00A24741"/>
    <w:rsid w:val="00A3283E"/>
    <w:rsid w:val="00A3689F"/>
    <w:rsid w:val="00A5298C"/>
    <w:rsid w:val="00A95082"/>
    <w:rsid w:val="00AA0404"/>
    <w:rsid w:val="00B35C3A"/>
    <w:rsid w:val="00B515D5"/>
    <w:rsid w:val="00B54F53"/>
    <w:rsid w:val="00B608E0"/>
    <w:rsid w:val="00B61003"/>
    <w:rsid w:val="00B815F1"/>
    <w:rsid w:val="00B93084"/>
    <w:rsid w:val="00C95A38"/>
    <w:rsid w:val="00CB2CD0"/>
    <w:rsid w:val="00CC7ABD"/>
    <w:rsid w:val="00CE36B6"/>
    <w:rsid w:val="00D002A2"/>
    <w:rsid w:val="00D0073A"/>
    <w:rsid w:val="00D0335D"/>
    <w:rsid w:val="00D069C8"/>
    <w:rsid w:val="00D26BE9"/>
    <w:rsid w:val="00D37981"/>
    <w:rsid w:val="00D758B6"/>
    <w:rsid w:val="00D836CC"/>
    <w:rsid w:val="00DD4BF0"/>
    <w:rsid w:val="00DF15BD"/>
    <w:rsid w:val="00DF5AA8"/>
    <w:rsid w:val="00E17BBD"/>
    <w:rsid w:val="00E34FCB"/>
    <w:rsid w:val="00EA6724"/>
    <w:rsid w:val="00EB24B2"/>
    <w:rsid w:val="00EE76F3"/>
    <w:rsid w:val="00F27546"/>
    <w:rsid w:val="00FA106F"/>
    <w:rsid w:val="00FA61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37D90"/>
  <w15:chartTrackingRefBased/>
  <w15:docId w15:val="{BEECF088-9B51-4DC1-83BA-24962779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8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9228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9228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9228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9228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9228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9228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9228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9228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9228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69228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69228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69228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69228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692281"/>
    <w:pPr>
      <w:keepNext/>
      <w:keepLines/>
      <w:suppressAutoHyphens/>
      <w:spacing w:line="270" w:lineRule="exact"/>
      <w:outlineLvl w:val="0"/>
    </w:pPr>
    <w:rPr>
      <w:b/>
      <w:sz w:val="24"/>
    </w:rPr>
  </w:style>
  <w:style w:type="paragraph" w:customStyle="1" w:styleId="HCH">
    <w:name w:val="_ H _CH"/>
    <w:basedOn w:val="H1"/>
    <w:next w:val="SingleTxt"/>
    <w:qFormat/>
    <w:rsid w:val="00692281"/>
    <w:pPr>
      <w:spacing w:line="300" w:lineRule="exact"/>
    </w:pPr>
    <w:rPr>
      <w:spacing w:val="-2"/>
      <w:sz w:val="28"/>
    </w:rPr>
  </w:style>
  <w:style w:type="paragraph" w:customStyle="1" w:styleId="HM">
    <w:name w:val="_ H __M"/>
    <w:basedOn w:val="HCH"/>
    <w:next w:val="Normal"/>
    <w:qFormat/>
    <w:rsid w:val="00692281"/>
    <w:pPr>
      <w:spacing w:line="360" w:lineRule="exact"/>
    </w:pPr>
    <w:rPr>
      <w:spacing w:val="-3"/>
      <w:w w:val="99"/>
      <w:sz w:val="34"/>
    </w:rPr>
  </w:style>
  <w:style w:type="paragraph" w:customStyle="1" w:styleId="H23">
    <w:name w:val="_ H_2/3"/>
    <w:basedOn w:val="H1"/>
    <w:next w:val="SingleTxt"/>
    <w:qFormat/>
    <w:rsid w:val="00692281"/>
    <w:pPr>
      <w:spacing w:line="240" w:lineRule="exact"/>
      <w:outlineLvl w:val="1"/>
    </w:pPr>
    <w:rPr>
      <w:spacing w:val="2"/>
      <w:sz w:val="20"/>
    </w:rPr>
  </w:style>
  <w:style w:type="paragraph" w:customStyle="1" w:styleId="H4">
    <w:name w:val="_ H_4"/>
    <w:basedOn w:val="Normal"/>
    <w:next w:val="Normal"/>
    <w:qFormat/>
    <w:rsid w:val="00692281"/>
    <w:pPr>
      <w:keepNext/>
      <w:keepLines/>
      <w:tabs>
        <w:tab w:val="right" w:pos="360"/>
      </w:tabs>
      <w:suppressAutoHyphens/>
      <w:outlineLvl w:val="3"/>
    </w:pPr>
    <w:rPr>
      <w:i/>
      <w:spacing w:val="3"/>
    </w:rPr>
  </w:style>
  <w:style w:type="paragraph" w:customStyle="1" w:styleId="H56">
    <w:name w:val="_ H_5/6"/>
    <w:basedOn w:val="Normal"/>
    <w:next w:val="Normal"/>
    <w:qFormat/>
    <w:rsid w:val="0069228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9228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9228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92281"/>
    <w:pPr>
      <w:spacing w:line="540" w:lineRule="exact"/>
    </w:pPr>
    <w:rPr>
      <w:spacing w:val="-8"/>
      <w:w w:val="96"/>
      <w:sz w:val="57"/>
    </w:rPr>
  </w:style>
  <w:style w:type="paragraph" w:customStyle="1" w:styleId="SS">
    <w:name w:val="__S_S"/>
    <w:basedOn w:val="HCH"/>
    <w:next w:val="Normal"/>
    <w:qFormat/>
    <w:rsid w:val="00692281"/>
    <w:pPr>
      <w:ind w:left="1267" w:right="1267"/>
    </w:pPr>
  </w:style>
  <w:style w:type="paragraph" w:customStyle="1" w:styleId="SingleTxt">
    <w:name w:val="__Single Txt"/>
    <w:basedOn w:val="Normal"/>
    <w:qFormat/>
    <w:rsid w:val="0069228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9228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69228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9228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9228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92281"/>
    <w:pPr>
      <w:numPr>
        <w:numId w:val="13"/>
      </w:numPr>
      <w:spacing w:after="120"/>
      <w:ind w:right="1267"/>
      <w:jc w:val="both"/>
    </w:pPr>
  </w:style>
  <w:style w:type="paragraph" w:customStyle="1" w:styleId="Bullet2">
    <w:name w:val="Bullet 2"/>
    <w:basedOn w:val="Normal"/>
    <w:qFormat/>
    <w:rsid w:val="00692281"/>
    <w:pPr>
      <w:numPr>
        <w:numId w:val="14"/>
      </w:numPr>
      <w:spacing w:after="120"/>
      <w:ind w:right="1264"/>
      <w:jc w:val="both"/>
    </w:pPr>
  </w:style>
  <w:style w:type="paragraph" w:customStyle="1" w:styleId="Bullet3">
    <w:name w:val="Bullet 3"/>
    <w:basedOn w:val="SingleTxt"/>
    <w:qFormat/>
    <w:rsid w:val="0069228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69228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6922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92281"/>
    <w:pPr>
      <w:spacing w:line="210" w:lineRule="exact"/>
    </w:pPr>
    <w:rPr>
      <w:sz w:val="17"/>
      <w:szCs w:val="20"/>
    </w:rPr>
  </w:style>
  <w:style w:type="character" w:customStyle="1" w:styleId="EndnoteTextChar">
    <w:name w:val="Endnote Text Char"/>
    <w:link w:val="EndnoteText"/>
    <w:uiPriority w:val="99"/>
    <w:semiHidden/>
    <w:rsid w:val="0069228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69228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92281"/>
    <w:pPr>
      <w:spacing w:line="210" w:lineRule="exact"/>
    </w:pPr>
    <w:rPr>
      <w:sz w:val="17"/>
      <w:szCs w:val="20"/>
    </w:rPr>
  </w:style>
  <w:style w:type="character" w:customStyle="1" w:styleId="FootnoteTextChar">
    <w:name w:val="Footnote Text Char"/>
    <w:link w:val="FootnoteText"/>
    <w:uiPriority w:val="99"/>
    <w:rsid w:val="0069228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69228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9228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9228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9228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9228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9228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9228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9228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9228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92281"/>
    <w:rPr>
      <w:sz w:val="14"/>
    </w:rPr>
  </w:style>
  <w:style w:type="paragraph" w:styleId="ListParagraph">
    <w:name w:val="List Paragraph"/>
    <w:basedOn w:val="Normal"/>
    <w:uiPriority w:val="34"/>
    <w:rsid w:val="0069228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69228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69228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69228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69228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692281"/>
    <w:pPr>
      <w:tabs>
        <w:tab w:val="right" w:pos="9965"/>
      </w:tabs>
      <w:spacing w:line="210" w:lineRule="exact"/>
    </w:pPr>
    <w:rPr>
      <w:spacing w:val="5"/>
      <w:w w:val="104"/>
      <w:sz w:val="17"/>
    </w:rPr>
  </w:style>
  <w:style w:type="paragraph" w:customStyle="1" w:styleId="SmallX">
    <w:name w:val="SmallX"/>
    <w:basedOn w:val="Small"/>
    <w:next w:val="Normal"/>
    <w:qFormat/>
    <w:rsid w:val="0069228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692281"/>
    <w:rPr>
      <w:b/>
      <w:bCs/>
    </w:rPr>
  </w:style>
  <w:style w:type="paragraph" w:customStyle="1" w:styleId="Style1">
    <w:name w:val="Style1"/>
    <w:basedOn w:val="Normal"/>
    <w:qFormat/>
    <w:rsid w:val="00692281"/>
  </w:style>
  <w:style w:type="paragraph" w:customStyle="1" w:styleId="Style2">
    <w:name w:val="Style2"/>
    <w:basedOn w:val="Normal"/>
    <w:autoRedefine/>
    <w:qFormat/>
    <w:rsid w:val="0069228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6922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6922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6922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9228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A0894"/>
    <w:rPr>
      <w:sz w:val="16"/>
      <w:szCs w:val="16"/>
    </w:rPr>
  </w:style>
  <w:style w:type="paragraph" w:styleId="CommentText">
    <w:name w:val="annotation text"/>
    <w:basedOn w:val="Normal"/>
    <w:link w:val="CommentTextChar"/>
    <w:uiPriority w:val="99"/>
    <w:semiHidden/>
    <w:unhideWhenUsed/>
    <w:rsid w:val="002A0894"/>
    <w:pPr>
      <w:spacing w:line="240" w:lineRule="auto"/>
    </w:pPr>
    <w:rPr>
      <w:szCs w:val="20"/>
    </w:rPr>
  </w:style>
  <w:style w:type="character" w:customStyle="1" w:styleId="CommentTextChar">
    <w:name w:val="Comment Text Char"/>
    <w:basedOn w:val="DefaultParagraphFont"/>
    <w:link w:val="CommentText"/>
    <w:uiPriority w:val="99"/>
    <w:semiHidden/>
    <w:rsid w:val="002A089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A0894"/>
    <w:rPr>
      <w:b/>
      <w:bCs/>
    </w:rPr>
  </w:style>
  <w:style w:type="character" w:customStyle="1" w:styleId="CommentSubjectChar">
    <w:name w:val="Comment Subject Char"/>
    <w:basedOn w:val="CommentTextChar"/>
    <w:link w:val="CommentSubject"/>
    <w:uiPriority w:val="99"/>
    <w:semiHidden/>
    <w:rsid w:val="002A0894"/>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D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G">
    <w:name w:val="_Bullet 2_G"/>
    <w:basedOn w:val="Normal"/>
    <w:qFormat/>
    <w:rsid w:val="00D758B6"/>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B608E0"/>
    <w:rPr>
      <w:color w:val="0000FF"/>
      <w:u w:val="none"/>
    </w:rPr>
  </w:style>
  <w:style w:type="character" w:styleId="FollowedHyperlink">
    <w:name w:val="FollowedHyperlink"/>
    <w:basedOn w:val="DefaultParagraphFont"/>
    <w:uiPriority w:val="99"/>
    <w:semiHidden/>
    <w:unhideWhenUsed/>
    <w:rsid w:val="00B608E0"/>
    <w:rPr>
      <w:color w:val="0000FF"/>
      <w:u w:val="none"/>
    </w:rPr>
  </w:style>
  <w:style w:type="character" w:styleId="UnresolvedMention">
    <w:name w:val="Unresolved Mention"/>
    <w:basedOn w:val="DefaultParagraphFont"/>
    <w:uiPriority w:val="99"/>
    <w:semiHidden/>
    <w:unhideWhenUsed/>
    <w:rsid w:val="00B608E0"/>
    <w:rPr>
      <w:color w:val="605E5C"/>
      <w:shd w:val="clear" w:color="auto" w:fill="E1DFDD"/>
    </w:rPr>
  </w:style>
  <w:style w:type="paragraph" w:styleId="Revision">
    <w:name w:val="Revision"/>
    <w:hidden/>
    <w:uiPriority w:val="99"/>
    <w:semiHidden/>
    <w:rsid w:val="00B6100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2037</Words>
  <Characters>11613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2022-12-30T17:02:00Z</cp:lastPrinted>
  <dcterms:created xsi:type="dcterms:W3CDTF">2022-12-30T17:02:00Z</dcterms:created>
  <dcterms:modified xsi:type="dcterms:W3CDTF">2022-12-30T17:02:00Z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2228579F</vt:lpwstr>
  </property>
  <property fmtid="{D5CDD505-2E9C-101B-9397-08002B2CF9AE}" pid="3" name="ODSRefJobNo">
    <vt:lpwstr>2275182F</vt:lpwstr>
  </property>
  <property fmtid="{D5CDD505-2E9C-101B-9397-08002B2CF9AE}" pid="4" name="Symbol1">
    <vt:lpwstr>CEDAW/C/ZWE/FCO/6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Zimbabwe au sujet de la suite donnée aux observations finales concernant son sixième rapport périodique*_x000d_</vt:lpwstr>
  </property>
</Properties>
</file>